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BBE" w:rsidRPr="00995CCB" w:rsidRDefault="00774BBE" w:rsidP="00774BBE">
      <w:pPr>
        <w:pStyle w:val="Heading1"/>
        <w:numPr>
          <w:ilvl w:val="0"/>
          <w:numId w:val="0"/>
        </w:numPr>
        <w:rPr>
          <w:lang w:val="en-US"/>
        </w:rPr>
      </w:pPr>
    </w:p>
    <w:p w:rsidR="00774BBE" w:rsidRPr="007976CF" w:rsidRDefault="00774BBE" w:rsidP="00774BBE">
      <w:pPr>
        <w:rPr>
          <w:lang w:val="en-GB"/>
        </w:rPr>
      </w:pPr>
    </w:p>
    <w:p w:rsidR="00774BBE" w:rsidRDefault="00774BBE" w:rsidP="00774BBE">
      <w:pPr>
        <w:jc w:val="center"/>
        <w:rPr>
          <w:b/>
          <w:sz w:val="28"/>
          <w:szCs w:val="28"/>
          <w:lang w:val="en-GB"/>
        </w:rPr>
      </w:pPr>
      <w:r>
        <w:rPr>
          <w:noProof/>
        </w:rPr>
        <w:drawing>
          <wp:inline distT="0" distB="0" distL="0" distR="0">
            <wp:extent cx="1680210" cy="605790"/>
            <wp:effectExtent l="0" t="0" r="0" b="3810"/>
            <wp:docPr id="1" name="Picture 1" descr="logo euro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urocul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0210" cy="605790"/>
                    </a:xfrm>
                    <a:prstGeom prst="rect">
                      <a:avLst/>
                    </a:prstGeom>
                    <a:noFill/>
                    <a:ln>
                      <a:noFill/>
                    </a:ln>
                  </pic:spPr>
                </pic:pic>
              </a:graphicData>
            </a:graphic>
          </wp:inline>
        </w:drawing>
      </w:r>
    </w:p>
    <w:p w:rsidR="00774BBE" w:rsidRDefault="00774BBE" w:rsidP="00774BBE">
      <w:pPr>
        <w:jc w:val="center"/>
        <w:rPr>
          <w:b/>
          <w:sz w:val="28"/>
          <w:szCs w:val="28"/>
          <w:lang w:val="en-GB"/>
        </w:rPr>
      </w:pPr>
    </w:p>
    <w:p w:rsidR="00774BBE" w:rsidRPr="00B61F24" w:rsidRDefault="00774BBE" w:rsidP="00774BBE">
      <w:pPr>
        <w:jc w:val="center"/>
        <w:rPr>
          <w:rFonts w:ascii="Verdana" w:hAnsi="Verdana"/>
          <w:b/>
          <w:sz w:val="28"/>
          <w:szCs w:val="28"/>
          <w:lang w:val="en-GB"/>
        </w:rPr>
      </w:pPr>
      <w:r w:rsidRPr="00B61F24">
        <w:rPr>
          <w:rFonts w:ascii="Verdana" w:hAnsi="Verdana"/>
          <w:b/>
          <w:sz w:val="28"/>
          <w:szCs w:val="28"/>
          <w:lang w:val="en-GB"/>
        </w:rPr>
        <w:t>Master of Arts Thesis</w:t>
      </w:r>
    </w:p>
    <w:p w:rsidR="00774BBE" w:rsidRDefault="00774BBE" w:rsidP="00774BBE">
      <w:pPr>
        <w:jc w:val="center"/>
        <w:rPr>
          <w:rFonts w:ascii="Verdana" w:hAnsi="Verdana"/>
          <w:b/>
          <w:sz w:val="24"/>
          <w:szCs w:val="24"/>
          <w:lang w:val="en-GB"/>
        </w:rPr>
      </w:pPr>
      <w:r w:rsidRPr="00B61F24">
        <w:rPr>
          <w:rFonts w:ascii="Verdana" w:hAnsi="Verdana"/>
          <w:b/>
          <w:sz w:val="24"/>
          <w:szCs w:val="24"/>
          <w:lang w:val="en-GB"/>
        </w:rPr>
        <w:t>Euroculture</w:t>
      </w:r>
    </w:p>
    <w:p w:rsidR="00774BBE" w:rsidRDefault="00774BBE" w:rsidP="00774BBE">
      <w:pPr>
        <w:jc w:val="center"/>
        <w:rPr>
          <w:rFonts w:ascii="Verdana" w:hAnsi="Verdana"/>
          <w:sz w:val="22"/>
          <w:szCs w:val="22"/>
          <w:lang w:val="en-GB"/>
        </w:rPr>
      </w:pPr>
    </w:p>
    <w:p w:rsidR="00774BBE" w:rsidRPr="00B61F24" w:rsidRDefault="00774BBE" w:rsidP="00774BBE">
      <w:pPr>
        <w:jc w:val="center"/>
        <w:rPr>
          <w:rFonts w:ascii="Verdana" w:hAnsi="Verdana"/>
          <w:sz w:val="22"/>
          <w:szCs w:val="22"/>
          <w:lang w:val="en-GB"/>
        </w:rPr>
      </w:pPr>
    </w:p>
    <w:p w:rsidR="00774BBE" w:rsidRDefault="00995CCB" w:rsidP="00774BBE">
      <w:pPr>
        <w:rPr>
          <w:rFonts w:ascii="Verdana" w:hAnsi="Verdana"/>
          <w:b/>
          <w:sz w:val="22"/>
          <w:szCs w:val="22"/>
          <w:lang w:val="en-GB"/>
        </w:rPr>
      </w:pPr>
      <w:r>
        <w:rPr>
          <w:rFonts w:ascii="Verdana" w:hAnsi="Verdana"/>
          <w:b/>
          <w:sz w:val="22"/>
          <w:szCs w:val="22"/>
          <w:lang w:val="en-GB"/>
        </w:rPr>
        <w:t>Jagiellonian University in Krakow</w:t>
      </w:r>
    </w:p>
    <w:p w:rsidR="00774BBE" w:rsidRDefault="00774BBE" w:rsidP="00774BBE">
      <w:pPr>
        <w:rPr>
          <w:rFonts w:ascii="Verdana" w:hAnsi="Verdana"/>
          <w:b/>
          <w:sz w:val="22"/>
          <w:szCs w:val="22"/>
          <w:lang w:val="en-GB"/>
        </w:rPr>
      </w:pPr>
    </w:p>
    <w:p w:rsidR="00774BBE" w:rsidRDefault="00995CCB" w:rsidP="00774BBE">
      <w:pPr>
        <w:rPr>
          <w:rFonts w:ascii="Verdana" w:hAnsi="Verdana"/>
          <w:b/>
          <w:sz w:val="22"/>
          <w:szCs w:val="22"/>
          <w:lang w:val="en-GB"/>
        </w:rPr>
      </w:pPr>
      <w:r>
        <w:rPr>
          <w:rFonts w:ascii="Verdana" w:hAnsi="Verdana"/>
          <w:b/>
          <w:sz w:val="22"/>
          <w:szCs w:val="22"/>
          <w:lang w:val="en-GB"/>
        </w:rPr>
        <w:t>Palacky University in Olomouc</w:t>
      </w:r>
    </w:p>
    <w:p w:rsidR="00774BBE" w:rsidRPr="00B61F24" w:rsidRDefault="00774BBE" w:rsidP="00774BBE">
      <w:pPr>
        <w:rPr>
          <w:rFonts w:ascii="Verdana" w:hAnsi="Verdana"/>
          <w:b/>
          <w:sz w:val="22"/>
          <w:szCs w:val="22"/>
          <w:lang w:val="en-GB"/>
        </w:rPr>
      </w:pPr>
    </w:p>
    <w:p w:rsidR="00774BBE" w:rsidRDefault="00774BBE" w:rsidP="00774BBE">
      <w:pPr>
        <w:jc w:val="center"/>
        <w:rPr>
          <w:rFonts w:ascii="Verdana" w:hAnsi="Verdana"/>
          <w:b/>
          <w:sz w:val="22"/>
          <w:szCs w:val="22"/>
          <w:lang w:val="en-GB"/>
        </w:rPr>
      </w:pPr>
    </w:p>
    <w:p w:rsidR="00774BBE" w:rsidRPr="00B61F24" w:rsidRDefault="00995CCB" w:rsidP="00774BBE">
      <w:pPr>
        <w:jc w:val="center"/>
        <w:rPr>
          <w:rFonts w:ascii="Verdana" w:hAnsi="Verdana"/>
          <w:b/>
          <w:sz w:val="22"/>
          <w:szCs w:val="22"/>
          <w:lang w:val="en-GB"/>
        </w:rPr>
      </w:pPr>
      <w:r>
        <w:rPr>
          <w:rFonts w:ascii="Verdana" w:hAnsi="Verdana"/>
          <w:b/>
          <w:sz w:val="22"/>
          <w:szCs w:val="22"/>
          <w:lang w:val="en-GB"/>
        </w:rPr>
        <w:t>31 July 2020</w:t>
      </w:r>
    </w:p>
    <w:p w:rsidR="00774BBE" w:rsidRPr="00B61F24" w:rsidRDefault="00774BBE" w:rsidP="00774BBE">
      <w:pPr>
        <w:rPr>
          <w:rFonts w:ascii="Verdana" w:hAnsi="Verdana"/>
          <w:b/>
          <w:sz w:val="24"/>
          <w:szCs w:val="24"/>
          <w:lang w:val="en-GB"/>
        </w:rPr>
      </w:pPr>
    </w:p>
    <w:p w:rsidR="00774BBE" w:rsidRPr="00B61F24" w:rsidRDefault="00774BBE" w:rsidP="00774BBE">
      <w:pPr>
        <w:rPr>
          <w:rFonts w:ascii="Verdana" w:hAnsi="Verdana"/>
          <w:b/>
          <w:lang w:val="en-GB"/>
        </w:rPr>
      </w:pPr>
    </w:p>
    <w:p w:rsidR="00774BBE" w:rsidRPr="00B61F24" w:rsidRDefault="00774BBE" w:rsidP="00774BBE">
      <w:pPr>
        <w:rPr>
          <w:rFonts w:ascii="Verdana" w:hAnsi="Verdana"/>
          <w:b/>
          <w:lang w:val="en-GB"/>
        </w:rPr>
      </w:pPr>
    </w:p>
    <w:p w:rsidR="00995CCB" w:rsidRPr="0051566F" w:rsidRDefault="00995CCB" w:rsidP="00995CCB">
      <w:pPr>
        <w:jc w:val="center"/>
        <w:rPr>
          <w:rFonts w:ascii="Times New Roman" w:hAnsi="Times New Roman"/>
          <w:sz w:val="28"/>
          <w:szCs w:val="28"/>
        </w:rPr>
      </w:pPr>
      <w:r w:rsidRPr="0051566F">
        <w:rPr>
          <w:rFonts w:ascii="Times New Roman" w:hAnsi="Times New Roman"/>
          <w:sz w:val="28"/>
          <w:szCs w:val="28"/>
        </w:rPr>
        <w:t xml:space="preserve">The EU’s Strategy of Conflict Mediation in </w:t>
      </w:r>
      <w:r w:rsidR="002C54FC">
        <w:rPr>
          <w:rFonts w:ascii="Times New Roman" w:hAnsi="Times New Roman"/>
          <w:sz w:val="28"/>
          <w:szCs w:val="28"/>
        </w:rPr>
        <w:t>the Contested Regions</w:t>
      </w:r>
    </w:p>
    <w:p w:rsidR="00995CCB" w:rsidRPr="0051566F" w:rsidRDefault="00995CCB" w:rsidP="00995CCB">
      <w:pPr>
        <w:jc w:val="center"/>
        <w:rPr>
          <w:rFonts w:ascii="Times New Roman" w:hAnsi="Times New Roman"/>
          <w:sz w:val="28"/>
          <w:szCs w:val="28"/>
        </w:rPr>
      </w:pPr>
      <w:r w:rsidRPr="0051566F">
        <w:rPr>
          <w:rFonts w:ascii="Times New Roman" w:hAnsi="Times New Roman"/>
          <w:sz w:val="28"/>
          <w:szCs w:val="28"/>
        </w:rPr>
        <w:t>A Case study of Secessionist Conflicts in Georgia</w:t>
      </w:r>
    </w:p>
    <w:p w:rsidR="00774BBE" w:rsidRPr="0051566F" w:rsidRDefault="00774BBE" w:rsidP="00774BBE">
      <w:pPr>
        <w:jc w:val="center"/>
        <w:rPr>
          <w:rFonts w:ascii="Verdana" w:hAnsi="Verdana"/>
          <w:sz w:val="28"/>
          <w:szCs w:val="28"/>
        </w:rPr>
      </w:pPr>
    </w:p>
    <w:p w:rsidR="00774BBE" w:rsidRPr="00B61F24" w:rsidRDefault="00774BBE" w:rsidP="00774BBE">
      <w:pPr>
        <w:rPr>
          <w:rFonts w:ascii="Verdana" w:hAnsi="Verdana"/>
          <w:b/>
          <w:lang w:val="en-GB"/>
        </w:rPr>
      </w:pPr>
    </w:p>
    <w:p w:rsidR="00774BBE" w:rsidRPr="00B61F24" w:rsidRDefault="00774BBE" w:rsidP="00774BBE">
      <w:pPr>
        <w:rPr>
          <w:rFonts w:ascii="Verdana" w:hAnsi="Verdana"/>
          <w:b/>
          <w:lang w:val="en-GB"/>
        </w:rPr>
      </w:pPr>
    </w:p>
    <w:p w:rsidR="00774BBE" w:rsidRDefault="00774BBE" w:rsidP="00774BBE">
      <w:pPr>
        <w:jc w:val="right"/>
        <w:rPr>
          <w:rFonts w:ascii="Verdana" w:hAnsi="Verdana"/>
          <w:b/>
          <w:sz w:val="22"/>
          <w:szCs w:val="22"/>
          <w:lang w:val="en-GB"/>
        </w:rPr>
      </w:pPr>
      <w:r w:rsidRPr="00B61F24">
        <w:rPr>
          <w:rFonts w:ascii="Verdana" w:hAnsi="Verdana"/>
          <w:b/>
          <w:sz w:val="22"/>
          <w:szCs w:val="22"/>
          <w:lang w:val="en-GB"/>
        </w:rPr>
        <w:t>Submitted by:</w:t>
      </w:r>
    </w:p>
    <w:p w:rsidR="00774BBE" w:rsidRPr="00B61F24" w:rsidRDefault="00995CCB" w:rsidP="00774BBE">
      <w:pPr>
        <w:jc w:val="right"/>
        <w:rPr>
          <w:rFonts w:ascii="Verdana" w:hAnsi="Verdana"/>
          <w:sz w:val="22"/>
          <w:szCs w:val="22"/>
          <w:lang w:val="en-GB"/>
        </w:rPr>
      </w:pPr>
      <w:r>
        <w:rPr>
          <w:rFonts w:ascii="Verdana" w:hAnsi="Verdana"/>
          <w:sz w:val="22"/>
          <w:szCs w:val="22"/>
          <w:lang w:val="en-GB"/>
        </w:rPr>
        <w:t>Leri Khupenia</w:t>
      </w:r>
      <w:r w:rsidR="00774BBE" w:rsidRPr="00B61F24">
        <w:rPr>
          <w:rFonts w:ascii="Verdana" w:hAnsi="Verdana"/>
          <w:sz w:val="22"/>
          <w:szCs w:val="22"/>
          <w:lang w:val="en-GB"/>
        </w:rPr>
        <w:t xml:space="preserve"> </w:t>
      </w:r>
    </w:p>
    <w:p w:rsidR="00774BBE" w:rsidRDefault="00DB45B8" w:rsidP="00774BBE">
      <w:pPr>
        <w:jc w:val="right"/>
        <w:rPr>
          <w:rFonts w:ascii="Verdana" w:hAnsi="Verdana"/>
          <w:sz w:val="22"/>
          <w:szCs w:val="22"/>
          <w:lang w:val="en-GB"/>
        </w:rPr>
      </w:pPr>
      <w:r>
        <w:rPr>
          <w:rFonts w:ascii="Verdana" w:hAnsi="Verdana"/>
          <w:sz w:val="22"/>
          <w:szCs w:val="22"/>
          <w:lang w:val="en-GB"/>
        </w:rPr>
        <w:t>1159835</w:t>
      </w:r>
      <w:r w:rsidR="00774BBE">
        <w:rPr>
          <w:rFonts w:ascii="Verdana" w:hAnsi="Verdana"/>
          <w:sz w:val="22"/>
          <w:szCs w:val="22"/>
          <w:lang w:val="en-GB"/>
        </w:rPr>
        <w:t xml:space="preserve"> </w:t>
      </w:r>
    </w:p>
    <w:p w:rsidR="00774BBE" w:rsidRPr="005A43B8" w:rsidRDefault="00501889" w:rsidP="005A43B8">
      <w:pPr>
        <w:jc w:val="right"/>
        <w:rPr>
          <w:rFonts w:ascii="Verdana" w:hAnsi="Verdana"/>
          <w:sz w:val="22"/>
          <w:szCs w:val="22"/>
          <w:lang w:val="en-GB"/>
        </w:rPr>
      </w:pPr>
      <w:r>
        <w:rPr>
          <w:rFonts w:ascii="Verdana" w:hAnsi="Verdana"/>
          <w:sz w:val="22"/>
          <w:szCs w:val="22"/>
          <w:lang w:val="en-GB"/>
        </w:rPr>
        <w:t>F181164</w:t>
      </w:r>
    </w:p>
    <w:p w:rsidR="00774BBE" w:rsidRPr="00B61F24" w:rsidRDefault="00774BBE" w:rsidP="00774BBE">
      <w:pPr>
        <w:rPr>
          <w:rFonts w:ascii="Verdana" w:hAnsi="Verdana"/>
          <w:b/>
          <w:sz w:val="22"/>
          <w:szCs w:val="22"/>
          <w:lang w:val="en-GB"/>
        </w:rPr>
      </w:pPr>
    </w:p>
    <w:p w:rsidR="00774BBE" w:rsidRDefault="00774BBE" w:rsidP="00774BBE">
      <w:pPr>
        <w:jc w:val="right"/>
        <w:rPr>
          <w:rFonts w:ascii="Verdana" w:hAnsi="Verdana"/>
          <w:b/>
          <w:sz w:val="22"/>
          <w:szCs w:val="22"/>
          <w:lang w:val="en-GB"/>
        </w:rPr>
      </w:pPr>
      <w:r>
        <w:rPr>
          <w:rFonts w:ascii="Verdana" w:hAnsi="Verdana"/>
          <w:b/>
          <w:sz w:val="22"/>
          <w:szCs w:val="22"/>
          <w:lang w:val="en-GB"/>
        </w:rPr>
        <w:t xml:space="preserve">Supervised by: </w:t>
      </w:r>
    </w:p>
    <w:p w:rsidR="00774BBE" w:rsidRPr="00B61F24" w:rsidRDefault="00774BBE" w:rsidP="00774BBE">
      <w:pPr>
        <w:jc w:val="right"/>
        <w:rPr>
          <w:rFonts w:ascii="Verdana" w:hAnsi="Verdana"/>
          <w:b/>
          <w:sz w:val="22"/>
          <w:szCs w:val="22"/>
          <w:lang w:val="en-GB"/>
        </w:rPr>
      </w:pPr>
    </w:p>
    <w:p w:rsidR="00774BBE" w:rsidRPr="00B61F24" w:rsidRDefault="00995CCB" w:rsidP="00774BBE">
      <w:pPr>
        <w:jc w:val="right"/>
        <w:rPr>
          <w:rFonts w:ascii="Verdana" w:hAnsi="Verdana"/>
          <w:sz w:val="22"/>
          <w:szCs w:val="22"/>
          <w:lang w:val="en-GB"/>
        </w:rPr>
      </w:pPr>
      <w:r>
        <w:rPr>
          <w:rFonts w:ascii="Verdana" w:hAnsi="Verdana"/>
          <w:sz w:val="22"/>
          <w:szCs w:val="22"/>
          <w:lang w:val="en-GB"/>
        </w:rPr>
        <w:t>Dr.Grzegorz Andrzej Pozarlik</w:t>
      </w:r>
    </w:p>
    <w:p w:rsidR="00774BBE" w:rsidRPr="00B61F24" w:rsidRDefault="00995CCB" w:rsidP="00774BBE">
      <w:pPr>
        <w:jc w:val="right"/>
        <w:rPr>
          <w:rFonts w:ascii="Verdana" w:hAnsi="Verdana"/>
          <w:lang w:val="en-GB"/>
        </w:rPr>
      </w:pPr>
      <w:r>
        <w:rPr>
          <w:rFonts w:ascii="Verdana" w:hAnsi="Verdana"/>
          <w:sz w:val="22"/>
          <w:szCs w:val="22"/>
          <w:lang w:val="en-GB"/>
        </w:rPr>
        <w:t>Dr.Marketa Zidkova</w:t>
      </w:r>
    </w:p>
    <w:p w:rsidR="00774BBE" w:rsidRPr="00B61F24" w:rsidRDefault="00774BBE" w:rsidP="00774BBE">
      <w:pPr>
        <w:rPr>
          <w:rFonts w:ascii="Verdana" w:hAnsi="Verdana"/>
          <w:lang w:val="en-GB"/>
        </w:rPr>
      </w:pPr>
    </w:p>
    <w:p w:rsidR="00774BBE" w:rsidRPr="00B61F24" w:rsidRDefault="00995CCB" w:rsidP="00774BBE">
      <w:pPr>
        <w:jc w:val="right"/>
        <w:rPr>
          <w:rFonts w:ascii="Verdana" w:hAnsi="Verdana"/>
          <w:b/>
          <w:sz w:val="22"/>
          <w:szCs w:val="22"/>
          <w:lang w:val="en-GB"/>
        </w:rPr>
      </w:pPr>
      <w:r>
        <w:rPr>
          <w:rFonts w:ascii="Verdana" w:hAnsi="Verdana"/>
          <w:b/>
          <w:sz w:val="22"/>
          <w:szCs w:val="22"/>
          <w:lang w:val="en-GB"/>
        </w:rPr>
        <w:t>Tbilisi, Georgia. 31.07.2020</w:t>
      </w:r>
    </w:p>
    <w:p w:rsidR="00774BBE" w:rsidRPr="00322711" w:rsidRDefault="00774BBE" w:rsidP="00774BBE">
      <w:pPr>
        <w:jc w:val="right"/>
        <w:rPr>
          <w:b/>
          <w:lang w:val="en-GB"/>
        </w:rPr>
      </w:pPr>
    </w:p>
    <w:p w:rsidR="00774BBE" w:rsidRPr="00322711" w:rsidRDefault="00774BBE" w:rsidP="00774BBE">
      <w:pPr>
        <w:jc w:val="right"/>
        <w:rPr>
          <w:b/>
          <w:lang w:val="en-GB"/>
        </w:rPr>
      </w:pPr>
    </w:p>
    <w:p w:rsidR="00774BBE" w:rsidRPr="00322711" w:rsidRDefault="00774BBE" w:rsidP="00774BBE">
      <w:pPr>
        <w:jc w:val="right"/>
        <w:rPr>
          <w:b/>
          <w:lang w:val="en-GB"/>
        </w:rPr>
      </w:pPr>
    </w:p>
    <w:p w:rsidR="00774BBE" w:rsidRDefault="00774BBE" w:rsidP="00774BBE">
      <w:pPr>
        <w:jc w:val="right"/>
        <w:rPr>
          <w:rFonts w:ascii="Verdana" w:hAnsi="Verdana"/>
          <w:b/>
          <w:lang w:val="en-GB"/>
        </w:rPr>
      </w:pPr>
      <w:r w:rsidRPr="009F5D46">
        <w:rPr>
          <w:rFonts w:ascii="Verdana" w:hAnsi="Verdana"/>
          <w:b/>
          <w:lang w:val="en-GB"/>
        </w:rPr>
        <w:t>Signature</w:t>
      </w:r>
    </w:p>
    <w:p w:rsidR="00774BBE" w:rsidRDefault="00774BBE" w:rsidP="00774BBE"/>
    <w:p w:rsidR="002E7951" w:rsidRDefault="002E7951" w:rsidP="00774BBE"/>
    <w:p w:rsidR="002E7951" w:rsidRDefault="00DB31E4" w:rsidP="00DB31E4">
      <w:pPr>
        <w:jc w:val="right"/>
      </w:pPr>
      <w:r>
        <w:rPr>
          <w:noProof/>
        </w:rPr>
        <w:drawing>
          <wp:inline distT="0" distB="0" distL="0" distR="0">
            <wp:extent cx="2905125" cy="866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 english.jpg"/>
                    <pic:cNvPicPr/>
                  </pic:nvPicPr>
                  <pic:blipFill>
                    <a:blip r:embed="rId9">
                      <a:extLst>
                        <a:ext uri="{28A0092B-C50C-407E-A947-70E740481C1C}">
                          <a14:useLocalDpi xmlns:a14="http://schemas.microsoft.com/office/drawing/2010/main" val="0"/>
                        </a:ext>
                      </a:extLst>
                    </a:blip>
                    <a:stretch>
                      <a:fillRect/>
                    </a:stretch>
                  </pic:blipFill>
                  <pic:spPr>
                    <a:xfrm>
                      <a:off x="0" y="0"/>
                      <a:ext cx="2905125" cy="866775"/>
                    </a:xfrm>
                    <a:prstGeom prst="rect">
                      <a:avLst/>
                    </a:prstGeom>
                  </pic:spPr>
                </pic:pic>
              </a:graphicData>
            </a:graphic>
          </wp:inline>
        </w:drawing>
      </w:r>
    </w:p>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2E7951">
      <w:pPr>
        <w:rPr>
          <w:lang w:val="en-GB"/>
        </w:rPr>
      </w:pPr>
    </w:p>
    <w:p w:rsidR="002E7951" w:rsidRPr="004F3073" w:rsidRDefault="002E7951" w:rsidP="002E7951">
      <w:pPr>
        <w:rPr>
          <w:lang w:val="en-GB"/>
        </w:rPr>
      </w:pPr>
    </w:p>
    <w:p w:rsidR="002E7951" w:rsidRDefault="002E7951" w:rsidP="002E7951">
      <w:pPr>
        <w:jc w:val="center"/>
        <w:rPr>
          <w:b/>
          <w:lang w:val="en-GB"/>
        </w:rPr>
      </w:pPr>
      <w:r>
        <w:rPr>
          <w:noProof/>
        </w:rPr>
        <w:drawing>
          <wp:inline distT="0" distB="0" distL="0" distR="0" wp14:anchorId="33C9C196" wp14:editId="5E1470BB">
            <wp:extent cx="1680210" cy="605790"/>
            <wp:effectExtent l="0" t="0" r="0" b="3810"/>
            <wp:docPr id="2" name="Picture 2" descr="logo euro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urocul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0210" cy="605790"/>
                    </a:xfrm>
                    <a:prstGeom prst="rect">
                      <a:avLst/>
                    </a:prstGeom>
                    <a:noFill/>
                    <a:ln>
                      <a:noFill/>
                    </a:ln>
                  </pic:spPr>
                </pic:pic>
              </a:graphicData>
            </a:graphic>
          </wp:inline>
        </w:drawing>
      </w:r>
    </w:p>
    <w:p w:rsidR="002E7951" w:rsidRDefault="002E7951" w:rsidP="002E7951">
      <w:pPr>
        <w:jc w:val="center"/>
        <w:rPr>
          <w:rFonts w:ascii="Verdana" w:hAnsi="Verdana"/>
          <w:b/>
          <w:lang w:val="en-GB"/>
        </w:rPr>
      </w:pPr>
    </w:p>
    <w:p w:rsidR="002E7951" w:rsidRPr="000E1BB8" w:rsidRDefault="002E7951" w:rsidP="002E7951">
      <w:pPr>
        <w:jc w:val="center"/>
        <w:rPr>
          <w:rFonts w:ascii="Verdana" w:hAnsi="Verdana"/>
          <w:b/>
          <w:sz w:val="22"/>
          <w:szCs w:val="22"/>
          <w:lang w:val="en-GB"/>
        </w:rPr>
      </w:pPr>
      <w:r w:rsidRPr="000E1BB8">
        <w:rPr>
          <w:rFonts w:ascii="Verdana" w:hAnsi="Verdana"/>
          <w:b/>
          <w:sz w:val="22"/>
          <w:szCs w:val="22"/>
          <w:lang w:val="en-GB"/>
        </w:rPr>
        <w:t>MA Programme Euroculture</w:t>
      </w:r>
    </w:p>
    <w:p w:rsidR="002E7951" w:rsidRPr="000E1BB8" w:rsidRDefault="002E7951" w:rsidP="002E7951">
      <w:pPr>
        <w:jc w:val="center"/>
        <w:rPr>
          <w:rFonts w:ascii="Verdana" w:hAnsi="Verdana"/>
          <w:b/>
          <w:sz w:val="22"/>
          <w:szCs w:val="22"/>
          <w:lang w:val="en-GB"/>
        </w:rPr>
      </w:pPr>
      <w:r w:rsidRPr="000E1BB8">
        <w:rPr>
          <w:rFonts w:ascii="Verdana" w:hAnsi="Verdana"/>
          <w:b/>
          <w:sz w:val="22"/>
          <w:szCs w:val="22"/>
          <w:lang w:val="en-GB"/>
        </w:rPr>
        <w:t>Declaration</w:t>
      </w:r>
    </w:p>
    <w:p w:rsidR="002E7951" w:rsidRPr="000E1BB8" w:rsidRDefault="002E7951" w:rsidP="002E7951">
      <w:pPr>
        <w:rPr>
          <w:b/>
          <w:sz w:val="22"/>
          <w:szCs w:val="22"/>
          <w:lang w:val="en-GB"/>
        </w:rPr>
      </w:pPr>
    </w:p>
    <w:p w:rsidR="002E7951" w:rsidRPr="000E1BB8" w:rsidRDefault="002E7951" w:rsidP="002E7951">
      <w:pPr>
        <w:pStyle w:val="BodyText1"/>
        <w:rPr>
          <w:sz w:val="22"/>
        </w:rPr>
      </w:pPr>
    </w:p>
    <w:p w:rsidR="002E7951" w:rsidRPr="000E1BB8" w:rsidRDefault="002E7951" w:rsidP="002E7951">
      <w:pPr>
        <w:pStyle w:val="BodyText1"/>
        <w:rPr>
          <w:sz w:val="22"/>
        </w:rPr>
      </w:pPr>
    </w:p>
    <w:p w:rsidR="002E7951" w:rsidRPr="000E1BB8" w:rsidRDefault="002E7951" w:rsidP="002E7951">
      <w:pPr>
        <w:pStyle w:val="BodyText1"/>
        <w:rPr>
          <w:sz w:val="22"/>
        </w:rPr>
      </w:pPr>
    </w:p>
    <w:p w:rsidR="002E7951" w:rsidRPr="000A6F39" w:rsidRDefault="000A6F39" w:rsidP="000A6F39">
      <w:pPr>
        <w:jc w:val="both"/>
        <w:rPr>
          <w:rFonts w:ascii="Times New Roman" w:hAnsi="Times New Roman"/>
          <w:sz w:val="24"/>
          <w:szCs w:val="24"/>
        </w:rPr>
      </w:pPr>
      <w:r>
        <w:rPr>
          <w:sz w:val="22"/>
        </w:rPr>
        <w:t>I, Leri Khupenia</w:t>
      </w:r>
      <w:r w:rsidR="002E7951" w:rsidRPr="000E1BB8">
        <w:rPr>
          <w:sz w:val="22"/>
        </w:rPr>
        <w:t xml:space="preserve"> hereby declare tha</w:t>
      </w:r>
      <w:r>
        <w:rPr>
          <w:sz w:val="22"/>
        </w:rPr>
        <w:t>t this thesis, entitled “The EU’s Strategy of Conflict Mediation in Contested States</w:t>
      </w:r>
      <w:r w:rsidR="002E7951" w:rsidRPr="000E1BB8">
        <w:rPr>
          <w:sz w:val="22"/>
        </w:rPr>
        <w:t xml:space="preserve">”, submitted as partial requirement for the MA Programme Euroculture, is my own original work and expressed in my own words. Any use made within </w:t>
      </w:r>
      <w:r w:rsidR="002E7951">
        <w:rPr>
          <w:sz w:val="22"/>
        </w:rPr>
        <w:t>this text</w:t>
      </w:r>
      <w:r w:rsidR="002E7951" w:rsidRPr="000E1BB8">
        <w:rPr>
          <w:sz w:val="22"/>
        </w:rPr>
        <w:t xml:space="preserve"> of works of other authors in any form (e.g. ideas, figures, texts, tables, etc.) are properly acknowledged in the text as well as in the</w:t>
      </w:r>
      <w:r w:rsidR="002E7951">
        <w:rPr>
          <w:sz w:val="22"/>
        </w:rPr>
        <w:t xml:space="preserve"> bibliography</w:t>
      </w:r>
      <w:r w:rsidR="002E7951" w:rsidRPr="000E1BB8">
        <w:rPr>
          <w:sz w:val="22"/>
        </w:rPr>
        <w:t>.</w:t>
      </w:r>
    </w:p>
    <w:p w:rsidR="002E7951" w:rsidRPr="00FF26FB" w:rsidRDefault="002E7951" w:rsidP="002E7951">
      <w:pPr>
        <w:pStyle w:val="BodyText1"/>
        <w:rPr>
          <w:rFonts w:cs="Arial"/>
          <w:color w:val="222222"/>
          <w:sz w:val="22"/>
          <w:shd w:val="clear" w:color="auto" w:fill="FFFFFF"/>
        </w:rPr>
      </w:pPr>
      <w:r w:rsidRPr="00DF53AC">
        <w:rPr>
          <w:rFonts w:cs="Arial"/>
          <w:color w:val="222222"/>
          <w:sz w:val="22"/>
          <w:shd w:val="clear" w:color="auto" w:fill="FFFFFF"/>
        </w:rPr>
        <w:t>I declare that the written (printed and bound) and the electronic copy of the submitted MA thesis are identical.</w:t>
      </w:r>
    </w:p>
    <w:p w:rsidR="002E7951" w:rsidRPr="000E1BB8" w:rsidRDefault="002E7951" w:rsidP="002E7951">
      <w:pPr>
        <w:pStyle w:val="BodyText1"/>
        <w:rPr>
          <w:sz w:val="22"/>
        </w:rPr>
      </w:pPr>
    </w:p>
    <w:p w:rsidR="002E7951" w:rsidRPr="000E1BB8" w:rsidRDefault="002E7951" w:rsidP="002E7951">
      <w:pPr>
        <w:pStyle w:val="BodyText1"/>
        <w:rPr>
          <w:sz w:val="22"/>
        </w:rPr>
      </w:pPr>
      <w:r w:rsidRPr="000E1BB8">
        <w:rPr>
          <w:sz w:val="22"/>
        </w:rPr>
        <w:t>I hereby also acknowledge that I was informed about the regulations pertaining to the assessment of the MA thesis Euroculture and about the general completion rules for the Master of Arts Programme Euroculture.</w:t>
      </w:r>
    </w:p>
    <w:p w:rsidR="002E7951" w:rsidRPr="000E1BB8" w:rsidRDefault="002E7951" w:rsidP="002E7951">
      <w:pPr>
        <w:pStyle w:val="BodyText1"/>
        <w:rPr>
          <w:sz w:val="22"/>
        </w:rPr>
      </w:pPr>
    </w:p>
    <w:p w:rsidR="002E7951" w:rsidRPr="000E1BB8" w:rsidRDefault="002E7951" w:rsidP="002E7951">
      <w:pPr>
        <w:pStyle w:val="BodyText1"/>
        <w:rPr>
          <w:sz w:val="22"/>
        </w:rPr>
      </w:pPr>
    </w:p>
    <w:p w:rsidR="002E7951" w:rsidRPr="000E1BB8" w:rsidRDefault="002E7951" w:rsidP="002E7951">
      <w:pPr>
        <w:pStyle w:val="BodyText1"/>
        <w:rPr>
          <w:sz w:val="22"/>
        </w:rPr>
      </w:pPr>
    </w:p>
    <w:p w:rsidR="002E7951" w:rsidRPr="000E1BB8" w:rsidRDefault="002E7951" w:rsidP="002E7951">
      <w:pPr>
        <w:pStyle w:val="BodyText1"/>
        <w:rPr>
          <w:sz w:val="22"/>
        </w:rPr>
      </w:pPr>
    </w:p>
    <w:p w:rsidR="00DB31E4" w:rsidRPr="000E1BB8" w:rsidRDefault="00DB31E4" w:rsidP="002E7951">
      <w:pPr>
        <w:pStyle w:val="BodyText1"/>
        <w:rPr>
          <w:sz w:val="22"/>
        </w:rPr>
      </w:pPr>
    </w:p>
    <w:p w:rsidR="002E7951" w:rsidRPr="000E1BB8" w:rsidRDefault="002E7951" w:rsidP="002E7951">
      <w:pPr>
        <w:pStyle w:val="BodyText1"/>
        <w:rPr>
          <w:sz w:val="22"/>
        </w:rPr>
      </w:pPr>
      <w:r w:rsidRPr="000E1BB8">
        <w:rPr>
          <w:sz w:val="22"/>
        </w:rPr>
        <w:t>Sig</w:t>
      </w:r>
      <w:r w:rsidR="00DB31E4">
        <w:rPr>
          <w:sz w:val="22"/>
        </w:rPr>
        <w:t xml:space="preserve">ned </w:t>
      </w:r>
      <w:r w:rsidR="00DB31E4">
        <w:rPr>
          <w:sz w:val="22"/>
        </w:rPr>
        <w:tab/>
      </w:r>
    </w:p>
    <w:p w:rsidR="002E7951" w:rsidRPr="000E1BB8" w:rsidRDefault="00DB31E4" w:rsidP="002E7951">
      <w:pPr>
        <w:pStyle w:val="BodyText1"/>
        <w:rPr>
          <w:sz w:val="22"/>
        </w:rPr>
      </w:pPr>
      <w:r>
        <w:rPr>
          <w:noProof/>
          <w:sz w:val="22"/>
          <w:lang w:val="en-US"/>
        </w:rPr>
        <w:drawing>
          <wp:inline distT="0" distB="0" distL="0" distR="0" wp14:anchorId="6E44FC69" wp14:editId="679427C0">
            <wp:extent cx="2295525" cy="68489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ature english.jpg"/>
                    <pic:cNvPicPr/>
                  </pic:nvPicPr>
                  <pic:blipFill>
                    <a:blip r:embed="rId9">
                      <a:extLst>
                        <a:ext uri="{28A0092B-C50C-407E-A947-70E740481C1C}">
                          <a14:useLocalDpi xmlns:a14="http://schemas.microsoft.com/office/drawing/2010/main" val="0"/>
                        </a:ext>
                      </a:extLst>
                    </a:blip>
                    <a:stretch>
                      <a:fillRect/>
                    </a:stretch>
                  </pic:blipFill>
                  <pic:spPr>
                    <a:xfrm>
                      <a:off x="0" y="0"/>
                      <a:ext cx="2330243" cy="695253"/>
                    </a:xfrm>
                    <a:prstGeom prst="rect">
                      <a:avLst/>
                    </a:prstGeom>
                  </pic:spPr>
                </pic:pic>
              </a:graphicData>
            </a:graphic>
          </wp:inline>
        </w:drawing>
      </w:r>
    </w:p>
    <w:p w:rsidR="00DB31E4" w:rsidRDefault="00DB31E4" w:rsidP="002E7951">
      <w:pPr>
        <w:pStyle w:val="BodyText1"/>
        <w:rPr>
          <w:sz w:val="22"/>
        </w:rPr>
      </w:pPr>
    </w:p>
    <w:p w:rsidR="00DB31E4" w:rsidRDefault="00DB31E4" w:rsidP="002E7951">
      <w:pPr>
        <w:pStyle w:val="BodyText1"/>
        <w:rPr>
          <w:sz w:val="22"/>
        </w:rPr>
      </w:pPr>
    </w:p>
    <w:p w:rsidR="00DB31E4" w:rsidRDefault="00DB31E4" w:rsidP="002E7951">
      <w:pPr>
        <w:pStyle w:val="BodyText1"/>
        <w:rPr>
          <w:sz w:val="22"/>
        </w:rPr>
      </w:pPr>
    </w:p>
    <w:p w:rsidR="00DB31E4" w:rsidRDefault="00DB31E4" w:rsidP="002E7951">
      <w:pPr>
        <w:pStyle w:val="BodyText1"/>
        <w:rPr>
          <w:sz w:val="22"/>
        </w:rPr>
      </w:pPr>
    </w:p>
    <w:p w:rsidR="002E7951" w:rsidRDefault="002E7951" w:rsidP="002E7951">
      <w:pPr>
        <w:pStyle w:val="BodyText1"/>
        <w:rPr>
          <w:sz w:val="22"/>
        </w:rPr>
      </w:pPr>
      <w:r w:rsidRPr="000E1BB8">
        <w:rPr>
          <w:sz w:val="22"/>
        </w:rPr>
        <w:t>Date</w:t>
      </w:r>
      <w:r w:rsidR="00DB31E4">
        <w:rPr>
          <w:sz w:val="22"/>
        </w:rPr>
        <w:t xml:space="preserve">    31.07.2020</w:t>
      </w:r>
    </w:p>
    <w:p w:rsidR="002E7951" w:rsidRDefault="002E7951" w:rsidP="002E7951"/>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2E7951" w:rsidRDefault="002E7951" w:rsidP="00774BBE"/>
    <w:p w:rsidR="00B865C6" w:rsidRDefault="00B865C6" w:rsidP="00774BBE"/>
    <w:p w:rsidR="00DB31E4" w:rsidRPr="00DB31E4" w:rsidRDefault="00DB31E4" w:rsidP="00DB31E4">
      <w:pPr>
        <w:pStyle w:val="NoSpacing"/>
      </w:pPr>
    </w:p>
    <w:p w:rsidR="006A66BC" w:rsidRPr="006A66BC" w:rsidRDefault="002C54FC" w:rsidP="00774BBE">
      <w:pPr>
        <w:rPr>
          <w:rFonts w:ascii="Times New Roman" w:hAnsi="Times New Roman"/>
          <w:b/>
          <w:sz w:val="32"/>
          <w:szCs w:val="32"/>
        </w:rPr>
      </w:pPr>
      <w:r>
        <w:rPr>
          <w:rFonts w:ascii="Times New Roman" w:hAnsi="Times New Roman"/>
          <w:b/>
          <w:sz w:val="32"/>
          <w:szCs w:val="32"/>
        </w:rPr>
        <w:lastRenderedPageBreak/>
        <w:t>Acknowledg</w:t>
      </w:r>
      <w:r w:rsidR="006A66BC" w:rsidRPr="006A66BC">
        <w:rPr>
          <w:rFonts w:ascii="Times New Roman" w:hAnsi="Times New Roman"/>
          <w:b/>
          <w:sz w:val="32"/>
          <w:szCs w:val="32"/>
        </w:rPr>
        <w:t>ment</w:t>
      </w:r>
      <w:r w:rsidR="008E2374">
        <w:rPr>
          <w:rFonts w:ascii="Times New Roman" w:hAnsi="Times New Roman"/>
          <w:b/>
          <w:sz w:val="32"/>
          <w:szCs w:val="32"/>
        </w:rPr>
        <w:t>s</w:t>
      </w:r>
    </w:p>
    <w:p w:rsidR="006A66BC" w:rsidRDefault="006A66BC" w:rsidP="00774BBE">
      <w:pPr>
        <w:rPr>
          <w:rFonts w:ascii="Times New Roman" w:hAnsi="Times New Roman"/>
          <w:b/>
          <w:sz w:val="24"/>
          <w:szCs w:val="24"/>
        </w:rPr>
      </w:pPr>
    </w:p>
    <w:p w:rsidR="00770EEF" w:rsidRDefault="00770EEF" w:rsidP="006A66BC">
      <w:pPr>
        <w:pStyle w:val="NoSpacing"/>
        <w:spacing w:line="360" w:lineRule="auto"/>
        <w:jc w:val="both"/>
        <w:rPr>
          <w:rFonts w:ascii="Times New Roman" w:hAnsi="Times New Roman"/>
          <w:sz w:val="24"/>
          <w:szCs w:val="24"/>
        </w:rPr>
      </w:pPr>
    </w:p>
    <w:p w:rsidR="00CC3CCB" w:rsidRDefault="008E2374" w:rsidP="006A66BC">
      <w:pPr>
        <w:pStyle w:val="NoSpacing"/>
        <w:spacing w:line="360" w:lineRule="auto"/>
        <w:jc w:val="both"/>
        <w:rPr>
          <w:rFonts w:ascii="Times New Roman" w:hAnsi="Times New Roman"/>
          <w:sz w:val="24"/>
          <w:szCs w:val="24"/>
        </w:rPr>
      </w:pPr>
      <w:r>
        <w:rPr>
          <w:rFonts w:ascii="Times New Roman" w:hAnsi="Times New Roman"/>
          <w:sz w:val="24"/>
          <w:szCs w:val="24"/>
        </w:rPr>
        <w:t xml:space="preserve">I want to </w:t>
      </w:r>
      <w:r w:rsidR="00CC3CCB">
        <w:rPr>
          <w:rFonts w:ascii="Times New Roman" w:hAnsi="Times New Roman"/>
          <w:sz w:val="24"/>
          <w:szCs w:val="24"/>
        </w:rPr>
        <w:t>express my deepest gratitude to the members of the Erasmus Mundus JMD Euroculture Consortium at the University of Groningen, Jagiel</w:t>
      </w:r>
      <w:r>
        <w:rPr>
          <w:rFonts w:ascii="Times New Roman" w:hAnsi="Times New Roman"/>
          <w:sz w:val="24"/>
          <w:szCs w:val="24"/>
        </w:rPr>
        <w:t xml:space="preserve">lonian University in Krakow and, </w:t>
      </w:r>
      <w:r w:rsidR="00CC3CCB">
        <w:rPr>
          <w:rFonts w:ascii="Times New Roman" w:hAnsi="Times New Roman"/>
          <w:sz w:val="24"/>
          <w:szCs w:val="24"/>
        </w:rPr>
        <w:t>Palacky University in Olomouc, who supported my ambition to obtain master’s degree from prestigious European academic institutions.</w:t>
      </w:r>
    </w:p>
    <w:p w:rsidR="00CC3CCB" w:rsidRDefault="00CC3CCB" w:rsidP="006A66BC">
      <w:pPr>
        <w:pStyle w:val="NoSpacing"/>
        <w:spacing w:line="360" w:lineRule="auto"/>
        <w:jc w:val="both"/>
        <w:rPr>
          <w:rFonts w:ascii="Times New Roman" w:hAnsi="Times New Roman"/>
          <w:sz w:val="24"/>
          <w:szCs w:val="24"/>
        </w:rPr>
      </w:pPr>
    </w:p>
    <w:p w:rsidR="006A66BC" w:rsidRDefault="00CC3CCB" w:rsidP="006A66BC">
      <w:pPr>
        <w:pStyle w:val="NoSpacing"/>
        <w:spacing w:line="360" w:lineRule="auto"/>
        <w:jc w:val="both"/>
        <w:rPr>
          <w:rFonts w:ascii="Times New Roman" w:hAnsi="Times New Roman"/>
          <w:sz w:val="24"/>
          <w:szCs w:val="24"/>
        </w:rPr>
      </w:pPr>
      <w:r>
        <w:rPr>
          <w:rFonts w:ascii="Times New Roman" w:hAnsi="Times New Roman"/>
          <w:sz w:val="24"/>
          <w:szCs w:val="24"/>
        </w:rPr>
        <w:t>I want to thank my supervisors Dr.Grzegorz Pozarlik and Dr.Marketa Zidkova for their guidance</w:t>
      </w:r>
      <w:r w:rsidR="008E2374">
        <w:rPr>
          <w:rFonts w:ascii="Times New Roman" w:hAnsi="Times New Roman"/>
          <w:sz w:val="24"/>
          <w:szCs w:val="24"/>
        </w:rPr>
        <w:t>, efforts,</w:t>
      </w:r>
      <w:r>
        <w:rPr>
          <w:rFonts w:ascii="Times New Roman" w:hAnsi="Times New Roman"/>
          <w:sz w:val="24"/>
          <w:szCs w:val="24"/>
        </w:rPr>
        <w:t xml:space="preserve"> and support in </w:t>
      </w:r>
      <w:r w:rsidR="008E2374">
        <w:rPr>
          <w:rFonts w:ascii="Times New Roman" w:hAnsi="Times New Roman"/>
          <w:sz w:val="24"/>
          <w:szCs w:val="24"/>
        </w:rPr>
        <w:t xml:space="preserve">the </w:t>
      </w:r>
      <w:r>
        <w:rPr>
          <w:rFonts w:ascii="Times New Roman" w:hAnsi="Times New Roman"/>
          <w:sz w:val="24"/>
          <w:szCs w:val="24"/>
        </w:rPr>
        <w:t xml:space="preserve">completion of the thesis. I am wholeheartedly thankful to the wonderful lecturers and coordinators in Krakow and Olomouc: Karolina, Duszan, </w:t>
      </w:r>
      <w:r w:rsidR="008E2374">
        <w:rPr>
          <w:rFonts w:ascii="Times New Roman" w:hAnsi="Times New Roman"/>
          <w:sz w:val="24"/>
          <w:szCs w:val="24"/>
        </w:rPr>
        <w:t xml:space="preserve">Antonin, Hana, Tereza and, everyone else from the Euroculture family. </w:t>
      </w:r>
    </w:p>
    <w:p w:rsidR="008E2374" w:rsidRDefault="008E2374" w:rsidP="006A66BC">
      <w:pPr>
        <w:pStyle w:val="NoSpacing"/>
        <w:spacing w:line="360" w:lineRule="auto"/>
        <w:jc w:val="both"/>
        <w:rPr>
          <w:rFonts w:ascii="Times New Roman" w:hAnsi="Times New Roman"/>
          <w:sz w:val="24"/>
          <w:szCs w:val="24"/>
        </w:rPr>
      </w:pPr>
    </w:p>
    <w:p w:rsidR="008E2374" w:rsidRDefault="008E2374" w:rsidP="006A66BC">
      <w:pPr>
        <w:pStyle w:val="NoSpacing"/>
        <w:spacing w:line="360" w:lineRule="auto"/>
        <w:jc w:val="both"/>
        <w:rPr>
          <w:rFonts w:ascii="Times New Roman" w:hAnsi="Times New Roman"/>
          <w:sz w:val="24"/>
          <w:szCs w:val="24"/>
        </w:rPr>
      </w:pPr>
      <w:r>
        <w:rPr>
          <w:rFonts w:ascii="Times New Roman" w:hAnsi="Times New Roman"/>
          <w:sz w:val="24"/>
          <w:szCs w:val="24"/>
        </w:rPr>
        <w:t xml:space="preserve">I want to thank my coursemates from Krakow and Olomouc for being wonderful friends and </w:t>
      </w:r>
      <w:r w:rsidR="002C54FC">
        <w:rPr>
          <w:rFonts w:ascii="Times New Roman" w:hAnsi="Times New Roman"/>
          <w:sz w:val="24"/>
          <w:szCs w:val="24"/>
        </w:rPr>
        <w:t xml:space="preserve">a </w:t>
      </w:r>
      <w:r>
        <w:rPr>
          <w:rFonts w:ascii="Times New Roman" w:hAnsi="Times New Roman"/>
          <w:sz w:val="24"/>
          <w:szCs w:val="24"/>
        </w:rPr>
        <w:t>source of great memories and inspiration.</w:t>
      </w:r>
    </w:p>
    <w:p w:rsidR="008E2374" w:rsidRDefault="008E2374" w:rsidP="006A66BC">
      <w:pPr>
        <w:pStyle w:val="NoSpacing"/>
        <w:spacing w:line="360" w:lineRule="auto"/>
        <w:jc w:val="both"/>
        <w:rPr>
          <w:rFonts w:ascii="Times New Roman" w:hAnsi="Times New Roman"/>
          <w:sz w:val="24"/>
          <w:szCs w:val="24"/>
        </w:rPr>
      </w:pPr>
    </w:p>
    <w:p w:rsidR="008E2374" w:rsidRDefault="008E2374" w:rsidP="006A66BC">
      <w:pPr>
        <w:pStyle w:val="NoSpacing"/>
        <w:spacing w:line="360" w:lineRule="auto"/>
        <w:jc w:val="both"/>
        <w:rPr>
          <w:rFonts w:ascii="Times New Roman" w:hAnsi="Times New Roman"/>
          <w:sz w:val="24"/>
          <w:szCs w:val="24"/>
        </w:rPr>
      </w:pPr>
      <w:r>
        <w:rPr>
          <w:rFonts w:ascii="Times New Roman" w:hAnsi="Times New Roman"/>
          <w:sz w:val="24"/>
          <w:szCs w:val="24"/>
        </w:rPr>
        <w:t xml:space="preserve">I dedicate this thesis to my wonderful family who supported and believed in me all the time. </w:t>
      </w:r>
    </w:p>
    <w:p w:rsidR="008E2374" w:rsidRDefault="008E2374" w:rsidP="006A66BC">
      <w:pPr>
        <w:pStyle w:val="NoSpacing"/>
        <w:spacing w:line="360" w:lineRule="auto"/>
        <w:jc w:val="both"/>
        <w:rPr>
          <w:rFonts w:ascii="Times New Roman" w:hAnsi="Times New Roman"/>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6A66BC" w:rsidRDefault="006A66BC" w:rsidP="00774BBE">
      <w:pPr>
        <w:rPr>
          <w:rFonts w:ascii="Times New Roman" w:hAnsi="Times New Roman"/>
          <w:b/>
          <w:sz w:val="24"/>
          <w:szCs w:val="24"/>
        </w:rPr>
      </w:pPr>
    </w:p>
    <w:p w:rsidR="008E2374" w:rsidRDefault="008E2374" w:rsidP="00774BBE">
      <w:pPr>
        <w:rPr>
          <w:rFonts w:ascii="Times New Roman" w:hAnsi="Times New Roman"/>
          <w:b/>
          <w:sz w:val="24"/>
          <w:szCs w:val="24"/>
        </w:rPr>
      </w:pPr>
    </w:p>
    <w:p w:rsidR="00B304DA" w:rsidRDefault="00B304DA" w:rsidP="00774BBE">
      <w:pPr>
        <w:rPr>
          <w:rFonts w:ascii="Times New Roman" w:hAnsi="Times New Roman"/>
          <w:b/>
          <w:sz w:val="24"/>
          <w:szCs w:val="24"/>
        </w:rPr>
      </w:pPr>
    </w:p>
    <w:p w:rsidR="003410C4" w:rsidRDefault="006B5C75" w:rsidP="00774BBE">
      <w:pPr>
        <w:rPr>
          <w:rFonts w:ascii="Times New Roman" w:hAnsi="Times New Roman"/>
          <w:b/>
          <w:sz w:val="24"/>
          <w:szCs w:val="24"/>
        </w:rPr>
      </w:pPr>
      <w:r>
        <w:rPr>
          <w:rFonts w:ascii="Times New Roman" w:hAnsi="Times New Roman"/>
          <w:b/>
          <w:sz w:val="24"/>
          <w:szCs w:val="24"/>
        </w:rPr>
        <w:lastRenderedPageBreak/>
        <w:t>ABSTRACT</w:t>
      </w:r>
    </w:p>
    <w:p w:rsidR="006B5C75" w:rsidRDefault="006B5C75" w:rsidP="006B5C75">
      <w:pPr>
        <w:pStyle w:val="NoSpacing"/>
      </w:pPr>
    </w:p>
    <w:p w:rsidR="00B81AF6" w:rsidRDefault="00B81AF6" w:rsidP="00B81AF6">
      <w:pPr>
        <w:spacing w:line="360" w:lineRule="auto"/>
        <w:jc w:val="both"/>
        <w:rPr>
          <w:rFonts w:ascii="Times New Roman" w:hAnsi="Times New Roman"/>
          <w:sz w:val="24"/>
          <w:szCs w:val="24"/>
        </w:rPr>
      </w:pPr>
      <w:r>
        <w:rPr>
          <w:rFonts w:ascii="Times New Roman" w:hAnsi="Times New Roman"/>
          <w:sz w:val="24"/>
          <w:szCs w:val="24"/>
        </w:rPr>
        <w:t xml:space="preserve">The contested regions are characterized by legal, territorial, and political complexity. The collapse of the Soviet Union was followed by the blood-shedding wars in the South Caucasus – Georgia was no exception. The secession of Abkhazia and South Ossetia from Georgia in the early 1990s created an unstable geopolitical environment in the shared neighborhood of the European Union and Russia. The conflicts were re-escalated in August 2008, when the armed troops of the Russian Federation entered the Tskhinvali region and engaged in full-scale military conflict with Georgia. In light of the five-day war, the European Union emerged as a leading international actor in the process of crisis management. The cease-fire agreement brokered by the French President Sarkozy was widely praised as a diplomatic success. Although, the post-war period showed that the Kremlin violated the agreement protocol by recognition of the independence of the separatist regions. </w:t>
      </w:r>
    </w:p>
    <w:p w:rsidR="00B81AF6" w:rsidRDefault="00B81AF6" w:rsidP="00B81AF6">
      <w:pPr>
        <w:spacing w:line="360" w:lineRule="auto"/>
        <w:jc w:val="both"/>
        <w:rPr>
          <w:rFonts w:ascii="Times New Roman" w:hAnsi="Times New Roman"/>
          <w:sz w:val="24"/>
          <w:szCs w:val="24"/>
        </w:rPr>
      </w:pPr>
      <w:r>
        <w:rPr>
          <w:rFonts w:ascii="Times New Roman" w:hAnsi="Times New Roman"/>
          <w:sz w:val="24"/>
          <w:szCs w:val="24"/>
        </w:rPr>
        <w:t xml:space="preserve">The thesis explores the EU conflict mediation efforts in the contested regions of Georgia. It presents the historical account of the secessionist conflicts from the international perspective and emphasizes the role of Russia as one of the main regional actors. The empirical analysis is focusing on the various mechanisms of the EU, such as the EUSR, EUMM, and NREP which have been utilized for the purpose of conflict mediation. The research finds that there are several factors which limit the EU’s conflict mediation capacity and constrain the achievement of tangible results: a) low-level of internalization of the EU’s policy in Georgia and de-facto entities, b) divergence within the Union on external governance policies, c) The ‘near abroad’ policy of Russia and strong leverage on the contested regions. </w:t>
      </w:r>
    </w:p>
    <w:p w:rsidR="00B81AF6" w:rsidRDefault="00B81AF6" w:rsidP="00B81AF6">
      <w:pPr>
        <w:spacing w:line="360" w:lineRule="auto"/>
        <w:jc w:val="both"/>
        <w:rPr>
          <w:rFonts w:ascii="Times New Roman" w:hAnsi="Times New Roman"/>
          <w:sz w:val="24"/>
          <w:szCs w:val="24"/>
        </w:rPr>
      </w:pPr>
      <w:r>
        <w:rPr>
          <w:rFonts w:ascii="Times New Roman" w:hAnsi="Times New Roman"/>
          <w:sz w:val="24"/>
          <w:szCs w:val="24"/>
        </w:rPr>
        <w:t>The research employs various theoretical tools that enable the assessment of the EU’s conflict mediation efficiency in four stages: a) conflict mediation, b) conflict transformation, c) conflict management, d) conflict settlement. The thesis aims to contribute to the existing research in the area of EU-Georgian relations in the context. Furthermore, it intends to fill the research gap concern</w:t>
      </w:r>
      <w:r w:rsidR="002C54FC">
        <w:rPr>
          <w:rFonts w:ascii="Times New Roman" w:hAnsi="Times New Roman"/>
          <w:sz w:val="24"/>
          <w:szCs w:val="24"/>
        </w:rPr>
        <w:t xml:space="preserve">ing the correlation between </w:t>
      </w:r>
      <w:r>
        <w:rPr>
          <w:rFonts w:ascii="Times New Roman" w:hAnsi="Times New Roman"/>
          <w:sz w:val="24"/>
          <w:szCs w:val="24"/>
        </w:rPr>
        <w:t xml:space="preserve">EU-Georgia and Russia in the context of regional politics. </w:t>
      </w:r>
    </w:p>
    <w:p w:rsidR="00B81AF6" w:rsidRDefault="00B81AF6" w:rsidP="00B81AF6">
      <w:pPr>
        <w:spacing w:line="360" w:lineRule="auto"/>
        <w:jc w:val="both"/>
        <w:rPr>
          <w:rFonts w:ascii="Times New Roman" w:hAnsi="Times New Roman"/>
          <w:sz w:val="24"/>
          <w:szCs w:val="24"/>
        </w:rPr>
      </w:pPr>
    </w:p>
    <w:p w:rsidR="00B81AF6" w:rsidRDefault="00B81AF6" w:rsidP="00B81AF6">
      <w:pPr>
        <w:spacing w:line="360" w:lineRule="auto"/>
        <w:jc w:val="center"/>
        <w:rPr>
          <w:rFonts w:ascii="Times New Roman" w:hAnsi="Times New Roman"/>
          <w:sz w:val="24"/>
          <w:szCs w:val="24"/>
        </w:rPr>
      </w:pPr>
    </w:p>
    <w:p w:rsidR="00B81AF6" w:rsidRPr="00B81AF6" w:rsidRDefault="00B81AF6" w:rsidP="00B81AF6">
      <w:pPr>
        <w:spacing w:line="360" w:lineRule="auto"/>
        <w:jc w:val="center"/>
        <w:rPr>
          <w:rFonts w:ascii="Times New Roman" w:hAnsi="Times New Roman"/>
          <w:b/>
          <w:sz w:val="24"/>
          <w:szCs w:val="24"/>
        </w:rPr>
      </w:pPr>
      <w:r w:rsidRPr="00B81AF6">
        <w:rPr>
          <w:rFonts w:ascii="Times New Roman" w:hAnsi="Times New Roman"/>
          <w:b/>
          <w:sz w:val="24"/>
          <w:szCs w:val="24"/>
        </w:rPr>
        <w:t>Keywords</w:t>
      </w:r>
    </w:p>
    <w:p w:rsidR="00B81AF6" w:rsidRDefault="00B81AF6" w:rsidP="00B81AF6">
      <w:pPr>
        <w:spacing w:line="360" w:lineRule="auto"/>
        <w:jc w:val="both"/>
        <w:rPr>
          <w:rFonts w:ascii="Times New Roman" w:hAnsi="Times New Roman"/>
          <w:sz w:val="24"/>
          <w:szCs w:val="24"/>
        </w:rPr>
      </w:pPr>
      <w:r>
        <w:rPr>
          <w:rFonts w:ascii="Times New Roman" w:hAnsi="Times New Roman"/>
          <w:sz w:val="24"/>
          <w:szCs w:val="24"/>
        </w:rPr>
        <w:t>European Union, Georgia, Russia, Contested Regions, Abkhazia, South Ossetia, NREP.</w:t>
      </w:r>
    </w:p>
    <w:p w:rsidR="00B81AF6" w:rsidRDefault="00B81AF6" w:rsidP="00B81AF6">
      <w:pPr>
        <w:spacing w:line="360" w:lineRule="auto"/>
        <w:jc w:val="center"/>
        <w:rPr>
          <w:rFonts w:ascii="Times New Roman" w:hAnsi="Times New Roman"/>
          <w:sz w:val="24"/>
          <w:szCs w:val="24"/>
        </w:rPr>
      </w:pPr>
    </w:p>
    <w:p w:rsidR="003410C4" w:rsidRPr="00B81AF6" w:rsidRDefault="00B81AF6" w:rsidP="00B81AF6">
      <w:pPr>
        <w:spacing w:line="360" w:lineRule="auto"/>
        <w:jc w:val="center"/>
        <w:rPr>
          <w:rFonts w:ascii="Times New Roman" w:hAnsi="Times New Roman"/>
          <w:sz w:val="24"/>
          <w:szCs w:val="24"/>
        </w:rPr>
      </w:pPr>
      <w:r w:rsidRPr="00B81AF6">
        <w:rPr>
          <w:rFonts w:ascii="Times New Roman" w:hAnsi="Times New Roman"/>
          <w:b/>
          <w:sz w:val="24"/>
          <w:szCs w:val="24"/>
        </w:rPr>
        <w:t>Word Count</w:t>
      </w:r>
      <w:r>
        <w:rPr>
          <w:rFonts w:ascii="Times New Roman" w:hAnsi="Times New Roman"/>
          <w:sz w:val="24"/>
          <w:szCs w:val="24"/>
        </w:rPr>
        <w:t>: 31,000</w:t>
      </w:r>
    </w:p>
    <w:sdt>
      <w:sdtPr>
        <w:rPr>
          <w:rFonts w:ascii="MS Sans Serif" w:eastAsia="Times New Roman" w:hAnsi="MS Sans Serif" w:cs="Times New Roman"/>
          <w:color w:val="auto"/>
          <w:sz w:val="20"/>
          <w:szCs w:val="20"/>
        </w:rPr>
        <w:id w:val="-255289215"/>
        <w:docPartObj>
          <w:docPartGallery w:val="Table of Contents"/>
          <w:docPartUnique/>
        </w:docPartObj>
      </w:sdtPr>
      <w:sdtEndPr>
        <w:rPr>
          <w:b/>
          <w:bCs/>
          <w:noProof/>
        </w:rPr>
      </w:sdtEndPr>
      <w:sdtContent>
        <w:p w:rsidR="003D140E" w:rsidRPr="006D290C" w:rsidRDefault="003D140E">
          <w:pPr>
            <w:pStyle w:val="TOCHeading"/>
            <w:rPr>
              <w:color w:val="auto"/>
            </w:rPr>
          </w:pPr>
          <w:r w:rsidRPr="006D290C">
            <w:rPr>
              <w:color w:val="auto"/>
            </w:rPr>
            <w:t>Table of Contents</w:t>
          </w:r>
        </w:p>
        <w:p w:rsidR="00B81AF6" w:rsidRDefault="003D140E">
          <w:pPr>
            <w:pStyle w:val="TOC2"/>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952594" w:history="1">
            <w:r w:rsidR="00B81AF6" w:rsidRPr="00332CB6">
              <w:rPr>
                <w:rStyle w:val="Hyperlink"/>
                <w:noProof/>
              </w:rPr>
              <w:t>Acronyms</w:t>
            </w:r>
            <w:r w:rsidR="00B81AF6">
              <w:rPr>
                <w:noProof/>
                <w:webHidden/>
              </w:rPr>
              <w:tab/>
            </w:r>
            <w:r w:rsidR="00B81AF6">
              <w:rPr>
                <w:noProof/>
                <w:webHidden/>
              </w:rPr>
              <w:fldChar w:fldCharType="begin"/>
            </w:r>
            <w:r w:rsidR="00B81AF6">
              <w:rPr>
                <w:noProof/>
                <w:webHidden/>
              </w:rPr>
              <w:instrText xml:space="preserve"> PAGEREF _Toc46952594 \h </w:instrText>
            </w:r>
            <w:r w:rsidR="00B81AF6">
              <w:rPr>
                <w:noProof/>
                <w:webHidden/>
              </w:rPr>
            </w:r>
            <w:r w:rsidR="00B81AF6">
              <w:rPr>
                <w:noProof/>
                <w:webHidden/>
              </w:rPr>
              <w:fldChar w:fldCharType="separate"/>
            </w:r>
            <w:r w:rsidR="002B641B">
              <w:rPr>
                <w:noProof/>
                <w:webHidden/>
              </w:rPr>
              <w:t>6</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595" w:history="1">
            <w:r w:rsidR="00B81AF6" w:rsidRPr="00332CB6">
              <w:rPr>
                <w:rStyle w:val="Hyperlink"/>
                <w:noProof/>
              </w:rPr>
              <w:t>1. Introduction</w:t>
            </w:r>
            <w:r w:rsidR="00B81AF6">
              <w:rPr>
                <w:noProof/>
                <w:webHidden/>
              </w:rPr>
              <w:tab/>
            </w:r>
            <w:r w:rsidR="00B81AF6">
              <w:rPr>
                <w:noProof/>
                <w:webHidden/>
              </w:rPr>
              <w:fldChar w:fldCharType="begin"/>
            </w:r>
            <w:r w:rsidR="00B81AF6">
              <w:rPr>
                <w:noProof/>
                <w:webHidden/>
              </w:rPr>
              <w:instrText xml:space="preserve"> PAGEREF _Toc46952595 \h </w:instrText>
            </w:r>
            <w:r w:rsidR="00B81AF6">
              <w:rPr>
                <w:noProof/>
                <w:webHidden/>
              </w:rPr>
            </w:r>
            <w:r w:rsidR="00B81AF6">
              <w:rPr>
                <w:noProof/>
                <w:webHidden/>
              </w:rPr>
              <w:fldChar w:fldCharType="separate"/>
            </w:r>
            <w:r w:rsidR="002B641B">
              <w:rPr>
                <w:noProof/>
                <w:webHidden/>
              </w:rPr>
              <w:t>8</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596" w:history="1">
            <w:r w:rsidR="00B81AF6" w:rsidRPr="00332CB6">
              <w:rPr>
                <w:rStyle w:val="Hyperlink"/>
                <w:noProof/>
              </w:rPr>
              <w:t>2. Theory and Methodology</w:t>
            </w:r>
            <w:r w:rsidR="00B81AF6">
              <w:rPr>
                <w:noProof/>
                <w:webHidden/>
              </w:rPr>
              <w:tab/>
            </w:r>
            <w:r w:rsidR="00B81AF6">
              <w:rPr>
                <w:noProof/>
                <w:webHidden/>
              </w:rPr>
              <w:fldChar w:fldCharType="begin"/>
            </w:r>
            <w:r w:rsidR="00B81AF6">
              <w:rPr>
                <w:noProof/>
                <w:webHidden/>
              </w:rPr>
              <w:instrText xml:space="preserve"> PAGEREF _Toc46952596 \h </w:instrText>
            </w:r>
            <w:r w:rsidR="00B81AF6">
              <w:rPr>
                <w:noProof/>
                <w:webHidden/>
              </w:rPr>
            </w:r>
            <w:r w:rsidR="00B81AF6">
              <w:rPr>
                <w:noProof/>
                <w:webHidden/>
              </w:rPr>
              <w:fldChar w:fldCharType="separate"/>
            </w:r>
            <w:r w:rsidR="002B641B">
              <w:rPr>
                <w:noProof/>
                <w:webHidden/>
              </w:rPr>
              <w:t>12</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597" w:history="1">
            <w:r w:rsidR="00B81AF6" w:rsidRPr="00332CB6">
              <w:rPr>
                <w:rStyle w:val="Hyperlink"/>
                <w:noProof/>
              </w:rPr>
              <w:t>2.1 Research Design</w:t>
            </w:r>
            <w:r w:rsidR="00B81AF6">
              <w:rPr>
                <w:noProof/>
                <w:webHidden/>
              </w:rPr>
              <w:tab/>
            </w:r>
            <w:r w:rsidR="00B81AF6">
              <w:rPr>
                <w:noProof/>
                <w:webHidden/>
              </w:rPr>
              <w:fldChar w:fldCharType="begin"/>
            </w:r>
            <w:r w:rsidR="00B81AF6">
              <w:rPr>
                <w:noProof/>
                <w:webHidden/>
              </w:rPr>
              <w:instrText xml:space="preserve"> PAGEREF _Toc46952597 \h </w:instrText>
            </w:r>
            <w:r w:rsidR="00B81AF6">
              <w:rPr>
                <w:noProof/>
                <w:webHidden/>
              </w:rPr>
            </w:r>
            <w:r w:rsidR="00B81AF6">
              <w:rPr>
                <w:noProof/>
                <w:webHidden/>
              </w:rPr>
              <w:fldChar w:fldCharType="separate"/>
            </w:r>
            <w:r w:rsidR="002B641B">
              <w:rPr>
                <w:noProof/>
                <w:webHidden/>
              </w:rPr>
              <w:t>12</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598" w:history="1">
            <w:r w:rsidR="00B81AF6" w:rsidRPr="00332CB6">
              <w:rPr>
                <w:rStyle w:val="Hyperlink"/>
                <w:noProof/>
              </w:rPr>
              <w:t>2.2 Data Sampling and Limitations</w:t>
            </w:r>
            <w:r w:rsidR="00B81AF6">
              <w:rPr>
                <w:noProof/>
                <w:webHidden/>
              </w:rPr>
              <w:tab/>
            </w:r>
            <w:r w:rsidR="00B81AF6">
              <w:rPr>
                <w:noProof/>
                <w:webHidden/>
              </w:rPr>
              <w:fldChar w:fldCharType="begin"/>
            </w:r>
            <w:r w:rsidR="00B81AF6">
              <w:rPr>
                <w:noProof/>
                <w:webHidden/>
              </w:rPr>
              <w:instrText xml:space="preserve"> PAGEREF _Toc46952598 \h </w:instrText>
            </w:r>
            <w:r w:rsidR="00B81AF6">
              <w:rPr>
                <w:noProof/>
                <w:webHidden/>
              </w:rPr>
            </w:r>
            <w:r w:rsidR="00B81AF6">
              <w:rPr>
                <w:noProof/>
                <w:webHidden/>
              </w:rPr>
              <w:fldChar w:fldCharType="separate"/>
            </w:r>
            <w:r w:rsidR="002B641B">
              <w:rPr>
                <w:noProof/>
                <w:webHidden/>
              </w:rPr>
              <w:t>14</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599" w:history="1">
            <w:r w:rsidR="00B81AF6" w:rsidRPr="00332CB6">
              <w:rPr>
                <w:rStyle w:val="Hyperlink"/>
                <w:noProof/>
              </w:rPr>
              <w:t>2.3 Prior Research and the Concepts</w:t>
            </w:r>
            <w:r w:rsidR="00B81AF6">
              <w:rPr>
                <w:noProof/>
                <w:webHidden/>
              </w:rPr>
              <w:tab/>
            </w:r>
            <w:r w:rsidR="00B81AF6">
              <w:rPr>
                <w:noProof/>
                <w:webHidden/>
              </w:rPr>
              <w:fldChar w:fldCharType="begin"/>
            </w:r>
            <w:r w:rsidR="00B81AF6">
              <w:rPr>
                <w:noProof/>
                <w:webHidden/>
              </w:rPr>
              <w:instrText xml:space="preserve"> PAGEREF _Toc46952599 \h </w:instrText>
            </w:r>
            <w:r w:rsidR="00B81AF6">
              <w:rPr>
                <w:noProof/>
                <w:webHidden/>
              </w:rPr>
            </w:r>
            <w:r w:rsidR="00B81AF6">
              <w:rPr>
                <w:noProof/>
                <w:webHidden/>
              </w:rPr>
              <w:fldChar w:fldCharType="separate"/>
            </w:r>
            <w:r w:rsidR="002B641B">
              <w:rPr>
                <w:noProof/>
                <w:webHidden/>
              </w:rPr>
              <w:t>15</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0" w:history="1">
            <w:r w:rsidR="00B81AF6" w:rsidRPr="00332CB6">
              <w:rPr>
                <w:rStyle w:val="Hyperlink"/>
                <w:noProof/>
              </w:rPr>
              <w:t>2.4 Theoretical Framework</w:t>
            </w:r>
            <w:r w:rsidR="00B81AF6">
              <w:rPr>
                <w:noProof/>
                <w:webHidden/>
              </w:rPr>
              <w:tab/>
            </w:r>
            <w:r w:rsidR="00B81AF6">
              <w:rPr>
                <w:noProof/>
                <w:webHidden/>
              </w:rPr>
              <w:fldChar w:fldCharType="begin"/>
            </w:r>
            <w:r w:rsidR="00B81AF6">
              <w:rPr>
                <w:noProof/>
                <w:webHidden/>
              </w:rPr>
              <w:instrText xml:space="preserve"> PAGEREF _Toc46952600 \h </w:instrText>
            </w:r>
            <w:r w:rsidR="00B81AF6">
              <w:rPr>
                <w:noProof/>
                <w:webHidden/>
              </w:rPr>
            </w:r>
            <w:r w:rsidR="00B81AF6">
              <w:rPr>
                <w:noProof/>
                <w:webHidden/>
              </w:rPr>
              <w:fldChar w:fldCharType="separate"/>
            </w:r>
            <w:r w:rsidR="002B641B">
              <w:rPr>
                <w:noProof/>
                <w:webHidden/>
              </w:rPr>
              <w:t>18</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1" w:history="1">
            <w:r w:rsidR="00B81AF6" w:rsidRPr="00332CB6">
              <w:rPr>
                <w:rStyle w:val="Hyperlink"/>
                <w:noProof/>
              </w:rPr>
              <w:t>2.4.1 The EU’s External Governance – Institutional Capacity</w:t>
            </w:r>
            <w:r w:rsidR="00B81AF6">
              <w:rPr>
                <w:noProof/>
                <w:webHidden/>
              </w:rPr>
              <w:tab/>
            </w:r>
            <w:r w:rsidR="00B81AF6">
              <w:rPr>
                <w:noProof/>
                <w:webHidden/>
              </w:rPr>
              <w:fldChar w:fldCharType="begin"/>
            </w:r>
            <w:r w:rsidR="00B81AF6">
              <w:rPr>
                <w:noProof/>
                <w:webHidden/>
              </w:rPr>
              <w:instrText xml:space="preserve"> PAGEREF _Toc46952601 \h </w:instrText>
            </w:r>
            <w:r w:rsidR="00B81AF6">
              <w:rPr>
                <w:noProof/>
                <w:webHidden/>
              </w:rPr>
            </w:r>
            <w:r w:rsidR="00B81AF6">
              <w:rPr>
                <w:noProof/>
                <w:webHidden/>
              </w:rPr>
              <w:fldChar w:fldCharType="separate"/>
            </w:r>
            <w:r w:rsidR="002B641B">
              <w:rPr>
                <w:noProof/>
                <w:webHidden/>
              </w:rPr>
              <w:t>22</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2" w:history="1">
            <w:r w:rsidR="00B81AF6" w:rsidRPr="00332CB6">
              <w:rPr>
                <w:rStyle w:val="Hyperlink"/>
                <w:noProof/>
              </w:rPr>
              <w:t>3. The Origins of the Secessionist Conflicts in Abkhazia and South Ossetia</w:t>
            </w:r>
            <w:r w:rsidR="00B81AF6">
              <w:rPr>
                <w:noProof/>
                <w:webHidden/>
              </w:rPr>
              <w:tab/>
            </w:r>
            <w:r w:rsidR="00B81AF6">
              <w:rPr>
                <w:noProof/>
                <w:webHidden/>
              </w:rPr>
              <w:fldChar w:fldCharType="begin"/>
            </w:r>
            <w:r w:rsidR="00B81AF6">
              <w:rPr>
                <w:noProof/>
                <w:webHidden/>
              </w:rPr>
              <w:instrText xml:space="preserve"> PAGEREF _Toc46952602 \h </w:instrText>
            </w:r>
            <w:r w:rsidR="00B81AF6">
              <w:rPr>
                <w:noProof/>
                <w:webHidden/>
              </w:rPr>
            </w:r>
            <w:r w:rsidR="00B81AF6">
              <w:rPr>
                <w:noProof/>
                <w:webHidden/>
              </w:rPr>
              <w:fldChar w:fldCharType="separate"/>
            </w:r>
            <w:r w:rsidR="002B641B">
              <w:rPr>
                <w:noProof/>
                <w:webHidden/>
              </w:rPr>
              <w:t>26</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3" w:history="1">
            <w:r w:rsidR="00B81AF6" w:rsidRPr="00332CB6">
              <w:rPr>
                <w:rStyle w:val="Hyperlink"/>
                <w:noProof/>
              </w:rPr>
              <w:t>3.1 Abkhazia during the Soviet Era</w:t>
            </w:r>
            <w:r w:rsidR="00B81AF6">
              <w:rPr>
                <w:noProof/>
                <w:webHidden/>
              </w:rPr>
              <w:tab/>
            </w:r>
            <w:r w:rsidR="00B81AF6">
              <w:rPr>
                <w:noProof/>
                <w:webHidden/>
              </w:rPr>
              <w:fldChar w:fldCharType="begin"/>
            </w:r>
            <w:r w:rsidR="00B81AF6">
              <w:rPr>
                <w:noProof/>
                <w:webHidden/>
              </w:rPr>
              <w:instrText xml:space="preserve"> PAGEREF _Toc46952603 \h </w:instrText>
            </w:r>
            <w:r w:rsidR="00B81AF6">
              <w:rPr>
                <w:noProof/>
                <w:webHidden/>
              </w:rPr>
            </w:r>
            <w:r w:rsidR="00B81AF6">
              <w:rPr>
                <w:noProof/>
                <w:webHidden/>
              </w:rPr>
              <w:fldChar w:fldCharType="separate"/>
            </w:r>
            <w:r w:rsidR="002B641B">
              <w:rPr>
                <w:noProof/>
                <w:webHidden/>
              </w:rPr>
              <w:t>26</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4" w:history="1">
            <w:r w:rsidR="00B81AF6" w:rsidRPr="00332CB6">
              <w:rPr>
                <w:rStyle w:val="Hyperlink"/>
                <w:noProof/>
              </w:rPr>
              <w:t>3.1.1 Georgian Nationalism and Abkhaz Secessionism in the 1990s</w:t>
            </w:r>
            <w:r w:rsidR="00B81AF6">
              <w:rPr>
                <w:noProof/>
                <w:webHidden/>
              </w:rPr>
              <w:tab/>
            </w:r>
            <w:r w:rsidR="00B81AF6">
              <w:rPr>
                <w:noProof/>
                <w:webHidden/>
              </w:rPr>
              <w:fldChar w:fldCharType="begin"/>
            </w:r>
            <w:r w:rsidR="00B81AF6">
              <w:rPr>
                <w:noProof/>
                <w:webHidden/>
              </w:rPr>
              <w:instrText xml:space="preserve"> PAGEREF _Toc46952604 \h </w:instrText>
            </w:r>
            <w:r w:rsidR="00B81AF6">
              <w:rPr>
                <w:noProof/>
                <w:webHidden/>
              </w:rPr>
            </w:r>
            <w:r w:rsidR="00B81AF6">
              <w:rPr>
                <w:noProof/>
                <w:webHidden/>
              </w:rPr>
              <w:fldChar w:fldCharType="separate"/>
            </w:r>
            <w:r w:rsidR="002B641B">
              <w:rPr>
                <w:noProof/>
                <w:webHidden/>
              </w:rPr>
              <w:t>29</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5" w:history="1">
            <w:r w:rsidR="00B81AF6" w:rsidRPr="00332CB6">
              <w:rPr>
                <w:rStyle w:val="Hyperlink"/>
                <w:noProof/>
              </w:rPr>
              <w:t>3.1.2 The Post-Conflict Developments</w:t>
            </w:r>
            <w:r w:rsidR="00B81AF6">
              <w:rPr>
                <w:noProof/>
                <w:webHidden/>
              </w:rPr>
              <w:tab/>
            </w:r>
            <w:r w:rsidR="00B81AF6">
              <w:rPr>
                <w:noProof/>
                <w:webHidden/>
              </w:rPr>
              <w:fldChar w:fldCharType="begin"/>
            </w:r>
            <w:r w:rsidR="00B81AF6">
              <w:rPr>
                <w:noProof/>
                <w:webHidden/>
              </w:rPr>
              <w:instrText xml:space="preserve"> PAGEREF _Toc46952605 \h </w:instrText>
            </w:r>
            <w:r w:rsidR="00B81AF6">
              <w:rPr>
                <w:noProof/>
                <w:webHidden/>
              </w:rPr>
            </w:r>
            <w:r w:rsidR="00B81AF6">
              <w:rPr>
                <w:noProof/>
                <w:webHidden/>
              </w:rPr>
              <w:fldChar w:fldCharType="separate"/>
            </w:r>
            <w:r w:rsidR="002B641B">
              <w:rPr>
                <w:noProof/>
                <w:webHidden/>
              </w:rPr>
              <w:t>32</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6" w:history="1">
            <w:r w:rsidR="00B81AF6" w:rsidRPr="00332CB6">
              <w:rPr>
                <w:rStyle w:val="Hyperlink"/>
                <w:noProof/>
              </w:rPr>
              <w:t>3.2 The Secessionism in South Ossetia in the early 1990s</w:t>
            </w:r>
            <w:r w:rsidR="00B81AF6">
              <w:rPr>
                <w:noProof/>
                <w:webHidden/>
              </w:rPr>
              <w:tab/>
            </w:r>
            <w:r w:rsidR="00B81AF6">
              <w:rPr>
                <w:noProof/>
                <w:webHidden/>
              </w:rPr>
              <w:fldChar w:fldCharType="begin"/>
            </w:r>
            <w:r w:rsidR="00B81AF6">
              <w:rPr>
                <w:noProof/>
                <w:webHidden/>
              </w:rPr>
              <w:instrText xml:space="preserve"> PAGEREF _Toc46952606 \h </w:instrText>
            </w:r>
            <w:r w:rsidR="00B81AF6">
              <w:rPr>
                <w:noProof/>
                <w:webHidden/>
              </w:rPr>
            </w:r>
            <w:r w:rsidR="00B81AF6">
              <w:rPr>
                <w:noProof/>
                <w:webHidden/>
              </w:rPr>
              <w:fldChar w:fldCharType="separate"/>
            </w:r>
            <w:r w:rsidR="002B641B">
              <w:rPr>
                <w:noProof/>
                <w:webHidden/>
              </w:rPr>
              <w:t>35</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7" w:history="1">
            <w:r w:rsidR="00B81AF6" w:rsidRPr="00332CB6">
              <w:rPr>
                <w:rStyle w:val="Hyperlink"/>
                <w:noProof/>
              </w:rPr>
              <w:t>3.2.1 Developments in the 2000s</w:t>
            </w:r>
            <w:r w:rsidR="00B81AF6">
              <w:rPr>
                <w:noProof/>
                <w:webHidden/>
              </w:rPr>
              <w:tab/>
            </w:r>
            <w:r w:rsidR="00B81AF6">
              <w:rPr>
                <w:noProof/>
                <w:webHidden/>
              </w:rPr>
              <w:fldChar w:fldCharType="begin"/>
            </w:r>
            <w:r w:rsidR="00B81AF6">
              <w:rPr>
                <w:noProof/>
                <w:webHidden/>
              </w:rPr>
              <w:instrText xml:space="preserve"> PAGEREF _Toc46952607 \h </w:instrText>
            </w:r>
            <w:r w:rsidR="00B81AF6">
              <w:rPr>
                <w:noProof/>
                <w:webHidden/>
              </w:rPr>
            </w:r>
            <w:r w:rsidR="00B81AF6">
              <w:rPr>
                <w:noProof/>
                <w:webHidden/>
              </w:rPr>
              <w:fldChar w:fldCharType="separate"/>
            </w:r>
            <w:r w:rsidR="002B641B">
              <w:rPr>
                <w:noProof/>
                <w:webHidden/>
              </w:rPr>
              <w:t>37</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8" w:history="1">
            <w:r w:rsidR="00B81AF6" w:rsidRPr="00332CB6">
              <w:rPr>
                <w:rStyle w:val="Hyperlink"/>
                <w:noProof/>
              </w:rPr>
              <w:t>3.3 The EU and Georgia: The Evolution of the Partnership</w:t>
            </w:r>
            <w:r w:rsidR="00B81AF6">
              <w:rPr>
                <w:noProof/>
                <w:webHidden/>
              </w:rPr>
              <w:tab/>
            </w:r>
            <w:r w:rsidR="00B81AF6">
              <w:rPr>
                <w:noProof/>
                <w:webHidden/>
              </w:rPr>
              <w:fldChar w:fldCharType="begin"/>
            </w:r>
            <w:r w:rsidR="00B81AF6">
              <w:rPr>
                <w:noProof/>
                <w:webHidden/>
              </w:rPr>
              <w:instrText xml:space="preserve"> PAGEREF _Toc46952608 \h </w:instrText>
            </w:r>
            <w:r w:rsidR="00B81AF6">
              <w:rPr>
                <w:noProof/>
                <w:webHidden/>
              </w:rPr>
            </w:r>
            <w:r w:rsidR="00B81AF6">
              <w:rPr>
                <w:noProof/>
                <w:webHidden/>
              </w:rPr>
              <w:fldChar w:fldCharType="separate"/>
            </w:r>
            <w:r w:rsidR="002B641B">
              <w:rPr>
                <w:noProof/>
                <w:webHidden/>
              </w:rPr>
              <w:t>40</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09" w:history="1">
            <w:r w:rsidR="00B81AF6" w:rsidRPr="00332CB6">
              <w:rPr>
                <w:rStyle w:val="Hyperlink"/>
                <w:noProof/>
              </w:rPr>
              <w:t>3.3.1 The National (In)Security of Georgia</w:t>
            </w:r>
            <w:r w:rsidR="00B81AF6">
              <w:rPr>
                <w:noProof/>
                <w:webHidden/>
              </w:rPr>
              <w:tab/>
            </w:r>
            <w:r w:rsidR="00B81AF6">
              <w:rPr>
                <w:noProof/>
                <w:webHidden/>
              </w:rPr>
              <w:fldChar w:fldCharType="begin"/>
            </w:r>
            <w:r w:rsidR="00B81AF6">
              <w:rPr>
                <w:noProof/>
                <w:webHidden/>
              </w:rPr>
              <w:instrText xml:space="preserve"> PAGEREF _Toc46952609 \h </w:instrText>
            </w:r>
            <w:r w:rsidR="00B81AF6">
              <w:rPr>
                <w:noProof/>
                <w:webHidden/>
              </w:rPr>
            </w:r>
            <w:r w:rsidR="00B81AF6">
              <w:rPr>
                <w:noProof/>
                <w:webHidden/>
              </w:rPr>
              <w:fldChar w:fldCharType="separate"/>
            </w:r>
            <w:r w:rsidR="002B641B">
              <w:rPr>
                <w:noProof/>
                <w:webHidden/>
              </w:rPr>
              <w:t>40</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0" w:history="1">
            <w:r w:rsidR="00B81AF6" w:rsidRPr="00332CB6">
              <w:rPr>
                <w:rStyle w:val="Hyperlink"/>
                <w:noProof/>
              </w:rPr>
              <w:t>3.3.2 In Search for the Cooperation Frameworks: From PCA to the ENP</w:t>
            </w:r>
            <w:r w:rsidR="00B81AF6">
              <w:rPr>
                <w:noProof/>
                <w:webHidden/>
              </w:rPr>
              <w:tab/>
            </w:r>
            <w:r w:rsidR="00B81AF6">
              <w:rPr>
                <w:noProof/>
                <w:webHidden/>
              </w:rPr>
              <w:fldChar w:fldCharType="begin"/>
            </w:r>
            <w:r w:rsidR="00B81AF6">
              <w:rPr>
                <w:noProof/>
                <w:webHidden/>
              </w:rPr>
              <w:instrText xml:space="preserve"> PAGEREF _Toc46952610 \h </w:instrText>
            </w:r>
            <w:r w:rsidR="00B81AF6">
              <w:rPr>
                <w:noProof/>
                <w:webHidden/>
              </w:rPr>
            </w:r>
            <w:r w:rsidR="00B81AF6">
              <w:rPr>
                <w:noProof/>
                <w:webHidden/>
              </w:rPr>
              <w:fldChar w:fldCharType="separate"/>
            </w:r>
            <w:r w:rsidR="002B641B">
              <w:rPr>
                <w:noProof/>
                <w:webHidden/>
              </w:rPr>
              <w:t>43</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1" w:history="1">
            <w:r w:rsidR="00B81AF6" w:rsidRPr="00332CB6">
              <w:rPr>
                <w:rStyle w:val="Hyperlink"/>
                <w:noProof/>
              </w:rPr>
              <w:t>3.3.3 Deeper Engagement: EUJUST Themis, EUSR, EUMM</w:t>
            </w:r>
            <w:r w:rsidR="00B81AF6">
              <w:rPr>
                <w:noProof/>
                <w:webHidden/>
              </w:rPr>
              <w:tab/>
            </w:r>
            <w:r w:rsidR="00B81AF6">
              <w:rPr>
                <w:noProof/>
                <w:webHidden/>
              </w:rPr>
              <w:fldChar w:fldCharType="begin"/>
            </w:r>
            <w:r w:rsidR="00B81AF6">
              <w:rPr>
                <w:noProof/>
                <w:webHidden/>
              </w:rPr>
              <w:instrText xml:space="preserve"> PAGEREF _Toc46952611 \h </w:instrText>
            </w:r>
            <w:r w:rsidR="00B81AF6">
              <w:rPr>
                <w:noProof/>
                <w:webHidden/>
              </w:rPr>
            </w:r>
            <w:r w:rsidR="00B81AF6">
              <w:rPr>
                <w:noProof/>
                <w:webHidden/>
              </w:rPr>
              <w:fldChar w:fldCharType="separate"/>
            </w:r>
            <w:r w:rsidR="002B641B">
              <w:rPr>
                <w:noProof/>
                <w:webHidden/>
              </w:rPr>
              <w:t>47</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2" w:history="1">
            <w:r w:rsidR="00B81AF6" w:rsidRPr="00332CB6">
              <w:rPr>
                <w:rStyle w:val="Hyperlink"/>
                <w:noProof/>
              </w:rPr>
              <w:t>3.3.4 The More for More Strategy: Eastern Partnership</w:t>
            </w:r>
            <w:r w:rsidR="00B81AF6">
              <w:rPr>
                <w:noProof/>
                <w:webHidden/>
              </w:rPr>
              <w:tab/>
            </w:r>
            <w:r w:rsidR="00B81AF6">
              <w:rPr>
                <w:noProof/>
                <w:webHidden/>
              </w:rPr>
              <w:fldChar w:fldCharType="begin"/>
            </w:r>
            <w:r w:rsidR="00B81AF6">
              <w:rPr>
                <w:noProof/>
                <w:webHidden/>
              </w:rPr>
              <w:instrText xml:space="preserve"> PAGEREF _Toc46952612 \h </w:instrText>
            </w:r>
            <w:r w:rsidR="00B81AF6">
              <w:rPr>
                <w:noProof/>
                <w:webHidden/>
              </w:rPr>
            </w:r>
            <w:r w:rsidR="00B81AF6">
              <w:rPr>
                <w:noProof/>
                <w:webHidden/>
              </w:rPr>
              <w:fldChar w:fldCharType="separate"/>
            </w:r>
            <w:r w:rsidR="002B641B">
              <w:rPr>
                <w:noProof/>
                <w:webHidden/>
              </w:rPr>
              <w:t>50</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3" w:history="1">
            <w:r w:rsidR="00B81AF6" w:rsidRPr="00332CB6">
              <w:rPr>
                <w:rStyle w:val="Hyperlink"/>
                <w:noProof/>
              </w:rPr>
              <w:t>3.3.5 Georgia’s Aspirations and Perceptions on European Integration</w:t>
            </w:r>
            <w:r w:rsidR="00B81AF6">
              <w:rPr>
                <w:noProof/>
                <w:webHidden/>
              </w:rPr>
              <w:tab/>
            </w:r>
            <w:r w:rsidR="00B81AF6">
              <w:rPr>
                <w:noProof/>
                <w:webHidden/>
              </w:rPr>
              <w:fldChar w:fldCharType="begin"/>
            </w:r>
            <w:r w:rsidR="00B81AF6">
              <w:rPr>
                <w:noProof/>
                <w:webHidden/>
              </w:rPr>
              <w:instrText xml:space="preserve"> PAGEREF _Toc46952613 \h </w:instrText>
            </w:r>
            <w:r w:rsidR="00B81AF6">
              <w:rPr>
                <w:noProof/>
                <w:webHidden/>
              </w:rPr>
            </w:r>
            <w:r w:rsidR="00B81AF6">
              <w:rPr>
                <w:noProof/>
                <w:webHidden/>
              </w:rPr>
              <w:fldChar w:fldCharType="separate"/>
            </w:r>
            <w:r w:rsidR="002B641B">
              <w:rPr>
                <w:noProof/>
                <w:webHidden/>
              </w:rPr>
              <w:t>54</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4" w:history="1">
            <w:r w:rsidR="00B81AF6" w:rsidRPr="00332CB6">
              <w:rPr>
                <w:rStyle w:val="Hyperlink"/>
                <w:noProof/>
              </w:rPr>
              <w:t>3.3.6 EU Policy Coordination with other Actors: the OSCE and the UN</w:t>
            </w:r>
            <w:r w:rsidR="00B81AF6">
              <w:rPr>
                <w:noProof/>
                <w:webHidden/>
              </w:rPr>
              <w:tab/>
            </w:r>
            <w:r w:rsidR="00B81AF6">
              <w:rPr>
                <w:noProof/>
                <w:webHidden/>
              </w:rPr>
              <w:fldChar w:fldCharType="begin"/>
            </w:r>
            <w:r w:rsidR="00B81AF6">
              <w:rPr>
                <w:noProof/>
                <w:webHidden/>
              </w:rPr>
              <w:instrText xml:space="preserve"> PAGEREF _Toc46952614 \h </w:instrText>
            </w:r>
            <w:r w:rsidR="00B81AF6">
              <w:rPr>
                <w:noProof/>
                <w:webHidden/>
              </w:rPr>
            </w:r>
            <w:r w:rsidR="00B81AF6">
              <w:rPr>
                <w:noProof/>
                <w:webHidden/>
              </w:rPr>
              <w:fldChar w:fldCharType="separate"/>
            </w:r>
            <w:r w:rsidR="002B641B">
              <w:rPr>
                <w:noProof/>
                <w:webHidden/>
              </w:rPr>
              <w:t>57</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5" w:history="1">
            <w:r w:rsidR="00B81AF6" w:rsidRPr="00332CB6">
              <w:rPr>
                <w:rStyle w:val="Hyperlink"/>
                <w:noProof/>
              </w:rPr>
              <w:t>3.4 Russia’s Foreign Policy in Shared Neighborhood</w:t>
            </w:r>
            <w:r w:rsidR="00B81AF6">
              <w:rPr>
                <w:noProof/>
                <w:webHidden/>
              </w:rPr>
              <w:tab/>
            </w:r>
            <w:r w:rsidR="00B81AF6">
              <w:rPr>
                <w:noProof/>
                <w:webHidden/>
              </w:rPr>
              <w:fldChar w:fldCharType="begin"/>
            </w:r>
            <w:r w:rsidR="00B81AF6">
              <w:rPr>
                <w:noProof/>
                <w:webHidden/>
              </w:rPr>
              <w:instrText xml:space="preserve"> PAGEREF _Toc46952615 \h </w:instrText>
            </w:r>
            <w:r w:rsidR="00B81AF6">
              <w:rPr>
                <w:noProof/>
                <w:webHidden/>
              </w:rPr>
            </w:r>
            <w:r w:rsidR="00B81AF6">
              <w:rPr>
                <w:noProof/>
                <w:webHidden/>
              </w:rPr>
              <w:fldChar w:fldCharType="separate"/>
            </w:r>
            <w:r w:rsidR="002B641B">
              <w:rPr>
                <w:noProof/>
                <w:webHidden/>
              </w:rPr>
              <w:t>60</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6" w:history="1">
            <w:r w:rsidR="00B81AF6" w:rsidRPr="00332CB6">
              <w:rPr>
                <w:rStyle w:val="Hyperlink"/>
                <w:noProof/>
              </w:rPr>
              <w:t>4. The EU’ Conflict Mediation Strategy: Strengths and Limitations</w:t>
            </w:r>
            <w:r w:rsidR="00B81AF6">
              <w:rPr>
                <w:noProof/>
                <w:webHidden/>
              </w:rPr>
              <w:tab/>
            </w:r>
            <w:r w:rsidR="00B81AF6">
              <w:rPr>
                <w:noProof/>
                <w:webHidden/>
              </w:rPr>
              <w:fldChar w:fldCharType="begin"/>
            </w:r>
            <w:r w:rsidR="00B81AF6">
              <w:rPr>
                <w:noProof/>
                <w:webHidden/>
              </w:rPr>
              <w:instrText xml:space="preserve"> PAGEREF _Toc46952616 \h </w:instrText>
            </w:r>
            <w:r w:rsidR="00B81AF6">
              <w:rPr>
                <w:noProof/>
                <w:webHidden/>
              </w:rPr>
            </w:r>
            <w:r w:rsidR="00B81AF6">
              <w:rPr>
                <w:noProof/>
                <w:webHidden/>
              </w:rPr>
              <w:fldChar w:fldCharType="separate"/>
            </w:r>
            <w:r w:rsidR="002B641B">
              <w:rPr>
                <w:noProof/>
                <w:webHidden/>
              </w:rPr>
              <w:t>65</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7" w:history="1">
            <w:r w:rsidR="00B81AF6" w:rsidRPr="00332CB6">
              <w:rPr>
                <w:rStyle w:val="Hyperlink"/>
                <w:noProof/>
              </w:rPr>
              <w:t>4.1 Economic Instruments: the AA and the DCFTA</w:t>
            </w:r>
            <w:r w:rsidR="00B81AF6">
              <w:rPr>
                <w:noProof/>
                <w:webHidden/>
              </w:rPr>
              <w:tab/>
            </w:r>
            <w:r w:rsidR="00B81AF6">
              <w:rPr>
                <w:noProof/>
                <w:webHidden/>
              </w:rPr>
              <w:fldChar w:fldCharType="begin"/>
            </w:r>
            <w:r w:rsidR="00B81AF6">
              <w:rPr>
                <w:noProof/>
                <w:webHidden/>
              </w:rPr>
              <w:instrText xml:space="preserve"> PAGEREF _Toc46952617 \h </w:instrText>
            </w:r>
            <w:r w:rsidR="00B81AF6">
              <w:rPr>
                <w:noProof/>
                <w:webHidden/>
              </w:rPr>
            </w:r>
            <w:r w:rsidR="00B81AF6">
              <w:rPr>
                <w:noProof/>
                <w:webHidden/>
              </w:rPr>
              <w:fldChar w:fldCharType="separate"/>
            </w:r>
            <w:r w:rsidR="002B641B">
              <w:rPr>
                <w:noProof/>
                <w:webHidden/>
              </w:rPr>
              <w:t>65</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8" w:history="1">
            <w:r w:rsidR="00B81AF6" w:rsidRPr="00332CB6">
              <w:rPr>
                <w:rStyle w:val="Hyperlink"/>
                <w:noProof/>
              </w:rPr>
              <w:t>4.1.1 Diplomacy Instruments: Cease-fire Agreement and the Geneva International Discussions</w:t>
            </w:r>
            <w:r w:rsidR="00B81AF6">
              <w:rPr>
                <w:noProof/>
                <w:webHidden/>
              </w:rPr>
              <w:tab/>
            </w:r>
            <w:r w:rsidR="00B81AF6">
              <w:rPr>
                <w:noProof/>
                <w:webHidden/>
              </w:rPr>
              <w:fldChar w:fldCharType="begin"/>
            </w:r>
            <w:r w:rsidR="00B81AF6">
              <w:rPr>
                <w:noProof/>
                <w:webHidden/>
              </w:rPr>
              <w:instrText xml:space="preserve"> PAGEREF _Toc46952618 \h </w:instrText>
            </w:r>
            <w:r w:rsidR="00B81AF6">
              <w:rPr>
                <w:noProof/>
                <w:webHidden/>
              </w:rPr>
            </w:r>
            <w:r w:rsidR="00B81AF6">
              <w:rPr>
                <w:noProof/>
                <w:webHidden/>
              </w:rPr>
              <w:fldChar w:fldCharType="separate"/>
            </w:r>
            <w:r w:rsidR="002B641B">
              <w:rPr>
                <w:noProof/>
                <w:webHidden/>
              </w:rPr>
              <w:t>69</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19" w:history="1">
            <w:r w:rsidR="00B81AF6" w:rsidRPr="00332CB6">
              <w:rPr>
                <w:rStyle w:val="Hyperlink"/>
                <w:noProof/>
              </w:rPr>
              <w:t>4.1.2 The EU’s Policy of Engagement without Recognition: Practical Aspects</w:t>
            </w:r>
            <w:r w:rsidR="00B81AF6">
              <w:rPr>
                <w:noProof/>
                <w:webHidden/>
              </w:rPr>
              <w:tab/>
            </w:r>
            <w:r w:rsidR="00B81AF6">
              <w:rPr>
                <w:noProof/>
                <w:webHidden/>
              </w:rPr>
              <w:fldChar w:fldCharType="begin"/>
            </w:r>
            <w:r w:rsidR="00B81AF6">
              <w:rPr>
                <w:noProof/>
                <w:webHidden/>
              </w:rPr>
              <w:instrText xml:space="preserve"> PAGEREF _Toc46952619 \h </w:instrText>
            </w:r>
            <w:r w:rsidR="00B81AF6">
              <w:rPr>
                <w:noProof/>
                <w:webHidden/>
              </w:rPr>
            </w:r>
            <w:r w:rsidR="00B81AF6">
              <w:rPr>
                <w:noProof/>
                <w:webHidden/>
              </w:rPr>
              <w:fldChar w:fldCharType="separate"/>
            </w:r>
            <w:r w:rsidR="002B641B">
              <w:rPr>
                <w:noProof/>
                <w:webHidden/>
              </w:rPr>
              <w:t>75</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0" w:history="1">
            <w:r w:rsidR="00B81AF6" w:rsidRPr="00332CB6">
              <w:rPr>
                <w:rStyle w:val="Hyperlink"/>
                <w:noProof/>
              </w:rPr>
              <w:t>4.2 Russia’s Leverage on the Contested Regions</w:t>
            </w:r>
            <w:r w:rsidR="00B81AF6">
              <w:rPr>
                <w:noProof/>
                <w:webHidden/>
              </w:rPr>
              <w:tab/>
            </w:r>
            <w:r w:rsidR="00B81AF6">
              <w:rPr>
                <w:noProof/>
                <w:webHidden/>
              </w:rPr>
              <w:fldChar w:fldCharType="begin"/>
            </w:r>
            <w:r w:rsidR="00B81AF6">
              <w:rPr>
                <w:noProof/>
                <w:webHidden/>
              </w:rPr>
              <w:instrText xml:space="preserve"> PAGEREF _Toc46952620 \h </w:instrText>
            </w:r>
            <w:r w:rsidR="00B81AF6">
              <w:rPr>
                <w:noProof/>
                <w:webHidden/>
              </w:rPr>
            </w:r>
            <w:r w:rsidR="00B81AF6">
              <w:rPr>
                <w:noProof/>
                <w:webHidden/>
              </w:rPr>
              <w:fldChar w:fldCharType="separate"/>
            </w:r>
            <w:r w:rsidR="002B641B">
              <w:rPr>
                <w:noProof/>
                <w:webHidden/>
              </w:rPr>
              <w:t>77</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1" w:history="1">
            <w:r w:rsidR="00B81AF6" w:rsidRPr="00332CB6">
              <w:rPr>
                <w:rStyle w:val="Hyperlink"/>
                <w:noProof/>
              </w:rPr>
              <w:t>4.2.1 Political Mechanisms: Passportization and Recognition</w:t>
            </w:r>
            <w:r w:rsidR="00B81AF6">
              <w:rPr>
                <w:noProof/>
                <w:webHidden/>
              </w:rPr>
              <w:tab/>
            </w:r>
            <w:r w:rsidR="00B81AF6">
              <w:rPr>
                <w:noProof/>
                <w:webHidden/>
              </w:rPr>
              <w:fldChar w:fldCharType="begin"/>
            </w:r>
            <w:r w:rsidR="00B81AF6">
              <w:rPr>
                <w:noProof/>
                <w:webHidden/>
              </w:rPr>
              <w:instrText xml:space="preserve"> PAGEREF _Toc46952621 \h </w:instrText>
            </w:r>
            <w:r w:rsidR="00B81AF6">
              <w:rPr>
                <w:noProof/>
                <w:webHidden/>
              </w:rPr>
            </w:r>
            <w:r w:rsidR="00B81AF6">
              <w:rPr>
                <w:noProof/>
                <w:webHidden/>
              </w:rPr>
              <w:fldChar w:fldCharType="separate"/>
            </w:r>
            <w:r w:rsidR="002B641B">
              <w:rPr>
                <w:noProof/>
                <w:webHidden/>
              </w:rPr>
              <w:t>77</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2" w:history="1">
            <w:r w:rsidR="00B81AF6" w:rsidRPr="00332CB6">
              <w:rPr>
                <w:rStyle w:val="Hyperlink"/>
                <w:noProof/>
              </w:rPr>
              <w:t>4.2.2 Hard Power Tools: Creeping Borderization</w:t>
            </w:r>
            <w:r w:rsidR="00B81AF6">
              <w:rPr>
                <w:noProof/>
                <w:webHidden/>
              </w:rPr>
              <w:tab/>
            </w:r>
            <w:r w:rsidR="00B81AF6">
              <w:rPr>
                <w:noProof/>
                <w:webHidden/>
              </w:rPr>
              <w:fldChar w:fldCharType="begin"/>
            </w:r>
            <w:r w:rsidR="00B81AF6">
              <w:rPr>
                <w:noProof/>
                <w:webHidden/>
              </w:rPr>
              <w:instrText xml:space="preserve"> PAGEREF _Toc46952622 \h </w:instrText>
            </w:r>
            <w:r w:rsidR="00B81AF6">
              <w:rPr>
                <w:noProof/>
                <w:webHidden/>
              </w:rPr>
            </w:r>
            <w:r w:rsidR="00B81AF6">
              <w:rPr>
                <w:noProof/>
                <w:webHidden/>
              </w:rPr>
              <w:fldChar w:fldCharType="separate"/>
            </w:r>
            <w:r w:rsidR="002B641B">
              <w:rPr>
                <w:noProof/>
                <w:webHidden/>
              </w:rPr>
              <w:t>81</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3" w:history="1">
            <w:r w:rsidR="00B81AF6" w:rsidRPr="00332CB6">
              <w:rPr>
                <w:rStyle w:val="Hyperlink"/>
                <w:noProof/>
              </w:rPr>
              <w:t>4.3 The Dynamics of the Conflict Mediation Process</w:t>
            </w:r>
            <w:r w:rsidR="00B81AF6">
              <w:rPr>
                <w:noProof/>
                <w:webHidden/>
              </w:rPr>
              <w:tab/>
            </w:r>
            <w:r w:rsidR="00B81AF6">
              <w:rPr>
                <w:noProof/>
                <w:webHidden/>
              </w:rPr>
              <w:fldChar w:fldCharType="begin"/>
            </w:r>
            <w:r w:rsidR="00B81AF6">
              <w:rPr>
                <w:noProof/>
                <w:webHidden/>
              </w:rPr>
              <w:instrText xml:space="preserve"> PAGEREF _Toc46952623 \h </w:instrText>
            </w:r>
            <w:r w:rsidR="00B81AF6">
              <w:rPr>
                <w:noProof/>
                <w:webHidden/>
              </w:rPr>
            </w:r>
            <w:r w:rsidR="00B81AF6">
              <w:rPr>
                <w:noProof/>
                <w:webHidden/>
              </w:rPr>
              <w:fldChar w:fldCharType="separate"/>
            </w:r>
            <w:r w:rsidR="002B641B">
              <w:rPr>
                <w:noProof/>
                <w:webHidden/>
              </w:rPr>
              <w:t>85</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4" w:history="1">
            <w:r w:rsidR="00B81AF6" w:rsidRPr="00332CB6">
              <w:rPr>
                <w:rStyle w:val="Hyperlink"/>
                <w:noProof/>
              </w:rPr>
              <w:t>4.3.1 The Situation in Contested Regions</w:t>
            </w:r>
            <w:r w:rsidR="00B81AF6">
              <w:rPr>
                <w:noProof/>
                <w:webHidden/>
              </w:rPr>
              <w:tab/>
            </w:r>
            <w:r w:rsidR="00B81AF6">
              <w:rPr>
                <w:noProof/>
                <w:webHidden/>
              </w:rPr>
              <w:fldChar w:fldCharType="begin"/>
            </w:r>
            <w:r w:rsidR="00B81AF6">
              <w:rPr>
                <w:noProof/>
                <w:webHidden/>
              </w:rPr>
              <w:instrText xml:space="preserve"> PAGEREF _Toc46952624 \h </w:instrText>
            </w:r>
            <w:r w:rsidR="00B81AF6">
              <w:rPr>
                <w:noProof/>
                <w:webHidden/>
              </w:rPr>
            </w:r>
            <w:r w:rsidR="00B81AF6">
              <w:rPr>
                <w:noProof/>
                <w:webHidden/>
              </w:rPr>
              <w:fldChar w:fldCharType="separate"/>
            </w:r>
            <w:r w:rsidR="002B641B">
              <w:rPr>
                <w:noProof/>
                <w:webHidden/>
              </w:rPr>
              <w:t>85</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5" w:history="1">
            <w:r w:rsidR="00B81AF6" w:rsidRPr="00332CB6">
              <w:rPr>
                <w:rStyle w:val="Hyperlink"/>
                <w:noProof/>
              </w:rPr>
              <w:t>4.3.2 Incoherence of the Georgian Strategy on the Contested Regions</w:t>
            </w:r>
            <w:r w:rsidR="00B81AF6">
              <w:rPr>
                <w:noProof/>
                <w:webHidden/>
              </w:rPr>
              <w:tab/>
            </w:r>
            <w:r w:rsidR="00B81AF6">
              <w:rPr>
                <w:noProof/>
                <w:webHidden/>
              </w:rPr>
              <w:fldChar w:fldCharType="begin"/>
            </w:r>
            <w:r w:rsidR="00B81AF6">
              <w:rPr>
                <w:noProof/>
                <w:webHidden/>
              </w:rPr>
              <w:instrText xml:space="preserve"> PAGEREF _Toc46952625 \h </w:instrText>
            </w:r>
            <w:r w:rsidR="00B81AF6">
              <w:rPr>
                <w:noProof/>
                <w:webHidden/>
              </w:rPr>
            </w:r>
            <w:r w:rsidR="00B81AF6">
              <w:rPr>
                <w:noProof/>
                <w:webHidden/>
              </w:rPr>
              <w:fldChar w:fldCharType="separate"/>
            </w:r>
            <w:r w:rsidR="002B641B">
              <w:rPr>
                <w:noProof/>
                <w:webHidden/>
              </w:rPr>
              <w:t>88</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6" w:history="1">
            <w:r w:rsidR="00B81AF6" w:rsidRPr="00332CB6">
              <w:rPr>
                <w:rStyle w:val="Hyperlink"/>
                <w:noProof/>
              </w:rPr>
              <w:t>4.3.3 Low Profile of the EU in the Contested Regions</w:t>
            </w:r>
            <w:r w:rsidR="00B81AF6">
              <w:rPr>
                <w:noProof/>
                <w:webHidden/>
              </w:rPr>
              <w:tab/>
            </w:r>
            <w:r w:rsidR="00B81AF6">
              <w:rPr>
                <w:noProof/>
                <w:webHidden/>
              </w:rPr>
              <w:fldChar w:fldCharType="begin"/>
            </w:r>
            <w:r w:rsidR="00B81AF6">
              <w:rPr>
                <w:noProof/>
                <w:webHidden/>
              </w:rPr>
              <w:instrText xml:space="preserve"> PAGEREF _Toc46952626 \h </w:instrText>
            </w:r>
            <w:r w:rsidR="00B81AF6">
              <w:rPr>
                <w:noProof/>
                <w:webHidden/>
              </w:rPr>
            </w:r>
            <w:r w:rsidR="00B81AF6">
              <w:rPr>
                <w:noProof/>
                <w:webHidden/>
              </w:rPr>
              <w:fldChar w:fldCharType="separate"/>
            </w:r>
            <w:r w:rsidR="002B641B">
              <w:rPr>
                <w:noProof/>
                <w:webHidden/>
              </w:rPr>
              <w:t>90</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7" w:history="1">
            <w:r w:rsidR="00B81AF6" w:rsidRPr="00332CB6">
              <w:rPr>
                <w:rStyle w:val="Hyperlink"/>
                <w:noProof/>
              </w:rPr>
              <w:t>5. Discussion and the Final Remarks</w:t>
            </w:r>
            <w:r w:rsidR="00B81AF6">
              <w:rPr>
                <w:noProof/>
                <w:webHidden/>
              </w:rPr>
              <w:tab/>
            </w:r>
            <w:r w:rsidR="00B81AF6">
              <w:rPr>
                <w:noProof/>
                <w:webHidden/>
              </w:rPr>
              <w:fldChar w:fldCharType="begin"/>
            </w:r>
            <w:r w:rsidR="00B81AF6">
              <w:rPr>
                <w:noProof/>
                <w:webHidden/>
              </w:rPr>
              <w:instrText xml:space="preserve"> PAGEREF _Toc46952627 \h </w:instrText>
            </w:r>
            <w:r w:rsidR="00B81AF6">
              <w:rPr>
                <w:noProof/>
                <w:webHidden/>
              </w:rPr>
            </w:r>
            <w:r w:rsidR="00B81AF6">
              <w:rPr>
                <w:noProof/>
                <w:webHidden/>
              </w:rPr>
              <w:fldChar w:fldCharType="separate"/>
            </w:r>
            <w:r w:rsidR="002B641B">
              <w:rPr>
                <w:noProof/>
                <w:webHidden/>
              </w:rPr>
              <w:t>93</w:t>
            </w:r>
            <w:r w:rsidR="00B81AF6">
              <w:rPr>
                <w:noProof/>
                <w:webHidden/>
              </w:rPr>
              <w:fldChar w:fldCharType="end"/>
            </w:r>
          </w:hyperlink>
        </w:p>
        <w:p w:rsidR="00B81AF6" w:rsidRDefault="003D4CF5">
          <w:pPr>
            <w:pStyle w:val="TOC2"/>
            <w:tabs>
              <w:tab w:val="right" w:leader="dot" w:pos="9016"/>
            </w:tabs>
            <w:rPr>
              <w:rFonts w:asciiTheme="minorHAnsi" w:eastAsiaTheme="minorEastAsia" w:hAnsiTheme="minorHAnsi" w:cstheme="minorBidi"/>
              <w:noProof/>
              <w:sz w:val="22"/>
              <w:szCs w:val="22"/>
            </w:rPr>
          </w:pPr>
          <w:hyperlink w:anchor="_Toc46952628" w:history="1">
            <w:r w:rsidR="00B81AF6" w:rsidRPr="00332CB6">
              <w:rPr>
                <w:rStyle w:val="Hyperlink"/>
                <w:noProof/>
              </w:rPr>
              <w:t>Bibliography</w:t>
            </w:r>
            <w:r w:rsidR="00B81AF6">
              <w:rPr>
                <w:noProof/>
                <w:webHidden/>
              </w:rPr>
              <w:tab/>
            </w:r>
            <w:r w:rsidR="00B81AF6">
              <w:rPr>
                <w:noProof/>
                <w:webHidden/>
              </w:rPr>
              <w:fldChar w:fldCharType="begin"/>
            </w:r>
            <w:r w:rsidR="00B81AF6">
              <w:rPr>
                <w:noProof/>
                <w:webHidden/>
              </w:rPr>
              <w:instrText xml:space="preserve"> PAGEREF _Toc46952628 \h </w:instrText>
            </w:r>
            <w:r w:rsidR="00B81AF6">
              <w:rPr>
                <w:noProof/>
                <w:webHidden/>
              </w:rPr>
            </w:r>
            <w:r w:rsidR="00B81AF6">
              <w:rPr>
                <w:noProof/>
                <w:webHidden/>
              </w:rPr>
              <w:fldChar w:fldCharType="separate"/>
            </w:r>
            <w:r w:rsidR="002B641B">
              <w:rPr>
                <w:noProof/>
                <w:webHidden/>
              </w:rPr>
              <w:t>98</w:t>
            </w:r>
            <w:r w:rsidR="00B81AF6">
              <w:rPr>
                <w:noProof/>
                <w:webHidden/>
              </w:rPr>
              <w:fldChar w:fldCharType="end"/>
            </w:r>
          </w:hyperlink>
        </w:p>
        <w:p w:rsidR="00050BA9" w:rsidRPr="003D140E" w:rsidRDefault="003D140E" w:rsidP="00774BBE">
          <w:r>
            <w:rPr>
              <w:b/>
              <w:bCs/>
              <w:noProof/>
            </w:rPr>
            <w:fldChar w:fldCharType="end"/>
          </w:r>
        </w:p>
      </w:sdtContent>
    </w:sdt>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2039A0" w:rsidRDefault="002039A0" w:rsidP="005C2D0A">
      <w:pPr>
        <w:pStyle w:val="Heading2"/>
      </w:pPr>
    </w:p>
    <w:p w:rsidR="00050BA9" w:rsidRPr="006D290C" w:rsidRDefault="00050BA9" w:rsidP="005C2D0A">
      <w:pPr>
        <w:pStyle w:val="Heading2"/>
        <w:rPr>
          <w:color w:val="auto"/>
          <w:sz w:val="32"/>
          <w:szCs w:val="32"/>
        </w:rPr>
      </w:pPr>
      <w:bookmarkStart w:id="0" w:name="_Toc46952594"/>
      <w:r w:rsidRPr="006D290C">
        <w:rPr>
          <w:color w:val="auto"/>
          <w:sz w:val="32"/>
          <w:szCs w:val="32"/>
        </w:rPr>
        <w:t>Acronyms</w:t>
      </w:r>
      <w:bookmarkEnd w:id="0"/>
    </w:p>
    <w:p w:rsidR="00050BA9" w:rsidRDefault="00050BA9" w:rsidP="00774BBE">
      <w:pPr>
        <w:rPr>
          <w:rFonts w:ascii="Times New Roman" w:hAnsi="Times New Roman"/>
          <w:b/>
          <w:sz w:val="24"/>
          <w:szCs w:val="24"/>
        </w:rPr>
      </w:pP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AA – Association Agreement</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ABL – Administrative Border Line</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 xml:space="preserve">ASSR – Autonomous Soviet Socialist Republic </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CFE – Treaty on Conventional Armed Forces in Europe</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CIS – Commonwealth of Independent States</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CoE – Council of Europe</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CST – Collective Security Treaty</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CSFP – Common Foreign and Security Policy</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CSDP – Common Security and Defense Policy</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DRG – Democratic Republic of Georgia</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DCFTA – Deep and Comprehensive Free Trade Area</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EC – European Communities</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ECHR – European Convention on Human Rights</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EEAS – European External Action Service</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EaP – Eastern Partnership</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ENP – European Neighborhood Policy</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ENPI – European Neighborhood Policy Instrument</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ESDP – European Security and Defense Policy</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EU – European Union</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EUMM – European Union Monitoring Mission in Georgia</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EUSR – European Union Special Representative</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EUJUST Themis – European Union Rule of Law Mission to Georgia</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FDI – Foreign Direct Investment</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 xml:space="preserve">GA – General Assembly </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GDP – Gross Domestic Product</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GEL – Georgian Lari</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GID – Geneva International Discussions</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GSSR – Georgian Soviet Socialist Republic</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HIV/AIDS – Human Immunodeficiency Virus Infection</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JCJ – Joint Control Commission</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IDP – Internally Displaced Person</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lastRenderedPageBreak/>
        <w:t>MAP – Membership Action Plan</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MFA – Ministry of Foreign Affairs</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MoU – Memorandum of Understanding</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NREP – Non-Recognition and Engagement Policy</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OSCE – Organization for Security and Co-Operation in Europe</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PACE – Parliamentary Assembly of the Council of Europe</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PCA – Partnership and Cooperation Agreement</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SC – Supreme Council</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SSR – Soviet Socialist Republic</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UK – United Kingdom</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UN – United Nations</w:t>
      </w:r>
    </w:p>
    <w:p w:rsidR="006B5C75" w:rsidRPr="00AF68A2" w:rsidRDefault="006B5C75" w:rsidP="006B5C75">
      <w:pPr>
        <w:spacing w:line="360" w:lineRule="auto"/>
        <w:jc w:val="both"/>
        <w:rPr>
          <w:rFonts w:ascii="Times New Roman" w:hAnsi="Times New Roman"/>
          <w:sz w:val="24"/>
          <w:szCs w:val="24"/>
        </w:rPr>
      </w:pPr>
      <w:r w:rsidRPr="00AF68A2">
        <w:rPr>
          <w:rFonts w:ascii="Times New Roman" w:hAnsi="Times New Roman"/>
          <w:sz w:val="24"/>
          <w:szCs w:val="24"/>
        </w:rPr>
        <w:t>USA – United States of America</w:t>
      </w:r>
    </w:p>
    <w:p w:rsidR="006B5C75" w:rsidRPr="00AF68A2" w:rsidRDefault="006B5C75" w:rsidP="006B5C75">
      <w:pPr>
        <w:jc w:val="both"/>
        <w:rPr>
          <w:rFonts w:ascii="Times New Roman" w:hAnsi="Times New Roman"/>
          <w:sz w:val="24"/>
          <w:szCs w:val="24"/>
        </w:rPr>
      </w:pPr>
      <w:r w:rsidRPr="00AF68A2">
        <w:rPr>
          <w:rFonts w:ascii="Times New Roman" w:hAnsi="Times New Roman"/>
          <w:sz w:val="24"/>
          <w:szCs w:val="24"/>
        </w:rPr>
        <w:t>UNOMIG – United Nations Observer Mission to Georgia</w:t>
      </w:r>
    </w:p>
    <w:p w:rsidR="00050BA9" w:rsidRPr="006B5C75" w:rsidRDefault="00050BA9" w:rsidP="00774BBE">
      <w:pPr>
        <w:rPr>
          <w:rFonts w:ascii="Times New Roman" w:hAnsi="Times New Roman"/>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050BA9" w:rsidRDefault="00050BA9" w:rsidP="00774BBE">
      <w:pPr>
        <w:rPr>
          <w:rFonts w:ascii="Times New Roman" w:hAnsi="Times New Roman"/>
          <w:b/>
          <w:sz w:val="24"/>
          <w:szCs w:val="24"/>
        </w:rPr>
      </w:pPr>
    </w:p>
    <w:p w:rsidR="009C3237" w:rsidRDefault="009C3237" w:rsidP="009C3237">
      <w:pPr>
        <w:pStyle w:val="NoSpacing"/>
      </w:pPr>
    </w:p>
    <w:p w:rsidR="009C3237" w:rsidRDefault="009C3237" w:rsidP="009C3237">
      <w:pPr>
        <w:pStyle w:val="NoSpacing"/>
      </w:pPr>
    </w:p>
    <w:p w:rsidR="009C3237" w:rsidRDefault="009C3237" w:rsidP="009C3237">
      <w:pPr>
        <w:pStyle w:val="NoSpacing"/>
      </w:pPr>
    </w:p>
    <w:p w:rsidR="009C3237" w:rsidRDefault="009C3237" w:rsidP="009C3237">
      <w:pPr>
        <w:pStyle w:val="NoSpacing"/>
        <w:jc w:val="right"/>
      </w:pPr>
    </w:p>
    <w:p w:rsidR="009C3237" w:rsidRPr="009C3237" w:rsidRDefault="009C3237" w:rsidP="009C3237">
      <w:pPr>
        <w:pStyle w:val="NoSpacing"/>
        <w:spacing w:line="360" w:lineRule="auto"/>
        <w:jc w:val="right"/>
        <w:rPr>
          <w:rFonts w:ascii="Times New Roman" w:hAnsi="Times New Roman"/>
          <w:sz w:val="22"/>
          <w:szCs w:val="22"/>
        </w:rPr>
      </w:pPr>
      <w:r>
        <w:rPr>
          <w:rFonts w:ascii="Times New Roman" w:hAnsi="Times New Roman"/>
          <w:sz w:val="22"/>
          <w:szCs w:val="22"/>
        </w:rPr>
        <w:t xml:space="preserve">"It is no secret that we had a military plan </w:t>
      </w:r>
      <w:r w:rsidR="0074034C">
        <w:rPr>
          <w:rFonts w:ascii="Times New Roman" w:hAnsi="Times New Roman"/>
          <w:sz w:val="22"/>
          <w:szCs w:val="22"/>
        </w:rPr>
        <w:t xml:space="preserve">before 2008 </w:t>
      </w:r>
      <w:r>
        <w:rPr>
          <w:rFonts w:ascii="Times New Roman" w:hAnsi="Times New Roman"/>
          <w:sz w:val="22"/>
          <w:szCs w:val="22"/>
        </w:rPr>
        <w:t>an</w:t>
      </w:r>
      <w:r w:rsidR="002C54FC">
        <w:rPr>
          <w:rFonts w:ascii="Times New Roman" w:hAnsi="Times New Roman"/>
          <w:sz w:val="22"/>
          <w:szCs w:val="22"/>
        </w:rPr>
        <w:t>d we acted accordingly</w:t>
      </w:r>
      <w:r>
        <w:rPr>
          <w:rFonts w:ascii="Times New Roman" w:hAnsi="Times New Roman"/>
          <w:sz w:val="22"/>
          <w:szCs w:val="22"/>
        </w:rPr>
        <w:t xml:space="preserve">. </w:t>
      </w:r>
      <w:r w:rsidR="002C54FC">
        <w:rPr>
          <w:rFonts w:ascii="Times New Roman" w:hAnsi="Times New Roman"/>
          <w:sz w:val="22"/>
          <w:szCs w:val="22"/>
        </w:rPr>
        <w:t>I gave</w:t>
      </w:r>
      <w:r w:rsidR="0074034C">
        <w:rPr>
          <w:rFonts w:ascii="Times New Roman" w:hAnsi="Times New Roman"/>
          <w:sz w:val="22"/>
          <w:szCs w:val="22"/>
        </w:rPr>
        <w:t xml:space="preserve"> permission</w:t>
      </w:r>
      <w:r w:rsidR="00E8625F">
        <w:rPr>
          <w:rFonts w:ascii="Times New Roman" w:hAnsi="Times New Roman"/>
          <w:sz w:val="22"/>
          <w:szCs w:val="22"/>
        </w:rPr>
        <w:t xml:space="preserve"> </w:t>
      </w:r>
      <w:r w:rsidR="0074034C">
        <w:rPr>
          <w:rFonts w:ascii="Times New Roman" w:hAnsi="Times New Roman"/>
          <w:sz w:val="22"/>
          <w:szCs w:val="22"/>
        </w:rPr>
        <w:t>(</w:t>
      </w:r>
      <w:r w:rsidR="00E8625F">
        <w:rPr>
          <w:rFonts w:ascii="Times New Roman" w:hAnsi="Times New Roman"/>
          <w:sz w:val="22"/>
          <w:szCs w:val="22"/>
        </w:rPr>
        <w:t xml:space="preserve">to </w:t>
      </w:r>
      <w:r w:rsidR="00CD422F">
        <w:rPr>
          <w:rFonts w:ascii="Times New Roman" w:hAnsi="Times New Roman"/>
          <w:sz w:val="22"/>
          <w:szCs w:val="22"/>
        </w:rPr>
        <w:t>the Council on the Foreign and Security Affairs</w:t>
      </w:r>
      <w:r w:rsidR="0074034C">
        <w:rPr>
          <w:rFonts w:ascii="Times New Roman" w:hAnsi="Times New Roman"/>
          <w:sz w:val="22"/>
          <w:szCs w:val="22"/>
        </w:rPr>
        <w:t>)</w:t>
      </w:r>
      <w:r w:rsidR="00CD422F">
        <w:rPr>
          <w:rFonts w:ascii="Times New Roman" w:hAnsi="Times New Roman"/>
          <w:sz w:val="22"/>
          <w:szCs w:val="22"/>
        </w:rPr>
        <w:t xml:space="preserve"> </w:t>
      </w:r>
      <w:r w:rsidR="00E8625F">
        <w:rPr>
          <w:rFonts w:ascii="Times New Roman" w:hAnsi="Times New Roman"/>
          <w:sz w:val="22"/>
          <w:szCs w:val="22"/>
        </w:rPr>
        <w:t xml:space="preserve">to </w:t>
      </w:r>
      <w:r w:rsidR="00CD422F">
        <w:rPr>
          <w:rFonts w:ascii="Times New Roman" w:hAnsi="Times New Roman"/>
          <w:sz w:val="22"/>
          <w:szCs w:val="22"/>
        </w:rPr>
        <w:t xml:space="preserve">draft the action plan on the protection </w:t>
      </w:r>
      <w:proofErr w:type="gramStart"/>
      <w:r w:rsidR="00CD422F">
        <w:rPr>
          <w:rFonts w:ascii="Times New Roman" w:hAnsi="Times New Roman"/>
          <w:sz w:val="22"/>
          <w:szCs w:val="22"/>
        </w:rPr>
        <w:t xml:space="preserve">of </w:t>
      </w:r>
      <w:r w:rsidR="00E8625F">
        <w:rPr>
          <w:rFonts w:ascii="Times New Roman" w:hAnsi="Times New Roman"/>
          <w:sz w:val="22"/>
          <w:szCs w:val="22"/>
        </w:rPr>
        <w:t xml:space="preserve"> South</w:t>
      </w:r>
      <w:proofErr w:type="gramEnd"/>
      <w:r w:rsidR="00E8625F">
        <w:rPr>
          <w:rFonts w:ascii="Times New Roman" w:hAnsi="Times New Roman"/>
          <w:sz w:val="22"/>
          <w:szCs w:val="22"/>
        </w:rPr>
        <w:t xml:space="preserve"> Ossetia</w:t>
      </w:r>
      <w:r w:rsidR="0074034C">
        <w:rPr>
          <w:rFonts w:ascii="Times New Roman" w:hAnsi="Times New Roman"/>
          <w:sz w:val="22"/>
          <w:szCs w:val="22"/>
        </w:rPr>
        <w:t xml:space="preserve"> in case of </w:t>
      </w:r>
      <w:r w:rsidR="00CD422F">
        <w:rPr>
          <w:rFonts w:ascii="Times New Roman" w:hAnsi="Times New Roman"/>
          <w:sz w:val="22"/>
          <w:szCs w:val="22"/>
        </w:rPr>
        <w:t>Georgian aggression, between 2006-2007.”</w:t>
      </w:r>
      <w:r w:rsidR="00684C0E">
        <w:rPr>
          <w:rStyle w:val="FootnoteReference"/>
          <w:rFonts w:ascii="Times New Roman" w:hAnsi="Times New Roman"/>
          <w:sz w:val="22"/>
          <w:szCs w:val="22"/>
        </w:rPr>
        <w:footnoteReference w:id="1"/>
      </w:r>
    </w:p>
    <w:p w:rsidR="009C3237" w:rsidRDefault="009C3237" w:rsidP="009C3237">
      <w:pPr>
        <w:pStyle w:val="NoSpacing"/>
        <w:spacing w:line="360" w:lineRule="auto"/>
        <w:jc w:val="right"/>
        <w:rPr>
          <w:rFonts w:ascii="Times New Roman" w:hAnsi="Times New Roman"/>
          <w:sz w:val="22"/>
          <w:szCs w:val="22"/>
        </w:rPr>
      </w:pPr>
      <w:r w:rsidRPr="009C3237">
        <w:rPr>
          <w:rFonts w:ascii="Times New Roman" w:hAnsi="Times New Roman"/>
          <w:sz w:val="22"/>
          <w:szCs w:val="22"/>
        </w:rPr>
        <w:t xml:space="preserve">            Vladimir Putin, </w:t>
      </w:r>
      <w:r w:rsidR="00CD422F">
        <w:rPr>
          <w:rFonts w:ascii="Times New Roman" w:hAnsi="Times New Roman"/>
          <w:sz w:val="22"/>
          <w:szCs w:val="22"/>
        </w:rPr>
        <w:t xml:space="preserve">the </w:t>
      </w:r>
      <w:r w:rsidRPr="009C3237">
        <w:rPr>
          <w:rFonts w:ascii="Times New Roman" w:hAnsi="Times New Roman"/>
          <w:sz w:val="22"/>
          <w:szCs w:val="22"/>
        </w:rPr>
        <w:t>Pres</w:t>
      </w:r>
      <w:r w:rsidR="00CD422F">
        <w:rPr>
          <w:rFonts w:ascii="Times New Roman" w:hAnsi="Times New Roman"/>
          <w:sz w:val="22"/>
          <w:szCs w:val="22"/>
        </w:rPr>
        <w:t>ident of the Russian Federation</w:t>
      </w:r>
    </w:p>
    <w:p w:rsidR="00CD422F" w:rsidRPr="009C3237" w:rsidRDefault="00CD422F" w:rsidP="009C3237">
      <w:pPr>
        <w:pStyle w:val="NoSpacing"/>
        <w:spacing w:line="360" w:lineRule="auto"/>
        <w:jc w:val="right"/>
        <w:rPr>
          <w:rFonts w:ascii="Times New Roman" w:hAnsi="Times New Roman"/>
          <w:sz w:val="22"/>
          <w:szCs w:val="22"/>
        </w:rPr>
      </w:pPr>
      <w:r>
        <w:rPr>
          <w:rFonts w:ascii="Times New Roman" w:hAnsi="Times New Roman"/>
          <w:sz w:val="22"/>
          <w:szCs w:val="22"/>
        </w:rPr>
        <w:t>August</w:t>
      </w:r>
      <w:r w:rsidR="0074034C">
        <w:rPr>
          <w:rFonts w:ascii="Times New Roman" w:hAnsi="Times New Roman"/>
          <w:sz w:val="22"/>
          <w:szCs w:val="22"/>
        </w:rPr>
        <w:t xml:space="preserve"> 8</w:t>
      </w:r>
      <w:r>
        <w:rPr>
          <w:rFonts w:ascii="Times New Roman" w:hAnsi="Times New Roman"/>
          <w:sz w:val="22"/>
          <w:szCs w:val="22"/>
        </w:rPr>
        <w:t>, 2012</w:t>
      </w:r>
    </w:p>
    <w:p w:rsidR="009C3237" w:rsidRDefault="009C3237" w:rsidP="009C3237">
      <w:pPr>
        <w:pStyle w:val="NoSpacing"/>
        <w:jc w:val="right"/>
      </w:pPr>
    </w:p>
    <w:p w:rsidR="009C3237" w:rsidRDefault="009C3237" w:rsidP="009C3237">
      <w:pPr>
        <w:pStyle w:val="NoSpacing"/>
        <w:jc w:val="right"/>
      </w:pPr>
    </w:p>
    <w:p w:rsidR="009C3237" w:rsidRDefault="009C3237" w:rsidP="009C3237">
      <w:pPr>
        <w:pStyle w:val="NoSpacing"/>
        <w:jc w:val="right"/>
      </w:pPr>
    </w:p>
    <w:p w:rsidR="009C3237" w:rsidRPr="009C3237" w:rsidRDefault="009C3237" w:rsidP="009C3237">
      <w:pPr>
        <w:pStyle w:val="NoSpacing"/>
      </w:pPr>
    </w:p>
    <w:p w:rsidR="00050BA9" w:rsidRPr="006D290C" w:rsidRDefault="003D140E" w:rsidP="006D2116">
      <w:pPr>
        <w:pStyle w:val="Heading2"/>
        <w:rPr>
          <w:color w:val="auto"/>
          <w:sz w:val="32"/>
          <w:szCs w:val="32"/>
        </w:rPr>
      </w:pPr>
      <w:bookmarkStart w:id="1" w:name="_Toc46952595"/>
      <w:r w:rsidRPr="006D290C">
        <w:rPr>
          <w:color w:val="auto"/>
          <w:sz w:val="32"/>
          <w:szCs w:val="32"/>
        </w:rPr>
        <w:t>1. Introduction</w:t>
      </w:r>
      <w:bookmarkEnd w:id="1"/>
    </w:p>
    <w:p w:rsidR="0094509A" w:rsidRDefault="0094509A" w:rsidP="00050BA9">
      <w:pPr>
        <w:spacing w:line="360" w:lineRule="auto"/>
        <w:jc w:val="both"/>
        <w:rPr>
          <w:rFonts w:ascii="Times New Roman" w:hAnsi="Times New Roman"/>
          <w:sz w:val="24"/>
          <w:szCs w:val="24"/>
        </w:rPr>
      </w:pPr>
    </w:p>
    <w:p w:rsidR="00050BA9" w:rsidRPr="006B0B75" w:rsidRDefault="00050BA9" w:rsidP="006C762C">
      <w:pPr>
        <w:spacing w:line="360" w:lineRule="auto"/>
        <w:jc w:val="both"/>
        <w:rPr>
          <w:rFonts w:ascii="Times New Roman" w:hAnsi="Times New Roman"/>
          <w:sz w:val="24"/>
          <w:szCs w:val="24"/>
        </w:rPr>
      </w:pPr>
      <w:r w:rsidRPr="006B0B75">
        <w:rPr>
          <w:rFonts w:ascii="Times New Roman" w:hAnsi="Times New Roman"/>
          <w:sz w:val="24"/>
          <w:szCs w:val="24"/>
        </w:rPr>
        <w:t xml:space="preserve">After the </w:t>
      </w:r>
      <w:r>
        <w:rPr>
          <w:rFonts w:ascii="Times New Roman" w:hAnsi="Times New Roman"/>
          <w:sz w:val="24"/>
          <w:szCs w:val="24"/>
        </w:rPr>
        <w:t xml:space="preserve">declaration of independence in </w:t>
      </w:r>
      <w:r w:rsidRPr="00E51AB8">
        <w:rPr>
          <w:rFonts w:ascii="Times New Roman" w:hAnsi="Times New Roman"/>
          <w:sz w:val="24"/>
          <w:szCs w:val="24"/>
        </w:rPr>
        <w:t>1991,</w:t>
      </w:r>
      <w:r w:rsidR="002039A0">
        <w:rPr>
          <w:rFonts w:ascii="Times New Roman" w:hAnsi="Times New Roman"/>
          <w:sz w:val="24"/>
          <w:szCs w:val="24"/>
        </w:rPr>
        <w:t xml:space="preserve"> Georgia has gone through </w:t>
      </w:r>
      <w:r w:rsidR="0086219B">
        <w:rPr>
          <w:rFonts w:ascii="Times New Roman" w:hAnsi="Times New Roman"/>
          <w:sz w:val="24"/>
          <w:szCs w:val="24"/>
        </w:rPr>
        <w:t xml:space="preserve">the phase of civil war and </w:t>
      </w:r>
      <w:r w:rsidRPr="006B0B75">
        <w:rPr>
          <w:rFonts w:ascii="Times New Roman" w:hAnsi="Times New Roman"/>
          <w:sz w:val="24"/>
          <w:szCs w:val="24"/>
        </w:rPr>
        <w:t xml:space="preserve">blood-shedding conflicts </w:t>
      </w:r>
      <w:r w:rsidR="0086219B">
        <w:rPr>
          <w:rFonts w:ascii="Times New Roman" w:hAnsi="Times New Roman"/>
          <w:sz w:val="24"/>
          <w:szCs w:val="24"/>
        </w:rPr>
        <w:t>on ethnic grounds in</w:t>
      </w:r>
      <w:r>
        <w:rPr>
          <w:rFonts w:ascii="Times New Roman" w:hAnsi="Times New Roman"/>
          <w:sz w:val="24"/>
          <w:szCs w:val="24"/>
        </w:rPr>
        <w:t xml:space="preserve"> South Ossetia (</w:t>
      </w:r>
      <w:r w:rsidRPr="00E51AB8">
        <w:rPr>
          <w:rFonts w:ascii="Times New Roman" w:hAnsi="Times New Roman"/>
          <w:sz w:val="24"/>
          <w:szCs w:val="24"/>
        </w:rPr>
        <w:t>1</w:t>
      </w:r>
      <w:r>
        <w:rPr>
          <w:rFonts w:ascii="Times New Roman" w:hAnsi="Times New Roman"/>
          <w:sz w:val="24"/>
          <w:szCs w:val="24"/>
        </w:rPr>
        <w:t>99</w:t>
      </w:r>
      <w:r w:rsidRPr="00E51AB8">
        <w:rPr>
          <w:rFonts w:ascii="Times New Roman" w:hAnsi="Times New Roman"/>
          <w:sz w:val="24"/>
          <w:szCs w:val="24"/>
        </w:rPr>
        <w:t>1</w:t>
      </w:r>
      <w:r>
        <w:rPr>
          <w:rFonts w:ascii="Times New Roman" w:hAnsi="Times New Roman"/>
          <w:sz w:val="24"/>
          <w:szCs w:val="24"/>
        </w:rPr>
        <w:t>-</w:t>
      </w:r>
      <w:r w:rsidRPr="00E51AB8">
        <w:rPr>
          <w:rFonts w:ascii="Times New Roman" w:hAnsi="Times New Roman"/>
          <w:sz w:val="24"/>
          <w:szCs w:val="24"/>
        </w:rPr>
        <w:t>1</w:t>
      </w:r>
      <w:r>
        <w:rPr>
          <w:rFonts w:ascii="Times New Roman" w:hAnsi="Times New Roman"/>
          <w:sz w:val="24"/>
          <w:szCs w:val="24"/>
        </w:rPr>
        <w:t>992) and Abkhazia (</w:t>
      </w:r>
      <w:r w:rsidRPr="00E51AB8">
        <w:rPr>
          <w:rFonts w:ascii="Times New Roman" w:hAnsi="Times New Roman"/>
          <w:sz w:val="24"/>
          <w:szCs w:val="24"/>
        </w:rPr>
        <w:t>1</w:t>
      </w:r>
      <w:r>
        <w:rPr>
          <w:rFonts w:ascii="Times New Roman" w:hAnsi="Times New Roman"/>
          <w:sz w:val="24"/>
          <w:szCs w:val="24"/>
        </w:rPr>
        <w:t>992-</w:t>
      </w:r>
      <w:r w:rsidRPr="00E51AB8">
        <w:rPr>
          <w:rFonts w:ascii="Times New Roman" w:hAnsi="Times New Roman"/>
          <w:sz w:val="24"/>
          <w:szCs w:val="24"/>
        </w:rPr>
        <w:t>1</w:t>
      </w:r>
      <w:r w:rsidRPr="006B0B75">
        <w:rPr>
          <w:rFonts w:ascii="Times New Roman" w:hAnsi="Times New Roman"/>
          <w:sz w:val="24"/>
          <w:szCs w:val="24"/>
        </w:rPr>
        <w:t>993).</w:t>
      </w:r>
      <w:r>
        <w:rPr>
          <w:rStyle w:val="FootnoteReference"/>
          <w:rFonts w:ascii="Times New Roman" w:hAnsi="Times New Roman"/>
          <w:sz w:val="24"/>
          <w:szCs w:val="24"/>
        </w:rPr>
        <w:footnoteReference w:id="2"/>
      </w:r>
      <w:r w:rsidRPr="006B0B75">
        <w:rPr>
          <w:rFonts w:ascii="Times New Roman" w:hAnsi="Times New Roman"/>
          <w:sz w:val="24"/>
          <w:szCs w:val="24"/>
        </w:rPr>
        <w:t xml:space="preserve"> </w:t>
      </w:r>
      <w:r w:rsidR="002C54FC">
        <w:rPr>
          <w:rFonts w:ascii="Times New Roman" w:hAnsi="Times New Roman"/>
          <w:sz w:val="24"/>
          <w:szCs w:val="24"/>
        </w:rPr>
        <w:t>The n</w:t>
      </w:r>
      <w:r w:rsidR="001C23E3">
        <w:rPr>
          <w:rFonts w:ascii="Times New Roman" w:hAnsi="Times New Roman"/>
          <w:sz w:val="24"/>
          <w:szCs w:val="24"/>
        </w:rPr>
        <w:t>ewly emerged state experienced a decade</w:t>
      </w:r>
      <w:r w:rsidRPr="006B0B75">
        <w:rPr>
          <w:rFonts w:ascii="Times New Roman" w:hAnsi="Times New Roman"/>
          <w:sz w:val="24"/>
          <w:szCs w:val="24"/>
        </w:rPr>
        <w:t xml:space="preserve"> of pove</w:t>
      </w:r>
      <w:r w:rsidR="002039A0">
        <w:rPr>
          <w:rFonts w:ascii="Times New Roman" w:hAnsi="Times New Roman"/>
          <w:sz w:val="24"/>
          <w:szCs w:val="24"/>
        </w:rPr>
        <w:t xml:space="preserve">rty, territorial disintegration, </w:t>
      </w:r>
      <w:r w:rsidR="001C23E3">
        <w:rPr>
          <w:rFonts w:ascii="Times New Roman" w:hAnsi="Times New Roman"/>
          <w:sz w:val="24"/>
          <w:szCs w:val="24"/>
        </w:rPr>
        <w:t xml:space="preserve">and </w:t>
      </w:r>
      <w:r w:rsidR="0012149F">
        <w:rPr>
          <w:rFonts w:ascii="Times New Roman" w:hAnsi="Times New Roman"/>
          <w:sz w:val="24"/>
          <w:szCs w:val="24"/>
        </w:rPr>
        <w:t>tumultuous economic problems</w:t>
      </w:r>
      <w:r w:rsidRPr="006B0B75">
        <w:rPr>
          <w:rFonts w:ascii="Times New Roman" w:hAnsi="Times New Roman"/>
          <w:sz w:val="24"/>
          <w:szCs w:val="24"/>
        </w:rPr>
        <w:t xml:space="preserve">. In </w:t>
      </w:r>
      <w:r w:rsidR="002039A0">
        <w:rPr>
          <w:rFonts w:ascii="Times New Roman" w:hAnsi="Times New Roman"/>
          <w:sz w:val="24"/>
          <w:szCs w:val="24"/>
        </w:rPr>
        <w:t xml:space="preserve">the </w:t>
      </w:r>
      <w:r w:rsidRPr="006B0B75">
        <w:rPr>
          <w:rFonts w:ascii="Times New Roman" w:hAnsi="Times New Roman"/>
          <w:sz w:val="24"/>
          <w:szCs w:val="24"/>
        </w:rPr>
        <w:t xml:space="preserve">early 2000s’, </w:t>
      </w:r>
      <w:r w:rsidR="002C54FC">
        <w:rPr>
          <w:rFonts w:ascii="Times New Roman" w:hAnsi="Times New Roman"/>
          <w:sz w:val="24"/>
          <w:szCs w:val="24"/>
        </w:rPr>
        <w:t xml:space="preserve">the </w:t>
      </w:r>
      <w:r w:rsidR="001C23E3">
        <w:rPr>
          <w:rFonts w:ascii="Times New Roman" w:hAnsi="Times New Roman"/>
          <w:sz w:val="24"/>
          <w:szCs w:val="24"/>
        </w:rPr>
        <w:t>Georgian political spectrum viewed the rise of</w:t>
      </w:r>
      <w:r w:rsidRPr="006B0B75">
        <w:rPr>
          <w:rFonts w:ascii="Times New Roman" w:hAnsi="Times New Roman"/>
          <w:sz w:val="24"/>
          <w:szCs w:val="24"/>
        </w:rPr>
        <w:t xml:space="preserve"> </w:t>
      </w:r>
      <w:r w:rsidR="002C54FC">
        <w:rPr>
          <w:rFonts w:ascii="Times New Roman" w:hAnsi="Times New Roman"/>
          <w:sz w:val="24"/>
          <w:szCs w:val="24"/>
        </w:rPr>
        <w:t xml:space="preserve">the </w:t>
      </w:r>
      <w:r w:rsidRPr="006B0B75">
        <w:rPr>
          <w:rFonts w:ascii="Times New Roman" w:hAnsi="Times New Roman"/>
          <w:sz w:val="24"/>
          <w:szCs w:val="24"/>
        </w:rPr>
        <w:t>pro-European political group under the leadership of Mikheil S</w:t>
      </w:r>
      <w:r>
        <w:rPr>
          <w:rFonts w:ascii="Times New Roman" w:hAnsi="Times New Roman"/>
          <w:sz w:val="24"/>
          <w:szCs w:val="24"/>
        </w:rPr>
        <w:t>aakashvili</w:t>
      </w:r>
      <w:r w:rsidRPr="006B0B75">
        <w:rPr>
          <w:rFonts w:ascii="Times New Roman" w:hAnsi="Times New Roman"/>
          <w:sz w:val="24"/>
          <w:szCs w:val="24"/>
        </w:rPr>
        <w:t>.</w:t>
      </w:r>
      <w:r>
        <w:rPr>
          <w:rStyle w:val="FootnoteReference"/>
          <w:rFonts w:ascii="Times New Roman" w:hAnsi="Times New Roman"/>
          <w:sz w:val="24"/>
          <w:szCs w:val="24"/>
        </w:rPr>
        <w:footnoteReference w:id="3"/>
      </w:r>
      <w:r w:rsidRPr="006B0B75">
        <w:rPr>
          <w:rFonts w:ascii="Times New Roman" w:hAnsi="Times New Roman"/>
          <w:sz w:val="24"/>
          <w:szCs w:val="24"/>
        </w:rPr>
        <w:t xml:space="preserve"> </w:t>
      </w:r>
      <w:r w:rsidR="0012149F">
        <w:rPr>
          <w:rFonts w:ascii="Times New Roman" w:hAnsi="Times New Roman"/>
          <w:sz w:val="24"/>
          <w:szCs w:val="24"/>
        </w:rPr>
        <w:t>Saakashvili’s active reforms put the country o</w:t>
      </w:r>
      <w:r w:rsidR="004952D5">
        <w:rPr>
          <w:rFonts w:ascii="Times New Roman" w:hAnsi="Times New Roman"/>
          <w:sz w:val="24"/>
          <w:szCs w:val="24"/>
        </w:rPr>
        <w:t>n the course of</w:t>
      </w:r>
      <w:r w:rsidRPr="006B0B75">
        <w:rPr>
          <w:rFonts w:ascii="Times New Roman" w:hAnsi="Times New Roman"/>
          <w:sz w:val="24"/>
          <w:szCs w:val="24"/>
        </w:rPr>
        <w:t xml:space="preserve"> instit</w:t>
      </w:r>
      <w:r w:rsidR="0012149F">
        <w:rPr>
          <w:rFonts w:ascii="Times New Roman" w:hAnsi="Times New Roman"/>
          <w:sz w:val="24"/>
          <w:szCs w:val="24"/>
        </w:rPr>
        <w:t>utionalization,</w:t>
      </w:r>
      <w:r w:rsidR="002039A0">
        <w:rPr>
          <w:rFonts w:ascii="Times New Roman" w:hAnsi="Times New Roman"/>
          <w:sz w:val="24"/>
          <w:szCs w:val="24"/>
        </w:rPr>
        <w:t xml:space="preserve"> state-building, </w:t>
      </w:r>
      <w:r w:rsidRPr="006B0B75">
        <w:rPr>
          <w:rFonts w:ascii="Times New Roman" w:hAnsi="Times New Roman"/>
          <w:sz w:val="24"/>
          <w:szCs w:val="24"/>
        </w:rPr>
        <w:t xml:space="preserve">and </w:t>
      </w:r>
      <w:r w:rsidR="002039A0">
        <w:rPr>
          <w:rFonts w:ascii="Times New Roman" w:hAnsi="Times New Roman"/>
          <w:sz w:val="24"/>
          <w:szCs w:val="24"/>
        </w:rPr>
        <w:t xml:space="preserve">the </w:t>
      </w:r>
      <w:r w:rsidRPr="006B0B75">
        <w:rPr>
          <w:rFonts w:ascii="Times New Roman" w:hAnsi="Times New Roman"/>
          <w:sz w:val="24"/>
          <w:szCs w:val="24"/>
        </w:rPr>
        <w:t>overall betterment of the social-ec</w:t>
      </w:r>
      <w:r w:rsidR="0012149F">
        <w:rPr>
          <w:rFonts w:ascii="Times New Roman" w:hAnsi="Times New Roman"/>
          <w:sz w:val="24"/>
          <w:szCs w:val="24"/>
        </w:rPr>
        <w:t>onomic conditions. In August 2008,</w:t>
      </w:r>
      <w:r w:rsidRPr="006B0B75">
        <w:rPr>
          <w:rFonts w:ascii="Times New Roman" w:hAnsi="Times New Roman"/>
          <w:sz w:val="24"/>
          <w:szCs w:val="24"/>
        </w:rPr>
        <w:t xml:space="preserve"> Georgia was once again dragged into milit</w:t>
      </w:r>
      <w:r w:rsidR="0012149F">
        <w:rPr>
          <w:rFonts w:ascii="Times New Roman" w:hAnsi="Times New Roman"/>
          <w:sz w:val="24"/>
          <w:szCs w:val="24"/>
        </w:rPr>
        <w:t>ary conflict with Russia over the region of Tskhinvali/South Ossetia</w:t>
      </w:r>
      <w:r>
        <w:rPr>
          <w:rFonts w:ascii="Times New Roman" w:hAnsi="Times New Roman"/>
          <w:b/>
          <w:sz w:val="24"/>
          <w:szCs w:val="24"/>
        </w:rPr>
        <w:t>.</w:t>
      </w:r>
      <w:r>
        <w:rPr>
          <w:rStyle w:val="FootnoteReference"/>
          <w:rFonts w:ascii="Times New Roman" w:hAnsi="Times New Roman"/>
          <w:b/>
          <w:sz w:val="24"/>
          <w:szCs w:val="24"/>
        </w:rPr>
        <w:footnoteReference w:id="4"/>
      </w:r>
      <w:r w:rsidRPr="006B0B75">
        <w:rPr>
          <w:rFonts w:ascii="Times New Roman" w:hAnsi="Times New Roman"/>
          <w:sz w:val="24"/>
          <w:szCs w:val="24"/>
        </w:rPr>
        <w:t xml:space="preserve"> This was the firs</w:t>
      </w:r>
      <w:r w:rsidR="002039A0">
        <w:rPr>
          <w:rFonts w:ascii="Times New Roman" w:hAnsi="Times New Roman"/>
          <w:sz w:val="24"/>
          <w:szCs w:val="24"/>
        </w:rPr>
        <w:t>t time for almost three decades</w:t>
      </w:r>
      <w:r w:rsidRPr="006B0B75">
        <w:rPr>
          <w:rFonts w:ascii="Times New Roman" w:hAnsi="Times New Roman"/>
          <w:sz w:val="24"/>
          <w:szCs w:val="24"/>
        </w:rPr>
        <w:t xml:space="preserve"> when the Russian Federation </w:t>
      </w:r>
      <w:r w:rsidR="002C54FC">
        <w:rPr>
          <w:rFonts w:ascii="Times New Roman" w:hAnsi="Times New Roman"/>
          <w:sz w:val="24"/>
          <w:szCs w:val="24"/>
        </w:rPr>
        <w:t>intervene</w:t>
      </w:r>
      <w:r w:rsidR="0012149F">
        <w:rPr>
          <w:rFonts w:ascii="Times New Roman" w:hAnsi="Times New Roman"/>
          <w:sz w:val="24"/>
          <w:szCs w:val="24"/>
        </w:rPr>
        <w:t xml:space="preserve">d and </w:t>
      </w:r>
      <w:r w:rsidRPr="006B0B75">
        <w:rPr>
          <w:rFonts w:ascii="Times New Roman" w:hAnsi="Times New Roman"/>
          <w:sz w:val="24"/>
          <w:szCs w:val="24"/>
        </w:rPr>
        <w:t>attacked t</w:t>
      </w:r>
      <w:r>
        <w:rPr>
          <w:rFonts w:ascii="Times New Roman" w:hAnsi="Times New Roman"/>
          <w:sz w:val="24"/>
          <w:szCs w:val="24"/>
        </w:rPr>
        <w:t>he sovereign state on its soil.</w:t>
      </w:r>
      <w:r>
        <w:rPr>
          <w:rStyle w:val="FootnoteReference"/>
          <w:rFonts w:ascii="Times New Roman" w:hAnsi="Times New Roman"/>
          <w:sz w:val="24"/>
          <w:szCs w:val="24"/>
        </w:rPr>
        <w:footnoteReference w:id="5"/>
      </w:r>
      <w:r w:rsidR="002C54FC">
        <w:rPr>
          <w:rFonts w:ascii="Times New Roman" w:hAnsi="Times New Roman"/>
          <w:sz w:val="24"/>
          <w:szCs w:val="24"/>
        </w:rPr>
        <w:t xml:space="preserve"> The five-day war in 2008 wreaked </w:t>
      </w:r>
      <w:r w:rsidR="0012149F">
        <w:rPr>
          <w:rFonts w:ascii="Times New Roman" w:hAnsi="Times New Roman"/>
          <w:sz w:val="24"/>
          <w:szCs w:val="24"/>
        </w:rPr>
        <w:t xml:space="preserve">havoc into the </w:t>
      </w:r>
      <w:r w:rsidR="002C54FC">
        <w:rPr>
          <w:rFonts w:ascii="Times New Roman" w:hAnsi="Times New Roman"/>
          <w:sz w:val="24"/>
          <w:szCs w:val="24"/>
        </w:rPr>
        <w:t>e</w:t>
      </w:r>
      <w:r w:rsidR="0012149F">
        <w:rPr>
          <w:rFonts w:ascii="Times New Roman" w:hAnsi="Times New Roman"/>
          <w:sz w:val="24"/>
          <w:szCs w:val="24"/>
        </w:rPr>
        <w:t xml:space="preserve">conomy and territorial integrity of Georgia and forced several thousands of people to flee their homes. As of 2020, the country has more than </w:t>
      </w:r>
      <w:r w:rsidRPr="006B0B75">
        <w:rPr>
          <w:rFonts w:ascii="Times New Roman" w:hAnsi="Times New Roman"/>
          <w:sz w:val="24"/>
          <w:szCs w:val="24"/>
        </w:rPr>
        <w:t>250,000</w:t>
      </w:r>
      <w:r w:rsidR="004952D5">
        <w:rPr>
          <w:rFonts w:ascii="Times New Roman" w:hAnsi="Times New Roman"/>
          <w:sz w:val="24"/>
          <w:szCs w:val="24"/>
        </w:rPr>
        <w:t xml:space="preserve"> </w:t>
      </w:r>
      <w:r w:rsidRPr="006B0B75">
        <w:rPr>
          <w:rFonts w:ascii="Times New Roman" w:hAnsi="Times New Roman"/>
          <w:sz w:val="24"/>
          <w:szCs w:val="24"/>
        </w:rPr>
        <w:t>inter</w:t>
      </w:r>
      <w:r w:rsidR="0012149F">
        <w:rPr>
          <w:rFonts w:ascii="Times New Roman" w:hAnsi="Times New Roman"/>
          <w:sz w:val="24"/>
          <w:szCs w:val="24"/>
        </w:rPr>
        <w:t xml:space="preserve">nally displaced persons (IDPs) and </w:t>
      </w:r>
      <w:r w:rsidRPr="006B0B75">
        <w:rPr>
          <w:rFonts w:ascii="Times New Roman" w:hAnsi="Times New Roman"/>
          <w:sz w:val="24"/>
          <w:szCs w:val="24"/>
        </w:rPr>
        <w:t>more than 20</w:t>
      </w:r>
      <w:proofErr w:type="gramStart"/>
      <w:r w:rsidRPr="006B0B75">
        <w:rPr>
          <w:rFonts w:ascii="Times New Roman" w:hAnsi="Times New Roman"/>
          <w:sz w:val="24"/>
          <w:szCs w:val="24"/>
        </w:rPr>
        <w:t>%  of</w:t>
      </w:r>
      <w:proofErr w:type="gramEnd"/>
      <w:r w:rsidRPr="006B0B75">
        <w:rPr>
          <w:rFonts w:ascii="Times New Roman" w:hAnsi="Times New Roman"/>
          <w:sz w:val="24"/>
          <w:szCs w:val="24"/>
        </w:rPr>
        <w:t xml:space="preserve"> </w:t>
      </w:r>
      <w:r w:rsidR="002039A0">
        <w:rPr>
          <w:rFonts w:ascii="Times New Roman" w:hAnsi="Times New Roman"/>
          <w:sz w:val="24"/>
          <w:szCs w:val="24"/>
        </w:rPr>
        <w:t xml:space="preserve">the </w:t>
      </w:r>
      <w:r w:rsidR="0012149F">
        <w:rPr>
          <w:rFonts w:ascii="Times New Roman" w:hAnsi="Times New Roman"/>
          <w:sz w:val="24"/>
          <w:szCs w:val="24"/>
        </w:rPr>
        <w:t xml:space="preserve">Georgian </w:t>
      </w:r>
      <w:r w:rsidRPr="006B0B75">
        <w:rPr>
          <w:rFonts w:ascii="Times New Roman" w:hAnsi="Times New Roman"/>
          <w:sz w:val="24"/>
          <w:szCs w:val="24"/>
        </w:rPr>
        <w:t xml:space="preserve">territory </w:t>
      </w:r>
      <w:r w:rsidR="0012149F">
        <w:rPr>
          <w:rFonts w:ascii="Times New Roman" w:hAnsi="Times New Roman"/>
          <w:sz w:val="24"/>
          <w:szCs w:val="24"/>
        </w:rPr>
        <w:t xml:space="preserve">is </w:t>
      </w:r>
      <w:r w:rsidRPr="006B0B75">
        <w:rPr>
          <w:rFonts w:ascii="Times New Roman" w:hAnsi="Times New Roman"/>
          <w:sz w:val="24"/>
          <w:szCs w:val="24"/>
        </w:rPr>
        <w:t>under the occupation</w:t>
      </w:r>
      <w:r w:rsidR="0012149F">
        <w:rPr>
          <w:rFonts w:ascii="Times New Roman" w:hAnsi="Times New Roman"/>
          <w:sz w:val="24"/>
          <w:szCs w:val="24"/>
        </w:rPr>
        <w:t xml:space="preserve"> of Russia. </w:t>
      </w:r>
      <w:r>
        <w:rPr>
          <w:rStyle w:val="FootnoteReference"/>
          <w:rFonts w:ascii="Times New Roman" w:hAnsi="Times New Roman"/>
          <w:sz w:val="24"/>
          <w:szCs w:val="24"/>
        </w:rPr>
        <w:footnoteReference w:id="6"/>
      </w:r>
    </w:p>
    <w:p w:rsidR="00050BA9" w:rsidRPr="006B0B75" w:rsidRDefault="00050BA9" w:rsidP="006C762C">
      <w:pPr>
        <w:spacing w:line="360" w:lineRule="auto"/>
        <w:jc w:val="both"/>
        <w:rPr>
          <w:rFonts w:ascii="Times New Roman" w:hAnsi="Times New Roman"/>
          <w:sz w:val="24"/>
          <w:szCs w:val="24"/>
        </w:rPr>
      </w:pPr>
      <w:r w:rsidRPr="006B0B75">
        <w:rPr>
          <w:rFonts w:ascii="Times New Roman" w:hAnsi="Times New Roman"/>
          <w:sz w:val="24"/>
          <w:szCs w:val="24"/>
        </w:rPr>
        <w:lastRenderedPageBreak/>
        <w:t xml:space="preserve">Georgia’s </w:t>
      </w:r>
      <w:r w:rsidR="00AF0285">
        <w:rPr>
          <w:rFonts w:ascii="Times New Roman" w:hAnsi="Times New Roman"/>
          <w:sz w:val="24"/>
          <w:szCs w:val="24"/>
        </w:rPr>
        <w:t xml:space="preserve">territorial integrity is widely supported by the international community. </w:t>
      </w:r>
      <w:r w:rsidRPr="006B0B75">
        <w:rPr>
          <w:rFonts w:ascii="Times New Roman" w:hAnsi="Times New Roman"/>
          <w:sz w:val="24"/>
          <w:szCs w:val="24"/>
        </w:rPr>
        <w:t xml:space="preserve">After the war in 2008, the European Union has emerged as one of the major actors in </w:t>
      </w:r>
      <w:r w:rsidR="00FE47DF">
        <w:rPr>
          <w:rFonts w:ascii="Times New Roman" w:hAnsi="Times New Roman"/>
          <w:sz w:val="24"/>
          <w:szCs w:val="24"/>
        </w:rPr>
        <w:t xml:space="preserve">the </w:t>
      </w:r>
      <w:r w:rsidRPr="006B0B75">
        <w:rPr>
          <w:rFonts w:ascii="Times New Roman" w:hAnsi="Times New Roman"/>
          <w:sz w:val="24"/>
          <w:szCs w:val="24"/>
        </w:rPr>
        <w:t xml:space="preserve">conflict resolution process in </w:t>
      </w:r>
      <w:r w:rsidR="00FE47DF">
        <w:rPr>
          <w:rFonts w:ascii="Times New Roman" w:hAnsi="Times New Roman"/>
          <w:sz w:val="24"/>
          <w:szCs w:val="24"/>
        </w:rPr>
        <w:t xml:space="preserve">the </w:t>
      </w:r>
      <w:r w:rsidRPr="006B0B75">
        <w:rPr>
          <w:rFonts w:ascii="Times New Roman" w:hAnsi="Times New Roman"/>
          <w:sz w:val="24"/>
          <w:szCs w:val="24"/>
        </w:rPr>
        <w:t>breaka</w:t>
      </w:r>
      <w:r w:rsidR="00AF0285">
        <w:rPr>
          <w:rFonts w:ascii="Times New Roman" w:hAnsi="Times New Roman"/>
          <w:sz w:val="24"/>
          <w:szCs w:val="24"/>
        </w:rPr>
        <w:t xml:space="preserve">way entities of Georgia. The EU’s conflict mediation efforts were well-illustrated in </w:t>
      </w:r>
      <w:r w:rsidR="002C54FC">
        <w:rPr>
          <w:rFonts w:ascii="Times New Roman" w:hAnsi="Times New Roman"/>
          <w:sz w:val="24"/>
          <w:szCs w:val="24"/>
        </w:rPr>
        <w:t xml:space="preserve">the </w:t>
      </w:r>
      <w:r w:rsidR="00AF0285">
        <w:rPr>
          <w:rFonts w:ascii="Times New Roman" w:hAnsi="Times New Roman"/>
          <w:sz w:val="24"/>
          <w:szCs w:val="24"/>
        </w:rPr>
        <w:t xml:space="preserve">successful negotiation of </w:t>
      </w:r>
      <w:r w:rsidR="002C54FC">
        <w:rPr>
          <w:rFonts w:ascii="Times New Roman" w:hAnsi="Times New Roman"/>
          <w:sz w:val="24"/>
          <w:szCs w:val="24"/>
        </w:rPr>
        <w:t xml:space="preserve">a </w:t>
      </w:r>
      <w:r w:rsidR="00AF0285">
        <w:rPr>
          <w:rFonts w:ascii="Times New Roman" w:hAnsi="Times New Roman"/>
          <w:sz w:val="24"/>
          <w:szCs w:val="24"/>
        </w:rPr>
        <w:t xml:space="preserve">six-point ceasefire agreement in 2008 between Russia and Georgia. The EU’s posture as a leading conflict mediator in regions was further strengthened by </w:t>
      </w:r>
      <w:r w:rsidRPr="006B0B75">
        <w:rPr>
          <w:rFonts w:ascii="Times New Roman" w:hAnsi="Times New Roman"/>
          <w:sz w:val="24"/>
          <w:szCs w:val="24"/>
        </w:rPr>
        <w:t>deployment of the EU Monitor</w:t>
      </w:r>
      <w:r w:rsidR="00AF0285">
        <w:rPr>
          <w:rFonts w:ascii="Times New Roman" w:hAnsi="Times New Roman"/>
          <w:sz w:val="24"/>
          <w:szCs w:val="24"/>
        </w:rPr>
        <w:t>ing Mission</w:t>
      </w:r>
      <w:r w:rsidR="00FE47DF">
        <w:rPr>
          <w:rFonts w:ascii="Times New Roman" w:hAnsi="Times New Roman"/>
          <w:sz w:val="24"/>
          <w:szCs w:val="24"/>
        </w:rPr>
        <w:t xml:space="preserve"> (EUMM) in conflict-</w:t>
      </w:r>
      <w:r w:rsidRPr="006B0B75">
        <w:rPr>
          <w:rFonts w:ascii="Times New Roman" w:hAnsi="Times New Roman"/>
          <w:sz w:val="24"/>
          <w:szCs w:val="24"/>
        </w:rPr>
        <w:t xml:space="preserve">affected areas, </w:t>
      </w:r>
      <w:r w:rsidR="00FE47DF">
        <w:rPr>
          <w:rFonts w:ascii="Times New Roman" w:hAnsi="Times New Roman"/>
          <w:sz w:val="24"/>
          <w:szCs w:val="24"/>
        </w:rPr>
        <w:t xml:space="preserve">the </w:t>
      </w:r>
      <w:r w:rsidRPr="006B0B75">
        <w:rPr>
          <w:rFonts w:ascii="Times New Roman" w:hAnsi="Times New Roman"/>
          <w:sz w:val="24"/>
          <w:szCs w:val="24"/>
        </w:rPr>
        <w:t>appointment of the EU Special Represen</w:t>
      </w:r>
      <w:r w:rsidR="00FE47DF">
        <w:rPr>
          <w:rFonts w:ascii="Times New Roman" w:hAnsi="Times New Roman"/>
          <w:sz w:val="24"/>
          <w:szCs w:val="24"/>
        </w:rPr>
        <w:t xml:space="preserve">tative in South Caucasus (EUSR), </w:t>
      </w:r>
      <w:r w:rsidRPr="006B0B75">
        <w:rPr>
          <w:rFonts w:ascii="Times New Roman" w:hAnsi="Times New Roman"/>
          <w:sz w:val="24"/>
          <w:szCs w:val="24"/>
        </w:rPr>
        <w:t xml:space="preserve">and </w:t>
      </w:r>
      <w:r w:rsidR="00AF0285">
        <w:rPr>
          <w:rFonts w:ascii="Times New Roman" w:hAnsi="Times New Roman"/>
          <w:sz w:val="24"/>
          <w:szCs w:val="24"/>
        </w:rPr>
        <w:t xml:space="preserve">chairmanship </w:t>
      </w:r>
      <w:r w:rsidRPr="006B0B75">
        <w:rPr>
          <w:rFonts w:ascii="Times New Roman" w:hAnsi="Times New Roman"/>
          <w:sz w:val="24"/>
          <w:szCs w:val="24"/>
        </w:rPr>
        <w:t>in the Geneva Interna</w:t>
      </w:r>
      <w:r w:rsidR="00AF0285">
        <w:rPr>
          <w:rFonts w:ascii="Times New Roman" w:hAnsi="Times New Roman"/>
          <w:sz w:val="24"/>
          <w:szCs w:val="24"/>
        </w:rPr>
        <w:t>tional Discussions (GID)</w:t>
      </w:r>
      <w:r>
        <w:rPr>
          <w:rFonts w:ascii="Times New Roman" w:hAnsi="Times New Roman"/>
          <w:sz w:val="24"/>
          <w:szCs w:val="24"/>
        </w:rPr>
        <w:t>.</w:t>
      </w:r>
      <w:r>
        <w:rPr>
          <w:rStyle w:val="FootnoteReference"/>
          <w:rFonts w:ascii="Times New Roman" w:hAnsi="Times New Roman"/>
          <w:sz w:val="24"/>
          <w:szCs w:val="24"/>
        </w:rPr>
        <w:footnoteReference w:id="7"/>
      </w:r>
      <w:r w:rsidR="0038428A">
        <w:rPr>
          <w:rFonts w:ascii="Times New Roman" w:hAnsi="Times New Roman"/>
          <w:sz w:val="24"/>
          <w:szCs w:val="24"/>
        </w:rPr>
        <w:t xml:space="preserve"> </w:t>
      </w:r>
      <w:r w:rsidR="003A16DC">
        <w:rPr>
          <w:rFonts w:ascii="Times New Roman" w:hAnsi="Times New Roman"/>
          <w:sz w:val="24"/>
          <w:szCs w:val="24"/>
        </w:rPr>
        <w:t>Despite initial success</w:t>
      </w:r>
      <w:r w:rsidR="00CA4233">
        <w:rPr>
          <w:rFonts w:ascii="Times New Roman" w:hAnsi="Times New Roman"/>
          <w:sz w:val="24"/>
          <w:szCs w:val="24"/>
        </w:rPr>
        <w:t xml:space="preserve">, </w:t>
      </w:r>
      <w:r w:rsidR="002C54FC">
        <w:rPr>
          <w:rFonts w:ascii="Times New Roman" w:hAnsi="Times New Roman"/>
          <w:sz w:val="24"/>
          <w:szCs w:val="24"/>
        </w:rPr>
        <w:t xml:space="preserve">the </w:t>
      </w:r>
      <w:r w:rsidR="00CA4233">
        <w:rPr>
          <w:rFonts w:ascii="Times New Roman" w:hAnsi="Times New Roman"/>
          <w:sz w:val="24"/>
          <w:szCs w:val="24"/>
        </w:rPr>
        <w:t xml:space="preserve">efficiency of </w:t>
      </w:r>
      <w:r w:rsidR="003A16DC">
        <w:rPr>
          <w:rFonts w:ascii="Times New Roman" w:hAnsi="Times New Roman"/>
          <w:sz w:val="24"/>
          <w:szCs w:val="24"/>
        </w:rPr>
        <w:t xml:space="preserve">the </w:t>
      </w:r>
      <w:r w:rsidRPr="006B0B75">
        <w:rPr>
          <w:rFonts w:ascii="Times New Roman" w:hAnsi="Times New Roman"/>
          <w:sz w:val="24"/>
          <w:szCs w:val="24"/>
        </w:rPr>
        <w:t>EU</w:t>
      </w:r>
      <w:r w:rsidR="00CA4233">
        <w:rPr>
          <w:rFonts w:ascii="Times New Roman" w:hAnsi="Times New Roman"/>
          <w:sz w:val="24"/>
          <w:szCs w:val="24"/>
        </w:rPr>
        <w:t xml:space="preserve">’s long-term </w:t>
      </w:r>
      <w:r w:rsidR="002C54FC">
        <w:rPr>
          <w:rFonts w:ascii="Times New Roman" w:hAnsi="Times New Roman"/>
          <w:sz w:val="24"/>
          <w:szCs w:val="24"/>
        </w:rPr>
        <w:t>conflict settlement strategy poses many</w:t>
      </w:r>
      <w:r w:rsidR="00CA4233">
        <w:rPr>
          <w:rFonts w:ascii="Times New Roman" w:hAnsi="Times New Roman"/>
          <w:sz w:val="24"/>
          <w:szCs w:val="24"/>
        </w:rPr>
        <w:t xml:space="preserve"> questions. </w:t>
      </w:r>
      <w:r w:rsidRPr="006B0B75">
        <w:rPr>
          <w:rFonts w:ascii="Times New Roman" w:hAnsi="Times New Roman"/>
          <w:sz w:val="24"/>
          <w:szCs w:val="24"/>
        </w:rPr>
        <w:t xml:space="preserve"> </w:t>
      </w:r>
      <w:r w:rsidR="00CA4233">
        <w:rPr>
          <w:rFonts w:ascii="Times New Roman" w:hAnsi="Times New Roman"/>
          <w:sz w:val="24"/>
          <w:szCs w:val="24"/>
        </w:rPr>
        <w:t xml:space="preserve">The secessionist </w:t>
      </w:r>
      <w:r w:rsidRPr="006B0B75">
        <w:rPr>
          <w:rFonts w:ascii="Times New Roman" w:hAnsi="Times New Roman"/>
          <w:sz w:val="24"/>
          <w:szCs w:val="24"/>
        </w:rPr>
        <w:t xml:space="preserve">conflicts remain stuck in </w:t>
      </w:r>
      <w:r w:rsidR="00CA4233">
        <w:rPr>
          <w:rFonts w:ascii="Times New Roman" w:hAnsi="Times New Roman"/>
          <w:sz w:val="24"/>
          <w:szCs w:val="24"/>
        </w:rPr>
        <w:t xml:space="preserve">the </w:t>
      </w:r>
      <w:r w:rsidRPr="006B0B75">
        <w:rPr>
          <w:rFonts w:ascii="Times New Roman" w:hAnsi="Times New Roman"/>
          <w:sz w:val="24"/>
          <w:szCs w:val="24"/>
        </w:rPr>
        <w:t>‘f</w:t>
      </w:r>
      <w:r w:rsidR="00E95849">
        <w:rPr>
          <w:rFonts w:ascii="Times New Roman" w:hAnsi="Times New Roman"/>
          <w:sz w:val="24"/>
          <w:szCs w:val="24"/>
        </w:rPr>
        <w:t>rozen’ state, the Kremlin has not</w:t>
      </w:r>
      <w:r w:rsidRPr="006B0B75">
        <w:rPr>
          <w:rFonts w:ascii="Times New Roman" w:hAnsi="Times New Roman"/>
          <w:sz w:val="24"/>
          <w:szCs w:val="24"/>
        </w:rPr>
        <w:t xml:space="preserve"> fulfilled any of its legal </w:t>
      </w:r>
      <w:r w:rsidR="00CA4233">
        <w:rPr>
          <w:rFonts w:ascii="Times New Roman" w:hAnsi="Times New Roman"/>
          <w:sz w:val="24"/>
          <w:szCs w:val="24"/>
        </w:rPr>
        <w:t xml:space="preserve">obligations </w:t>
      </w:r>
      <w:r w:rsidRPr="006B0B75">
        <w:rPr>
          <w:rFonts w:ascii="Times New Roman" w:hAnsi="Times New Roman"/>
          <w:sz w:val="24"/>
          <w:szCs w:val="24"/>
        </w:rPr>
        <w:t xml:space="preserve">outlined in </w:t>
      </w:r>
      <w:r w:rsidR="0038428A">
        <w:rPr>
          <w:rFonts w:ascii="Times New Roman" w:hAnsi="Times New Roman"/>
          <w:sz w:val="24"/>
          <w:szCs w:val="24"/>
        </w:rPr>
        <w:t xml:space="preserve">the </w:t>
      </w:r>
      <w:r w:rsidRPr="006B0B75">
        <w:rPr>
          <w:rFonts w:ascii="Times New Roman" w:hAnsi="Times New Roman"/>
          <w:sz w:val="24"/>
          <w:szCs w:val="24"/>
        </w:rPr>
        <w:t>ce</w:t>
      </w:r>
      <w:r w:rsidR="00CA4233">
        <w:rPr>
          <w:rFonts w:ascii="Times New Roman" w:hAnsi="Times New Roman"/>
          <w:sz w:val="24"/>
          <w:szCs w:val="24"/>
        </w:rPr>
        <w:t xml:space="preserve">asefire agreement, 50 rounds of the GID failed to deliver positive change, </w:t>
      </w:r>
      <w:r w:rsidRPr="006B0B75">
        <w:rPr>
          <w:rFonts w:ascii="Times New Roman" w:hAnsi="Times New Roman"/>
          <w:sz w:val="24"/>
          <w:szCs w:val="24"/>
        </w:rPr>
        <w:t xml:space="preserve">and the cases of </w:t>
      </w:r>
      <w:r w:rsidR="00CA4233">
        <w:rPr>
          <w:rFonts w:ascii="Times New Roman" w:hAnsi="Times New Roman"/>
          <w:sz w:val="24"/>
          <w:szCs w:val="24"/>
        </w:rPr>
        <w:t xml:space="preserve">the </w:t>
      </w:r>
      <w:r w:rsidRPr="006B0B75">
        <w:rPr>
          <w:rFonts w:ascii="Times New Roman" w:hAnsi="Times New Roman"/>
          <w:sz w:val="24"/>
          <w:szCs w:val="24"/>
        </w:rPr>
        <w:t>‘</w:t>
      </w:r>
      <w:r w:rsidRPr="000F5177">
        <w:rPr>
          <w:rFonts w:ascii="Times New Roman" w:hAnsi="Times New Roman"/>
          <w:i/>
          <w:sz w:val="24"/>
          <w:szCs w:val="24"/>
        </w:rPr>
        <w:t>creeping borderization’</w:t>
      </w:r>
      <w:r w:rsidRPr="006B0B75">
        <w:rPr>
          <w:rFonts w:ascii="Times New Roman" w:hAnsi="Times New Roman"/>
          <w:sz w:val="24"/>
          <w:szCs w:val="24"/>
        </w:rPr>
        <w:t xml:space="preserve"> </w:t>
      </w:r>
      <w:r w:rsidR="00CA4233">
        <w:rPr>
          <w:rFonts w:ascii="Times New Roman" w:hAnsi="Times New Roman"/>
          <w:sz w:val="24"/>
          <w:szCs w:val="24"/>
        </w:rPr>
        <w:t xml:space="preserve">in Georgia </w:t>
      </w:r>
      <w:r w:rsidRPr="006B0B75">
        <w:rPr>
          <w:rFonts w:ascii="Times New Roman" w:hAnsi="Times New Roman"/>
          <w:sz w:val="24"/>
          <w:szCs w:val="24"/>
        </w:rPr>
        <w:t xml:space="preserve">became </w:t>
      </w:r>
      <w:r w:rsidR="0038428A">
        <w:rPr>
          <w:rFonts w:ascii="Times New Roman" w:hAnsi="Times New Roman"/>
          <w:sz w:val="24"/>
          <w:szCs w:val="24"/>
        </w:rPr>
        <w:t xml:space="preserve">a </w:t>
      </w:r>
      <w:r w:rsidRPr="006B0B75">
        <w:rPr>
          <w:rFonts w:ascii="Times New Roman" w:hAnsi="Times New Roman"/>
          <w:sz w:val="24"/>
          <w:szCs w:val="24"/>
        </w:rPr>
        <w:t>regular occurrence.</w:t>
      </w:r>
      <w:r>
        <w:rPr>
          <w:rStyle w:val="FootnoteReference"/>
          <w:rFonts w:ascii="Times New Roman" w:hAnsi="Times New Roman"/>
          <w:sz w:val="24"/>
          <w:szCs w:val="24"/>
        </w:rPr>
        <w:footnoteReference w:id="8"/>
      </w:r>
      <w:r w:rsidRPr="006B0B75">
        <w:rPr>
          <w:rFonts w:ascii="Times New Roman" w:hAnsi="Times New Roman"/>
          <w:b/>
          <w:sz w:val="24"/>
          <w:szCs w:val="24"/>
        </w:rPr>
        <w:t xml:space="preserve"> </w:t>
      </w:r>
      <w:r w:rsidR="00CA4233">
        <w:rPr>
          <w:rFonts w:ascii="Times New Roman" w:hAnsi="Times New Roman"/>
          <w:sz w:val="24"/>
          <w:szCs w:val="24"/>
        </w:rPr>
        <w:t>Russia’s power projection in Georgian</w:t>
      </w:r>
      <w:r w:rsidRPr="006B0B75">
        <w:rPr>
          <w:rFonts w:ascii="Times New Roman" w:hAnsi="Times New Roman"/>
          <w:sz w:val="24"/>
          <w:szCs w:val="24"/>
        </w:rPr>
        <w:t xml:space="preserve"> breakaway regions </w:t>
      </w:r>
      <w:r w:rsidR="00CA4233">
        <w:rPr>
          <w:rFonts w:ascii="Times New Roman" w:hAnsi="Times New Roman"/>
          <w:sz w:val="24"/>
          <w:szCs w:val="24"/>
        </w:rPr>
        <w:t>is aligned with</w:t>
      </w:r>
      <w:r w:rsidRPr="006B0B75">
        <w:rPr>
          <w:rFonts w:ascii="Times New Roman" w:hAnsi="Times New Roman"/>
          <w:sz w:val="24"/>
          <w:szCs w:val="24"/>
        </w:rPr>
        <w:t xml:space="preserve"> its grand strategy in the near-abroad.</w:t>
      </w:r>
      <w:r>
        <w:rPr>
          <w:rStyle w:val="FootnoteReference"/>
          <w:rFonts w:ascii="Times New Roman" w:hAnsi="Times New Roman"/>
          <w:sz w:val="24"/>
          <w:szCs w:val="24"/>
        </w:rPr>
        <w:footnoteReference w:id="9"/>
      </w:r>
      <w:r w:rsidRPr="006B0B75">
        <w:rPr>
          <w:rFonts w:ascii="Times New Roman" w:hAnsi="Times New Roman"/>
          <w:sz w:val="24"/>
          <w:szCs w:val="24"/>
        </w:rPr>
        <w:t xml:space="preserve"> </w:t>
      </w:r>
      <w:r w:rsidR="007E40E9">
        <w:rPr>
          <w:rFonts w:ascii="Times New Roman" w:hAnsi="Times New Roman"/>
          <w:sz w:val="24"/>
          <w:szCs w:val="24"/>
        </w:rPr>
        <w:t xml:space="preserve">Since 2009, the Kremlin has </w:t>
      </w:r>
      <w:r w:rsidR="00DD719D">
        <w:rPr>
          <w:rFonts w:ascii="Times New Roman" w:hAnsi="Times New Roman"/>
          <w:sz w:val="24"/>
          <w:szCs w:val="24"/>
        </w:rPr>
        <w:t xml:space="preserve">heightened its leverage on secessionist states by </w:t>
      </w:r>
      <w:r w:rsidRPr="006B0B75">
        <w:rPr>
          <w:rFonts w:ascii="Times New Roman" w:hAnsi="Times New Roman"/>
          <w:sz w:val="24"/>
          <w:szCs w:val="24"/>
        </w:rPr>
        <w:t xml:space="preserve">recognition of </w:t>
      </w:r>
      <w:r w:rsidR="0038428A">
        <w:rPr>
          <w:rFonts w:ascii="Times New Roman" w:hAnsi="Times New Roman"/>
          <w:sz w:val="24"/>
          <w:szCs w:val="24"/>
        </w:rPr>
        <w:t>the</w:t>
      </w:r>
      <w:r w:rsidR="00DD719D">
        <w:rPr>
          <w:rFonts w:ascii="Times New Roman" w:hAnsi="Times New Roman"/>
          <w:sz w:val="24"/>
          <w:szCs w:val="24"/>
        </w:rPr>
        <w:t>ir</w:t>
      </w:r>
      <w:r w:rsidR="0038428A">
        <w:rPr>
          <w:rFonts w:ascii="Times New Roman" w:hAnsi="Times New Roman"/>
          <w:sz w:val="24"/>
          <w:szCs w:val="24"/>
        </w:rPr>
        <w:t xml:space="preserve"> </w:t>
      </w:r>
      <w:r w:rsidR="00DD719D">
        <w:rPr>
          <w:rFonts w:ascii="Times New Roman" w:hAnsi="Times New Roman"/>
          <w:sz w:val="24"/>
          <w:szCs w:val="24"/>
        </w:rPr>
        <w:t>independence, financial instruments,</w:t>
      </w:r>
      <w:r w:rsidRPr="006B0B75">
        <w:rPr>
          <w:rFonts w:ascii="Times New Roman" w:hAnsi="Times New Roman"/>
          <w:sz w:val="24"/>
          <w:szCs w:val="24"/>
        </w:rPr>
        <w:t xml:space="preserve"> and support of the state-building </w:t>
      </w:r>
      <w:r w:rsidR="00DD719D">
        <w:rPr>
          <w:rFonts w:ascii="Times New Roman" w:hAnsi="Times New Roman"/>
          <w:sz w:val="24"/>
          <w:szCs w:val="24"/>
        </w:rPr>
        <w:t xml:space="preserve">process. </w:t>
      </w:r>
      <w:r w:rsidR="001D277E">
        <w:rPr>
          <w:rFonts w:ascii="Times New Roman" w:hAnsi="Times New Roman"/>
          <w:sz w:val="24"/>
          <w:szCs w:val="24"/>
        </w:rPr>
        <w:t>These factors shed</w:t>
      </w:r>
      <w:r w:rsidRPr="006B0B75">
        <w:rPr>
          <w:rFonts w:ascii="Times New Roman" w:hAnsi="Times New Roman"/>
          <w:sz w:val="24"/>
          <w:szCs w:val="24"/>
        </w:rPr>
        <w:t xml:space="preserve"> the light on Russia’s strategy to counter the</w:t>
      </w:r>
      <w:r>
        <w:rPr>
          <w:rFonts w:ascii="Times New Roman" w:hAnsi="Times New Roman"/>
          <w:sz w:val="24"/>
          <w:szCs w:val="24"/>
        </w:rPr>
        <w:t xml:space="preserve"> </w:t>
      </w:r>
      <w:r w:rsidR="001D277E">
        <w:rPr>
          <w:rFonts w:ascii="Times New Roman" w:hAnsi="Times New Roman"/>
          <w:sz w:val="24"/>
          <w:szCs w:val="24"/>
        </w:rPr>
        <w:t xml:space="preserve">conflict mediation </w:t>
      </w:r>
      <w:r>
        <w:rPr>
          <w:rFonts w:ascii="Times New Roman" w:hAnsi="Times New Roman"/>
          <w:sz w:val="24"/>
          <w:szCs w:val="24"/>
        </w:rPr>
        <w:t>efforts of Georgia and the EU.</w:t>
      </w:r>
      <w:r>
        <w:rPr>
          <w:rStyle w:val="FootnoteReference"/>
          <w:rFonts w:ascii="Times New Roman" w:hAnsi="Times New Roman"/>
          <w:sz w:val="24"/>
          <w:szCs w:val="24"/>
        </w:rPr>
        <w:footnoteReference w:id="10"/>
      </w:r>
    </w:p>
    <w:p w:rsidR="00855ECE" w:rsidRDefault="00855ECE" w:rsidP="006C762C">
      <w:pPr>
        <w:spacing w:line="360" w:lineRule="auto"/>
        <w:jc w:val="both"/>
        <w:rPr>
          <w:rFonts w:ascii="Times New Roman" w:hAnsi="Times New Roman"/>
          <w:sz w:val="24"/>
          <w:szCs w:val="24"/>
        </w:rPr>
      </w:pPr>
    </w:p>
    <w:p w:rsidR="00871435" w:rsidRDefault="001D277E" w:rsidP="006C762C">
      <w:pPr>
        <w:spacing w:line="360" w:lineRule="auto"/>
        <w:jc w:val="both"/>
        <w:rPr>
          <w:rFonts w:ascii="Times New Roman" w:hAnsi="Times New Roman"/>
          <w:sz w:val="24"/>
          <w:szCs w:val="24"/>
        </w:rPr>
      </w:pPr>
      <w:r>
        <w:rPr>
          <w:rFonts w:ascii="Times New Roman" w:hAnsi="Times New Roman"/>
          <w:sz w:val="24"/>
          <w:szCs w:val="24"/>
        </w:rPr>
        <w:t>For the last ten years</w:t>
      </w:r>
      <w:r w:rsidR="00050BA9" w:rsidRPr="006B0B75">
        <w:rPr>
          <w:rFonts w:ascii="Times New Roman" w:hAnsi="Times New Roman"/>
          <w:sz w:val="24"/>
          <w:szCs w:val="24"/>
        </w:rPr>
        <w:t>, the dynamics of</w:t>
      </w:r>
      <w:r w:rsidR="004952D5">
        <w:rPr>
          <w:rFonts w:ascii="Times New Roman" w:hAnsi="Times New Roman"/>
          <w:sz w:val="24"/>
          <w:szCs w:val="24"/>
        </w:rPr>
        <w:t xml:space="preserve"> the EU-Georgian</w:t>
      </w:r>
      <w:r w:rsidR="00006063">
        <w:rPr>
          <w:rFonts w:ascii="Times New Roman" w:hAnsi="Times New Roman"/>
          <w:sz w:val="24"/>
          <w:szCs w:val="24"/>
        </w:rPr>
        <w:t xml:space="preserve"> institutio</w:t>
      </w:r>
      <w:r>
        <w:rPr>
          <w:rFonts w:ascii="Times New Roman" w:hAnsi="Times New Roman"/>
          <w:sz w:val="24"/>
          <w:szCs w:val="24"/>
        </w:rPr>
        <w:t>l</w:t>
      </w:r>
      <w:r w:rsidR="004952D5">
        <w:rPr>
          <w:rFonts w:ascii="Times New Roman" w:hAnsi="Times New Roman"/>
          <w:sz w:val="24"/>
          <w:szCs w:val="24"/>
        </w:rPr>
        <w:t xml:space="preserve"> cooperation </w:t>
      </w:r>
      <w:r>
        <w:rPr>
          <w:rFonts w:ascii="Times New Roman" w:hAnsi="Times New Roman"/>
          <w:sz w:val="24"/>
          <w:szCs w:val="24"/>
        </w:rPr>
        <w:t>was characterized</w:t>
      </w:r>
      <w:r w:rsidR="00006063">
        <w:rPr>
          <w:rFonts w:ascii="Times New Roman" w:hAnsi="Times New Roman"/>
          <w:sz w:val="24"/>
          <w:szCs w:val="24"/>
        </w:rPr>
        <w:t xml:space="preserve"> as mostly stable</w:t>
      </w:r>
      <w:r w:rsidR="00050BA9" w:rsidRPr="006B0B75">
        <w:rPr>
          <w:rFonts w:ascii="Times New Roman" w:hAnsi="Times New Roman"/>
          <w:sz w:val="24"/>
          <w:szCs w:val="24"/>
        </w:rPr>
        <w:t xml:space="preserve">. </w:t>
      </w:r>
      <w:r w:rsidR="00006063">
        <w:rPr>
          <w:rFonts w:ascii="Times New Roman" w:hAnsi="Times New Roman"/>
          <w:sz w:val="24"/>
          <w:szCs w:val="24"/>
        </w:rPr>
        <w:t xml:space="preserve">The Georgian society’s </w:t>
      </w:r>
      <w:r w:rsidR="00050BA9" w:rsidRPr="006B0B75">
        <w:rPr>
          <w:rFonts w:ascii="Times New Roman" w:hAnsi="Times New Roman"/>
          <w:sz w:val="24"/>
          <w:szCs w:val="24"/>
        </w:rPr>
        <w:t xml:space="preserve">aspiration </w:t>
      </w:r>
      <w:r w:rsidR="00006063">
        <w:rPr>
          <w:rFonts w:ascii="Times New Roman" w:hAnsi="Times New Roman"/>
          <w:sz w:val="24"/>
          <w:szCs w:val="24"/>
        </w:rPr>
        <w:t xml:space="preserve">of deeper integreation in the </w:t>
      </w:r>
      <w:r w:rsidR="00050BA9" w:rsidRPr="006B0B75">
        <w:rPr>
          <w:rFonts w:ascii="Times New Roman" w:hAnsi="Times New Roman"/>
          <w:sz w:val="24"/>
          <w:szCs w:val="24"/>
        </w:rPr>
        <w:t>EU passed the test</w:t>
      </w:r>
      <w:r w:rsidR="00006063">
        <w:rPr>
          <w:rFonts w:ascii="Times New Roman" w:hAnsi="Times New Roman"/>
          <w:sz w:val="24"/>
          <w:szCs w:val="24"/>
        </w:rPr>
        <w:t>s</w:t>
      </w:r>
      <w:r w:rsidR="00050BA9" w:rsidRPr="006B0B75">
        <w:rPr>
          <w:rFonts w:ascii="Times New Roman" w:hAnsi="Times New Roman"/>
          <w:sz w:val="24"/>
          <w:szCs w:val="24"/>
        </w:rPr>
        <w:t xml:space="preserve"> of the post-war crisis and the c</w:t>
      </w:r>
      <w:r w:rsidR="00434913">
        <w:rPr>
          <w:rFonts w:ascii="Times New Roman" w:hAnsi="Times New Roman"/>
          <w:sz w:val="24"/>
          <w:szCs w:val="24"/>
        </w:rPr>
        <w:t>hange of the government in 201</w:t>
      </w:r>
      <w:r w:rsidR="00006063">
        <w:rPr>
          <w:rFonts w:ascii="Times New Roman" w:hAnsi="Times New Roman"/>
          <w:sz w:val="24"/>
          <w:szCs w:val="24"/>
        </w:rPr>
        <w:t>2.</w:t>
      </w:r>
      <w:r w:rsidR="00050BA9">
        <w:rPr>
          <w:rStyle w:val="FootnoteReference"/>
          <w:rFonts w:ascii="Times New Roman" w:hAnsi="Times New Roman"/>
          <w:sz w:val="24"/>
          <w:szCs w:val="24"/>
        </w:rPr>
        <w:footnoteReference w:id="11"/>
      </w:r>
      <w:r w:rsidR="00006063">
        <w:rPr>
          <w:rFonts w:ascii="Times New Roman" w:hAnsi="Times New Roman"/>
          <w:sz w:val="24"/>
          <w:szCs w:val="24"/>
        </w:rPr>
        <w:t xml:space="preserve"> The cooperation was significantly enhanced since 2009, after the launching of</w:t>
      </w:r>
      <w:r w:rsidR="00050BA9" w:rsidRPr="006B0B75">
        <w:rPr>
          <w:rFonts w:ascii="Times New Roman" w:hAnsi="Times New Roman"/>
          <w:sz w:val="24"/>
          <w:szCs w:val="24"/>
        </w:rPr>
        <w:t xml:space="preserve"> </w:t>
      </w:r>
      <w:r w:rsidR="00006063">
        <w:rPr>
          <w:rFonts w:ascii="Times New Roman" w:hAnsi="Times New Roman"/>
          <w:sz w:val="24"/>
          <w:szCs w:val="24"/>
        </w:rPr>
        <w:t>the Eastern Partnership</w:t>
      </w:r>
      <w:r w:rsidR="00206E1F">
        <w:rPr>
          <w:rFonts w:ascii="Times New Roman" w:hAnsi="Times New Roman"/>
          <w:sz w:val="24"/>
          <w:szCs w:val="24"/>
        </w:rPr>
        <w:t xml:space="preserve"> (EaP),</w:t>
      </w:r>
      <w:r w:rsidR="00006063">
        <w:rPr>
          <w:rFonts w:ascii="Times New Roman" w:hAnsi="Times New Roman"/>
          <w:sz w:val="24"/>
          <w:szCs w:val="24"/>
        </w:rPr>
        <w:t xml:space="preserve"> which gave a stage to ‘mor fore more’ strategy and prepared Georgia for the Association Agreemen</w:t>
      </w:r>
      <w:r w:rsidR="00206E1F">
        <w:rPr>
          <w:rFonts w:ascii="Times New Roman" w:hAnsi="Times New Roman"/>
          <w:sz w:val="24"/>
          <w:szCs w:val="24"/>
        </w:rPr>
        <w:t xml:space="preserve">t (AA) </w:t>
      </w:r>
      <w:r w:rsidR="00006063">
        <w:rPr>
          <w:rFonts w:ascii="Times New Roman" w:hAnsi="Times New Roman"/>
          <w:sz w:val="24"/>
          <w:szCs w:val="24"/>
        </w:rPr>
        <w:t xml:space="preserve">with the EU. </w:t>
      </w:r>
      <w:r w:rsidR="00206E1F">
        <w:rPr>
          <w:rFonts w:ascii="Times New Roman" w:hAnsi="Times New Roman"/>
          <w:sz w:val="24"/>
          <w:szCs w:val="24"/>
        </w:rPr>
        <w:t xml:space="preserve">In 2014, the EU and Georgia signed the AA and strengthened the economic ties by signing the DCFTA. The EU lifted the travel </w:t>
      </w:r>
      <w:r w:rsidR="00206E1F">
        <w:rPr>
          <w:rFonts w:ascii="Times New Roman" w:hAnsi="Times New Roman"/>
          <w:sz w:val="24"/>
          <w:szCs w:val="24"/>
        </w:rPr>
        <w:lastRenderedPageBreak/>
        <w:t>restrictions for the Georgian citizens in Scheng</w:t>
      </w:r>
      <w:r w:rsidR="002C54FC">
        <w:rPr>
          <w:rFonts w:ascii="Times New Roman" w:hAnsi="Times New Roman"/>
          <w:sz w:val="24"/>
          <w:szCs w:val="24"/>
        </w:rPr>
        <w:t>en zones through the Visa Libera</w:t>
      </w:r>
      <w:r w:rsidR="00206E1F">
        <w:rPr>
          <w:rFonts w:ascii="Times New Roman" w:hAnsi="Times New Roman"/>
          <w:sz w:val="24"/>
          <w:szCs w:val="24"/>
        </w:rPr>
        <w:t>lization Agreement</w:t>
      </w:r>
      <w:r w:rsidR="00050BA9" w:rsidRPr="006B0B75">
        <w:rPr>
          <w:rFonts w:ascii="Times New Roman" w:hAnsi="Times New Roman"/>
          <w:sz w:val="24"/>
          <w:szCs w:val="24"/>
        </w:rPr>
        <w:t>.</w:t>
      </w:r>
      <w:r w:rsidR="00050BA9">
        <w:rPr>
          <w:rStyle w:val="FootnoteReference"/>
          <w:rFonts w:ascii="Times New Roman" w:hAnsi="Times New Roman"/>
          <w:sz w:val="24"/>
          <w:szCs w:val="24"/>
        </w:rPr>
        <w:footnoteReference w:id="12"/>
      </w:r>
      <w:r w:rsidR="00050BA9" w:rsidRPr="006B0B75">
        <w:rPr>
          <w:rFonts w:ascii="Times New Roman" w:hAnsi="Times New Roman"/>
          <w:sz w:val="24"/>
          <w:szCs w:val="24"/>
        </w:rPr>
        <w:t xml:space="preserve"> </w:t>
      </w:r>
      <w:r w:rsidR="00206E1F">
        <w:rPr>
          <w:rFonts w:ascii="Times New Roman" w:hAnsi="Times New Roman"/>
          <w:sz w:val="24"/>
          <w:szCs w:val="24"/>
        </w:rPr>
        <w:t>The EU illustrated high eff</w:t>
      </w:r>
      <w:r w:rsidR="002C54FC">
        <w:rPr>
          <w:rFonts w:ascii="Times New Roman" w:hAnsi="Times New Roman"/>
          <w:sz w:val="24"/>
          <w:szCs w:val="24"/>
        </w:rPr>
        <w:t xml:space="preserve">iciency in diplomatic, economic, </w:t>
      </w:r>
      <w:r w:rsidR="00206E1F">
        <w:rPr>
          <w:rFonts w:ascii="Times New Roman" w:hAnsi="Times New Roman"/>
          <w:sz w:val="24"/>
          <w:szCs w:val="24"/>
        </w:rPr>
        <w:t>and institutional partnership</w:t>
      </w:r>
      <w:r w:rsidR="002C54FC">
        <w:rPr>
          <w:rFonts w:ascii="Times New Roman" w:hAnsi="Times New Roman"/>
          <w:sz w:val="24"/>
          <w:szCs w:val="24"/>
        </w:rPr>
        <w:t>s</w:t>
      </w:r>
      <w:r w:rsidR="00206E1F">
        <w:rPr>
          <w:rFonts w:ascii="Times New Roman" w:hAnsi="Times New Roman"/>
          <w:sz w:val="24"/>
          <w:szCs w:val="24"/>
        </w:rPr>
        <w:t xml:space="preserve"> with Georgia</w:t>
      </w:r>
      <w:r w:rsidR="00050BA9" w:rsidRPr="006B0B75">
        <w:rPr>
          <w:rFonts w:ascii="Times New Roman" w:hAnsi="Times New Roman"/>
          <w:sz w:val="24"/>
          <w:szCs w:val="24"/>
        </w:rPr>
        <w:t xml:space="preserve">, </w:t>
      </w:r>
      <w:r w:rsidR="00E95849">
        <w:rPr>
          <w:rFonts w:ascii="Times New Roman" w:hAnsi="Times New Roman"/>
          <w:sz w:val="24"/>
          <w:szCs w:val="24"/>
        </w:rPr>
        <w:t>however, these efforts did not</w:t>
      </w:r>
      <w:r w:rsidR="00206E1F">
        <w:rPr>
          <w:rFonts w:ascii="Times New Roman" w:hAnsi="Times New Roman"/>
          <w:sz w:val="24"/>
          <w:szCs w:val="24"/>
        </w:rPr>
        <w:t xml:space="preserve"> bring much-anticipated immediate results in </w:t>
      </w:r>
      <w:r w:rsidR="002C54FC">
        <w:rPr>
          <w:rFonts w:ascii="Times New Roman" w:hAnsi="Times New Roman"/>
          <w:sz w:val="24"/>
          <w:szCs w:val="24"/>
        </w:rPr>
        <w:t xml:space="preserve">the </w:t>
      </w:r>
      <w:r w:rsidR="002C25A8">
        <w:rPr>
          <w:rFonts w:ascii="Times New Roman" w:hAnsi="Times New Roman"/>
          <w:sz w:val="24"/>
          <w:szCs w:val="24"/>
        </w:rPr>
        <w:t>conflict resolution process. In 2009, the EU introduced the</w:t>
      </w:r>
      <w:r w:rsidR="00050BA9" w:rsidRPr="006B0B75">
        <w:rPr>
          <w:rFonts w:ascii="Times New Roman" w:hAnsi="Times New Roman"/>
          <w:sz w:val="24"/>
          <w:szCs w:val="24"/>
        </w:rPr>
        <w:t xml:space="preserve"> Non-Recognition and </w:t>
      </w:r>
      <w:r w:rsidR="002C25A8">
        <w:rPr>
          <w:rFonts w:ascii="Times New Roman" w:hAnsi="Times New Roman"/>
          <w:sz w:val="24"/>
          <w:szCs w:val="24"/>
        </w:rPr>
        <w:t>Engageme</w:t>
      </w:r>
      <w:r w:rsidR="002C54FC">
        <w:rPr>
          <w:rFonts w:ascii="Times New Roman" w:hAnsi="Times New Roman"/>
          <w:sz w:val="24"/>
          <w:szCs w:val="24"/>
        </w:rPr>
        <w:t>nt Policy (NREP) – a novel appro</w:t>
      </w:r>
      <w:r w:rsidR="002C25A8">
        <w:rPr>
          <w:rFonts w:ascii="Times New Roman" w:hAnsi="Times New Roman"/>
          <w:sz w:val="24"/>
          <w:szCs w:val="24"/>
        </w:rPr>
        <w:t>ach,</w:t>
      </w:r>
      <w:r w:rsidR="00050BA9" w:rsidRPr="006B0B75">
        <w:rPr>
          <w:rFonts w:ascii="Times New Roman" w:hAnsi="Times New Roman"/>
          <w:sz w:val="24"/>
          <w:szCs w:val="24"/>
        </w:rPr>
        <w:t xml:space="preserve"> which remains </w:t>
      </w:r>
      <w:r w:rsidR="002C25A8">
        <w:rPr>
          <w:rFonts w:ascii="Times New Roman" w:hAnsi="Times New Roman"/>
          <w:sz w:val="24"/>
          <w:szCs w:val="24"/>
        </w:rPr>
        <w:t xml:space="preserve">as one of </w:t>
      </w:r>
      <w:r w:rsidR="00050BA9" w:rsidRPr="006B0B75">
        <w:rPr>
          <w:rFonts w:ascii="Times New Roman" w:hAnsi="Times New Roman"/>
          <w:sz w:val="24"/>
          <w:szCs w:val="24"/>
        </w:rPr>
        <w:t>the fundamental mechanism</w:t>
      </w:r>
      <w:r w:rsidR="002C25A8">
        <w:rPr>
          <w:rFonts w:ascii="Times New Roman" w:hAnsi="Times New Roman"/>
          <w:sz w:val="24"/>
          <w:szCs w:val="24"/>
        </w:rPr>
        <w:t>s of conflict mediation in breakaway entities to this day</w:t>
      </w:r>
      <w:r w:rsidR="00050BA9" w:rsidRPr="006B0B75">
        <w:rPr>
          <w:rFonts w:ascii="Times New Roman" w:hAnsi="Times New Roman"/>
          <w:sz w:val="24"/>
          <w:szCs w:val="24"/>
        </w:rPr>
        <w:t>.</w:t>
      </w:r>
      <w:r w:rsidR="00050BA9">
        <w:rPr>
          <w:rStyle w:val="FootnoteReference"/>
          <w:rFonts w:ascii="Times New Roman" w:hAnsi="Times New Roman"/>
          <w:sz w:val="24"/>
          <w:szCs w:val="24"/>
        </w:rPr>
        <w:footnoteReference w:id="13"/>
      </w:r>
      <w:r w:rsidR="00050BA9" w:rsidRPr="006B0B75">
        <w:rPr>
          <w:rFonts w:ascii="Times New Roman" w:hAnsi="Times New Roman"/>
          <w:sz w:val="24"/>
          <w:szCs w:val="24"/>
        </w:rPr>
        <w:t xml:space="preserve"> </w:t>
      </w:r>
      <w:r w:rsidR="002A71CB">
        <w:rPr>
          <w:rFonts w:ascii="Times New Roman" w:hAnsi="Times New Roman"/>
          <w:sz w:val="24"/>
          <w:szCs w:val="24"/>
        </w:rPr>
        <w:t>After the mutual agreement, th</w:t>
      </w:r>
      <w:r w:rsidR="00050BA9" w:rsidRPr="006B0B75">
        <w:rPr>
          <w:rFonts w:ascii="Times New Roman" w:hAnsi="Times New Roman"/>
          <w:sz w:val="24"/>
          <w:szCs w:val="24"/>
        </w:rPr>
        <w:t xml:space="preserve">e </w:t>
      </w:r>
      <w:r w:rsidR="002A71CB">
        <w:rPr>
          <w:rFonts w:ascii="Times New Roman" w:hAnsi="Times New Roman"/>
          <w:sz w:val="24"/>
          <w:szCs w:val="24"/>
        </w:rPr>
        <w:t>NREP</w:t>
      </w:r>
      <w:r w:rsidR="00050BA9" w:rsidRPr="006B0B75">
        <w:rPr>
          <w:rFonts w:ascii="Times New Roman" w:hAnsi="Times New Roman"/>
          <w:sz w:val="24"/>
          <w:szCs w:val="24"/>
        </w:rPr>
        <w:t xml:space="preserve"> was eventually adopted by the Georgian government </w:t>
      </w:r>
      <w:r w:rsidR="002A71CB">
        <w:rPr>
          <w:rFonts w:ascii="Times New Roman" w:hAnsi="Times New Roman"/>
          <w:sz w:val="24"/>
          <w:szCs w:val="24"/>
        </w:rPr>
        <w:t>and adjusted to</w:t>
      </w:r>
      <w:r w:rsidR="00050BA9" w:rsidRPr="006B0B75">
        <w:rPr>
          <w:rFonts w:ascii="Times New Roman" w:hAnsi="Times New Roman"/>
          <w:sz w:val="24"/>
          <w:szCs w:val="24"/>
        </w:rPr>
        <w:t xml:space="preserve"> </w:t>
      </w:r>
      <w:r w:rsidR="002A71CB">
        <w:rPr>
          <w:rFonts w:ascii="Times New Roman" w:hAnsi="Times New Roman"/>
          <w:sz w:val="24"/>
          <w:szCs w:val="24"/>
        </w:rPr>
        <w:t xml:space="preserve">the </w:t>
      </w:r>
      <w:r w:rsidR="00050BA9" w:rsidRPr="006B0B75">
        <w:rPr>
          <w:rFonts w:ascii="Times New Roman" w:hAnsi="Times New Roman"/>
          <w:sz w:val="24"/>
          <w:szCs w:val="24"/>
        </w:rPr>
        <w:t>pledge of unilateral non-use of force against the de-facto authorities.</w:t>
      </w:r>
      <w:r w:rsidR="00050BA9">
        <w:rPr>
          <w:rStyle w:val="FootnoteReference"/>
          <w:rFonts w:ascii="Times New Roman" w:hAnsi="Times New Roman"/>
          <w:sz w:val="24"/>
          <w:szCs w:val="24"/>
        </w:rPr>
        <w:footnoteReference w:id="14"/>
      </w:r>
      <w:r w:rsidR="00050BA9" w:rsidRPr="006B0B75">
        <w:rPr>
          <w:rFonts w:ascii="Times New Roman" w:hAnsi="Times New Roman"/>
          <w:sz w:val="24"/>
          <w:szCs w:val="24"/>
        </w:rPr>
        <w:t xml:space="preserve"> The NREP is </w:t>
      </w:r>
      <w:r w:rsidR="00367CE3">
        <w:rPr>
          <w:rFonts w:ascii="Times New Roman" w:hAnsi="Times New Roman"/>
          <w:sz w:val="24"/>
          <w:szCs w:val="24"/>
        </w:rPr>
        <w:t xml:space="preserve">a </w:t>
      </w:r>
      <w:r w:rsidR="00050BA9" w:rsidRPr="006B0B75">
        <w:rPr>
          <w:rFonts w:ascii="Times New Roman" w:hAnsi="Times New Roman"/>
          <w:sz w:val="24"/>
          <w:szCs w:val="24"/>
        </w:rPr>
        <w:t>unique policy of the EU and its primary purpose is to</w:t>
      </w:r>
      <w:r w:rsidR="00871435">
        <w:rPr>
          <w:rFonts w:ascii="Times New Roman" w:hAnsi="Times New Roman"/>
          <w:sz w:val="24"/>
          <w:szCs w:val="24"/>
        </w:rPr>
        <w:t xml:space="preserve"> facilitate the dialogue and</w:t>
      </w:r>
      <w:r w:rsidR="00050BA9" w:rsidRPr="006B0B75">
        <w:rPr>
          <w:rFonts w:ascii="Times New Roman" w:hAnsi="Times New Roman"/>
          <w:sz w:val="24"/>
          <w:szCs w:val="24"/>
        </w:rPr>
        <w:t xml:space="preserve"> break the isolation in </w:t>
      </w:r>
      <w:r w:rsidR="002367FA">
        <w:rPr>
          <w:rFonts w:ascii="Times New Roman" w:hAnsi="Times New Roman"/>
          <w:sz w:val="24"/>
          <w:szCs w:val="24"/>
        </w:rPr>
        <w:t>the</w:t>
      </w:r>
      <w:r w:rsidR="00871435">
        <w:rPr>
          <w:rFonts w:ascii="Times New Roman" w:hAnsi="Times New Roman"/>
          <w:sz w:val="24"/>
          <w:szCs w:val="24"/>
        </w:rPr>
        <w:t xml:space="preserve"> secessionist states</w:t>
      </w:r>
      <w:r w:rsidR="00050BA9" w:rsidRPr="006B0B75">
        <w:rPr>
          <w:rFonts w:ascii="Times New Roman" w:hAnsi="Times New Roman"/>
          <w:sz w:val="24"/>
          <w:szCs w:val="24"/>
        </w:rPr>
        <w:t xml:space="preserve">. It consists of two pillars: </w:t>
      </w:r>
    </w:p>
    <w:p w:rsidR="00871435" w:rsidRDefault="00050BA9" w:rsidP="006C762C">
      <w:pPr>
        <w:spacing w:line="360" w:lineRule="auto"/>
        <w:jc w:val="both"/>
        <w:rPr>
          <w:rFonts w:ascii="Times New Roman" w:hAnsi="Times New Roman"/>
          <w:sz w:val="24"/>
          <w:szCs w:val="24"/>
        </w:rPr>
      </w:pPr>
      <w:r w:rsidRPr="006B0B75">
        <w:rPr>
          <w:rFonts w:ascii="Times New Roman" w:hAnsi="Times New Roman"/>
          <w:sz w:val="24"/>
          <w:szCs w:val="24"/>
        </w:rPr>
        <w:t xml:space="preserve">a) </w:t>
      </w:r>
      <w:proofErr w:type="gramStart"/>
      <w:r w:rsidRPr="006B0B75">
        <w:rPr>
          <w:rFonts w:ascii="Times New Roman" w:hAnsi="Times New Roman"/>
          <w:sz w:val="24"/>
          <w:szCs w:val="24"/>
        </w:rPr>
        <w:t>commitment</w:t>
      </w:r>
      <w:proofErr w:type="gramEnd"/>
      <w:r w:rsidRPr="006B0B75">
        <w:rPr>
          <w:rFonts w:ascii="Times New Roman" w:hAnsi="Times New Roman"/>
          <w:sz w:val="24"/>
          <w:szCs w:val="24"/>
        </w:rPr>
        <w:t xml:space="preserve"> to not recognizing the independence of Abkhazian and South Os</w:t>
      </w:r>
      <w:r w:rsidR="00871435">
        <w:rPr>
          <w:rFonts w:ascii="Times New Roman" w:hAnsi="Times New Roman"/>
          <w:sz w:val="24"/>
          <w:szCs w:val="24"/>
        </w:rPr>
        <w:t>setian de-facto authorities;</w:t>
      </w:r>
    </w:p>
    <w:p w:rsidR="00050BA9" w:rsidRPr="006B0B75" w:rsidRDefault="00050BA9" w:rsidP="006C762C">
      <w:pPr>
        <w:spacing w:line="360" w:lineRule="auto"/>
        <w:jc w:val="both"/>
        <w:rPr>
          <w:rFonts w:ascii="Times New Roman" w:hAnsi="Times New Roman"/>
          <w:sz w:val="24"/>
          <w:szCs w:val="24"/>
        </w:rPr>
      </w:pPr>
      <w:r w:rsidRPr="006B0B75">
        <w:rPr>
          <w:rFonts w:ascii="Times New Roman" w:hAnsi="Times New Roman"/>
          <w:sz w:val="24"/>
          <w:szCs w:val="24"/>
        </w:rPr>
        <w:t xml:space="preserve">b) </w:t>
      </w:r>
      <w:proofErr w:type="gramStart"/>
      <w:r w:rsidRPr="006B0B75">
        <w:rPr>
          <w:rFonts w:ascii="Times New Roman" w:hAnsi="Times New Roman"/>
          <w:sz w:val="24"/>
          <w:szCs w:val="24"/>
        </w:rPr>
        <w:t>engagement</w:t>
      </w:r>
      <w:proofErr w:type="gramEnd"/>
      <w:r w:rsidRPr="006B0B75">
        <w:rPr>
          <w:rFonts w:ascii="Times New Roman" w:hAnsi="Times New Roman"/>
          <w:sz w:val="24"/>
          <w:szCs w:val="24"/>
        </w:rPr>
        <w:t xml:space="preserve"> with th</w:t>
      </w:r>
      <w:r w:rsidR="002C54FC">
        <w:rPr>
          <w:rFonts w:ascii="Times New Roman" w:hAnsi="Times New Roman"/>
          <w:sz w:val="24"/>
          <w:szCs w:val="24"/>
        </w:rPr>
        <w:t xml:space="preserve">e breakaway regions through </w:t>
      </w:r>
      <w:r w:rsidRPr="006B0B75">
        <w:rPr>
          <w:rFonts w:ascii="Times New Roman" w:hAnsi="Times New Roman"/>
          <w:sz w:val="24"/>
          <w:szCs w:val="24"/>
        </w:rPr>
        <w:t>diplomatic mechanisms and economic tools</w:t>
      </w:r>
      <w:r w:rsidRPr="006B0B75">
        <w:rPr>
          <w:rFonts w:ascii="Times New Roman" w:hAnsi="Times New Roman"/>
          <w:b/>
          <w:sz w:val="24"/>
          <w:szCs w:val="24"/>
        </w:rPr>
        <w:t>.</w:t>
      </w:r>
      <w:r w:rsidRPr="00291D66">
        <w:rPr>
          <w:rStyle w:val="FootnoteReference"/>
          <w:rFonts w:ascii="Times New Roman" w:hAnsi="Times New Roman"/>
          <w:sz w:val="24"/>
          <w:szCs w:val="24"/>
        </w:rPr>
        <w:footnoteReference w:id="15"/>
      </w:r>
      <w:r w:rsidRPr="00291D66">
        <w:rPr>
          <w:rFonts w:ascii="Times New Roman" w:hAnsi="Times New Roman"/>
          <w:sz w:val="24"/>
          <w:szCs w:val="24"/>
        </w:rPr>
        <w:t xml:space="preserve"> </w:t>
      </w:r>
      <w:r w:rsidRPr="006B0B75">
        <w:rPr>
          <w:rFonts w:ascii="Times New Roman" w:hAnsi="Times New Roman"/>
          <w:sz w:val="24"/>
          <w:szCs w:val="24"/>
        </w:rPr>
        <w:t>By its nature, the NREP is a Structural Foreign Policy (SFP) of the EU, which intends to achieve the conflict transformation, strengthening the dialogue between the confronting parties and establish the basis for the long-term reconciliation.</w:t>
      </w:r>
      <w:r>
        <w:rPr>
          <w:rStyle w:val="FootnoteReference"/>
          <w:rFonts w:ascii="Times New Roman" w:hAnsi="Times New Roman"/>
          <w:sz w:val="24"/>
          <w:szCs w:val="24"/>
        </w:rPr>
        <w:footnoteReference w:id="16"/>
      </w:r>
      <w:r w:rsidRPr="006B0B75">
        <w:rPr>
          <w:rFonts w:ascii="Times New Roman" w:hAnsi="Times New Roman"/>
          <w:sz w:val="24"/>
          <w:szCs w:val="24"/>
        </w:rPr>
        <w:t xml:space="preserve"> The effectiven</w:t>
      </w:r>
      <w:r w:rsidR="004952D5">
        <w:rPr>
          <w:rFonts w:ascii="Times New Roman" w:hAnsi="Times New Roman"/>
          <w:sz w:val="24"/>
          <w:szCs w:val="24"/>
        </w:rPr>
        <w:t>ess of the NREP essentially depends</w:t>
      </w:r>
      <w:r w:rsidRPr="006B0B75">
        <w:rPr>
          <w:rFonts w:ascii="Times New Roman" w:hAnsi="Times New Roman"/>
          <w:sz w:val="24"/>
          <w:szCs w:val="24"/>
        </w:rPr>
        <w:t xml:space="preserve"> on two factors: internalization of the policy in Georgia and breakaway regions and internal coherence of the EU in designing and implementing </w:t>
      </w:r>
      <w:r w:rsidR="00367CE3">
        <w:rPr>
          <w:rFonts w:ascii="Times New Roman" w:hAnsi="Times New Roman"/>
          <w:sz w:val="24"/>
          <w:szCs w:val="24"/>
        </w:rPr>
        <w:t xml:space="preserve">the </w:t>
      </w:r>
      <w:r w:rsidRPr="006B0B75">
        <w:rPr>
          <w:rFonts w:ascii="Times New Roman" w:hAnsi="Times New Roman"/>
          <w:sz w:val="24"/>
          <w:szCs w:val="24"/>
        </w:rPr>
        <w:t xml:space="preserve">process. </w:t>
      </w:r>
    </w:p>
    <w:p w:rsidR="00855ECE" w:rsidRDefault="00855ECE" w:rsidP="006C762C">
      <w:pPr>
        <w:spacing w:line="360" w:lineRule="auto"/>
        <w:jc w:val="both"/>
        <w:rPr>
          <w:rFonts w:ascii="Times New Roman" w:hAnsi="Times New Roman"/>
          <w:sz w:val="24"/>
          <w:szCs w:val="24"/>
        </w:rPr>
      </w:pPr>
    </w:p>
    <w:p w:rsidR="00126A0E" w:rsidRDefault="00871435" w:rsidP="006E113E">
      <w:pPr>
        <w:spacing w:line="360" w:lineRule="auto"/>
        <w:jc w:val="both"/>
        <w:rPr>
          <w:rFonts w:ascii="Times New Roman" w:hAnsi="Times New Roman"/>
          <w:sz w:val="24"/>
          <w:szCs w:val="24"/>
        </w:rPr>
      </w:pPr>
      <w:r>
        <w:rPr>
          <w:rFonts w:ascii="Times New Roman" w:hAnsi="Times New Roman"/>
          <w:sz w:val="24"/>
          <w:szCs w:val="24"/>
        </w:rPr>
        <w:t>The</w:t>
      </w:r>
      <w:r w:rsidR="004952D5">
        <w:rPr>
          <w:rFonts w:ascii="Times New Roman" w:hAnsi="Times New Roman"/>
          <w:sz w:val="24"/>
          <w:szCs w:val="24"/>
        </w:rPr>
        <w:t xml:space="preserve"> research</w:t>
      </w:r>
      <w:r w:rsidR="00050BA9" w:rsidRPr="006B0B75">
        <w:rPr>
          <w:rFonts w:ascii="Times New Roman" w:hAnsi="Times New Roman"/>
          <w:sz w:val="24"/>
          <w:szCs w:val="24"/>
        </w:rPr>
        <w:t xml:space="preserve"> </w:t>
      </w:r>
      <w:r w:rsidR="00F3702B">
        <w:rPr>
          <w:rFonts w:ascii="Times New Roman" w:hAnsi="Times New Roman"/>
          <w:sz w:val="24"/>
          <w:szCs w:val="24"/>
        </w:rPr>
        <w:t xml:space="preserve">aims to address the frozen conflicts in Georgia through the prism of </w:t>
      </w:r>
      <w:r w:rsidR="002C54FC">
        <w:rPr>
          <w:rFonts w:ascii="Times New Roman" w:hAnsi="Times New Roman"/>
          <w:sz w:val="24"/>
          <w:szCs w:val="24"/>
        </w:rPr>
        <w:t xml:space="preserve">the </w:t>
      </w:r>
      <w:r w:rsidR="00F3702B">
        <w:rPr>
          <w:rFonts w:ascii="Times New Roman" w:hAnsi="Times New Roman"/>
          <w:sz w:val="24"/>
          <w:szCs w:val="24"/>
        </w:rPr>
        <w:t xml:space="preserve">EU’s conflict mediation </w:t>
      </w:r>
      <w:r w:rsidR="006E113E">
        <w:rPr>
          <w:rFonts w:ascii="Times New Roman" w:hAnsi="Times New Roman"/>
          <w:sz w:val="24"/>
          <w:szCs w:val="24"/>
        </w:rPr>
        <w:t>efficiency</w:t>
      </w:r>
      <w:r w:rsidR="00F3702B">
        <w:rPr>
          <w:rFonts w:ascii="Times New Roman" w:hAnsi="Times New Roman"/>
          <w:sz w:val="24"/>
          <w:szCs w:val="24"/>
        </w:rPr>
        <w:t xml:space="preserve"> and</w:t>
      </w:r>
      <w:r w:rsidR="002C54FC">
        <w:rPr>
          <w:rFonts w:ascii="Times New Roman" w:hAnsi="Times New Roman"/>
          <w:sz w:val="24"/>
          <w:szCs w:val="24"/>
        </w:rPr>
        <w:t xml:space="preserve"> explore the practical strength</w:t>
      </w:r>
      <w:r w:rsidR="00F3702B">
        <w:rPr>
          <w:rFonts w:ascii="Times New Roman" w:hAnsi="Times New Roman"/>
          <w:sz w:val="24"/>
          <w:szCs w:val="24"/>
        </w:rPr>
        <w:t>s and weakness</w:t>
      </w:r>
      <w:r w:rsidR="002C54FC">
        <w:rPr>
          <w:rFonts w:ascii="Times New Roman" w:hAnsi="Times New Roman"/>
          <w:sz w:val="24"/>
          <w:szCs w:val="24"/>
        </w:rPr>
        <w:t>es</w:t>
      </w:r>
      <w:r w:rsidR="00F3702B">
        <w:rPr>
          <w:rFonts w:ascii="Times New Roman" w:hAnsi="Times New Roman"/>
          <w:sz w:val="24"/>
          <w:szCs w:val="24"/>
        </w:rPr>
        <w:t xml:space="preserve"> of the NREP strategy. </w:t>
      </w:r>
      <w:r w:rsidR="00050BA9" w:rsidRPr="006B0B75">
        <w:rPr>
          <w:rFonts w:ascii="Times New Roman" w:hAnsi="Times New Roman"/>
          <w:sz w:val="24"/>
          <w:szCs w:val="24"/>
        </w:rPr>
        <w:t xml:space="preserve">The study will argue that </w:t>
      </w:r>
      <w:r w:rsidR="00F3702B">
        <w:rPr>
          <w:rFonts w:ascii="Times New Roman" w:hAnsi="Times New Roman"/>
          <w:sz w:val="24"/>
          <w:szCs w:val="24"/>
        </w:rPr>
        <w:t xml:space="preserve">so far, </w:t>
      </w:r>
      <w:r w:rsidR="00050BA9" w:rsidRPr="006B0B75">
        <w:rPr>
          <w:rFonts w:ascii="Times New Roman" w:hAnsi="Times New Roman"/>
          <w:sz w:val="24"/>
          <w:szCs w:val="24"/>
        </w:rPr>
        <w:t xml:space="preserve">the EU </w:t>
      </w:r>
      <w:r w:rsidR="00F3702B">
        <w:rPr>
          <w:rFonts w:ascii="Times New Roman" w:hAnsi="Times New Roman"/>
          <w:sz w:val="24"/>
          <w:szCs w:val="24"/>
        </w:rPr>
        <w:t xml:space="preserve">has made </w:t>
      </w:r>
      <w:r w:rsidR="002C54FC">
        <w:rPr>
          <w:rFonts w:ascii="Times New Roman" w:hAnsi="Times New Roman"/>
          <w:sz w:val="24"/>
          <w:szCs w:val="24"/>
        </w:rPr>
        <w:t xml:space="preserve">a </w:t>
      </w:r>
      <w:r w:rsidR="00F3702B">
        <w:rPr>
          <w:rFonts w:ascii="Times New Roman" w:hAnsi="Times New Roman"/>
          <w:sz w:val="24"/>
          <w:szCs w:val="24"/>
        </w:rPr>
        <w:t xml:space="preserve">limited impact on </w:t>
      </w:r>
      <w:r w:rsidR="002C54FC">
        <w:rPr>
          <w:rFonts w:ascii="Times New Roman" w:hAnsi="Times New Roman"/>
          <w:sz w:val="24"/>
          <w:szCs w:val="24"/>
        </w:rPr>
        <w:t xml:space="preserve">the </w:t>
      </w:r>
      <w:r w:rsidR="00F3702B">
        <w:rPr>
          <w:rFonts w:ascii="Times New Roman" w:hAnsi="Times New Roman"/>
          <w:sz w:val="24"/>
          <w:szCs w:val="24"/>
        </w:rPr>
        <w:t xml:space="preserve">conflict resolution process. </w:t>
      </w:r>
      <w:r w:rsidR="006E113E">
        <w:rPr>
          <w:rFonts w:ascii="Times New Roman" w:hAnsi="Times New Roman"/>
          <w:sz w:val="24"/>
          <w:szCs w:val="24"/>
        </w:rPr>
        <w:t>In this regard, the following</w:t>
      </w:r>
      <w:r w:rsidR="000768EC">
        <w:rPr>
          <w:rFonts w:ascii="Times New Roman" w:hAnsi="Times New Roman"/>
          <w:sz w:val="24"/>
          <w:szCs w:val="24"/>
        </w:rPr>
        <w:t xml:space="preserve"> arguments will be tested</w:t>
      </w:r>
      <w:r w:rsidR="006E113E">
        <w:rPr>
          <w:rFonts w:ascii="Times New Roman" w:hAnsi="Times New Roman"/>
          <w:sz w:val="24"/>
          <w:szCs w:val="24"/>
        </w:rPr>
        <w:t>:</w:t>
      </w:r>
      <w:r w:rsidR="004952D5">
        <w:rPr>
          <w:rFonts w:ascii="Times New Roman" w:hAnsi="Times New Roman"/>
          <w:sz w:val="24"/>
          <w:szCs w:val="24"/>
        </w:rPr>
        <w:t xml:space="preserve"> </w:t>
      </w:r>
      <w:r w:rsidR="00050BA9" w:rsidRPr="006B0B75">
        <w:rPr>
          <w:rFonts w:ascii="Times New Roman" w:hAnsi="Times New Roman"/>
          <w:sz w:val="24"/>
          <w:szCs w:val="24"/>
        </w:rPr>
        <w:t xml:space="preserve">a) weak internalization of the EU’s NREP in de-facto entities and Georgia, b) lack of coherence and divergence in designing and implementation of the policy between the EU member states c) Russian hard power and counter-strategy in contested states. </w:t>
      </w:r>
      <w:r w:rsidR="006E113E">
        <w:rPr>
          <w:rFonts w:ascii="Times New Roman" w:hAnsi="Times New Roman"/>
          <w:sz w:val="24"/>
          <w:szCs w:val="24"/>
        </w:rPr>
        <w:t>The re</w:t>
      </w:r>
      <w:r w:rsidR="002C54FC">
        <w:rPr>
          <w:rFonts w:ascii="Times New Roman" w:hAnsi="Times New Roman"/>
          <w:sz w:val="24"/>
          <w:szCs w:val="24"/>
        </w:rPr>
        <w:t>search compr</w:t>
      </w:r>
      <w:r w:rsidR="006E113E">
        <w:rPr>
          <w:rFonts w:ascii="Times New Roman" w:hAnsi="Times New Roman"/>
          <w:sz w:val="24"/>
          <w:szCs w:val="24"/>
        </w:rPr>
        <w:t xml:space="preserve">omises of five chapters. The first two chapters present the problem </w:t>
      </w:r>
      <w:r w:rsidR="002C54FC">
        <w:rPr>
          <w:rFonts w:ascii="Times New Roman" w:hAnsi="Times New Roman"/>
          <w:sz w:val="24"/>
          <w:szCs w:val="24"/>
        </w:rPr>
        <w:t xml:space="preserve">formulation, research questions, </w:t>
      </w:r>
      <w:r w:rsidR="006E113E">
        <w:rPr>
          <w:rFonts w:ascii="Times New Roman" w:hAnsi="Times New Roman"/>
          <w:sz w:val="24"/>
          <w:szCs w:val="24"/>
        </w:rPr>
        <w:t xml:space="preserve">and </w:t>
      </w:r>
      <w:r w:rsidR="006E113E">
        <w:rPr>
          <w:rFonts w:ascii="Times New Roman" w:hAnsi="Times New Roman"/>
          <w:sz w:val="24"/>
          <w:szCs w:val="24"/>
        </w:rPr>
        <w:lastRenderedPageBreak/>
        <w:t xml:space="preserve">choice of methodological and theoretical frameworks. Chapters 3&amp;4 deliver </w:t>
      </w:r>
      <w:r w:rsidR="002C54FC">
        <w:rPr>
          <w:rFonts w:ascii="Times New Roman" w:hAnsi="Times New Roman"/>
          <w:sz w:val="24"/>
          <w:szCs w:val="24"/>
        </w:rPr>
        <w:t xml:space="preserve">an </w:t>
      </w:r>
      <w:r w:rsidR="006E113E">
        <w:rPr>
          <w:rFonts w:ascii="Times New Roman" w:hAnsi="Times New Roman"/>
          <w:sz w:val="24"/>
          <w:szCs w:val="24"/>
        </w:rPr>
        <w:t xml:space="preserve">in-depth analysis of the empirical data. Chapter 5 is dedicated to </w:t>
      </w:r>
      <w:r w:rsidR="005440CE">
        <w:rPr>
          <w:rFonts w:ascii="Times New Roman" w:hAnsi="Times New Roman"/>
          <w:sz w:val="24"/>
          <w:szCs w:val="24"/>
        </w:rPr>
        <w:t xml:space="preserve">the </w:t>
      </w:r>
      <w:r w:rsidR="006E113E">
        <w:rPr>
          <w:rFonts w:ascii="Times New Roman" w:hAnsi="Times New Roman"/>
          <w:sz w:val="24"/>
          <w:szCs w:val="24"/>
        </w:rPr>
        <w:t xml:space="preserve">discussion and summary of the main findings. </w:t>
      </w:r>
    </w:p>
    <w:p w:rsidR="006D290C" w:rsidRDefault="006D290C" w:rsidP="006D290C">
      <w:pPr>
        <w:pStyle w:val="NoSpacing"/>
      </w:pPr>
    </w:p>
    <w:p w:rsidR="00195E4A" w:rsidRDefault="00195E4A" w:rsidP="006D290C">
      <w:pPr>
        <w:pStyle w:val="NoSpacing"/>
      </w:pPr>
    </w:p>
    <w:p w:rsidR="00195E4A" w:rsidRDefault="00195E4A" w:rsidP="006D290C">
      <w:pPr>
        <w:pStyle w:val="NoSpacing"/>
      </w:pPr>
    </w:p>
    <w:p w:rsidR="00195E4A" w:rsidRDefault="00195E4A" w:rsidP="006D290C">
      <w:pPr>
        <w:pStyle w:val="NoSpacing"/>
      </w:pPr>
    </w:p>
    <w:p w:rsidR="00195E4A" w:rsidRDefault="00195E4A" w:rsidP="006D290C">
      <w:pPr>
        <w:pStyle w:val="NoSpacing"/>
      </w:pPr>
    </w:p>
    <w:p w:rsidR="00195E4A" w:rsidRDefault="00195E4A" w:rsidP="006D290C">
      <w:pPr>
        <w:pStyle w:val="NoSpacing"/>
      </w:pPr>
    </w:p>
    <w:p w:rsidR="00195E4A" w:rsidRDefault="00195E4A" w:rsidP="006D290C">
      <w:pPr>
        <w:pStyle w:val="NoSpacing"/>
      </w:pPr>
    </w:p>
    <w:p w:rsidR="00195E4A" w:rsidRDefault="00195E4A" w:rsidP="006D290C">
      <w:pPr>
        <w:pStyle w:val="NoSpacing"/>
      </w:pPr>
    </w:p>
    <w:p w:rsidR="00195E4A" w:rsidRDefault="00195E4A" w:rsidP="006D290C">
      <w:pPr>
        <w:pStyle w:val="NoSpacing"/>
      </w:pPr>
    </w:p>
    <w:p w:rsidR="00195E4A" w:rsidRDefault="00195E4A"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DC7791" w:rsidRDefault="00DC7791" w:rsidP="006D290C">
      <w:pPr>
        <w:pStyle w:val="NoSpacing"/>
      </w:pPr>
    </w:p>
    <w:p w:rsidR="00195E4A" w:rsidRPr="006D290C" w:rsidRDefault="00195E4A" w:rsidP="006D290C">
      <w:pPr>
        <w:pStyle w:val="NoSpacing"/>
      </w:pPr>
    </w:p>
    <w:p w:rsidR="00EF64D9" w:rsidRDefault="006D2116" w:rsidP="006D2116">
      <w:pPr>
        <w:pStyle w:val="Heading2"/>
        <w:rPr>
          <w:color w:val="auto"/>
          <w:sz w:val="32"/>
          <w:szCs w:val="32"/>
        </w:rPr>
      </w:pPr>
      <w:bookmarkStart w:id="2" w:name="_Toc46952596"/>
      <w:r w:rsidRPr="006D290C">
        <w:rPr>
          <w:color w:val="auto"/>
          <w:sz w:val="32"/>
          <w:szCs w:val="32"/>
        </w:rPr>
        <w:lastRenderedPageBreak/>
        <w:t>2. Theory</w:t>
      </w:r>
      <w:r w:rsidR="00EF64D9" w:rsidRPr="006D290C">
        <w:rPr>
          <w:color w:val="auto"/>
          <w:sz w:val="32"/>
          <w:szCs w:val="32"/>
        </w:rPr>
        <w:t xml:space="preserve"> and Methodology</w:t>
      </w:r>
      <w:bookmarkEnd w:id="2"/>
    </w:p>
    <w:p w:rsidR="00855ECE" w:rsidRDefault="00855ECE" w:rsidP="00855ECE"/>
    <w:p w:rsidR="00855ECE" w:rsidRPr="00855ECE" w:rsidRDefault="00855ECE" w:rsidP="00855ECE">
      <w:pPr>
        <w:pStyle w:val="NoSpacing"/>
        <w:spacing w:line="360" w:lineRule="auto"/>
        <w:jc w:val="both"/>
        <w:rPr>
          <w:rFonts w:ascii="Times New Roman" w:hAnsi="Times New Roman"/>
          <w:sz w:val="24"/>
          <w:szCs w:val="24"/>
        </w:rPr>
      </w:pPr>
      <w:r>
        <w:rPr>
          <w:rFonts w:ascii="Times New Roman" w:hAnsi="Times New Roman"/>
          <w:sz w:val="24"/>
          <w:szCs w:val="24"/>
        </w:rPr>
        <w:t xml:space="preserve">The chapter presents the choice of the research method and classification of the selected sources. It further commences with </w:t>
      </w:r>
      <w:r w:rsidR="002C54FC">
        <w:rPr>
          <w:rFonts w:ascii="Times New Roman" w:hAnsi="Times New Roman"/>
          <w:sz w:val="24"/>
          <w:szCs w:val="24"/>
        </w:rPr>
        <w:t xml:space="preserve">an </w:t>
      </w:r>
      <w:r>
        <w:rPr>
          <w:rFonts w:ascii="Times New Roman" w:hAnsi="Times New Roman"/>
          <w:sz w:val="24"/>
          <w:szCs w:val="24"/>
        </w:rPr>
        <w:t xml:space="preserve">exploration of the selected theoretical frameworks and applicability to the research. </w:t>
      </w:r>
      <w:r w:rsidR="004D5971">
        <w:rPr>
          <w:rFonts w:ascii="Times New Roman" w:hAnsi="Times New Roman"/>
          <w:sz w:val="24"/>
          <w:szCs w:val="24"/>
        </w:rPr>
        <w:t xml:space="preserve">The prior research in the field and central concepts are discussed in the separate sub-chapter. </w:t>
      </w:r>
      <w:r>
        <w:rPr>
          <w:rFonts w:ascii="Times New Roman" w:hAnsi="Times New Roman"/>
          <w:sz w:val="24"/>
          <w:szCs w:val="24"/>
        </w:rPr>
        <w:t>The main research question is formulated at the end of the chapter.</w:t>
      </w:r>
    </w:p>
    <w:p w:rsidR="00DB226E" w:rsidRPr="00DB226E" w:rsidRDefault="00DB226E" w:rsidP="00DB226E"/>
    <w:p w:rsidR="00050BA9" w:rsidRDefault="00EF64D9" w:rsidP="006D2116">
      <w:pPr>
        <w:pStyle w:val="Heading2"/>
        <w:rPr>
          <w:color w:val="auto"/>
          <w:sz w:val="32"/>
          <w:szCs w:val="32"/>
        </w:rPr>
      </w:pPr>
      <w:bookmarkStart w:id="3" w:name="_Toc46952597"/>
      <w:r w:rsidRPr="006D290C">
        <w:rPr>
          <w:color w:val="auto"/>
          <w:sz w:val="32"/>
          <w:szCs w:val="32"/>
        </w:rPr>
        <w:t xml:space="preserve">2.1 </w:t>
      </w:r>
      <w:r w:rsidR="00050BA9" w:rsidRPr="006D290C">
        <w:rPr>
          <w:color w:val="auto"/>
          <w:sz w:val="32"/>
          <w:szCs w:val="32"/>
        </w:rPr>
        <w:t>Research Design</w:t>
      </w:r>
      <w:bookmarkEnd w:id="3"/>
    </w:p>
    <w:p w:rsidR="006D290C" w:rsidRPr="006D290C" w:rsidRDefault="006D290C" w:rsidP="006D290C"/>
    <w:p w:rsidR="00050BA9" w:rsidRPr="006B0B75" w:rsidRDefault="002C54FC" w:rsidP="00050BA9">
      <w:pPr>
        <w:spacing w:line="360" w:lineRule="auto"/>
        <w:jc w:val="both"/>
        <w:rPr>
          <w:rFonts w:ascii="Times New Roman" w:hAnsi="Times New Roman"/>
          <w:sz w:val="24"/>
          <w:szCs w:val="24"/>
        </w:rPr>
      </w:pPr>
      <w:r>
        <w:rPr>
          <w:rFonts w:ascii="Times New Roman" w:hAnsi="Times New Roman"/>
          <w:sz w:val="24"/>
          <w:szCs w:val="24"/>
        </w:rPr>
        <w:t>T</w:t>
      </w:r>
      <w:r w:rsidR="00F567E4">
        <w:rPr>
          <w:rFonts w:ascii="Times New Roman" w:hAnsi="Times New Roman"/>
          <w:sz w:val="24"/>
          <w:szCs w:val="24"/>
        </w:rPr>
        <w:t>o achieve the desired depth of the analysis, the research employes the</w:t>
      </w:r>
      <w:r w:rsidR="00126A0E">
        <w:rPr>
          <w:rFonts w:ascii="Times New Roman" w:hAnsi="Times New Roman"/>
          <w:sz w:val="24"/>
          <w:szCs w:val="24"/>
        </w:rPr>
        <w:t xml:space="preserve"> </w:t>
      </w:r>
      <w:r w:rsidR="00050BA9" w:rsidRPr="006B0B75">
        <w:rPr>
          <w:rFonts w:ascii="Times New Roman" w:hAnsi="Times New Roman"/>
          <w:sz w:val="24"/>
          <w:szCs w:val="24"/>
        </w:rPr>
        <w:t>combination of descriptive and explanat</w:t>
      </w:r>
      <w:r w:rsidR="00F567E4">
        <w:rPr>
          <w:rFonts w:ascii="Times New Roman" w:hAnsi="Times New Roman"/>
          <w:sz w:val="24"/>
          <w:szCs w:val="24"/>
        </w:rPr>
        <w:t>ory methods. The choice of this</w:t>
      </w:r>
      <w:r w:rsidR="00126A0E">
        <w:rPr>
          <w:rFonts w:ascii="Times New Roman" w:hAnsi="Times New Roman"/>
          <w:sz w:val="24"/>
          <w:szCs w:val="24"/>
        </w:rPr>
        <w:t xml:space="preserve"> </w:t>
      </w:r>
      <w:r w:rsidR="00050BA9" w:rsidRPr="006B0B75">
        <w:rPr>
          <w:rFonts w:ascii="Times New Roman" w:hAnsi="Times New Roman"/>
          <w:sz w:val="24"/>
          <w:szCs w:val="24"/>
        </w:rPr>
        <w:t xml:space="preserve">approach </w:t>
      </w:r>
      <w:r w:rsidR="00F567E4">
        <w:rPr>
          <w:rFonts w:ascii="Times New Roman" w:hAnsi="Times New Roman"/>
          <w:sz w:val="24"/>
          <w:szCs w:val="24"/>
        </w:rPr>
        <w:t xml:space="preserve">is based on the content and the nature of the empirical data. The research primarily deals with the </w:t>
      </w:r>
      <w:r w:rsidR="00050BA9" w:rsidRPr="006B0B75">
        <w:rPr>
          <w:rFonts w:ascii="Times New Roman" w:hAnsi="Times New Roman"/>
          <w:sz w:val="24"/>
          <w:szCs w:val="24"/>
        </w:rPr>
        <w:t xml:space="preserve">past events </w:t>
      </w:r>
      <w:r w:rsidR="00F567E4">
        <w:rPr>
          <w:rFonts w:ascii="Times New Roman" w:hAnsi="Times New Roman"/>
          <w:sz w:val="24"/>
          <w:szCs w:val="24"/>
        </w:rPr>
        <w:t xml:space="preserve">which commence in the present time through the consequences and may directly or indirectly affect the future as well. </w:t>
      </w:r>
      <w:r w:rsidR="00050BA9" w:rsidRPr="006B0B75">
        <w:rPr>
          <w:rFonts w:ascii="Times New Roman" w:hAnsi="Times New Roman"/>
          <w:sz w:val="24"/>
          <w:szCs w:val="24"/>
        </w:rPr>
        <w:t>The descriptive account of the resea</w:t>
      </w:r>
      <w:r w:rsidR="00F567E4">
        <w:rPr>
          <w:rFonts w:ascii="Times New Roman" w:hAnsi="Times New Roman"/>
          <w:sz w:val="24"/>
          <w:szCs w:val="24"/>
        </w:rPr>
        <w:t>rch targets the historical events</w:t>
      </w:r>
      <w:r w:rsidR="00050BA9" w:rsidRPr="006B0B75">
        <w:rPr>
          <w:rFonts w:ascii="Times New Roman" w:hAnsi="Times New Roman"/>
          <w:sz w:val="24"/>
          <w:szCs w:val="24"/>
        </w:rPr>
        <w:t xml:space="preserve"> and background inf</w:t>
      </w:r>
      <w:r w:rsidR="00050BA9">
        <w:rPr>
          <w:rFonts w:ascii="Times New Roman" w:hAnsi="Times New Roman"/>
          <w:sz w:val="24"/>
          <w:szCs w:val="24"/>
        </w:rPr>
        <w:t>ormation</w:t>
      </w:r>
      <w:r w:rsidR="00F567E4">
        <w:rPr>
          <w:rFonts w:ascii="Times New Roman" w:hAnsi="Times New Roman"/>
          <w:sz w:val="24"/>
          <w:szCs w:val="24"/>
        </w:rPr>
        <w:t xml:space="preserve"> about the key components and actors of the research</w:t>
      </w:r>
      <w:r w:rsidR="00050BA9" w:rsidRPr="006B0B75">
        <w:rPr>
          <w:rFonts w:ascii="Times New Roman" w:hAnsi="Times New Roman"/>
          <w:sz w:val="24"/>
          <w:szCs w:val="24"/>
        </w:rPr>
        <w:t xml:space="preserve">, while </w:t>
      </w:r>
      <w:r w:rsidR="00F567E4">
        <w:rPr>
          <w:rFonts w:ascii="Times New Roman" w:hAnsi="Times New Roman"/>
          <w:sz w:val="24"/>
          <w:szCs w:val="24"/>
        </w:rPr>
        <w:t xml:space="preserve">the </w:t>
      </w:r>
      <w:r w:rsidR="00050BA9" w:rsidRPr="006B0B75">
        <w:rPr>
          <w:rFonts w:ascii="Times New Roman" w:hAnsi="Times New Roman"/>
          <w:sz w:val="24"/>
          <w:szCs w:val="24"/>
        </w:rPr>
        <w:t xml:space="preserve">explanatory account enables to address the consequences </w:t>
      </w:r>
      <w:r>
        <w:rPr>
          <w:rFonts w:ascii="Times New Roman" w:hAnsi="Times New Roman"/>
          <w:sz w:val="24"/>
          <w:szCs w:val="24"/>
        </w:rPr>
        <w:t xml:space="preserve">of </w:t>
      </w:r>
      <w:r w:rsidR="00F567E4">
        <w:rPr>
          <w:rFonts w:ascii="Times New Roman" w:hAnsi="Times New Roman"/>
          <w:sz w:val="24"/>
          <w:szCs w:val="24"/>
        </w:rPr>
        <w:t>varous events</w:t>
      </w:r>
      <w:r w:rsidR="00050BA9" w:rsidRPr="006B0B75">
        <w:rPr>
          <w:rFonts w:ascii="Times New Roman" w:hAnsi="Times New Roman"/>
          <w:sz w:val="24"/>
          <w:szCs w:val="24"/>
        </w:rPr>
        <w:t xml:space="preserve"> through the theoretical prism</w:t>
      </w:r>
      <w:r w:rsidR="00050BA9">
        <w:rPr>
          <w:rFonts w:ascii="Times New Roman" w:hAnsi="Times New Roman"/>
          <w:b/>
          <w:sz w:val="24"/>
          <w:szCs w:val="24"/>
        </w:rPr>
        <w:t>.</w:t>
      </w:r>
      <w:r w:rsidR="00050BA9" w:rsidRPr="00B129FF">
        <w:rPr>
          <w:rStyle w:val="FootnoteReference"/>
          <w:rFonts w:ascii="Times New Roman" w:hAnsi="Times New Roman"/>
          <w:sz w:val="24"/>
          <w:szCs w:val="24"/>
        </w:rPr>
        <w:footnoteReference w:id="17"/>
      </w:r>
    </w:p>
    <w:p w:rsidR="00050BA9" w:rsidRPr="006B0B75" w:rsidRDefault="00D62EF6" w:rsidP="00050BA9">
      <w:pPr>
        <w:spacing w:line="360" w:lineRule="auto"/>
        <w:jc w:val="both"/>
        <w:rPr>
          <w:rFonts w:ascii="Times New Roman" w:hAnsi="Times New Roman"/>
          <w:sz w:val="24"/>
          <w:szCs w:val="24"/>
        </w:rPr>
      </w:pPr>
      <w:r>
        <w:rPr>
          <w:rFonts w:ascii="Times New Roman" w:hAnsi="Times New Roman"/>
          <w:sz w:val="24"/>
          <w:szCs w:val="24"/>
        </w:rPr>
        <w:t>The research</w:t>
      </w:r>
      <w:r w:rsidR="00050BA9">
        <w:rPr>
          <w:rFonts w:ascii="Times New Roman" w:hAnsi="Times New Roman"/>
          <w:sz w:val="24"/>
          <w:szCs w:val="24"/>
        </w:rPr>
        <w:t xml:space="preserve"> </w:t>
      </w:r>
      <w:r>
        <w:rPr>
          <w:rFonts w:ascii="Times New Roman" w:hAnsi="Times New Roman"/>
          <w:sz w:val="24"/>
          <w:szCs w:val="24"/>
        </w:rPr>
        <w:t xml:space="preserve">addresses </w:t>
      </w:r>
      <w:r w:rsidR="00050BA9">
        <w:rPr>
          <w:rFonts w:ascii="Times New Roman" w:hAnsi="Times New Roman"/>
          <w:sz w:val="24"/>
          <w:szCs w:val="24"/>
        </w:rPr>
        <w:t>the concepts</w:t>
      </w:r>
      <w:r w:rsidR="00050BA9" w:rsidRPr="006B0B75">
        <w:rPr>
          <w:rFonts w:ascii="Times New Roman" w:hAnsi="Times New Roman"/>
          <w:sz w:val="24"/>
          <w:szCs w:val="24"/>
        </w:rPr>
        <w:t xml:space="preserve"> of ‘</w:t>
      </w:r>
      <w:r w:rsidR="00050BA9" w:rsidRPr="00B129FF">
        <w:rPr>
          <w:rFonts w:ascii="Times New Roman" w:hAnsi="Times New Roman"/>
          <w:i/>
          <w:sz w:val="24"/>
          <w:szCs w:val="24"/>
        </w:rPr>
        <w:t>conflict mediation</w:t>
      </w:r>
      <w:r w:rsidR="00050BA9">
        <w:rPr>
          <w:rFonts w:ascii="Times New Roman" w:hAnsi="Times New Roman"/>
          <w:sz w:val="24"/>
          <w:szCs w:val="24"/>
        </w:rPr>
        <w:t>’ and</w:t>
      </w:r>
      <w:r w:rsidR="00050BA9" w:rsidRPr="006B0B75">
        <w:rPr>
          <w:rFonts w:ascii="Times New Roman" w:hAnsi="Times New Roman"/>
          <w:sz w:val="24"/>
          <w:szCs w:val="24"/>
        </w:rPr>
        <w:t xml:space="preserve"> ‘</w:t>
      </w:r>
      <w:r w:rsidR="00050BA9">
        <w:rPr>
          <w:rFonts w:ascii="Times New Roman" w:hAnsi="Times New Roman"/>
          <w:i/>
          <w:sz w:val="24"/>
          <w:szCs w:val="24"/>
        </w:rPr>
        <w:t>conflict transformation</w:t>
      </w:r>
      <w:r w:rsidR="002C54FC">
        <w:rPr>
          <w:rFonts w:ascii="Times New Roman" w:hAnsi="Times New Roman"/>
          <w:sz w:val="24"/>
          <w:szCs w:val="24"/>
        </w:rPr>
        <w:t>’; The a</w:t>
      </w:r>
      <w:r>
        <w:rPr>
          <w:rFonts w:ascii="Times New Roman" w:hAnsi="Times New Roman"/>
          <w:sz w:val="24"/>
          <w:szCs w:val="24"/>
        </w:rPr>
        <w:t xml:space="preserve">pplicability of these notions to the selected case </w:t>
      </w:r>
      <w:r w:rsidR="00050BA9" w:rsidRPr="006B0B75">
        <w:rPr>
          <w:rFonts w:ascii="Times New Roman" w:hAnsi="Times New Roman"/>
          <w:sz w:val="24"/>
          <w:szCs w:val="24"/>
        </w:rPr>
        <w:t xml:space="preserve">should be </w:t>
      </w:r>
      <w:r>
        <w:rPr>
          <w:rFonts w:ascii="Times New Roman" w:hAnsi="Times New Roman"/>
          <w:sz w:val="24"/>
          <w:szCs w:val="24"/>
        </w:rPr>
        <w:t xml:space="preserve">perceived as </w:t>
      </w:r>
      <w:r w:rsidR="002C54FC">
        <w:rPr>
          <w:rFonts w:ascii="Times New Roman" w:hAnsi="Times New Roman"/>
          <w:sz w:val="24"/>
          <w:szCs w:val="24"/>
        </w:rPr>
        <w:t xml:space="preserve">an </w:t>
      </w:r>
      <w:r>
        <w:rPr>
          <w:rFonts w:ascii="Times New Roman" w:hAnsi="Times New Roman"/>
          <w:sz w:val="24"/>
          <w:szCs w:val="24"/>
        </w:rPr>
        <w:t>exploration of the</w:t>
      </w:r>
      <w:r w:rsidR="00050BA9" w:rsidRPr="006B0B75">
        <w:rPr>
          <w:rFonts w:ascii="Times New Roman" w:hAnsi="Times New Roman"/>
          <w:sz w:val="24"/>
          <w:szCs w:val="24"/>
        </w:rPr>
        <w:t xml:space="preserve"> EU’s efficiency in</w:t>
      </w:r>
      <w:r>
        <w:rPr>
          <w:rFonts w:ascii="Times New Roman" w:hAnsi="Times New Roman"/>
          <w:sz w:val="24"/>
          <w:szCs w:val="24"/>
        </w:rPr>
        <w:t xml:space="preserve"> external governances, more precisely – conflict resolution beyond the borders</w:t>
      </w:r>
      <w:r w:rsidR="00050BA9" w:rsidRPr="006B0B75">
        <w:rPr>
          <w:rFonts w:ascii="Times New Roman" w:hAnsi="Times New Roman"/>
          <w:sz w:val="24"/>
          <w:szCs w:val="24"/>
        </w:rPr>
        <w:t xml:space="preserve">. The </w:t>
      </w:r>
      <w:r w:rsidR="00311888">
        <w:rPr>
          <w:rFonts w:ascii="Times New Roman" w:hAnsi="Times New Roman"/>
          <w:sz w:val="24"/>
          <w:szCs w:val="24"/>
        </w:rPr>
        <w:t xml:space="preserve">research is focused on a single case – Georgia, however, it </w:t>
      </w:r>
      <w:r w:rsidR="00050BA9" w:rsidRPr="006B0B75">
        <w:rPr>
          <w:rFonts w:ascii="Times New Roman" w:hAnsi="Times New Roman"/>
          <w:sz w:val="24"/>
          <w:szCs w:val="24"/>
        </w:rPr>
        <w:t>embodies tw</w:t>
      </w:r>
      <w:r w:rsidR="00050BA9">
        <w:rPr>
          <w:rFonts w:ascii="Times New Roman" w:hAnsi="Times New Roman"/>
          <w:sz w:val="24"/>
          <w:szCs w:val="24"/>
        </w:rPr>
        <w:t>o sub-cases of conflict secessionist</w:t>
      </w:r>
      <w:r w:rsidR="00050BA9" w:rsidRPr="006B0B75">
        <w:rPr>
          <w:rFonts w:ascii="Times New Roman" w:hAnsi="Times New Roman"/>
          <w:sz w:val="24"/>
          <w:szCs w:val="24"/>
        </w:rPr>
        <w:t xml:space="preserve"> regions</w:t>
      </w:r>
      <w:r w:rsidR="00902E5B">
        <w:rPr>
          <w:rFonts w:ascii="Times New Roman" w:hAnsi="Times New Roman"/>
          <w:sz w:val="24"/>
          <w:szCs w:val="24"/>
        </w:rPr>
        <w:t xml:space="preserve"> – Abkhazia and South Ossetia. The E</w:t>
      </w:r>
      <w:r w:rsidR="00050BA9" w:rsidRPr="006B0B75">
        <w:rPr>
          <w:rFonts w:ascii="Times New Roman" w:hAnsi="Times New Roman"/>
          <w:sz w:val="24"/>
          <w:szCs w:val="24"/>
        </w:rPr>
        <w:t xml:space="preserve">mpirical analysis </w:t>
      </w:r>
      <w:r w:rsidR="00050BA9">
        <w:rPr>
          <w:rFonts w:ascii="Times New Roman" w:hAnsi="Times New Roman"/>
          <w:sz w:val="24"/>
          <w:szCs w:val="24"/>
        </w:rPr>
        <w:t>shows that the EU utilizes</w:t>
      </w:r>
      <w:r w:rsidR="00050BA9" w:rsidRPr="006B0B75">
        <w:rPr>
          <w:rFonts w:ascii="Times New Roman" w:hAnsi="Times New Roman"/>
          <w:sz w:val="24"/>
          <w:szCs w:val="24"/>
        </w:rPr>
        <w:t xml:space="preserve"> th</w:t>
      </w:r>
      <w:r w:rsidR="00050BA9">
        <w:rPr>
          <w:rFonts w:ascii="Times New Roman" w:hAnsi="Times New Roman"/>
          <w:sz w:val="24"/>
          <w:szCs w:val="24"/>
        </w:rPr>
        <w:t xml:space="preserve">e same tools and mechanisms </w:t>
      </w:r>
      <w:r w:rsidR="00311888">
        <w:rPr>
          <w:rFonts w:ascii="Times New Roman" w:hAnsi="Times New Roman"/>
          <w:sz w:val="24"/>
          <w:szCs w:val="24"/>
        </w:rPr>
        <w:t>in both secessionist regions and the dynamics of the conflict mediation process are essentially identical</w:t>
      </w:r>
      <w:r w:rsidR="00050BA9" w:rsidRPr="006B0B75">
        <w:rPr>
          <w:rFonts w:ascii="Times New Roman" w:hAnsi="Times New Roman"/>
          <w:sz w:val="24"/>
          <w:szCs w:val="24"/>
        </w:rPr>
        <w:t xml:space="preserve">, </w:t>
      </w:r>
      <w:r w:rsidR="00311888">
        <w:rPr>
          <w:rFonts w:ascii="Times New Roman" w:hAnsi="Times New Roman"/>
          <w:sz w:val="24"/>
          <w:szCs w:val="24"/>
        </w:rPr>
        <w:t xml:space="preserve">thus, </w:t>
      </w:r>
      <w:r w:rsidR="00050BA9" w:rsidRPr="006B0B75">
        <w:rPr>
          <w:rFonts w:ascii="Times New Roman" w:hAnsi="Times New Roman"/>
          <w:sz w:val="24"/>
          <w:szCs w:val="24"/>
        </w:rPr>
        <w:t xml:space="preserve">the unification of </w:t>
      </w:r>
      <w:r w:rsidR="00EC1174">
        <w:rPr>
          <w:rFonts w:ascii="Times New Roman" w:hAnsi="Times New Roman"/>
          <w:sz w:val="24"/>
          <w:szCs w:val="24"/>
        </w:rPr>
        <w:t xml:space="preserve">these sub-cases </w:t>
      </w:r>
      <w:r w:rsidR="00050BA9" w:rsidRPr="006B0B75">
        <w:rPr>
          <w:rFonts w:ascii="Times New Roman" w:hAnsi="Times New Roman"/>
          <w:sz w:val="24"/>
          <w:szCs w:val="24"/>
        </w:rPr>
        <w:t>un</w:t>
      </w:r>
      <w:r w:rsidR="00902E5B">
        <w:rPr>
          <w:rFonts w:ascii="Times New Roman" w:hAnsi="Times New Roman"/>
          <w:sz w:val="24"/>
          <w:szCs w:val="24"/>
        </w:rPr>
        <w:t xml:space="preserve">der </w:t>
      </w:r>
      <w:r w:rsidR="00EC1174">
        <w:rPr>
          <w:rFonts w:ascii="Times New Roman" w:hAnsi="Times New Roman"/>
          <w:sz w:val="24"/>
          <w:szCs w:val="24"/>
        </w:rPr>
        <w:t xml:space="preserve">the same </w:t>
      </w:r>
      <w:r w:rsidR="00050BA9">
        <w:rPr>
          <w:rFonts w:ascii="Times New Roman" w:hAnsi="Times New Roman"/>
          <w:sz w:val="24"/>
          <w:szCs w:val="24"/>
        </w:rPr>
        <w:t xml:space="preserve">category of deductive analysis is feasible. </w:t>
      </w:r>
      <w:r w:rsidR="00050BA9" w:rsidRPr="006B0B75">
        <w:rPr>
          <w:rFonts w:ascii="Times New Roman" w:hAnsi="Times New Roman"/>
          <w:sz w:val="24"/>
          <w:szCs w:val="24"/>
        </w:rPr>
        <w:t xml:space="preserve">One of the main objectives of the study is to </w:t>
      </w:r>
      <w:r w:rsidR="00C51913">
        <w:rPr>
          <w:rFonts w:ascii="Times New Roman" w:hAnsi="Times New Roman"/>
          <w:sz w:val="24"/>
          <w:szCs w:val="24"/>
        </w:rPr>
        <w:t xml:space="preserve">explore the efficiency of the </w:t>
      </w:r>
      <w:r w:rsidR="00050BA9" w:rsidRPr="006B0B75">
        <w:rPr>
          <w:rFonts w:ascii="Times New Roman" w:hAnsi="Times New Roman"/>
          <w:sz w:val="24"/>
          <w:szCs w:val="24"/>
        </w:rPr>
        <w:t xml:space="preserve">EU’s conflict mediation strategy </w:t>
      </w:r>
      <w:r w:rsidR="00C51913">
        <w:rPr>
          <w:rFonts w:ascii="Times New Roman" w:hAnsi="Times New Roman"/>
          <w:sz w:val="24"/>
          <w:szCs w:val="24"/>
        </w:rPr>
        <w:t xml:space="preserve">through the analysis of the instruments </w:t>
      </w:r>
      <w:r w:rsidR="00050BA9" w:rsidRPr="006B0B75">
        <w:rPr>
          <w:rFonts w:ascii="Times New Roman" w:hAnsi="Times New Roman"/>
          <w:sz w:val="24"/>
          <w:szCs w:val="24"/>
        </w:rPr>
        <w:t>such as NRE</w:t>
      </w:r>
      <w:r w:rsidR="00050BA9">
        <w:rPr>
          <w:rFonts w:ascii="Times New Roman" w:hAnsi="Times New Roman"/>
          <w:sz w:val="24"/>
          <w:szCs w:val="24"/>
        </w:rPr>
        <w:t xml:space="preserve">P, EUMM, EUSR, </w:t>
      </w:r>
      <w:proofErr w:type="gramStart"/>
      <w:r w:rsidR="00050BA9">
        <w:rPr>
          <w:rFonts w:ascii="Times New Roman" w:hAnsi="Times New Roman"/>
          <w:sz w:val="24"/>
          <w:szCs w:val="24"/>
        </w:rPr>
        <w:t>ENPI</w:t>
      </w:r>
      <w:proofErr w:type="gramEnd"/>
      <w:r w:rsidR="00050BA9">
        <w:rPr>
          <w:rFonts w:ascii="Times New Roman" w:hAnsi="Times New Roman"/>
          <w:sz w:val="24"/>
          <w:szCs w:val="24"/>
        </w:rPr>
        <w:t xml:space="preserve">. The main emphasis will be given to the </w:t>
      </w:r>
      <w:r w:rsidR="00902E5B">
        <w:rPr>
          <w:rFonts w:ascii="Times New Roman" w:hAnsi="Times New Roman"/>
          <w:sz w:val="24"/>
          <w:szCs w:val="24"/>
        </w:rPr>
        <w:t>EU NREP</w:t>
      </w:r>
      <w:r w:rsidR="00142532">
        <w:rPr>
          <w:rFonts w:ascii="Times New Roman" w:hAnsi="Times New Roman"/>
          <w:sz w:val="24"/>
          <w:szCs w:val="24"/>
        </w:rPr>
        <w:t>, which has been utilized by the EU for over a decade</w:t>
      </w:r>
      <w:r w:rsidR="00902E5B">
        <w:rPr>
          <w:rFonts w:ascii="Times New Roman" w:hAnsi="Times New Roman"/>
          <w:sz w:val="24"/>
          <w:szCs w:val="24"/>
        </w:rPr>
        <w:t xml:space="preserve">. </w:t>
      </w:r>
      <w:r w:rsidR="002C54FC">
        <w:rPr>
          <w:rFonts w:ascii="Times New Roman" w:hAnsi="Times New Roman"/>
          <w:sz w:val="24"/>
          <w:szCs w:val="24"/>
        </w:rPr>
        <w:t>T</w:t>
      </w:r>
      <w:r w:rsidR="00B74019">
        <w:rPr>
          <w:rFonts w:ascii="Times New Roman" w:hAnsi="Times New Roman"/>
          <w:sz w:val="24"/>
          <w:szCs w:val="24"/>
        </w:rPr>
        <w:t xml:space="preserve">o illustrate the results and the main findings, the research will apply the </w:t>
      </w:r>
      <w:r w:rsidR="00050BA9">
        <w:rPr>
          <w:rFonts w:ascii="Times New Roman" w:hAnsi="Times New Roman"/>
          <w:sz w:val="24"/>
          <w:szCs w:val="24"/>
        </w:rPr>
        <w:t>analytical framework developed by Julian Bergmann and Arne Niemann.</w:t>
      </w:r>
      <w:r w:rsidR="00050BA9">
        <w:rPr>
          <w:rStyle w:val="FootnoteReference"/>
          <w:rFonts w:ascii="Times New Roman" w:hAnsi="Times New Roman"/>
          <w:sz w:val="24"/>
          <w:szCs w:val="24"/>
        </w:rPr>
        <w:footnoteReference w:id="18"/>
      </w:r>
    </w:p>
    <w:p w:rsidR="00050BA9" w:rsidRPr="006B0B75" w:rsidRDefault="002C6EE0" w:rsidP="00050BA9">
      <w:pPr>
        <w:spacing w:line="360" w:lineRule="auto"/>
        <w:jc w:val="both"/>
        <w:rPr>
          <w:rFonts w:ascii="Times New Roman" w:hAnsi="Times New Roman"/>
          <w:sz w:val="24"/>
          <w:szCs w:val="24"/>
        </w:rPr>
      </w:pPr>
      <w:r>
        <w:rPr>
          <w:rFonts w:ascii="Times New Roman" w:hAnsi="Times New Roman"/>
          <w:sz w:val="24"/>
          <w:szCs w:val="24"/>
        </w:rPr>
        <w:lastRenderedPageBreak/>
        <w:t xml:space="preserve">Thematic composition of the study combines various actors and events which are divided into the relevant </w:t>
      </w:r>
      <w:r w:rsidR="00050BA9" w:rsidRPr="006B0B75">
        <w:rPr>
          <w:rFonts w:ascii="Times New Roman" w:hAnsi="Times New Roman"/>
          <w:sz w:val="24"/>
          <w:szCs w:val="24"/>
        </w:rPr>
        <w:t>variable</w:t>
      </w:r>
      <w:r>
        <w:rPr>
          <w:rFonts w:ascii="Times New Roman" w:hAnsi="Times New Roman"/>
          <w:sz w:val="24"/>
          <w:szCs w:val="24"/>
        </w:rPr>
        <w:t>s. The EU, Georgia, and Russia can be identified as independent variables, due to their position and function in the research</w:t>
      </w:r>
      <w:r w:rsidR="00050BA9" w:rsidRPr="006B0B75">
        <w:rPr>
          <w:rFonts w:ascii="Times New Roman" w:hAnsi="Times New Roman"/>
          <w:sz w:val="24"/>
          <w:szCs w:val="24"/>
        </w:rPr>
        <w:t xml:space="preserve">. The EU’s conflict mediation strategy, particularly Non-Recognition and Engagement Policy – NREP is measured as </w:t>
      </w:r>
      <w:r w:rsidR="00D64448">
        <w:rPr>
          <w:rFonts w:ascii="Times New Roman" w:hAnsi="Times New Roman"/>
          <w:sz w:val="24"/>
          <w:szCs w:val="24"/>
        </w:rPr>
        <w:t xml:space="preserve">a </w:t>
      </w:r>
      <w:r w:rsidR="00050BA9" w:rsidRPr="006B0B75">
        <w:rPr>
          <w:rFonts w:ascii="Times New Roman" w:hAnsi="Times New Roman"/>
          <w:sz w:val="24"/>
          <w:szCs w:val="24"/>
        </w:rPr>
        <w:t xml:space="preserve">dependent variable </w:t>
      </w:r>
      <w:r>
        <w:rPr>
          <w:rFonts w:ascii="Times New Roman" w:hAnsi="Times New Roman"/>
          <w:sz w:val="24"/>
          <w:szCs w:val="24"/>
        </w:rPr>
        <w:t>which enables to address EU’s actorness as a conflict mediator</w:t>
      </w:r>
      <w:r w:rsidR="00050BA9" w:rsidRPr="006B0B75">
        <w:rPr>
          <w:rFonts w:ascii="Times New Roman" w:hAnsi="Times New Roman"/>
          <w:sz w:val="24"/>
          <w:szCs w:val="24"/>
        </w:rPr>
        <w:t xml:space="preserve">. Moreover, Russia’s </w:t>
      </w:r>
      <w:r>
        <w:rPr>
          <w:rFonts w:ascii="Times New Roman" w:hAnsi="Times New Roman"/>
          <w:sz w:val="24"/>
          <w:szCs w:val="24"/>
        </w:rPr>
        <w:t>leverage on the contested regions and its counter-strategies (</w:t>
      </w:r>
      <w:r w:rsidR="00050BA9" w:rsidRPr="006B0B75">
        <w:rPr>
          <w:rFonts w:ascii="Times New Roman" w:hAnsi="Times New Roman"/>
          <w:sz w:val="24"/>
          <w:szCs w:val="24"/>
        </w:rPr>
        <w:t>creeping borderization</w:t>
      </w:r>
      <w:r>
        <w:rPr>
          <w:rFonts w:ascii="Times New Roman" w:hAnsi="Times New Roman"/>
          <w:sz w:val="24"/>
          <w:szCs w:val="24"/>
        </w:rPr>
        <w:t>, recognition, passportization</w:t>
      </w:r>
      <w:proofErr w:type="gramStart"/>
      <w:r>
        <w:rPr>
          <w:rFonts w:ascii="Times New Roman" w:hAnsi="Times New Roman"/>
          <w:sz w:val="24"/>
          <w:szCs w:val="24"/>
        </w:rPr>
        <w:t xml:space="preserve">) </w:t>
      </w:r>
      <w:r w:rsidR="00050BA9" w:rsidRPr="006B0B75">
        <w:rPr>
          <w:rFonts w:ascii="Times New Roman" w:hAnsi="Times New Roman"/>
          <w:sz w:val="24"/>
          <w:szCs w:val="24"/>
        </w:rPr>
        <w:t xml:space="preserve"> is</w:t>
      </w:r>
      <w:proofErr w:type="gramEnd"/>
      <w:r w:rsidR="00050BA9" w:rsidRPr="006B0B75">
        <w:rPr>
          <w:rFonts w:ascii="Times New Roman" w:hAnsi="Times New Roman"/>
          <w:sz w:val="24"/>
          <w:szCs w:val="24"/>
        </w:rPr>
        <w:t xml:space="preserve"> </w:t>
      </w:r>
      <w:r>
        <w:rPr>
          <w:rFonts w:ascii="Times New Roman" w:hAnsi="Times New Roman"/>
          <w:sz w:val="24"/>
          <w:szCs w:val="24"/>
        </w:rPr>
        <w:t xml:space="preserve">identified as </w:t>
      </w:r>
      <w:r w:rsidR="002C54FC">
        <w:rPr>
          <w:rFonts w:ascii="Times New Roman" w:hAnsi="Times New Roman"/>
          <w:sz w:val="24"/>
          <w:szCs w:val="24"/>
        </w:rPr>
        <w:t xml:space="preserve">a </w:t>
      </w:r>
      <w:r w:rsidR="00050BA9" w:rsidRPr="006B0B75">
        <w:rPr>
          <w:rFonts w:ascii="Times New Roman" w:hAnsi="Times New Roman"/>
          <w:sz w:val="24"/>
          <w:szCs w:val="24"/>
        </w:rPr>
        <w:t xml:space="preserve">dependent variable. </w:t>
      </w:r>
    </w:p>
    <w:p w:rsidR="004D5971" w:rsidRDefault="004D5971" w:rsidP="00050BA9">
      <w:pPr>
        <w:spacing w:line="360" w:lineRule="auto"/>
        <w:jc w:val="both"/>
        <w:rPr>
          <w:rFonts w:ascii="Times New Roman" w:hAnsi="Times New Roman"/>
          <w:sz w:val="24"/>
          <w:szCs w:val="24"/>
        </w:rPr>
      </w:pPr>
    </w:p>
    <w:p w:rsidR="00050BA9" w:rsidRDefault="00050BA9" w:rsidP="00050BA9">
      <w:pPr>
        <w:spacing w:line="360" w:lineRule="auto"/>
        <w:jc w:val="both"/>
        <w:rPr>
          <w:rFonts w:ascii="Times New Roman" w:hAnsi="Times New Roman"/>
          <w:sz w:val="24"/>
          <w:szCs w:val="24"/>
        </w:rPr>
      </w:pPr>
      <w:r w:rsidRPr="006B0B75">
        <w:rPr>
          <w:rFonts w:ascii="Times New Roman" w:hAnsi="Times New Roman"/>
          <w:sz w:val="24"/>
          <w:szCs w:val="24"/>
        </w:rPr>
        <w:t>The ontological and epistem</w:t>
      </w:r>
      <w:r w:rsidR="00B17526">
        <w:rPr>
          <w:rFonts w:ascii="Times New Roman" w:hAnsi="Times New Roman"/>
          <w:sz w:val="24"/>
          <w:szCs w:val="24"/>
        </w:rPr>
        <w:t>ological attributes of the research</w:t>
      </w:r>
      <w:r w:rsidRPr="006B0B75">
        <w:rPr>
          <w:rFonts w:ascii="Times New Roman" w:hAnsi="Times New Roman"/>
          <w:sz w:val="24"/>
          <w:szCs w:val="24"/>
        </w:rPr>
        <w:t xml:space="preserve"> are linked to </w:t>
      </w:r>
      <w:r w:rsidR="00D64448">
        <w:rPr>
          <w:rFonts w:ascii="Times New Roman" w:hAnsi="Times New Roman"/>
          <w:sz w:val="24"/>
          <w:szCs w:val="24"/>
        </w:rPr>
        <w:t>the understanding</w:t>
      </w:r>
      <w:r w:rsidRPr="006B0B75">
        <w:rPr>
          <w:rFonts w:ascii="Times New Roman" w:hAnsi="Times New Roman"/>
          <w:sz w:val="24"/>
          <w:szCs w:val="24"/>
        </w:rPr>
        <w:t xml:space="preserve"> </w:t>
      </w:r>
      <w:r w:rsidR="002C54FC">
        <w:rPr>
          <w:rFonts w:ascii="Times New Roman" w:hAnsi="Times New Roman"/>
          <w:sz w:val="24"/>
          <w:szCs w:val="24"/>
        </w:rPr>
        <w:t xml:space="preserve">of </w:t>
      </w:r>
      <w:r w:rsidRPr="006B0B75">
        <w:rPr>
          <w:rFonts w:ascii="Times New Roman" w:hAnsi="Times New Roman"/>
          <w:sz w:val="24"/>
          <w:szCs w:val="24"/>
        </w:rPr>
        <w:t xml:space="preserve">the social reasoning behind the decisions of the actors and trace of the </w:t>
      </w:r>
      <w:r w:rsidR="00B17526">
        <w:rPr>
          <w:rFonts w:ascii="Times New Roman" w:hAnsi="Times New Roman"/>
          <w:sz w:val="24"/>
          <w:szCs w:val="24"/>
        </w:rPr>
        <w:t xml:space="preserve">relevant </w:t>
      </w:r>
      <w:r w:rsidRPr="006B0B75">
        <w:rPr>
          <w:rFonts w:ascii="Times New Roman" w:hAnsi="Times New Roman"/>
          <w:sz w:val="24"/>
          <w:szCs w:val="24"/>
        </w:rPr>
        <w:t xml:space="preserve">historical </w:t>
      </w:r>
      <w:r w:rsidR="00B17526">
        <w:rPr>
          <w:rFonts w:ascii="Times New Roman" w:hAnsi="Times New Roman"/>
          <w:sz w:val="24"/>
          <w:szCs w:val="24"/>
        </w:rPr>
        <w:t>events. Within the scope of the research</w:t>
      </w:r>
      <w:r w:rsidRPr="006B0B75">
        <w:rPr>
          <w:rFonts w:ascii="Times New Roman" w:hAnsi="Times New Roman"/>
          <w:sz w:val="24"/>
          <w:szCs w:val="24"/>
        </w:rPr>
        <w:t xml:space="preserve">, </w:t>
      </w:r>
      <w:r w:rsidR="00D64448">
        <w:rPr>
          <w:rFonts w:ascii="Times New Roman" w:hAnsi="Times New Roman"/>
          <w:sz w:val="24"/>
          <w:szCs w:val="24"/>
        </w:rPr>
        <w:t xml:space="preserve">the </w:t>
      </w:r>
      <w:r w:rsidRPr="006B0B75">
        <w:rPr>
          <w:rFonts w:ascii="Times New Roman" w:hAnsi="Times New Roman"/>
          <w:sz w:val="24"/>
          <w:szCs w:val="24"/>
        </w:rPr>
        <w:t xml:space="preserve">ontological stance is based on </w:t>
      </w:r>
      <w:r w:rsidR="00D64448">
        <w:rPr>
          <w:rFonts w:ascii="Times New Roman" w:hAnsi="Times New Roman"/>
          <w:sz w:val="24"/>
          <w:szCs w:val="24"/>
        </w:rPr>
        <w:t xml:space="preserve">the </w:t>
      </w:r>
      <w:r w:rsidRPr="00227B84">
        <w:rPr>
          <w:rFonts w:ascii="Times New Roman" w:hAnsi="Times New Roman"/>
          <w:i/>
          <w:sz w:val="24"/>
          <w:szCs w:val="24"/>
        </w:rPr>
        <w:t>constructivist</w:t>
      </w:r>
      <w:r w:rsidRPr="006B0B75">
        <w:rPr>
          <w:rFonts w:ascii="Times New Roman" w:hAnsi="Times New Roman"/>
          <w:sz w:val="24"/>
          <w:szCs w:val="24"/>
        </w:rPr>
        <w:t xml:space="preserve"> approach which assumes that the roles attributed to the actors are reshaped through </w:t>
      </w:r>
      <w:r w:rsidR="00B17526">
        <w:rPr>
          <w:rFonts w:ascii="Times New Roman" w:hAnsi="Times New Roman"/>
          <w:sz w:val="24"/>
          <w:szCs w:val="24"/>
        </w:rPr>
        <w:t xml:space="preserve">the </w:t>
      </w:r>
      <w:r w:rsidRPr="006B0B75">
        <w:rPr>
          <w:rFonts w:ascii="Times New Roman" w:hAnsi="Times New Roman"/>
          <w:sz w:val="24"/>
          <w:szCs w:val="24"/>
        </w:rPr>
        <w:t>social int</w:t>
      </w:r>
      <w:r w:rsidR="002C54FC">
        <w:rPr>
          <w:rFonts w:ascii="Times New Roman" w:hAnsi="Times New Roman"/>
          <w:sz w:val="24"/>
          <w:szCs w:val="24"/>
        </w:rPr>
        <w:t>eractions and independent occurrences that</w:t>
      </w:r>
      <w:r w:rsidRPr="006B0B75">
        <w:rPr>
          <w:rFonts w:ascii="Times New Roman" w:hAnsi="Times New Roman"/>
          <w:sz w:val="24"/>
          <w:szCs w:val="24"/>
        </w:rPr>
        <w:t xml:space="preserve"> happen be</w:t>
      </w:r>
      <w:r>
        <w:rPr>
          <w:rFonts w:ascii="Times New Roman" w:hAnsi="Times New Roman"/>
          <w:sz w:val="24"/>
          <w:szCs w:val="24"/>
        </w:rPr>
        <w:t>yond the reach of these actors.</w:t>
      </w:r>
      <w:r>
        <w:rPr>
          <w:rStyle w:val="FootnoteReference"/>
          <w:rFonts w:ascii="Times New Roman" w:hAnsi="Times New Roman"/>
          <w:sz w:val="24"/>
          <w:szCs w:val="24"/>
        </w:rPr>
        <w:footnoteReference w:id="19"/>
      </w:r>
      <w:r w:rsidR="00D64448">
        <w:rPr>
          <w:rFonts w:ascii="Times New Roman" w:hAnsi="Times New Roman"/>
          <w:b/>
          <w:sz w:val="24"/>
          <w:szCs w:val="24"/>
        </w:rPr>
        <w:t xml:space="preserve">  </w:t>
      </w:r>
      <w:r w:rsidR="00D64448">
        <w:rPr>
          <w:rFonts w:ascii="Times New Roman" w:hAnsi="Times New Roman"/>
          <w:sz w:val="24"/>
          <w:szCs w:val="24"/>
        </w:rPr>
        <w:t>The ep</w:t>
      </w:r>
      <w:r w:rsidRPr="006B0B75">
        <w:rPr>
          <w:rFonts w:ascii="Times New Roman" w:hAnsi="Times New Roman"/>
          <w:sz w:val="24"/>
          <w:szCs w:val="24"/>
        </w:rPr>
        <w:t>istemological sp</w:t>
      </w:r>
      <w:r w:rsidR="00C26308">
        <w:rPr>
          <w:rFonts w:ascii="Times New Roman" w:hAnsi="Times New Roman"/>
          <w:sz w:val="24"/>
          <w:szCs w:val="24"/>
        </w:rPr>
        <w:t>ectrum of the research is</w:t>
      </w:r>
      <w:r w:rsidR="00D64448">
        <w:rPr>
          <w:rFonts w:ascii="Times New Roman" w:hAnsi="Times New Roman"/>
          <w:sz w:val="24"/>
          <w:szCs w:val="24"/>
        </w:rPr>
        <w:t xml:space="preserve"> </w:t>
      </w:r>
      <w:r w:rsidRPr="00227B84">
        <w:rPr>
          <w:rFonts w:ascii="Times New Roman" w:hAnsi="Times New Roman"/>
          <w:i/>
          <w:sz w:val="24"/>
          <w:szCs w:val="24"/>
        </w:rPr>
        <w:t>interpretivism</w:t>
      </w:r>
      <w:r w:rsidR="00C26308">
        <w:rPr>
          <w:rFonts w:ascii="Times New Roman" w:hAnsi="Times New Roman"/>
          <w:i/>
          <w:sz w:val="24"/>
          <w:szCs w:val="24"/>
        </w:rPr>
        <w:t>,</w:t>
      </w:r>
      <w:r w:rsidRPr="006B0B75">
        <w:rPr>
          <w:rFonts w:ascii="Times New Roman" w:hAnsi="Times New Roman"/>
          <w:sz w:val="24"/>
          <w:szCs w:val="24"/>
        </w:rPr>
        <w:t xml:space="preserve"> which is founded on the assumption that the scholarly analysis of the subjects and the events requires </w:t>
      </w:r>
      <w:r w:rsidR="002C54FC">
        <w:rPr>
          <w:rFonts w:ascii="Times New Roman" w:hAnsi="Times New Roman"/>
          <w:sz w:val="24"/>
          <w:szCs w:val="24"/>
        </w:rPr>
        <w:t xml:space="preserve">a </w:t>
      </w:r>
      <w:r w:rsidRPr="006B0B75">
        <w:rPr>
          <w:rFonts w:ascii="Times New Roman" w:hAnsi="Times New Roman"/>
          <w:sz w:val="24"/>
          <w:szCs w:val="24"/>
        </w:rPr>
        <w:t>compre</w:t>
      </w:r>
      <w:r w:rsidR="00C26308">
        <w:rPr>
          <w:rFonts w:ascii="Times New Roman" w:hAnsi="Times New Roman"/>
          <w:sz w:val="24"/>
          <w:szCs w:val="24"/>
        </w:rPr>
        <w:t>hensive exploration of accumulated</w:t>
      </w:r>
      <w:r w:rsidRPr="006B0B75">
        <w:rPr>
          <w:rFonts w:ascii="Times New Roman" w:hAnsi="Times New Roman"/>
          <w:sz w:val="24"/>
          <w:szCs w:val="24"/>
        </w:rPr>
        <w:t xml:space="preserve"> </w:t>
      </w:r>
      <w:r w:rsidR="002C54FC">
        <w:rPr>
          <w:rFonts w:ascii="Times New Roman" w:hAnsi="Times New Roman"/>
          <w:sz w:val="24"/>
          <w:szCs w:val="24"/>
        </w:rPr>
        <w:t>empirical</w:t>
      </w:r>
      <w:r w:rsidR="00C26308">
        <w:rPr>
          <w:rFonts w:ascii="Times New Roman" w:hAnsi="Times New Roman"/>
          <w:sz w:val="24"/>
          <w:szCs w:val="24"/>
        </w:rPr>
        <w:t xml:space="preserve"> </w:t>
      </w:r>
      <w:r w:rsidRPr="006B0B75">
        <w:rPr>
          <w:rFonts w:ascii="Times New Roman" w:hAnsi="Times New Roman"/>
          <w:sz w:val="24"/>
          <w:szCs w:val="24"/>
        </w:rPr>
        <w:t>data rather than</w:t>
      </w:r>
      <w:r>
        <w:rPr>
          <w:rFonts w:ascii="Times New Roman" w:hAnsi="Times New Roman"/>
          <w:sz w:val="24"/>
          <w:szCs w:val="24"/>
        </w:rPr>
        <w:t xml:space="preserve"> </w:t>
      </w:r>
      <w:r w:rsidR="002C54FC">
        <w:rPr>
          <w:rFonts w:ascii="Times New Roman" w:hAnsi="Times New Roman"/>
          <w:sz w:val="24"/>
          <w:szCs w:val="24"/>
        </w:rPr>
        <w:t>a plain explanation of the even</w:t>
      </w:r>
      <w:r w:rsidR="00C26308">
        <w:rPr>
          <w:rFonts w:ascii="Times New Roman" w:hAnsi="Times New Roman"/>
          <w:sz w:val="24"/>
          <w:szCs w:val="24"/>
        </w:rPr>
        <w:t>ts</w:t>
      </w:r>
      <w:r>
        <w:rPr>
          <w:rFonts w:ascii="Times New Roman" w:hAnsi="Times New Roman"/>
          <w:sz w:val="24"/>
          <w:szCs w:val="24"/>
        </w:rPr>
        <w:t>.</w:t>
      </w:r>
      <w:r>
        <w:rPr>
          <w:rStyle w:val="FootnoteReference"/>
          <w:rFonts w:ascii="Times New Roman" w:hAnsi="Times New Roman"/>
          <w:sz w:val="24"/>
          <w:szCs w:val="24"/>
        </w:rPr>
        <w:footnoteReference w:id="20"/>
      </w:r>
      <w:r w:rsidRPr="006B0B75">
        <w:rPr>
          <w:rFonts w:ascii="Times New Roman" w:hAnsi="Times New Roman"/>
          <w:b/>
          <w:sz w:val="24"/>
          <w:szCs w:val="24"/>
        </w:rPr>
        <w:t xml:space="preserve"> </w:t>
      </w:r>
      <w:r w:rsidRPr="006B0B75">
        <w:rPr>
          <w:rFonts w:ascii="Times New Roman" w:hAnsi="Times New Roman"/>
          <w:sz w:val="24"/>
          <w:szCs w:val="24"/>
        </w:rPr>
        <w:t>The explanatory account of the study is stimulated through the selected theoretical</w:t>
      </w:r>
      <w:r w:rsidR="00D64448">
        <w:rPr>
          <w:rFonts w:ascii="Times New Roman" w:hAnsi="Times New Roman"/>
          <w:sz w:val="24"/>
          <w:szCs w:val="24"/>
        </w:rPr>
        <w:t xml:space="preserve"> framework. Setting up</w:t>
      </w:r>
      <w:r w:rsidRPr="006B0B75">
        <w:rPr>
          <w:rFonts w:ascii="Times New Roman" w:hAnsi="Times New Roman"/>
          <w:sz w:val="24"/>
          <w:szCs w:val="24"/>
        </w:rPr>
        <w:t xml:space="preserve"> the relevant theoretical account enables to approach to the findings of the</w:t>
      </w:r>
      <w:r>
        <w:rPr>
          <w:rFonts w:ascii="Times New Roman" w:hAnsi="Times New Roman"/>
          <w:sz w:val="24"/>
          <w:szCs w:val="24"/>
        </w:rPr>
        <w:t xml:space="preserve"> research in </w:t>
      </w:r>
      <w:r w:rsidR="00D64448">
        <w:rPr>
          <w:rFonts w:ascii="Times New Roman" w:hAnsi="Times New Roman"/>
          <w:sz w:val="24"/>
          <w:szCs w:val="24"/>
        </w:rPr>
        <w:t xml:space="preserve">a </w:t>
      </w:r>
      <w:r w:rsidRPr="00227B84">
        <w:rPr>
          <w:rFonts w:ascii="Times New Roman" w:hAnsi="Times New Roman"/>
          <w:i/>
          <w:sz w:val="24"/>
          <w:szCs w:val="24"/>
        </w:rPr>
        <w:t>deductive manner</w:t>
      </w:r>
      <w:r>
        <w:rPr>
          <w:rFonts w:ascii="Times New Roman" w:hAnsi="Times New Roman"/>
          <w:sz w:val="24"/>
          <w:szCs w:val="24"/>
        </w:rPr>
        <w:t>.</w:t>
      </w:r>
      <w:r>
        <w:rPr>
          <w:rStyle w:val="FootnoteReference"/>
          <w:rFonts w:ascii="Times New Roman" w:hAnsi="Times New Roman"/>
          <w:sz w:val="24"/>
          <w:szCs w:val="24"/>
        </w:rPr>
        <w:footnoteReference w:id="21"/>
      </w:r>
      <w:r w:rsidR="002B0D0D">
        <w:rPr>
          <w:rFonts w:ascii="Times New Roman" w:hAnsi="Times New Roman"/>
          <w:sz w:val="24"/>
          <w:szCs w:val="24"/>
        </w:rPr>
        <w:t xml:space="preserve"> </w:t>
      </w:r>
      <w:r w:rsidR="00D64448">
        <w:rPr>
          <w:rFonts w:ascii="Times New Roman" w:hAnsi="Times New Roman"/>
          <w:i/>
          <w:sz w:val="24"/>
          <w:szCs w:val="24"/>
        </w:rPr>
        <w:t xml:space="preserve">A </w:t>
      </w:r>
      <w:r>
        <w:rPr>
          <w:rFonts w:ascii="Times New Roman" w:hAnsi="Times New Roman"/>
          <w:i/>
          <w:sz w:val="24"/>
          <w:szCs w:val="24"/>
        </w:rPr>
        <w:t>C</w:t>
      </w:r>
      <w:r w:rsidRPr="00227B84">
        <w:rPr>
          <w:rFonts w:ascii="Times New Roman" w:hAnsi="Times New Roman"/>
          <w:i/>
          <w:sz w:val="24"/>
          <w:szCs w:val="24"/>
        </w:rPr>
        <w:t>ase study</w:t>
      </w:r>
      <w:r w:rsidRPr="006B0B75">
        <w:rPr>
          <w:rFonts w:ascii="Times New Roman" w:hAnsi="Times New Roman"/>
          <w:sz w:val="24"/>
          <w:szCs w:val="24"/>
        </w:rPr>
        <w:t xml:space="preserve"> is the most suitable research design for the selected topic, as it answers the ‘how’ question in </w:t>
      </w:r>
      <w:r w:rsidR="00D64448">
        <w:rPr>
          <w:rFonts w:ascii="Times New Roman" w:hAnsi="Times New Roman"/>
          <w:sz w:val="24"/>
          <w:szCs w:val="24"/>
        </w:rPr>
        <w:t xml:space="preserve">an </w:t>
      </w:r>
      <w:r w:rsidRPr="006B0B75">
        <w:rPr>
          <w:rFonts w:ascii="Times New Roman" w:hAnsi="Times New Roman"/>
          <w:sz w:val="24"/>
          <w:szCs w:val="24"/>
        </w:rPr>
        <w:t xml:space="preserve">explanatory manner and enables the in-depth analysis of the sub-units of </w:t>
      </w:r>
      <w:r>
        <w:rPr>
          <w:rFonts w:ascii="Times New Roman" w:hAnsi="Times New Roman"/>
          <w:sz w:val="24"/>
          <w:szCs w:val="24"/>
        </w:rPr>
        <w:t>the selected case.</w:t>
      </w:r>
      <w:r>
        <w:rPr>
          <w:rStyle w:val="FootnoteReference"/>
          <w:rFonts w:ascii="Times New Roman" w:hAnsi="Times New Roman"/>
          <w:sz w:val="24"/>
          <w:szCs w:val="24"/>
        </w:rPr>
        <w:footnoteReference w:id="22"/>
      </w:r>
      <w:r>
        <w:rPr>
          <w:rFonts w:ascii="Times New Roman" w:hAnsi="Times New Roman"/>
          <w:sz w:val="24"/>
          <w:szCs w:val="24"/>
        </w:rPr>
        <w:t xml:space="preserve"> </w:t>
      </w:r>
      <w:r w:rsidR="00D64448">
        <w:rPr>
          <w:rFonts w:ascii="Times New Roman" w:hAnsi="Times New Roman"/>
          <w:sz w:val="24"/>
          <w:szCs w:val="24"/>
        </w:rPr>
        <w:t>The c</w:t>
      </w:r>
      <w:r w:rsidRPr="006B0B75">
        <w:rPr>
          <w:rFonts w:ascii="Times New Roman" w:hAnsi="Times New Roman"/>
          <w:sz w:val="24"/>
          <w:szCs w:val="24"/>
        </w:rPr>
        <w:t>ase study</w:t>
      </w:r>
      <w:r>
        <w:rPr>
          <w:rFonts w:ascii="Times New Roman" w:hAnsi="Times New Roman"/>
          <w:sz w:val="24"/>
          <w:szCs w:val="24"/>
        </w:rPr>
        <w:t xml:space="preserve"> method</w:t>
      </w:r>
      <w:r w:rsidRPr="006B0B75">
        <w:rPr>
          <w:rFonts w:ascii="Times New Roman" w:hAnsi="Times New Roman"/>
          <w:sz w:val="24"/>
          <w:szCs w:val="24"/>
        </w:rPr>
        <w:t xml:space="preserve"> relies on actors, individuals, events, pr</w:t>
      </w:r>
      <w:r w:rsidR="002C54FC">
        <w:rPr>
          <w:rFonts w:ascii="Times New Roman" w:hAnsi="Times New Roman"/>
          <w:sz w:val="24"/>
          <w:szCs w:val="24"/>
        </w:rPr>
        <w:t xml:space="preserve">ocesses, </w:t>
      </w:r>
      <w:r w:rsidR="00D64448">
        <w:rPr>
          <w:rFonts w:ascii="Times New Roman" w:hAnsi="Times New Roman"/>
          <w:sz w:val="24"/>
          <w:szCs w:val="24"/>
        </w:rPr>
        <w:t>and historical evidence</w:t>
      </w:r>
      <w:r w:rsidRPr="006B0B75">
        <w:rPr>
          <w:rFonts w:ascii="Times New Roman" w:hAnsi="Times New Roman"/>
          <w:sz w:val="24"/>
          <w:szCs w:val="24"/>
        </w:rPr>
        <w:t xml:space="preserve"> which is </w:t>
      </w:r>
      <w:r w:rsidR="00D64448">
        <w:rPr>
          <w:rFonts w:ascii="Times New Roman" w:hAnsi="Times New Roman"/>
          <w:sz w:val="24"/>
          <w:szCs w:val="24"/>
        </w:rPr>
        <w:t xml:space="preserve">an </w:t>
      </w:r>
      <w:r w:rsidRPr="006B0B75">
        <w:rPr>
          <w:rFonts w:ascii="Times New Roman" w:hAnsi="Times New Roman"/>
          <w:sz w:val="24"/>
          <w:szCs w:val="24"/>
        </w:rPr>
        <w:t>integral part of this research. It aims to investigate the complexity and nature of the case in question.</w:t>
      </w:r>
      <w:r>
        <w:rPr>
          <w:rStyle w:val="FootnoteReference"/>
          <w:rFonts w:ascii="Times New Roman" w:hAnsi="Times New Roman"/>
          <w:sz w:val="24"/>
          <w:szCs w:val="24"/>
        </w:rPr>
        <w:footnoteReference w:id="23"/>
      </w:r>
      <w:r w:rsidRPr="006B0B75">
        <w:rPr>
          <w:rFonts w:ascii="Times New Roman" w:hAnsi="Times New Roman"/>
          <w:sz w:val="24"/>
          <w:szCs w:val="24"/>
        </w:rPr>
        <w:t xml:space="preserve"> The study orients towards </w:t>
      </w:r>
      <w:r w:rsidR="00D64448">
        <w:rPr>
          <w:rFonts w:ascii="Times New Roman" w:hAnsi="Times New Roman"/>
          <w:sz w:val="24"/>
          <w:szCs w:val="24"/>
        </w:rPr>
        <w:t xml:space="preserve">the </w:t>
      </w:r>
      <w:r w:rsidRPr="006B0B75">
        <w:rPr>
          <w:rFonts w:ascii="Times New Roman" w:hAnsi="Times New Roman"/>
          <w:sz w:val="24"/>
          <w:szCs w:val="24"/>
        </w:rPr>
        <w:t>textual analysis of data rathe</w:t>
      </w:r>
      <w:r w:rsidR="00D64448">
        <w:rPr>
          <w:rFonts w:ascii="Times New Roman" w:hAnsi="Times New Roman"/>
          <w:sz w:val="24"/>
          <w:szCs w:val="24"/>
        </w:rPr>
        <w:t>r than quantitative</w:t>
      </w:r>
      <w:r w:rsidRPr="006B0B75">
        <w:rPr>
          <w:rFonts w:ascii="Times New Roman" w:hAnsi="Times New Roman"/>
          <w:sz w:val="24"/>
          <w:szCs w:val="24"/>
        </w:rPr>
        <w:t xml:space="preserve">, thus, it can be concluded that the research is expressed in </w:t>
      </w:r>
      <w:r w:rsidRPr="00227B84">
        <w:rPr>
          <w:rFonts w:ascii="Times New Roman" w:hAnsi="Times New Roman"/>
          <w:i/>
          <w:sz w:val="24"/>
          <w:szCs w:val="24"/>
        </w:rPr>
        <w:t>qualitative</w:t>
      </w:r>
      <w:r w:rsidRPr="006B0B75">
        <w:rPr>
          <w:rFonts w:ascii="Times New Roman" w:hAnsi="Times New Roman"/>
          <w:sz w:val="24"/>
          <w:szCs w:val="24"/>
        </w:rPr>
        <w:t xml:space="preserve"> terms.</w:t>
      </w:r>
      <w:r>
        <w:rPr>
          <w:rFonts w:ascii="Times New Roman" w:hAnsi="Times New Roman"/>
          <w:sz w:val="24"/>
          <w:szCs w:val="24"/>
        </w:rPr>
        <w:t xml:space="preserve"> </w:t>
      </w:r>
    </w:p>
    <w:p w:rsidR="001500A2" w:rsidRDefault="001500A2" w:rsidP="001500A2">
      <w:pPr>
        <w:pStyle w:val="NoSpacing"/>
      </w:pPr>
    </w:p>
    <w:p w:rsidR="004D5971" w:rsidRPr="001500A2" w:rsidRDefault="004D5971" w:rsidP="001500A2">
      <w:pPr>
        <w:pStyle w:val="NoSpacing"/>
      </w:pPr>
    </w:p>
    <w:p w:rsidR="00050BA9" w:rsidRDefault="00EF64D9" w:rsidP="006D2116">
      <w:pPr>
        <w:pStyle w:val="Heading2"/>
        <w:rPr>
          <w:color w:val="auto"/>
          <w:sz w:val="32"/>
          <w:szCs w:val="32"/>
        </w:rPr>
      </w:pPr>
      <w:bookmarkStart w:id="4" w:name="_Toc46952598"/>
      <w:r w:rsidRPr="001500A2">
        <w:rPr>
          <w:color w:val="auto"/>
          <w:sz w:val="32"/>
          <w:szCs w:val="32"/>
        </w:rPr>
        <w:lastRenderedPageBreak/>
        <w:t xml:space="preserve">2.2 </w:t>
      </w:r>
      <w:r w:rsidR="00050BA9" w:rsidRPr="001500A2">
        <w:rPr>
          <w:color w:val="auto"/>
          <w:sz w:val="32"/>
          <w:szCs w:val="32"/>
        </w:rPr>
        <w:t>Data Sampling and Limitations</w:t>
      </w:r>
      <w:bookmarkEnd w:id="4"/>
    </w:p>
    <w:p w:rsidR="001500A2" w:rsidRPr="001500A2" w:rsidRDefault="001500A2" w:rsidP="001500A2"/>
    <w:p w:rsidR="00050BA9" w:rsidRDefault="00050BA9" w:rsidP="00050BA9">
      <w:pPr>
        <w:spacing w:line="360" w:lineRule="auto"/>
        <w:jc w:val="both"/>
        <w:rPr>
          <w:rFonts w:ascii="Times New Roman" w:hAnsi="Times New Roman"/>
          <w:sz w:val="24"/>
          <w:szCs w:val="24"/>
        </w:rPr>
      </w:pPr>
      <w:r>
        <w:rPr>
          <w:rFonts w:ascii="Times New Roman" w:hAnsi="Times New Roman"/>
          <w:sz w:val="24"/>
          <w:szCs w:val="24"/>
        </w:rPr>
        <w:t>The data collection of the study</w:t>
      </w:r>
      <w:r w:rsidR="00CB1768">
        <w:rPr>
          <w:rFonts w:ascii="Times New Roman" w:hAnsi="Times New Roman"/>
          <w:sz w:val="24"/>
          <w:szCs w:val="24"/>
        </w:rPr>
        <w:t xml:space="preserve"> is distributed according to </w:t>
      </w:r>
      <w:r>
        <w:rPr>
          <w:rFonts w:ascii="Times New Roman" w:hAnsi="Times New Roman"/>
          <w:sz w:val="24"/>
          <w:szCs w:val="24"/>
        </w:rPr>
        <w:t>the following formulation:</w:t>
      </w:r>
      <w:r>
        <w:rPr>
          <w:rStyle w:val="FootnoteReference"/>
          <w:rFonts w:ascii="Times New Roman" w:hAnsi="Times New Roman"/>
          <w:sz w:val="24"/>
          <w:szCs w:val="24"/>
        </w:rPr>
        <w:footnoteReference w:id="24"/>
      </w:r>
    </w:p>
    <w:p w:rsidR="00050BA9" w:rsidRPr="00052430" w:rsidRDefault="00050BA9" w:rsidP="00050BA9">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Document review</w:t>
      </w:r>
    </w:p>
    <w:p w:rsidR="00050BA9" w:rsidRPr="00052430" w:rsidRDefault="00050BA9" w:rsidP="00050BA9">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Archival records</w:t>
      </w:r>
    </w:p>
    <w:p w:rsidR="00050BA9" w:rsidRPr="00052430" w:rsidRDefault="00050BA9" w:rsidP="00050BA9">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Direct Observation</w:t>
      </w:r>
    </w:p>
    <w:p w:rsidR="00050BA9" w:rsidRPr="00052430" w:rsidRDefault="00050BA9" w:rsidP="00050BA9">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Participant observation</w:t>
      </w:r>
    </w:p>
    <w:p w:rsidR="00050BA9" w:rsidRPr="00CF19A1" w:rsidRDefault="00050BA9" w:rsidP="00050BA9">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Physical Artefacts</w:t>
      </w:r>
    </w:p>
    <w:p w:rsidR="00050BA9" w:rsidRDefault="00CB1768" w:rsidP="00050BA9">
      <w:pPr>
        <w:spacing w:line="360" w:lineRule="auto"/>
        <w:jc w:val="both"/>
        <w:rPr>
          <w:rFonts w:ascii="Times New Roman" w:hAnsi="Times New Roman"/>
          <w:sz w:val="24"/>
          <w:szCs w:val="24"/>
        </w:rPr>
      </w:pPr>
      <w:r>
        <w:rPr>
          <w:rFonts w:ascii="Times New Roman" w:hAnsi="Times New Roman"/>
          <w:sz w:val="24"/>
          <w:szCs w:val="24"/>
        </w:rPr>
        <w:t xml:space="preserve">Furthermore, </w:t>
      </w:r>
      <w:r w:rsidR="00050BA9">
        <w:rPr>
          <w:rFonts w:ascii="Times New Roman" w:hAnsi="Times New Roman"/>
          <w:sz w:val="24"/>
          <w:szCs w:val="24"/>
        </w:rPr>
        <w:t>to diversify the sampling pool of the empirical data the study will apply the technique of triangulation in the following manner:</w:t>
      </w:r>
      <w:r w:rsidR="00050BA9">
        <w:rPr>
          <w:rStyle w:val="FootnoteReference"/>
          <w:rFonts w:ascii="Times New Roman" w:hAnsi="Times New Roman"/>
          <w:sz w:val="24"/>
          <w:szCs w:val="24"/>
        </w:rPr>
        <w:footnoteReference w:id="25"/>
      </w:r>
    </w:p>
    <w:p w:rsidR="00050BA9" w:rsidRDefault="00050BA9" w:rsidP="00050BA9">
      <w:pPr>
        <w:pStyle w:val="ListParagraph"/>
        <w:numPr>
          <w:ilvl w:val="0"/>
          <w:numId w:val="4"/>
        </w:numPr>
        <w:spacing w:line="360" w:lineRule="auto"/>
        <w:jc w:val="both"/>
        <w:rPr>
          <w:rFonts w:ascii="Times New Roman" w:hAnsi="Times New Roman" w:cs="Times New Roman"/>
          <w:sz w:val="24"/>
          <w:szCs w:val="24"/>
        </w:rPr>
      </w:pPr>
      <w:r w:rsidRPr="00707152">
        <w:rPr>
          <w:rFonts w:ascii="Times New Roman" w:hAnsi="Times New Roman" w:cs="Times New Roman"/>
          <w:b/>
          <w:sz w:val="24"/>
          <w:szCs w:val="24"/>
        </w:rPr>
        <w:t>Document review and analysis</w:t>
      </w:r>
      <w:r>
        <w:rPr>
          <w:rFonts w:ascii="Times New Roman" w:hAnsi="Times New Roman" w:cs="Times New Roman"/>
          <w:sz w:val="24"/>
          <w:szCs w:val="24"/>
        </w:rPr>
        <w:t>: EU-Georgia Association Agreement</w:t>
      </w:r>
      <w:r w:rsidR="00CB1768">
        <w:rPr>
          <w:rFonts w:ascii="Times New Roman" w:hAnsi="Times New Roman" w:cs="Times New Roman"/>
          <w:sz w:val="24"/>
          <w:szCs w:val="24"/>
        </w:rPr>
        <w:t>, EU Georgia Deep and Comprehensive Free Trade Agreements</w:t>
      </w:r>
      <w:r>
        <w:rPr>
          <w:rFonts w:ascii="Times New Roman" w:hAnsi="Times New Roman" w:cs="Times New Roman"/>
          <w:sz w:val="24"/>
          <w:szCs w:val="24"/>
        </w:rPr>
        <w:t xml:space="preserve">, </w:t>
      </w:r>
      <w:r w:rsidR="000C178F">
        <w:rPr>
          <w:rFonts w:ascii="Times New Roman" w:hAnsi="Times New Roman" w:cs="Times New Roman"/>
          <w:sz w:val="24"/>
          <w:szCs w:val="24"/>
        </w:rPr>
        <w:t>agreements and the r</w:t>
      </w:r>
      <w:r w:rsidR="00CB1768">
        <w:rPr>
          <w:rFonts w:ascii="Times New Roman" w:hAnsi="Times New Roman" w:cs="Times New Roman"/>
          <w:sz w:val="24"/>
          <w:szCs w:val="24"/>
        </w:rPr>
        <w:t>eports of the</w:t>
      </w:r>
      <w:r>
        <w:rPr>
          <w:rFonts w:ascii="Times New Roman" w:hAnsi="Times New Roman" w:cs="Times New Roman"/>
          <w:sz w:val="24"/>
          <w:szCs w:val="24"/>
        </w:rPr>
        <w:t xml:space="preserve"> European Commission, </w:t>
      </w:r>
      <w:r w:rsidR="000C178F">
        <w:rPr>
          <w:rFonts w:ascii="Times New Roman" w:hAnsi="Times New Roman" w:cs="Times New Roman"/>
          <w:sz w:val="24"/>
          <w:szCs w:val="24"/>
        </w:rPr>
        <w:t>European External Action Service documents, European Council documents, European Parliament d</w:t>
      </w:r>
      <w:r w:rsidR="00CB1768">
        <w:rPr>
          <w:rFonts w:ascii="Times New Roman" w:hAnsi="Times New Roman" w:cs="Times New Roman"/>
          <w:sz w:val="24"/>
          <w:szCs w:val="24"/>
        </w:rPr>
        <w:t>ocuments</w:t>
      </w:r>
      <w:r w:rsidR="000C178F">
        <w:rPr>
          <w:rFonts w:ascii="Times New Roman" w:hAnsi="Times New Roman" w:cs="Times New Roman"/>
          <w:sz w:val="24"/>
          <w:szCs w:val="24"/>
        </w:rPr>
        <w:t>, Cease-fire doc</w:t>
      </w:r>
      <w:r w:rsidR="002C54FC">
        <w:rPr>
          <w:rFonts w:ascii="Times New Roman" w:hAnsi="Times New Roman" w:cs="Times New Roman"/>
          <w:sz w:val="24"/>
          <w:szCs w:val="24"/>
        </w:rPr>
        <w:t xml:space="preserve">uments, Treaties, Constitutions, </w:t>
      </w:r>
      <w:r w:rsidR="000C178F">
        <w:rPr>
          <w:rFonts w:ascii="Times New Roman" w:hAnsi="Times New Roman" w:cs="Times New Roman"/>
          <w:sz w:val="24"/>
          <w:szCs w:val="24"/>
        </w:rPr>
        <w:t xml:space="preserve">and other legal documents. </w:t>
      </w:r>
    </w:p>
    <w:p w:rsidR="00050BA9" w:rsidRPr="004A4309" w:rsidRDefault="00050BA9" w:rsidP="004A4309">
      <w:pPr>
        <w:pStyle w:val="ListParagraph"/>
        <w:numPr>
          <w:ilvl w:val="0"/>
          <w:numId w:val="4"/>
        </w:numPr>
        <w:spacing w:line="360" w:lineRule="auto"/>
        <w:jc w:val="both"/>
        <w:rPr>
          <w:rFonts w:ascii="Times New Roman" w:hAnsi="Times New Roman" w:cs="Times New Roman"/>
          <w:b/>
          <w:sz w:val="24"/>
          <w:szCs w:val="24"/>
        </w:rPr>
      </w:pPr>
      <w:r w:rsidRPr="00707152">
        <w:rPr>
          <w:rFonts w:ascii="Times New Roman" w:hAnsi="Times New Roman" w:cs="Times New Roman"/>
          <w:b/>
          <w:sz w:val="24"/>
          <w:szCs w:val="24"/>
        </w:rPr>
        <w:t>Policy analysis</w:t>
      </w:r>
      <w:r w:rsidRPr="0095288A">
        <w:rPr>
          <w:rFonts w:ascii="Times New Roman" w:hAnsi="Times New Roman" w:cs="Times New Roman"/>
          <w:sz w:val="24"/>
          <w:szCs w:val="24"/>
        </w:rPr>
        <w:t>: Analysis of the</w:t>
      </w:r>
      <w:r w:rsidR="000C178F">
        <w:rPr>
          <w:rFonts w:ascii="Times New Roman" w:hAnsi="Times New Roman" w:cs="Times New Roman"/>
          <w:sz w:val="24"/>
          <w:szCs w:val="24"/>
        </w:rPr>
        <w:t xml:space="preserve"> relevant data concerning the</w:t>
      </w:r>
      <w:r w:rsidRPr="0095288A">
        <w:rPr>
          <w:rFonts w:ascii="Times New Roman" w:hAnsi="Times New Roman" w:cs="Times New Roman"/>
          <w:sz w:val="24"/>
          <w:szCs w:val="24"/>
        </w:rPr>
        <w:t xml:space="preserve"> E</w:t>
      </w:r>
      <w:r w:rsidR="002C54FC">
        <w:rPr>
          <w:rFonts w:ascii="Times New Roman" w:hAnsi="Times New Roman" w:cs="Times New Roman"/>
          <w:sz w:val="24"/>
          <w:szCs w:val="24"/>
        </w:rPr>
        <w:t>U conflict mediation mechanisms</w:t>
      </w:r>
      <w:r w:rsidR="000C178F">
        <w:rPr>
          <w:rFonts w:ascii="Times New Roman" w:hAnsi="Times New Roman" w:cs="Times New Roman"/>
          <w:sz w:val="24"/>
          <w:szCs w:val="24"/>
        </w:rPr>
        <w:t>:</w:t>
      </w:r>
      <w:r w:rsidR="002C54FC">
        <w:rPr>
          <w:rFonts w:ascii="Times New Roman" w:hAnsi="Times New Roman" w:cs="Times New Roman"/>
          <w:sz w:val="24"/>
          <w:szCs w:val="24"/>
        </w:rPr>
        <w:t xml:space="preserve"> </w:t>
      </w:r>
      <w:r w:rsidRPr="0095288A">
        <w:rPr>
          <w:rFonts w:ascii="Times New Roman" w:hAnsi="Times New Roman" w:cs="Times New Roman"/>
          <w:sz w:val="24"/>
          <w:szCs w:val="24"/>
        </w:rPr>
        <w:t>NREP, EUMM</w:t>
      </w:r>
      <w:r w:rsidR="000C178F">
        <w:rPr>
          <w:rFonts w:ascii="Times New Roman" w:hAnsi="Times New Roman" w:cs="Times New Roman"/>
          <w:sz w:val="24"/>
          <w:szCs w:val="24"/>
        </w:rPr>
        <w:t>, EUJUST Themis, EUSR, GID.</w:t>
      </w:r>
    </w:p>
    <w:p w:rsidR="00050BA9" w:rsidRDefault="00050BA9" w:rsidP="00807A3B">
      <w:pPr>
        <w:spacing w:line="360" w:lineRule="auto"/>
        <w:jc w:val="both"/>
        <w:rPr>
          <w:rFonts w:ascii="Times New Roman" w:hAnsi="Times New Roman"/>
          <w:sz w:val="24"/>
          <w:szCs w:val="24"/>
        </w:rPr>
      </w:pPr>
      <w:r>
        <w:rPr>
          <w:rFonts w:ascii="Times New Roman" w:hAnsi="Times New Roman"/>
          <w:sz w:val="24"/>
          <w:szCs w:val="24"/>
        </w:rPr>
        <w:t>The secondary sources of</w:t>
      </w:r>
      <w:r w:rsidR="00F91976">
        <w:rPr>
          <w:rFonts w:ascii="Times New Roman" w:hAnsi="Times New Roman"/>
          <w:sz w:val="24"/>
          <w:szCs w:val="24"/>
        </w:rPr>
        <w:t xml:space="preserve"> the study will be collected in an iteratively</w:t>
      </w:r>
      <w:r>
        <w:rPr>
          <w:rFonts w:ascii="Times New Roman" w:hAnsi="Times New Roman"/>
          <w:sz w:val="24"/>
          <w:szCs w:val="24"/>
        </w:rPr>
        <w:t>.</w:t>
      </w:r>
      <w:r>
        <w:rPr>
          <w:rStyle w:val="FootnoteReference"/>
          <w:rFonts w:ascii="Times New Roman" w:hAnsi="Times New Roman"/>
          <w:sz w:val="24"/>
          <w:szCs w:val="24"/>
        </w:rPr>
        <w:footnoteReference w:id="26"/>
      </w:r>
      <w:r w:rsidRPr="00ED620F">
        <w:rPr>
          <w:rFonts w:ascii="Times New Roman" w:hAnsi="Times New Roman"/>
          <w:b/>
          <w:sz w:val="24"/>
          <w:szCs w:val="24"/>
        </w:rPr>
        <w:t xml:space="preserve"> </w:t>
      </w:r>
      <w:r>
        <w:rPr>
          <w:rFonts w:ascii="Times New Roman" w:hAnsi="Times New Roman"/>
          <w:sz w:val="24"/>
          <w:szCs w:val="24"/>
        </w:rPr>
        <w:t>For this purpose, schola</w:t>
      </w:r>
      <w:r w:rsidR="00F91976">
        <w:rPr>
          <w:rFonts w:ascii="Times New Roman" w:hAnsi="Times New Roman"/>
          <w:sz w:val="24"/>
          <w:szCs w:val="24"/>
        </w:rPr>
        <w:t xml:space="preserve">rly articles, books, newspapers, </w:t>
      </w:r>
      <w:r>
        <w:rPr>
          <w:rFonts w:ascii="Times New Roman" w:hAnsi="Times New Roman"/>
          <w:sz w:val="24"/>
          <w:szCs w:val="24"/>
        </w:rPr>
        <w:t>and other relevant sources of information will be analyzed.</w:t>
      </w:r>
    </w:p>
    <w:p w:rsidR="00050BA9" w:rsidRDefault="00050BA9" w:rsidP="00807A3B">
      <w:pPr>
        <w:spacing w:line="360" w:lineRule="auto"/>
        <w:jc w:val="both"/>
        <w:rPr>
          <w:rFonts w:ascii="Times New Roman" w:hAnsi="Times New Roman"/>
          <w:sz w:val="24"/>
          <w:szCs w:val="24"/>
        </w:rPr>
      </w:pPr>
      <w:r>
        <w:rPr>
          <w:rFonts w:ascii="Times New Roman" w:hAnsi="Times New Roman"/>
          <w:sz w:val="24"/>
          <w:szCs w:val="24"/>
        </w:rPr>
        <w:t>In the process of data collection and sampling, the study has outlined several points of limitations:</w:t>
      </w:r>
    </w:p>
    <w:p w:rsidR="00050BA9" w:rsidRPr="000460DB" w:rsidRDefault="002C54FC" w:rsidP="00807A3B">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 concern</w:t>
      </w:r>
      <w:r w:rsidR="00807A3B">
        <w:rPr>
          <w:rFonts w:ascii="Times New Roman" w:hAnsi="Times New Roman" w:cs="Times New Roman"/>
          <w:sz w:val="24"/>
          <w:szCs w:val="24"/>
        </w:rPr>
        <w:t xml:space="preserve">s </w:t>
      </w:r>
      <w:r>
        <w:rPr>
          <w:rFonts w:ascii="Times New Roman" w:hAnsi="Times New Roman" w:cs="Times New Roman"/>
          <w:sz w:val="24"/>
          <w:szCs w:val="24"/>
        </w:rPr>
        <w:t xml:space="preserve">a </w:t>
      </w:r>
      <w:r w:rsidR="00807A3B">
        <w:rPr>
          <w:rFonts w:ascii="Times New Roman" w:hAnsi="Times New Roman" w:cs="Times New Roman"/>
          <w:sz w:val="24"/>
          <w:szCs w:val="24"/>
        </w:rPr>
        <w:t xml:space="preserve">sensitive topic which is a subject of various interpretations. </w:t>
      </w:r>
    </w:p>
    <w:p w:rsidR="00050BA9" w:rsidRDefault="00807A3B" w:rsidP="00807A3B">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scope of the research is limited in </w:t>
      </w:r>
      <w:r w:rsidR="002C54FC">
        <w:rPr>
          <w:rFonts w:ascii="Times New Roman" w:hAnsi="Times New Roman" w:cs="Times New Roman"/>
          <w:sz w:val="24"/>
          <w:szCs w:val="24"/>
        </w:rPr>
        <w:t xml:space="preserve">the </w:t>
      </w:r>
      <w:r>
        <w:rPr>
          <w:rFonts w:ascii="Times New Roman" w:hAnsi="Times New Roman" w:cs="Times New Roman"/>
          <w:sz w:val="24"/>
          <w:szCs w:val="24"/>
        </w:rPr>
        <w:t>exploration of the EU’s conflict mediation.</w:t>
      </w:r>
    </w:p>
    <w:p w:rsidR="00050BA9" w:rsidRDefault="002C54FC" w:rsidP="00807A3B">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 is conducted with</w:t>
      </w:r>
      <w:r w:rsidR="00807A3B">
        <w:rPr>
          <w:rFonts w:ascii="Times New Roman" w:hAnsi="Times New Roman" w:cs="Times New Roman"/>
          <w:sz w:val="24"/>
          <w:szCs w:val="24"/>
        </w:rPr>
        <w:t xml:space="preserve"> respect to the guidelines of the Euroculture Joint Master’s Degree Program, thus, certain limitations concerning the size, scope, selection of the </w:t>
      </w:r>
      <w:r>
        <w:rPr>
          <w:rFonts w:ascii="Times New Roman" w:hAnsi="Times New Roman" w:cs="Times New Roman"/>
          <w:sz w:val="24"/>
          <w:szCs w:val="24"/>
        </w:rPr>
        <w:t xml:space="preserve">number of the cases, time-frame, </w:t>
      </w:r>
      <w:r w:rsidR="00807A3B">
        <w:rPr>
          <w:rFonts w:ascii="Times New Roman" w:hAnsi="Times New Roman" w:cs="Times New Roman"/>
          <w:sz w:val="24"/>
          <w:szCs w:val="24"/>
        </w:rPr>
        <w:t>and</w:t>
      </w:r>
      <w:r>
        <w:rPr>
          <w:rFonts w:ascii="Times New Roman" w:hAnsi="Times New Roman" w:cs="Times New Roman"/>
          <w:sz w:val="24"/>
          <w:szCs w:val="24"/>
        </w:rPr>
        <w:t xml:space="preserve"> presentation of research applications</w:t>
      </w:r>
      <w:r w:rsidR="00807A3B">
        <w:rPr>
          <w:rFonts w:ascii="Times New Roman" w:hAnsi="Times New Roman" w:cs="Times New Roman"/>
          <w:sz w:val="24"/>
          <w:szCs w:val="24"/>
        </w:rPr>
        <w:t xml:space="preserve"> </w:t>
      </w:r>
    </w:p>
    <w:p w:rsidR="00195E4A" w:rsidRDefault="00195E4A" w:rsidP="00195E4A">
      <w:pPr>
        <w:spacing w:line="360" w:lineRule="auto"/>
        <w:ind w:left="360"/>
        <w:jc w:val="both"/>
        <w:rPr>
          <w:rFonts w:ascii="Times New Roman" w:hAnsi="Times New Roman"/>
          <w:sz w:val="24"/>
          <w:szCs w:val="24"/>
        </w:rPr>
      </w:pPr>
    </w:p>
    <w:p w:rsidR="004D5971" w:rsidRPr="004D5971" w:rsidRDefault="004D5971" w:rsidP="004D5971">
      <w:pPr>
        <w:pStyle w:val="NoSpacing"/>
      </w:pPr>
    </w:p>
    <w:p w:rsidR="00050BA9" w:rsidRPr="001500A2" w:rsidRDefault="00EF64D9" w:rsidP="006D2116">
      <w:pPr>
        <w:pStyle w:val="Heading2"/>
        <w:rPr>
          <w:color w:val="auto"/>
          <w:sz w:val="32"/>
          <w:szCs w:val="32"/>
        </w:rPr>
      </w:pPr>
      <w:bookmarkStart w:id="5" w:name="_Toc46952599"/>
      <w:r w:rsidRPr="001500A2">
        <w:rPr>
          <w:color w:val="auto"/>
          <w:sz w:val="32"/>
          <w:szCs w:val="32"/>
        </w:rPr>
        <w:lastRenderedPageBreak/>
        <w:t xml:space="preserve">2.3 </w:t>
      </w:r>
      <w:r w:rsidR="00050BA9" w:rsidRPr="001500A2">
        <w:rPr>
          <w:color w:val="auto"/>
          <w:sz w:val="32"/>
          <w:szCs w:val="32"/>
        </w:rPr>
        <w:t xml:space="preserve">Prior Research and </w:t>
      </w:r>
      <w:r w:rsidR="00647750" w:rsidRPr="001500A2">
        <w:rPr>
          <w:color w:val="auto"/>
          <w:sz w:val="32"/>
          <w:szCs w:val="32"/>
        </w:rPr>
        <w:t xml:space="preserve">the </w:t>
      </w:r>
      <w:r w:rsidR="00050BA9" w:rsidRPr="001500A2">
        <w:rPr>
          <w:color w:val="auto"/>
          <w:sz w:val="32"/>
          <w:szCs w:val="32"/>
        </w:rPr>
        <w:t>Concepts</w:t>
      </w:r>
      <w:bookmarkEnd w:id="5"/>
    </w:p>
    <w:p w:rsidR="006D2116" w:rsidRPr="006D2116" w:rsidRDefault="006D2116" w:rsidP="006D2116"/>
    <w:p w:rsidR="00050BA9" w:rsidRPr="006B0B75" w:rsidRDefault="00050BA9" w:rsidP="006C762C">
      <w:pPr>
        <w:spacing w:line="360" w:lineRule="auto"/>
        <w:jc w:val="both"/>
        <w:rPr>
          <w:rFonts w:ascii="Times New Roman" w:hAnsi="Times New Roman"/>
          <w:sz w:val="24"/>
          <w:szCs w:val="24"/>
        </w:rPr>
      </w:pPr>
      <w:r w:rsidRPr="006B0B75">
        <w:rPr>
          <w:rFonts w:ascii="Times New Roman" w:hAnsi="Times New Roman"/>
          <w:sz w:val="24"/>
          <w:szCs w:val="24"/>
        </w:rPr>
        <w:t xml:space="preserve">The scholarly literature on the </w:t>
      </w:r>
      <w:r w:rsidRPr="000F5177">
        <w:rPr>
          <w:rFonts w:ascii="Times New Roman" w:hAnsi="Times New Roman"/>
          <w:i/>
          <w:sz w:val="24"/>
          <w:szCs w:val="24"/>
        </w:rPr>
        <w:t xml:space="preserve">EU’s security actorness </w:t>
      </w:r>
      <w:r w:rsidR="00065B05">
        <w:rPr>
          <w:rFonts w:ascii="Times New Roman" w:hAnsi="Times New Roman"/>
          <w:sz w:val="24"/>
          <w:szCs w:val="24"/>
        </w:rPr>
        <w:t>can be generalized under two major categories:</w:t>
      </w:r>
      <w:r w:rsidRPr="006B0B75">
        <w:rPr>
          <w:rFonts w:ascii="Times New Roman" w:hAnsi="Times New Roman"/>
          <w:sz w:val="24"/>
          <w:szCs w:val="24"/>
        </w:rPr>
        <w:t xml:space="preserve"> the firs</w:t>
      </w:r>
      <w:r w:rsidR="00065B05">
        <w:rPr>
          <w:rFonts w:ascii="Times New Roman" w:hAnsi="Times New Roman"/>
          <w:sz w:val="24"/>
          <w:szCs w:val="24"/>
        </w:rPr>
        <w:t>t category</w:t>
      </w:r>
      <w:r w:rsidR="00F91976">
        <w:rPr>
          <w:rFonts w:ascii="Times New Roman" w:hAnsi="Times New Roman"/>
          <w:sz w:val="24"/>
          <w:szCs w:val="24"/>
        </w:rPr>
        <w:t xml:space="preserve"> addresses the idea of </w:t>
      </w:r>
      <w:r w:rsidRPr="006B0B75">
        <w:rPr>
          <w:rFonts w:ascii="Times New Roman" w:hAnsi="Times New Roman"/>
          <w:sz w:val="24"/>
          <w:szCs w:val="24"/>
        </w:rPr>
        <w:t>European integration through the peaceful means and soft power mechanisms (</w:t>
      </w:r>
      <w:r w:rsidRPr="00596447">
        <w:rPr>
          <w:rFonts w:ascii="Times New Roman" w:hAnsi="Times New Roman"/>
          <w:i/>
          <w:sz w:val="24"/>
          <w:szCs w:val="24"/>
        </w:rPr>
        <w:t>Deutsch 1957, Haas 1964, Waever 1998</w:t>
      </w:r>
      <w:r>
        <w:rPr>
          <w:rFonts w:ascii="Times New Roman" w:hAnsi="Times New Roman"/>
          <w:sz w:val="24"/>
          <w:szCs w:val="24"/>
        </w:rPr>
        <w:t xml:space="preserve">). </w:t>
      </w:r>
      <w:r w:rsidRPr="006B0B75">
        <w:rPr>
          <w:rFonts w:ascii="Times New Roman" w:hAnsi="Times New Roman"/>
          <w:sz w:val="24"/>
          <w:szCs w:val="24"/>
        </w:rPr>
        <w:t xml:space="preserve">From this </w:t>
      </w:r>
      <w:r w:rsidR="00064D8C">
        <w:rPr>
          <w:rFonts w:ascii="Times New Roman" w:hAnsi="Times New Roman"/>
          <w:sz w:val="24"/>
          <w:szCs w:val="24"/>
        </w:rPr>
        <w:t xml:space="preserve">scholarly </w:t>
      </w:r>
      <w:r w:rsidRPr="006B0B75">
        <w:rPr>
          <w:rFonts w:ascii="Times New Roman" w:hAnsi="Times New Roman"/>
          <w:sz w:val="24"/>
          <w:szCs w:val="24"/>
        </w:rPr>
        <w:t xml:space="preserve">perspective, the EU is characterized by the functionalist approach to </w:t>
      </w:r>
      <w:r w:rsidR="00064D8C">
        <w:rPr>
          <w:rFonts w:ascii="Times New Roman" w:hAnsi="Times New Roman"/>
          <w:sz w:val="24"/>
          <w:szCs w:val="24"/>
        </w:rPr>
        <w:t>the political sphere</w:t>
      </w:r>
      <w:r w:rsidRPr="006B0B75">
        <w:rPr>
          <w:rFonts w:ascii="Times New Roman" w:hAnsi="Times New Roman"/>
          <w:sz w:val="24"/>
          <w:szCs w:val="24"/>
        </w:rPr>
        <w:t xml:space="preserve">, where the member states </w:t>
      </w:r>
      <w:r w:rsidR="00064D8C">
        <w:rPr>
          <w:rFonts w:ascii="Times New Roman" w:hAnsi="Times New Roman"/>
          <w:sz w:val="24"/>
          <w:szCs w:val="24"/>
        </w:rPr>
        <w:t xml:space="preserve">of the Union </w:t>
      </w:r>
      <w:r w:rsidRPr="006B0B75">
        <w:rPr>
          <w:rFonts w:ascii="Times New Roman" w:hAnsi="Times New Roman"/>
          <w:sz w:val="24"/>
          <w:szCs w:val="24"/>
        </w:rPr>
        <w:t>share the comm</w:t>
      </w:r>
      <w:r w:rsidR="00064D8C">
        <w:rPr>
          <w:rFonts w:ascii="Times New Roman" w:hAnsi="Times New Roman"/>
          <w:sz w:val="24"/>
          <w:szCs w:val="24"/>
        </w:rPr>
        <w:t>on security concerns and structure</w:t>
      </w:r>
      <w:r w:rsidRPr="006B0B75">
        <w:rPr>
          <w:rFonts w:ascii="Times New Roman" w:hAnsi="Times New Roman"/>
          <w:sz w:val="24"/>
          <w:szCs w:val="24"/>
        </w:rPr>
        <w:t xml:space="preserve"> </w:t>
      </w:r>
      <w:r w:rsidR="00064D8C">
        <w:rPr>
          <w:rFonts w:ascii="Times New Roman" w:hAnsi="Times New Roman"/>
          <w:sz w:val="24"/>
          <w:szCs w:val="24"/>
        </w:rPr>
        <w:t xml:space="preserve">the internal policies </w:t>
      </w:r>
      <w:r w:rsidRPr="006B0B75">
        <w:rPr>
          <w:rFonts w:ascii="Times New Roman" w:hAnsi="Times New Roman"/>
          <w:sz w:val="24"/>
          <w:szCs w:val="24"/>
        </w:rPr>
        <w:t xml:space="preserve">based on </w:t>
      </w:r>
      <w:r w:rsidR="00064D8C">
        <w:rPr>
          <w:rFonts w:ascii="Times New Roman" w:hAnsi="Times New Roman"/>
          <w:sz w:val="24"/>
          <w:szCs w:val="24"/>
        </w:rPr>
        <w:t xml:space="preserve">the </w:t>
      </w:r>
      <w:r w:rsidRPr="006B0B75">
        <w:rPr>
          <w:rFonts w:ascii="Times New Roman" w:hAnsi="Times New Roman"/>
          <w:sz w:val="24"/>
          <w:szCs w:val="24"/>
        </w:rPr>
        <w:t xml:space="preserve">mutual expectations of peaceful resolution. In such formation, a strong institutional hierarchy and economic cooperation serve as </w:t>
      </w:r>
      <w:r w:rsidR="00064D8C">
        <w:rPr>
          <w:rFonts w:ascii="Times New Roman" w:hAnsi="Times New Roman"/>
          <w:sz w:val="24"/>
          <w:szCs w:val="24"/>
        </w:rPr>
        <w:t>the axis</w:t>
      </w:r>
      <w:r w:rsidRPr="006B0B75">
        <w:rPr>
          <w:rFonts w:ascii="Times New Roman" w:hAnsi="Times New Roman"/>
          <w:sz w:val="24"/>
          <w:szCs w:val="24"/>
        </w:rPr>
        <w:t xml:space="preserve"> for sustainable peacebuilding in Europe. This pattern of thinking h</w:t>
      </w:r>
      <w:r w:rsidR="00F91976">
        <w:rPr>
          <w:rFonts w:ascii="Times New Roman" w:hAnsi="Times New Roman"/>
          <w:sz w:val="24"/>
          <w:szCs w:val="24"/>
        </w:rPr>
        <w:t xml:space="preserve">as been </w:t>
      </w:r>
      <w:r w:rsidR="003B569D">
        <w:rPr>
          <w:rFonts w:ascii="Times New Roman" w:hAnsi="Times New Roman"/>
          <w:sz w:val="24"/>
          <w:szCs w:val="24"/>
        </w:rPr>
        <w:t xml:space="preserve">further </w:t>
      </w:r>
      <w:r w:rsidR="00F91976">
        <w:rPr>
          <w:rFonts w:ascii="Times New Roman" w:hAnsi="Times New Roman"/>
          <w:sz w:val="24"/>
          <w:szCs w:val="24"/>
        </w:rPr>
        <w:t xml:space="preserve">extended to </w:t>
      </w:r>
      <w:r w:rsidR="003B569D">
        <w:rPr>
          <w:rFonts w:ascii="Times New Roman" w:hAnsi="Times New Roman"/>
          <w:sz w:val="24"/>
          <w:szCs w:val="24"/>
        </w:rPr>
        <w:t xml:space="preserve">the external dimension - </w:t>
      </w:r>
      <w:r w:rsidR="00F91976">
        <w:rPr>
          <w:rFonts w:ascii="Times New Roman" w:hAnsi="Times New Roman"/>
          <w:sz w:val="24"/>
          <w:szCs w:val="24"/>
        </w:rPr>
        <w:t xml:space="preserve">the </w:t>
      </w:r>
      <w:r w:rsidRPr="006B0B75">
        <w:rPr>
          <w:rFonts w:ascii="Times New Roman" w:hAnsi="Times New Roman"/>
          <w:sz w:val="24"/>
          <w:szCs w:val="24"/>
        </w:rPr>
        <w:t>Europ</w:t>
      </w:r>
      <w:r w:rsidR="00F91976">
        <w:rPr>
          <w:rFonts w:ascii="Times New Roman" w:hAnsi="Times New Roman"/>
          <w:sz w:val="24"/>
          <w:szCs w:val="24"/>
        </w:rPr>
        <w:t>e</w:t>
      </w:r>
      <w:r w:rsidR="003B569D">
        <w:rPr>
          <w:rFonts w:ascii="Times New Roman" w:hAnsi="Times New Roman"/>
          <w:sz w:val="24"/>
          <w:szCs w:val="24"/>
        </w:rPr>
        <w:t xml:space="preserve">anization </w:t>
      </w:r>
      <w:r w:rsidRPr="006B0B75">
        <w:rPr>
          <w:rFonts w:ascii="Times New Roman" w:hAnsi="Times New Roman"/>
          <w:sz w:val="24"/>
          <w:szCs w:val="24"/>
        </w:rPr>
        <w:t>beyond the borders (</w:t>
      </w:r>
      <w:r w:rsidRPr="00437EE4">
        <w:rPr>
          <w:rFonts w:ascii="Times New Roman" w:hAnsi="Times New Roman"/>
          <w:i/>
          <w:sz w:val="24"/>
          <w:szCs w:val="24"/>
        </w:rPr>
        <w:t>Emmerson 204, Schimmelfennig 2004</w:t>
      </w:r>
      <w:r>
        <w:rPr>
          <w:rFonts w:ascii="Times New Roman" w:hAnsi="Times New Roman"/>
          <w:sz w:val="24"/>
          <w:szCs w:val="24"/>
        </w:rPr>
        <w:t>).</w:t>
      </w:r>
      <w:r>
        <w:rPr>
          <w:rFonts w:ascii="Times New Roman" w:hAnsi="Times New Roman"/>
          <w:b/>
          <w:sz w:val="24"/>
          <w:szCs w:val="24"/>
        </w:rPr>
        <w:t xml:space="preserve"> </w:t>
      </w:r>
      <w:r w:rsidRPr="006B0B75">
        <w:rPr>
          <w:rFonts w:ascii="Times New Roman" w:hAnsi="Times New Roman"/>
          <w:sz w:val="24"/>
          <w:szCs w:val="24"/>
        </w:rPr>
        <w:t xml:space="preserve">The second </w:t>
      </w:r>
      <w:r w:rsidR="00D637B7">
        <w:rPr>
          <w:rFonts w:ascii="Times New Roman" w:hAnsi="Times New Roman"/>
          <w:sz w:val="24"/>
          <w:szCs w:val="24"/>
        </w:rPr>
        <w:t xml:space="preserve">thinking is focused on </w:t>
      </w:r>
      <w:r w:rsidR="002C54FC">
        <w:rPr>
          <w:rFonts w:ascii="Times New Roman" w:hAnsi="Times New Roman"/>
          <w:sz w:val="24"/>
          <w:szCs w:val="24"/>
        </w:rPr>
        <w:t>the understanding</w:t>
      </w:r>
      <w:r w:rsidR="00D637B7">
        <w:rPr>
          <w:rFonts w:ascii="Times New Roman" w:hAnsi="Times New Roman"/>
          <w:sz w:val="24"/>
          <w:szCs w:val="24"/>
        </w:rPr>
        <w:t xml:space="preserve"> </w:t>
      </w:r>
      <w:r w:rsidR="002C54FC">
        <w:rPr>
          <w:rFonts w:ascii="Times New Roman" w:hAnsi="Times New Roman"/>
          <w:sz w:val="24"/>
          <w:szCs w:val="24"/>
        </w:rPr>
        <w:t xml:space="preserve">of </w:t>
      </w:r>
      <w:r w:rsidR="00D637B7">
        <w:rPr>
          <w:rFonts w:ascii="Times New Roman" w:hAnsi="Times New Roman"/>
          <w:sz w:val="24"/>
          <w:szCs w:val="24"/>
        </w:rPr>
        <w:t xml:space="preserve">the </w:t>
      </w:r>
      <w:proofErr w:type="gramStart"/>
      <w:r w:rsidR="00D637B7">
        <w:rPr>
          <w:rFonts w:ascii="Times New Roman" w:hAnsi="Times New Roman"/>
          <w:sz w:val="24"/>
          <w:szCs w:val="24"/>
        </w:rPr>
        <w:t>role  and</w:t>
      </w:r>
      <w:proofErr w:type="gramEnd"/>
      <w:r w:rsidR="00D637B7">
        <w:rPr>
          <w:rFonts w:ascii="Times New Roman" w:hAnsi="Times New Roman"/>
          <w:sz w:val="24"/>
          <w:szCs w:val="24"/>
        </w:rPr>
        <w:t xml:space="preserve"> impact of </w:t>
      </w:r>
      <w:r w:rsidRPr="006B0B75">
        <w:rPr>
          <w:rFonts w:ascii="Times New Roman" w:hAnsi="Times New Roman"/>
          <w:sz w:val="24"/>
          <w:szCs w:val="24"/>
        </w:rPr>
        <w:t xml:space="preserve">foreign and security issues on </w:t>
      </w:r>
      <w:r w:rsidR="002C54FC">
        <w:rPr>
          <w:rFonts w:ascii="Times New Roman" w:hAnsi="Times New Roman"/>
          <w:sz w:val="24"/>
          <w:szCs w:val="24"/>
        </w:rPr>
        <w:t xml:space="preserve">the </w:t>
      </w:r>
      <w:r w:rsidRPr="006B0B75">
        <w:rPr>
          <w:rFonts w:ascii="Times New Roman" w:hAnsi="Times New Roman"/>
          <w:sz w:val="24"/>
          <w:szCs w:val="24"/>
        </w:rPr>
        <w:t>European integration</w:t>
      </w:r>
      <w:r w:rsidR="00D637B7">
        <w:rPr>
          <w:rFonts w:ascii="Times New Roman" w:hAnsi="Times New Roman"/>
          <w:sz w:val="24"/>
          <w:szCs w:val="24"/>
        </w:rPr>
        <w:t xml:space="preserve"> process</w:t>
      </w:r>
      <w:r w:rsidRPr="006B0B75">
        <w:rPr>
          <w:rFonts w:ascii="Times New Roman" w:hAnsi="Times New Roman"/>
          <w:sz w:val="24"/>
          <w:szCs w:val="24"/>
        </w:rPr>
        <w:t xml:space="preserve"> (</w:t>
      </w:r>
      <w:r w:rsidRPr="00437EE4">
        <w:rPr>
          <w:rFonts w:ascii="Times New Roman" w:hAnsi="Times New Roman"/>
          <w:i/>
          <w:sz w:val="24"/>
          <w:szCs w:val="24"/>
        </w:rPr>
        <w:t>Bono 2004, Hyde-Price 2004, Menon 2009</w:t>
      </w:r>
      <w:r>
        <w:rPr>
          <w:rFonts w:ascii="Times New Roman" w:hAnsi="Times New Roman"/>
          <w:sz w:val="24"/>
          <w:szCs w:val="24"/>
        </w:rPr>
        <w:t xml:space="preserve">). </w:t>
      </w:r>
      <w:r w:rsidR="00122E20">
        <w:rPr>
          <w:rFonts w:ascii="Times New Roman" w:hAnsi="Times New Roman"/>
          <w:sz w:val="24"/>
          <w:szCs w:val="24"/>
        </w:rPr>
        <w:t>From this perspective, the i</w:t>
      </w:r>
      <w:r w:rsidRPr="006B0B75">
        <w:rPr>
          <w:rFonts w:ascii="Times New Roman" w:hAnsi="Times New Roman"/>
          <w:sz w:val="24"/>
          <w:szCs w:val="24"/>
        </w:rPr>
        <w:t xml:space="preserve">nstitutionalization of the EU’s foreign policy </w:t>
      </w:r>
      <w:r w:rsidR="00122E20">
        <w:rPr>
          <w:rFonts w:ascii="Times New Roman" w:hAnsi="Times New Roman"/>
          <w:sz w:val="24"/>
          <w:szCs w:val="24"/>
        </w:rPr>
        <w:t xml:space="preserve">is </w:t>
      </w:r>
      <w:r w:rsidRPr="006B0B75">
        <w:rPr>
          <w:rFonts w:ascii="Times New Roman" w:hAnsi="Times New Roman"/>
          <w:sz w:val="24"/>
          <w:szCs w:val="24"/>
        </w:rPr>
        <w:t>a pr</w:t>
      </w:r>
      <w:r w:rsidR="00F91976">
        <w:rPr>
          <w:rFonts w:ascii="Times New Roman" w:hAnsi="Times New Roman"/>
          <w:sz w:val="24"/>
          <w:szCs w:val="24"/>
        </w:rPr>
        <w:t xml:space="preserve">oduct </w:t>
      </w:r>
      <w:r w:rsidR="00122E20">
        <w:rPr>
          <w:rFonts w:ascii="Times New Roman" w:hAnsi="Times New Roman"/>
          <w:sz w:val="24"/>
          <w:szCs w:val="24"/>
        </w:rPr>
        <w:t xml:space="preserve">continuously </w:t>
      </w:r>
      <w:r w:rsidR="00F91976">
        <w:rPr>
          <w:rFonts w:ascii="Times New Roman" w:hAnsi="Times New Roman"/>
          <w:sz w:val="24"/>
          <w:szCs w:val="24"/>
        </w:rPr>
        <w:t>enlarging</w:t>
      </w:r>
      <w:r w:rsidR="00122E20">
        <w:rPr>
          <w:rFonts w:ascii="Times New Roman" w:hAnsi="Times New Roman"/>
          <w:sz w:val="24"/>
          <w:szCs w:val="24"/>
        </w:rPr>
        <w:t xml:space="preserve"> and evolving </w:t>
      </w:r>
      <w:r w:rsidRPr="006B0B75">
        <w:rPr>
          <w:rFonts w:ascii="Times New Roman" w:hAnsi="Times New Roman"/>
          <w:sz w:val="24"/>
          <w:szCs w:val="24"/>
        </w:rPr>
        <w:t xml:space="preserve">security agenda in </w:t>
      </w:r>
      <w:r w:rsidR="00F91976">
        <w:rPr>
          <w:rFonts w:ascii="Times New Roman" w:hAnsi="Times New Roman"/>
          <w:sz w:val="24"/>
          <w:szCs w:val="24"/>
        </w:rPr>
        <w:t>the post-Cold War era. The i</w:t>
      </w:r>
      <w:r w:rsidRPr="006B0B75">
        <w:rPr>
          <w:rFonts w:ascii="Times New Roman" w:hAnsi="Times New Roman"/>
          <w:sz w:val="24"/>
          <w:szCs w:val="24"/>
        </w:rPr>
        <w:t xml:space="preserve">ntroduction of the neighborhood policy and deployment of the CSDP missions enabled the EU to transform itself into </w:t>
      </w:r>
      <w:r w:rsidR="00F91976">
        <w:rPr>
          <w:rFonts w:ascii="Times New Roman" w:hAnsi="Times New Roman"/>
          <w:sz w:val="24"/>
          <w:szCs w:val="24"/>
        </w:rPr>
        <w:t xml:space="preserve">a </w:t>
      </w:r>
      <w:r w:rsidR="002C54FC">
        <w:rPr>
          <w:rFonts w:ascii="Times New Roman" w:hAnsi="Times New Roman"/>
          <w:sz w:val="24"/>
          <w:szCs w:val="24"/>
        </w:rPr>
        <w:t>regional actor that</w:t>
      </w:r>
      <w:r w:rsidR="00BE7E6E">
        <w:rPr>
          <w:rFonts w:ascii="Times New Roman" w:hAnsi="Times New Roman"/>
          <w:sz w:val="24"/>
          <w:szCs w:val="24"/>
        </w:rPr>
        <w:t xml:space="preserve"> utilizes the </w:t>
      </w:r>
      <w:r w:rsidRPr="006B0B75">
        <w:rPr>
          <w:rFonts w:ascii="Times New Roman" w:hAnsi="Times New Roman"/>
          <w:sz w:val="24"/>
          <w:szCs w:val="24"/>
        </w:rPr>
        <w:t xml:space="preserve">soft </w:t>
      </w:r>
      <w:r w:rsidR="00BE7E6E">
        <w:rPr>
          <w:rFonts w:ascii="Times New Roman" w:hAnsi="Times New Roman"/>
          <w:sz w:val="24"/>
          <w:szCs w:val="24"/>
        </w:rPr>
        <w:t xml:space="preserve">power </w:t>
      </w:r>
      <w:r w:rsidRPr="006B0B75">
        <w:rPr>
          <w:rFonts w:ascii="Times New Roman" w:hAnsi="Times New Roman"/>
          <w:sz w:val="24"/>
          <w:szCs w:val="24"/>
        </w:rPr>
        <w:t>security mechanisms</w:t>
      </w:r>
      <w:r>
        <w:rPr>
          <w:rFonts w:ascii="Times New Roman" w:hAnsi="Times New Roman"/>
          <w:sz w:val="24"/>
          <w:szCs w:val="24"/>
        </w:rPr>
        <w:t>.</w:t>
      </w:r>
      <w:r>
        <w:rPr>
          <w:rStyle w:val="FootnoteReference"/>
          <w:rFonts w:ascii="Times New Roman" w:hAnsi="Times New Roman"/>
          <w:sz w:val="24"/>
          <w:szCs w:val="24"/>
        </w:rPr>
        <w:footnoteReference w:id="27"/>
      </w:r>
      <w:r w:rsidRPr="006B0B75">
        <w:rPr>
          <w:rFonts w:ascii="Times New Roman" w:hAnsi="Times New Roman"/>
          <w:b/>
          <w:sz w:val="24"/>
          <w:szCs w:val="24"/>
        </w:rPr>
        <w:t xml:space="preserve"> </w:t>
      </w:r>
      <w:r w:rsidRPr="006B0B75">
        <w:rPr>
          <w:rFonts w:ascii="Times New Roman" w:hAnsi="Times New Roman"/>
          <w:sz w:val="24"/>
          <w:szCs w:val="24"/>
        </w:rPr>
        <w:t xml:space="preserve">The EU’s </w:t>
      </w:r>
      <w:r w:rsidRPr="00BE7E6E">
        <w:rPr>
          <w:rFonts w:ascii="Times New Roman" w:hAnsi="Times New Roman"/>
          <w:i/>
          <w:sz w:val="24"/>
          <w:szCs w:val="24"/>
        </w:rPr>
        <w:t>sui generis</w:t>
      </w:r>
      <w:r w:rsidRPr="006B0B75">
        <w:rPr>
          <w:rFonts w:ascii="Times New Roman" w:hAnsi="Times New Roman"/>
          <w:sz w:val="24"/>
          <w:szCs w:val="24"/>
        </w:rPr>
        <w:t xml:space="preserve"> </w:t>
      </w:r>
      <w:r w:rsidR="002C54FC">
        <w:rPr>
          <w:rFonts w:ascii="Times New Roman" w:hAnsi="Times New Roman"/>
          <w:sz w:val="24"/>
          <w:szCs w:val="24"/>
        </w:rPr>
        <w:t xml:space="preserve">is essentially based on </w:t>
      </w:r>
      <w:r w:rsidRPr="006B0B75">
        <w:rPr>
          <w:rFonts w:ascii="Times New Roman" w:hAnsi="Times New Roman"/>
          <w:sz w:val="24"/>
          <w:szCs w:val="24"/>
        </w:rPr>
        <w:t xml:space="preserve">soft power </w:t>
      </w:r>
      <w:r w:rsidR="00BE7E6E">
        <w:rPr>
          <w:rFonts w:ascii="Times New Roman" w:hAnsi="Times New Roman"/>
          <w:sz w:val="24"/>
          <w:szCs w:val="24"/>
        </w:rPr>
        <w:t>measurements</w:t>
      </w:r>
      <w:r w:rsidRPr="006B0B75">
        <w:rPr>
          <w:rFonts w:ascii="Times New Roman" w:hAnsi="Times New Roman"/>
          <w:sz w:val="24"/>
          <w:szCs w:val="24"/>
        </w:rPr>
        <w:t xml:space="preserve"> (</w:t>
      </w:r>
      <w:r w:rsidRPr="00437EE4">
        <w:rPr>
          <w:rFonts w:ascii="Times New Roman" w:hAnsi="Times New Roman"/>
          <w:i/>
          <w:sz w:val="24"/>
          <w:szCs w:val="24"/>
        </w:rPr>
        <w:t>Waev</w:t>
      </w:r>
      <w:r>
        <w:rPr>
          <w:rFonts w:ascii="Times New Roman" w:hAnsi="Times New Roman"/>
          <w:i/>
          <w:sz w:val="24"/>
          <w:szCs w:val="24"/>
        </w:rPr>
        <w:t xml:space="preserve">er 2000, Manners 2007, </w:t>
      </w:r>
      <w:proofErr w:type="gramStart"/>
      <w:r>
        <w:rPr>
          <w:rFonts w:ascii="Times New Roman" w:hAnsi="Times New Roman"/>
          <w:i/>
          <w:sz w:val="24"/>
          <w:szCs w:val="24"/>
        </w:rPr>
        <w:t>Brerthon</w:t>
      </w:r>
      <w:proofErr w:type="gramEnd"/>
      <w:r>
        <w:rPr>
          <w:rFonts w:ascii="Times New Roman" w:hAnsi="Times New Roman"/>
          <w:i/>
          <w:sz w:val="24"/>
          <w:szCs w:val="24"/>
        </w:rPr>
        <w:t>&amp;</w:t>
      </w:r>
      <w:r w:rsidRPr="00437EE4">
        <w:rPr>
          <w:rFonts w:ascii="Times New Roman" w:hAnsi="Times New Roman"/>
          <w:i/>
          <w:sz w:val="24"/>
          <w:szCs w:val="24"/>
        </w:rPr>
        <w:t>Vogler 2007</w:t>
      </w:r>
      <w:r>
        <w:rPr>
          <w:rFonts w:ascii="Times New Roman" w:hAnsi="Times New Roman"/>
          <w:sz w:val="24"/>
          <w:szCs w:val="24"/>
        </w:rPr>
        <w:t>)</w:t>
      </w:r>
      <w:r w:rsidRPr="006B0B75">
        <w:rPr>
          <w:rFonts w:ascii="Times New Roman" w:hAnsi="Times New Roman"/>
          <w:sz w:val="24"/>
          <w:szCs w:val="24"/>
        </w:rPr>
        <w:t xml:space="preserve"> which challenges the traditional institutional understanding of the regional security actors. The EU’s soft power mechanisms </w:t>
      </w:r>
      <w:r w:rsidR="00BE7E6E">
        <w:rPr>
          <w:rFonts w:ascii="Times New Roman" w:hAnsi="Times New Roman"/>
          <w:sz w:val="24"/>
          <w:szCs w:val="24"/>
        </w:rPr>
        <w:t xml:space="preserve">provide the basis for the </w:t>
      </w:r>
      <w:r w:rsidRPr="006B0B75">
        <w:rPr>
          <w:rFonts w:ascii="Times New Roman" w:hAnsi="Times New Roman"/>
          <w:sz w:val="24"/>
          <w:szCs w:val="24"/>
        </w:rPr>
        <w:t>engagement in conflict mediation and conflic</w:t>
      </w:r>
      <w:r>
        <w:rPr>
          <w:rFonts w:ascii="Times New Roman" w:hAnsi="Times New Roman"/>
          <w:sz w:val="24"/>
          <w:szCs w:val="24"/>
        </w:rPr>
        <w:t xml:space="preserve">t resolution on </w:t>
      </w:r>
      <w:r w:rsidR="00F91976">
        <w:rPr>
          <w:rFonts w:ascii="Times New Roman" w:hAnsi="Times New Roman"/>
          <w:sz w:val="24"/>
          <w:szCs w:val="24"/>
        </w:rPr>
        <w:t xml:space="preserve">the </w:t>
      </w:r>
      <w:r>
        <w:rPr>
          <w:rFonts w:ascii="Times New Roman" w:hAnsi="Times New Roman"/>
          <w:sz w:val="24"/>
          <w:szCs w:val="24"/>
        </w:rPr>
        <w:t xml:space="preserve">external level </w:t>
      </w:r>
      <w:r w:rsidRPr="00915028">
        <w:rPr>
          <w:rFonts w:ascii="Times New Roman" w:hAnsi="Times New Roman"/>
          <w:i/>
          <w:sz w:val="24"/>
          <w:szCs w:val="24"/>
        </w:rPr>
        <w:t>(Brerthon&amp;Vogler 2007</w:t>
      </w:r>
      <w:r w:rsidRPr="006B0B75">
        <w:rPr>
          <w:rFonts w:ascii="Times New Roman" w:hAnsi="Times New Roman"/>
          <w:sz w:val="24"/>
          <w:szCs w:val="24"/>
        </w:rPr>
        <w:t xml:space="preserve">). Furthermore, there is </w:t>
      </w:r>
      <w:r w:rsidR="00F91976">
        <w:rPr>
          <w:rFonts w:ascii="Times New Roman" w:hAnsi="Times New Roman"/>
          <w:sz w:val="24"/>
          <w:szCs w:val="24"/>
        </w:rPr>
        <w:t xml:space="preserve">a </w:t>
      </w:r>
      <w:r w:rsidRPr="006B0B75">
        <w:rPr>
          <w:rFonts w:ascii="Times New Roman" w:hAnsi="Times New Roman"/>
          <w:sz w:val="24"/>
          <w:szCs w:val="24"/>
        </w:rPr>
        <w:t>solid accou</w:t>
      </w:r>
      <w:r w:rsidR="002C54FC">
        <w:rPr>
          <w:rFonts w:ascii="Times New Roman" w:hAnsi="Times New Roman"/>
          <w:sz w:val="24"/>
          <w:szCs w:val="24"/>
        </w:rPr>
        <w:t>nt of scholarly literature that</w:t>
      </w:r>
      <w:r w:rsidRPr="006B0B75">
        <w:rPr>
          <w:rFonts w:ascii="Times New Roman" w:hAnsi="Times New Roman"/>
          <w:sz w:val="24"/>
          <w:szCs w:val="24"/>
        </w:rPr>
        <w:t xml:space="preserve"> outlines the </w:t>
      </w:r>
      <w:r w:rsidR="00023DAA">
        <w:rPr>
          <w:rFonts w:ascii="Times New Roman" w:hAnsi="Times New Roman"/>
          <w:sz w:val="24"/>
          <w:szCs w:val="24"/>
        </w:rPr>
        <w:t>main</w:t>
      </w:r>
      <w:r w:rsidRPr="006B0B75">
        <w:rPr>
          <w:rFonts w:ascii="Times New Roman" w:hAnsi="Times New Roman"/>
          <w:sz w:val="24"/>
          <w:szCs w:val="24"/>
        </w:rPr>
        <w:t xml:space="preserve"> characteristics of the </w:t>
      </w:r>
      <w:r>
        <w:rPr>
          <w:rFonts w:ascii="Times New Roman" w:hAnsi="Times New Roman"/>
          <w:sz w:val="24"/>
          <w:szCs w:val="24"/>
        </w:rPr>
        <w:t>conflicts in EU’s neighborhood</w:t>
      </w:r>
      <w:r w:rsidR="002C54FC">
        <w:rPr>
          <w:rFonts w:ascii="Times New Roman" w:hAnsi="Times New Roman"/>
          <w:sz w:val="24"/>
          <w:szCs w:val="24"/>
        </w:rPr>
        <w:t xml:space="preserve"> from the compa</w:t>
      </w:r>
      <w:r w:rsidR="00023DAA">
        <w:rPr>
          <w:rFonts w:ascii="Times New Roman" w:hAnsi="Times New Roman"/>
          <w:sz w:val="24"/>
          <w:szCs w:val="24"/>
        </w:rPr>
        <w:t>rative perspective</w:t>
      </w:r>
      <w:r>
        <w:rPr>
          <w:rFonts w:ascii="Times New Roman" w:hAnsi="Times New Roman"/>
          <w:sz w:val="24"/>
          <w:szCs w:val="24"/>
        </w:rPr>
        <w:t xml:space="preserve"> (D</w:t>
      </w:r>
      <w:r w:rsidRPr="00EE110E">
        <w:rPr>
          <w:rFonts w:ascii="Times New Roman" w:hAnsi="Times New Roman"/>
          <w:i/>
          <w:sz w:val="24"/>
          <w:szCs w:val="24"/>
        </w:rPr>
        <w:t>iez &amp; Tocci 2017</w:t>
      </w:r>
      <w:r w:rsidRPr="006B0B75">
        <w:rPr>
          <w:rFonts w:ascii="Times New Roman" w:hAnsi="Times New Roman"/>
          <w:sz w:val="24"/>
          <w:szCs w:val="24"/>
        </w:rPr>
        <w:t xml:space="preserve">) and </w:t>
      </w:r>
      <w:r w:rsidR="00023DAA">
        <w:rPr>
          <w:rFonts w:ascii="Times New Roman" w:hAnsi="Times New Roman"/>
          <w:sz w:val="24"/>
          <w:szCs w:val="24"/>
        </w:rPr>
        <w:t xml:space="preserve">identifies the </w:t>
      </w:r>
      <w:r w:rsidRPr="006B0B75">
        <w:rPr>
          <w:rFonts w:ascii="Times New Roman" w:hAnsi="Times New Roman"/>
          <w:sz w:val="24"/>
          <w:szCs w:val="24"/>
        </w:rPr>
        <w:t xml:space="preserve">factors </w:t>
      </w:r>
      <w:r w:rsidR="00023DAA">
        <w:rPr>
          <w:rFonts w:ascii="Times New Roman" w:hAnsi="Times New Roman"/>
          <w:sz w:val="24"/>
          <w:szCs w:val="24"/>
        </w:rPr>
        <w:t xml:space="preserve">which shape the </w:t>
      </w:r>
      <w:r w:rsidRPr="006B0B75">
        <w:rPr>
          <w:rFonts w:ascii="Times New Roman" w:hAnsi="Times New Roman"/>
          <w:sz w:val="24"/>
          <w:szCs w:val="24"/>
        </w:rPr>
        <w:t>EU</w:t>
      </w:r>
      <w:r w:rsidR="00023DAA">
        <w:rPr>
          <w:rFonts w:ascii="Times New Roman" w:hAnsi="Times New Roman"/>
          <w:sz w:val="24"/>
          <w:szCs w:val="24"/>
        </w:rPr>
        <w:t>’s internal decision-</w:t>
      </w:r>
      <w:proofErr w:type="gramStart"/>
      <w:r w:rsidR="00023DAA">
        <w:rPr>
          <w:rFonts w:ascii="Times New Roman" w:hAnsi="Times New Roman"/>
          <w:sz w:val="24"/>
          <w:szCs w:val="24"/>
        </w:rPr>
        <w:t xml:space="preserve">making </w:t>
      </w:r>
      <w:r w:rsidRPr="006B0B75">
        <w:rPr>
          <w:rFonts w:ascii="Times New Roman" w:hAnsi="Times New Roman"/>
          <w:sz w:val="24"/>
          <w:szCs w:val="24"/>
        </w:rPr>
        <w:t xml:space="preserve"> on</w:t>
      </w:r>
      <w:proofErr w:type="gramEnd"/>
      <w:r w:rsidRPr="006B0B75">
        <w:rPr>
          <w:rFonts w:ascii="Times New Roman" w:hAnsi="Times New Roman"/>
          <w:sz w:val="24"/>
          <w:szCs w:val="24"/>
        </w:rPr>
        <w:t xml:space="preserve"> eng</w:t>
      </w:r>
      <w:r>
        <w:rPr>
          <w:rFonts w:ascii="Times New Roman" w:hAnsi="Times New Roman"/>
          <w:sz w:val="24"/>
          <w:szCs w:val="24"/>
        </w:rPr>
        <w:t xml:space="preserve">aging or avoiding the </w:t>
      </w:r>
      <w:r w:rsidR="00023DAA">
        <w:rPr>
          <w:rFonts w:ascii="Times New Roman" w:hAnsi="Times New Roman"/>
          <w:sz w:val="24"/>
          <w:szCs w:val="24"/>
        </w:rPr>
        <w:t xml:space="preserve">particular </w:t>
      </w:r>
      <w:r>
        <w:rPr>
          <w:rFonts w:ascii="Times New Roman" w:hAnsi="Times New Roman"/>
          <w:sz w:val="24"/>
          <w:szCs w:val="24"/>
        </w:rPr>
        <w:t>conflict (</w:t>
      </w:r>
      <w:r w:rsidRPr="00EE110E">
        <w:rPr>
          <w:rFonts w:ascii="Times New Roman" w:hAnsi="Times New Roman"/>
          <w:i/>
          <w:sz w:val="24"/>
          <w:szCs w:val="24"/>
        </w:rPr>
        <w:t>Popescu 2007)</w:t>
      </w:r>
      <w:r>
        <w:rPr>
          <w:rFonts w:ascii="Times New Roman" w:hAnsi="Times New Roman"/>
          <w:sz w:val="24"/>
          <w:szCs w:val="24"/>
        </w:rPr>
        <w:t>.</w:t>
      </w:r>
    </w:p>
    <w:p w:rsidR="00050BA9" w:rsidRPr="006B0B75" w:rsidRDefault="00901931" w:rsidP="006C762C">
      <w:pPr>
        <w:spacing w:line="360" w:lineRule="auto"/>
        <w:jc w:val="both"/>
        <w:rPr>
          <w:rFonts w:ascii="Times New Roman" w:hAnsi="Times New Roman"/>
          <w:sz w:val="24"/>
          <w:szCs w:val="24"/>
        </w:rPr>
      </w:pPr>
      <w:r w:rsidRPr="00901931">
        <w:rPr>
          <w:rFonts w:ascii="Times New Roman" w:hAnsi="Times New Roman"/>
          <w:sz w:val="24"/>
          <w:szCs w:val="24"/>
        </w:rPr>
        <w:t xml:space="preserve">In its essence, </w:t>
      </w:r>
      <w:r w:rsidR="00050BA9" w:rsidRPr="002C2C1A">
        <w:rPr>
          <w:rFonts w:ascii="Times New Roman" w:hAnsi="Times New Roman"/>
          <w:sz w:val="24"/>
          <w:szCs w:val="24"/>
        </w:rPr>
        <w:t>Conflict mediation</w:t>
      </w:r>
      <w:r w:rsidR="002C54FC">
        <w:rPr>
          <w:rFonts w:ascii="Times New Roman" w:hAnsi="Times New Roman"/>
          <w:sz w:val="24"/>
          <w:szCs w:val="24"/>
        </w:rPr>
        <w:t xml:space="preserve"> is a complex process that</w:t>
      </w:r>
      <w:r w:rsidR="00050BA9" w:rsidRPr="006B0B75">
        <w:rPr>
          <w:rFonts w:ascii="Times New Roman" w:hAnsi="Times New Roman"/>
          <w:sz w:val="24"/>
          <w:szCs w:val="24"/>
        </w:rPr>
        <w:t xml:space="preserve"> </w:t>
      </w:r>
      <w:r w:rsidR="002C2C1A">
        <w:rPr>
          <w:rFonts w:ascii="Times New Roman" w:hAnsi="Times New Roman"/>
          <w:sz w:val="24"/>
          <w:szCs w:val="24"/>
        </w:rPr>
        <w:t xml:space="preserve">concerns the </w:t>
      </w:r>
      <w:r w:rsidR="00050BA9" w:rsidRPr="006B0B75">
        <w:rPr>
          <w:rFonts w:ascii="Times New Roman" w:hAnsi="Times New Roman"/>
          <w:sz w:val="24"/>
          <w:szCs w:val="24"/>
        </w:rPr>
        <w:t>confrontation be</w:t>
      </w:r>
      <w:r w:rsidR="002C54FC">
        <w:rPr>
          <w:rFonts w:ascii="Times New Roman" w:hAnsi="Times New Roman"/>
          <w:sz w:val="24"/>
          <w:szCs w:val="24"/>
        </w:rPr>
        <w:t xml:space="preserve">tween the actors caused by </w:t>
      </w:r>
      <w:r w:rsidR="00050BA9" w:rsidRPr="006B0B75">
        <w:rPr>
          <w:rFonts w:ascii="Times New Roman" w:hAnsi="Times New Roman"/>
          <w:sz w:val="24"/>
          <w:szCs w:val="24"/>
        </w:rPr>
        <w:t>political and ideolog</w:t>
      </w:r>
      <w:r w:rsidR="00F91976">
        <w:rPr>
          <w:rFonts w:ascii="Times New Roman" w:hAnsi="Times New Roman"/>
          <w:sz w:val="24"/>
          <w:szCs w:val="24"/>
        </w:rPr>
        <w:t xml:space="preserve">ical differences. The process </w:t>
      </w:r>
      <w:r w:rsidR="002C54FC">
        <w:rPr>
          <w:rFonts w:ascii="Times New Roman" w:hAnsi="Times New Roman"/>
          <w:sz w:val="24"/>
          <w:szCs w:val="24"/>
        </w:rPr>
        <w:t xml:space="preserve">is direct towards </w:t>
      </w:r>
      <w:r w:rsidR="00F91976">
        <w:rPr>
          <w:rFonts w:ascii="Times New Roman" w:hAnsi="Times New Roman"/>
          <w:sz w:val="24"/>
          <w:szCs w:val="24"/>
        </w:rPr>
        <w:t>reducing</w:t>
      </w:r>
      <w:r w:rsidR="002C2C1A">
        <w:rPr>
          <w:rFonts w:ascii="Times New Roman" w:hAnsi="Times New Roman"/>
          <w:sz w:val="24"/>
          <w:szCs w:val="24"/>
        </w:rPr>
        <w:t xml:space="preserve"> the level of hostilities</w:t>
      </w:r>
      <w:r w:rsidR="00050BA9" w:rsidRPr="006B0B75">
        <w:rPr>
          <w:rFonts w:ascii="Times New Roman" w:hAnsi="Times New Roman"/>
          <w:sz w:val="24"/>
          <w:szCs w:val="24"/>
        </w:rPr>
        <w:t xml:space="preserve"> </w:t>
      </w:r>
      <w:r w:rsidR="002C2C1A">
        <w:rPr>
          <w:rFonts w:ascii="Times New Roman" w:hAnsi="Times New Roman"/>
          <w:sz w:val="24"/>
          <w:szCs w:val="24"/>
        </w:rPr>
        <w:t xml:space="preserve">and </w:t>
      </w:r>
      <w:r w:rsidR="00050BA9" w:rsidRPr="006B0B75">
        <w:rPr>
          <w:rFonts w:ascii="Times New Roman" w:hAnsi="Times New Roman"/>
          <w:sz w:val="24"/>
          <w:szCs w:val="24"/>
        </w:rPr>
        <w:t>reachin</w:t>
      </w:r>
      <w:r w:rsidR="00050BA9">
        <w:rPr>
          <w:rFonts w:ascii="Times New Roman" w:hAnsi="Times New Roman"/>
          <w:sz w:val="24"/>
          <w:szCs w:val="24"/>
        </w:rPr>
        <w:t xml:space="preserve">g the </w:t>
      </w:r>
      <w:r w:rsidR="002C54FC">
        <w:rPr>
          <w:rFonts w:ascii="Times New Roman" w:hAnsi="Times New Roman"/>
          <w:sz w:val="24"/>
          <w:szCs w:val="24"/>
        </w:rPr>
        <w:t>peaceful order in there</w:t>
      </w:r>
      <w:r w:rsidR="002C2C1A">
        <w:rPr>
          <w:rFonts w:ascii="Times New Roman" w:hAnsi="Times New Roman"/>
          <w:sz w:val="24"/>
          <w:szCs w:val="24"/>
        </w:rPr>
        <w:t xml:space="preserve"> in </w:t>
      </w:r>
      <w:r w:rsidR="002C54FC">
        <w:rPr>
          <w:rFonts w:ascii="Times New Roman" w:hAnsi="Times New Roman"/>
          <w:sz w:val="24"/>
          <w:szCs w:val="24"/>
        </w:rPr>
        <w:t xml:space="preserve">a certain period of </w:t>
      </w:r>
      <w:r w:rsidR="002C2C1A">
        <w:rPr>
          <w:rFonts w:ascii="Times New Roman" w:hAnsi="Times New Roman"/>
          <w:sz w:val="24"/>
          <w:szCs w:val="24"/>
        </w:rPr>
        <w:t>time</w:t>
      </w:r>
      <w:r w:rsidR="00050BA9" w:rsidRPr="006B0B75">
        <w:rPr>
          <w:rFonts w:ascii="Times New Roman" w:hAnsi="Times New Roman"/>
          <w:sz w:val="24"/>
          <w:szCs w:val="24"/>
        </w:rPr>
        <w:t>.</w:t>
      </w:r>
      <w:r w:rsidR="00050BA9">
        <w:rPr>
          <w:rStyle w:val="FootnoteReference"/>
          <w:rFonts w:ascii="Times New Roman" w:hAnsi="Times New Roman"/>
          <w:sz w:val="24"/>
          <w:szCs w:val="24"/>
        </w:rPr>
        <w:footnoteReference w:id="28"/>
      </w:r>
      <w:r w:rsidR="00F91976">
        <w:rPr>
          <w:rFonts w:ascii="Times New Roman" w:hAnsi="Times New Roman"/>
          <w:sz w:val="24"/>
          <w:szCs w:val="24"/>
        </w:rPr>
        <w:t xml:space="preserve"> To</w:t>
      </w:r>
      <w:r w:rsidR="00050BA9" w:rsidRPr="006B0B75">
        <w:rPr>
          <w:rFonts w:ascii="Times New Roman" w:hAnsi="Times New Roman"/>
          <w:sz w:val="24"/>
          <w:szCs w:val="24"/>
        </w:rPr>
        <w:t xml:space="preserve"> achieve the</w:t>
      </w:r>
      <w:r w:rsidR="008554A7">
        <w:rPr>
          <w:rFonts w:ascii="Times New Roman" w:hAnsi="Times New Roman"/>
          <w:sz w:val="24"/>
          <w:szCs w:val="24"/>
        </w:rPr>
        <w:t xml:space="preserve"> long-term</w:t>
      </w:r>
      <w:r w:rsidR="00050BA9" w:rsidRPr="006B0B75">
        <w:rPr>
          <w:rFonts w:ascii="Times New Roman" w:hAnsi="Times New Roman"/>
          <w:sz w:val="24"/>
          <w:szCs w:val="24"/>
        </w:rPr>
        <w:t xml:space="preserve"> cons</w:t>
      </w:r>
      <w:r w:rsidR="008554A7">
        <w:rPr>
          <w:rFonts w:ascii="Times New Roman" w:hAnsi="Times New Roman"/>
          <w:sz w:val="24"/>
          <w:szCs w:val="24"/>
        </w:rPr>
        <w:t>ensus among the confronted parties</w:t>
      </w:r>
      <w:r w:rsidR="00050BA9" w:rsidRPr="006B0B75">
        <w:rPr>
          <w:rFonts w:ascii="Times New Roman" w:hAnsi="Times New Roman"/>
          <w:sz w:val="24"/>
          <w:szCs w:val="24"/>
        </w:rPr>
        <w:t>, the conflict mediator requires</w:t>
      </w:r>
      <w:r w:rsidR="005F1E59">
        <w:rPr>
          <w:rFonts w:ascii="Times New Roman" w:hAnsi="Times New Roman"/>
          <w:sz w:val="24"/>
          <w:szCs w:val="24"/>
        </w:rPr>
        <w:t xml:space="preserve"> to own</w:t>
      </w:r>
      <w:r w:rsidR="00050BA9" w:rsidRPr="006B0B75">
        <w:rPr>
          <w:rFonts w:ascii="Times New Roman" w:hAnsi="Times New Roman"/>
          <w:sz w:val="24"/>
          <w:szCs w:val="24"/>
        </w:rPr>
        <w:t xml:space="preserve"> a set of tools and mechanisms that will efficiently transform the r</w:t>
      </w:r>
      <w:r w:rsidR="00050BA9">
        <w:rPr>
          <w:rFonts w:ascii="Times New Roman" w:hAnsi="Times New Roman"/>
          <w:sz w:val="24"/>
          <w:szCs w:val="24"/>
        </w:rPr>
        <w:t>ivalry intro mutual compromise (</w:t>
      </w:r>
      <w:r w:rsidR="00050BA9">
        <w:rPr>
          <w:rFonts w:ascii="Times New Roman" w:hAnsi="Times New Roman"/>
          <w:i/>
          <w:sz w:val="24"/>
          <w:szCs w:val="24"/>
        </w:rPr>
        <w:t>Bercovitch&amp;</w:t>
      </w:r>
      <w:r w:rsidR="00050BA9" w:rsidRPr="00EE110E">
        <w:rPr>
          <w:rFonts w:ascii="Times New Roman" w:hAnsi="Times New Roman"/>
          <w:i/>
          <w:sz w:val="24"/>
          <w:szCs w:val="24"/>
        </w:rPr>
        <w:t>Jackson 2009</w:t>
      </w:r>
      <w:r w:rsidR="00050BA9">
        <w:rPr>
          <w:rFonts w:ascii="Times New Roman" w:hAnsi="Times New Roman"/>
          <w:sz w:val="24"/>
          <w:szCs w:val="24"/>
        </w:rPr>
        <w:t>).</w:t>
      </w:r>
      <w:r w:rsidR="00050BA9" w:rsidRPr="006B0B75">
        <w:rPr>
          <w:rFonts w:ascii="Times New Roman" w:hAnsi="Times New Roman"/>
          <w:sz w:val="24"/>
          <w:szCs w:val="24"/>
        </w:rPr>
        <w:t xml:space="preserve"> The scholarly literature </w:t>
      </w:r>
      <w:r w:rsidR="00050BA9" w:rsidRPr="006B0B75">
        <w:rPr>
          <w:rFonts w:ascii="Times New Roman" w:hAnsi="Times New Roman"/>
          <w:sz w:val="24"/>
          <w:szCs w:val="24"/>
        </w:rPr>
        <w:lastRenderedPageBreak/>
        <w:t xml:space="preserve">differentiates </w:t>
      </w:r>
      <w:r w:rsidR="00050BA9" w:rsidRPr="000F5177">
        <w:rPr>
          <w:rFonts w:ascii="Times New Roman" w:hAnsi="Times New Roman"/>
          <w:sz w:val="24"/>
          <w:szCs w:val="24"/>
        </w:rPr>
        <w:t>five major approaches in conflict mediation:</w:t>
      </w:r>
      <w:r w:rsidR="00050BA9" w:rsidRPr="006B0B75">
        <w:rPr>
          <w:rFonts w:ascii="Times New Roman" w:hAnsi="Times New Roman"/>
          <w:sz w:val="24"/>
          <w:szCs w:val="24"/>
        </w:rPr>
        <w:t xml:space="preserve"> verbal, judic</w:t>
      </w:r>
      <w:r w:rsidR="00F91976">
        <w:rPr>
          <w:rFonts w:ascii="Times New Roman" w:hAnsi="Times New Roman"/>
          <w:sz w:val="24"/>
          <w:szCs w:val="24"/>
        </w:rPr>
        <w:t xml:space="preserve">ial, diplomatic, administrative, </w:t>
      </w:r>
      <w:r w:rsidR="00050BA9" w:rsidRPr="006B0B75">
        <w:rPr>
          <w:rFonts w:ascii="Times New Roman" w:hAnsi="Times New Roman"/>
          <w:sz w:val="24"/>
          <w:szCs w:val="24"/>
        </w:rPr>
        <w:t>and militaristic. These approaches are in most cases inter</w:t>
      </w:r>
      <w:r w:rsidR="00F91976">
        <w:rPr>
          <w:rFonts w:ascii="Times New Roman" w:hAnsi="Times New Roman"/>
          <w:sz w:val="24"/>
          <w:szCs w:val="24"/>
        </w:rPr>
        <w:t>related and utilized in combined</w:t>
      </w:r>
      <w:r w:rsidR="00050BA9" w:rsidRPr="006B0B75">
        <w:rPr>
          <w:rFonts w:ascii="Times New Roman" w:hAnsi="Times New Roman"/>
          <w:sz w:val="24"/>
          <w:szCs w:val="24"/>
        </w:rPr>
        <w:t xml:space="preserve"> systems</w:t>
      </w:r>
      <w:r w:rsidR="00050BA9">
        <w:rPr>
          <w:rFonts w:ascii="Times New Roman" w:hAnsi="Times New Roman"/>
          <w:sz w:val="24"/>
          <w:szCs w:val="24"/>
        </w:rPr>
        <w:t xml:space="preserve"> (</w:t>
      </w:r>
      <w:r w:rsidR="00050BA9" w:rsidRPr="00EE110E">
        <w:rPr>
          <w:rFonts w:ascii="Times New Roman" w:hAnsi="Times New Roman"/>
          <w:i/>
          <w:sz w:val="24"/>
          <w:szCs w:val="24"/>
        </w:rPr>
        <w:t xml:space="preserve">Bercovitch&amp;Derouen 2004, Frazier&amp;Dixon 2006, </w:t>
      </w:r>
      <w:proofErr w:type="gramStart"/>
      <w:r w:rsidR="00050BA9" w:rsidRPr="00EE110E">
        <w:rPr>
          <w:rFonts w:ascii="Times New Roman" w:hAnsi="Times New Roman"/>
          <w:i/>
          <w:sz w:val="24"/>
          <w:szCs w:val="24"/>
        </w:rPr>
        <w:t>Greign</w:t>
      </w:r>
      <w:proofErr w:type="gramEnd"/>
      <w:r w:rsidR="00050BA9" w:rsidRPr="00EE110E">
        <w:rPr>
          <w:rFonts w:ascii="Times New Roman" w:hAnsi="Times New Roman"/>
          <w:i/>
          <w:sz w:val="24"/>
          <w:szCs w:val="24"/>
        </w:rPr>
        <w:t>&amp;Diehl 2012</w:t>
      </w:r>
      <w:r w:rsidR="00050BA9">
        <w:rPr>
          <w:rFonts w:ascii="Times New Roman" w:hAnsi="Times New Roman"/>
          <w:sz w:val="24"/>
          <w:szCs w:val="24"/>
        </w:rPr>
        <w:t xml:space="preserve">). </w:t>
      </w:r>
      <w:r w:rsidR="002C54FC">
        <w:rPr>
          <w:rFonts w:ascii="Times New Roman" w:hAnsi="Times New Roman"/>
          <w:sz w:val="24"/>
          <w:szCs w:val="24"/>
        </w:rPr>
        <w:t>In the</w:t>
      </w:r>
      <w:r w:rsidR="00695758">
        <w:rPr>
          <w:rFonts w:ascii="Times New Roman" w:hAnsi="Times New Roman"/>
          <w:sz w:val="24"/>
          <w:szCs w:val="24"/>
        </w:rPr>
        <w:t xml:space="preserve"> context, t</w:t>
      </w:r>
      <w:r w:rsidR="00050BA9" w:rsidRPr="006B0B75">
        <w:rPr>
          <w:rFonts w:ascii="Times New Roman" w:hAnsi="Times New Roman"/>
          <w:sz w:val="24"/>
          <w:szCs w:val="24"/>
        </w:rPr>
        <w:t>he term ‘</w:t>
      </w:r>
      <w:r w:rsidR="00050BA9" w:rsidRPr="00695758">
        <w:rPr>
          <w:rFonts w:ascii="Times New Roman" w:hAnsi="Times New Roman"/>
          <w:i/>
          <w:sz w:val="24"/>
          <w:szCs w:val="24"/>
        </w:rPr>
        <w:t>mediation</w:t>
      </w:r>
      <w:r w:rsidR="00050BA9" w:rsidRPr="006B0B75">
        <w:rPr>
          <w:rFonts w:ascii="Times New Roman" w:hAnsi="Times New Roman"/>
          <w:sz w:val="24"/>
          <w:szCs w:val="24"/>
        </w:rPr>
        <w:t xml:space="preserve">’ </w:t>
      </w:r>
      <w:r w:rsidR="00695758">
        <w:rPr>
          <w:rFonts w:ascii="Times New Roman" w:hAnsi="Times New Roman"/>
          <w:sz w:val="24"/>
          <w:szCs w:val="24"/>
        </w:rPr>
        <w:t>is translated</w:t>
      </w:r>
      <w:r w:rsidR="002D6697">
        <w:rPr>
          <w:rFonts w:ascii="Times New Roman" w:hAnsi="Times New Roman"/>
          <w:sz w:val="24"/>
          <w:szCs w:val="24"/>
        </w:rPr>
        <w:t xml:space="preserve"> as </w:t>
      </w:r>
      <w:r w:rsidR="002C54FC">
        <w:rPr>
          <w:rFonts w:ascii="Times New Roman" w:hAnsi="Times New Roman"/>
          <w:sz w:val="24"/>
          <w:szCs w:val="24"/>
        </w:rPr>
        <w:t xml:space="preserve">the </w:t>
      </w:r>
      <w:r w:rsidR="002D6697">
        <w:rPr>
          <w:rFonts w:ascii="Times New Roman" w:hAnsi="Times New Roman"/>
          <w:sz w:val="24"/>
          <w:szCs w:val="24"/>
        </w:rPr>
        <w:t>process</w:t>
      </w:r>
      <w:r w:rsidR="00050BA9">
        <w:rPr>
          <w:rFonts w:ascii="Times New Roman" w:hAnsi="Times New Roman"/>
          <w:sz w:val="24"/>
          <w:szCs w:val="24"/>
        </w:rPr>
        <w:t xml:space="preserve"> of assisted negotiation.</w:t>
      </w:r>
      <w:r w:rsidR="00050BA9">
        <w:rPr>
          <w:rStyle w:val="FootnoteReference"/>
          <w:rFonts w:ascii="Times New Roman" w:hAnsi="Times New Roman"/>
          <w:sz w:val="24"/>
          <w:szCs w:val="24"/>
        </w:rPr>
        <w:footnoteReference w:id="29"/>
      </w:r>
      <w:r w:rsidR="00050BA9" w:rsidRPr="006B0B75">
        <w:rPr>
          <w:rFonts w:ascii="Times New Roman" w:hAnsi="Times New Roman"/>
          <w:sz w:val="24"/>
          <w:szCs w:val="24"/>
        </w:rPr>
        <w:t xml:space="preserve"> It semantically fits with the selected research case, taking into account that Georgia as a sovereign state is independently engaged in conflict mediation with its</w:t>
      </w:r>
      <w:r w:rsidR="00F91976">
        <w:rPr>
          <w:rFonts w:ascii="Times New Roman" w:hAnsi="Times New Roman"/>
          <w:sz w:val="24"/>
          <w:szCs w:val="24"/>
        </w:rPr>
        <w:t xml:space="preserve"> breakaway regions and seeks</w:t>
      </w:r>
      <w:r w:rsidR="00050BA9" w:rsidRPr="006B0B75">
        <w:rPr>
          <w:rFonts w:ascii="Times New Roman" w:hAnsi="Times New Roman"/>
          <w:sz w:val="24"/>
          <w:szCs w:val="24"/>
        </w:rPr>
        <w:t xml:space="preserve"> external assistance from the EU. It must be underlined that the EU </w:t>
      </w:r>
      <w:r w:rsidR="00FA415C">
        <w:rPr>
          <w:rFonts w:ascii="Times New Roman" w:hAnsi="Times New Roman"/>
          <w:sz w:val="24"/>
          <w:szCs w:val="24"/>
        </w:rPr>
        <w:t>utilizes a set</w:t>
      </w:r>
      <w:r w:rsidR="00F91976">
        <w:rPr>
          <w:rFonts w:ascii="Times New Roman" w:hAnsi="Times New Roman"/>
          <w:sz w:val="24"/>
          <w:szCs w:val="24"/>
        </w:rPr>
        <w:t xml:space="preserve"> of policies </w:t>
      </w:r>
      <w:r w:rsidR="002C54FC">
        <w:rPr>
          <w:rFonts w:ascii="Times New Roman" w:hAnsi="Times New Roman"/>
          <w:sz w:val="24"/>
          <w:szCs w:val="24"/>
        </w:rPr>
        <w:t>that</w:t>
      </w:r>
      <w:r w:rsidR="00050BA9" w:rsidRPr="006B0B75">
        <w:rPr>
          <w:rFonts w:ascii="Times New Roman" w:hAnsi="Times New Roman"/>
          <w:sz w:val="24"/>
          <w:szCs w:val="24"/>
        </w:rPr>
        <w:t xml:space="preserve"> are used for addressing the issues </w:t>
      </w:r>
      <w:r w:rsidR="00FA415C">
        <w:rPr>
          <w:rFonts w:ascii="Times New Roman" w:hAnsi="Times New Roman"/>
          <w:sz w:val="24"/>
          <w:szCs w:val="24"/>
        </w:rPr>
        <w:t>beyond the borders</w:t>
      </w:r>
      <w:r w:rsidR="00050BA9" w:rsidRPr="006B0B75">
        <w:rPr>
          <w:rFonts w:ascii="Times New Roman" w:hAnsi="Times New Roman"/>
          <w:sz w:val="24"/>
          <w:szCs w:val="24"/>
        </w:rPr>
        <w:t xml:space="preserve"> </w:t>
      </w:r>
      <w:r w:rsidR="00FA415C">
        <w:rPr>
          <w:rFonts w:ascii="Times New Roman" w:hAnsi="Times New Roman"/>
          <w:sz w:val="24"/>
          <w:szCs w:val="24"/>
        </w:rPr>
        <w:t xml:space="preserve">through </w:t>
      </w:r>
      <w:proofErr w:type="gramStart"/>
      <w:r w:rsidR="00FA415C">
        <w:rPr>
          <w:rFonts w:ascii="Times New Roman" w:hAnsi="Times New Roman"/>
          <w:sz w:val="24"/>
          <w:szCs w:val="24"/>
        </w:rPr>
        <w:t xml:space="preserve">the </w:t>
      </w:r>
      <w:r w:rsidR="00050BA9" w:rsidRPr="006B0B75">
        <w:rPr>
          <w:rFonts w:ascii="Times New Roman" w:hAnsi="Times New Roman"/>
          <w:sz w:val="24"/>
          <w:szCs w:val="24"/>
        </w:rPr>
        <w:t xml:space="preserve"> CFSP</w:t>
      </w:r>
      <w:proofErr w:type="gramEnd"/>
      <w:r w:rsidR="00050BA9" w:rsidRPr="006B0B75">
        <w:rPr>
          <w:rFonts w:ascii="Times New Roman" w:hAnsi="Times New Roman"/>
          <w:sz w:val="24"/>
          <w:szCs w:val="24"/>
        </w:rPr>
        <w:t xml:space="preserve"> and CSDP</w:t>
      </w:r>
      <w:r w:rsidR="00050BA9">
        <w:rPr>
          <w:rFonts w:ascii="Times New Roman" w:hAnsi="Times New Roman"/>
          <w:sz w:val="24"/>
          <w:szCs w:val="24"/>
        </w:rPr>
        <w:t>.</w:t>
      </w:r>
      <w:r w:rsidR="00050BA9">
        <w:rPr>
          <w:rStyle w:val="FootnoteReference"/>
          <w:rFonts w:ascii="Times New Roman" w:hAnsi="Times New Roman"/>
          <w:sz w:val="24"/>
          <w:szCs w:val="24"/>
        </w:rPr>
        <w:footnoteReference w:id="30"/>
      </w:r>
      <w:r w:rsidR="00F91976">
        <w:rPr>
          <w:rFonts w:ascii="Times New Roman" w:hAnsi="Times New Roman"/>
          <w:sz w:val="24"/>
          <w:szCs w:val="24"/>
        </w:rPr>
        <w:t xml:space="preserve"> Moreover, </w:t>
      </w:r>
      <w:r w:rsidR="000C04BD">
        <w:rPr>
          <w:rFonts w:ascii="Times New Roman" w:hAnsi="Times New Roman"/>
          <w:sz w:val="24"/>
          <w:szCs w:val="24"/>
        </w:rPr>
        <w:t xml:space="preserve">the EU’s conflict mediator </w:t>
      </w:r>
      <w:r w:rsidR="002C54FC">
        <w:rPr>
          <w:rFonts w:ascii="Times New Roman" w:hAnsi="Times New Roman"/>
          <w:sz w:val="24"/>
          <w:szCs w:val="24"/>
        </w:rPr>
        <w:t>significan</w:t>
      </w:r>
      <w:r w:rsidR="00AA0BBD">
        <w:rPr>
          <w:rFonts w:ascii="Times New Roman" w:hAnsi="Times New Roman"/>
          <w:sz w:val="24"/>
          <w:szCs w:val="24"/>
        </w:rPr>
        <w:t xml:space="preserve">tly depends on </w:t>
      </w:r>
      <w:r w:rsidR="002C54FC">
        <w:rPr>
          <w:rFonts w:ascii="Times New Roman" w:hAnsi="Times New Roman"/>
          <w:sz w:val="24"/>
          <w:szCs w:val="24"/>
        </w:rPr>
        <w:t xml:space="preserve">the </w:t>
      </w:r>
      <w:r w:rsidR="000C04BD">
        <w:rPr>
          <w:rFonts w:ascii="Times New Roman" w:hAnsi="Times New Roman"/>
          <w:sz w:val="24"/>
          <w:szCs w:val="24"/>
        </w:rPr>
        <w:t xml:space="preserve">capability to act, </w:t>
      </w:r>
      <w:r w:rsidR="002C54FC">
        <w:rPr>
          <w:rFonts w:ascii="Times New Roman" w:hAnsi="Times New Roman"/>
          <w:sz w:val="24"/>
          <w:szCs w:val="24"/>
        </w:rPr>
        <w:t xml:space="preserve">the capability to fund, </w:t>
      </w:r>
      <w:r w:rsidR="000C04BD">
        <w:rPr>
          <w:rFonts w:ascii="Times New Roman" w:hAnsi="Times New Roman"/>
          <w:sz w:val="24"/>
          <w:szCs w:val="24"/>
        </w:rPr>
        <w:t xml:space="preserve">and </w:t>
      </w:r>
      <w:r w:rsidR="002C54FC">
        <w:rPr>
          <w:rFonts w:ascii="Times New Roman" w:hAnsi="Times New Roman"/>
          <w:sz w:val="24"/>
          <w:szCs w:val="24"/>
        </w:rPr>
        <w:t xml:space="preserve">the </w:t>
      </w:r>
      <w:r w:rsidR="000C04BD">
        <w:rPr>
          <w:rFonts w:ascii="Times New Roman" w:hAnsi="Times New Roman"/>
          <w:sz w:val="24"/>
          <w:szCs w:val="24"/>
        </w:rPr>
        <w:t>capability</w:t>
      </w:r>
      <w:r w:rsidR="00050BA9" w:rsidRPr="006B0B75">
        <w:rPr>
          <w:rFonts w:ascii="Times New Roman" w:hAnsi="Times New Roman"/>
          <w:sz w:val="24"/>
          <w:szCs w:val="24"/>
        </w:rPr>
        <w:t xml:space="preserve"> to cooperate and coo</w:t>
      </w:r>
      <w:r w:rsidR="00050BA9">
        <w:rPr>
          <w:rFonts w:ascii="Times New Roman" w:hAnsi="Times New Roman"/>
          <w:sz w:val="24"/>
          <w:szCs w:val="24"/>
        </w:rPr>
        <w:t>rdinate.</w:t>
      </w:r>
      <w:r w:rsidR="00050BA9">
        <w:rPr>
          <w:rStyle w:val="FootnoteReference"/>
          <w:rFonts w:ascii="Times New Roman" w:hAnsi="Times New Roman"/>
          <w:sz w:val="24"/>
          <w:szCs w:val="24"/>
        </w:rPr>
        <w:footnoteReference w:id="31"/>
      </w:r>
    </w:p>
    <w:p w:rsidR="00050BA9" w:rsidRPr="006B0B75" w:rsidRDefault="00050BA9" w:rsidP="006C762C">
      <w:pPr>
        <w:spacing w:line="360" w:lineRule="auto"/>
        <w:jc w:val="both"/>
        <w:rPr>
          <w:rFonts w:ascii="Times New Roman" w:hAnsi="Times New Roman"/>
          <w:sz w:val="24"/>
          <w:szCs w:val="24"/>
        </w:rPr>
      </w:pPr>
      <w:r w:rsidRPr="006B0B75">
        <w:rPr>
          <w:rFonts w:ascii="Times New Roman" w:hAnsi="Times New Roman"/>
          <w:sz w:val="24"/>
          <w:szCs w:val="24"/>
        </w:rPr>
        <w:t xml:space="preserve">There is no single mechanism for </w:t>
      </w:r>
      <w:r w:rsidR="002C54FC">
        <w:rPr>
          <w:rFonts w:ascii="Times New Roman" w:hAnsi="Times New Roman"/>
          <w:sz w:val="24"/>
          <w:szCs w:val="24"/>
        </w:rPr>
        <w:t>assess</w:t>
      </w:r>
      <w:r w:rsidR="00AA0BBD">
        <w:rPr>
          <w:rFonts w:ascii="Times New Roman" w:hAnsi="Times New Roman"/>
          <w:sz w:val="24"/>
          <w:szCs w:val="24"/>
        </w:rPr>
        <w:t>ment</w:t>
      </w:r>
      <w:r w:rsidRPr="006B0B75">
        <w:rPr>
          <w:rFonts w:ascii="Times New Roman" w:hAnsi="Times New Roman"/>
          <w:sz w:val="24"/>
          <w:szCs w:val="24"/>
        </w:rPr>
        <w:t xml:space="preserve"> of </w:t>
      </w:r>
      <w:r w:rsidR="00AA0BBD">
        <w:rPr>
          <w:rFonts w:ascii="Times New Roman" w:hAnsi="Times New Roman"/>
          <w:sz w:val="24"/>
          <w:szCs w:val="24"/>
        </w:rPr>
        <w:t xml:space="preserve">the </w:t>
      </w:r>
      <w:r w:rsidRPr="000F5177">
        <w:rPr>
          <w:rFonts w:ascii="Times New Roman" w:hAnsi="Times New Roman"/>
          <w:i/>
          <w:sz w:val="24"/>
          <w:szCs w:val="24"/>
        </w:rPr>
        <w:t>conflict mediation success</w:t>
      </w:r>
      <w:r w:rsidR="00F91976">
        <w:rPr>
          <w:rFonts w:ascii="Times New Roman" w:hAnsi="Times New Roman"/>
          <w:sz w:val="24"/>
          <w:szCs w:val="24"/>
        </w:rPr>
        <w:t>. Although, some</w:t>
      </w:r>
      <w:r w:rsidRPr="006B0B75">
        <w:rPr>
          <w:rFonts w:ascii="Times New Roman" w:hAnsi="Times New Roman"/>
          <w:sz w:val="24"/>
          <w:szCs w:val="24"/>
        </w:rPr>
        <w:t xml:space="preserve"> scholars </w:t>
      </w:r>
      <w:r>
        <w:rPr>
          <w:rFonts w:ascii="Times New Roman" w:hAnsi="Times New Roman"/>
          <w:sz w:val="24"/>
          <w:szCs w:val="24"/>
        </w:rPr>
        <w:t>(</w:t>
      </w:r>
      <w:r w:rsidRPr="00EE110E">
        <w:rPr>
          <w:rFonts w:ascii="Times New Roman" w:hAnsi="Times New Roman"/>
          <w:i/>
          <w:sz w:val="24"/>
          <w:szCs w:val="24"/>
        </w:rPr>
        <w:t>Hopmann 2006, Frazier&amp;Dixon 2009</w:t>
      </w:r>
      <w:r>
        <w:rPr>
          <w:rFonts w:ascii="Times New Roman" w:hAnsi="Times New Roman"/>
          <w:sz w:val="24"/>
          <w:szCs w:val="24"/>
        </w:rPr>
        <w:t>)</w:t>
      </w:r>
      <w:r w:rsidRPr="006B0B75">
        <w:rPr>
          <w:rFonts w:ascii="Times New Roman" w:hAnsi="Times New Roman"/>
          <w:sz w:val="24"/>
          <w:szCs w:val="24"/>
        </w:rPr>
        <w:t xml:space="preserve"> </w:t>
      </w:r>
      <w:r w:rsidR="00077F70">
        <w:rPr>
          <w:rFonts w:ascii="Times New Roman" w:hAnsi="Times New Roman"/>
          <w:sz w:val="24"/>
          <w:szCs w:val="24"/>
        </w:rPr>
        <w:t xml:space="preserve">note that </w:t>
      </w:r>
      <w:r w:rsidRPr="006B0B75">
        <w:rPr>
          <w:rFonts w:ascii="Times New Roman" w:hAnsi="Times New Roman"/>
          <w:sz w:val="24"/>
          <w:szCs w:val="24"/>
        </w:rPr>
        <w:t xml:space="preserve">the outcome of the mediation is usually defined by relatable concepts such </w:t>
      </w:r>
      <w:r w:rsidR="00F91976">
        <w:rPr>
          <w:rFonts w:ascii="Times New Roman" w:hAnsi="Times New Roman"/>
          <w:sz w:val="24"/>
          <w:szCs w:val="24"/>
        </w:rPr>
        <w:t xml:space="preserve">as </w:t>
      </w:r>
      <w:r w:rsidRPr="006B0B75">
        <w:rPr>
          <w:rFonts w:ascii="Times New Roman" w:hAnsi="Times New Roman"/>
          <w:sz w:val="24"/>
          <w:szCs w:val="24"/>
        </w:rPr>
        <w:t>jus</w:t>
      </w:r>
      <w:r>
        <w:rPr>
          <w:rFonts w:ascii="Times New Roman" w:hAnsi="Times New Roman"/>
          <w:sz w:val="24"/>
          <w:szCs w:val="24"/>
        </w:rPr>
        <w:t>tice, fairness, stability,</w:t>
      </w:r>
      <w:r w:rsidR="00077F70">
        <w:rPr>
          <w:rFonts w:ascii="Times New Roman" w:hAnsi="Times New Roman"/>
          <w:sz w:val="24"/>
          <w:szCs w:val="24"/>
        </w:rPr>
        <w:t xml:space="preserve"> </w:t>
      </w:r>
      <w:proofErr w:type="gramStart"/>
      <w:r w:rsidR="00077F70">
        <w:rPr>
          <w:rFonts w:ascii="Times New Roman" w:hAnsi="Times New Roman"/>
          <w:sz w:val="24"/>
          <w:szCs w:val="24"/>
        </w:rPr>
        <w:t>consensus</w:t>
      </w:r>
      <w:proofErr w:type="gramEnd"/>
      <w:r>
        <w:rPr>
          <w:rFonts w:ascii="Times New Roman" w:hAnsi="Times New Roman"/>
          <w:sz w:val="24"/>
          <w:szCs w:val="24"/>
        </w:rPr>
        <w:t>.</w:t>
      </w:r>
      <w:r>
        <w:rPr>
          <w:rStyle w:val="FootnoteReference"/>
          <w:rFonts w:ascii="Times New Roman" w:hAnsi="Times New Roman"/>
          <w:sz w:val="24"/>
          <w:szCs w:val="24"/>
        </w:rPr>
        <w:footnoteReference w:id="32"/>
      </w:r>
      <w:r>
        <w:rPr>
          <w:rFonts w:ascii="Times New Roman" w:hAnsi="Times New Roman"/>
          <w:sz w:val="24"/>
          <w:szCs w:val="24"/>
        </w:rPr>
        <w:t xml:space="preserve"> </w:t>
      </w:r>
      <w:r w:rsidRPr="006B0B75">
        <w:rPr>
          <w:rFonts w:ascii="Times New Roman" w:hAnsi="Times New Roman"/>
          <w:sz w:val="24"/>
          <w:szCs w:val="24"/>
        </w:rPr>
        <w:t xml:space="preserve">The </w:t>
      </w:r>
      <w:r w:rsidR="000264EF">
        <w:rPr>
          <w:rFonts w:ascii="Times New Roman" w:hAnsi="Times New Roman"/>
          <w:sz w:val="24"/>
          <w:szCs w:val="24"/>
        </w:rPr>
        <w:t>mediation success requires</w:t>
      </w:r>
      <w:r w:rsidRPr="006B0B75">
        <w:rPr>
          <w:rFonts w:ascii="Times New Roman" w:hAnsi="Times New Roman"/>
          <w:sz w:val="24"/>
          <w:szCs w:val="24"/>
        </w:rPr>
        <w:t xml:space="preserve"> distinguishing of </w:t>
      </w:r>
      <w:r w:rsidR="00F91976">
        <w:rPr>
          <w:rFonts w:ascii="Times New Roman" w:hAnsi="Times New Roman"/>
          <w:sz w:val="24"/>
          <w:szCs w:val="24"/>
        </w:rPr>
        <w:t xml:space="preserve">the </w:t>
      </w:r>
      <w:r w:rsidRPr="006B0B75">
        <w:rPr>
          <w:rFonts w:ascii="Times New Roman" w:hAnsi="Times New Roman"/>
          <w:sz w:val="24"/>
          <w:szCs w:val="24"/>
        </w:rPr>
        <w:t>mediation process</w:t>
      </w:r>
      <w:r w:rsidR="000264EF">
        <w:rPr>
          <w:rFonts w:ascii="Times New Roman" w:hAnsi="Times New Roman"/>
          <w:sz w:val="24"/>
          <w:szCs w:val="24"/>
        </w:rPr>
        <w:t xml:space="preserve"> itself</w:t>
      </w:r>
      <w:r w:rsidRPr="006B0B75">
        <w:rPr>
          <w:rFonts w:ascii="Times New Roman" w:hAnsi="Times New Roman"/>
          <w:sz w:val="24"/>
          <w:szCs w:val="24"/>
        </w:rPr>
        <w:t xml:space="preserve"> and the outcome</w:t>
      </w:r>
      <w:r w:rsidR="000264EF">
        <w:rPr>
          <w:rFonts w:ascii="Times New Roman" w:hAnsi="Times New Roman"/>
          <w:sz w:val="24"/>
          <w:szCs w:val="24"/>
        </w:rPr>
        <w:t xml:space="preserve"> of this process,</w:t>
      </w:r>
      <w:r w:rsidRPr="006B0B75">
        <w:rPr>
          <w:rFonts w:ascii="Times New Roman" w:hAnsi="Times New Roman"/>
          <w:sz w:val="24"/>
          <w:szCs w:val="24"/>
        </w:rPr>
        <w:t xml:space="preserve"> as two separate aspects of</w:t>
      </w:r>
      <w:r w:rsidR="00981074">
        <w:rPr>
          <w:rFonts w:ascii="Times New Roman" w:hAnsi="Times New Roman"/>
          <w:sz w:val="24"/>
          <w:szCs w:val="24"/>
        </w:rPr>
        <w:t xml:space="preserve"> the conflict mediation</w:t>
      </w:r>
      <w:r>
        <w:rPr>
          <w:rFonts w:ascii="Times New Roman" w:hAnsi="Times New Roman"/>
          <w:sz w:val="24"/>
          <w:szCs w:val="24"/>
        </w:rPr>
        <w:t>.</w:t>
      </w:r>
      <w:r>
        <w:rPr>
          <w:rStyle w:val="FootnoteReference"/>
          <w:rFonts w:ascii="Times New Roman" w:hAnsi="Times New Roman"/>
          <w:sz w:val="24"/>
          <w:szCs w:val="24"/>
        </w:rPr>
        <w:footnoteReference w:id="33"/>
      </w:r>
      <w:r>
        <w:rPr>
          <w:rFonts w:ascii="Times New Roman" w:hAnsi="Times New Roman"/>
          <w:sz w:val="24"/>
          <w:szCs w:val="24"/>
        </w:rPr>
        <w:t xml:space="preserve"> </w:t>
      </w:r>
      <w:r w:rsidRPr="006B0B75">
        <w:rPr>
          <w:rFonts w:ascii="Times New Roman" w:hAnsi="Times New Roman"/>
          <w:sz w:val="24"/>
          <w:szCs w:val="24"/>
        </w:rPr>
        <w:t xml:space="preserve">In this regard, the process is understood as </w:t>
      </w:r>
      <w:r w:rsidR="00F91976">
        <w:rPr>
          <w:rFonts w:ascii="Times New Roman" w:hAnsi="Times New Roman"/>
          <w:sz w:val="24"/>
          <w:szCs w:val="24"/>
        </w:rPr>
        <w:t xml:space="preserve">an </w:t>
      </w:r>
      <w:r w:rsidRPr="006B0B75">
        <w:rPr>
          <w:rFonts w:ascii="Times New Roman" w:hAnsi="Times New Roman"/>
          <w:sz w:val="24"/>
          <w:szCs w:val="24"/>
        </w:rPr>
        <w:t xml:space="preserve">interaction between the actors which takes place on </w:t>
      </w:r>
      <w:r w:rsidR="00F91976">
        <w:rPr>
          <w:rFonts w:ascii="Times New Roman" w:hAnsi="Times New Roman"/>
          <w:sz w:val="24"/>
          <w:szCs w:val="24"/>
        </w:rPr>
        <w:t xml:space="preserve">the </w:t>
      </w:r>
      <w:r w:rsidRPr="006B0B75">
        <w:rPr>
          <w:rFonts w:ascii="Times New Roman" w:hAnsi="Times New Roman"/>
          <w:sz w:val="24"/>
          <w:szCs w:val="24"/>
        </w:rPr>
        <w:t>negotiation table, while outcome refers to the result of the mediation which can be achi</w:t>
      </w:r>
      <w:r>
        <w:rPr>
          <w:rFonts w:ascii="Times New Roman" w:hAnsi="Times New Roman"/>
          <w:sz w:val="24"/>
          <w:szCs w:val="24"/>
        </w:rPr>
        <w:t>eved</w:t>
      </w:r>
      <w:r w:rsidR="00981074">
        <w:rPr>
          <w:rFonts w:ascii="Times New Roman" w:hAnsi="Times New Roman"/>
          <w:sz w:val="24"/>
          <w:szCs w:val="24"/>
        </w:rPr>
        <w:t xml:space="preserve"> fully, to some degree</w:t>
      </w:r>
      <w:r>
        <w:rPr>
          <w:rFonts w:ascii="Times New Roman" w:hAnsi="Times New Roman"/>
          <w:sz w:val="24"/>
          <w:szCs w:val="24"/>
        </w:rPr>
        <w:t xml:space="preserve"> or</w:t>
      </w:r>
      <w:r w:rsidR="00981074">
        <w:rPr>
          <w:rFonts w:ascii="Times New Roman" w:hAnsi="Times New Roman"/>
          <w:sz w:val="24"/>
          <w:szCs w:val="24"/>
        </w:rPr>
        <w:t xml:space="preserve"> not at all</w:t>
      </w:r>
      <w:r>
        <w:rPr>
          <w:rFonts w:ascii="Times New Roman" w:hAnsi="Times New Roman"/>
          <w:sz w:val="24"/>
          <w:szCs w:val="24"/>
        </w:rPr>
        <w:t>.</w:t>
      </w:r>
      <w:r>
        <w:rPr>
          <w:rStyle w:val="FootnoteReference"/>
          <w:rFonts w:ascii="Times New Roman" w:hAnsi="Times New Roman"/>
          <w:sz w:val="24"/>
          <w:szCs w:val="24"/>
        </w:rPr>
        <w:footnoteReference w:id="34"/>
      </w:r>
      <w:r w:rsidR="00F91976">
        <w:rPr>
          <w:rFonts w:ascii="Times New Roman" w:hAnsi="Times New Roman"/>
          <w:sz w:val="24"/>
          <w:szCs w:val="24"/>
        </w:rPr>
        <w:t xml:space="preserve"> The outcome of </w:t>
      </w:r>
      <w:r w:rsidR="001E0340">
        <w:rPr>
          <w:rFonts w:ascii="Times New Roman" w:hAnsi="Times New Roman"/>
          <w:sz w:val="24"/>
          <w:szCs w:val="24"/>
        </w:rPr>
        <w:t xml:space="preserve">the </w:t>
      </w:r>
      <w:r w:rsidRPr="006B0B75">
        <w:rPr>
          <w:rFonts w:ascii="Times New Roman" w:hAnsi="Times New Roman"/>
          <w:sz w:val="24"/>
          <w:szCs w:val="24"/>
        </w:rPr>
        <w:t xml:space="preserve">mediation </w:t>
      </w:r>
      <w:r w:rsidR="001E0340">
        <w:rPr>
          <w:rFonts w:ascii="Times New Roman" w:hAnsi="Times New Roman"/>
          <w:sz w:val="24"/>
          <w:szCs w:val="24"/>
        </w:rPr>
        <w:t xml:space="preserve">process </w:t>
      </w:r>
      <w:r w:rsidRPr="006B0B75">
        <w:rPr>
          <w:rFonts w:ascii="Times New Roman" w:hAnsi="Times New Roman"/>
          <w:sz w:val="24"/>
          <w:szCs w:val="24"/>
        </w:rPr>
        <w:t xml:space="preserve">plays </w:t>
      </w:r>
      <w:r w:rsidR="002C54FC">
        <w:rPr>
          <w:rFonts w:ascii="Times New Roman" w:hAnsi="Times New Roman"/>
          <w:sz w:val="24"/>
          <w:szCs w:val="24"/>
        </w:rPr>
        <w:t xml:space="preserve">a </w:t>
      </w:r>
      <w:r w:rsidR="001E0340">
        <w:rPr>
          <w:rFonts w:ascii="Times New Roman" w:hAnsi="Times New Roman"/>
          <w:sz w:val="24"/>
          <w:szCs w:val="24"/>
        </w:rPr>
        <w:t>crucial</w:t>
      </w:r>
      <w:r w:rsidRPr="006B0B75">
        <w:rPr>
          <w:rFonts w:ascii="Times New Roman" w:hAnsi="Times New Roman"/>
          <w:sz w:val="24"/>
          <w:szCs w:val="24"/>
        </w:rPr>
        <w:t xml:space="preserve"> role in </w:t>
      </w:r>
      <w:r w:rsidR="00F91976">
        <w:rPr>
          <w:rFonts w:ascii="Times New Roman" w:hAnsi="Times New Roman"/>
          <w:sz w:val="24"/>
          <w:szCs w:val="24"/>
        </w:rPr>
        <w:t xml:space="preserve">the determination of </w:t>
      </w:r>
      <w:r w:rsidRPr="006B0B75">
        <w:rPr>
          <w:rFonts w:ascii="Times New Roman" w:hAnsi="Times New Roman"/>
          <w:sz w:val="24"/>
          <w:szCs w:val="24"/>
        </w:rPr>
        <w:t>participant satisfaction</w:t>
      </w:r>
      <w:r w:rsidR="001E0340">
        <w:rPr>
          <w:rFonts w:ascii="Times New Roman" w:hAnsi="Times New Roman"/>
          <w:sz w:val="24"/>
          <w:szCs w:val="24"/>
        </w:rPr>
        <w:t xml:space="preserve"> levels</w:t>
      </w:r>
      <w:r w:rsidRPr="006B0B75">
        <w:rPr>
          <w:rFonts w:ascii="Times New Roman" w:hAnsi="Times New Roman"/>
          <w:sz w:val="24"/>
          <w:szCs w:val="24"/>
        </w:rPr>
        <w:t>. If the particip</w:t>
      </w:r>
      <w:r w:rsidR="001E0340">
        <w:rPr>
          <w:rFonts w:ascii="Times New Roman" w:hAnsi="Times New Roman"/>
          <w:sz w:val="24"/>
          <w:szCs w:val="24"/>
        </w:rPr>
        <w:t xml:space="preserve">ants are satisfied </w:t>
      </w:r>
      <w:r w:rsidR="002C54FC">
        <w:rPr>
          <w:rFonts w:ascii="Times New Roman" w:hAnsi="Times New Roman"/>
          <w:sz w:val="24"/>
          <w:szCs w:val="24"/>
        </w:rPr>
        <w:t xml:space="preserve">with </w:t>
      </w:r>
      <w:r w:rsidR="001E0340">
        <w:rPr>
          <w:rFonts w:ascii="Times New Roman" w:hAnsi="Times New Roman"/>
          <w:sz w:val="24"/>
          <w:szCs w:val="24"/>
        </w:rPr>
        <w:t xml:space="preserve">both </w:t>
      </w:r>
      <w:r w:rsidR="002C54FC">
        <w:rPr>
          <w:rFonts w:ascii="Times New Roman" w:hAnsi="Times New Roman"/>
          <w:sz w:val="24"/>
          <w:szCs w:val="24"/>
        </w:rPr>
        <w:t xml:space="preserve">the mediation process and the </w:t>
      </w:r>
      <w:r w:rsidRPr="006B0B75">
        <w:rPr>
          <w:rFonts w:ascii="Times New Roman" w:hAnsi="Times New Roman"/>
          <w:sz w:val="24"/>
          <w:szCs w:val="24"/>
        </w:rPr>
        <w:t>outcome</w:t>
      </w:r>
      <w:r w:rsidR="001E0340">
        <w:rPr>
          <w:rFonts w:ascii="Times New Roman" w:hAnsi="Times New Roman"/>
          <w:sz w:val="24"/>
          <w:szCs w:val="24"/>
        </w:rPr>
        <w:t>,</w:t>
      </w:r>
      <w:r w:rsidRPr="006B0B75">
        <w:rPr>
          <w:rFonts w:ascii="Times New Roman" w:hAnsi="Times New Roman"/>
          <w:sz w:val="24"/>
          <w:szCs w:val="24"/>
        </w:rPr>
        <w:t xml:space="preserve"> it can be suggested th</w:t>
      </w:r>
      <w:r w:rsidR="002C54FC">
        <w:rPr>
          <w:rFonts w:ascii="Times New Roman" w:hAnsi="Times New Roman"/>
          <w:sz w:val="24"/>
          <w:szCs w:val="24"/>
        </w:rPr>
        <w:t xml:space="preserve">at </w:t>
      </w:r>
      <w:r w:rsidR="001E0340">
        <w:rPr>
          <w:rFonts w:ascii="Times New Roman" w:hAnsi="Times New Roman"/>
          <w:sz w:val="24"/>
          <w:szCs w:val="24"/>
        </w:rPr>
        <w:t xml:space="preserve">conflict mediation is </w:t>
      </w:r>
      <w:r>
        <w:rPr>
          <w:rFonts w:ascii="Times New Roman" w:hAnsi="Times New Roman"/>
          <w:sz w:val="24"/>
          <w:szCs w:val="24"/>
        </w:rPr>
        <w:t>success</w:t>
      </w:r>
      <w:r w:rsidR="001E0340">
        <w:rPr>
          <w:rFonts w:ascii="Times New Roman" w:hAnsi="Times New Roman"/>
          <w:sz w:val="24"/>
          <w:szCs w:val="24"/>
        </w:rPr>
        <w:t>ful</w:t>
      </w:r>
      <w:r>
        <w:rPr>
          <w:rFonts w:ascii="Times New Roman" w:hAnsi="Times New Roman"/>
          <w:sz w:val="24"/>
          <w:szCs w:val="24"/>
        </w:rPr>
        <w:t>.</w:t>
      </w:r>
      <w:r>
        <w:rPr>
          <w:rStyle w:val="FootnoteReference"/>
          <w:rFonts w:ascii="Times New Roman" w:hAnsi="Times New Roman"/>
          <w:sz w:val="24"/>
          <w:szCs w:val="24"/>
        </w:rPr>
        <w:footnoteReference w:id="35"/>
      </w:r>
      <w:r w:rsidRPr="006B0B75">
        <w:rPr>
          <w:rFonts w:ascii="Times New Roman" w:hAnsi="Times New Roman"/>
          <w:sz w:val="24"/>
          <w:szCs w:val="24"/>
        </w:rPr>
        <w:t xml:space="preserve"> Althoug</w:t>
      </w:r>
      <w:r w:rsidR="00F91976">
        <w:rPr>
          <w:rFonts w:ascii="Times New Roman" w:hAnsi="Times New Roman"/>
          <w:sz w:val="24"/>
          <w:szCs w:val="24"/>
        </w:rPr>
        <w:t>h</w:t>
      </w:r>
      <w:r w:rsidR="002C54FC">
        <w:rPr>
          <w:rFonts w:ascii="Times New Roman" w:hAnsi="Times New Roman"/>
          <w:sz w:val="24"/>
          <w:szCs w:val="24"/>
        </w:rPr>
        <w:t>, the</w:t>
      </w:r>
      <w:r w:rsidR="00F91976">
        <w:rPr>
          <w:rFonts w:ascii="Times New Roman" w:hAnsi="Times New Roman"/>
          <w:sz w:val="24"/>
          <w:szCs w:val="24"/>
        </w:rPr>
        <w:t xml:space="preserve"> </w:t>
      </w:r>
      <w:r w:rsidRPr="006B0B75">
        <w:rPr>
          <w:rFonts w:ascii="Times New Roman" w:hAnsi="Times New Roman"/>
          <w:sz w:val="24"/>
          <w:szCs w:val="24"/>
        </w:rPr>
        <w:t xml:space="preserve">satisfaction of the involved parties is </w:t>
      </w:r>
      <w:r w:rsidR="001E0340">
        <w:rPr>
          <w:rFonts w:ascii="Times New Roman" w:hAnsi="Times New Roman"/>
          <w:sz w:val="24"/>
          <w:szCs w:val="24"/>
        </w:rPr>
        <w:t xml:space="preserve">also </w:t>
      </w:r>
      <w:r w:rsidRPr="006B0B75">
        <w:rPr>
          <w:rFonts w:ascii="Times New Roman" w:hAnsi="Times New Roman"/>
          <w:sz w:val="24"/>
          <w:szCs w:val="24"/>
        </w:rPr>
        <w:t>subjectiv</w:t>
      </w:r>
      <w:r w:rsidR="001E0340">
        <w:rPr>
          <w:rFonts w:ascii="Times New Roman" w:hAnsi="Times New Roman"/>
          <w:sz w:val="24"/>
          <w:szCs w:val="24"/>
        </w:rPr>
        <w:t xml:space="preserve">e and carries personal character. </w:t>
      </w:r>
      <w:r w:rsidR="00F91976">
        <w:rPr>
          <w:rFonts w:ascii="Times New Roman" w:hAnsi="Times New Roman"/>
          <w:sz w:val="24"/>
          <w:szCs w:val="24"/>
        </w:rPr>
        <w:t>The o</w:t>
      </w:r>
      <w:r w:rsidRPr="006B0B75">
        <w:rPr>
          <w:rFonts w:ascii="Times New Roman" w:hAnsi="Times New Roman"/>
          <w:sz w:val="24"/>
          <w:szCs w:val="24"/>
        </w:rPr>
        <w:t xml:space="preserve">bservable indicator such as behavioral change of the involved parties delivers </w:t>
      </w:r>
      <w:r w:rsidR="001E0340">
        <w:rPr>
          <w:rFonts w:ascii="Times New Roman" w:hAnsi="Times New Roman"/>
          <w:sz w:val="24"/>
          <w:szCs w:val="24"/>
        </w:rPr>
        <w:t xml:space="preserve">relatively </w:t>
      </w:r>
      <w:r w:rsidRPr="006B0B75">
        <w:rPr>
          <w:rFonts w:ascii="Times New Roman" w:hAnsi="Times New Roman"/>
          <w:sz w:val="24"/>
          <w:szCs w:val="24"/>
        </w:rPr>
        <w:t xml:space="preserve">measurable results. It can be observed by conflict transformation from violent to </w:t>
      </w:r>
      <w:r w:rsidR="00F91976">
        <w:rPr>
          <w:rFonts w:ascii="Times New Roman" w:hAnsi="Times New Roman"/>
          <w:sz w:val="24"/>
          <w:szCs w:val="24"/>
        </w:rPr>
        <w:t xml:space="preserve">the </w:t>
      </w:r>
      <w:r w:rsidRPr="006B0B75">
        <w:rPr>
          <w:rFonts w:ascii="Times New Roman" w:hAnsi="Times New Roman"/>
          <w:sz w:val="24"/>
          <w:szCs w:val="24"/>
        </w:rPr>
        <w:t xml:space="preserve">non-violent, </w:t>
      </w:r>
      <w:r w:rsidR="00DF79AF">
        <w:rPr>
          <w:rFonts w:ascii="Times New Roman" w:hAnsi="Times New Roman"/>
          <w:sz w:val="24"/>
          <w:szCs w:val="24"/>
        </w:rPr>
        <w:t xml:space="preserve">signing of the </w:t>
      </w:r>
      <w:r w:rsidRPr="006B0B75">
        <w:rPr>
          <w:rFonts w:ascii="Times New Roman" w:hAnsi="Times New Roman"/>
          <w:sz w:val="24"/>
          <w:szCs w:val="24"/>
        </w:rPr>
        <w:t>ceasefir</w:t>
      </w:r>
      <w:r w:rsidR="00DF79AF">
        <w:rPr>
          <w:rFonts w:ascii="Times New Roman" w:hAnsi="Times New Roman"/>
          <w:sz w:val="24"/>
          <w:szCs w:val="24"/>
        </w:rPr>
        <w:t>e agr</w:t>
      </w:r>
      <w:r w:rsidR="002C54FC">
        <w:rPr>
          <w:rFonts w:ascii="Times New Roman" w:hAnsi="Times New Roman"/>
          <w:sz w:val="24"/>
          <w:szCs w:val="24"/>
        </w:rPr>
        <w:t xml:space="preserve">eement, </w:t>
      </w:r>
      <w:r w:rsidR="00DF79AF">
        <w:rPr>
          <w:rFonts w:ascii="Times New Roman" w:hAnsi="Times New Roman"/>
          <w:sz w:val="24"/>
          <w:szCs w:val="24"/>
        </w:rPr>
        <w:t>or</w:t>
      </w:r>
      <w:r w:rsidR="00F61B83">
        <w:rPr>
          <w:rFonts w:ascii="Times New Roman" w:hAnsi="Times New Roman"/>
          <w:sz w:val="24"/>
          <w:szCs w:val="24"/>
        </w:rPr>
        <w:t xml:space="preserve"> joining the negotiations.</w:t>
      </w:r>
      <w:r>
        <w:rPr>
          <w:rStyle w:val="FootnoteReference"/>
          <w:rFonts w:ascii="Times New Roman" w:hAnsi="Times New Roman"/>
          <w:sz w:val="24"/>
          <w:szCs w:val="24"/>
        </w:rPr>
        <w:footnoteReference w:id="36"/>
      </w:r>
      <w:r w:rsidRPr="006B0B75">
        <w:rPr>
          <w:rFonts w:ascii="Times New Roman" w:hAnsi="Times New Roman"/>
          <w:sz w:val="24"/>
          <w:szCs w:val="24"/>
        </w:rPr>
        <w:t xml:space="preserve"> Conflict mediation between the de-facto authorities and the original patron state is specifically challenging due to its complex nature. The conflict mediator is dealing </w:t>
      </w:r>
      <w:r w:rsidRPr="006B0B75">
        <w:rPr>
          <w:rFonts w:ascii="Times New Roman" w:hAnsi="Times New Roman"/>
          <w:sz w:val="24"/>
          <w:szCs w:val="24"/>
        </w:rPr>
        <w:lastRenderedPageBreak/>
        <w:t>with legal and political aspects of the confro</w:t>
      </w:r>
      <w:r w:rsidR="00F91976">
        <w:rPr>
          <w:rFonts w:ascii="Times New Roman" w:hAnsi="Times New Roman"/>
          <w:sz w:val="24"/>
          <w:szCs w:val="24"/>
        </w:rPr>
        <w:t>nting parties and offers its</w:t>
      </w:r>
      <w:r w:rsidRPr="006B0B75">
        <w:rPr>
          <w:rFonts w:ascii="Times New Roman" w:hAnsi="Times New Roman"/>
          <w:sz w:val="24"/>
          <w:szCs w:val="24"/>
        </w:rPr>
        <w:t xml:space="preserve"> perspective of defining the statehood, reco</w:t>
      </w:r>
      <w:r>
        <w:rPr>
          <w:rFonts w:ascii="Times New Roman" w:hAnsi="Times New Roman"/>
          <w:sz w:val="24"/>
          <w:szCs w:val="24"/>
        </w:rPr>
        <w:t xml:space="preserve">gnition, peace, and </w:t>
      </w:r>
      <w:r w:rsidR="00DF79AF">
        <w:rPr>
          <w:rFonts w:ascii="Times New Roman" w:hAnsi="Times New Roman"/>
          <w:sz w:val="24"/>
          <w:szCs w:val="24"/>
        </w:rPr>
        <w:t xml:space="preserve">the </w:t>
      </w:r>
      <w:r w:rsidR="002C54FC">
        <w:rPr>
          <w:rFonts w:ascii="Times New Roman" w:hAnsi="Times New Roman"/>
          <w:sz w:val="24"/>
          <w:szCs w:val="24"/>
        </w:rPr>
        <w:t xml:space="preserve">status </w:t>
      </w:r>
      <w:r>
        <w:rPr>
          <w:rFonts w:ascii="Times New Roman" w:hAnsi="Times New Roman"/>
          <w:sz w:val="24"/>
          <w:szCs w:val="24"/>
        </w:rPr>
        <w:t>quo.</w:t>
      </w:r>
      <w:r>
        <w:rPr>
          <w:rStyle w:val="FootnoteReference"/>
          <w:rFonts w:ascii="Times New Roman" w:hAnsi="Times New Roman"/>
          <w:sz w:val="24"/>
          <w:szCs w:val="24"/>
        </w:rPr>
        <w:footnoteReference w:id="37"/>
      </w:r>
    </w:p>
    <w:p w:rsidR="00050BA9" w:rsidRPr="006B0B75" w:rsidRDefault="00050BA9" w:rsidP="006C762C">
      <w:pPr>
        <w:spacing w:line="360" w:lineRule="auto"/>
        <w:jc w:val="both"/>
        <w:rPr>
          <w:rFonts w:ascii="Times New Roman" w:hAnsi="Times New Roman"/>
          <w:sz w:val="24"/>
          <w:szCs w:val="24"/>
        </w:rPr>
      </w:pPr>
      <w:r w:rsidRPr="006B0B75">
        <w:rPr>
          <w:rFonts w:ascii="Times New Roman" w:hAnsi="Times New Roman"/>
          <w:sz w:val="24"/>
          <w:szCs w:val="24"/>
        </w:rPr>
        <w:t>There is a solid body of</w:t>
      </w:r>
      <w:r w:rsidR="002C54FC">
        <w:rPr>
          <w:rFonts w:ascii="Times New Roman" w:hAnsi="Times New Roman"/>
          <w:sz w:val="24"/>
          <w:szCs w:val="24"/>
        </w:rPr>
        <w:t xml:space="preserve"> scholarly literature that addresses</w:t>
      </w:r>
      <w:r w:rsidRPr="006B0B75">
        <w:rPr>
          <w:rFonts w:ascii="Times New Roman" w:hAnsi="Times New Roman"/>
          <w:sz w:val="24"/>
          <w:szCs w:val="24"/>
        </w:rPr>
        <w:t xml:space="preserve"> the concept of </w:t>
      </w:r>
      <w:r w:rsidRPr="000F5177">
        <w:rPr>
          <w:rFonts w:ascii="Times New Roman" w:hAnsi="Times New Roman"/>
          <w:i/>
          <w:sz w:val="24"/>
          <w:szCs w:val="24"/>
        </w:rPr>
        <w:t>de-facto states</w:t>
      </w:r>
      <w:r w:rsidRPr="006B0B75">
        <w:rPr>
          <w:rFonts w:ascii="Times New Roman" w:hAnsi="Times New Roman"/>
          <w:sz w:val="24"/>
          <w:szCs w:val="24"/>
        </w:rPr>
        <w:t xml:space="preserve"> or </w:t>
      </w:r>
      <w:r w:rsidRPr="000F5177">
        <w:rPr>
          <w:rFonts w:ascii="Times New Roman" w:hAnsi="Times New Roman"/>
          <w:i/>
          <w:sz w:val="24"/>
          <w:szCs w:val="24"/>
        </w:rPr>
        <w:t xml:space="preserve">contested states </w:t>
      </w:r>
      <w:r>
        <w:rPr>
          <w:rFonts w:ascii="Times New Roman" w:hAnsi="Times New Roman"/>
          <w:sz w:val="24"/>
          <w:szCs w:val="24"/>
        </w:rPr>
        <w:t>(</w:t>
      </w:r>
      <w:r w:rsidRPr="00EE110E">
        <w:rPr>
          <w:rFonts w:ascii="Times New Roman" w:hAnsi="Times New Roman"/>
          <w:i/>
          <w:sz w:val="24"/>
          <w:szCs w:val="24"/>
        </w:rPr>
        <w:t>Caspersen 20</w:t>
      </w:r>
      <w:r w:rsidRPr="00EE110E">
        <w:rPr>
          <w:rFonts w:ascii="Times New Roman" w:hAnsi="Times New Roman"/>
          <w:i/>
          <w:color w:val="000000"/>
          <w:sz w:val="24"/>
          <w:szCs w:val="24"/>
        </w:rPr>
        <w:t xml:space="preserve">12, Broers 2013, </w:t>
      </w:r>
      <w:proofErr w:type="gramStart"/>
      <w:r w:rsidRPr="00EE110E">
        <w:rPr>
          <w:rFonts w:ascii="Times New Roman" w:hAnsi="Times New Roman"/>
          <w:i/>
          <w:color w:val="000000"/>
          <w:sz w:val="24"/>
          <w:szCs w:val="24"/>
        </w:rPr>
        <w:t>Berg</w:t>
      </w:r>
      <w:proofErr w:type="gramEnd"/>
      <w:r w:rsidRPr="00EE110E">
        <w:rPr>
          <w:rFonts w:ascii="Times New Roman" w:hAnsi="Times New Roman"/>
          <w:i/>
          <w:color w:val="000000"/>
          <w:sz w:val="24"/>
          <w:szCs w:val="24"/>
        </w:rPr>
        <w:t>&amp;Pegg 2018</w:t>
      </w:r>
      <w:r>
        <w:rPr>
          <w:rFonts w:ascii="Times New Roman" w:hAnsi="Times New Roman"/>
          <w:color w:val="000000"/>
          <w:sz w:val="24"/>
          <w:szCs w:val="24"/>
        </w:rPr>
        <w:t>).</w:t>
      </w:r>
      <w:r w:rsidRPr="006B0B75">
        <w:rPr>
          <w:rFonts w:ascii="Times New Roman" w:hAnsi="Times New Roman"/>
          <w:sz w:val="24"/>
          <w:szCs w:val="24"/>
        </w:rPr>
        <w:t xml:space="preserve"> </w:t>
      </w:r>
      <w:r w:rsidR="00F91976">
        <w:rPr>
          <w:rFonts w:ascii="Times New Roman" w:hAnsi="Times New Roman"/>
          <w:sz w:val="24"/>
          <w:szCs w:val="24"/>
        </w:rPr>
        <w:t>T</w:t>
      </w:r>
      <w:r w:rsidR="00562FF0">
        <w:rPr>
          <w:rFonts w:ascii="Times New Roman" w:hAnsi="Times New Roman"/>
          <w:sz w:val="24"/>
          <w:szCs w:val="24"/>
        </w:rPr>
        <w:t>he topics</w:t>
      </w:r>
      <w:r w:rsidRPr="006B0B75">
        <w:rPr>
          <w:rFonts w:ascii="Times New Roman" w:hAnsi="Times New Roman"/>
          <w:sz w:val="24"/>
          <w:szCs w:val="24"/>
        </w:rPr>
        <w:t xml:space="preserve"> </w:t>
      </w:r>
      <w:r w:rsidR="002C54FC">
        <w:rPr>
          <w:rFonts w:ascii="Times New Roman" w:hAnsi="Times New Roman"/>
          <w:sz w:val="24"/>
          <w:szCs w:val="24"/>
        </w:rPr>
        <w:t xml:space="preserve">gained </w:t>
      </w:r>
      <w:r w:rsidRPr="006B0B75">
        <w:rPr>
          <w:rFonts w:ascii="Times New Roman" w:hAnsi="Times New Roman"/>
          <w:sz w:val="24"/>
          <w:szCs w:val="24"/>
        </w:rPr>
        <w:t>popularity among the researchers in recent years, after the emergence of the contested stat</w:t>
      </w:r>
      <w:r w:rsidR="00562FF0">
        <w:rPr>
          <w:rFonts w:ascii="Times New Roman" w:hAnsi="Times New Roman"/>
          <w:sz w:val="24"/>
          <w:szCs w:val="24"/>
        </w:rPr>
        <w:t>es across the Post-Soviet space, namely:</w:t>
      </w:r>
      <w:r w:rsidRPr="006B0B75">
        <w:rPr>
          <w:rFonts w:ascii="Times New Roman" w:hAnsi="Times New Roman"/>
          <w:sz w:val="24"/>
          <w:szCs w:val="24"/>
        </w:rPr>
        <w:t xml:space="preserve"> Abkhazia, South Ossetia, Nag</w:t>
      </w:r>
      <w:r w:rsidR="00F61B83">
        <w:rPr>
          <w:rFonts w:ascii="Times New Roman" w:hAnsi="Times New Roman"/>
          <w:sz w:val="24"/>
          <w:szCs w:val="24"/>
        </w:rPr>
        <w:t xml:space="preserve">orno-Karabakh, </w:t>
      </w:r>
      <w:r w:rsidR="00562FF0">
        <w:rPr>
          <w:rFonts w:ascii="Times New Roman" w:hAnsi="Times New Roman"/>
          <w:sz w:val="24"/>
          <w:szCs w:val="24"/>
        </w:rPr>
        <w:t xml:space="preserve">and </w:t>
      </w:r>
      <w:r w:rsidR="00F61B83">
        <w:rPr>
          <w:rFonts w:ascii="Times New Roman" w:hAnsi="Times New Roman"/>
          <w:sz w:val="24"/>
          <w:szCs w:val="24"/>
        </w:rPr>
        <w:t>Transnistria</w:t>
      </w:r>
      <w:r w:rsidRPr="006B0B75">
        <w:rPr>
          <w:rFonts w:ascii="Times New Roman" w:hAnsi="Times New Roman"/>
          <w:sz w:val="24"/>
          <w:szCs w:val="24"/>
        </w:rPr>
        <w:t xml:space="preserve">. </w:t>
      </w:r>
      <w:r w:rsidR="00F91976">
        <w:rPr>
          <w:rFonts w:ascii="Times New Roman" w:hAnsi="Times New Roman"/>
          <w:sz w:val="24"/>
          <w:szCs w:val="24"/>
        </w:rPr>
        <w:t xml:space="preserve">A number of </w:t>
      </w:r>
      <w:r w:rsidRPr="006B0B75">
        <w:rPr>
          <w:rFonts w:ascii="Times New Roman" w:hAnsi="Times New Roman"/>
          <w:sz w:val="24"/>
          <w:szCs w:val="24"/>
        </w:rPr>
        <w:t>scholars trace the internal political and socio-economic processes within the de-facto states and examine the formation of t</w:t>
      </w:r>
      <w:r>
        <w:rPr>
          <w:rFonts w:ascii="Times New Roman" w:hAnsi="Times New Roman"/>
          <w:sz w:val="24"/>
          <w:szCs w:val="24"/>
        </w:rPr>
        <w:t>he priorities of these entities (</w:t>
      </w:r>
      <w:r w:rsidRPr="00EE110E">
        <w:rPr>
          <w:rFonts w:ascii="Times New Roman" w:hAnsi="Times New Roman"/>
          <w:i/>
          <w:sz w:val="24"/>
          <w:szCs w:val="24"/>
        </w:rPr>
        <w:t>Caspersen 20</w:t>
      </w:r>
      <w:r w:rsidRPr="00EE110E">
        <w:rPr>
          <w:rFonts w:ascii="Times New Roman" w:hAnsi="Times New Roman"/>
          <w:i/>
          <w:color w:val="000000"/>
          <w:sz w:val="24"/>
          <w:szCs w:val="24"/>
        </w:rPr>
        <w:t>12, Broers 2013</w:t>
      </w:r>
      <w:r w:rsidRPr="006B0B75">
        <w:rPr>
          <w:rFonts w:ascii="Times New Roman" w:hAnsi="Times New Roman"/>
          <w:sz w:val="24"/>
          <w:szCs w:val="24"/>
        </w:rPr>
        <w:t xml:space="preserve">). </w:t>
      </w:r>
      <w:r w:rsidR="00337199">
        <w:rPr>
          <w:rFonts w:ascii="Times New Roman" w:hAnsi="Times New Roman"/>
          <w:sz w:val="24"/>
          <w:szCs w:val="24"/>
        </w:rPr>
        <w:t xml:space="preserve">The scholars comprehensively studied the </w:t>
      </w:r>
      <w:r w:rsidRPr="006B0B75">
        <w:rPr>
          <w:rFonts w:ascii="Times New Roman" w:hAnsi="Times New Roman"/>
          <w:sz w:val="24"/>
          <w:szCs w:val="24"/>
        </w:rPr>
        <w:t>external relations of the contested states and their interaction</w:t>
      </w:r>
      <w:r w:rsidR="00337199">
        <w:rPr>
          <w:rFonts w:ascii="Times New Roman" w:hAnsi="Times New Roman"/>
          <w:sz w:val="24"/>
          <w:szCs w:val="24"/>
        </w:rPr>
        <w:t xml:space="preserve">s with international and regional actors </w:t>
      </w:r>
      <w:r>
        <w:rPr>
          <w:rFonts w:ascii="Times New Roman" w:hAnsi="Times New Roman"/>
          <w:sz w:val="24"/>
          <w:szCs w:val="24"/>
        </w:rPr>
        <w:t>(</w:t>
      </w:r>
      <w:r w:rsidRPr="00EE110E">
        <w:rPr>
          <w:rFonts w:ascii="Times New Roman" w:hAnsi="Times New Roman"/>
          <w:i/>
          <w:sz w:val="24"/>
          <w:szCs w:val="24"/>
        </w:rPr>
        <w:t>Caspersen 20</w:t>
      </w:r>
      <w:r w:rsidRPr="00EE110E">
        <w:rPr>
          <w:rFonts w:ascii="Times New Roman" w:hAnsi="Times New Roman"/>
          <w:i/>
          <w:color w:val="000000"/>
          <w:sz w:val="24"/>
          <w:szCs w:val="24"/>
        </w:rPr>
        <w:t xml:space="preserve">15, Comai 2017, </w:t>
      </w:r>
      <w:proofErr w:type="gramStart"/>
      <w:r w:rsidRPr="00EE110E">
        <w:rPr>
          <w:rFonts w:ascii="Times New Roman" w:hAnsi="Times New Roman"/>
          <w:i/>
          <w:color w:val="000000"/>
          <w:sz w:val="24"/>
          <w:szCs w:val="24"/>
        </w:rPr>
        <w:t>Newman</w:t>
      </w:r>
      <w:proofErr w:type="gramEnd"/>
      <w:r w:rsidRPr="00EE110E">
        <w:rPr>
          <w:rFonts w:ascii="Times New Roman" w:hAnsi="Times New Roman"/>
          <w:i/>
          <w:color w:val="000000"/>
          <w:sz w:val="24"/>
          <w:szCs w:val="24"/>
        </w:rPr>
        <w:t>&amp;Visoka 2018</w:t>
      </w:r>
      <w:r>
        <w:rPr>
          <w:rFonts w:ascii="Times New Roman" w:hAnsi="Times New Roman"/>
          <w:color w:val="000000"/>
          <w:sz w:val="24"/>
          <w:szCs w:val="24"/>
        </w:rPr>
        <w:t>).</w:t>
      </w:r>
      <w:r w:rsidRPr="006B0B75">
        <w:rPr>
          <w:rFonts w:ascii="Times New Roman" w:hAnsi="Times New Roman"/>
          <w:sz w:val="24"/>
          <w:szCs w:val="24"/>
        </w:rPr>
        <w:t xml:space="preserve"> The focus of this research is sh</w:t>
      </w:r>
      <w:r w:rsidR="00F91976">
        <w:rPr>
          <w:rFonts w:ascii="Times New Roman" w:hAnsi="Times New Roman"/>
          <w:sz w:val="24"/>
          <w:szCs w:val="24"/>
        </w:rPr>
        <w:t xml:space="preserve">ifted towards the exploration </w:t>
      </w:r>
      <w:r w:rsidR="007204E1">
        <w:rPr>
          <w:rFonts w:ascii="Times New Roman" w:hAnsi="Times New Roman"/>
          <w:sz w:val="24"/>
          <w:szCs w:val="24"/>
        </w:rPr>
        <w:t>engagement between the various actors and the contested regions from the prism of non-recognition.</w:t>
      </w:r>
      <w:r w:rsidRPr="006B0B75">
        <w:rPr>
          <w:rFonts w:ascii="Times New Roman" w:hAnsi="Times New Roman"/>
          <w:sz w:val="24"/>
          <w:szCs w:val="24"/>
        </w:rPr>
        <w:t xml:space="preserve"> This particular approach, as well as the notion of recognition and non-recognition of de-facto states by regional powers</w:t>
      </w:r>
      <w:r w:rsidR="00F91976">
        <w:rPr>
          <w:rFonts w:ascii="Times New Roman" w:hAnsi="Times New Roman"/>
          <w:sz w:val="24"/>
          <w:szCs w:val="24"/>
        </w:rPr>
        <w:t>,</w:t>
      </w:r>
      <w:r w:rsidRPr="006B0B75">
        <w:rPr>
          <w:rFonts w:ascii="Times New Roman" w:hAnsi="Times New Roman"/>
          <w:sz w:val="24"/>
          <w:szCs w:val="24"/>
        </w:rPr>
        <w:t xml:space="preserve"> has </w:t>
      </w:r>
      <w:r w:rsidR="007204E1">
        <w:rPr>
          <w:rFonts w:ascii="Times New Roman" w:hAnsi="Times New Roman"/>
          <w:sz w:val="24"/>
          <w:szCs w:val="24"/>
        </w:rPr>
        <w:t xml:space="preserve">been addressed by many prominent </w:t>
      </w:r>
      <w:proofErr w:type="gramStart"/>
      <w:r w:rsidR="007204E1">
        <w:rPr>
          <w:rFonts w:ascii="Times New Roman" w:hAnsi="Times New Roman"/>
          <w:sz w:val="24"/>
          <w:szCs w:val="24"/>
        </w:rPr>
        <w:t>scholars</w:t>
      </w:r>
      <w:r>
        <w:rPr>
          <w:rFonts w:ascii="Times New Roman" w:hAnsi="Times New Roman"/>
          <w:sz w:val="24"/>
          <w:szCs w:val="24"/>
        </w:rPr>
        <w:t>(</w:t>
      </w:r>
      <w:proofErr w:type="gramEnd"/>
      <w:r w:rsidRPr="00EE110E">
        <w:rPr>
          <w:rFonts w:ascii="Times New Roman" w:hAnsi="Times New Roman"/>
          <w:i/>
          <w:sz w:val="24"/>
          <w:szCs w:val="24"/>
        </w:rPr>
        <w:t>Berg&amp;Toomla 2009, Coggins 20</w:t>
      </w:r>
      <w:r w:rsidRPr="00EE110E">
        <w:rPr>
          <w:rFonts w:ascii="Times New Roman" w:hAnsi="Times New Roman"/>
          <w:i/>
          <w:color w:val="000000"/>
          <w:sz w:val="24"/>
          <w:szCs w:val="24"/>
        </w:rPr>
        <w:t>14, Relitz 2016, Toomla 2016</w:t>
      </w:r>
      <w:r>
        <w:rPr>
          <w:rFonts w:ascii="Times New Roman" w:hAnsi="Times New Roman"/>
          <w:color w:val="000000"/>
          <w:sz w:val="24"/>
          <w:szCs w:val="24"/>
        </w:rPr>
        <w:t>).</w:t>
      </w:r>
      <w:r>
        <w:rPr>
          <w:rFonts w:ascii="Times New Roman" w:hAnsi="Times New Roman"/>
          <w:sz w:val="24"/>
          <w:szCs w:val="24"/>
        </w:rPr>
        <w:t xml:space="preserve"> </w:t>
      </w:r>
      <w:r w:rsidR="005E2F38">
        <w:rPr>
          <w:rFonts w:ascii="Times New Roman" w:hAnsi="Times New Roman"/>
          <w:sz w:val="24"/>
          <w:szCs w:val="24"/>
        </w:rPr>
        <w:t>The common</w:t>
      </w:r>
      <w:r w:rsidRPr="006B0B75">
        <w:rPr>
          <w:rFonts w:ascii="Times New Roman" w:hAnsi="Times New Roman"/>
          <w:sz w:val="24"/>
          <w:szCs w:val="24"/>
        </w:rPr>
        <w:t xml:space="preserve"> view on the nature of the de-facto states</w:t>
      </w:r>
      <w:r w:rsidR="005E2F38">
        <w:rPr>
          <w:rFonts w:ascii="Times New Roman" w:hAnsi="Times New Roman"/>
          <w:sz w:val="24"/>
          <w:szCs w:val="24"/>
        </w:rPr>
        <w:t xml:space="preserve"> relies on isolation, socio-economi</w:t>
      </w:r>
      <w:r w:rsidR="002C54FC">
        <w:rPr>
          <w:rFonts w:ascii="Times New Roman" w:hAnsi="Times New Roman"/>
          <w:sz w:val="24"/>
          <w:szCs w:val="24"/>
        </w:rPr>
        <w:t>c dependence on external actors, and lack of transpa</w:t>
      </w:r>
      <w:r w:rsidR="005E2F38">
        <w:rPr>
          <w:rFonts w:ascii="Times New Roman" w:hAnsi="Times New Roman"/>
          <w:sz w:val="24"/>
          <w:szCs w:val="24"/>
        </w:rPr>
        <w:t>rency</w:t>
      </w:r>
      <w:r w:rsidRPr="00D94D9F">
        <w:rPr>
          <w:rFonts w:ascii="Times New Roman" w:hAnsi="Times New Roman"/>
          <w:sz w:val="24"/>
          <w:szCs w:val="24"/>
        </w:rPr>
        <w:t>.</w:t>
      </w:r>
      <w:r w:rsidRPr="00D94D9F">
        <w:rPr>
          <w:rStyle w:val="FootnoteReference"/>
          <w:rFonts w:ascii="Times New Roman" w:hAnsi="Times New Roman"/>
          <w:sz w:val="24"/>
          <w:szCs w:val="24"/>
        </w:rPr>
        <w:footnoteReference w:id="38"/>
      </w:r>
      <w:r w:rsidRPr="00D94D9F">
        <w:rPr>
          <w:rFonts w:ascii="Times New Roman" w:hAnsi="Times New Roman"/>
          <w:sz w:val="24"/>
          <w:szCs w:val="24"/>
        </w:rPr>
        <w:t xml:space="preserve"> </w:t>
      </w:r>
      <w:r w:rsidR="005E2F38">
        <w:rPr>
          <w:rFonts w:ascii="Times New Roman" w:hAnsi="Times New Roman"/>
          <w:sz w:val="24"/>
          <w:szCs w:val="24"/>
        </w:rPr>
        <w:t>The d</w:t>
      </w:r>
      <w:r w:rsidRPr="006B0B75">
        <w:rPr>
          <w:rFonts w:ascii="Times New Roman" w:hAnsi="Times New Roman"/>
          <w:sz w:val="24"/>
          <w:szCs w:val="24"/>
        </w:rPr>
        <w:t xml:space="preserve">e-facto states are </w:t>
      </w:r>
      <w:r w:rsidR="00944E94">
        <w:rPr>
          <w:rFonts w:ascii="Times New Roman" w:hAnsi="Times New Roman"/>
          <w:sz w:val="24"/>
          <w:szCs w:val="24"/>
        </w:rPr>
        <w:t xml:space="preserve">often </w:t>
      </w:r>
      <w:r w:rsidRPr="006B0B75">
        <w:rPr>
          <w:rFonts w:ascii="Times New Roman" w:hAnsi="Times New Roman"/>
          <w:sz w:val="24"/>
          <w:szCs w:val="24"/>
        </w:rPr>
        <w:t>characterized by unstable</w:t>
      </w:r>
      <w:r w:rsidR="00944E94">
        <w:rPr>
          <w:rFonts w:ascii="Times New Roman" w:hAnsi="Times New Roman"/>
          <w:sz w:val="24"/>
          <w:szCs w:val="24"/>
        </w:rPr>
        <w:t xml:space="preserve"> political</w:t>
      </w:r>
      <w:r w:rsidRPr="006B0B75">
        <w:rPr>
          <w:rFonts w:ascii="Times New Roman" w:hAnsi="Times New Roman"/>
          <w:sz w:val="24"/>
          <w:szCs w:val="24"/>
        </w:rPr>
        <w:t xml:space="preserve"> leadership which exercise</w:t>
      </w:r>
      <w:r w:rsidR="00F91976">
        <w:rPr>
          <w:rFonts w:ascii="Times New Roman" w:hAnsi="Times New Roman"/>
          <w:sz w:val="24"/>
          <w:szCs w:val="24"/>
        </w:rPr>
        <w:t>s</w:t>
      </w:r>
      <w:r w:rsidRPr="006B0B75">
        <w:rPr>
          <w:rFonts w:ascii="Times New Roman" w:hAnsi="Times New Roman"/>
          <w:sz w:val="24"/>
          <w:szCs w:val="24"/>
        </w:rPr>
        <w:t xml:space="preserve"> control over the claimed territory and fail</w:t>
      </w:r>
      <w:r w:rsidR="00F91976">
        <w:rPr>
          <w:rFonts w:ascii="Times New Roman" w:hAnsi="Times New Roman"/>
          <w:sz w:val="24"/>
          <w:szCs w:val="24"/>
        </w:rPr>
        <w:t>s</w:t>
      </w:r>
      <w:r w:rsidRPr="006B0B75">
        <w:rPr>
          <w:rFonts w:ascii="Times New Roman" w:hAnsi="Times New Roman"/>
          <w:sz w:val="24"/>
          <w:szCs w:val="24"/>
        </w:rPr>
        <w:t xml:space="preserve"> to gain international recognit</w:t>
      </w:r>
      <w:r>
        <w:rPr>
          <w:rFonts w:ascii="Times New Roman" w:hAnsi="Times New Roman"/>
          <w:sz w:val="24"/>
          <w:szCs w:val="24"/>
        </w:rPr>
        <w:t>ion.</w:t>
      </w:r>
      <w:r>
        <w:rPr>
          <w:rStyle w:val="FootnoteReference"/>
          <w:rFonts w:ascii="Times New Roman" w:hAnsi="Times New Roman"/>
          <w:sz w:val="24"/>
          <w:szCs w:val="24"/>
        </w:rPr>
        <w:footnoteReference w:id="39"/>
      </w:r>
      <w:r>
        <w:rPr>
          <w:rFonts w:ascii="Times New Roman" w:hAnsi="Times New Roman"/>
          <w:sz w:val="24"/>
          <w:szCs w:val="24"/>
        </w:rPr>
        <w:t xml:space="preserve"> </w:t>
      </w:r>
      <w:r w:rsidRPr="006B0B75">
        <w:rPr>
          <w:rFonts w:ascii="Times New Roman" w:hAnsi="Times New Roman"/>
          <w:sz w:val="24"/>
          <w:szCs w:val="24"/>
        </w:rPr>
        <w:t xml:space="preserve">Moreover, </w:t>
      </w:r>
      <w:r w:rsidR="00944E94">
        <w:rPr>
          <w:rFonts w:ascii="Times New Roman" w:hAnsi="Times New Roman"/>
          <w:sz w:val="24"/>
          <w:szCs w:val="24"/>
        </w:rPr>
        <w:t xml:space="preserve">the </w:t>
      </w:r>
      <w:r w:rsidRPr="006B0B75">
        <w:rPr>
          <w:rFonts w:ascii="Times New Roman" w:hAnsi="Times New Roman"/>
          <w:sz w:val="24"/>
          <w:szCs w:val="24"/>
        </w:rPr>
        <w:t>de-facto leadership is perceived as leg</w:t>
      </w:r>
      <w:r w:rsidR="00944E94">
        <w:rPr>
          <w:rFonts w:ascii="Times New Roman" w:hAnsi="Times New Roman"/>
          <w:sz w:val="24"/>
          <w:szCs w:val="24"/>
        </w:rPr>
        <w:t xml:space="preserve">itimate by its local population which </w:t>
      </w:r>
      <w:r w:rsidRPr="006B0B75">
        <w:rPr>
          <w:rFonts w:ascii="Times New Roman" w:hAnsi="Times New Roman"/>
          <w:sz w:val="24"/>
          <w:szCs w:val="24"/>
        </w:rPr>
        <w:t>contribute</w:t>
      </w:r>
      <w:r w:rsidR="00944E94">
        <w:rPr>
          <w:rFonts w:ascii="Times New Roman" w:hAnsi="Times New Roman"/>
          <w:sz w:val="24"/>
          <w:szCs w:val="24"/>
        </w:rPr>
        <w:t>s</w:t>
      </w:r>
      <w:r w:rsidRPr="006B0B75">
        <w:rPr>
          <w:rFonts w:ascii="Times New Roman" w:hAnsi="Times New Roman"/>
          <w:sz w:val="24"/>
          <w:szCs w:val="24"/>
        </w:rPr>
        <w:t xml:space="preserve"> to </w:t>
      </w:r>
      <w:r w:rsidR="00944E94">
        <w:rPr>
          <w:rFonts w:ascii="Times New Roman" w:hAnsi="Times New Roman"/>
          <w:sz w:val="24"/>
          <w:szCs w:val="24"/>
        </w:rPr>
        <w:t xml:space="preserve">the </w:t>
      </w:r>
      <w:r w:rsidRPr="006B0B75">
        <w:rPr>
          <w:rFonts w:ascii="Times New Roman" w:hAnsi="Times New Roman"/>
          <w:sz w:val="24"/>
          <w:szCs w:val="24"/>
        </w:rPr>
        <w:t>capacity-building and establishment of the basic state institutions.</w:t>
      </w:r>
      <w:r>
        <w:rPr>
          <w:rStyle w:val="FootnoteReference"/>
          <w:rFonts w:ascii="Times New Roman" w:hAnsi="Times New Roman"/>
          <w:sz w:val="24"/>
          <w:szCs w:val="24"/>
        </w:rPr>
        <w:footnoteReference w:id="40"/>
      </w:r>
      <w:r w:rsidRPr="006B0B75">
        <w:rPr>
          <w:rFonts w:ascii="Times New Roman" w:hAnsi="Times New Roman"/>
          <w:b/>
          <w:sz w:val="24"/>
          <w:szCs w:val="24"/>
        </w:rPr>
        <w:t xml:space="preserve"> </w:t>
      </w:r>
      <w:r w:rsidRPr="006B0B75">
        <w:rPr>
          <w:rFonts w:ascii="Times New Roman" w:hAnsi="Times New Roman"/>
          <w:sz w:val="24"/>
          <w:szCs w:val="24"/>
        </w:rPr>
        <w:t xml:space="preserve">Thus, </w:t>
      </w:r>
      <w:r w:rsidR="002C54FC">
        <w:rPr>
          <w:rFonts w:ascii="Times New Roman" w:hAnsi="Times New Roman"/>
          <w:sz w:val="24"/>
          <w:szCs w:val="24"/>
        </w:rPr>
        <w:t>it</w:t>
      </w:r>
      <w:r w:rsidR="00944E94">
        <w:rPr>
          <w:rFonts w:ascii="Times New Roman" w:hAnsi="Times New Roman"/>
          <w:sz w:val="24"/>
          <w:szCs w:val="24"/>
        </w:rPr>
        <w:t xml:space="preserve"> is possible to outline </w:t>
      </w:r>
      <w:r w:rsidRPr="006B0B75">
        <w:rPr>
          <w:rFonts w:ascii="Times New Roman" w:hAnsi="Times New Roman"/>
          <w:sz w:val="24"/>
          <w:szCs w:val="24"/>
        </w:rPr>
        <w:t xml:space="preserve">two main criteria of </w:t>
      </w:r>
      <w:r w:rsidR="00F91976">
        <w:rPr>
          <w:rFonts w:ascii="Times New Roman" w:hAnsi="Times New Roman"/>
          <w:sz w:val="24"/>
          <w:szCs w:val="24"/>
        </w:rPr>
        <w:t>the de-facto state</w:t>
      </w:r>
      <w:r w:rsidR="00944E94">
        <w:rPr>
          <w:rFonts w:ascii="Times New Roman" w:hAnsi="Times New Roman"/>
          <w:sz w:val="24"/>
          <w:szCs w:val="24"/>
        </w:rPr>
        <w:t>:</w:t>
      </w:r>
      <w:r w:rsidR="00F91976">
        <w:rPr>
          <w:rFonts w:ascii="Times New Roman" w:hAnsi="Times New Roman"/>
          <w:sz w:val="24"/>
          <w:szCs w:val="24"/>
        </w:rPr>
        <w:t xml:space="preserve"> </w:t>
      </w:r>
      <w:r w:rsidR="00944E94">
        <w:rPr>
          <w:rFonts w:ascii="Times New Roman" w:hAnsi="Times New Roman"/>
          <w:sz w:val="24"/>
          <w:szCs w:val="24"/>
        </w:rPr>
        <w:t>p</w:t>
      </w:r>
      <w:r w:rsidRPr="006B0B75">
        <w:rPr>
          <w:rFonts w:ascii="Times New Roman" w:hAnsi="Times New Roman"/>
          <w:sz w:val="24"/>
          <w:szCs w:val="24"/>
        </w:rPr>
        <w:t xml:space="preserve">olitical leadership </w:t>
      </w:r>
      <w:r w:rsidR="00944E94">
        <w:rPr>
          <w:rFonts w:ascii="Times New Roman" w:hAnsi="Times New Roman"/>
          <w:sz w:val="24"/>
          <w:szCs w:val="24"/>
        </w:rPr>
        <w:t xml:space="preserve">which governs the territory and </w:t>
      </w:r>
      <w:r w:rsidR="002C54FC">
        <w:rPr>
          <w:rFonts w:ascii="Times New Roman" w:hAnsi="Times New Roman"/>
          <w:sz w:val="24"/>
          <w:szCs w:val="24"/>
        </w:rPr>
        <w:t>p</w:t>
      </w:r>
      <w:r w:rsidRPr="006B0B75">
        <w:rPr>
          <w:rFonts w:ascii="Times New Roman" w:hAnsi="Times New Roman"/>
          <w:sz w:val="24"/>
          <w:szCs w:val="24"/>
        </w:rPr>
        <w:t xml:space="preserve">opulation </w:t>
      </w:r>
      <w:r w:rsidR="00944E94">
        <w:rPr>
          <w:rFonts w:ascii="Times New Roman" w:hAnsi="Times New Roman"/>
          <w:sz w:val="24"/>
          <w:szCs w:val="24"/>
        </w:rPr>
        <w:t>which supports the regime in</w:t>
      </w:r>
      <w:r w:rsidR="00F91976">
        <w:rPr>
          <w:rFonts w:ascii="Times New Roman" w:hAnsi="Times New Roman"/>
          <w:sz w:val="24"/>
          <w:szCs w:val="24"/>
        </w:rPr>
        <w:t xml:space="preserve"> </w:t>
      </w:r>
      <w:r w:rsidR="002C54FC">
        <w:rPr>
          <w:rFonts w:ascii="Times New Roman" w:hAnsi="Times New Roman"/>
          <w:sz w:val="24"/>
          <w:szCs w:val="24"/>
        </w:rPr>
        <w:t xml:space="preserve">a </w:t>
      </w:r>
      <w:r w:rsidRPr="006B0B75">
        <w:rPr>
          <w:rFonts w:ascii="Times New Roman" w:hAnsi="Times New Roman"/>
          <w:sz w:val="24"/>
          <w:szCs w:val="24"/>
        </w:rPr>
        <w:t>dura</w:t>
      </w:r>
      <w:r w:rsidR="00F91976">
        <w:rPr>
          <w:rFonts w:ascii="Times New Roman" w:hAnsi="Times New Roman"/>
          <w:sz w:val="24"/>
          <w:szCs w:val="24"/>
        </w:rPr>
        <w:t>ble period</w:t>
      </w:r>
      <w:r w:rsidR="00944E94">
        <w:rPr>
          <w:rFonts w:ascii="Times New Roman" w:hAnsi="Times New Roman"/>
          <w:sz w:val="24"/>
          <w:szCs w:val="24"/>
        </w:rPr>
        <w:t>.</w:t>
      </w:r>
      <w:r>
        <w:rPr>
          <w:rStyle w:val="FootnoteReference"/>
          <w:rFonts w:ascii="Times New Roman" w:hAnsi="Times New Roman"/>
          <w:sz w:val="24"/>
          <w:szCs w:val="24"/>
        </w:rPr>
        <w:footnoteReference w:id="41"/>
      </w:r>
      <w:r>
        <w:rPr>
          <w:rFonts w:ascii="Times New Roman" w:hAnsi="Times New Roman"/>
          <w:sz w:val="24"/>
          <w:szCs w:val="24"/>
        </w:rPr>
        <w:t xml:space="preserve"> </w:t>
      </w:r>
      <w:r w:rsidRPr="006B0B75">
        <w:rPr>
          <w:rFonts w:ascii="Times New Roman" w:hAnsi="Times New Roman"/>
          <w:sz w:val="24"/>
          <w:szCs w:val="24"/>
        </w:rPr>
        <w:t xml:space="preserve">The emergence of the de-facto states in the former Soviet republics is directly linked to </w:t>
      </w:r>
      <w:r w:rsidR="00F91976">
        <w:rPr>
          <w:rFonts w:ascii="Times New Roman" w:hAnsi="Times New Roman"/>
          <w:sz w:val="24"/>
          <w:szCs w:val="24"/>
        </w:rPr>
        <w:t xml:space="preserve">the </w:t>
      </w:r>
      <w:r w:rsidRPr="006B0B75">
        <w:rPr>
          <w:rFonts w:ascii="Times New Roman" w:hAnsi="Times New Roman"/>
          <w:sz w:val="24"/>
          <w:szCs w:val="24"/>
        </w:rPr>
        <w:t xml:space="preserve">notion of </w:t>
      </w:r>
      <w:r w:rsidRPr="000F5177">
        <w:rPr>
          <w:rFonts w:ascii="Times New Roman" w:hAnsi="Times New Roman"/>
          <w:i/>
          <w:sz w:val="24"/>
          <w:szCs w:val="24"/>
        </w:rPr>
        <w:t>frozen conflicts</w:t>
      </w:r>
      <w:r>
        <w:rPr>
          <w:rFonts w:ascii="Times New Roman" w:hAnsi="Times New Roman"/>
          <w:sz w:val="24"/>
          <w:szCs w:val="24"/>
        </w:rPr>
        <w:t xml:space="preserve">. </w:t>
      </w:r>
      <w:r w:rsidR="00234F43">
        <w:rPr>
          <w:rFonts w:ascii="Times New Roman" w:hAnsi="Times New Roman"/>
          <w:sz w:val="24"/>
          <w:szCs w:val="24"/>
        </w:rPr>
        <w:t>According to Nodia (2004): “</w:t>
      </w:r>
      <w:r>
        <w:rPr>
          <w:rFonts w:ascii="Times New Roman" w:hAnsi="Times New Roman"/>
          <w:sz w:val="24"/>
          <w:szCs w:val="24"/>
        </w:rPr>
        <w:t>The f</w:t>
      </w:r>
      <w:r w:rsidRPr="006B0B75">
        <w:rPr>
          <w:rFonts w:ascii="Times New Roman" w:hAnsi="Times New Roman"/>
          <w:sz w:val="24"/>
          <w:szCs w:val="24"/>
        </w:rPr>
        <w:t xml:space="preserve">rozen conflicts in </w:t>
      </w:r>
      <w:r w:rsidR="006E657A">
        <w:rPr>
          <w:rFonts w:ascii="Times New Roman" w:hAnsi="Times New Roman"/>
          <w:sz w:val="24"/>
          <w:szCs w:val="24"/>
        </w:rPr>
        <w:t>this geographical area is a result</w:t>
      </w:r>
      <w:r w:rsidR="00F91976">
        <w:rPr>
          <w:rFonts w:ascii="Times New Roman" w:hAnsi="Times New Roman"/>
          <w:sz w:val="24"/>
          <w:szCs w:val="24"/>
        </w:rPr>
        <w:t xml:space="preserve"> of the ethno</w:t>
      </w:r>
      <w:r w:rsidRPr="006B0B75">
        <w:rPr>
          <w:rFonts w:ascii="Times New Roman" w:hAnsi="Times New Roman"/>
          <w:sz w:val="24"/>
          <w:szCs w:val="24"/>
        </w:rPr>
        <w:t>political conflicts</w:t>
      </w:r>
      <w:r w:rsidR="006E657A">
        <w:rPr>
          <w:rFonts w:ascii="Times New Roman" w:hAnsi="Times New Roman"/>
          <w:sz w:val="24"/>
          <w:szCs w:val="24"/>
        </w:rPr>
        <w:t xml:space="preserve"> from the early 1990s</w:t>
      </w:r>
      <w:r w:rsidRPr="006B0B75">
        <w:rPr>
          <w:rFonts w:ascii="Times New Roman" w:hAnsi="Times New Roman"/>
          <w:sz w:val="24"/>
          <w:szCs w:val="24"/>
        </w:rPr>
        <w:t>. Th</w:t>
      </w:r>
      <w:r w:rsidR="00F91976">
        <w:rPr>
          <w:rFonts w:ascii="Times New Roman" w:hAnsi="Times New Roman"/>
          <w:sz w:val="24"/>
          <w:szCs w:val="24"/>
        </w:rPr>
        <w:t xml:space="preserve">e </w:t>
      </w:r>
      <w:r w:rsidR="002C54FC">
        <w:rPr>
          <w:rFonts w:ascii="Times New Roman" w:hAnsi="Times New Roman"/>
          <w:sz w:val="24"/>
          <w:szCs w:val="24"/>
        </w:rPr>
        <w:t>sec</w:t>
      </w:r>
      <w:r w:rsidR="00AE309B">
        <w:rPr>
          <w:rFonts w:ascii="Times New Roman" w:hAnsi="Times New Roman"/>
          <w:sz w:val="24"/>
          <w:szCs w:val="24"/>
        </w:rPr>
        <w:t>essionist forces</w:t>
      </w:r>
      <w:r w:rsidR="00F91976">
        <w:rPr>
          <w:rFonts w:ascii="Times New Roman" w:hAnsi="Times New Roman"/>
          <w:sz w:val="24"/>
          <w:szCs w:val="24"/>
        </w:rPr>
        <w:t xml:space="preserve"> gained </w:t>
      </w:r>
      <w:r w:rsidRPr="006B0B75">
        <w:rPr>
          <w:rFonts w:ascii="Times New Roman" w:hAnsi="Times New Roman"/>
          <w:sz w:val="24"/>
          <w:szCs w:val="24"/>
        </w:rPr>
        <w:t>permanent co</w:t>
      </w:r>
      <w:r w:rsidR="00AE309B">
        <w:rPr>
          <w:rFonts w:ascii="Times New Roman" w:hAnsi="Times New Roman"/>
          <w:sz w:val="24"/>
          <w:szCs w:val="24"/>
        </w:rPr>
        <w:t>ntrol over the claimed territories</w:t>
      </w:r>
      <w:r w:rsidRPr="006B0B75">
        <w:rPr>
          <w:rFonts w:ascii="Times New Roman" w:hAnsi="Times New Roman"/>
          <w:sz w:val="24"/>
          <w:szCs w:val="24"/>
        </w:rPr>
        <w:t xml:space="preserve"> and separated from the internat</w:t>
      </w:r>
      <w:r>
        <w:rPr>
          <w:rFonts w:ascii="Times New Roman" w:hAnsi="Times New Roman"/>
          <w:sz w:val="24"/>
          <w:szCs w:val="24"/>
        </w:rPr>
        <w:t>ionally recognized patron state.</w:t>
      </w:r>
      <w:r w:rsidR="00234F43">
        <w:rPr>
          <w:rFonts w:ascii="Times New Roman" w:hAnsi="Times New Roman"/>
          <w:sz w:val="24"/>
          <w:szCs w:val="24"/>
        </w:rPr>
        <w:t>”</w:t>
      </w:r>
      <w:r>
        <w:rPr>
          <w:rStyle w:val="FootnoteReference"/>
          <w:rFonts w:ascii="Times New Roman" w:hAnsi="Times New Roman"/>
          <w:sz w:val="24"/>
          <w:szCs w:val="24"/>
        </w:rPr>
        <w:footnoteReference w:id="42"/>
      </w:r>
      <w:r w:rsidR="00AE309B">
        <w:rPr>
          <w:rFonts w:ascii="Times New Roman" w:hAnsi="Times New Roman"/>
          <w:sz w:val="24"/>
          <w:szCs w:val="24"/>
        </w:rPr>
        <w:t xml:space="preserve"> After </w:t>
      </w:r>
      <w:r w:rsidR="00222A0D">
        <w:rPr>
          <w:rFonts w:ascii="Times New Roman" w:hAnsi="Times New Roman"/>
          <w:sz w:val="24"/>
          <w:szCs w:val="24"/>
        </w:rPr>
        <w:t>almost</w:t>
      </w:r>
      <w:r w:rsidR="00AE309B">
        <w:rPr>
          <w:rFonts w:ascii="Times New Roman" w:hAnsi="Times New Roman"/>
          <w:sz w:val="24"/>
          <w:szCs w:val="24"/>
        </w:rPr>
        <w:t xml:space="preserve"> 30 years</w:t>
      </w:r>
      <w:r w:rsidRPr="006B0B75">
        <w:rPr>
          <w:rFonts w:ascii="Times New Roman" w:hAnsi="Times New Roman"/>
          <w:sz w:val="24"/>
          <w:szCs w:val="24"/>
        </w:rPr>
        <w:t xml:space="preserve">, these </w:t>
      </w:r>
      <w:r w:rsidRPr="006B0B75">
        <w:rPr>
          <w:rFonts w:ascii="Times New Roman" w:hAnsi="Times New Roman"/>
          <w:sz w:val="24"/>
          <w:szCs w:val="24"/>
        </w:rPr>
        <w:lastRenderedPageBreak/>
        <w:t>conflicts remain un</w:t>
      </w:r>
      <w:r w:rsidR="00C64E83">
        <w:rPr>
          <w:rFonts w:ascii="Times New Roman" w:hAnsi="Times New Roman"/>
          <w:sz w:val="24"/>
          <w:szCs w:val="24"/>
        </w:rPr>
        <w:t>re</w:t>
      </w:r>
      <w:r w:rsidR="00E95849">
        <w:rPr>
          <w:rFonts w:ascii="Times New Roman" w:hAnsi="Times New Roman"/>
          <w:sz w:val="24"/>
          <w:szCs w:val="24"/>
        </w:rPr>
        <w:t>solved, thus, they can not</w:t>
      </w:r>
      <w:r w:rsidRPr="006B0B75">
        <w:rPr>
          <w:rFonts w:ascii="Times New Roman" w:hAnsi="Times New Roman"/>
          <w:sz w:val="24"/>
          <w:szCs w:val="24"/>
        </w:rPr>
        <w:t xml:space="preserve"> be attributed as </w:t>
      </w:r>
      <w:r w:rsidR="00222A0D">
        <w:rPr>
          <w:rFonts w:ascii="Times New Roman" w:hAnsi="Times New Roman"/>
          <w:sz w:val="24"/>
          <w:szCs w:val="24"/>
        </w:rPr>
        <w:t xml:space="preserve">a </w:t>
      </w:r>
      <w:r w:rsidR="002C54FC">
        <w:rPr>
          <w:rFonts w:ascii="Times New Roman" w:hAnsi="Times New Roman"/>
          <w:sz w:val="24"/>
          <w:szCs w:val="24"/>
        </w:rPr>
        <w:t>temporary phenomenon</w:t>
      </w:r>
      <w:r w:rsidRPr="006B0B75">
        <w:rPr>
          <w:rFonts w:ascii="Times New Roman" w:hAnsi="Times New Roman"/>
          <w:sz w:val="24"/>
          <w:szCs w:val="24"/>
        </w:rPr>
        <w:t>. The notion of ‘</w:t>
      </w:r>
      <w:r w:rsidRPr="005E6178">
        <w:rPr>
          <w:rFonts w:ascii="Times New Roman" w:hAnsi="Times New Roman"/>
          <w:i/>
          <w:sz w:val="24"/>
          <w:szCs w:val="24"/>
        </w:rPr>
        <w:t>frozen</w:t>
      </w:r>
      <w:r w:rsidRPr="006B0B75">
        <w:rPr>
          <w:rFonts w:ascii="Times New Roman" w:hAnsi="Times New Roman"/>
          <w:sz w:val="24"/>
          <w:szCs w:val="24"/>
        </w:rPr>
        <w:t xml:space="preserve">’ </w:t>
      </w:r>
      <w:r w:rsidR="00C64E83">
        <w:rPr>
          <w:rFonts w:ascii="Times New Roman" w:hAnsi="Times New Roman"/>
          <w:sz w:val="24"/>
          <w:szCs w:val="24"/>
        </w:rPr>
        <w:t xml:space="preserve">refer </w:t>
      </w:r>
      <w:r w:rsidRPr="006B0B75">
        <w:rPr>
          <w:rFonts w:ascii="Times New Roman" w:hAnsi="Times New Roman"/>
          <w:sz w:val="24"/>
          <w:szCs w:val="24"/>
        </w:rPr>
        <w:t>to the</w:t>
      </w:r>
      <w:r w:rsidR="00C64E83">
        <w:rPr>
          <w:rFonts w:ascii="Times New Roman" w:hAnsi="Times New Roman"/>
          <w:sz w:val="24"/>
          <w:szCs w:val="24"/>
        </w:rPr>
        <w:t xml:space="preserve"> dynamics of the</w:t>
      </w:r>
      <w:r w:rsidRPr="006B0B75">
        <w:rPr>
          <w:rFonts w:ascii="Times New Roman" w:hAnsi="Times New Roman"/>
          <w:sz w:val="24"/>
          <w:szCs w:val="24"/>
        </w:rPr>
        <w:t xml:space="preserve"> conflict resol</w:t>
      </w:r>
      <w:r>
        <w:rPr>
          <w:rFonts w:ascii="Times New Roman" w:hAnsi="Times New Roman"/>
          <w:sz w:val="24"/>
          <w:szCs w:val="24"/>
        </w:rPr>
        <w:t>ution process.</w:t>
      </w:r>
      <w:r>
        <w:rPr>
          <w:rStyle w:val="FootnoteReference"/>
          <w:rFonts w:ascii="Times New Roman" w:hAnsi="Times New Roman"/>
          <w:sz w:val="24"/>
          <w:szCs w:val="24"/>
        </w:rPr>
        <w:footnoteReference w:id="43"/>
      </w:r>
    </w:p>
    <w:p w:rsidR="00050BA9" w:rsidRPr="006B0B75" w:rsidRDefault="00050BA9" w:rsidP="006C762C">
      <w:pPr>
        <w:spacing w:line="360" w:lineRule="auto"/>
        <w:jc w:val="both"/>
        <w:rPr>
          <w:rFonts w:ascii="Times New Roman" w:hAnsi="Times New Roman"/>
          <w:sz w:val="24"/>
          <w:szCs w:val="24"/>
        </w:rPr>
      </w:pPr>
      <w:r w:rsidRPr="006B0B75">
        <w:rPr>
          <w:rFonts w:ascii="Times New Roman" w:hAnsi="Times New Roman"/>
          <w:sz w:val="24"/>
          <w:szCs w:val="24"/>
        </w:rPr>
        <w:t xml:space="preserve">The scholars outline the </w:t>
      </w:r>
      <w:r w:rsidR="00C64E83">
        <w:rPr>
          <w:rFonts w:ascii="Times New Roman" w:hAnsi="Times New Roman"/>
          <w:sz w:val="24"/>
          <w:szCs w:val="24"/>
        </w:rPr>
        <w:t xml:space="preserve">main </w:t>
      </w:r>
      <w:r w:rsidRPr="006B0B75">
        <w:rPr>
          <w:rFonts w:ascii="Times New Roman" w:hAnsi="Times New Roman"/>
          <w:sz w:val="24"/>
          <w:szCs w:val="24"/>
        </w:rPr>
        <w:t xml:space="preserve">characteristics </w:t>
      </w:r>
      <w:r w:rsidR="002C54FC">
        <w:rPr>
          <w:rFonts w:ascii="Times New Roman" w:hAnsi="Times New Roman"/>
          <w:sz w:val="24"/>
          <w:szCs w:val="24"/>
        </w:rPr>
        <w:t xml:space="preserve">of </w:t>
      </w:r>
      <w:r w:rsidRPr="006B0B75">
        <w:rPr>
          <w:rFonts w:ascii="Times New Roman" w:hAnsi="Times New Roman"/>
          <w:sz w:val="24"/>
          <w:szCs w:val="24"/>
        </w:rPr>
        <w:t>frozen conflicts:</w:t>
      </w:r>
      <w:r>
        <w:rPr>
          <w:rStyle w:val="FootnoteReference"/>
          <w:rFonts w:ascii="Times New Roman" w:hAnsi="Times New Roman"/>
          <w:sz w:val="24"/>
          <w:szCs w:val="24"/>
        </w:rPr>
        <w:footnoteReference w:id="44"/>
      </w:r>
    </w:p>
    <w:p w:rsidR="00050BA9" w:rsidRPr="006B0B75" w:rsidRDefault="00050BA9" w:rsidP="006C762C">
      <w:pPr>
        <w:pStyle w:val="ListParagraph"/>
        <w:numPr>
          <w:ilvl w:val="0"/>
          <w:numId w:val="2"/>
        </w:numPr>
        <w:spacing w:line="360" w:lineRule="auto"/>
        <w:jc w:val="both"/>
        <w:rPr>
          <w:rFonts w:ascii="Times New Roman" w:hAnsi="Times New Roman" w:cs="Times New Roman"/>
          <w:sz w:val="24"/>
          <w:szCs w:val="24"/>
        </w:rPr>
      </w:pPr>
      <w:r w:rsidRPr="006B0B75">
        <w:rPr>
          <w:rFonts w:ascii="Times New Roman" w:hAnsi="Times New Roman" w:cs="Times New Roman"/>
          <w:sz w:val="24"/>
          <w:szCs w:val="24"/>
        </w:rPr>
        <w:t>Armed hostilities between the separatist state and the internationally recognized patron state</w:t>
      </w:r>
    </w:p>
    <w:p w:rsidR="00050BA9" w:rsidRPr="006B0B75" w:rsidRDefault="00F91976" w:rsidP="006C762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The c</w:t>
      </w:r>
      <w:r w:rsidR="00050BA9" w:rsidRPr="006B0B75">
        <w:rPr>
          <w:rFonts w:ascii="Times New Roman" w:hAnsi="Times New Roman" w:cs="Times New Roman"/>
          <w:sz w:val="24"/>
          <w:szCs w:val="24"/>
        </w:rPr>
        <w:t xml:space="preserve">onfrontation resulted in </w:t>
      </w:r>
      <w:r>
        <w:rPr>
          <w:rFonts w:ascii="Times New Roman" w:hAnsi="Times New Roman" w:cs="Times New Roman"/>
          <w:sz w:val="24"/>
          <w:szCs w:val="24"/>
        </w:rPr>
        <w:t xml:space="preserve">a </w:t>
      </w:r>
      <w:r w:rsidR="00050BA9" w:rsidRPr="006B0B75">
        <w:rPr>
          <w:rFonts w:ascii="Times New Roman" w:hAnsi="Times New Roman" w:cs="Times New Roman"/>
          <w:sz w:val="24"/>
          <w:szCs w:val="24"/>
        </w:rPr>
        <w:t>change of control of territory</w:t>
      </w:r>
    </w:p>
    <w:p w:rsidR="00050BA9" w:rsidRPr="006B0B75" w:rsidRDefault="00050BA9" w:rsidP="006C762C">
      <w:pPr>
        <w:pStyle w:val="ListParagraph"/>
        <w:numPr>
          <w:ilvl w:val="0"/>
          <w:numId w:val="2"/>
        </w:numPr>
        <w:spacing w:line="360" w:lineRule="auto"/>
        <w:jc w:val="both"/>
        <w:rPr>
          <w:rFonts w:ascii="Times New Roman" w:hAnsi="Times New Roman" w:cs="Times New Roman"/>
          <w:sz w:val="24"/>
          <w:szCs w:val="24"/>
        </w:rPr>
      </w:pPr>
      <w:r w:rsidRPr="006B0B75">
        <w:rPr>
          <w:rFonts w:ascii="Times New Roman" w:hAnsi="Times New Roman" w:cs="Times New Roman"/>
          <w:sz w:val="24"/>
          <w:szCs w:val="24"/>
        </w:rPr>
        <w:t>Confronted sides are divided by temporary border</w:t>
      </w:r>
    </w:p>
    <w:p w:rsidR="00050BA9" w:rsidRPr="006B0B75" w:rsidRDefault="00F91976" w:rsidP="006C762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The s</w:t>
      </w:r>
      <w:r w:rsidR="002C54FC">
        <w:rPr>
          <w:rFonts w:ascii="Times New Roman" w:hAnsi="Times New Roman" w:cs="Times New Roman"/>
          <w:sz w:val="24"/>
          <w:szCs w:val="24"/>
        </w:rPr>
        <w:t xml:space="preserve">eparatist regime is seeking </w:t>
      </w:r>
      <w:r w:rsidR="00050BA9" w:rsidRPr="006B0B75">
        <w:rPr>
          <w:rFonts w:ascii="Times New Roman" w:hAnsi="Times New Roman" w:cs="Times New Roman"/>
          <w:sz w:val="24"/>
          <w:szCs w:val="24"/>
        </w:rPr>
        <w:t>self-determination and international recognition</w:t>
      </w:r>
    </w:p>
    <w:p w:rsidR="00195E4A" w:rsidRPr="009A64A0" w:rsidRDefault="00050BA9" w:rsidP="009A64A0">
      <w:pPr>
        <w:pStyle w:val="ListParagraph"/>
        <w:numPr>
          <w:ilvl w:val="0"/>
          <w:numId w:val="2"/>
        </w:numPr>
        <w:spacing w:line="360" w:lineRule="auto"/>
        <w:jc w:val="both"/>
        <w:rPr>
          <w:rFonts w:ascii="Times New Roman" w:hAnsi="Times New Roman" w:cs="Times New Roman"/>
          <w:sz w:val="24"/>
          <w:szCs w:val="24"/>
        </w:rPr>
      </w:pPr>
      <w:r w:rsidRPr="006B0B75">
        <w:rPr>
          <w:rFonts w:ascii="Times New Roman" w:hAnsi="Times New Roman" w:cs="Times New Roman"/>
          <w:sz w:val="24"/>
          <w:szCs w:val="24"/>
        </w:rPr>
        <w:t>External actors engaged in conflict mediation struggle to</w:t>
      </w:r>
      <w:r>
        <w:rPr>
          <w:rFonts w:ascii="Times New Roman" w:hAnsi="Times New Roman" w:cs="Times New Roman"/>
          <w:sz w:val="24"/>
          <w:szCs w:val="24"/>
        </w:rPr>
        <w:t xml:space="preserve"> achieve conclusive resolution</w:t>
      </w:r>
    </w:p>
    <w:p w:rsidR="00050BA9" w:rsidRPr="00C0514C" w:rsidRDefault="00D03049" w:rsidP="006D2116">
      <w:pPr>
        <w:pStyle w:val="Heading2"/>
        <w:rPr>
          <w:sz w:val="32"/>
          <w:szCs w:val="32"/>
        </w:rPr>
      </w:pPr>
      <w:bookmarkStart w:id="6" w:name="_Toc46952600"/>
      <w:r w:rsidRPr="00C0514C">
        <w:rPr>
          <w:color w:val="auto"/>
          <w:sz w:val="32"/>
          <w:szCs w:val="32"/>
        </w:rPr>
        <w:t xml:space="preserve">2.4 </w:t>
      </w:r>
      <w:r w:rsidR="00050BA9" w:rsidRPr="00C0514C">
        <w:rPr>
          <w:color w:val="auto"/>
          <w:sz w:val="32"/>
          <w:szCs w:val="32"/>
        </w:rPr>
        <w:t>Theoretical Framework</w:t>
      </w:r>
      <w:bookmarkEnd w:id="6"/>
    </w:p>
    <w:p w:rsidR="006D2116" w:rsidRPr="006D2116" w:rsidRDefault="006D2116" w:rsidP="006D2116"/>
    <w:p w:rsidR="004C1767" w:rsidRDefault="00050BA9" w:rsidP="00050BA9">
      <w:pPr>
        <w:spacing w:line="360" w:lineRule="auto"/>
        <w:jc w:val="both"/>
        <w:rPr>
          <w:rFonts w:ascii="Times New Roman" w:hAnsi="Times New Roman"/>
          <w:sz w:val="24"/>
          <w:szCs w:val="24"/>
        </w:rPr>
      </w:pPr>
      <w:r w:rsidRPr="006B0B75">
        <w:rPr>
          <w:rFonts w:ascii="Times New Roman" w:hAnsi="Times New Roman"/>
          <w:sz w:val="24"/>
          <w:szCs w:val="24"/>
        </w:rPr>
        <w:t xml:space="preserve">The </w:t>
      </w:r>
      <w:r w:rsidR="004C1767">
        <w:rPr>
          <w:rFonts w:ascii="Times New Roman" w:hAnsi="Times New Roman"/>
          <w:sz w:val="24"/>
          <w:szCs w:val="24"/>
        </w:rPr>
        <w:t xml:space="preserve">European </w:t>
      </w:r>
      <w:r w:rsidRPr="006B0B75">
        <w:rPr>
          <w:rFonts w:ascii="Times New Roman" w:hAnsi="Times New Roman"/>
          <w:sz w:val="24"/>
          <w:szCs w:val="24"/>
        </w:rPr>
        <w:t>ext</w:t>
      </w:r>
      <w:r w:rsidR="005E6178">
        <w:rPr>
          <w:rFonts w:ascii="Times New Roman" w:hAnsi="Times New Roman"/>
          <w:sz w:val="24"/>
          <w:szCs w:val="24"/>
        </w:rPr>
        <w:t xml:space="preserve">ernal governance theory </w:t>
      </w:r>
      <w:r w:rsidR="004C1767">
        <w:rPr>
          <w:rFonts w:ascii="Times New Roman" w:hAnsi="Times New Roman"/>
          <w:sz w:val="24"/>
          <w:szCs w:val="24"/>
        </w:rPr>
        <w:t>serve</w:t>
      </w:r>
      <w:r w:rsidR="002C54FC">
        <w:rPr>
          <w:rFonts w:ascii="Times New Roman" w:hAnsi="Times New Roman"/>
          <w:sz w:val="24"/>
          <w:szCs w:val="24"/>
        </w:rPr>
        <w:t>s</w:t>
      </w:r>
      <w:r w:rsidR="004C1767">
        <w:rPr>
          <w:rFonts w:ascii="Times New Roman" w:hAnsi="Times New Roman"/>
          <w:sz w:val="24"/>
          <w:szCs w:val="24"/>
        </w:rPr>
        <w:t xml:space="preserve"> as a primary</w:t>
      </w:r>
      <w:r w:rsidRPr="006B0B75">
        <w:rPr>
          <w:rFonts w:ascii="Times New Roman" w:hAnsi="Times New Roman"/>
          <w:sz w:val="24"/>
          <w:szCs w:val="24"/>
        </w:rPr>
        <w:t xml:space="preserve"> th</w:t>
      </w:r>
      <w:r w:rsidR="004C1767">
        <w:rPr>
          <w:rFonts w:ascii="Times New Roman" w:hAnsi="Times New Roman"/>
          <w:sz w:val="24"/>
          <w:szCs w:val="24"/>
        </w:rPr>
        <w:t>eoretical framework of the research</w:t>
      </w:r>
      <w:r w:rsidRPr="006B0B75">
        <w:rPr>
          <w:rFonts w:ascii="Times New Roman" w:hAnsi="Times New Roman"/>
          <w:sz w:val="24"/>
          <w:szCs w:val="24"/>
        </w:rPr>
        <w:t xml:space="preserve">. </w:t>
      </w:r>
      <w:r w:rsidR="005E6178">
        <w:rPr>
          <w:rFonts w:ascii="Times New Roman" w:hAnsi="Times New Roman"/>
          <w:sz w:val="24"/>
          <w:szCs w:val="24"/>
        </w:rPr>
        <w:t xml:space="preserve">It </w:t>
      </w:r>
      <w:r w:rsidR="004C1767">
        <w:rPr>
          <w:rFonts w:ascii="Times New Roman" w:hAnsi="Times New Roman"/>
          <w:sz w:val="24"/>
          <w:szCs w:val="24"/>
        </w:rPr>
        <w:t>enable</w:t>
      </w:r>
      <w:r w:rsidR="005E6178">
        <w:rPr>
          <w:rFonts w:ascii="Times New Roman" w:hAnsi="Times New Roman"/>
          <w:sz w:val="24"/>
          <w:szCs w:val="24"/>
        </w:rPr>
        <w:t>s</w:t>
      </w:r>
      <w:r w:rsidR="004C1767">
        <w:rPr>
          <w:rFonts w:ascii="Times New Roman" w:hAnsi="Times New Roman"/>
          <w:sz w:val="24"/>
          <w:szCs w:val="24"/>
        </w:rPr>
        <w:t xml:space="preserve"> to explore the EU’s rationale </w:t>
      </w:r>
      <w:r w:rsidRPr="006B0B75">
        <w:rPr>
          <w:rFonts w:ascii="Times New Roman" w:hAnsi="Times New Roman"/>
          <w:sz w:val="24"/>
          <w:szCs w:val="24"/>
        </w:rPr>
        <w:t xml:space="preserve">behind the choice of </w:t>
      </w:r>
      <w:r w:rsidR="004C1767">
        <w:rPr>
          <w:rFonts w:ascii="Times New Roman" w:hAnsi="Times New Roman"/>
          <w:sz w:val="24"/>
          <w:szCs w:val="24"/>
        </w:rPr>
        <w:t>specific instruments and approaches in interaction with the third parties beyond the borders</w:t>
      </w:r>
      <w:r w:rsidRPr="006B0B75">
        <w:rPr>
          <w:rFonts w:ascii="Times New Roman" w:hAnsi="Times New Roman"/>
          <w:sz w:val="24"/>
          <w:szCs w:val="24"/>
        </w:rPr>
        <w:t xml:space="preserve">. Furthermore, </w:t>
      </w:r>
      <w:r w:rsidR="00300E69">
        <w:rPr>
          <w:rFonts w:ascii="Times New Roman" w:hAnsi="Times New Roman"/>
          <w:sz w:val="24"/>
          <w:szCs w:val="24"/>
        </w:rPr>
        <w:t xml:space="preserve">the </w:t>
      </w:r>
      <w:r w:rsidR="004C1767">
        <w:rPr>
          <w:rFonts w:ascii="Times New Roman" w:hAnsi="Times New Roman"/>
          <w:sz w:val="24"/>
          <w:szCs w:val="24"/>
        </w:rPr>
        <w:t>theoretical tool</w:t>
      </w:r>
      <w:r w:rsidRPr="006B0B75">
        <w:rPr>
          <w:rFonts w:ascii="Times New Roman" w:hAnsi="Times New Roman"/>
          <w:sz w:val="24"/>
          <w:szCs w:val="24"/>
        </w:rPr>
        <w:t xml:space="preserve"> developed by Julian</w:t>
      </w:r>
      <w:r w:rsidR="00EF378D">
        <w:rPr>
          <w:rFonts w:ascii="Times New Roman" w:hAnsi="Times New Roman"/>
          <w:sz w:val="24"/>
          <w:szCs w:val="24"/>
        </w:rPr>
        <w:t xml:space="preserve"> Bergmann and Arne Niemann </w:t>
      </w:r>
      <w:r w:rsidR="004C1767">
        <w:rPr>
          <w:rFonts w:ascii="Times New Roman" w:hAnsi="Times New Roman"/>
          <w:sz w:val="24"/>
          <w:szCs w:val="24"/>
        </w:rPr>
        <w:t>enable</w:t>
      </w:r>
      <w:r w:rsidR="00EF378D">
        <w:rPr>
          <w:rFonts w:ascii="Times New Roman" w:hAnsi="Times New Roman"/>
          <w:sz w:val="24"/>
          <w:szCs w:val="24"/>
        </w:rPr>
        <w:t>s</w:t>
      </w:r>
      <w:r w:rsidR="004C1767">
        <w:rPr>
          <w:rFonts w:ascii="Times New Roman" w:hAnsi="Times New Roman"/>
          <w:sz w:val="24"/>
          <w:szCs w:val="24"/>
        </w:rPr>
        <w:t xml:space="preserve"> to adjust the</w:t>
      </w:r>
      <w:r w:rsidRPr="006B0B75">
        <w:rPr>
          <w:rFonts w:ascii="Times New Roman" w:hAnsi="Times New Roman"/>
          <w:sz w:val="24"/>
          <w:szCs w:val="24"/>
        </w:rPr>
        <w:t xml:space="preserve"> practical peculiarities of the</w:t>
      </w:r>
      <w:r w:rsidR="004C1767">
        <w:rPr>
          <w:rFonts w:ascii="Times New Roman" w:hAnsi="Times New Roman"/>
          <w:sz w:val="24"/>
          <w:szCs w:val="24"/>
        </w:rPr>
        <w:t xml:space="preserve"> conflict mediation process. The measurable determinants of the </w:t>
      </w:r>
      <w:r w:rsidRPr="006B0B75">
        <w:rPr>
          <w:rFonts w:ascii="Times New Roman" w:hAnsi="Times New Roman"/>
          <w:sz w:val="24"/>
          <w:szCs w:val="24"/>
        </w:rPr>
        <w:t>EU’s conflict m</w:t>
      </w:r>
      <w:r w:rsidR="00300E69">
        <w:rPr>
          <w:rFonts w:ascii="Times New Roman" w:hAnsi="Times New Roman"/>
          <w:sz w:val="24"/>
          <w:szCs w:val="24"/>
        </w:rPr>
        <w:t>ediation</w:t>
      </w:r>
      <w:r w:rsidR="004C1767">
        <w:rPr>
          <w:rFonts w:ascii="Times New Roman" w:hAnsi="Times New Roman"/>
          <w:sz w:val="24"/>
          <w:szCs w:val="24"/>
        </w:rPr>
        <w:t xml:space="preserve"> efficiency</w:t>
      </w:r>
      <w:r w:rsidR="00300E69">
        <w:rPr>
          <w:rFonts w:ascii="Times New Roman" w:hAnsi="Times New Roman"/>
          <w:sz w:val="24"/>
          <w:szCs w:val="24"/>
        </w:rPr>
        <w:t xml:space="preserve"> </w:t>
      </w:r>
      <w:r w:rsidR="004C1767">
        <w:rPr>
          <w:rFonts w:ascii="Times New Roman" w:hAnsi="Times New Roman"/>
          <w:sz w:val="24"/>
          <w:szCs w:val="24"/>
        </w:rPr>
        <w:t>will enable to illustrate the extent of success or constraint of</w:t>
      </w:r>
      <w:r w:rsidR="002C54FC">
        <w:rPr>
          <w:rFonts w:ascii="Times New Roman" w:hAnsi="Times New Roman"/>
          <w:sz w:val="24"/>
          <w:szCs w:val="24"/>
        </w:rPr>
        <w:t xml:space="preserve"> the EU’s efforts concerning</w:t>
      </w:r>
      <w:r w:rsidR="004C1767">
        <w:rPr>
          <w:rFonts w:ascii="Times New Roman" w:hAnsi="Times New Roman"/>
          <w:sz w:val="24"/>
          <w:szCs w:val="24"/>
        </w:rPr>
        <w:t xml:space="preserve"> the contested regions.</w:t>
      </w:r>
    </w:p>
    <w:p w:rsidR="002C54FC" w:rsidRDefault="002C54FC" w:rsidP="00050BA9">
      <w:pPr>
        <w:spacing w:line="360" w:lineRule="auto"/>
        <w:jc w:val="both"/>
        <w:rPr>
          <w:rFonts w:ascii="Times New Roman" w:hAnsi="Times New Roman"/>
          <w:sz w:val="24"/>
          <w:szCs w:val="24"/>
        </w:rPr>
      </w:pPr>
    </w:p>
    <w:p w:rsidR="00050BA9" w:rsidRDefault="00050BA9" w:rsidP="00050BA9">
      <w:pPr>
        <w:spacing w:line="360" w:lineRule="auto"/>
        <w:jc w:val="both"/>
        <w:rPr>
          <w:rFonts w:ascii="Times New Roman" w:hAnsi="Times New Roman"/>
          <w:sz w:val="24"/>
          <w:szCs w:val="24"/>
        </w:rPr>
      </w:pPr>
      <w:r w:rsidRPr="00922257">
        <w:rPr>
          <w:rFonts w:ascii="Times New Roman" w:hAnsi="Times New Roman"/>
          <w:i/>
          <w:sz w:val="24"/>
          <w:szCs w:val="24"/>
        </w:rPr>
        <w:t>Governance</w:t>
      </w:r>
      <w:r w:rsidRPr="006B0B75">
        <w:rPr>
          <w:rFonts w:ascii="Times New Roman" w:hAnsi="Times New Roman"/>
          <w:sz w:val="24"/>
          <w:szCs w:val="24"/>
        </w:rPr>
        <w:t xml:space="preserve"> </w:t>
      </w:r>
      <w:r w:rsidR="00964AAC">
        <w:rPr>
          <w:rFonts w:ascii="Times New Roman" w:hAnsi="Times New Roman"/>
          <w:sz w:val="24"/>
          <w:szCs w:val="24"/>
        </w:rPr>
        <w:t xml:space="preserve">can be explained </w:t>
      </w:r>
      <w:r w:rsidRPr="006B0B75">
        <w:rPr>
          <w:rFonts w:ascii="Times New Roman" w:hAnsi="Times New Roman"/>
          <w:sz w:val="24"/>
          <w:szCs w:val="24"/>
        </w:rPr>
        <w:t xml:space="preserve">as a mechanism for solving </w:t>
      </w:r>
      <w:r w:rsidR="00964AAC">
        <w:rPr>
          <w:rFonts w:ascii="Times New Roman" w:hAnsi="Times New Roman"/>
          <w:sz w:val="24"/>
          <w:szCs w:val="24"/>
        </w:rPr>
        <w:t xml:space="preserve">the </w:t>
      </w:r>
      <w:r w:rsidRPr="006B0B75">
        <w:rPr>
          <w:rFonts w:ascii="Times New Roman" w:hAnsi="Times New Roman"/>
          <w:sz w:val="24"/>
          <w:szCs w:val="24"/>
        </w:rPr>
        <w:t xml:space="preserve">collective problems </w:t>
      </w:r>
      <w:r w:rsidR="002C54FC">
        <w:rPr>
          <w:rFonts w:ascii="Times New Roman" w:hAnsi="Times New Roman"/>
          <w:sz w:val="24"/>
          <w:szCs w:val="24"/>
        </w:rPr>
        <w:t>which concern</w:t>
      </w:r>
      <w:r w:rsidR="00964AAC">
        <w:rPr>
          <w:rFonts w:ascii="Times New Roman" w:hAnsi="Times New Roman"/>
          <w:sz w:val="24"/>
          <w:szCs w:val="24"/>
        </w:rPr>
        <w:t xml:space="preserve"> all</w:t>
      </w:r>
      <w:r w:rsidRPr="006B0B75">
        <w:rPr>
          <w:rFonts w:ascii="Times New Roman" w:hAnsi="Times New Roman"/>
          <w:sz w:val="24"/>
          <w:szCs w:val="24"/>
        </w:rPr>
        <w:t xml:space="preserve"> partici</w:t>
      </w:r>
      <w:r w:rsidR="00300E69">
        <w:rPr>
          <w:rFonts w:ascii="Times New Roman" w:hAnsi="Times New Roman"/>
          <w:sz w:val="24"/>
          <w:szCs w:val="24"/>
        </w:rPr>
        <w:t>pating actors within</w:t>
      </w:r>
      <w:r w:rsidR="00964AAC">
        <w:rPr>
          <w:rFonts w:ascii="Times New Roman" w:hAnsi="Times New Roman"/>
          <w:sz w:val="24"/>
          <w:szCs w:val="24"/>
        </w:rPr>
        <w:t xml:space="preserve"> the</w:t>
      </w:r>
      <w:r w:rsidR="00300E69">
        <w:rPr>
          <w:rFonts w:ascii="Times New Roman" w:hAnsi="Times New Roman"/>
          <w:sz w:val="24"/>
          <w:szCs w:val="24"/>
        </w:rPr>
        <w:t xml:space="preserve"> </w:t>
      </w:r>
      <w:r w:rsidRPr="006B0B75">
        <w:rPr>
          <w:rFonts w:ascii="Times New Roman" w:hAnsi="Times New Roman"/>
          <w:sz w:val="24"/>
          <w:szCs w:val="24"/>
        </w:rPr>
        <w:t>society. It is a societal capacity of imple</w:t>
      </w:r>
      <w:r>
        <w:rPr>
          <w:rFonts w:ascii="Times New Roman" w:hAnsi="Times New Roman"/>
          <w:sz w:val="24"/>
          <w:szCs w:val="24"/>
        </w:rPr>
        <w:t>menting the collective choices.</w:t>
      </w:r>
      <w:r>
        <w:rPr>
          <w:rStyle w:val="FootnoteReference"/>
          <w:rFonts w:ascii="Times New Roman" w:hAnsi="Times New Roman"/>
          <w:sz w:val="24"/>
          <w:szCs w:val="24"/>
        </w:rPr>
        <w:footnoteReference w:id="45"/>
      </w:r>
      <w:r w:rsidR="00300E69">
        <w:rPr>
          <w:rFonts w:ascii="Times New Roman" w:hAnsi="Times New Roman"/>
          <w:sz w:val="24"/>
          <w:szCs w:val="24"/>
        </w:rPr>
        <w:t xml:space="preserve"> The efficiency of governance is measured by s</w:t>
      </w:r>
      <w:r w:rsidRPr="006B0B75">
        <w:rPr>
          <w:rFonts w:ascii="Times New Roman" w:hAnsi="Times New Roman"/>
          <w:sz w:val="24"/>
          <w:szCs w:val="24"/>
        </w:rPr>
        <w:t xml:space="preserve">ociety’s ability to </w:t>
      </w:r>
      <w:r w:rsidR="00363E25">
        <w:rPr>
          <w:rFonts w:ascii="Times New Roman" w:hAnsi="Times New Roman"/>
          <w:sz w:val="24"/>
          <w:szCs w:val="24"/>
        </w:rPr>
        <w:t xml:space="preserve">effectively </w:t>
      </w:r>
      <w:r w:rsidRPr="006B0B75">
        <w:rPr>
          <w:rFonts w:ascii="Times New Roman" w:hAnsi="Times New Roman"/>
          <w:sz w:val="24"/>
          <w:szCs w:val="24"/>
        </w:rPr>
        <w:t>det</w:t>
      </w:r>
      <w:r w:rsidR="00300E69">
        <w:rPr>
          <w:rFonts w:ascii="Times New Roman" w:hAnsi="Times New Roman"/>
          <w:sz w:val="24"/>
          <w:szCs w:val="24"/>
        </w:rPr>
        <w:t xml:space="preserve">ermine common goals, challenges, </w:t>
      </w:r>
      <w:r w:rsidRPr="006B0B75">
        <w:rPr>
          <w:rFonts w:ascii="Times New Roman" w:hAnsi="Times New Roman"/>
          <w:sz w:val="24"/>
          <w:szCs w:val="24"/>
        </w:rPr>
        <w:t xml:space="preserve">and </w:t>
      </w:r>
      <w:r w:rsidR="002C54FC">
        <w:rPr>
          <w:rFonts w:ascii="Times New Roman" w:hAnsi="Times New Roman"/>
          <w:sz w:val="24"/>
          <w:szCs w:val="24"/>
        </w:rPr>
        <w:t>opportunities. Furthermore</w:t>
      </w:r>
      <w:proofErr w:type="gramStart"/>
      <w:r w:rsidR="002C54FC">
        <w:rPr>
          <w:rFonts w:ascii="Times New Roman" w:hAnsi="Times New Roman"/>
          <w:sz w:val="24"/>
          <w:szCs w:val="24"/>
        </w:rPr>
        <w:t xml:space="preserve">, </w:t>
      </w:r>
      <w:r w:rsidR="00363E25">
        <w:rPr>
          <w:rFonts w:ascii="Times New Roman" w:hAnsi="Times New Roman"/>
          <w:sz w:val="24"/>
          <w:szCs w:val="24"/>
        </w:rPr>
        <w:t xml:space="preserve"> </w:t>
      </w:r>
      <w:r w:rsidRPr="006B0B75">
        <w:rPr>
          <w:rFonts w:ascii="Times New Roman" w:hAnsi="Times New Roman"/>
          <w:sz w:val="24"/>
          <w:szCs w:val="24"/>
        </w:rPr>
        <w:t>governance</w:t>
      </w:r>
      <w:proofErr w:type="gramEnd"/>
      <w:r w:rsidRPr="006B0B75">
        <w:rPr>
          <w:rFonts w:ascii="Times New Roman" w:hAnsi="Times New Roman"/>
          <w:sz w:val="24"/>
          <w:szCs w:val="24"/>
        </w:rPr>
        <w:t xml:space="preserve"> is not </w:t>
      </w:r>
      <w:r w:rsidR="00300E69">
        <w:rPr>
          <w:rFonts w:ascii="Times New Roman" w:hAnsi="Times New Roman"/>
          <w:sz w:val="24"/>
          <w:szCs w:val="24"/>
        </w:rPr>
        <w:t>a voluntary act</w:t>
      </w:r>
      <w:r w:rsidRPr="006B0B75">
        <w:rPr>
          <w:rFonts w:ascii="Times New Roman" w:hAnsi="Times New Roman"/>
          <w:sz w:val="24"/>
          <w:szCs w:val="24"/>
        </w:rPr>
        <w:t>. It doe</w:t>
      </w:r>
      <w:r w:rsidR="00434913">
        <w:rPr>
          <w:rFonts w:ascii="Times New Roman" w:hAnsi="Times New Roman"/>
          <w:sz w:val="24"/>
          <w:szCs w:val="24"/>
        </w:rPr>
        <w:t>s not</w:t>
      </w:r>
      <w:r w:rsidR="00300E69">
        <w:rPr>
          <w:rFonts w:ascii="Times New Roman" w:hAnsi="Times New Roman"/>
          <w:sz w:val="24"/>
          <w:szCs w:val="24"/>
        </w:rPr>
        <w:t xml:space="preserve"> equal to the </w:t>
      </w:r>
      <w:r w:rsidR="00300E69" w:rsidRPr="00363E25">
        <w:rPr>
          <w:rFonts w:ascii="Times New Roman" w:hAnsi="Times New Roman"/>
          <w:i/>
          <w:sz w:val="24"/>
          <w:szCs w:val="24"/>
        </w:rPr>
        <w:t>government</w:t>
      </w:r>
      <w:r w:rsidR="00300E69">
        <w:rPr>
          <w:rFonts w:ascii="Times New Roman" w:hAnsi="Times New Roman"/>
          <w:sz w:val="24"/>
          <w:szCs w:val="24"/>
        </w:rPr>
        <w:t xml:space="preserve"> by </w:t>
      </w:r>
      <w:r w:rsidRPr="006B0B75">
        <w:rPr>
          <w:rFonts w:ascii="Times New Roman" w:hAnsi="Times New Roman"/>
          <w:sz w:val="24"/>
          <w:szCs w:val="24"/>
        </w:rPr>
        <w:t>nature and req</w:t>
      </w:r>
      <w:r w:rsidR="002C54FC">
        <w:rPr>
          <w:rFonts w:ascii="Times New Roman" w:hAnsi="Times New Roman"/>
          <w:sz w:val="24"/>
          <w:szCs w:val="24"/>
        </w:rPr>
        <w:t xml:space="preserve">uires a commitment beyond </w:t>
      </w:r>
      <w:r w:rsidR="00363E25">
        <w:rPr>
          <w:rFonts w:ascii="Times New Roman" w:hAnsi="Times New Roman"/>
          <w:sz w:val="24"/>
          <w:szCs w:val="24"/>
        </w:rPr>
        <w:t xml:space="preserve">societal </w:t>
      </w:r>
      <w:r w:rsidRPr="006B0B75">
        <w:rPr>
          <w:rFonts w:ascii="Times New Roman" w:hAnsi="Times New Roman"/>
          <w:sz w:val="24"/>
          <w:szCs w:val="24"/>
        </w:rPr>
        <w:t>cooperation</w:t>
      </w:r>
      <w:r>
        <w:rPr>
          <w:rFonts w:ascii="Times New Roman" w:hAnsi="Times New Roman"/>
          <w:sz w:val="24"/>
          <w:szCs w:val="24"/>
        </w:rPr>
        <w:t>.</w:t>
      </w:r>
      <w:r>
        <w:rPr>
          <w:rStyle w:val="FootnoteReference"/>
          <w:rFonts w:ascii="Times New Roman" w:hAnsi="Times New Roman"/>
          <w:sz w:val="24"/>
          <w:szCs w:val="24"/>
        </w:rPr>
        <w:footnoteReference w:id="46"/>
      </w:r>
      <w:r w:rsidR="00363E25">
        <w:rPr>
          <w:rFonts w:ascii="Times New Roman" w:hAnsi="Times New Roman"/>
          <w:sz w:val="24"/>
          <w:szCs w:val="24"/>
        </w:rPr>
        <w:t xml:space="preserve"> The</w:t>
      </w:r>
      <w:r w:rsidR="00A26B56">
        <w:rPr>
          <w:rFonts w:ascii="Times New Roman" w:hAnsi="Times New Roman"/>
          <w:sz w:val="24"/>
          <w:szCs w:val="24"/>
        </w:rPr>
        <w:t xml:space="preserve"> g</w:t>
      </w:r>
      <w:r w:rsidRPr="006B0B75">
        <w:rPr>
          <w:rFonts w:ascii="Times New Roman" w:hAnsi="Times New Roman"/>
          <w:sz w:val="24"/>
          <w:szCs w:val="24"/>
        </w:rPr>
        <w:t xml:space="preserve">overnance is characterized by </w:t>
      </w:r>
      <w:r w:rsidR="00300E69">
        <w:rPr>
          <w:rFonts w:ascii="Times New Roman" w:hAnsi="Times New Roman"/>
          <w:sz w:val="24"/>
          <w:szCs w:val="24"/>
        </w:rPr>
        <w:t xml:space="preserve">a </w:t>
      </w:r>
      <w:r w:rsidRPr="006B0B75">
        <w:rPr>
          <w:rFonts w:ascii="Times New Roman" w:hAnsi="Times New Roman"/>
          <w:sz w:val="24"/>
          <w:szCs w:val="24"/>
        </w:rPr>
        <w:t xml:space="preserve">hierarchical structure where each actor </w:t>
      </w:r>
      <w:r w:rsidR="008E1FF6">
        <w:rPr>
          <w:rFonts w:ascii="Times New Roman" w:hAnsi="Times New Roman"/>
          <w:sz w:val="24"/>
          <w:szCs w:val="24"/>
        </w:rPr>
        <w:t>is</w:t>
      </w:r>
      <w:r w:rsidRPr="006B0B75">
        <w:rPr>
          <w:rFonts w:ascii="Times New Roman" w:hAnsi="Times New Roman"/>
          <w:sz w:val="24"/>
          <w:szCs w:val="24"/>
        </w:rPr>
        <w:t xml:space="preserve"> assigned </w:t>
      </w:r>
      <w:r w:rsidR="002C54FC">
        <w:rPr>
          <w:rFonts w:ascii="Times New Roman" w:hAnsi="Times New Roman"/>
          <w:sz w:val="24"/>
          <w:szCs w:val="24"/>
        </w:rPr>
        <w:t xml:space="preserve">a </w:t>
      </w:r>
      <w:r w:rsidR="008E1FF6">
        <w:rPr>
          <w:rFonts w:ascii="Times New Roman" w:hAnsi="Times New Roman"/>
          <w:sz w:val="24"/>
          <w:szCs w:val="24"/>
        </w:rPr>
        <w:t xml:space="preserve">specific </w:t>
      </w:r>
      <w:r w:rsidRPr="006B0B75">
        <w:rPr>
          <w:rFonts w:ascii="Times New Roman" w:hAnsi="Times New Roman"/>
          <w:sz w:val="24"/>
          <w:szCs w:val="24"/>
        </w:rPr>
        <w:t>role. It can be acquired by b</w:t>
      </w:r>
      <w:r>
        <w:rPr>
          <w:rFonts w:ascii="Times New Roman" w:hAnsi="Times New Roman"/>
          <w:sz w:val="24"/>
          <w:szCs w:val="24"/>
        </w:rPr>
        <w:t xml:space="preserve">oth </w:t>
      </w:r>
      <w:r w:rsidR="008E1FF6">
        <w:rPr>
          <w:rFonts w:ascii="Times New Roman" w:hAnsi="Times New Roman"/>
          <w:sz w:val="24"/>
          <w:szCs w:val="24"/>
        </w:rPr>
        <w:t xml:space="preserve">the </w:t>
      </w:r>
      <w:r>
        <w:rPr>
          <w:rFonts w:ascii="Times New Roman" w:hAnsi="Times New Roman"/>
          <w:sz w:val="24"/>
          <w:szCs w:val="24"/>
        </w:rPr>
        <w:t xml:space="preserve">state and </w:t>
      </w:r>
      <w:r w:rsidR="008E1FF6">
        <w:rPr>
          <w:rFonts w:ascii="Times New Roman" w:hAnsi="Times New Roman"/>
          <w:sz w:val="24"/>
          <w:szCs w:val="24"/>
        </w:rPr>
        <w:t xml:space="preserve">the </w:t>
      </w:r>
      <w:r>
        <w:rPr>
          <w:rFonts w:ascii="Times New Roman" w:hAnsi="Times New Roman"/>
          <w:sz w:val="24"/>
          <w:szCs w:val="24"/>
        </w:rPr>
        <w:t>non-state actors.</w:t>
      </w:r>
      <w:r>
        <w:rPr>
          <w:rStyle w:val="FootnoteReference"/>
          <w:rFonts w:ascii="Times New Roman" w:hAnsi="Times New Roman"/>
          <w:sz w:val="24"/>
          <w:szCs w:val="24"/>
        </w:rPr>
        <w:footnoteReference w:id="47"/>
      </w:r>
      <w:r w:rsidRPr="006B0B75">
        <w:rPr>
          <w:rFonts w:ascii="Times New Roman" w:hAnsi="Times New Roman"/>
          <w:sz w:val="24"/>
          <w:szCs w:val="24"/>
        </w:rPr>
        <w:t xml:space="preserve">  The </w:t>
      </w:r>
      <w:r w:rsidRPr="00922257">
        <w:rPr>
          <w:rFonts w:ascii="Times New Roman" w:hAnsi="Times New Roman"/>
          <w:i/>
          <w:sz w:val="24"/>
          <w:szCs w:val="24"/>
        </w:rPr>
        <w:t>EU’s governance</w:t>
      </w:r>
      <w:r w:rsidRPr="006B0B75">
        <w:rPr>
          <w:rFonts w:ascii="Times New Roman" w:hAnsi="Times New Roman"/>
          <w:sz w:val="24"/>
          <w:szCs w:val="24"/>
        </w:rPr>
        <w:t xml:space="preserve"> </w:t>
      </w:r>
      <w:r w:rsidR="00300E69">
        <w:rPr>
          <w:rFonts w:ascii="Times New Roman" w:hAnsi="Times New Roman"/>
          <w:sz w:val="24"/>
          <w:szCs w:val="24"/>
        </w:rPr>
        <w:t>is determined by its capacity</w:t>
      </w:r>
      <w:r w:rsidRPr="006B0B75">
        <w:rPr>
          <w:rFonts w:ascii="Times New Roman" w:hAnsi="Times New Roman"/>
          <w:sz w:val="24"/>
          <w:szCs w:val="24"/>
        </w:rPr>
        <w:t xml:space="preserve"> to govern efficiently. Effective governance is </w:t>
      </w:r>
      <w:r w:rsidR="00300E69">
        <w:rPr>
          <w:rFonts w:ascii="Times New Roman" w:hAnsi="Times New Roman"/>
          <w:sz w:val="24"/>
          <w:szCs w:val="24"/>
        </w:rPr>
        <w:t>a precondition for d</w:t>
      </w:r>
      <w:r w:rsidRPr="006B0B75">
        <w:rPr>
          <w:rFonts w:ascii="Times New Roman" w:hAnsi="Times New Roman"/>
          <w:sz w:val="24"/>
          <w:szCs w:val="24"/>
        </w:rPr>
        <w:t xml:space="preserve">eeper integration. The EU’s </w:t>
      </w:r>
      <w:r w:rsidRPr="006B0B75">
        <w:rPr>
          <w:rFonts w:ascii="Times New Roman" w:hAnsi="Times New Roman"/>
          <w:sz w:val="24"/>
          <w:szCs w:val="24"/>
        </w:rPr>
        <w:lastRenderedPageBreak/>
        <w:t>governance system is characterized by multi</w:t>
      </w:r>
      <w:r w:rsidR="00300E69">
        <w:rPr>
          <w:rFonts w:ascii="Times New Roman" w:hAnsi="Times New Roman"/>
          <w:sz w:val="24"/>
          <w:szCs w:val="24"/>
        </w:rPr>
        <w:t xml:space="preserve">ple levels: national, regional, </w:t>
      </w:r>
      <w:r w:rsidRPr="006B0B75">
        <w:rPr>
          <w:rFonts w:ascii="Times New Roman" w:hAnsi="Times New Roman"/>
          <w:sz w:val="24"/>
          <w:szCs w:val="24"/>
        </w:rPr>
        <w:t>and supranat</w:t>
      </w:r>
      <w:r>
        <w:rPr>
          <w:rFonts w:ascii="Times New Roman" w:hAnsi="Times New Roman"/>
          <w:sz w:val="24"/>
          <w:szCs w:val="24"/>
        </w:rPr>
        <w:t>ional levels.</w:t>
      </w:r>
      <w:r>
        <w:rPr>
          <w:rStyle w:val="FootnoteReference"/>
          <w:rFonts w:ascii="Times New Roman" w:hAnsi="Times New Roman"/>
          <w:sz w:val="24"/>
          <w:szCs w:val="24"/>
        </w:rPr>
        <w:footnoteReference w:id="48"/>
      </w:r>
      <w:r w:rsidR="00300E69">
        <w:rPr>
          <w:rFonts w:ascii="Times New Roman" w:hAnsi="Times New Roman"/>
          <w:sz w:val="24"/>
          <w:szCs w:val="24"/>
        </w:rPr>
        <w:t xml:space="preserve"> The c</w:t>
      </w:r>
      <w:r w:rsidRPr="006B0B75">
        <w:rPr>
          <w:rFonts w:ascii="Times New Roman" w:hAnsi="Times New Roman"/>
          <w:sz w:val="24"/>
          <w:szCs w:val="24"/>
        </w:rPr>
        <w:t xml:space="preserve">omplexity of the political system and multilevel governance contributes to </w:t>
      </w:r>
      <w:r w:rsidR="00300E69">
        <w:rPr>
          <w:rFonts w:ascii="Times New Roman" w:hAnsi="Times New Roman"/>
          <w:sz w:val="24"/>
          <w:szCs w:val="24"/>
        </w:rPr>
        <w:t xml:space="preserve">the </w:t>
      </w:r>
      <w:r w:rsidRPr="006B0B75">
        <w:rPr>
          <w:rFonts w:ascii="Times New Roman" w:hAnsi="Times New Roman"/>
          <w:sz w:val="24"/>
          <w:szCs w:val="24"/>
        </w:rPr>
        <w:t xml:space="preserve">strengthening of </w:t>
      </w:r>
      <w:r w:rsidR="00243693">
        <w:rPr>
          <w:rFonts w:ascii="Times New Roman" w:hAnsi="Times New Roman"/>
          <w:sz w:val="24"/>
          <w:szCs w:val="24"/>
        </w:rPr>
        <w:t xml:space="preserve">the </w:t>
      </w:r>
      <w:r w:rsidRPr="006B0B75">
        <w:rPr>
          <w:rFonts w:ascii="Times New Roman" w:hAnsi="Times New Roman"/>
          <w:sz w:val="24"/>
          <w:szCs w:val="24"/>
        </w:rPr>
        <w:t xml:space="preserve">sub-groups of the governance models such </w:t>
      </w:r>
      <w:r w:rsidR="00E91AD4" w:rsidRPr="006B0B75">
        <w:rPr>
          <w:rFonts w:ascii="Times New Roman" w:hAnsi="Times New Roman"/>
          <w:sz w:val="24"/>
          <w:szCs w:val="24"/>
        </w:rPr>
        <w:t>as democratic</w:t>
      </w:r>
      <w:r w:rsidRPr="006B0B75">
        <w:rPr>
          <w:rFonts w:ascii="Times New Roman" w:hAnsi="Times New Roman"/>
          <w:sz w:val="24"/>
          <w:szCs w:val="24"/>
        </w:rPr>
        <w:t xml:space="preserve"> governance and good governance; although, such systems are characterized by multiple</w:t>
      </w:r>
      <w:r w:rsidR="00296415">
        <w:rPr>
          <w:rFonts w:ascii="Times New Roman" w:hAnsi="Times New Roman"/>
          <w:sz w:val="24"/>
          <w:szCs w:val="24"/>
        </w:rPr>
        <w:t xml:space="preserve"> level veto mechanisms </w:t>
      </w:r>
      <w:r w:rsidR="002C54FC">
        <w:rPr>
          <w:rFonts w:ascii="Times New Roman" w:hAnsi="Times New Roman"/>
          <w:sz w:val="24"/>
          <w:szCs w:val="24"/>
        </w:rPr>
        <w:t>that significantly increase</w:t>
      </w:r>
      <w:r w:rsidRPr="006B0B75">
        <w:rPr>
          <w:rFonts w:ascii="Times New Roman" w:hAnsi="Times New Roman"/>
          <w:sz w:val="24"/>
          <w:szCs w:val="24"/>
        </w:rPr>
        <w:t xml:space="preserve"> the </w:t>
      </w:r>
      <w:r w:rsidR="00296415">
        <w:rPr>
          <w:rFonts w:ascii="Times New Roman" w:hAnsi="Times New Roman"/>
          <w:sz w:val="24"/>
          <w:szCs w:val="24"/>
        </w:rPr>
        <w:t>value</w:t>
      </w:r>
      <w:r w:rsidRPr="006B0B75">
        <w:rPr>
          <w:rFonts w:ascii="Times New Roman" w:hAnsi="Times New Roman"/>
          <w:sz w:val="24"/>
          <w:szCs w:val="24"/>
        </w:rPr>
        <w:t xml:space="preserve"> of negotiations</w:t>
      </w:r>
      <w:r w:rsidR="002C54FC">
        <w:rPr>
          <w:rFonts w:ascii="Times New Roman" w:hAnsi="Times New Roman"/>
          <w:sz w:val="24"/>
          <w:szCs w:val="24"/>
        </w:rPr>
        <w:t xml:space="preserve">, bargaining, </w:t>
      </w:r>
      <w:r w:rsidR="00296415">
        <w:rPr>
          <w:rFonts w:ascii="Times New Roman" w:hAnsi="Times New Roman"/>
          <w:sz w:val="24"/>
          <w:szCs w:val="24"/>
        </w:rPr>
        <w:t>and the consensus.</w:t>
      </w:r>
      <w:r>
        <w:rPr>
          <w:rStyle w:val="FootnoteReference"/>
          <w:rFonts w:ascii="Times New Roman" w:hAnsi="Times New Roman"/>
          <w:sz w:val="24"/>
          <w:szCs w:val="24"/>
        </w:rPr>
        <w:footnoteReference w:id="49"/>
      </w:r>
    </w:p>
    <w:p w:rsidR="009A64A0" w:rsidRPr="009A64A0" w:rsidRDefault="009A64A0" w:rsidP="009A64A0">
      <w:pPr>
        <w:pStyle w:val="NoSpacing"/>
      </w:pPr>
    </w:p>
    <w:p w:rsidR="00050BA9" w:rsidRDefault="00050BA9" w:rsidP="00050BA9">
      <w:pPr>
        <w:spacing w:line="360" w:lineRule="auto"/>
        <w:jc w:val="both"/>
        <w:rPr>
          <w:rFonts w:ascii="Times New Roman" w:hAnsi="Times New Roman"/>
          <w:sz w:val="24"/>
          <w:szCs w:val="24"/>
        </w:rPr>
      </w:pPr>
      <w:r w:rsidRPr="00922257">
        <w:rPr>
          <w:rFonts w:ascii="Times New Roman" w:hAnsi="Times New Roman"/>
          <w:i/>
          <w:sz w:val="24"/>
          <w:szCs w:val="24"/>
        </w:rPr>
        <w:t>External governance</w:t>
      </w:r>
      <w:r w:rsidRPr="006B0B75">
        <w:rPr>
          <w:rFonts w:ascii="Times New Roman" w:hAnsi="Times New Roman"/>
          <w:sz w:val="24"/>
          <w:szCs w:val="24"/>
        </w:rPr>
        <w:t xml:space="preserve"> is one of the main components of </w:t>
      </w:r>
      <w:r w:rsidR="00300E69">
        <w:rPr>
          <w:rFonts w:ascii="Times New Roman" w:hAnsi="Times New Roman"/>
          <w:sz w:val="24"/>
          <w:szCs w:val="24"/>
        </w:rPr>
        <w:t xml:space="preserve">the </w:t>
      </w:r>
      <w:r w:rsidRPr="006B0B75">
        <w:rPr>
          <w:rFonts w:ascii="Times New Roman" w:hAnsi="Times New Roman"/>
          <w:sz w:val="24"/>
          <w:szCs w:val="24"/>
        </w:rPr>
        <w:t xml:space="preserve">EU’s enlargement policy. It </w:t>
      </w:r>
      <w:r w:rsidR="00A044A4">
        <w:rPr>
          <w:rFonts w:ascii="Times New Roman" w:hAnsi="Times New Roman"/>
          <w:sz w:val="24"/>
          <w:szCs w:val="24"/>
        </w:rPr>
        <w:t>covers the legal and political</w:t>
      </w:r>
      <w:r w:rsidRPr="006B0B75">
        <w:rPr>
          <w:rFonts w:ascii="Times New Roman" w:hAnsi="Times New Roman"/>
          <w:sz w:val="24"/>
          <w:szCs w:val="24"/>
        </w:rPr>
        <w:t xml:space="preserve"> approximation of the third countries with the EU</w:t>
      </w:r>
      <w:r w:rsidR="00A044A4">
        <w:rPr>
          <w:rFonts w:ascii="Times New Roman" w:hAnsi="Times New Roman"/>
          <w:sz w:val="24"/>
          <w:szCs w:val="24"/>
        </w:rPr>
        <w:t>’regulations</w:t>
      </w:r>
      <w:r>
        <w:rPr>
          <w:rFonts w:ascii="Times New Roman" w:hAnsi="Times New Roman"/>
          <w:sz w:val="24"/>
          <w:szCs w:val="24"/>
        </w:rPr>
        <w:t>.</w:t>
      </w:r>
      <w:r>
        <w:rPr>
          <w:rStyle w:val="FootnoteReference"/>
          <w:rFonts w:ascii="Times New Roman" w:hAnsi="Times New Roman"/>
          <w:sz w:val="24"/>
          <w:szCs w:val="24"/>
        </w:rPr>
        <w:footnoteReference w:id="50"/>
      </w:r>
      <w:r w:rsidRPr="006B0B75">
        <w:rPr>
          <w:rFonts w:ascii="Times New Roman" w:hAnsi="Times New Roman"/>
          <w:sz w:val="24"/>
          <w:szCs w:val="24"/>
        </w:rPr>
        <w:t xml:space="preserve"> The external governance is not limited to </w:t>
      </w:r>
      <w:r w:rsidR="00A044A4">
        <w:rPr>
          <w:rFonts w:ascii="Times New Roman" w:hAnsi="Times New Roman"/>
          <w:sz w:val="24"/>
          <w:szCs w:val="24"/>
        </w:rPr>
        <w:t>the specific state</w:t>
      </w:r>
      <w:r w:rsidRPr="006B0B75">
        <w:rPr>
          <w:rFonts w:ascii="Times New Roman" w:hAnsi="Times New Roman"/>
          <w:sz w:val="24"/>
          <w:szCs w:val="24"/>
        </w:rPr>
        <w:t xml:space="preserve"> or non-state actors, it is relevant fo</w:t>
      </w:r>
      <w:r w:rsidR="00A044A4">
        <w:rPr>
          <w:rFonts w:ascii="Times New Roman" w:hAnsi="Times New Roman"/>
          <w:sz w:val="24"/>
          <w:szCs w:val="24"/>
        </w:rPr>
        <w:t xml:space="preserve">r </w:t>
      </w:r>
      <w:r w:rsidR="002C54FC">
        <w:rPr>
          <w:rFonts w:ascii="Times New Roman" w:hAnsi="Times New Roman"/>
          <w:sz w:val="24"/>
          <w:szCs w:val="24"/>
        </w:rPr>
        <w:t>the whole EU neighborhood to a</w:t>
      </w:r>
      <w:r w:rsidR="00300E69">
        <w:rPr>
          <w:rFonts w:ascii="Times New Roman" w:hAnsi="Times New Roman"/>
          <w:sz w:val="24"/>
          <w:szCs w:val="24"/>
        </w:rPr>
        <w:t xml:space="preserve"> c</w:t>
      </w:r>
      <w:r w:rsidRPr="006B0B75">
        <w:rPr>
          <w:rFonts w:ascii="Times New Roman" w:hAnsi="Times New Roman"/>
          <w:sz w:val="24"/>
          <w:szCs w:val="24"/>
        </w:rPr>
        <w:t>ertai</w:t>
      </w:r>
      <w:r w:rsidR="00A044A4">
        <w:rPr>
          <w:rFonts w:ascii="Times New Roman" w:hAnsi="Times New Roman"/>
          <w:sz w:val="24"/>
          <w:szCs w:val="24"/>
        </w:rPr>
        <w:t>n degree</w:t>
      </w:r>
      <w:r>
        <w:rPr>
          <w:rFonts w:ascii="Times New Roman" w:hAnsi="Times New Roman"/>
          <w:sz w:val="24"/>
          <w:szCs w:val="24"/>
        </w:rPr>
        <w:t>.</w:t>
      </w:r>
      <w:r>
        <w:rPr>
          <w:rStyle w:val="FootnoteReference"/>
          <w:rFonts w:ascii="Times New Roman" w:hAnsi="Times New Roman"/>
          <w:sz w:val="24"/>
          <w:szCs w:val="24"/>
        </w:rPr>
        <w:footnoteReference w:id="51"/>
      </w:r>
      <w:r>
        <w:rPr>
          <w:rFonts w:ascii="Times New Roman" w:hAnsi="Times New Roman"/>
          <w:sz w:val="24"/>
          <w:szCs w:val="24"/>
        </w:rPr>
        <w:t xml:space="preserve"> </w:t>
      </w:r>
      <w:r w:rsidR="00300E69">
        <w:rPr>
          <w:rFonts w:ascii="Times New Roman" w:hAnsi="Times New Roman"/>
          <w:sz w:val="24"/>
          <w:szCs w:val="24"/>
        </w:rPr>
        <w:t>The f</w:t>
      </w:r>
      <w:r w:rsidRPr="006B0B75">
        <w:rPr>
          <w:rFonts w:ascii="Times New Roman" w:hAnsi="Times New Roman"/>
          <w:sz w:val="24"/>
          <w:szCs w:val="24"/>
        </w:rPr>
        <w:t>undamental principle of the EU’s external gover</w:t>
      </w:r>
      <w:r w:rsidR="00AA1B40">
        <w:rPr>
          <w:rFonts w:ascii="Times New Roman" w:hAnsi="Times New Roman"/>
          <w:sz w:val="24"/>
          <w:szCs w:val="24"/>
        </w:rPr>
        <w:t xml:space="preserve">nance is the willingness of the neighbor state </w:t>
      </w:r>
      <w:r w:rsidRPr="006B0B75">
        <w:rPr>
          <w:rFonts w:ascii="Times New Roman" w:hAnsi="Times New Roman"/>
          <w:sz w:val="24"/>
          <w:szCs w:val="24"/>
        </w:rPr>
        <w:t xml:space="preserve">to adopt the EU’s institutional and legal norms on </w:t>
      </w:r>
      <w:r w:rsidR="00300E69">
        <w:rPr>
          <w:rFonts w:ascii="Times New Roman" w:hAnsi="Times New Roman"/>
          <w:sz w:val="24"/>
          <w:szCs w:val="24"/>
        </w:rPr>
        <w:t xml:space="preserve">the </w:t>
      </w:r>
      <w:r w:rsidR="00AA1B40">
        <w:rPr>
          <w:rFonts w:ascii="Times New Roman" w:hAnsi="Times New Roman"/>
          <w:sz w:val="24"/>
          <w:szCs w:val="24"/>
        </w:rPr>
        <w:t xml:space="preserve">domestic level. </w:t>
      </w:r>
      <w:r w:rsidRPr="006B0B75">
        <w:rPr>
          <w:rFonts w:ascii="Times New Roman" w:hAnsi="Times New Roman"/>
          <w:sz w:val="24"/>
          <w:szCs w:val="24"/>
        </w:rPr>
        <w:t xml:space="preserve">In </w:t>
      </w:r>
      <w:r w:rsidR="00E2671B">
        <w:rPr>
          <w:rFonts w:ascii="Times New Roman" w:hAnsi="Times New Roman"/>
          <w:sz w:val="24"/>
          <w:szCs w:val="24"/>
        </w:rPr>
        <w:t>this context</w:t>
      </w:r>
      <w:proofErr w:type="gramStart"/>
      <w:r w:rsidRPr="006B0B75">
        <w:rPr>
          <w:rFonts w:ascii="Times New Roman" w:hAnsi="Times New Roman"/>
          <w:sz w:val="24"/>
          <w:szCs w:val="24"/>
        </w:rPr>
        <w:t>,  the</w:t>
      </w:r>
      <w:proofErr w:type="gramEnd"/>
      <w:r w:rsidRPr="006B0B75">
        <w:rPr>
          <w:rFonts w:ascii="Times New Roman" w:hAnsi="Times New Roman"/>
          <w:sz w:val="24"/>
          <w:szCs w:val="24"/>
        </w:rPr>
        <w:t xml:space="preserve"> EU </w:t>
      </w:r>
      <w:r w:rsidRPr="007D7DCA">
        <w:rPr>
          <w:rFonts w:ascii="Times New Roman" w:hAnsi="Times New Roman"/>
          <w:i/>
          <w:sz w:val="24"/>
          <w:szCs w:val="24"/>
        </w:rPr>
        <w:t>acquis communautaire</w:t>
      </w:r>
      <w:r w:rsidR="00E2671B">
        <w:rPr>
          <w:rFonts w:ascii="Times New Roman" w:hAnsi="Times New Roman"/>
          <w:sz w:val="24"/>
          <w:szCs w:val="24"/>
        </w:rPr>
        <w:t xml:space="preserve"> and rules, as well as the </w:t>
      </w:r>
      <w:r w:rsidRPr="006B0B75">
        <w:rPr>
          <w:rFonts w:ascii="Times New Roman" w:hAnsi="Times New Roman"/>
          <w:sz w:val="24"/>
          <w:szCs w:val="24"/>
        </w:rPr>
        <w:t xml:space="preserve">directives have crucial significance due to their </w:t>
      </w:r>
      <w:r w:rsidR="00E2671B">
        <w:rPr>
          <w:rFonts w:ascii="Times New Roman" w:hAnsi="Times New Roman"/>
          <w:sz w:val="24"/>
          <w:szCs w:val="24"/>
        </w:rPr>
        <w:t>function</w:t>
      </w:r>
      <w:r>
        <w:rPr>
          <w:rFonts w:ascii="Times New Roman" w:hAnsi="Times New Roman"/>
          <w:sz w:val="24"/>
          <w:szCs w:val="24"/>
        </w:rPr>
        <w:t xml:space="preserve"> in </w:t>
      </w:r>
      <w:r w:rsidR="00300E69">
        <w:rPr>
          <w:rFonts w:ascii="Times New Roman" w:hAnsi="Times New Roman"/>
          <w:sz w:val="24"/>
          <w:szCs w:val="24"/>
        </w:rPr>
        <w:t xml:space="preserve">the </w:t>
      </w:r>
      <w:r>
        <w:rPr>
          <w:rFonts w:ascii="Times New Roman" w:hAnsi="Times New Roman"/>
          <w:sz w:val="24"/>
          <w:szCs w:val="24"/>
        </w:rPr>
        <w:t>enlargement process.</w:t>
      </w:r>
      <w:r>
        <w:rPr>
          <w:rStyle w:val="FootnoteReference"/>
          <w:rFonts w:ascii="Times New Roman" w:hAnsi="Times New Roman"/>
          <w:sz w:val="24"/>
          <w:szCs w:val="24"/>
        </w:rPr>
        <w:footnoteReference w:id="52"/>
      </w:r>
      <w:r w:rsidRPr="006B0B75">
        <w:rPr>
          <w:rFonts w:ascii="Times New Roman" w:hAnsi="Times New Roman"/>
          <w:sz w:val="24"/>
          <w:szCs w:val="24"/>
        </w:rPr>
        <w:t xml:space="preserve"> In regards to </w:t>
      </w:r>
      <w:r w:rsidR="009839D6">
        <w:rPr>
          <w:rFonts w:ascii="Times New Roman" w:hAnsi="Times New Roman"/>
          <w:sz w:val="24"/>
          <w:szCs w:val="24"/>
        </w:rPr>
        <w:t xml:space="preserve">the </w:t>
      </w:r>
      <w:r w:rsidRPr="006B0B75">
        <w:rPr>
          <w:rFonts w:ascii="Times New Roman" w:hAnsi="Times New Roman"/>
          <w:sz w:val="24"/>
          <w:szCs w:val="24"/>
        </w:rPr>
        <w:t xml:space="preserve">territorial boundaries, </w:t>
      </w:r>
      <w:r w:rsidRPr="007D7DCA">
        <w:rPr>
          <w:rFonts w:ascii="Times New Roman" w:hAnsi="Times New Roman"/>
          <w:i/>
          <w:sz w:val="24"/>
          <w:szCs w:val="24"/>
        </w:rPr>
        <w:t>Article 49</w:t>
      </w:r>
      <w:r w:rsidRPr="006B0B75">
        <w:rPr>
          <w:rFonts w:ascii="Times New Roman" w:hAnsi="Times New Roman"/>
          <w:sz w:val="24"/>
          <w:szCs w:val="24"/>
        </w:rPr>
        <w:t xml:space="preserve"> of </w:t>
      </w:r>
      <w:r w:rsidRPr="009839D6">
        <w:rPr>
          <w:rFonts w:ascii="Times New Roman" w:hAnsi="Times New Roman"/>
          <w:i/>
          <w:sz w:val="24"/>
          <w:szCs w:val="24"/>
        </w:rPr>
        <w:t>the Treaty of European Union</w:t>
      </w:r>
      <w:r w:rsidRPr="006B0B75">
        <w:rPr>
          <w:rFonts w:ascii="Times New Roman" w:hAnsi="Times New Roman"/>
          <w:sz w:val="24"/>
          <w:szCs w:val="24"/>
        </w:rPr>
        <w:t xml:space="preserve"> states that any European state wh</w:t>
      </w:r>
      <w:r w:rsidR="009839D6">
        <w:rPr>
          <w:rFonts w:ascii="Times New Roman" w:hAnsi="Times New Roman"/>
          <w:sz w:val="24"/>
          <w:szCs w:val="24"/>
        </w:rPr>
        <w:t>ich is committed to the EU’s</w:t>
      </w:r>
      <w:r w:rsidRPr="006B0B75">
        <w:rPr>
          <w:rFonts w:ascii="Times New Roman" w:hAnsi="Times New Roman"/>
          <w:sz w:val="24"/>
          <w:szCs w:val="24"/>
        </w:rPr>
        <w:t xml:space="preserve"> values and promotes them on </w:t>
      </w:r>
      <w:r w:rsidR="002C54FC">
        <w:rPr>
          <w:rFonts w:ascii="Times New Roman" w:hAnsi="Times New Roman"/>
          <w:sz w:val="24"/>
          <w:szCs w:val="24"/>
        </w:rPr>
        <w:t xml:space="preserve">the </w:t>
      </w:r>
      <w:r w:rsidR="009839D6">
        <w:rPr>
          <w:rFonts w:ascii="Times New Roman" w:hAnsi="Times New Roman"/>
          <w:sz w:val="24"/>
          <w:szCs w:val="24"/>
        </w:rPr>
        <w:t>domestic</w:t>
      </w:r>
      <w:r w:rsidRPr="006B0B75">
        <w:rPr>
          <w:rFonts w:ascii="Times New Roman" w:hAnsi="Times New Roman"/>
          <w:sz w:val="24"/>
          <w:szCs w:val="24"/>
        </w:rPr>
        <w:t xml:space="preserve"> and regional level</w:t>
      </w:r>
      <w:r w:rsidR="002C54FC">
        <w:rPr>
          <w:rFonts w:ascii="Times New Roman" w:hAnsi="Times New Roman"/>
          <w:sz w:val="24"/>
          <w:szCs w:val="24"/>
        </w:rPr>
        <w:t xml:space="preserve"> </w:t>
      </w:r>
      <w:r w:rsidRPr="006B0B75">
        <w:rPr>
          <w:rFonts w:ascii="Times New Roman" w:hAnsi="Times New Roman"/>
          <w:sz w:val="24"/>
          <w:szCs w:val="24"/>
        </w:rPr>
        <w:t xml:space="preserve">can apply </w:t>
      </w:r>
      <w:r w:rsidR="00300E69">
        <w:rPr>
          <w:rFonts w:ascii="Times New Roman" w:hAnsi="Times New Roman"/>
          <w:sz w:val="24"/>
          <w:szCs w:val="24"/>
        </w:rPr>
        <w:t xml:space="preserve">to become a </w:t>
      </w:r>
      <w:r w:rsidR="009839D6">
        <w:rPr>
          <w:rFonts w:ascii="Times New Roman" w:hAnsi="Times New Roman"/>
          <w:sz w:val="24"/>
          <w:szCs w:val="24"/>
        </w:rPr>
        <w:t>member of the Union</w:t>
      </w:r>
      <w:r>
        <w:rPr>
          <w:rFonts w:ascii="Times New Roman" w:hAnsi="Times New Roman"/>
          <w:sz w:val="24"/>
          <w:szCs w:val="24"/>
        </w:rPr>
        <w:t>.</w:t>
      </w:r>
      <w:r>
        <w:rPr>
          <w:rStyle w:val="FootnoteReference"/>
          <w:rFonts w:ascii="Times New Roman" w:hAnsi="Times New Roman"/>
          <w:sz w:val="24"/>
          <w:szCs w:val="24"/>
        </w:rPr>
        <w:footnoteReference w:id="53"/>
      </w:r>
      <w:r w:rsidRPr="006B0B75">
        <w:rPr>
          <w:rFonts w:ascii="Times New Roman" w:hAnsi="Times New Roman"/>
          <w:b/>
          <w:sz w:val="24"/>
          <w:szCs w:val="24"/>
        </w:rPr>
        <w:t xml:space="preserve"> </w:t>
      </w:r>
      <w:r w:rsidR="002C54FC">
        <w:rPr>
          <w:rFonts w:ascii="Times New Roman" w:hAnsi="Times New Roman"/>
          <w:sz w:val="24"/>
          <w:szCs w:val="24"/>
        </w:rPr>
        <w:t xml:space="preserve">The perspective of </w:t>
      </w:r>
      <w:r w:rsidR="005E6FD4">
        <w:rPr>
          <w:rFonts w:ascii="Times New Roman" w:hAnsi="Times New Roman"/>
          <w:sz w:val="24"/>
          <w:szCs w:val="24"/>
        </w:rPr>
        <w:t>f</w:t>
      </w:r>
      <w:r w:rsidRPr="006B0B75">
        <w:rPr>
          <w:rFonts w:ascii="Times New Roman" w:hAnsi="Times New Roman"/>
          <w:sz w:val="24"/>
          <w:szCs w:val="24"/>
        </w:rPr>
        <w:t>uture membership is the</w:t>
      </w:r>
      <w:r w:rsidR="005E6FD4">
        <w:rPr>
          <w:rFonts w:ascii="Times New Roman" w:hAnsi="Times New Roman"/>
          <w:sz w:val="24"/>
          <w:szCs w:val="24"/>
        </w:rPr>
        <w:t xml:space="preserve"> main</w:t>
      </w:r>
      <w:r w:rsidRPr="006B0B75">
        <w:rPr>
          <w:rFonts w:ascii="Times New Roman" w:hAnsi="Times New Roman"/>
          <w:sz w:val="24"/>
          <w:szCs w:val="24"/>
        </w:rPr>
        <w:t xml:space="preserve"> driving force of the Europeanization process.</w:t>
      </w:r>
      <w:r>
        <w:rPr>
          <w:rStyle w:val="FootnoteReference"/>
          <w:rFonts w:ascii="Times New Roman" w:hAnsi="Times New Roman"/>
          <w:sz w:val="24"/>
          <w:szCs w:val="24"/>
        </w:rPr>
        <w:footnoteReference w:id="54"/>
      </w:r>
      <w:r w:rsidRPr="006B0B75">
        <w:rPr>
          <w:rFonts w:ascii="Times New Roman" w:hAnsi="Times New Roman"/>
          <w:sz w:val="24"/>
          <w:szCs w:val="24"/>
        </w:rPr>
        <w:t xml:space="preserve"> The EU’s external governance </w:t>
      </w:r>
      <w:r w:rsidR="005E6FD4">
        <w:rPr>
          <w:rFonts w:ascii="Times New Roman" w:hAnsi="Times New Roman"/>
          <w:sz w:val="24"/>
          <w:szCs w:val="24"/>
        </w:rPr>
        <w:t>compromise of various economic and socio-polit</w:t>
      </w:r>
      <w:r w:rsidR="002C54FC">
        <w:rPr>
          <w:rFonts w:ascii="Times New Roman" w:hAnsi="Times New Roman"/>
          <w:sz w:val="24"/>
          <w:szCs w:val="24"/>
        </w:rPr>
        <w:t>i</w:t>
      </w:r>
      <w:r w:rsidR="005E6FD4">
        <w:rPr>
          <w:rFonts w:ascii="Times New Roman" w:hAnsi="Times New Roman"/>
          <w:sz w:val="24"/>
          <w:szCs w:val="24"/>
        </w:rPr>
        <w:t xml:space="preserve">cal instruments which enable the </w:t>
      </w:r>
      <w:r w:rsidRPr="006B0B75">
        <w:rPr>
          <w:rFonts w:ascii="Times New Roman" w:hAnsi="Times New Roman"/>
          <w:sz w:val="24"/>
          <w:szCs w:val="24"/>
        </w:rPr>
        <w:t>enhance</w:t>
      </w:r>
      <w:r w:rsidR="005E6FD4">
        <w:rPr>
          <w:rFonts w:ascii="Times New Roman" w:hAnsi="Times New Roman"/>
          <w:sz w:val="24"/>
          <w:szCs w:val="24"/>
        </w:rPr>
        <w:t>ment</w:t>
      </w:r>
      <w:r w:rsidRPr="006B0B75">
        <w:rPr>
          <w:rFonts w:ascii="Times New Roman" w:hAnsi="Times New Roman"/>
          <w:sz w:val="24"/>
          <w:szCs w:val="24"/>
        </w:rPr>
        <w:t xml:space="preserve"> </w:t>
      </w:r>
      <w:r w:rsidR="005E6FD4">
        <w:rPr>
          <w:rFonts w:ascii="Times New Roman" w:hAnsi="Times New Roman"/>
          <w:sz w:val="24"/>
          <w:szCs w:val="24"/>
        </w:rPr>
        <w:t xml:space="preserve">of </w:t>
      </w:r>
      <w:r w:rsidRPr="006B0B75">
        <w:rPr>
          <w:rFonts w:ascii="Times New Roman" w:hAnsi="Times New Roman"/>
          <w:sz w:val="24"/>
          <w:szCs w:val="24"/>
        </w:rPr>
        <w:t xml:space="preserve">the Europeanization process </w:t>
      </w:r>
      <w:r w:rsidR="005E6FD4">
        <w:rPr>
          <w:rFonts w:ascii="Times New Roman" w:hAnsi="Times New Roman"/>
          <w:sz w:val="24"/>
          <w:szCs w:val="24"/>
        </w:rPr>
        <w:t xml:space="preserve">even </w:t>
      </w:r>
      <w:r w:rsidRPr="006B0B75">
        <w:rPr>
          <w:rFonts w:ascii="Times New Roman" w:hAnsi="Times New Roman"/>
          <w:sz w:val="24"/>
          <w:szCs w:val="24"/>
        </w:rPr>
        <w:t xml:space="preserve">when the membership is not expected in </w:t>
      </w:r>
      <w:r w:rsidR="00300E69">
        <w:rPr>
          <w:rFonts w:ascii="Times New Roman" w:hAnsi="Times New Roman"/>
          <w:sz w:val="24"/>
          <w:szCs w:val="24"/>
        </w:rPr>
        <w:t xml:space="preserve">the </w:t>
      </w:r>
      <w:r w:rsidR="005E6FD4">
        <w:rPr>
          <w:rFonts w:ascii="Times New Roman" w:hAnsi="Times New Roman"/>
          <w:sz w:val="24"/>
          <w:szCs w:val="24"/>
        </w:rPr>
        <w:t>foreseeable future. The e</w:t>
      </w:r>
      <w:r w:rsidRPr="006B0B75">
        <w:rPr>
          <w:rFonts w:ascii="Times New Roman" w:hAnsi="Times New Roman"/>
          <w:sz w:val="24"/>
          <w:szCs w:val="24"/>
        </w:rPr>
        <w:t xml:space="preserve">xternal governance is embodied in </w:t>
      </w:r>
      <w:r w:rsidR="005E6FD4">
        <w:rPr>
          <w:rFonts w:ascii="Times New Roman" w:hAnsi="Times New Roman"/>
          <w:sz w:val="24"/>
          <w:szCs w:val="24"/>
        </w:rPr>
        <w:t xml:space="preserve">the </w:t>
      </w:r>
      <w:r w:rsidRPr="006B0B75">
        <w:rPr>
          <w:rFonts w:ascii="Times New Roman" w:hAnsi="Times New Roman"/>
          <w:sz w:val="24"/>
          <w:szCs w:val="24"/>
        </w:rPr>
        <w:t xml:space="preserve">European Neighborhood Policy (ENP) – </w:t>
      </w:r>
      <w:r w:rsidR="005E6FD4">
        <w:rPr>
          <w:rFonts w:ascii="Times New Roman" w:hAnsi="Times New Roman"/>
          <w:sz w:val="24"/>
          <w:szCs w:val="24"/>
        </w:rPr>
        <w:t xml:space="preserve">one of </w:t>
      </w:r>
      <w:r w:rsidRPr="006B0B75">
        <w:rPr>
          <w:rFonts w:ascii="Times New Roman" w:hAnsi="Times New Roman"/>
          <w:sz w:val="24"/>
          <w:szCs w:val="24"/>
        </w:rPr>
        <w:t>the main instrument</w:t>
      </w:r>
      <w:r w:rsidR="005E6FD4">
        <w:rPr>
          <w:rFonts w:ascii="Times New Roman" w:hAnsi="Times New Roman"/>
          <w:sz w:val="24"/>
          <w:szCs w:val="24"/>
        </w:rPr>
        <w:t>s</w:t>
      </w:r>
      <w:r w:rsidRPr="006B0B75">
        <w:rPr>
          <w:rFonts w:ascii="Times New Roman" w:hAnsi="Times New Roman"/>
          <w:sz w:val="24"/>
          <w:szCs w:val="24"/>
        </w:rPr>
        <w:t xml:space="preserve"> of the EU’s cooperation with Eastern and Southern partners. Furthermore, external governance </w:t>
      </w:r>
      <w:r w:rsidR="005E6FD4">
        <w:rPr>
          <w:rFonts w:ascii="Times New Roman" w:hAnsi="Times New Roman"/>
          <w:sz w:val="24"/>
          <w:szCs w:val="24"/>
        </w:rPr>
        <w:t>can be explored through the</w:t>
      </w:r>
      <w:r w:rsidRPr="006B0B75">
        <w:rPr>
          <w:rFonts w:ascii="Times New Roman" w:hAnsi="Times New Roman"/>
          <w:sz w:val="24"/>
          <w:szCs w:val="24"/>
        </w:rPr>
        <w:t xml:space="preserve"> cooperation between the EU and the third parties in </w:t>
      </w:r>
      <w:r w:rsidR="005E6FD4">
        <w:rPr>
          <w:rFonts w:ascii="Times New Roman" w:hAnsi="Times New Roman"/>
          <w:sz w:val="24"/>
          <w:szCs w:val="24"/>
        </w:rPr>
        <w:t>specific</w:t>
      </w:r>
      <w:r w:rsidRPr="006B0B75">
        <w:rPr>
          <w:rFonts w:ascii="Times New Roman" w:hAnsi="Times New Roman"/>
          <w:sz w:val="24"/>
          <w:szCs w:val="24"/>
        </w:rPr>
        <w:t xml:space="preserve"> p</w:t>
      </w:r>
      <w:r>
        <w:rPr>
          <w:rFonts w:ascii="Times New Roman" w:hAnsi="Times New Roman"/>
          <w:sz w:val="24"/>
          <w:szCs w:val="24"/>
        </w:rPr>
        <w:t xml:space="preserve">olicy areas or parts of </w:t>
      </w:r>
      <w:r w:rsidR="00300E69">
        <w:rPr>
          <w:rFonts w:ascii="Times New Roman" w:hAnsi="Times New Roman"/>
          <w:sz w:val="24"/>
          <w:szCs w:val="24"/>
        </w:rPr>
        <w:t xml:space="preserve">the </w:t>
      </w:r>
      <w:r>
        <w:rPr>
          <w:rFonts w:ascii="Times New Roman" w:hAnsi="Times New Roman"/>
          <w:sz w:val="24"/>
          <w:szCs w:val="24"/>
        </w:rPr>
        <w:t>acquis.</w:t>
      </w:r>
      <w:r>
        <w:rPr>
          <w:rStyle w:val="FootnoteReference"/>
          <w:rFonts w:ascii="Times New Roman" w:hAnsi="Times New Roman"/>
          <w:sz w:val="24"/>
          <w:szCs w:val="24"/>
        </w:rPr>
        <w:footnoteReference w:id="55"/>
      </w:r>
      <w:r>
        <w:rPr>
          <w:rFonts w:ascii="Times New Roman" w:hAnsi="Times New Roman"/>
          <w:sz w:val="24"/>
          <w:szCs w:val="24"/>
        </w:rPr>
        <w:t xml:space="preserve"> </w:t>
      </w:r>
      <w:r w:rsidRPr="006B0B75">
        <w:rPr>
          <w:rFonts w:ascii="Times New Roman" w:hAnsi="Times New Roman"/>
          <w:sz w:val="24"/>
          <w:szCs w:val="24"/>
        </w:rPr>
        <w:t>The scholarly literature distinguishes two m</w:t>
      </w:r>
      <w:r w:rsidR="00300E69">
        <w:rPr>
          <w:rFonts w:ascii="Times New Roman" w:hAnsi="Times New Roman"/>
          <w:sz w:val="24"/>
          <w:szCs w:val="24"/>
        </w:rPr>
        <w:t xml:space="preserve">ajor forms of initiation of </w:t>
      </w:r>
      <w:r w:rsidR="0008604F">
        <w:rPr>
          <w:rFonts w:ascii="Times New Roman" w:hAnsi="Times New Roman"/>
          <w:sz w:val="24"/>
          <w:szCs w:val="24"/>
        </w:rPr>
        <w:t xml:space="preserve">the </w:t>
      </w:r>
      <w:r w:rsidRPr="006B0B75">
        <w:rPr>
          <w:rFonts w:ascii="Times New Roman" w:hAnsi="Times New Roman"/>
          <w:sz w:val="24"/>
          <w:szCs w:val="24"/>
        </w:rPr>
        <w:t>external governance: e</w:t>
      </w:r>
      <w:r w:rsidR="0008604F">
        <w:rPr>
          <w:rFonts w:ascii="Times New Roman" w:hAnsi="Times New Roman"/>
          <w:sz w:val="24"/>
          <w:szCs w:val="24"/>
        </w:rPr>
        <w:t>xternal (Initiated by the EU</w:t>
      </w:r>
      <w:r w:rsidRPr="006B0B75">
        <w:rPr>
          <w:rFonts w:ascii="Times New Roman" w:hAnsi="Times New Roman"/>
          <w:sz w:val="24"/>
          <w:szCs w:val="24"/>
        </w:rPr>
        <w:t>) and internal (</w:t>
      </w:r>
      <w:r w:rsidR="0008604F">
        <w:rPr>
          <w:rFonts w:ascii="Times New Roman" w:hAnsi="Times New Roman"/>
          <w:sz w:val="24"/>
          <w:szCs w:val="24"/>
        </w:rPr>
        <w:t xml:space="preserve">Interest </w:t>
      </w:r>
      <w:r w:rsidR="0008604F">
        <w:rPr>
          <w:rFonts w:ascii="Times New Roman" w:hAnsi="Times New Roman"/>
          <w:sz w:val="24"/>
          <w:szCs w:val="24"/>
        </w:rPr>
        <w:lastRenderedPageBreak/>
        <w:t>expressed by the third party)</w:t>
      </w:r>
      <w:r>
        <w:rPr>
          <w:rFonts w:ascii="Times New Roman" w:hAnsi="Times New Roman"/>
          <w:sz w:val="24"/>
          <w:szCs w:val="24"/>
        </w:rPr>
        <w:t>.</w:t>
      </w:r>
      <w:r>
        <w:rPr>
          <w:rStyle w:val="FootnoteReference"/>
          <w:rFonts w:ascii="Times New Roman" w:hAnsi="Times New Roman"/>
          <w:sz w:val="24"/>
          <w:szCs w:val="24"/>
        </w:rPr>
        <w:footnoteReference w:id="56"/>
      </w:r>
      <w:r w:rsidRPr="006B0B75">
        <w:rPr>
          <w:rFonts w:ascii="Times New Roman" w:hAnsi="Times New Roman"/>
          <w:sz w:val="24"/>
          <w:szCs w:val="24"/>
        </w:rPr>
        <w:t xml:space="preserve"> Externally driven mechanisms </w:t>
      </w:r>
      <w:r w:rsidR="00D42FB8">
        <w:rPr>
          <w:rFonts w:ascii="Times New Roman" w:hAnsi="Times New Roman"/>
          <w:sz w:val="24"/>
          <w:szCs w:val="24"/>
        </w:rPr>
        <w:t xml:space="preserve">follow the </w:t>
      </w:r>
      <w:r w:rsidRPr="006B0B75">
        <w:rPr>
          <w:rFonts w:ascii="Times New Roman" w:hAnsi="Times New Roman"/>
          <w:sz w:val="24"/>
          <w:szCs w:val="24"/>
        </w:rPr>
        <w:t>‘</w:t>
      </w:r>
      <w:r w:rsidRPr="00922257">
        <w:rPr>
          <w:rFonts w:ascii="Times New Roman" w:hAnsi="Times New Roman"/>
          <w:i/>
          <w:sz w:val="24"/>
          <w:szCs w:val="24"/>
        </w:rPr>
        <w:t>logic of</w:t>
      </w:r>
      <w:r w:rsidRPr="006B0B75">
        <w:rPr>
          <w:rFonts w:ascii="Times New Roman" w:hAnsi="Times New Roman"/>
          <w:sz w:val="24"/>
          <w:szCs w:val="24"/>
        </w:rPr>
        <w:t xml:space="preserve"> </w:t>
      </w:r>
      <w:r w:rsidRPr="00922257">
        <w:rPr>
          <w:rFonts w:ascii="Times New Roman" w:hAnsi="Times New Roman"/>
          <w:i/>
          <w:sz w:val="24"/>
          <w:szCs w:val="24"/>
        </w:rPr>
        <w:t>consequences’</w:t>
      </w:r>
      <w:r w:rsidRPr="006B0B75">
        <w:rPr>
          <w:rFonts w:ascii="Times New Roman" w:hAnsi="Times New Roman"/>
          <w:sz w:val="24"/>
          <w:szCs w:val="24"/>
        </w:rPr>
        <w:t>.  According to this approach, the third parties seek to deepen their relations with the EU through the mechanism of conditional</w:t>
      </w:r>
      <w:r w:rsidR="00D42FB8">
        <w:rPr>
          <w:rFonts w:ascii="Times New Roman" w:hAnsi="Times New Roman"/>
          <w:sz w:val="24"/>
          <w:szCs w:val="24"/>
        </w:rPr>
        <w:t xml:space="preserve">ity which essentially compromises of the rewards </w:t>
      </w:r>
      <w:r>
        <w:rPr>
          <w:rFonts w:ascii="Times New Roman" w:hAnsi="Times New Roman"/>
          <w:sz w:val="24"/>
          <w:szCs w:val="24"/>
        </w:rPr>
        <w:t>and sanctions.</w:t>
      </w:r>
      <w:r>
        <w:rPr>
          <w:rStyle w:val="FootnoteReference"/>
          <w:rFonts w:ascii="Times New Roman" w:hAnsi="Times New Roman"/>
          <w:sz w:val="24"/>
          <w:szCs w:val="24"/>
        </w:rPr>
        <w:footnoteReference w:id="57"/>
      </w:r>
    </w:p>
    <w:p w:rsidR="009A64A0" w:rsidRPr="009A64A0" w:rsidRDefault="009A64A0" w:rsidP="009A64A0">
      <w:pPr>
        <w:pStyle w:val="NoSpacing"/>
      </w:pPr>
    </w:p>
    <w:p w:rsidR="00050BA9" w:rsidRPr="006B0B75" w:rsidRDefault="00050BA9" w:rsidP="00050BA9">
      <w:pPr>
        <w:spacing w:line="360" w:lineRule="auto"/>
        <w:jc w:val="both"/>
        <w:rPr>
          <w:rFonts w:ascii="Times New Roman" w:hAnsi="Times New Roman"/>
          <w:sz w:val="24"/>
          <w:szCs w:val="24"/>
        </w:rPr>
      </w:pPr>
      <w:r w:rsidRPr="006B0B75">
        <w:rPr>
          <w:rFonts w:ascii="Times New Roman" w:hAnsi="Times New Roman"/>
          <w:sz w:val="24"/>
          <w:szCs w:val="24"/>
        </w:rPr>
        <w:t xml:space="preserve">On </w:t>
      </w:r>
      <w:r w:rsidR="00300E69">
        <w:rPr>
          <w:rFonts w:ascii="Times New Roman" w:hAnsi="Times New Roman"/>
          <w:sz w:val="24"/>
          <w:szCs w:val="24"/>
        </w:rPr>
        <w:t xml:space="preserve">the </w:t>
      </w:r>
      <w:r w:rsidRPr="006B0B75">
        <w:rPr>
          <w:rFonts w:ascii="Times New Roman" w:hAnsi="Times New Roman"/>
          <w:sz w:val="24"/>
          <w:szCs w:val="24"/>
        </w:rPr>
        <w:t>contrary, the ‘</w:t>
      </w:r>
      <w:r w:rsidRPr="00922257">
        <w:rPr>
          <w:rFonts w:ascii="Times New Roman" w:hAnsi="Times New Roman"/>
          <w:i/>
          <w:sz w:val="24"/>
          <w:szCs w:val="24"/>
        </w:rPr>
        <w:t>logic of appropriateness’</w:t>
      </w:r>
      <w:r w:rsidRPr="006B0B75">
        <w:rPr>
          <w:rFonts w:ascii="Times New Roman" w:hAnsi="Times New Roman"/>
          <w:sz w:val="24"/>
          <w:szCs w:val="24"/>
        </w:rPr>
        <w:t xml:space="preserve"> is driven by </w:t>
      </w:r>
      <w:r w:rsidR="00300E69">
        <w:rPr>
          <w:rFonts w:ascii="Times New Roman" w:hAnsi="Times New Roman"/>
          <w:sz w:val="24"/>
          <w:szCs w:val="24"/>
        </w:rPr>
        <w:t xml:space="preserve">the interest in social learning. </w:t>
      </w:r>
      <w:r w:rsidR="00834CF8">
        <w:rPr>
          <w:rFonts w:ascii="Times New Roman" w:hAnsi="Times New Roman"/>
          <w:sz w:val="24"/>
          <w:szCs w:val="24"/>
        </w:rPr>
        <w:t>In this case, t</w:t>
      </w:r>
      <w:r w:rsidR="00300E69">
        <w:rPr>
          <w:rFonts w:ascii="Times New Roman" w:hAnsi="Times New Roman"/>
          <w:sz w:val="24"/>
          <w:szCs w:val="24"/>
        </w:rPr>
        <w:t>he third-</w:t>
      </w:r>
      <w:r w:rsidRPr="006B0B75">
        <w:rPr>
          <w:rFonts w:ascii="Times New Roman" w:hAnsi="Times New Roman"/>
          <w:sz w:val="24"/>
          <w:szCs w:val="24"/>
        </w:rPr>
        <w:t xml:space="preserve">party seeks </w:t>
      </w:r>
      <w:r w:rsidR="00300E69">
        <w:rPr>
          <w:rFonts w:ascii="Times New Roman" w:hAnsi="Times New Roman"/>
          <w:sz w:val="24"/>
          <w:szCs w:val="24"/>
        </w:rPr>
        <w:t xml:space="preserve">to </w:t>
      </w:r>
      <w:r w:rsidRPr="006B0B75">
        <w:rPr>
          <w:rFonts w:ascii="Times New Roman" w:hAnsi="Times New Roman"/>
          <w:sz w:val="24"/>
          <w:szCs w:val="24"/>
        </w:rPr>
        <w:t>adopt certain rules and norms of the EU to change the domestic s</w:t>
      </w:r>
      <w:r>
        <w:rPr>
          <w:rFonts w:ascii="Times New Roman" w:hAnsi="Times New Roman"/>
          <w:sz w:val="24"/>
          <w:szCs w:val="24"/>
        </w:rPr>
        <w:t>tatus quo.</w:t>
      </w:r>
      <w:r>
        <w:rPr>
          <w:rStyle w:val="FootnoteReference"/>
          <w:rFonts w:ascii="Times New Roman" w:hAnsi="Times New Roman"/>
          <w:sz w:val="24"/>
          <w:szCs w:val="24"/>
        </w:rPr>
        <w:footnoteReference w:id="58"/>
      </w:r>
      <w:r w:rsidRPr="006B0B75">
        <w:rPr>
          <w:rFonts w:ascii="Times New Roman" w:hAnsi="Times New Roman"/>
          <w:sz w:val="24"/>
          <w:szCs w:val="24"/>
        </w:rPr>
        <w:t xml:space="preserve"> The EU’s incentives serve as </w:t>
      </w:r>
      <w:r w:rsidR="00300E69">
        <w:rPr>
          <w:rFonts w:ascii="Times New Roman" w:hAnsi="Times New Roman"/>
          <w:sz w:val="24"/>
          <w:szCs w:val="24"/>
        </w:rPr>
        <w:t>a source of motivation for</w:t>
      </w:r>
      <w:r w:rsidRPr="006B0B75">
        <w:rPr>
          <w:rFonts w:ascii="Times New Roman" w:hAnsi="Times New Roman"/>
          <w:sz w:val="24"/>
          <w:szCs w:val="24"/>
        </w:rPr>
        <w:t xml:space="preserve"> the third parties. The policy of ‘stick and carrot’ enables the EU to practice its external g</w:t>
      </w:r>
      <w:r>
        <w:rPr>
          <w:rFonts w:ascii="Times New Roman" w:hAnsi="Times New Roman"/>
          <w:sz w:val="24"/>
          <w:szCs w:val="24"/>
        </w:rPr>
        <w:t>overnance on specific targets.</w:t>
      </w:r>
      <w:r>
        <w:rPr>
          <w:rStyle w:val="FootnoteReference"/>
          <w:rFonts w:ascii="Times New Roman" w:hAnsi="Times New Roman"/>
          <w:sz w:val="24"/>
          <w:szCs w:val="24"/>
        </w:rPr>
        <w:footnoteReference w:id="59"/>
      </w:r>
      <w:r w:rsidRPr="006B0B75">
        <w:rPr>
          <w:rFonts w:ascii="Times New Roman" w:hAnsi="Times New Roman"/>
          <w:sz w:val="24"/>
          <w:szCs w:val="24"/>
        </w:rPr>
        <w:t xml:space="preserve"> The third countries often seek for the membership as the most prioritized reward – a ‘golden carrot’.  The ‘golden carrot’ enables the EU to show more persuasive character in negotiations and export of its norms, as long as other incentives such as Association agreement and visa liberalization are perceived to be comparably weake</w:t>
      </w:r>
      <w:r>
        <w:rPr>
          <w:rFonts w:ascii="Times New Roman" w:hAnsi="Times New Roman"/>
          <w:sz w:val="24"/>
          <w:szCs w:val="24"/>
        </w:rPr>
        <w:t>r.</w:t>
      </w:r>
      <w:r>
        <w:rPr>
          <w:rStyle w:val="FootnoteReference"/>
          <w:rFonts w:ascii="Times New Roman" w:hAnsi="Times New Roman"/>
          <w:sz w:val="24"/>
          <w:szCs w:val="24"/>
        </w:rPr>
        <w:footnoteReference w:id="60"/>
      </w:r>
    </w:p>
    <w:p w:rsidR="00050BA9" w:rsidRDefault="00050BA9" w:rsidP="00050BA9">
      <w:pPr>
        <w:spacing w:line="360" w:lineRule="auto"/>
        <w:jc w:val="both"/>
        <w:rPr>
          <w:rFonts w:ascii="Times New Roman" w:hAnsi="Times New Roman"/>
          <w:sz w:val="24"/>
          <w:szCs w:val="24"/>
        </w:rPr>
      </w:pPr>
      <w:r w:rsidRPr="006B0B75">
        <w:rPr>
          <w:rFonts w:ascii="Times New Roman" w:hAnsi="Times New Roman"/>
          <w:sz w:val="24"/>
          <w:szCs w:val="24"/>
        </w:rPr>
        <w:t>The applicability of the EU’s external governance mechanism</w:t>
      </w:r>
      <w:r w:rsidR="00300E69">
        <w:rPr>
          <w:rFonts w:ascii="Times New Roman" w:hAnsi="Times New Roman"/>
          <w:sz w:val="24"/>
          <w:szCs w:val="24"/>
        </w:rPr>
        <w:t>s to this study will be shown in</w:t>
      </w:r>
      <w:r w:rsidRPr="006B0B75">
        <w:rPr>
          <w:rFonts w:ascii="Times New Roman" w:hAnsi="Times New Roman"/>
          <w:sz w:val="24"/>
          <w:szCs w:val="24"/>
        </w:rPr>
        <w:t xml:space="preserve"> all stages of empirical analysis. The evolution of the EU-Georgia partnership since </w:t>
      </w:r>
      <w:r w:rsidR="00300E69">
        <w:rPr>
          <w:rFonts w:ascii="Times New Roman" w:hAnsi="Times New Roman"/>
          <w:sz w:val="24"/>
          <w:szCs w:val="24"/>
        </w:rPr>
        <w:t xml:space="preserve">launching </w:t>
      </w:r>
      <w:r w:rsidRPr="006B0B75">
        <w:rPr>
          <w:rFonts w:ascii="Times New Roman" w:hAnsi="Times New Roman"/>
          <w:sz w:val="24"/>
          <w:szCs w:val="24"/>
        </w:rPr>
        <w:t xml:space="preserve">the ENP in </w:t>
      </w:r>
      <w:r w:rsidR="00300E69">
        <w:rPr>
          <w:rFonts w:ascii="Times New Roman" w:hAnsi="Times New Roman"/>
          <w:sz w:val="24"/>
          <w:szCs w:val="24"/>
        </w:rPr>
        <w:t xml:space="preserve">the </w:t>
      </w:r>
      <w:r w:rsidRPr="006B0B75">
        <w:rPr>
          <w:rFonts w:ascii="Times New Roman" w:hAnsi="Times New Roman"/>
          <w:sz w:val="24"/>
          <w:szCs w:val="24"/>
        </w:rPr>
        <w:t>early 2000s has undergone the different phases of social learning and institutional capacity-building. Moreover, the EU’s active engagement as a conflict mediator in breakaway regions of Georgia carries the component of security actorness which will be assessed through the supporting theoretical framework developed by Julian Bergmann and Arne Niemann.</w:t>
      </w:r>
      <w:r>
        <w:rPr>
          <w:rStyle w:val="FootnoteReference"/>
          <w:rFonts w:ascii="Times New Roman" w:hAnsi="Times New Roman"/>
          <w:sz w:val="24"/>
          <w:szCs w:val="24"/>
        </w:rPr>
        <w:footnoteReference w:id="61"/>
      </w:r>
    </w:p>
    <w:p w:rsidR="009A64A0" w:rsidRPr="009A64A0" w:rsidRDefault="009A64A0" w:rsidP="009A64A0">
      <w:pPr>
        <w:pStyle w:val="NoSpacing"/>
      </w:pPr>
    </w:p>
    <w:p w:rsidR="00050BA9" w:rsidRDefault="00300E69" w:rsidP="00050BA9">
      <w:pPr>
        <w:spacing w:line="360" w:lineRule="auto"/>
        <w:jc w:val="both"/>
        <w:rPr>
          <w:rFonts w:ascii="Times New Roman" w:hAnsi="Times New Roman"/>
          <w:sz w:val="24"/>
          <w:szCs w:val="24"/>
        </w:rPr>
      </w:pPr>
      <w:r>
        <w:rPr>
          <w:rFonts w:ascii="Times New Roman" w:hAnsi="Times New Roman"/>
          <w:sz w:val="24"/>
          <w:szCs w:val="24"/>
        </w:rPr>
        <w:t>T</w:t>
      </w:r>
      <w:r w:rsidR="00050BA9" w:rsidRPr="006B0B75">
        <w:rPr>
          <w:rFonts w:ascii="Times New Roman" w:hAnsi="Times New Roman"/>
          <w:sz w:val="24"/>
          <w:szCs w:val="24"/>
        </w:rPr>
        <w:t xml:space="preserve">o assess the EU conflict mediation effectiveness in Abkhazia and South Ossetia, the first objective is to analyze the </w:t>
      </w:r>
      <w:r w:rsidR="00050BA9" w:rsidRPr="005002EA">
        <w:rPr>
          <w:rFonts w:ascii="Times New Roman" w:hAnsi="Times New Roman"/>
          <w:i/>
          <w:sz w:val="24"/>
          <w:szCs w:val="24"/>
        </w:rPr>
        <w:t>EU’s NREP strategy</w:t>
      </w:r>
      <w:r w:rsidR="00050BA9">
        <w:rPr>
          <w:rFonts w:ascii="Times New Roman" w:hAnsi="Times New Roman"/>
          <w:sz w:val="24"/>
          <w:szCs w:val="24"/>
        </w:rPr>
        <w:t xml:space="preserve"> – </w:t>
      </w:r>
      <w:r>
        <w:rPr>
          <w:rFonts w:ascii="Times New Roman" w:hAnsi="Times New Roman"/>
          <w:sz w:val="24"/>
          <w:szCs w:val="24"/>
        </w:rPr>
        <w:t xml:space="preserve">an </w:t>
      </w:r>
      <w:r w:rsidR="00050BA9">
        <w:rPr>
          <w:rFonts w:ascii="Times New Roman" w:hAnsi="Times New Roman"/>
          <w:sz w:val="24"/>
          <w:szCs w:val="24"/>
        </w:rPr>
        <w:t xml:space="preserve">integral element of the external governance policy </w:t>
      </w:r>
      <w:r w:rsidR="00050BA9" w:rsidRPr="006B0B75">
        <w:rPr>
          <w:rFonts w:ascii="Times New Roman" w:hAnsi="Times New Roman"/>
          <w:sz w:val="24"/>
          <w:szCs w:val="24"/>
        </w:rPr>
        <w:t xml:space="preserve">in Georgian breakaway regions; precisely, the study will identify the EU’s tools and mechanisms, which will enable to assess the progress in </w:t>
      </w:r>
      <w:r>
        <w:rPr>
          <w:rFonts w:ascii="Times New Roman" w:hAnsi="Times New Roman"/>
          <w:sz w:val="24"/>
          <w:szCs w:val="24"/>
        </w:rPr>
        <w:t xml:space="preserve">the </w:t>
      </w:r>
      <w:r w:rsidR="00050BA9" w:rsidRPr="006B0B75">
        <w:rPr>
          <w:rFonts w:ascii="Times New Roman" w:hAnsi="Times New Roman"/>
          <w:sz w:val="24"/>
          <w:szCs w:val="24"/>
        </w:rPr>
        <w:t>conflict mediation process. As a second step, the analysis will address the conditions for the EU’s conflict mediation effectiveness from the external conflict pers</w:t>
      </w:r>
      <w:r w:rsidR="00050BA9">
        <w:rPr>
          <w:rFonts w:ascii="Times New Roman" w:hAnsi="Times New Roman"/>
          <w:sz w:val="24"/>
          <w:szCs w:val="24"/>
        </w:rPr>
        <w:t xml:space="preserve">pective in </w:t>
      </w:r>
      <w:r>
        <w:rPr>
          <w:rFonts w:ascii="Times New Roman" w:hAnsi="Times New Roman"/>
          <w:sz w:val="24"/>
          <w:szCs w:val="24"/>
        </w:rPr>
        <w:t xml:space="preserve">an </w:t>
      </w:r>
      <w:r w:rsidR="00050BA9">
        <w:rPr>
          <w:rFonts w:ascii="Times New Roman" w:hAnsi="Times New Roman"/>
          <w:sz w:val="24"/>
          <w:szCs w:val="24"/>
        </w:rPr>
        <w:t xml:space="preserve">exploratory manner. </w:t>
      </w:r>
      <w:r w:rsidR="00050BA9" w:rsidRPr="006B0B75">
        <w:rPr>
          <w:rFonts w:ascii="Times New Roman" w:hAnsi="Times New Roman"/>
          <w:sz w:val="24"/>
          <w:szCs w:val="24"/>
        </w:rPr>
        <w:t xml:space="preserve">The theoretical tool of Bergmann and Niemann refers to external conflict settlement as observable </w:t>
      </w:r>
      <w:r w:rsidR="00050BA9" w:rsidRPr="006B0B75">
        <w:rPr>
          <w:rFonts w:ascii="Times New Roman" w:hAnsi="Times New Roman"/>
          <w:sz w:val="24"/>
          <w:szCs w:val="24"/>
        </w:rPr>
        <w:lastRenderedPageBreak/>
        <w:t>behavioral change on the sides of disputants which can be found during the proc</w:t>
      </w:r>
      <w:r w:rsidR="00050BA9">
        <w:rPr>
          <w:rFonts w:ascii="Times New Roman" w:hAnsi="Times New Roman"/>
          <w:sz w:val="24"/>
          <w:szCs w:val="24"/>
        </w:rPr>
        <w:t>ess or as an outcome.</w:t>
      </w:r>
      <w:r w:rsidR="00050BA9">
        <w:rPr>
          <w:rStyle w:val="FootnoteReference"/>
          <w:rFonts w:ascii="Times New Roman" w:hAnsi="Times New Roman"/>
          <w:sz w:val="24"/>
          <w:szCs w:val="24"/>
        </w:rPr>
        <w:footnoteReference w:id="62"/>
      </w:r>
      <w:r>
        <w:rPr>
          <w:rFonts w:ascii="Times New Roman" w:hAnsi="Times New Roman"/>
          <w:sz w:val="24"/>
          <w:szCs w:val="24"/>
        </w:rPr>
        <w:t xml:space="preserve"> The a</w:t>
      </w:r>
      <w:r w:rsidR="00050BA9" w:rsidRPr="006B0B75">
        <w:rPr>
          <w:rFonts w:ascii="Times New Roman" w:hAnsi="Times New Roman"/>
          <w:sz w:val="24"/>
          <w:szCs w:val="24"/>
        </w:rPr>
        <w:t>nalytical framework proposes the specific tool for measurement of the EU’s conflict mediation progress.</w:t>
      </w:r>
      <w:r w:rsidR="00050BA9">
        <w:rPr>
          <w:rFonts w:ascii="Times New Roman" w:hAnsi="Times New Roman"/>
          <w:sz w:val="24"/>
          <w:szCs w:val="24"/>
        </w:rPr>
        <w:t xml:space="preserve"> The scholars have compiled the scheme </w:t>
      </w:r>
      <w:r w:rsidR="00050BA9" w:rsidRPr="006B0B75">
        <w:rPr>
          <w:rFonts w:ascii="Times New Roman" w:hAnsi="Times New Roman"/>
          <w:sz w:val="24"/>
          <w:szCs w:val="24"/>
        </w:rPr>
        <w:t>which encompass</w:t>
      </w:r>
      <w:r>
        <w:rPr>
          <w:rFonts w:ascii="Times New Roman" w:hAnsi="Times New Roman"/>
          <w:sz w:val="24"/>
          <w:szCs w:val="24"/>
        </w:rPr>
        <w:t>es</w:t>
      </w:r>
      <w:r w:rsidR="00050BA9" w:rsidRPr="006B0B75">
        <w:rPr>
          <w:rFonts w:ascii="Times New Roman" w:hAnsi="Times New Roman"/>
          <w:sz w:val="24"/>
          <w:szCs w:val="24"/>
        </w:rPr>
        <w:t xml:space="preserve"> </w:t>
      </w:r>
      <w:r w:rsidR="00050BA9">
        <w:rPr>
          <w:rFonts w:ascii="Times New Roman" w:hAnsi="Times New Roman"/>
          <w:sz w:val="24"/>
          <w:szCs w:val="24"/>
        </w:rPr>
        <w:t xml:space="preserve">value for </w:t>
      </w:r>
      <w:r w:rsidR="00050BA9" w:rsidRPr="006B0B75">
        <w:rPr>
          <w:rFonts w:ascii="Times New Roman" w:hAnsi="Times New Roman"/>
          <w:sz w:val="24"/>
          <w:szCs w:val="24"/>
        </w:rPr>
        <w:t>five different levels of the conflict settlement</w:t>
      </w:r>
      <w:r w:rsidR="00050BA9">
        <w:rPr>
          <w:rFonts w:ascii="Times New Roman" w:hAnsi="Times New Roman"/>
          <w:sz w:val="24"/>
          <w:szCs w:val="24"/>
        </w:rPr>
        <w:t xml:space="preserve">; furthermore, based on the provided </w:t>
      </w:r>
      <w:r>
        <w:rPr>
          <w:rFonts w:ascii="Times New Roman" w:hAnsi="Times New Roman"/>
          <w:sz w:val="24"/>
          <w:szCs w:val="24"/>
        </w:rPr>
        <w:t xml:space="preserve">data and changes on </w:t>
      </w:r>
      <w:r w:rsidR="00050BA9">
        <w:rPr>
          <w:rFonts w:ascii="Times New Roman" w:hAnsi="Times New Roman"/>
          <w:sz w:val="24"/>
          <w:szCs w:val="24"/>
        </w:rPr>
        <w:t xml:space="preserve">dependent variables, it is possible to make overall assessments of conflict mediation efficiency from low to </w:t>
      </w:r>
      <w:r>
        <w:rPr>
          <w:rFonts w:ascii="Times New Roman" w:hAnsi="Times New Roman"/>
          <w:sz w:val="24"/>
          <w:szCs w:val="24"/>
        </w:rPr>
        <w:t>a high degree</w:t>
      </w:r>
      <w:r w:rsidR="00050BA9" w:rsidRPr="006B0B75">
        <w:rPr>
          <w:rFonts w:ascii="Times New Roman" w:hAnsi="Times New Roman"/>
          <w:sz w:val="24"/>
          <w:szCs w:val="24"/>
        </w:rPr>
        <w:t xml:space="preserve">. The framework enables this study to deliver </w:t>
      </w:r>
      <w:r>
        <w:rPr>
          <w:rFonts w:ascii="Times New Roman" w:hAnsi="Times New Roman"/>
          <w:sz w:val="24"/>
          <w:szCs w:val="24"/>
        </w:rPr>
        <w:t xml:space="preserve">a </w:t>
      </w:r>
      <w:r w:rsidR="00050BA9" w:rsidRPr="006B0B75">
        <w:rPr>
          <w:rFonts w:ascii="Times New Roman" w:hAnsi="Times New Roman"/>
          <w:sz w:val="24"/>
          <w:szCs w:val="24"/>
        </w:rPr>
        <w:t xml:space="preserve">visual representation of </w:t>
      </w:r>
      <w:r>
        <w:rPr>
          <w:rFonts w:ascii="Times New Roman" w:hAnsi="Times New Roman"/>
          <w:sz w:val="24"/>
          <w:szCs w:val="24"/>
        </w:rPr>
        <w:t xml:space="preserve">the </w:t>
      </w:r>
      <w:r w:rsidR="00050BA9" w:rsidRPr="006B0B75">
        <w:rPr>
          <w:rFonts w:ascii="Times New Roman" w:hAnsi="Times New Roman"/>
          <w:sz w:val="24"/>
          <w:szCs w:val="24"/>
        </w:rPr>
        <w:t>empirica</w:t>
      </w:r>
      <w:r w:rsidR="00050BA9">
        <w:rPr>
          <w:rFonts w:ascii="Times New Roman" w:hAnsi="Times New Roman"/>
          <w:sz w:val="24"/>
          <w:szCs w:val="24"/>
        </w:rPr>
        <w:t xml:space="preserve">l analysis of the EU’s effectiveness </w:t>
      </w:r>
      <w:r w:rsidR="00050BA9" w:rsidRPr="006B0B75">
        <w:rPr>
          <w:rFonts w:ascii="Times New Roman" w:hAnsi="Times New Roman"/>
          <w:sz w:val="24"/>
          <w:szCs w:val="24"/>
        </w:rPr>
        <w:t xml:space="preserve">in conflict mediation in Georgia. A high degree of conflict mediation effectiveness corresponds to </w:t>
      </w:r>
      <w:r>
        <w:rPr>
          <w:rFonts w:ascii="Times New Roman" w:hAnsi="Times New Roman"/>
          <w:sz w:val="24"/>
          <w:szCs w:val="24"/>
        </w:rPr>
        <w:t xml:space="preserve">the </w:t>
      </w:r>
      <w:r w:rsidR="00050BA9" w:rsidRPr="006B0B75">
        <w:rPr>
          <w:rFonts w:ascii="Times New Roman" w:hAnsi="Times New Roman"/>
          <w:sz w:val="24"/>
          <w:szCs w:val="24"/>
        </w:rPr>
        <w:t xml:space="preserve">consensual agreement between the conflicting sides on all or major issues; </w:t>
      </w:r>
      <w:r>
        <w:rPr>
          <w:rFonts w:ascii="Times New Roman" w:hAnsi="Times New Roman"/>
          <w:sz w:val="24"/>
          <w:szCs w:val="24"/>
        </w:rPr>
        <w:t xml:space="preserve">a </w:t>
      </w:r>
      <w:r w:rsidR="00050BA9" w:rsidRPr="006B0B75">
        <w:rPr>
          <w:rFonts w:ascii="Times New Roman" w:hAnsi="Times New Roman"/>
          <w:sz w:val="24"/>
          <w:szCs w:val="24"/>
        </w:rPr>
        <w:t xml:space="preserve">medium degree of effectiveness refers to solving of several major and minor issues between the conflicting sides; lastly, a low level of effectiveness indicates on no consensual </w:t>
      </w:r>
      <w:r w:rsidR="00050BA9" w:rsidRPr="00AE353D">
        <w:rPr>
          <w:rFonts w:ascii="Times New Roman" w:hAnsi="Times New Roman"/>
          <w:sz w:val="24"/>
          <w:szCs w:val="24"/>
        </w:rPr>
        <w:t xml:space="preserve">agreement between the conflict sides and prolonging </w:t>
      </w:r>
      <w:r w:rsidR="00050BA9">
        <w:rPr>
          <w:rFonts w:ascii="Times New Roman" w:hAnsi="Times New Roman"/>
          <w:sz w:val="24"/>
          <w:szCs w:val="24"/>
        </w:rPr>
        <w:t>of the negotiations.</w:t>
      </w:r>
      <w:r w:rsidR="00050BA9">
        <w:rPr>
          <w:rStyle w:val="FootnoteReference"/>
          <w:rFonts w:ascii="Times New Roman" w:hAnsi="Times New Roman"/>
          <w:sz w:val="24"/>
          <w:szCs w:val="24"/>
        </w:rPr>
        <w:footnoteReference w:id="63"/>
      </w:r>
    </w:p>
    <w:p w:rsidR="009A64A0" w:rsidRPr="009A64A0" w:rsidRDefault="009A64A0" w:rsidP="009A64A0">
      <w:pPr>
        <w:pStyle w:val="NoSpacing"/>
      </w:pPr>
    </w:p>
    <w:tbl>
      <w:tblPr>
        <w:tblStyle w:val="GridTable1Light-Accent31"/>
        <w:tblW w:w="0" w:type="auto"/>
        <w:tblLook w:val="04A0" w:firstRow="1" w:lastRow="0" w:firstColumn="1" w:lastColumn="0" w:noHBand="0" w:noVBand="1"/>
      </w:tblPr>
      <w:tblGrid>
        <w:gridCol w:w="1052"/>
        <w:gridCol w:w="2775"/>
        <w:gridCol w:w="5368"/>
      </w:tblGrid>
      <w:tr w:rsidR="00050BA9" w:rsidRPr="006216CC" w:rsidTr="009063A9">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5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t>Level</w:t>
            </w:r>
          </w:p>
        </w:tc>
        <w:tc>
          <w:tcPr>
            <w:tcW w:w="2775" w:type="dxa"/>
          </w:tcPr>
          <w:p w:rsidR="00050BA9" w:rsidRPr="009063A9"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Conflict Dynamics</w:t>
            </w:r>
          </w:p>
        </w:tc>
        <w:tc>
          <w:tcPr>
            <w:tcW w:w="5368" w:type="dxa"/>
          </w:tcPr>
          <w:p w:rsidR="00050BA9" w:rsidRPr="009063A9"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Description of Behavioral Change of Confronting Parties</w:t>
            </w:r>
          </w:p>
        </w:tc>
      </w:tr>
      <w:tr w:rsidR="00050BA9" w:rsidRPr="006216CC" w:rsidTr="009063A9">
        <w:trPr>
          <w:trHeight w:val="515"/>
        </w:trPr>
        <w:tc>
          <w:tcPr>
            <w:cnfStyle w:val="001000000000" w:firstRow="0" w:lastRow="0" w:firstColumn="1" w:lastColumn="0" w:oddVBand="0" w:evenVBand="0" w:oddHBand="0" w:evenHBand="0" w:firstRowFirstColumn="0" w:firstRowLastColumn="0" w:lastRowFirstColumn="0" w:lastRowLastColumn="0"/>
            <w:tcW w:w="105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t>5</w:t>
            </w:r>
          </w:p>
        </w:tc>
        <w:tc>
          <w:tcPr>
            <w:tcW w:w="2775"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Full Settlement</w:t>
            </w:r>
          </w:p>
        </w:tc>
        <w:tc>
          <w:tcPr>
            <w:tcW w:w="5368"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Final settlement of all issues and causes of the conflict</w:t>
            </w:r>
          </w:p>
        </w:tc>
      </w:tr>
      <w:tr w:rsidR="00050BA9" w:rsidRPr="006216CC" w:rsidTr="009063A9">
        <w:trPr>
          <w:trHeight w:val="515"/>
        </w:trPr>
        <w:tc>
          <w:tcPr>
            <w:cnfStyle w:val="001000000000" w:firstRow="0" w:lastRow="0" w:firstColumn="1" w:lastColumn="0" w:oddVBand="0" w:evenVBand="0" w:oddHBand="0" w:evenHBand="0" w:firstRowFirstColumn="0" w:firstRowLastColumn="0" w:lastRowFirstColumn="0" w:lastRowLastColumn="0"/>
            <w:tcW w:w="105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t>4</w:t>
            </w:r>
          </w:p>
        </w:tc>
        <w:tc>
          <w:tcPr>
            <w:tcW w:w="2775"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Settlement of Major Issues</w:t>
            </w:r>
          </w:p>
        </w:tc>
        <w:tc>
          <w:tcPr>
            <w:tcW w:w="5368"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Partial settlement of the major issues of the conflict</w:t>
            </w:r>
          </w:p>
        </w:tc>
      </w:tr>
      <w:tr w:rsidR="00050BA9" w:rsidRPr="006216CC" w:rsidTr="009063A9">
        <w:trPr>
          <w:trHeight w:val="515"/>
        </w:trPr>
        <w:tc>
          <w:tcPr>
            <w:cnfStyle w:val="001000000000" w:firstRow="0" w:lastRow="0" w:firstColumn="1" w:lastColumn="0" w:oddVBand="0" w:evenVBand="0" w:oddHBand="0" w:evenHBand="0" w:firstRowFirstColumn="0" w:firstRowLastColumn="0" w:lastRowFirstColumn="0" w:lastRowLastColumn="0"/>
            <w:tcW w:w="105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t>3</w:t>
            </w:r>
          </w:p>
        </w:tc>
        <w:tc>
          <w:tcPr>
            <w:tcW w:w="2775"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Settlement of Minor Issues</w:t>
            </w:r>
          </w:p>
        </w:tc>
        <w:tc>
          <w:tcPr>
            <w:tcW w:w="5368"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Partial settlement of the minor issues of the conflict</w:t>
            </w:r>
          </w:p>
        </w:tc>
      </w:tr>
      <w:tr w:rsidR="00050BA9" w:rsidRPr="006216CC" w:rsidTr="009063A9">
        <w:trPr>
          <w:trHeight w:val="1009"/>
        </w:trPr>
        <w:tc>
          <w:tcPr>
            <w:cnfStyle w:val="001000000000" w:firstRow="0" w:lastRow="0" w:firstColumn="1" w:lastColumn="0" w:oddVBand="0" w:evenVBand="0" w:oddHBand="0" w:evenHBand="0" w:firstRowFirstColumn="0" w:firstRowLastColumn="0" w:lastRowFirstColumn="0" w:lastRowLastColumn="0"/>
            <w:tcW w:w="105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t>2</w:t>
            </w:r>
          </w:p>
        </w:tc>
        <w:tc>
          <w:tcPr>
            <w:tcW w:w="2775"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Process Agreement</w:t>
            </w:r>
          </w:p>
        </w:tc>
        <w:tc>
          <w:tcPr>
            <w:tcW w:w="5368" w:type="dxa"/>
          </w:tcPr>
          <w:p w:rsidR="00050BA9" w:rsidRPr="009063A9" w:rsidRDefault="00050BA9" w:rsidP="006A40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 xml:space="preserve">No agreement on </w:t>
            </w:r>
            <w:r w:rsidR="00300E69" w:rsidRPr="009063A9">
              <w:rPr>
                <w:rFonts w:ascii="Times New Roman" w:hAnsi="Times New Roman"/>
                <w:sz w:val="24"/>
                <w:szCs w:val="24"/>
              </w:rPr>
              <w:t xml:space="preserve">the </w:t>
            </w:r>
            <w:r w:rsidRPr="009063A9">
              <w:rPr>
                <w:rFonts w:ascii="Times New Roman" w:hAnsi="Times New Roman"/>
                <w:sz w:val="24"/>
                <w:szCs w:val="24"/>
              </w:rPr>
              <w:t>dispute, consensual readiness to further the negotiation process</w:t>
            </w:r>
          </w:p>
        </w:tc>
      </w:tr>
      <w:tr w:rsidR="00050BA9" w:rsidRPr="006216CC" w:rsidTr="009063A9">
        <w:trPr>
          <w:trHeight w:val="1031"/>
        </w:trPr>
        <w:tc>
          <w:tcPr>
            <w:cnfStyle w:val="001000000000" w:firstRow="0" w:lastRow="0" w:firstColumn="1" w:lastColumn="0" w:oddVBand="0" w:evenVBand="0" w:oddHBand="0" w:evenHBand="0" w:firstRowFirstColumn="0" w:firstRowLastColumn="0" w:lastRowFirstColumn="0" w:lastRowLastColumn="0"/>
            <w:tcW w:w="105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t>1</w:t>
            </w:r>
          </w:p>
        </w:tc>
        <w:tc>
          <w:tcPr>
            <w:tcW w:w="2775"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Ceasefire Agreement</w:t>
            </w:r>
          </w:p>
        </w:tc>
        <w:tc>
          <w:tcPr>
            <w:tcW w:w="5368" w:type="dxa"/>
          </w:tcPr>
          <w:p w:rsidR="00050BA9" w:rsidRPr="009063A9" w:rsidRDefault="00050BA9" w:rsidP="006A40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Agreement to stop the military action, consensual readiness to seek peaceful means of conflict resolution</w:t>
            </w:r>
          </w:p>
        </w:tc>
      </w:tr>
      <w:tr w:rsidR="00050BA9" w:rsidRPr="006216CC" w:rsidTr="009063A9">
        <w:trPr>
          <w:trHeight w:val="515"/>
        </w:trPr>
        <w:tc>
          <w:tcPr>
            <w:cnfStyle w:val="001000000000" w:firstRow="0" w:lastRow="0" w:firstColumn="1" w:lastColumn="0" w:oddVBand="0" w:evenVBand="0" w:oddHBand="0" w:evenHBand="0" w:firstRowFirstColumn="0" w:firstRowLastColumn="0" w:lastRowFirstColumn="0" w:lastRowLastColumn="0"/>
            <w:tcW w:w="105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t>0</w:t>
            </w:r>
          </w:p>
        </w:tc>
        <w:tc>
          <w:tcPr>
            <w:tcW w:w="2775"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063A9">
              <w:rPr>
                <w:rFonts w:ascii="Times New Roman" w:hAnsi="Times New Roman"/>
                <w:sz w:val="24"/>
                <w:szCs w:val="24"/>
              </w:rPr>
              <w:t>No Agreement</w:t>
            </w:r>
          </w:p>
        </w:tc>
        <w:tc>
          <w:tcPr>
            <w:tcW w:w="5368" w:type="dxa"/>
          </w:tcPr>
          <w:p w:rsidR="00050BA9" w:rsidRPr="009063A9" w:rsidRDefault="00434913"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Mediation does not </w:t>
            </w:r>
            <w:r w:rsidR="00050BA9" w:rsidRPr="009063A9">
              <w:rPr>
                <w:rFonts w:ascii="Times New Roman" w:hAnsi="Times New Roman"/>
                <w:sz w:val="24"/>
                <w:szCs w:val="24"/>
              </w:rPr>
              <w:t>result in any agreement</w:t>
            </w:r>
          </w:p>
        </w:tc>
      </w:tr>
    </w:tbl>
    <w:p w:rsidR="00D03049" w:rsidRPr="003D140E" w:rsidRDefault="00704A29" w:rsidP="003D140E">
      <w:pPr>
        <w:spacing w:line="360" w:lineRule="auto"/>
        <w:jc w:val="both"/>
        <w:rPr>
          <w:rFonts w:ascii="Times New Roman" w:hAnsi="Times New Roman"/>
          <w:sz w:val="24"/>
          <w:szCs w:val="24"/>
        </w:rPr>
      </w:pPr>
      <w:r>
        <w:rPr>
          <w:rFonts w:ascii="Times New Roman" w:hAnsi="Times New Roman"/>
          <w:b/>
          <w:sz w:val="24"/>
          <w:szCs w:val="24"/>
        </w:rPr>
        <w:t>Figure</w:t>
      </w:r>
      <w:r w:rsidR="00617BF4">
        <w:rPr>
          <w:rFonts w:ascii="Times New Roman" w:hAnsi="Times New Roman"/>
          <w:b/>
          <w:sz w:val="24"/>
          <w:szCs w:val="24"/>
        </w:rPr>
        <w:t xml:space="preserve"> 1</w:t>
      </w:r>
      <w:r w:rsidR="00050BA9" w:rsidRPr="000D7B64">
        <w:rPr>
          <w:rFonts w:ascii="Times New Roman" w:hAnsi="Times New Roman"/>
          <w:b/>
          <w:sz w:val="24"/>
          <w:szCs w:val="24"/>
        </w:rPr>
        <w:t>.</w:t>
      </w:r>
      <w:r w:rsidR="00617BF4">
        <w:rPr>
          <w:rFonts w:ascii="Times New Roman" w:hAnsi="Times New Roman"/>
          <w:sz w:val="24"/>
          <w:szCs w:val="24"/>
        </w:rPr>
        <w:t xml:space="preserve"> Theoretical Framework by Bergmann &amp; Niemann</w:t>
      </w:r>
      <w:r w:rsidR="00617BF4">
        <w:rPr>
          <w:rStyle w:val="FootnoteReference"/>
          <w:rFonts w:ascii="Times New Roman" w:hAnsi="Times New Roman"/>
          <w:sz w:val="24"/>
          <w:szCs w:val="24"/>
        </w:rPr>
        <w:footnoteReference w:id="64"/>
      </w:r>
    </w:p>
    <w:p w:rsidR="00D03049" w:rsidRPr="00D03049" w:rsidRDefault="00D03049" w:rsidP="00D03049">
      <w:pPr>
        <w:pStyle w:val="NoSpacing"/>
      </w:pPr>
    </w:p>
    <w:tbl>
      <w:tblPr>
        <w:tblStyle w:val="GridTable1Light-Accent31"/>
        <w:tblW w:w="9465" w:type="dxa"/>
        <w:tblLook w:val="04A0" w:firstRow="1" w:lastRow="0" w:firstColumn="1" w:lastColumn="0" w:noHBand="0" w:noVBand="1"/>
      </w:tblPr>
      <w:tblGrid>
        <w:gridCol w:w="2822"/>
        <w:gridCol w:w="2046"/>
        <w:gridCol w:w="2262"/>
        <w:gridCol w:w="2335"/>
      </w:tblGrid>
      <w:tr w:rsidR="00050BA9" w:rsidRPr="009063A9" w:rsidTr="009063A9">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822" w:type="dxa"/>
          </w:tcPr>
          <w:p w:rsidR="00050BA9" w:rsidRPr="009063A9" w:rsidRDefault="00050BA9" w:rsidP="006A4009">
            <w:pPr>
              <w:spacing w:line="360" w:lineRule="auto"/>
              <w:jc w:val="both"/>
              <w:rPr>
                <w:rFonts w:ascii="Times New Roman" w:hAnsi="Times New Roman"/>
                <w:b w:val="0"/>
                <w:sz w:val="24"/>
                <w:szCs w:val="24"/>
              </w:rPr>
            </w:pPr>
            <w:r w:rsidRPr="009063A9">
              <w:rPr>
                <w:rFonts w:ascii="Times New Roman" w:hAnsi="Times New Roman"/>
                <w:b w:val="0"/>
                <w:sz w:val="24"/>
                <w:szCs w:val="24"/>
              </w:rPr>
              <w:t>EU NREP Component</w:t>
            </w:r>
          </w:p>
        </w:tc>
        <w:tc>
          <w:tcPr>
            <w:tcW w:w="2046" w:type="dxa"/>
          </w:tcPr>
          <w:p w:rsidR="00050BA9" w:rsidRPr="009063A9"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063A9">
              <w:rPr>
                <w:rFonts w:ascii="Times New Roman" w:hAnsi="Times New Roman"/>
                <w:b w:val="0"/>
                <w:sz w:val="24"/>
                <w:szCs w:val="24"/>
              </w:rPr>
              <w:t xml:space="preserve">High Level </w:t>
            </w:r>
          </w:p>
        </w:tc>
        <w:tc>
          <w:tcPr>
            <w:tcW w:w="2262" w:type="dxa"/>
          </w:tcPr>
          <w:p w:rsidR="00050BA9" w:rsidRPr="009063A9"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063A9">
              <w:rPr>
                <w:rFonts w:ascii="Times New Roman" w:hAnsi="Times New Roman"/>
                <w:b w:val="0"/>
                <w:sz w:val="24"/>
                <w:szCs w:val="24"/>
              </w:rPr>
              <w:t>Medium Level</w:t>
            </w:r>
          </w:p>
        </w:tc>
        <w:tc>
          <w:tcPr>
            <w:tcW w:w="2335" w:type="dxa"/>
          </w:tcPr>
          <w:p w:rsidR="00050BA9" w:rsidRPr="009063A9"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063A9">
              <w:rPr>
                <w:rFonts w:ascii="Times New Roman" w:hAnsi="Times New Roman"/>
                <w:b w:val="0"/>
                <w:sz w:val="24"/>
                <w:szCs w:val="24"/>
              </w:rPr>
              <w:t>Low Level</w:t>
            </w:r>
          </w:p>
        </w:tc>
      </w:tr>
      <w:tr w:rsidR="00050BA9" w:rsidRPr="009063A9" w:rsidTr="009063A9">
        <w:trPr>
          <w:trHeight w:val="599"/>
        </w:trPr>
        <w:tc>
          <w:tcPr>
            <w:cnfStyle w:val="001000000000" w:firstRow="0" w:lastRow="0" w:firstColumn="1" w:lastColumn="0" w:oddVBand="0" w:evenVBand="0" w:oddHBand="0" w:evenHBand="0" w:firstRowFirstColumn="0" w:firstRowLastColumn="0" w:lastRowFirstColumn="0" w:lastRowLastColumn="0"/>
            <w:tcW w:w="282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lastRenderedPageBreak/>
              <w:t>Conflict Mediation</w:t>
            </w:r>
          </w:p>
        </w:tc>
        <w:tc>
          <w:tcPr>
            <w:tcW w:w="2046"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2"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335"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BA9" w:rsidRPr="009063A9" w:rsidTr="00DB2C33">
        <w:trPr>
          <w:trHeight w:val="465"/>
        </w:trPr>
        <w:tc>
          <w:tcPr>
            <w:cnfStyle w:val="001000000000" w:firstRow="0" w:lastRow="0" w:firstColumn="1" w:lastColumn="0" w:oddVBand="0" w:evenVBand="0" w:oddHBand="0" w:evenHBand="0" w:firstRowFirstColumn="0" w:firstRowLastColumn="0" w:lastRowFirstColumn="0" w:lastRowLastColumn="0"/>
            <w:tcW w:w="2822" w:type="dxa"/>
            <w:tcBorders>
              <w:bottom w:val="single" w:sz="4" w:space="0" w:color="auto"/>
            </w:tcBorders>
          </w:tcPr>
          <w:p w:rsidR="00DB2C33" w:rsidRPr="00DB2C33" w:rsidRDefault="00050BA9" w:rsidP="006A4009">
            <w:pPr>
              <w:spacing w:line="360" w:lineRule="auto"/>
              <w:jc w:val="both"/>
            </w:pPr>
            <w:r w:rsidRPr="009063A9">
              <w:rPr>
                <w:rFonts w:ascii="Times New Roman" w:hAnsi="Times New Roman"/>
                <w:sz w:val="24"/>
                <w:szCs w:val="24"/>
              </w:rPr>
              <w:t>Conflict Transformation</w:t>
            </w:r>
          </w:p>
        </w:tc>
        <w:tc>
          <w:tcPr>
            <w:tcW w:w="2046" w:type="dxa"/>
            <w:tcBorders>
              <w:bottom w:val="single" w:sz="4" w:space="0" w:color="auto"/>
            </w:tcBorders>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2" w:type="dxa"/>
            <w:tcBorders>
              <w:bottom w:val="single" w:sz="4" w:space="0" w:color="auto"/>
            </w:tcBorders>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335" w:type="dxa"/>
            <w:tcBorders>
              <w:bottom w:val="single" w:sz="4" w:space="0" w:color="auto"/>
            </w:tcBorders>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B2C33" w:rsidRPr="009063A9" w:rsidTr="00DB2C33">
        <w:trPr>
          <w:trHeight w:val="394"/>
        </w:trPr>
        <w:tc>
          <w:tcPr>
            <w:cnfStyle w:val="001000000000" w:firstRow="0" w:lastRow="0" w:firstColumn="1" w:lastColumn="0" w:oddVBand="0" w:evenVBand="0" w:oddHBand="0" w:evenHBand="0" w:firstRowFirstColumn="0" w:firstRowLastColumn="0" w:lastRowFirstColumn="0" w:lastRowLastColumn="0"/>
            <w:tcW w:w="2822" w:type="dxa"/>
            <w:tcBorders>
              <w:top w:val="single" w:sz="4" w:space="0" w:color="auto"/>
            </w:tcBorders>
          </w:tcPr>
          <w:p w:rsidR="00DB2C33" w:rsidRDefault="00DB2C33" w:rsidP="00DB2C33">
            <w:pPr>
              <w:pStyle w:val="NoSpacing"/>
              <w:rPr>
                <w:rFonts w:ascii="Times New Roman" w:hAnsi="Times New Roman"/>
                <w:b w:val="0"/>
                <w:sz w:val="24"/>
                <w:szCs w:val="24"/>
              </w:rPr>
            </w:pPr>
          </w:p>
          <w:p w:rsidR="00DB2C33" w:rsidRPr="00DB2C33" w:rsidRDefault="00DB2C33" w:rsidP="00DB2C33">
            <w:pPr>
              <w:pStyle w:val="NoSpacing"/>
              <w:rPr>
                <w:rFonts w:ascii="Times New Roman" w:hAnsi="Times New Roman"/>
                <w:sz w:val="24"/>
                <w:szCs w:val="24"/>
              </w:rPr>
            </w:pPr>
            <w:r w:rsidRPr="00DB2C33">
              <w:rPr>
                <w:rFonts w:ascii="Times New Roman" w:hAnsi="Times New Roman"/>
                <w:sz w:val="24"/>
                <w:szCs w:val="24"/>
              </w:rPr>
              <w:t xml:space="preserve">Conflict Management </w:t>
            </w:r>
          </w:p>
          <w:p w:rsidR="00DB2C33" w:rsidRPr="009063A9" w:rsidRDefault="00DB2C33" w:rsidP="00DB2C33">
            <w:pPr>
              <w:pStyle w:val="NoSpacing"/>
              <w:rPr>
                <w:rFonts w:ascii="Times New Roman" w:hAnsi="Times New Roman"/>
                <w:sz w:val="24"/>
                <w:szCs w:val="24"/>
              </w:rPr>
            </w:pPr>
          </w:p>
        </w:tc>
        <w:tc>
          <w:tcPr>
            <w:tcW w:w="2046" w:type="dxa"/>
            <w:tcBorders>
              <w:top w:val="single" w:sz="4" w:space="0" w:color="auto"/>
            </w:tcBorders>
          </w:tcPr>
          <w:p w:rsidR="00DB2C33" w:rsidRPr="009063A9" w:rsidRDefault="00DB2C33"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2" w:type="dxa"/>
            <w:tcBorders>
              <w:top w:val="single" w:sz="4" w:space="0" w:color="auto"/>
            </w:tcBorders>
          </w:tcPr>
          <w:p w:rsidR="00DB2C33" w:rsidRPr="009063A9" w:rsidRDefault="00DB2C33"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335" w:type="dxa"/>
            <w:tcBorders>
              <w:top w:val="single" w:sz="4" w:space="0" w:color="auto"/>
            </w:tcBorders>
          </w:tcPr>
          <w:p w:rsidR="00DB2C33" w:rsidRPr="009063A9" w:rsidRDefault="00DB2C33"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BA9" w:rsidRPr="009063A9" w:rsidTr="009063A9">
        <w:trPr>
          <w:trHeight w:val="599"/>
        </w:trPr>
        <w:tc>
          <w:tcPr>
            <w:cnfStyle w:val="001000000000" w:firstRow="0" w:lastRow="0" w:firstColumn="1" w:lastColumn="0" w:oddVBand="0" w:evenVBand="0" w:oddHBand="0" w:evenHBand="0" w:firstRowFirstColumn="0" w:firstRowLastColumn="0" w:lastRowFirstColumn="0" w:lastRowLastColumn="0"/>
            <w:tcW w:w="2822" w:type="dxa"/>
          </w:tcPr>
          <w:p w:rsidR="00050BA9" w:rsidRPr="009063A9" w:rsidRDefault="00050BA9" w:rsidP="006A4009">
            <w:pPr>
              <w:spacing w:line="360" w:lineRule="auto"/>
              <w:jc w:val="both"/>
              <w:rPr>
                <w:rFonts w:ascii="Times New Roman" w:hAnsi="Times New Roman"/>
                <w:sz w:val="24"/>
                <w:szCs w:val="24"/>
              </w:rPr>
            </w:pPr>
            <w:r w:rsidRPr="009063A9">
              <w:rPr>
                <w:rFonts w:ascii="Times New Roman" w:hAnsi="Times New Roman"/>
                <w:sz w:val="24"/>
                <w:szCs w:val="24"/>
              </w:rPr>
              <w:t>Conflict Settlement</w:t>
            </w:r>
          </w:p>
        </w:tc>
        <w:tc>
          <w:tcPr>
            <w:tcW w:w="2046"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2"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335" w:type="dxa"/>
          </w:tcPr>
          <w:p w:rsidR="00050BA9" w:rsidRPr="009063A9"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104CB6" w:rsidRDefault="00FC7E0F" w:rsidP="003D140E">
      <w:pPr>
        <w:spacing w:line="360" w:lineRule="auto"/>
        <w:jc w:val="both"/>
        <w:rPr>
          <w:rFonts w:ascii="Times New Roman" w:hAnsi="Times New Roman"/>
          <w:sz w:val="24"/>
          <w:szCs w:val="24"/>
        </w:rPr>
      </w:pPr>
      <w:r w:rsidRPr="009063A9">
        <w:rPr>
          <w:rFonts w:ascii="Times New Roman" w:hAnsi="Times New Roman"/>
          <w:b/>
          <w:sz w:val="24"/>
          <w:szCs w:val="24"/>
        </w:rPr>
        <w:t>Figure</w:t>
      </w:r>
      <w:r w:rsidR="00050BA9" w:rsidRPr="009063A9">
        <w:rPr>
          <w:rFonts w:ascii="Times New Roman" w:hAnsi="Times New Roman"/>
          <w:b/>
          <w:sz w:val="24"/>
          <w:szCs w:val="24"/>
        </w:rPr>
        <w:t xml:space="preserve"> 2.</w:t>
      </w:r>
      <w:r w:rsidRPr="009063A9">
        <w:rPr>
          <w:rFonts w:ascii="Times New Roman" w:hAnsi="Times New Roman"/>
          <w:sz w:val="24"/>
          <w:szCs w:val="24"/>
        </w:rPr>
        <w:t xml:space="preserve"> The</w:t>
      </w:r>
      <w:r w:rsidR="00050BA9" w:rsidRPr="009063A9">
        <w:rPr>
          <w:rFonts w:ascii="Times New Roman" w:hAnsi="Times New Roman"/>
          <w:sz w:val="24"/>
          <w:szCs w:val="24"/>
        </w:rPr>
        <w:t xml:space="preserve"> EU NREP Effectiveness Assessment</w:t>
      </w:r>
      <w:r w:rsidRPr="009063A9">
        <w:rPr>
          <w:rFonts w:ascii="Times New Roman" w:hAnsi="Times New Roman"/>
          <w:sz w:val="24"/>
          <w:szCs w:val="24"/>
        </w:rPr>
        <w:t xml:space="preserve"> Tool</w:t>
      </w:r>
      <w:r w:rsidR="00050BA9" w:rsidRPr="009063A9">
        <w:rPr>
          <w:rFonts w:ascii="Times New Roman" w:hAnsi="Times New Roman"/>
          <w:sz w:val="24"/>
          <w:szCs w:val="24"/>
        </w:rPr>
        <w:t xml:space="preserve">, Compiled by </w:t>
      </w:r>
      <w:r w:rsidRPr="009063A9">
        <w:rPr>
          <w:rFonts w:ascii="Times New Roman" w:hAnsi="Times New Roman"/>
          <w:sz w:val="24"/>
          <w:szCs w:val="24"/>
        </w:rPr>
        <w:t xml:space="preserve">the </w:t>
      </w:r>
      <w:r w:rsidR="003D140E" w:rsidRPr="009063A9">
        <w:rPr>
          <w:rFonts w:ascii="Times New Roman" w:hAnsi="Times New Roman"/>
          <w:sz w:val="24"/>
          <w:szCs w:val="24"/>
        </w:rPr>
        <w:t>Author</w:t>
      </w:r>
    </w:p>
    <w:p w:rsidR="00321E25" w:rsidRDefault="00321E25" w:rsidP="00321E25">
      <w:pPr>
        <w:pStyle w:val="NoSpacing"/>
      </w:pPr>
    </w:p>
    <w:p w:rsidR="009A64A0" w:rsidRPr="009A64A0" w:rsidRDefault="009A64A0" w:rsidP="009A64A0">
      <w:pPr>
        <w:pStyle w:val="NoSpacing"/>
      </w:pPr>
    </w:p>
    <w:p w:rsidR="00321E25" w:rsidRDefault="00321E25" w:rsidP="00321E25">
      <w:pPr>
        <w:pStyle w:val="NoSpacing"/>
      </w:pPr>
    </w:p>
    <w:p w:rsidR="00E8794E" w:rsidRPr="00C136C1" w:rsidRDefault="00E8794E" w:rsidP="00E8794E">
      <w:pPr>
        <w:pStyle w:val="Heading2"/>
        <w:rPr>
          <w:color w:val="auto"/>
          <w:sz w:val="32"/>
          <w:szCs w:val="32"/>
        </w:rPr>
      </w:pPr>
      <w:bookmarkStart w:id="7" w:name="_Toc46952601"/>
      <w:r>
        <w:rPr>
          <w:color w:val="auto"/>
          <w:sz w:val="32"/>
          <w:szCs w:val="32"/>
        </w:rPr>
        <w:t xml:space="preserve">2.4.1 </w:t>
      </w:r>
      <w:r w:rsidRPr="00C136C1">
        <w:rPr>
          <w:color w:val="auto"/>
          <w:sz w:val="32"/>
          <w:szCs w:val="32"/>
        </w:rPr>
        <w:t>The EU’s External Governance – Institutional Capacity</w:t>
      </w:r>
      <w:bookmarkEnd w:id="7"/>
    </w:p>
    <w:p w:rsidR="00E8794E" w:rsidRPr="00C136C1" w:rsidRDefault="00E8794E" w:rsidP="00E8794E"/>
    <w:p w:rsidR="00E8794E" w:rsidRPr="00CC4288" w:rsidRDefault="00E8794E" w:rsidP="00E8794E">
      <w:pPr>
        <w:spacing w:line="360" w:lineRule="auto"/>
        <w:jc w:val="both"/>
        <w:rPr>
          <w:rFonts w:ascii="Times New Roman" w:hAnsi="Times New Roman"/>
          <w:sz w:val="24"/>
          <w:szCs w:val="24"/>
        </w:rPr>
      </w:pPr>
      <w:r w:rsidRPr="00CC4288">
        <w:rPr>
          <w:rFonts w:ascii="Times New Roman" w:hAnsi="Times New Roman"/>
          <w:sz w:val="24"/>
          <w:szCs w:val="24"/>
        </w:rPr>
        <w:t>The European Union represents one of the most successful political projects which is based on peaceful resolution of disputes on the inter-state level.</w:t>
      </w:r>
      <w:r w:rsidRPr="00CC4288">
        <w:rPr>
          <w:rStyle w:val="FootnoteReference"/>
          <w:rFonts w:ascii="Times New Roman" w:hAnsi="Times New Roman"/>
          <w:sz w:val="24"/>
          <w:szCs w:val="24"/>
        </w:rPr>
        <w:footnoteReference w:id="65"/>
      </w:r>
      <w:r w:rsidRPr="00CC4288">
        <w:rPr>
          <w:rFonts w:ascii="Times New Roman" w:hAnsi="Times New Roman"/>
          <w:sz w:val="24"/>
          <w:szCs w:val="24"/>
        </w:rPr>
        <w:t xml:space="preserve"> In the post-Cold War era, the idea of </w:t>
      </w:r>
      <w:r>
        <w:rPr>
          <w:rFonts w:ascii="Times New Roman" w:hAnsi="Times New Roman"/>
          <w:i/>
          <w:sz w:val="24"/>
          <w:szCs w:val="24"/>
        </w:rPr>
        <w:t>Europe whole, free and at peace</w:t>
      </w:r>
      <w:r w:rsidRPr="00CC4288">
        <w:rPr>
          <w:rFonts w:ascii="Times New Roman" w:hAnsi="Times New Roman"/>
          <w:sz w:val="24"/>
          <w:szCs w:val="24"/>
        </w:rPr>
        <w:t xml:space="preserve">, has gained significant value in a global sense. The EU’s involvement in crisis resolution and transformation in Bosnia, Kosovo, and South Caucasus demonstrated its capability as an international actor. However, the EU’s conflict mediation strategy deemed unsuccessful in the former Yugoslavia region which underlined the necessity for capacity building and designation of efficient mechanisms. In response to this failure, the EU implemented the Common Foreign and Security Policy (CFSP), the European Security Strategy (ESS), and the Common Security and Defense Policy (CSDP). </w:t>
      </w:r>
    </w:p>
    <w:p w:rsidR="00550384" w:rsidRDefault="00550384" w:rsidP="00E8794E">
      <w:pPr>
        <w:spacing w:line="360" w:lineRule="auto"/>
        <w:jc w:val="both"/>
        <w:rPr>
          <w:rFonts w:ascii="Times New Roman" w:hAnsi="Times New Roman"/>
          <w:sz w:val="24"/>
          <w:szCs w:val="24"/>
        </w:rPr>
      </w:pPr>
    </w:p>
    <w:p w:rsidR="00550384" w:rsidRDefault="00E8794E" w:rsidP="00E8794E">
      <w:pPr>
        <w:spacing w:line="360" w:lineRule="auto"/>
        <w:jc w:val="both"/>
        <w:rPr>
          <w:rFonts w:ascii="Times New Roman" w:hAnsi="Times New Roman"/>
          <w:sz w:val="24"/>
          <w:szCs w:val="24"/>
        </w:rPr>
      </w:pPr>
      <w:r w:rsidRPr="00CC4288">
        <w:rPr>
          <w:rFonts w:ascii="Times New Roman" w:hAnsi="Times New Roman"/>
          <w:sz w:val="24"/>
          <w:szCs w:val="24"/>
        </w:rPr>
        <w:t xml:space="preserve">The objectives of the CSFP are formulated under the </w:t>
      </w:r>
      <w:r w:rsidRPr="00AD5BED">
        <w:rPr>
          <w:rFonts w:ascii="Times New Roman" w:hAnsi="Times New Roman"/>
          <w:i/>
          <w:sz w:val="24"/>
          <w:szCs w:val="24"/>
        </w:rPr>
        <w:t>Maastrich Treaty (1992)</w:t>
      </w:r>
      <w:r w:rsidRPr="00CC4288">
        <w:rPr>
          <w:rFonts w:ascii="Times New Roman" w:hAnsi="Times New Roman"/>
          <w:sz w:val="24"/>
          <w:szCs w:val="24"/>
        </w:rPr>
        <w:t>. It is an integral part of the three-pillar system of the European Union – European Communities, Common Foreign and Security Policy and Justice and Home Affairs.</w:t>
      </w:r>
      <w:r w:rsidRPr="00CC4288">
        <w:rPr>
          <w:rStyle w:val="FootnoteReference"/>
          <w:rFonts w:ascii="Times New Roman" w:hAnsi="Times New Roman"/>
          <w:sz w:val="24"/>
          <w:szCs w:val="24"/>
        </w:rPr>
        <w:footnoteReference w:id="66"/>
      </w:r>
      <w:r w:rsidRPr="00CC4288">
        <w:rPr>
          <w:rFonts w:ascii="Times New Roman" w:hAnsi="Times New Roman"/>
          <w:sz w:val="24"/>
          <w:szCs w:val="24"/>
        </w:rPr>
        <w:t xml:space="preserve"> The CSFP is designated to strengthen democratization, rule of law, human rights, peace, security and cooperation beyond the borders.</w:t>
      </w:r>
      <w:r w:rsidRPr="00CC4288">
        <w:rPr>
          <w:rStyle w:val="FootnoteReference"/>
          <w:rFonts w:ascii="Times New Roman" w:hAnsi="Times New Roman"/>
          <w:sz w:val="24"/>
          <w:szCs w:val="24"/>
        </w:rPr>
        <w:footnoteReference w:id="67"/>
      </w:r>
      <w:r w:rsidRPr="00CC4288">
        <w:rPr>
          <w:rFonts w:ascii="Times New Roman" w:hAnsi="Times New Roman"/>
          <w:sz w:val="24"/>
          <w:szCs w:val="24"/>
        </w:rPr>
        <w:t xml:space="preserve"> The CSFP consists of various political, economic, and judicial mechanisms. The economic incentives are developed through the Rapid Reaction Mechanism (RRM) which enables the efficient allocation of funds in the conflict-affected areas.</w:t>
      </w:r>
      <w:r w:rsidRPr="00CC4288">
        <w:rPr>
          <w:rStyle w:val="FootnoteReference"/>
          <w:rFonts w:ascii="Times New Roman" w:hAnsi="Times New Roman"/>
          <w:sz w:val="24"/>
          <w:szCs w:val="24"/>
        </w:rPr>
        <w:footnoteReference w:id="68"/>
      </w:r>
      <w:r w:rsidRPr="00CC4288">
        <w:rPr>
          <w:rFonts w:ascii="Times New Roman" w:hAnsi="Times New Roman"/>
          <w:sz w:val="24"/>
          <w:szCs w:val="24"/>
        </w:rPr>
        <w:t xml:space="preserve"> To achieve the desired depth of impact, the CSDP has introduced the EU Special Representative (EUSR) mechanism which intends to observe and promote policy </w:t>
      </w:r>
      <w:r w:rsidRPr="00CC4288">
        <w:rPr>
          <w:rFonts w:ascii="Times New Roman" w:hAnsi="Times New Roman"/>
          <w:sz w:val="24"/>
          <w:szCs w:val="24"/>
        </w:rPr>
        <w:lastRenderedPageBreak/>
        <w:t>internalization in partner states. The EUSR office in partner state operates and diplomatic representation and informational hub. It enables the EU to receive first-hand information on the dynamics of the conflict transformation in partner state and support the implementation of its norms and values on the external level.</w:t>
      </w:r>
      <w:r w:rsidRPr="00CC4288">
        <w:rPr>
          <w:rStyle w:val="FootnoteReference"/>
          <w:rFonts w:ascii="Times New Roman" w:hAnsi="Times New Roman"/>
          <w:sz w:val="24"/>
          <w:szCs w:val="24"/>
        </w:rPr>
        <w:footnoteReference w:id="69"/>
      </w:r>
      <w:r>
        <w:rPr>
          <w:rFonts w:ascii="Times New Roman" w:hAnsi="Times New Roman"/>
          <w:sz w:val="24"/>
          <w:szCs w:val="24"/>
        </w:rPr>
        <w:t xml:space="preserve"> </w:t>
      </w:r>
      <w:r w:rsidRPr="00CC4288">
        <w:rPr>
          <w:rFonts w:ascii="Times New Roman" w:hAnsi="Times New Roman"/>
          <w:sz w:val="24"/>
          <w:szCs w:val="24"/>
        </w:rPr>
        <w:t>The European Security Strategy (ESS) and Common Security and Defense Policy (CSDP) respond to the EU’s security and defense concerns. It represents the shared vision of the Union on security architecture and affairs with foreign actors.</w:t>
      </w:r>
      <w:r w:rsidRPr="00CC4288">
        <w:rPr>
          <w:rStyle w:val="FootnoteReference"/>
          <w:rFonts w:ascii="Times New Roman" w:hAnsi="Times New Roman"/>
          <w:sz w:val="24"/>
          <w:szCs w:val="24"/>
        </w:rPr>
        <w:footnoteReference w:id="70"/>
      </w:r>
      <w:r w:rsidRPr="00CC4288">
        <w:rPr>
          <w:rFonts w:ascii="Times New Roman" w:hAnsi="Times New Roman"/>
          <w:b/>
          <w:sz w:val="24"/>
          <w:szCs w:val="24"/>
        </w:rPr>
        <w:t xml:space="preserve"> </w:t>
      </w:r>
      <w:r w:rsidRPr="00CC4288">
        <w:rPr>
          <w:rFonts w:ascii="Times New Roman" w:hAnsi="Times New Roman"/>
          <w:sz w:val="24"/>
          <w:szCs w:val="24"/>
        </w:rPr>
        <w:t>One of the main objectives of this mechanism is to contribute to the securitization of the EU’s neighborhood and strengthening the international order.</w:t>
      </w:r>
      <w:r w:rsidRPr="00CC4288">
        <w:rPr>
          <w:rStyle w:val="FootnoteReference"/>
          <w:rFonts w:ascii="Times New Roman" w:hAnsi="Times New Roman"/>
          <w:sz w:val="24"/>
          <w:szCs w:val="24"/>
        </w:rPr>
        <w:footnoteReference w:id="71"/>
      </w:r>
      <w:r w:rsidRPr="00CC4288">
        <w:rPr>
          <w:rFonts w:ascii="Times New Roman" w:hAnsi="Times New Roman"/>
          <w:sz w:val="24"/>
          <w:szCs w:val="24"/>
        </w:rPr>
        <w:t xml:space="preserve"> Furthermore, the EU utilizes these frameworks for capacity building of the peace-keeping missions, monitoring and observer missions, and peace enforcement missions in conflict-affected regions.</w:t>
      </w:r>
      <w:r w:rsidRPr="00CC4288">
        <w:rPr>
          <w:rStyle w:val="FootnoteReference"/>
          <w:rFonts w:ascii="Times New Roman" w:hAnsi="Times New Roman"/>
          <w:sz w:val="24"/>
          <w:szCs w:val="24"/>
        </w:rPr>
        <w:footnoteReference w:id="72"/>
      </w:r>
      <w:r w:rsidRPr="00CC4288">
        <w:rPr>
          <w:rFonts w:ascii="Times New Roman" w:hAnsi="Times New Roman"/>
          <w:sz w:val="24"/>
          <w:szCs w:val="24"/>
        </w:rPr>
        <w:t xml:space="preserve"> As a result of restructuring the foreign and security policy mechanisms and revision of the conflict mediation strategy, the EU significantly enhanced its capabilities in crisis management, conflict resolution, strategic planning, and conflict transformation.</w:t>
      </w:r>
      <w:r w:rsidRPr="00CC4288">
        <w:rPr>
          <w:rStyle w:val="FootnoteReference"/>
          <w:rFonts w:ascii="Times New Roman" w:hAnsi="Times New Roman"/>
          <w:sz w:val="24"/>
          <w:szCs w:val="24"/>
        </w:rPr>
        <w:footnoteReference w:id="73"/>
      </w:r>
      <w:r w:rsidRPr="00CC4288">
        <w:rPr>
          <w:rFonts w:ascii="Times New Roman" w:hAnsi="Times New Roman"/>
          <w:sz w:val="24"/>
          <w:szCs w:val="24"/>
        </w:rPr>
        <w:t xml:space="preserve"> </w:t>
      </w:r>
    </w:p>
    <w:p w:rsidR="00550384" w:rsidRDefault="00550384" w:rsidP="00E8794E">
      <w:pPr>
        <w:spacing w:line="360" w:lineRule="auto"/>
        <w:jc w:val="both"/>
        <w:rPr>
          <w:rFonts w:ascii="Times New Roman" w:hAnsi="Times New Roman"/>
          <w:sz w:val="24"/>
          <w:szCs w:val="24"/>
        </w:rPr>
      </w:pPr>
    </w:p>
    <w:p w:rsidR="00E8794E" w:rsidRPr="00CC4288" w:rsidRDefault="00E8794E" w:rsidP="00E8794E">
      <w:pPr>
        <w:spacing w:line="360" w:lineRule="auto"/>
        <w:jc w:val="both"/>
        <w:rPr>
          <w:rFonts w:ascii="Times New Roman" w:hAnsi="Times New Roman"/>
          <w:sz w:val="24"/>
          <w:szCs w:val="24"/>
        </w:rPr>
      </w:pPr>
      <w:r w:rsidRPr="00CC4288">
        <w:rPr>
          <w:rFonts w:ascii="Times New Roman" w:hAnsi="Times New Roman"/>
          <w:sz w:val="24"/>
          <w:szCs w:val="24"/>
        </w:rPr>
        <w:t xml:space="preserve">The EU’s vision of the peace preservation and restoration of the international order was reiterated in the </w:t>
      </w:r>
      <w:r w:rsidRPr="00AD5BED">
        <w:rPr>
          <w:rFonts w:ascii="Times New Roman" w:hAnsi="Times New Roman"/>
          <w:i/>
          <w:sz w:val="24"/>
          <w:szCs w:val="24"/>
        </w:rPr>
        <w:t>Lisbon Treaty (2009).</w:t>
      </w:r>
      <w:r w:rsidRPr="00CC4288">
        <w:rPr>
          <w:rFonts w:ascii="Times New Roman" w:hAnsi="Times New Roman"/>
          <w:sz w:val="24"/>
          <w:szCs w:val="24"/>
        </w:rPr>
        <w:t xml:space="preserve"> The EU’s role in conflict mediation and transformation process was clearly articulated in the Concept on Strengthening EU Mediation and Dialogue Capacities, which was implemented in 2009. According to the concept, the EU prioritizes the strengthening of the mediation capacities of involved parties, support of the crisis management and post-conflict rehabilitation, as well as the strengthening of the peace efforts.</w:t>
      </w:r>
      <w:r w:rsidRPr="00CC4288">
        <w:rPr>
          <w:rStyle w:val="FootnoteReference"/>
          <w:rFonts w:ascii="Times New Roman" w:hAnsi="Times New Roman"/>
          <w:sz w:val="24"/>
          <w:szCs w:val="24"/>
        </w:rPr>
        <w:footnoteReference w:id="74"/>
      </w:r>
      <w:r w:rsidRPr="00CC4288">
        <w:rPr>
          <w:rFonts w:ascii="Times New Roman" w:hAnsi="Times New Roman"/>
          <w:sz w:val="24"/>
          <w:szCs w:val="24"/>
        </w:rPr>
        <w:t xml:space="preserve"> The EU’s conflict mediation strategy unifies various instruments such as:</w:t>
      </w:r>
    </w:p>
    <w:p w:rsidR="00E8794E" w:rsidRPr="00CC4288" w:rsidRDefault="00E8794E" w:rsidP="00E8794E">
      <w:pPr>
        <w:spacing w:line="360" w:lineRule="auto"/>
        <w:jc w:val="both"/>
        <w:rPr>
          <w:rFonts w:ascii="Times New Roman" w:hAnsi="Times New Roman"/>
          <w:sz w:val="24"/>
          <w:szCs w:val="24"/>
        </w:rPr>
      </w:pPr>
      <w:r w:rsidRPr="00AD5BED">
        <w:rPr>
          <w:rFonts w:ascii="Times New Roman" w:hAnsi="Times New Roman"/>
          <w:i/>
          <w:sz w:val="24"/>
          <w:szCs w:val="24"/>
        </w:rPr>
        <w:t>Joint Statements</w:t>
      </w:r>
      <w:r w:rsidRPr="00CC4288">
        <w:rPr>
          <w:rFonts w:ascii="Times New Roman" w:hAnsi="Times New Roman"/>
          <w:sz w:val="24"/>
          <w:szCs w:val="24"/>
        </w:rPr>
        <w:t xml:space="preserve"> – Expression of concerns on part of the European Council or the foreign ministers of the member states concerning the conflict situation.</w:t>
      </w:r>
      <w:r w:rsidRPr="00CC4288">
        <w:rPr>
          <w:rStyle w:val="FootnoteReference"/>
          <w:rFonts w:ascii="Times New Roman" w:hAnsi="Times New Roman"/>
          <w:sz w:val="24"/>
          <w:szCs w:val="24"/>
        </w:rPr>
        <w:footnoteReference w:id="75"/>
      </w:r>
    </w:p>
    <w:p w:rsidR="00E8794E" w:rsidRPr="00CC4288" w:rsidRDefault="00E8794E" w:rsidP="00E8794E">
      <w:pPr>
        <w:spacing w:line="360" w:lineRule="auto"/>
        <w:jc w:val="both"/>
        <w:rPr>
          <w:rFonts w:ascii="Times New Roman" w:hAnsi="Times New Roman"/>
          <w:sz w:val="24"/>
          <w:szCs w:val="24"/>
        </w:rPr>
      </w:pPr>
      <w:r w:rsidRPr="00AD5BED">
        <w:rPr>
          <w:rFonts w:ascii="Times New Roman" w:hAnsi="Times New Roman"/>
          <w:i/>
          <w:sz w:val="24"/>
          <w:szCs w:val="24"/>
        </w:rPr>
        <w:lastRenderedPageBreak/>
        <w:t>Joint Actions</w:t>
      </w:r>
      <w:r w:rsidRPr="00CC4288">
        <w:rPr>
          <w:rFonts w:ascii="Times New Roman" w:hAnsi="Times New Roman"/>
          <w:sz w:val="24"/>
          <w:szCs w:val="24"/>
        </w:rPr>
        <w:t xml:space="preserve"> – Joint operation actions and efforts of the member states which legally binding nature and fixed financial capacity.</w:t>
      </w:r>
      <w:r w:rsidRPr="00CC4288">
        <w:rPr>
          <w:rStyle w:val="FootnoteReference"/>
          <w:rFonts w:ascii="Times New Roman" w:hAnsi="Times New Roman"/>
          <w:sz w:val="24"/>
          <w:szCs w:val="24"/>
        </w:rPr>
        <w:footnoteReference w:id="76"/>
      </w:r>
    </w:p>
    <w:p w:rsidR="00E8794E" w:rsidRPr="00CC4288" w:rsidRDefault="00E8794E" w:rsidP="00E8794E">
      <w:pPr>
        <w:spacing w:line="360" w:lineRule="auto"/>
        <w:jc w:val="both"/>
        <w:rPr>
          <w:rFonts w:ascii="Times New Roman" w:hAnsi="Times New Roman"/>
          <w:sz w:val="24"/>
          <w:szCs w:val="24"/>
        </w:rPr>
      </w:pPr>
      <w:r w:rsidRPr="00AD5BED">
        <w:rPr>
          <w:rFonts w:ascii="Times New Roman" w:hAnsi="Times New Roman"/>
          <w:i/>
          <w:sz w:val="24"/>
          <w:szCs w:val="24"/>
        </w:rPr>
        <w:t>Common Positions</w:t>
      </w:r>
      <w:r w:rsidRPr="00CC4288">
        <w:rPr>
          <w:rFonts w:ascii="Times New Roman" w:hAnsi="Times New Roman"/>
          <w:sz w:val="24"/>
          <w:szCs w:val="24"/>
        </w:rPr>
        <w:t xml:space="preserve"> – Addressing the E</w:t>
      </w:r>
      <w:r>
        <w:rPr>
          <w:rFonts w:ascii="Times New Roman" w:hAnsi="Times New Roman"/>
          <w:sz w:val="24"/>
          <w:szCs w:val="24"/>
        </w:rPr>
        <w:t>uropean Union’s approach to</w:t>
      </w:r>
      <w:r w:rsidRPr="00CC4288">
        <w:rPr>
          <w:rFonts w:ascii="Times New Roman" w:hAnsi="Times New Roman"/>
          <w:sz w:val="24"/>
          <w:szCs w:val="24"/>
        </w:rPr>
        <w:t xml:space="preserve"> specific geostrategic or political issues.</w:t>
      </w:r>
      <w:r w:rsidRPr="00CC4288">
        <w:rPr>
          <w:rStyle w:val="FootnoteReference"/>
          <w:rFonts w:ascii="Times New Roman" w:hAnsi="Times New Roman"/>
          <w:sz w:val="24"/>
          <w:szCs w:val="24"/>
        </w:rPr>
        <w:footnoteReference w:id="77"/>
      </w:r>
    </w:p>
    <w:p w:rsidR="00E8794E" w:rsidRDefault="00E8794E" w:rsidP="00E8794E">
      <w:pPr>
        <w:spacing w:line="360" w:lineRule="auto"/>
        <w:jc w:val="both"/>
        <w:rPr>
          <w:rFonts w:ascii="Times New Roman" w:hAnsi="Times New Roman"/>
          <w:sz w:val="24"/>
          <w:szCs w:val="24"/>
        </w:rPr>
      </w:pPr>
      <w:r w:rsidRPr="00AD5BED">
        <w:rPr>
          <w:rFonts w:ascii="Times New Roman" w:hAnsi="Times New Roman"/>
          <w:i/>
          <w:sz w:val="24"/>
          <w:szCs w:val="24"/>
        </w:rPr>
        <w:t>Economic Sanctions</w:t>
      </w:r>
      <w:r w:rsidRPr="00CC4288">
        <w:rPr>
          <w:rFonts w:ascii="Times New Roman" w:hAnsi="Times New Roman"/>
          <w:sz w:val="24"/>
          <w:szCs w:val="24"/>
        </w:rPr>
        <w:t xml:space="preserve"> – Joint financial approach of the member states towards the confronting parties by positive incentives or negative sticks.</w:t>
      </w:r>
      <w:r w:rsidRPr="00CC4288">
        <w:rPr>
          <w:rStyle w:val="FootnoteReference"/>
          <w:rFonts w:ascii="Times New Roman" w:hAnsi="Times New Roman"/>
          <w:sz w:val="24"/>
          <w:szCs w:val="24"/>
        </w:rPr>
        <w:footnoteReference w:id="78"/>
      </w:r>
    </w:p>
    <w:p w:rsidR="00E8794E" w:rsidRPr="00E8794E" w:rsidRDefault="00E8794E" w:rsidP="00E8794E">
      <w:pPr>
        <w:pStyle w:val="NoSpacing"/>
      </w:pPr>
      <w:r>
        <w:rPr>
          <w:noProof/>
        </w:rPr>
        <w:drawing>
          <wp:inline distT="0" distB="0" distL="0" distR="0" wp14:anchorId="313883BD" wp14:editId="6022C73E">
            <wp:extent cx="4032962" cy="38481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DP Structure.png"/>
                    <pic:cNvPicPr/>
                  </pic:nvPicPr>
                  <pic:blipFill>
                    <a:blip r:embed="rId11">
                      <a:extLst>
                        <a:ext uri="{28A0092B-C50C-407E-A947-70E740481C1C}">
                          <a14:useLocalDpi xmlns:a14="http://schemas.microsoft.com/office/drawing/2010/main" val="0"/>
                        </a:ext>
                      </a:extLst>
                    </a:blip>
                    <a:stretch>
                      <a:fillRect/>
                    </a:stretch>
                  </pic:blipFill>
                  <pic:spPr>
                    <a:xfrm>
                      <a:off x="0" y="0"/>
                      <a:ext cx="4084263" cy="3897049"/>
                    </a:xfrm>
                    <a:prstGeom prst="rect">
                      <a:avLst/>
                    </a:prstGeom>
                  </pic:spPr>
                </pic:pic>
              </a:graphicData>
            </a:graphic>
          </wp:inline>
        </w:drawing>
      </w:r>
    </w:p>
    <w:p w:rsidR="00E8794E" w:rsidRDefault="00E8794E" w:rsidP="00E8794E">
      <w:pPr>
        <w:pStyle w:val="NoSpacing"/>
      </w:pPr>
    </w:p>
    <w:p w:rsidR="00E8794E" w:rsidRDefault="00E8794E" w:rsidP="00E8794E">
      <w:pPr>
        <w:pStyle w:val="NoSpacing"/>
      </w:pPr>
    </w:p>
    <w:p w:rsidR="00E8794E" w:rsidRPr="00550384" w:rsidRDefault="00E8794E" w:rsidP="00E8794E">
      <w:pPr>
        <w:pStyle w:val="NoSpacing"/>
        <w:rPr>
          <w:rFonts w:ascii="Times New Roman" w:hAnsi="Times New Roman"/>
          <w:sz w:val="24"/>
          <w:szCs w:val="24"/>
        </w:rPr>
      </w:pPr>
      <w:r w:rsidRPr="004F09D2">
        <w:rPr>
          <w:rFonts w:ascii="Times New Roman" w:hAnsi="Times New Roman"/>
          <w:b/>
          <w:sz w:val="24"/>
          <w:szCs w:val="24"/>
        </w:rPr>
        <w:t xml:space="preserve">Figure 4. </w:t>
      </w:r>
      <w:r w:rsidRPr="00CF2F54">
        <w:rPr>
          <w:rFonts w:ascii="Times New Roman" w:hAnsi="Times New Roman"/>
          <w:sz w:val="24"/>
          <w:szCs w:val="24"/>
        </w:rPr>
        <w:t>Organizational Structure of the ESDP</w:t>
      </w:r>
      <w:r w:rsidRPr="00CF2F54">
        <w:rPr>
          <w:rStyle w:val="FootnoteReference"/>
          <w:rFonts w:ascii="Times New Roman" w:hAnsi="Times New Roman"/>
          <w:sz w:val="24"/>
          <w:szCs w:val="24"/>
        </w:rPr>
        <w:footnoteReference w:id="79"/>
      </w:r>
    </w:p>
    <w:p w:rsidR="00E8794E" w:rsidRDefault="00E8794E" w:rsidP="00E8794E">
      <w:pPr>
        <w:spacing w:line="360" w:lineRule="auto"/>
        <w:jc w:val="both"/>
        <w:rPr>
          <w:rFonts w:ascii="Times New Roman" w:hAnsi="Times New Roman"/>
          <w:sz w:val="24"/>
          <w:szCs w:val="24"/>
        </w:rPr>
      </w:pPr>
      <w:r w:rsidRPr="00CC4288">
        <w:rPr>
          <w:rFonts w:ascii="Times New Roman" w:hAnsi="Times New Roman"/>
          <w:sz w:val="24"/>
          <w:szCs w:val="24"/>
        </w:rPr>
        <w:t>The EU’s conflict mediation instruments vary in nature, from political and military to diplomatic and financial. The conflicting parties often prefer to cooperate with the EU through financial and political instruments. In this term, conditionality and socialization instruments play a key role. The conditionality instrument is based on the principle of ‘stick and carrots’ which targets to achieve the desired level of domestic change in partner state through the allocation of financial incentives.</w:t>
      </w:r>
      <w:r w:rsidRPr="00CC4288">
        <w:rPr>
          <w:rStyle w:val="FootnoteReference"/>
          <w:rFonts w:ascii="Times New Roman" w:hAnsi="Times New Roman"/>
          <w:sz w:val="24"/>
          <w:szCs w:val="24"/>
        </w:rPr>
        <w:footnoteReference w:id="80"/>
      </w:r>
      <w:r w:rsidRPr="00CC4288">
        <w:rPr>
          <w:rFonts w:ascii="Times New Roman" w:hAnsi="Times New Roman"/>
          <w:sz w:val="24"/>
          <w:szCs w:val="24"/>
        </w:rPr>
        <w:t xml:space="preserve"> The efficiency of this policy primarily relies </w:t>
      </w:r>
      <w:r w:rsidRPr="00CC4288">
        <w:rPr>
          <w:rFonts w:ascii="Times New Roman" w:hAnsi="Times New Roman"/>
          <w:sz w:val="24"/>
          <w:szCs w:val="24"/>
        </w:rPr>
        <w:lastRenderedPageBreak/>
        <w:t>on the readiness of the confronting parties to internalize the EU norms and values and in exchange enjoy the financial and security benefits offered by the Union.</w:t>
      </w:r>
      <w:r w:rsidRPr="00CC4288">
        <w:rPr>
          <w:rStyle w:val="FootnoteReference"/>
          <w:rFonts w:ascii="Times New Roman" w:hAnsi="Times New Roman"/>
          <w:sz w:val="24"/>
          <w:szCs w:val="24"/>
        </w:rPr>
        <w:footnoteReference w:id="81"/>
      </w:r>
      <w:r w:rsidRPr="00CC4288">
        <w:rPr>
          <w:rFonts w:ascii="Times New Roman" w:hAnsi="Times New Roman"/>
          <w:sz w:val="24"/>
          <w:szCs w:val="24"/>
        </w:rPr>
        <w:t xml:space="preserve"> The policy is intended to achieve short-term objectives and alter the behavior of the confronting parties in the desired direction.</w:t>
      </w:r>
      <w:r w:rsidRPr="00CC4288">
        <w:rPr>
          <w:rStyle w:val="FootnoteReference"/>
          <w:rFonts w:ascii="Times New Roman" w:hAnsi="Times New Roman"/>
          <w:sz w:val="24"/>
          <w:szCs w:val="24"/>
        </w:rPr>
        <w:footnoteReference w:id="82"/>
      </w:r>
      <w:r w:rsidRPr="00CC4288">
        <w:rPr>
          <w:rFonts w:ascii="Times New Roman" w:hAnsi="Times New Roman"/>
          <w:sz w:val="24"/>
          <w:szCs w:val="24"/>
        </w:rPr>
        <w:t xml:space="preserve"> The long-term objectives of the EU’s conflict mediation strategy are consolidated under </w:t>
      </w:r>
      <w:r w:rsidR="00C47D49">
        <w:rPr>
          <w:rFonts w:ascii="Times New Roman" w:hAnsi="Times New Roman"/>
          <w:sz w:val="24"/>
          <w:szCs w:val="24"/>
        </w:rPr>
        <w:t>the socialization instrument. As Emerson (2004) notes</w:t>
      </w:r>
      <w:r w:rsidR="007C7DDF">
        <w:rPr>
          <w:rFonts w:ascii="Times New Roman" w:hAnsi="Times New Roman"/>
          <w:sz w:val="24"/>
          <w:szCs w:val="24"/>
        </w:rPr>
        <w:t xml:space="preserve">: “the EU’s conflict mediation strategy relies </w:t>
      </w:r>
      <w:proofErr w:type="gramStart"/>
      <w:r w:rsidR="007C7DDF">
        <w:rPr>
          <w:rFonts w:ascii="Times New Roman" w:hAnsi="Times New Roman"/>
          <w:sz w:val="24"/>
          <w:szCs w:val="24"/>
        </w:rPr>
        <w:t xml:space="preserve">on  </w:t>
      </w:r>
      <w:r w:rsidR="006E5499">
        <w:rPr>
          <w:rFonts w:ascii="Times New Roman" w:hAnsi="Times New Roman"/>
          <w:sz w:val="24"/>
          <w:szCs w:val="24"/>
        </w:rPr>
        <w:t>the</w:t>
      </w:r>
      <w:proofErr w:type="gramEnd"/>
      <w:r w:rsidR="006E5499">
        <w:rPr>
          <w:rFonts w:ascii="Times New Roman" w:hAnsi="Times New Roman"/>
          <w:sz w:val="24"/>
          <w:szCs w:val="24"/>
        </w:rPr>
        <w:t xml:space="preserve"> </w:t>
      </w:r>
      <w:r w:rsidR="007C7DDF">
        <w:rPr>
          <w:rFonts w:ascii="Times New Roman" w:hAnsi="Times New Roman"/>
          <w:sz w:val="24"/>
          <w:szCs w:val="24"/>
        </w:rPr>
        <w:t>persuasion of</w:t>
      </w:r>
      <w:r w:rsidRPr="00CC4288">
        <w:rPr>
          <w:rFonts w:ascii="Times New Roman" w:hAnsi="Times New Roman"/>
          <w:sz w:val="24"/>
          <w:szCs w:val="24"/>
        </w:rPr>
        <w:t xml:space="preserve"> the parties to the transformation of the existing societal norms, the approximation of the domestic judicial system to the EU standards, and the strengthening of the rule of law.</w:t>
      </w:r>
      <w:r w:rsidR="007C7DDF">
        <w:rPr>
          <w:rFonts w:ascii="Times New Roman" w:hAnsi="Times New Roman"/>
          <w:sz w:val="24"/>
          <w:szCs w:val="24"/>
        </w:rPr>
        <w:t>”</w:t>
      </w:r>
      <w:r w:rsidRPr="00CC4288">
        <w:rPr>
          <w:rStyle w:val="FootnoteReference"/>
          <w:rFonts w:ascii="Times New Roman" w:hAnsi="Times New Roman"/>
          <w:sz w:val="24"/>
          <w:szCs w:val="24"/>
        </w:rPr>
        <w:footnoteReference w:id="83"/>
      </w:r>
      <w:r w:rsidRPr="00CC4288">
        <w:rPr>
          <w:rFonts w:ascii="Times New Roman" w:hAnsi="Times New Roman"/>
          <w:sz w:val="24"/>
          <w:szCs w:val="24"/>
        </w:rPr>
        <w:t xml:space="preserve"> It must be noted that the instruments of conditionality and socialization are limited by factors such as lack of interest from confronting parties, evident differences between the EU’s and domestic policies, and low level of internalization of the policies on the domestic level.</w:t>
      </w:r>
      <w:r w:rsidRPr="00CC4288">
        <w:rPr>
          <w:rStyle w:val="FootnoteReference"/>
          <w:rFonts w:ascii="Times New Roman" w:hAnsi="Times New Roman"/>
          <w:sz w:val="24"/>
          <w:szCs w:val="24"/>
        </w:rPr>
        <w:footnoteReference w:id="84"/>
      </w:r>
    </w:p>
    <w:p w:rsidR="008B5A68" w:rsidRDefault="008B5A68" w:rsidP="008B5A68">
      <w:pPr>
        <w:pStyle w:val="NoSpacing"/>
      </w:pPr>
    </w:p>
    <w:p w:rsidR="008B5A68" w:rsidRDefault="008B5A68" w:rsidP="008B5A68">
      <w:pPr>
        <w:spacing w:line="360" w:lineRule="auto"/>
        <w:jc w:val="both"/>
        <w:rPr>
          <w:rFonts w:ascii="Times New Roman" w:hAnsi="Times New Roman"/>
          <w:b/>
          <w:sz w:val="24"/>
          <w:szCs w:val="24"/>
        </w:rPr>
      </w:pPr>
      <w:r>
        <w:rPr>
          <w:rFonts w:ascii="Times New Roman" w:hAnsi="Times New Roman"/>
          <w:b/>
          <w:sz w:val="24"/>
          <w:szCs w:val="24"/>
        </w:rPr>
        <w:t>Research Question</w:t>
      </w:r>
    </w:p>
    <w:p w:rsidR="008B5A68" w:rsidRDefault="008B5A68" w:rsidP="008B5A68">
      <w:pPr>
        <w:spacing w:line="360" w:lineRule="auto"/>
        <w:jc w:val="both"/>
        <w:rPr>
          <w:rFonts w:ascii="Times New Roman" w:hAnsi="Times New Roman"/>
          <w:sz w:val="24"/>
          <w:szCs w:val="24"/>
        </w:rPr>
      </w:pPr>
      <w:r>
        <w:rPr>
          <w:rFonts w:ascii="Times New Roman" w:hAnsi="Times New Roman"/>
          <w:sz w:val="24"/>
          <w:szCs w:val="24"/>
        </w:rPr>
        <w:t xml:space="preserve">Furthermore, the research aims to answer the following </w:t>
      </w:r>
      <w:r w:rsidRPr="002476ED">
        <w:rPr>
          <w:rFonts w:ascii="Times New Roman" w:hAnsi="Times New Roman"/>
          <w:sz w:val="24"/>
          <w:szCs w:val="24"/>
        </w:rPr>
        <w:t>question</w:t>
      </w:r>
      <w:r>
        <w:rPr>
          <w:rFonts w:ascii="Times New Roman" w:hAnsi="Times New Roman"/>
          <w:sz w:val="24"/>
          <w:szCs w:val="24"/>
        </w:rPr>
        <w:t>:</w:t>
      </w:r>
    </w:p>
    <w:p w:rsidR="008B5A68" w:rsidRDefault="008B5A68" w:rsidP="008B5A68">
      <w:pPr>
        <w:spacing w:line="360" w:lineRule="auto"/>
        <w:jc w:val="both"/>
        <w:rPr>
          <w:rFonts w:ascii="Times New Roman" w:hAnsi="Times New Roman"/>
          <w:i/>
          <w:sz w:val="24"/>
          <w:szCs w:val="24"/>
        </w:rPr>
      </w:pPr>
    </w:p>
    <w:p w:rsidR="008B5A68" w:rsidRDefault="008B5A68" w:rsidP="008B5A68">
      <w:pPr>
        <w:spacing w:line="360" w:lineRule="auto"/>
        <w:jc w:val="both"/>
        <w:rPr>
          <w:rFonts w:ascii="Times New Roman" w:hAnsi="Times New Roman"/>
          <w:i/>
          <w:sz w:val="24"/>
          <w:szCs w:val="24"/>
        </w:rPr>
      </w:pPr>
      <w:r>
        <w:rPr>
          <w:rFonts w:ascii="Times New Roman" w:hAnsi="Times New Roman"/>
          <w:i/>
          <w:sz w:val="24"/>
          <w:szCs w:val="24"/>
        </w:rPr>
        <w:t>How has the EU’s conflict mediation s</w:t>
      </w:r>
      <w:r w:rsidRPr="00456C04">
        <w:rPr>
          <w:rFonts w:ascii="Times New Roman" w:hAnsi="Times New Roman"/>
          <w:i/>
          <w:sz w:val="24"/>
          <w:szCs w:val="24"/>
        </w:rPr>
        <w:t xml:space="preserve">trategy impacted the </w:t>
      </w:r>
      <w:r>
        <w:rPr>
          <w:rFonts w:ascii="Times New Roman" w:hAnsi="Times New Roman"/>
          <w:i/>
          <w:sz w:val="24"/>
          <w:szCs w:val="24"/>
        </w:rPr>
        <w:t>conflict settlement process in the contested regions of Georgia in 2008-2018?</w:t>
      </w:r>
    </w:p>
    <w:p w:rsidR="008B5A68" w:rsidRPr="008B5A68" w:rsidRDefault="008B5A68" w:rsidP="008B5A68">
      <w:pPr>
        <w:pStyle w:val="NoSpacing"/>
      </w:pPr>
    </w:p>
    <w:p w:rsidR="00E8794E" w:rsidRPr="00E8794E" w:rsidRDefault="00E8794E" w:rsidP="00E8794E">
      <w:pPr>
        <w:pStyle w:val="NoSpacing"/>
      </w:pPr>
    </w:p>
    <w:p w:rsidR="00E8794E" w:rsidRDefault="00E8794E" w:rsidP="00321E25">
      <w:pPr>
        <w:pStyle w:val="NoSpacing"/>
      </w:pPr>
    </w:p>
    <w:p w:rsidR="00FB5340" w:rsidRDefault="00FB5340" w:rsidP="00321E25">
      <w:pPr>
        <w:pStyle w:val="NoSpacing"/>
      </w:pPr>
    </w:p>
    <w:p w:rsidR="00FB5340" w:rsidRDefault="00FB5340" w:rsidP="00321E25">
      <w:pPr>
        <w:pStyle w:val="NoSpacing"/>
      </w:pPr>
    </w:p>
    <w:p w:rsidR="00FB5340" w:rsidRDefault="00FB5340" w:rsidP="00321E25">
      <w:pPr>
        <w:pStyle w:val="NoSpacing"/>
      </w:pPr>
    </w:p>
    <w:p w:rsidR="00FB5340" w:rsidRDefault="00FB5340" w:rsidP="00321E25">
      <w:pPr>
        <w:pStyle w:val="NoSpacing"/>
      </w:pPr>
    </w:p>
    <w:p w:rsidR="00FB5340" w:rsidRDefault="00FB5340" w:rsidP="00321E25">
      <w:pPr>
        <w:pStyle w:val="NoSpacing"/>
      </w:pPr>
    </w:p>
    <w:p w:rsidR="00FB5340" w:rsidRDefault="00FB5340" w:rsidP="00321E25">
      <w:pPr>
        <w:pStyle w:val="NoSpacing"/>
      </w:pPr>
    </w:p>
    <w:p w:rsidR="00FB5340" w:rsidRDefault="00FB5340" w:rsidP="00321E25">
      <w:pPr>
        <w:pStyle w:val="NoSpacing"/>
      </w:pPr>
    </w:p>
    <w:p w:rsidR="00FB5340" w:rsidRDefault="00FB5340" w:rsidP="00321E25">
      <w:pPr>
        <w:pStyle w:val="NoSpacing"/>
      </w:pPr>
    </w:p>
    <w:p w:rsidR="006E5499" w:rsidRDefault="006E5499" w:rsidP="00321E25">
      <w:pPr>
        <w:pStyle w:val="NoSpacing"/>
      </w:pPr>
    </w:p>
    <w:p w:rsidR="006E5499" w:rsidRDefault="006E5499" w:rsidP="00321E25">
      <w:pPr>
        <w:pStyle w:val="NoSpacing"/>
      </w:pPr>
    </w:p>
    <w:p w:rsidR="006E5499" w:rsidRDefault="006E5499" w:rsidP="00321E25">
      <w:pPr>
        <w:pStyle w:val="NoSpacing"/>
      </w:pPr>
    </w:p>
    <w:p w:rsidR="006E5499" w:rsidRDefault="006E5499" w:rsidP="00321E25">
      <w:pPr>
        <w:pStyle w:val="NoSpacing"/>
      </w:pPr>
    </w:p>
    <w:p w:rsidR="006E5499" w:rsidRDefault="006E5499" w:rsidP="00321E25">
      <w:pPr>
        <w:pStyle w:val="NoSpacing"/>
      </w:pPr>
    </w:p>
    <w:p w:rsidR="006E5499" w:rsidRDefault="006E5499" w:rsidP="00321E25">
      <w:pPr>
        <w:pStyle w:val="NoSpacing"/>
      </w:pPr>
    </w:p>
    <w:p w:rsidR="006E5499" w:rsidRDefault="006E5499" w:rsidP="00321E25">
      <w:pPr>
        <w:pStyle w:val="NoSpacing"/>
      </w:pPr>
    </w:p>
    <w:p w:rsidR="00952E3B" w:rsidRPr="00321E25" w:rsidRDefault="00952E3B" w:rsidP="00321E25">
      <w:pPr>
        <w:pStyle w:val="NoSpacing"/>
      </w:pPr>
    </w:p>
    <w:p w:rsidR="00AD5BED" w:rsidRPr="00AD5BED" w:rsidRDefault="00AD5BED" w:rsidP="00AD5BED"/>
    <w:p w:rsidR="00050BA9" w:rsidRDefault="00050BA9" w:rsidP="006D2116">
      <w:pPr>
        <w:pStyle w:val="Heading2"/>
        <w:rPr>
          <w:color w:val="auto"/>
          <w:sz w:val="32"/>
          <w:szCs w:val="32"/>
        </w:rPr>
      </w:pPr>
      <w:bookmarkStart w:id="8" w:name="_Toc46952602"/>
      <w:r w:rsidRPr="009063A9">
        <w:rPr>
          <w:color w:val="auto"/>
          <w:sz w:val="32"/>
          <w:szCs w:val="32"/>
        </w:rPr>
        <w:lastRenderedPageBreak/>
        <w:t xml:space="preserve">3. </w:t>
      </w:r>
      <w:r w:rsidR="00C60FD4" w:rsidRPr="009063A9">
        <w:rPr>
          <w:color w:val="auto"/>
          <w:sz w:val="32"/>
          <w:szCs w:val="32"/>
        </w:rPr>
        <w:t xml:space="preserve">The </w:t>
      </w:r>
      <w:r w:rsidR="00FC7E0F" w:rsidRPr="009063A9">
        <w:rPr>
          <w:color w:val="auto"/>
          <w:sz w:val="32"/>
          <w:szCs w:val="32"/>
        </w:rPr>
        <w:t>Origins of the Secessionist</w:t>
      </w:r>
      <w:r w:rsidR="00C60FD4" w:rsidRPr="009063A9">
        <w:rPr>
          <w:color w:val="auto"/>
          <w:sz w:val="32"/>
          <w:szCs w:val="32"/>
        </w:rPr>
        <w:t xml:space="preserve"> Conflicts in Abkhazia and South Ossetia</w:t>
      </w:r>
      <w:bookmarkEnd w:id="8"/>
    </w:p>
    <w:p w:rsidR="003B0F0D" w:rsidRDefault="003B0F0D" w:rsidP="003B0F0D"/>
    <w:p w:rsidR="00104CB6" w:rsidRPr="00BB28A7" w:rsidRDefault="003B0F0D" w:rsidP="00BB28A7">
      <w:pPr>
        <w:pStyle w:val="NoSpacing"/>
        <w:spacing w:line="360" w:lineRule="auto"/>
        <w:rPr>
          <w:rFonts w:ascii="Times New Roman" w:hAnsi="Times New Roman"/>
          <w:sz w:val="24"/>
          <w:szCs w:val="24"/>
        </w:rPr>
      </w:pPr>
      <w:r>
        <w:rPr>
          <w:rFonts w:ascii="Times New Roman" w:hAnsi="Times New Roman"/>
          <w:sz w:val="24"/>
          <w:szCs w:val="24"/>
        </w:rPr>
        <w:t>The chapter presents the historical account of the secessionist conflicts in Abkhazia and South Ossetia</w:t>
      </w:r>
      <w:r w:rsidR="00BB28A7">
        <w:rPr>
          <w:rFonts w:ascii="Times New Roman" w:hAnsi="Times New Roman"/>
          <w:sz w:val="24"/>
          <w:szCs w:val="24"/>
        </w:rPr>
        <w:t xml:space="preserve"> – covering the period between the Soviet Union to the early 2000s</w:t>
      </w:r>
      <w:r>
        <w:rPr>
          <w:rFonts w:ascii="Times New Roman" w:hAnsi="Times New Roman"/>
          <w:sz w:val="24"/>
          <w:szCs w:val="24"/>
        </w:rPr>
        <w:t>. It reflects on the main factors which contributed to the e</w:t>
      </w:r>
      <w:r w:rsidR="00F8608C">
        <w:rPr>
          <w:rFonts w:ascii="Times New Roman" w:hAnsi="Times New Roman"/>
          <w:sz w:val="24"/>
          <w:szCs w:val="24"/>
        </w:rPr>
        <w:t>scalation of the armed hostilities</w:t>
      </w:r>
      <w:r>
        <w:rPr>
          <w:rFonts w:ascii="Times New Roman" w:hAnsi="Times New Roman"/>
          <w:sz w:val="24"/>
          <w:szCs w:val="24"/>
        </w:rPr>
        <w:t xml:space="preserve"> and the further developments which brought them into the ‘frozen’ state. </w:t>
      </w:r>
    </w:p>
    <w:p w:rsidR="00C136C1" w:rsidRPr="00C136C1" w:rsidRDefault="00C136C1" w:rsidP="00C136C1">
      <w:pPr>
        <w:pStyle w:val="NoSpacing"/>
      </w:pPr>
    </w:p>
    <w:p w:rsidR="00050BA9" w:rsidRPr="00C136C1" w:rsidRDefault="008B5A68" w:rsidP="006D2116">
      <w:pPr>
        <w:pStyle w:val="Heading2"/>
        <w:rPr>
          <w:color w:val="auto"/>
          <w:sz w:val="32"/>
          <w:szCs w:val="32"/>
        </w:rPr>
      </w:pPr>
      <w:bookmarkStart w:id="9" w:name="_Toc46952603"/>
      <w:r>
        <w:rPr>
          <w:color w:val="auto"/>
          <w:sz w:val="32"/>
          <w:szCs w:val="32"/>
        </w:rPr>
        <w:t>3.1</w:t>
      </w:r>
      <w:r w:rsidR="00C60FD4" w:rsidRPr="00C136C1">
        <w:rPr>
          <w:color w:val="auto"/>
          <w:sz w:val="32"/>
          <w:szCs w:val="32"/>
        </w:rPr>
        <w:t xml:space="preserve"> Abkhazia during the</w:t>
      </w:r>
      <w:r w:rsidR="00050BA9" w:rsidRPr="00C136C1">
        <w:rPr>
          <w:color w:val="auto"/>
          <w:sz w:val="32"/>
          <w:szCs w:val="32"/>
        </w:rPr>
        <w:t xml:space="preserve"> Soviet </w:t>
      </w:r>
      <w:r w:rsidR="000878F0">
        <w:rPr>
          <w:color w:val="auto"/>
          <w:sz w:val="32"/>
          <w:szCs w:val="32"/>
        </w:rPr>
        <w:t>Era</w:t>
      </w:r>
      <w:bookmarkEnd w:id="9"/>
    </w:p>
    <w:p w:rsidR="009063A9" w:rsidRPr="009063A9" w:rsidRDefault="009063A9" w:rsidP="009063A9"/>
    <w:p w:rsidR="00050BA9"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Following the October revolution in 1917, the Red Army violently invaded Abkhazia and occupied it.</w:t>
      </w:r>
      <w:r w:rsidRPr="00CC4288">
        <w:rPr>
          <w:rStyle w:val="FootnoteReference"/>
          <w:rFonts w:ascii="Times New Roman" w:hAnsi="Times New Roman"/>
          <w:sz w:val="24"/>
          <w:szCs w:val="24"/>
        </w:rPr>
        <w:footnoteReference w:id="85"/>
      </w:r>
      <w:r w:rsidRPr="00CC4288">
        <w:rPr>
          <w:rFonts w:ascii="Times New Roman" w:hAnsi="Times New Roman"/>
          <w:sz w:val="24"/>
          <w:szCs w:val="24"/>
        </w:rPr>
        <w:t xml:space="preserve"> After several years of resistance, the same fate was shared by the Democratic Republic in Georgia which resulted in the establishment of the Soviet Socialist Republics of Georgia (SSRG) and Abkhazia (ASSR).</w:t>
      </w:r>
      <w:r w:rsidRPr="00CC4288">
        <w:rPr>
          <w:rStyle w:val="FootnoteReference"/>
          <w:rFonts w:ascii="Times New Roman" w:hAnsi="Times New Roman"/>
          <w:sz w:val="24"/>
          <w:szCs w:val="24"/>
        </w:rPr>
        <w:footnoteReference w:id="86"/>
      </w:r>
      <w:r w:rsidRPr="00CC4288">
        <w:rPr>
          <w:rFonts w:ascii="Times New Roman" w:hAnsi="Times New Roman"/>
          <w:sz w:val="24"/>
          <w:szCs w:val="24"/>
        </w:rPr>
        <w:t xml:space="preserve"> Although, the status of Abkhazia was changing over time due to institutional entrenchment, changing relations with Georgia, and differences in views among the Soviet political establishment. There were five major phases for Abkhazia during the Soviet era: 1917-1921 Abkhaz SSR, 1931-1945 incorporation into Georgian SSR, 1931-1945 so-called ‘Georgianization’, 1945-1980 institutional changes, 1980-1991 ethnic conflict. </w:t>
      </w:r>
    </w:p>
    <w:p w:rsidR="00CF65A3" w:rsidRDefault="00CF65A3" w:rsidP="00CF65A3">
      <w:pPr>
        <w:pStyle w:val="NoSpacing"/>
      </w:pPr>
      <w:r>
        <w:rPr>
          <w:noProof/>
        </w:rPr>
        <w:drawing>
          <wp:inline distT="0" distB="0" distL="0" distR="0">
            <wp:extent cx="5250238" cy="33242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viet Georgia.jpg"/>
                    <pic:cNvPicPr/>
                  </pic:nvPicPr>
                  <pic:blipFill>
                    <a:blip r:embed="rId12">
                      <a:extLst>
                        <a:ext uri="{28A0092B-C50C-407E-A947-70E740481C1C}">
                          <a14:useLocalDpi xmlns:a14="http://schemas.microsoft.com/office/drawing/2010/main" val="0"/>
                        </a:ext>
                      </a:extLst>
                    </a:blip>
                    <a:stretch>
                      <a:fillRect/>
                    </a:stretch>
                  </pic:blipFill>
                  <pic:spPr>
                    <a:xfrm>
                      <a:off x="0" y="0"/>
                      <a:ext cx="5252166" cy="3325446"/>
                    </a:xfrm>
                    <a:prstGeom prst="rect">
                      <a:avLst/>
                    </a:prstGeom>
                  </pic:spPr>
                </pic:pic>
              </a:graphicData>
            </a:graphic>
          </wp:inline>
        </w:drawing>
      </w:r>
    </w:p>
    <w:p w:rsidR="00CF65A3" w:rsidRPr="000B2090" w:rsidRDefault="00CF65A3" w:rsidP="00CF65A3">
      <w:pPr>
        <w:pStyle w:val="NoSpacing"/>
        <w:rPr>
          <w:rFonts w:ascii="Times New Roman" w:hAnsi="Times New Roman"/>
          <w:sz w:val="22"/>
          <w:szCs w:val="22"/>
        </w:rPr>
      </w:pPr>
      <w:r w:rsidRPr="006E2FDA">
        <w:rPr>
          <w:rFonts w:ascii="Times New Roman" w:hAnsi="Times New Roman"/>
          <w:b/>
          <w:sz w:val="22"/>
          <w:szCs w:val="22"/>
        </w:rPr>
        <w:t xml:space="preserve">Map 2. </w:t>
      </w:r>
      <w:r w:rsidRPr="003D140E">
        <w:rPr>
          <w:rFonts w:ascii="Times New Roman" w:hAnsi="Times New Roman"/>
          <w:sz w:val="22"/>
          <w:szCs w:val="22"/>
        </w:rPr>
        <w:t>Territorial Losses of the Democratic Republic of Georgia under the USSR in 1921-1931</w:t>
      </w:r>
      <w:r w:rsidR="00280D46" w:rsidRPr="003D140E">
        <w:rPr>
          <w:rStyle w:val="FootnoteReference"/>
          <w:rFonts w:ascii="Times New Roman" w:hAnsi="Times New Roman"/>
          <w:sz w:val="22"/>
          <w:szCs w:val="22"/>
        </w:rPr>
        <w:footnoteReference w:id="87"/>
      </w:r>
    </w:p>
    <w:p w:rsidR="00F8608C"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lastRenderedPageBreak/>
        <w:t>The period of the Abkhaz SSR was characterized by turbulent political and social changes within the Abkhaz society. The political establishment consisted of three major groups: pro-Georgian Social-Democrats (often referred to as ‘Mensheviks’), pro-Turkish Traditionalist, and pro-Russian Bolsheviks.</w:t>
      </w:r>
      <w:r w:rsidRPr="00CC4288">
        <w:rPr>
          <w:rStyle w:val="FootnoteReference"/>
          <w:rFonts w:ascii="Times New Roman" w:hAnsi="Times New Roman"/>
          <w:sz w:val="24"/>
          <w:szCs w:val="24"/>
        </w:rPr>
        <w:footnoteReference w:id="88"/>
      </w:r>
      <w:r w:rsidR="00300E69">
        <w:rPr>
          <w:rFonts w:ascii="Times New Roman" w:hAnsi="Times New Roman"/>
          <w:sz w:val="24"/>
          <w:szCs w:val="24"/>
        </w:rPr>
        <w:t xml:space="preserve"> With </w:t>
      </w:r>
      <w:r w:rsidRPr="00CC4288">
        <w:rPr>
          <w:rFonts w:ascii="Times New Roman" w:hAnsi="Times New Roman"/>
          <w:sz w:val="24"/>
          <w:szCs w:val="24"/>
        </w:rPr>
        <w:t xml:space="preserve">support from Moscow, the Abkhaz Bolsheviks repressed the political opponents and created the ground for incorporation of the region into the Russian leadership. It must be emphasized that the initial agreement between the Abkhaz and Russian Bolsheviks relied on granting of the separate SSR status to Abkhazia, which was fulfilled in 1917; however, after the occupation of </w:t>
      </w:r>
      <w:r w:rsidR="00300E69">
        <w:rPr>
          <w:rFonts w:ascii="Times New Roman" w:hAnsi="Times New Roman"/>
          <w:sz w:val="24"/>
          <w:szCs w:val="24"/>
        </w:rPr>
        <w:t xml:space="preserve">the </w:t>
      </w:r>
      <w:r w:rsidRPr="00CC4288">
        <w:rPr>
          <w:rFonts w:ascii="Times New Roman" w:hAnsi="Times New Roman"/>
          <w:sz w:val="24"/>
          <w:szCs w:val="24"/>
        </w:rPr>
        <w:t>Georgian Democratic Republic in 1921, the Bolsheviks changed it to the ‘Treaty Republic’ together with the newly established Soviet Socialist Republic of Georgia.</w:t>
      </w:r>
      <w:r w:rsidRPr="00CC4288">
        <w:rPr>
          <w:rStyle w:val="FootnoteReference"/>
          <w:rFonts w:ascii="Times New Roman" w:hAnsi="Times New Roman"/>
          <w:sz w:val="24"/>
          <w:szCs w:val="24"/>
        </w:rPr>
        <w:footnoteReference w:id="89"/>
      </w:r>
      <w:r w:rsidRPr="00CC4288">
        <w:rPr>
          <w:rFonts w:ascii="Times New Roman" w:hAnsi="Times New Roman"/>
          <w:sz w:val="24"/>
          <w:szCs w:val="24"/>
        </w:rPr>
        <w:t xml:space="preserve">  </w:t>
      </w:r>
      <w:r w:rsidR="007C7DDF">
        <w:rPr>
          <w:rFonts w:ascii="Times New Roman" w:hAnsi="Times New Roman"/>
          <w:sz w:val="24"/>
          <w:szCs w:val="24"/>
        </w:rPr>
        <w:t>King</w:t>
      </w:r>
      <w:r w:rsidR="00952E3B">
        <w:rPr>
          <w:rFonts w:ascii="Times New Roman" w:hAnsi="Times New Roman"/>
          <w:sz w:val="24"/>
          <w:szCs w:val="24"/>
        </w:rPr>
        <w:t xml:space="preserve"> </w:t>
      </w:r>
      <w:r w:rsidR="007C7DDF">
        <w:rPr>
          <w:rFonts w:ascii="Times New Roman" w:hAnsi="Times New Roman"/>
          <w:sz w:val="24"/>
          <w:szCs w:val="24"/>
        </w:rPr>
        <w:t>(2012) notes: “t</w:t>
      </w:r>
      <w:r w:rsidRPr="00CC4288">
        <w:rPr>
          <w:rFonts w:ascii="Times New Roman" w:hAnsi="Times New Roman"/>
          <w:sz w:val="24"/>
          <w:szCs w:val="24"/>
        </w:rPr>
        <w:t>he Bolsheviks perceived Tbilisi as a strategically important point and by stre</w:t>
      </w:r>
      <w:r w:rsidR="007C7DDF">
        <w:rPr>
          <w:rFonts w:ascii="Times New Roman" w:hAnsi="Times New Roman"/>
          <w:sz w:val="24"/>
          <w:szCs w:val="24"/>
        </w:rPr>
        <w:t>ngthening their positions there,</w:t>
      </w:r>
      <w:r w:rsidRPr="00CC4288">
        <w:rPr>
          <w:rFonts w:ascii="Times New Roman" w:hAnsi="Times New Roman"/>
          <w:sz w:val="24"/>
          <w:szCs w:val="24"/>
        </w:rPr>
        <w:t xml:space="preserve"> it would be eas</w:t>
      </w:r>
      <w:r w:rsidR="007C7DDF">
        <w:rPr>
          <w:rFonts w:ascii="Times New Roman" w:hAnsi="Times New Roman"/>
          <w:sz w:val="24"/>
          <w:szCs w:val="24"/>
        </w:rPr>
        <w:t>ier to control the other small</w:t>
      </w:r>
      <w:r w:rsidRPr="00CC4288">
        <w:rPr>
          <w:rFonts w:ascii="Times New Roman" w:hAnsi="Times New Roman"/>
          <w:sz w:val="24"/>
          <w:szCs w:val="24"/>
        </w:rPr>
        <w:t xml:space="preserve"> nations in Caucasus regions.</w:t>
      </w:r>
      <w:r w:rsidR="007C7DDF">
        <w:rPr>
          <w:rFonts w:ascii="Times New Roman" w:hAnsi="Times New Roman"/>
          <w:sz w:val="24"/>
          <w:szCs w:val="24"/>
        </w:rPr>
        <w:t>”</w:t>
      </w:r>
      <w:r w:rsidRPr="00CC4288">
        <w:rPr>
          <w:rStyle w:val="FootnoteReference"/>
          <w:rFonts w:ascii="Times New Roman" w:hAnsi="Times New Roman"/>
          <w:sz w:val="24"/>
          <w:szCs w:val="24"/>
        </w:rPr>
        <w:footnoteReference w:id="90"/>
      </w:r>
      <w:r w:rsidRPr="00CC4288">
        <w:rPr>
          <w:rFonts w:ascii="Times New Roman" w:hAnsi="Times New Roman"/>
          <w:sz w:val="24"/>
          <w:szCs w:val="24"/>
        </w:rPr>
        <w:t xml:space="preserve"> The case of the changing status of Abkhazia can also be explained by the Bolshevik strategy of suppressing of the opponents such as Socialist –Mensheviks in smaller regions and making these territories effectively governable without recognition of separate identities.</w:t>
      </w:r>
      <w:r w:rsidRPr="00CC4288">
        <w:rPr>
          <w:rStyle w:val="FootnoteReference"/>
          <w:rFonts w:ascii="Times New Roman" w:hAnsi="Times New Roman"/>
          <w:sz w:val="24"/>
          <w:szCs w:val="24"/>
        </w:rPr>
        <w:footnoteReference w:id="91"/>
      </w:r>
      <w:r w:rsidR="00135852">
        <w:rPr>
          <w:rFonts w:ascii="Times New Roman" w:hAnsi="Times New Roman"/>
          <w:sz w:val="24"/>
          <w:szCs w:val="24"/>
        </w:rPr>
        <w:t xml:space="preserve"> </w:t>
      </w:r>
      <w:r w:rsidRPr="00CC4288">
        <w:rPr>
          <w:rFonts w:ascii="Times New Roman" w:hAnsi="Times New Roman"/>
          <w:sz w:val="24"/>
          <w:szCs w:val="24"/>
        </w:rPr>
        <w:t xml:space="preserve">In </w:t>
      </w:r>
      <w:r w:rsidR="00300E69">
        <w:rPr>
          <w:rFonts w:ascii="Times New Roman" w:hAnsi="Times New Roman"/>
          <w:sz w:val="24"/>
          <w:szCs w:val="24"/>
        </w:rPr>
        <w:t xml:space="preserve">the </w:t>
      </w:r>
      <w:r w:rsidRPr="00CC4288">
        <w:rPr>
          <w:rFonts w:ascii="Times New Roman" w:hAnsi="Times New Roman"/>
          <w:sz w:val="24"/>
          <w:szCs w:val="24"/>
        </w:rPr>
        <w:t>1930s, there were several waves of territorial-administrative restructuring under Stalin’s leadership. He introduced the centralized social and economic policy in USSR which forced the smaller republic and regions to unify with bigger political centers. As a result, Abkhazian SSR was unified with Georgian SSR with a status of the autonomous region.</w:t>
      </w:r>
      <w:r w:rsidRPr="00CC4288">
        <w:rPr>
          <w:rStyle w:val="FootnoteReference"/>
          <w:rFonts w:ascii="Times New Roman" w:hAnsi="Times New Roman"/>
          <w:sz w:val="24"/>
          <w:szCs w:val="24"/>
        </w:rPr>
        <w:footnoteReference w:id="92"/>
      </w:r>
      <w:r w:rsidRPr="00CC4288">
        <w:rPr>
          <w:rFonts w:ascii="Times New Roman" w:hAnsi="Times New Roman"/>
          <w:sz w:val="24"/>
          <w:szCs w:val="24"/>
        </w:rPr>
        <w:t xml:space="preserve"> The transformation of the administrative and political system caused significant changes in societal structure as well. The Georgian language became the official language in Abkhazia, the massive groups of ethnic Georgians (primarily – Megrelians, the Western Georgian population) migrated to Abkhazian regions and the number of mixed marriages surged rapidly. In a period of five years, the majority of the population in Abkhazia consisted of Georgians, Russian, Armenians, and Greeks, while the Abkhaz became the minority group.</w:t>
      </w:r>
      <w:r w:rsidRPr="00CC4288">
        <w:rPr>
          <w:rStyle w:val="FootnoteReference"/>
          <w:rFonts w:ascii="Times New Roman" w:hAnsi="Times New Roman"/>
          <w:sz w:val="24"/>
          <w:szCs w:val="24"/>
        </w:rPr>
        <w:footnoteReference w:id="93"/>
      </w:r>
      <w:r w:rsidRPr="00CC4288">
        <w:rPr>
          <w:rFonts w:ascii="Times New Roman" w:hAnsi="Times New Roman"/>
          <w:b/>
          <w:sz w:val="24"/>
          <w:szCs w:val="24"/>
        </w:rPr>
        <w:t xml:space="preserve"> </w:t>
      </w:r>
      <w:r w:rsidRPr="00CC4288">
        <w:rPr>
          <w:rFonts w:ascii="Times New Roman" w:hAnsi="Times New Roman"/>
          <w:sz w:val="24"/>
          <w:szCs w:val="24"/>
        </w:rPr>
        <w:t xml:space="preserve">The ethnic Abkhaz population was alarmed by this process and referred to it as ‘Georgianization’. </w:t>
      </w:r>
    </w:p>
    <w:p w:rsidR="00F8608C" w:rsidRDefault="00F8608C" w:rsidP="00050BA9">
      <w:pPr>
        <w:spacing w:line="360" w:lineRule="auto"/>
        <w:jc w:val="both"/>
        <w:rPr>
          <w:rFonts w:ascii="Times New Roman" w:hAnsi="Times New Roman"/>
          <w:sz w:val="24"/>
          <w:szCs w:val="24"/>
        </w:rPr>
      </w:pPr>
    </w:p>
    <w:p w:rsidR="007C7DDF" w:rsidRPr="00952E3B" w:rsidRDefault="00050BA9" w:rsidP="00952E3B">
      <w:pPr>
        <w:spacing w:line="360" w:lineRule="auto"/>
        <w:jc w:val="both"/>
        <w:rPr>
          <w:rFonts w:ascii="Times New Roman" w:hAnsi="Times New Roman"/>
          <w:sz w:val="24"/>
          <w:szCs w:val="24"/>
        </w:rPr>
      </w:pPr>
      <w:r w:rsidRPr="00CC4288">
        <w:rPr>
          <w:rFonts w:ascii="Times New Roman" w:hAnsi="Times New Roman"/>
          <w:sz w:val="24"/>
          <w:szCs w:val="24"/>
        </w:rPr>
        <w:t>The introduction of Georgian language to Abkhaz schools and higher education institutions contributed to the wider debate on the origin of Abkhazians. One the one hand, the Georgian historians and scholars argued that Abkhaz were the Georgian tribe, who played a significant integral part in the development of the Georgian Kingdom. They spoke Georgian dialect and were culturally and politically linked with other Georgian regions. Further</w:t>
      </w:r>
      <w:r w:rsidR="00E95849">
        <w:rPr>
          <w:rFonts w:ascii="Times New Roman" w:hAnsi="Times New Roman"/>
          <w:sz w:val="24"/>
          <w:szCs w:val="24"/>
        </w:rPr>
        <w:t>more, this Georgian tribe did not</w:t>
      </w:r>
      <w:r w:rsidRPr="00CC4288">
        <w:rPr>
          <w:rFonts w:ascii="Times New Roman" w:hAnsi="Times New Roman"/>
          <w:sz w:val="24"/>
          <w:szCs w:val="24"/>
        </w:rPr>
        <w:t xml:space="preserve"> have any bloodline links with so-called ‘Apsny’ or the Abkhazian residents in XX C. who referred to themselves as the predecessors of Abkhazians but descended from Northern Caucasian tribe of Kabardeys, who migrated to the mountains of Western Georgia in XIX C.</w:t>
      </w:r>
      <w:r w:rsidRPr="00CC4288">
        <w:rPr>
          <w:rStyle w:val="FootnoteReference"/>
          <w:rFonts w:ascii="Times New Roman" w:hAnsi="Times New Roman"/>
          <w:sz w:val="24"/>
          <w:szCs w:val="24"/>
        </w:rPr>
        <w:footnoteReference w:id="94"/>
      </w:r>
      <w:r w:rsidRPr="00CC4288">
        <w:rPr>
          <w:rFonts w:ascii="Times New Roman" w:hAnsi="Times New Roman"/>
          <w:sz w:val="24"/>
          <w:szCs w:val="24"/>
        </w:rPr>
        <w:t xml:space="preserve"> With the growing influence of ethnic Georgians in the region, the Abkhazian intellectuals were seeking for the powerful patron. They perceived the strong ties with Moscow as the only effective mechanism for countering the ‘Georgianization’ process. The Soviet political establishment met these expectations and introduced strict control of political, administrative, and demographic dynamics in Abkhazia.</w:t>
      </w:r>
      <w:r w:rsidRPr="00CC4288">
        <w:rPr>
          <w:rStyle w:val="FootnoteReference"/>
          <w:rFonts w:ascii="Times New Roman" w:hAnsi="Times New Roman"/>
          <w:sz w:val="24"/>
          <w:szCs w:val="24"/>
        </w:rPr>
        <w:footnoteReference w:id="95"/>
      </w:r>
      <w:r w:rsidRPr="00CC4288">
        <w:rPr>
          <w:rFonts w:ascii="Times New Roman" w:hAnsi="Times New Roman"/>
          <w:sz w:val="24"/>
          <w:szCs w:val="24"/>
        </w:rPr>
        <w:t xml:space="preserve"> The ethnic Abkhaz were given significant preference on governing positions (70% of the minister positions and regional committees), the Abkhaz language was reintroduced at schools and academic institutions and the cultural identity of Abkhazs was widely recognized.</w:t>
      </w:r>
      <w:r w:rsidRPr="00CC4288">
        <w:rPr>
          <w:rStyle w:val="FootnoteReference"/>
          <w:rFonts w:ascii="Times New Roman" w:hAnsi="Times New Roman"/>
          <w:sz w:val="24"/>
          <w:szCs w:val="24"/>
        </w:rPr>
        <w:footnoteReference w:id="96"/>
      </w:r>
      <w:r w:rsidRPr="00CC4288">
        <w:rPr>
          <w:rFonts w:ascii="Times New Roman" w:hAnsi="Times New Roman"/>
          <w:sz w:val="24"/>
          <w:szCs w:val="24"/>
        </w:rPr>
        <w:t xml:space="preserve"> Nevertheless, the rapid demogr</w:t>
      </w:r>
      <w:r w:rsidR="00E95849">
        <w:rPr>
          <w:rFonts w:ascii="Times New Roman" w:hAnsi="Times New Roman"/>
          <w:sz w:val="24"/>
          <w:szCs w:val="24"/>
        </w:rPr>
        <w:t>aphic changes in Abkhazia did not</w:t>
      </w:r>
      <w:r w:rsidRPr="00CC4288">
        <w:rPr>
          <w:rFonts w:ascii="Times New Roman" w:hAnsi="Times New Roman"/>
          <w:sz w:val="24"/>
          <w:szCs w:val="24"/>
        </w:rPr>
        <w:t xml:space="preserve"> allow the ethnic Abkhaz elites to feel safe about their future. Between the </w:t>
      </w:r>
      <w:proofErr w:type="gramStart"/>
      <w:r w:rsidRPr="00CC4288">
        <w:rPr>
          <w:rFonts w:ascii="Times New Roman" w:hAnsi="Times New Roman"/>
          <w:sz w:val="24"/>
          <w:szCs w:val="24"/>
        </w:rPr>
        <w:t>period</w:t>
      </w:r>
      <w:proofErr w:type="gramEnd"/>
      <w:r w:rsidRPr="00CC4288">
        <w:rPr>
          <w:rFonts w:ascii="Times New Roman" w:hAnsi="Times New Roman"/>
          <w:sz w:val="24"/>
          <w:szCs w:val="24"/>
        </w:rPr>
        <w:t xml:space="preserve"> of 1922-1989, the general population of Abkhazia increased from approximately 174,200 to 525,000.</w:t>
      </w:r>
      <w:r w:rsidRPr="00CC4288">
        <w:rPr>
          <w:rStyle w:val="FootnoteReference"/>
          <w:rFonts w:ascii="Times New Roman" w:hAnsi="Times New Roman"/>
          <w:sz w:val="24"/>
          <w:szCs w:val="24"/>
        </w:rPr>
        <w:footnoteReference w:id="97"/>
      </w:r>
      <w:r w:rsidRPr="00CC4288">
        <w:rPr>
          <w:rFonts w:ascii="Times New Roman" w:hAnsi="Times New Roman"/>
          <w:sz w:val="24"/>
          <w:szCs w:val="24"/>
        </w:rPr>
        <w:t xml:space="preserve"> In the same time period the proportion of the ethnic Abkhaz population decreased from 48% (89,800) to 17.8% (93,300) while Georgian population increased from 18.4% (32,000) to 45.7% (240,000). Furthermore, the ethnic Russian population surged from 5.9% (10,000) to 14.5% (75,000).</w:t>
      </w:r>
      <w:r w:rsidRPr="00CC4288">
        <w:rPr>
          <w:rStyle w:val="FootnoteReference"/>
          <w:rFonts w:ascii="Times New Roman" w:hAnsi="Times New Roman"/>
          <w:sz w:val="24"/>
          <w:szCs w:val="24"/>
        </w:rPr>
        <w:footnoteReference w:id="98"/>
      </w:r>
      <w:r w:rsidRPr="00CC4288">
        <w:rPr>
          <w:rFonts w:ascii="Times New Roman" w:hAnsi="Times New Roman"/>
          <w:sz w:val="24"/>
          <w:szCs w:val="24"/>
        </w:rPr>
        <w:t xml:space="preserve">  Georgian intellectuals and political elites were openly unsatisfied with Moscow’s policy of prioritization of ethnic Abkhaz on governing positions. They perceived it as a strategy of Russians to weaken the Georgian positions in the region and actively pushed the idea that ‘Kabardyan-descendent’ Abkhaz were the guests of this region.</w:t>
      </w:r>
      <w:r w:rsidRPr="00CC4288">
        <w:rPr>
          <w:rStyle w:val="FootnoteReference"/>
          <w:rFonts w:ascii="Times New Roman" w:hAnsi="Times New Roman"/>
          <w:sz w:val="24"/>
          <w:szCs w:val="24"/>
        </w:rPr>
        <w:footnoteReference w:id="99"/>
      </w:r>
      <w:r w:rsidRPr="00CC4288">
        <w:rPr>
          <w:rFonts w:ascii="Times New Roman" w:hAnsi="Times New Roman"/>
          <w:sz w:val="24"/>
          <w:szCs w:val="24"/>
        </w:rPr>
        <w:t xml:space="preserve"> This narrative was actively persuaded by the Georgian nationalist political groups in the </w:t>
      </w:r>
      <w:r w:rsidR="00594BF4">
        <w:rPr>
          <w:rFonts w:ascii="Times New Roman" w:hAnsi="Times New Roman"/>
          <w:sz w:val="24"/>
          <w:szCs w:val="24"/>
        </w:rPr>
        <w:t>late 1</w:t>
      </w:r>
      <w:r w:rsidR="00AD5BED">
        <w:rPr>
          <w:rFonts w:ascii="Times New Roman" w:hAnsi="Times New Roman"/>
          <w:sz w:val="24"/>
          <w:szCs w:val="24"/>
        </w:rPr>
        <w:t>980s</w:t>
      </w:r>
      <w:r w:rsidR="00952E3B">
        <w:rPr>
          <w:rFonts w:ascii="Times New Roman" w:hAnsi="Times New Roman"/>
          <w:sz w:val="24"/>
          <w:szCs w:val="24"/>
        </w:rPr>
        <w:t>.</w:t>
      </w:r>
    </w:p>
    <w:p w:rsidR="00742AB5" w:rsidRPr="007C7DDF" w:rsidRDefault="007969EC" w:rsidP="007C7DDF">
      <w:pPr>
        <w:pStyle w:val="NoSpacing"/>
        <w:spacing w:line="360" w:lineRule="auto"/>
        <w:jc w:val="right"/>
        <w:rPr>
          <w:rFonts w:ascii="Times New Roman" w:hAnsi="Times New Roman"/>
          <w:sz w:val="22"/>
          <w:szCs w:val="22"/>
        </w:rPr>
      </w:pPr>
      <w:r w:rsidRPr="007C7DDF">
        <w:rPr>
          <w:rFonts w:ascii="Times New Roman" w:hAnsi="Times New Roman"/>
          <w:sz w:val="22"/>
          <w:szCs w:val="22"/>
        </w:rPr>
        <w:lastRenderedPageBreak/>
        <w:t>"Historically, the 'Abkhaz nation' never ceased to exist. The</w:t>
      </w:r>
      <w:r w:rsidR="00594BF4">
        <w:rPr>
          <w:rFonts w:ascii="Times New Roman" w:hAnsi="Times New Roman"/>
          <w:sz w:val="22"/>
          <w:szCs w:val="22"/>
        </w:rPr>
        <w:t xml:space="preserve"> (current)</w:t>
      </w:r>
      <w:r w:rsidRPr="007C7DDF">
        <w:rPr>
          <w:rFonts w:ascii="Times New Roman" w:hAnsi="Times New Roman"/>
          <w:sz w:val="22"/>
          <w:szCs w:val="22"/>
        </w:rPr>
        <w:t xml:space="preserve"> residents of this region are t</w:t>
      </w:r>
      <w:r w:rsidR="00742AB5" w:rsidRPr="007C7DDF">
        <w:rPr>
          <w:rFonts w:ascii="Times New Roman" w:hAnsi="Times New Roman"/>
          <w:sz w:val="22"/>
          <w:szCs w:val="22"/>
        </w:rPr>
        <w:t xml:space="preserve">he North Caucasian tribes which have a right for self-determination </w:t>
      </w:r>
      <w:r w:rsidR="00594BF4">
        <w:rPr>
          <w:rFonts w:ascii="Times New Roman" w:hAnsi="Times New Roman"/>
          <w:sz w:val="22"/>
          <w:szCs w:val="22"/>
        </w:rPr>
        <w:t xml:space="preserve">only </w:t>
      </w:r>
      <w:r w:rsidR="00742AB5" w:rsidRPr="007C7DDF">
        <w:rPr>
          <w:rFonts w:ascii="Times New Roman" w:hAnsi="Times New Roman"/>
          <w:sz w:val="22"/>
          <w:szCs w:val="22"/>
        </w:rPr>
        <w:t xml:space="preserve">in Adighea (North Caucasus). </w:t>
      </w:r>
    </w:p>
    <w:p w:rsidR="00C136C1" w:rsidRPr="007C7DDF" w:rsidRDefault="00742AB5" w:rsidP="007C7DDF">
      <w:pPr>
        <w:pStyle w:val="NoSpacing"/>
        <w:spacing w:line="360" w:lineRule="auto"/>
        <w:jc w:val="right"/>
        <w:rPr>
          <w:rFonts w:ascii="Times New Roman" w:hAnsi="Times New Roman"/>
          <w:sz w:val="22"/>
          <w:szCs w:val="22"/>
        </w:rPr>
      </w:pPr>
      <w:r w:rsidRPr="007C7DDF">
        <w:rPr>
          <w:rFonts w:ascii="Times New Roman" w:hAnsi="Times New Roman"/>
          <w:sz w:val="22"/>
          <w:szCs w:val="22"/>
        </w:rPr>
        <w:t>The justice must be se</w:t>
      </w:r>
      <w:r w:rsidR="006E5499">
        <w:rPr>
          <w:rFonts w:ascii="Times New Roman" w:hAnsi="Times New Roman"/>
          <w:sz w:val="22"/>
          <w:szCs w:val="22"/>
        </w:rPr>
        <w:t xml:space="preserve">rved, Abkhazia must return </w:t>
      </w:r>
      <w:r w:rsidRPr="007C7DDF">
        <w:rPr>
          <w:rFonts w:ascii="Times New Roman" w:hAnsi="Times New Roman"/>
          <w:sz w:val="22"/>
          <w:szCs w:val="22"/>
        </w:rPr>
        <w:t>to the ethnic Georgians."</w:t>
      </w:r>
      <w:r w:rsidRPr="007C7DDF">
        <w:rPr>
          <w:rStyle w:val="FootnoteReference"/>
          <w:rFonts w:ascii="Times New Roman" w:hAnsi="Times New Roman"/>
          <w:sz w:val="22"/>
          <w:szCs w:val="22"/>
        </w:rPr>
        <w:footnoteReference w:id="100"/>
      </w:r>
    </w:p>
    <w:p w:rsidR="00742AB5" w:rsidRPr="007C7DDF" w:rsidRDefault="00742AB5" w:rsidP="007C7DDF">
      <w:pPr>
        <w:pStyle w:val="NoSpacing"/>
        <w:spacing w:line="360" w:lineRule="auto"/>
        <w:jc w:val="right"/>
        <w:rPr>
          <w:rFonts w:ascii="Times New Roman" w:hAnsi="Times New Roman"/>
          <w:sz w:val="22"/>
          <w:szCs w:val="22"/>
        </w:rPr>
      </w:pPr>
      <w:r w:rsidRPr="007C7DDF">
        <w:rPr>
          <w:rFonts w:ascii="Times New Roman" w:hAnsi="Times New Roman"/>
          <w:sz w:val="22"/>
          <w:szCs w:val="22"/>
        </w:rPr>
        <w:t>Zviad Gamsakhurdia, the President of the Republic of Georgia</w:t>
      </w:r>
    </w:p>
    <w:p w:rsidR="00742AB5" w:rsidRPr="007C7DDF" w:rsidRDefault="006E5499" w:rsidP="007C7DDF">
      <w:pPr>
        <w:pStyle w:val="NoSpacing"/>
        <w:spacing w:line="360" w:lineRule="auto"/>
        <w:jc w:val="right"/>
        <w:rPr>
          <w:rFonts w:ascii="Times New Roman" w:hAnsi="Times New Roman"/>
          <w:sz w:val="22"/>
          <w:szCs w:val="22"/>
        </w:rPr>
      </w:pPr>
      <w:r>
        <w:rPr>
          <w:rFonts w:ascii="Times New Roman" w:hAnsi="Times New Roman"/>
          <w:sz w:val="22"/>
          <w:szCs w:val="22"/>
        </w:rPr>
        <w:t xml:space="preserve">April </w:t>
      </w:r>
      <w:r w:rsidR="00742AB5" w:rsidRPr="007C7DDF">
        <w:rPr>
          <w:rFonts w:ascii="Times New Roman" w:hAnsi="Times New Roman"/>
          <w:sz w:val="22"/>
          <w:szCs w:val="22"/>
        </w:rPr>
        <w:t>1989</w:t>
      </w:r>
    </w:p>
    <w:p w:rsidR="00742AB5" w:rsidRPr="00C136C1" w:rsidRDefault="00742AB5" w:rsidP="007969EC">
      <w:pPr>
        <w:pStyle w:val="NoSpacing"/>
        <w:jc w:val="right"/>
      </w:pPr>
    </w:p>
    <w:p w:rsidR="00050BA9" w:rsidRPr="00C136C1" w:rsidRDefault="008B5A68" w:rsidP="006D2116">
      <w:pPr>
        <w:pStyle w:val="Heading2"/>
        <w:rPr>
          <w:color w:val="auto"/>
          <w:sz w:val="32"/>
          <w:szCs w:val="32"/>
        </w:rPr>
      </w:pPr>
      <w:bookmarkStart w:id="10" w:name="_Toc46952604"/>
      <w:r>
        <w:rPr>
          <w:color w:val="auto"/>
          <w:sz w:val="32"/>
          <w:szCs w:val="32"/>
        </w:rPr>
        <w:t>3.1.1</w:t>
      </w:r>
      <w:r w:rsidR="00050BA9" w:rsidRPr="00C136C1">
        <w:rPr>
          <w:color w:val="auto"/>
          <w:sz w:val="32"/>
          <w:szCs w:val="32"/>
        </w:rPr>
        <w:t xml:space="preserve"> </w:t>
      </w:r>
      <w:r w:rsidR="00C60FD4" w:rsidRPr="00C136C1">
        <w:rPr>
          <w:color w:val="auto"/>
          <w:sz w:val="32"/>
          <w:szCs w:val="32"/>
        </w:rPr>
        <w:t xml:space="preserve">Georgian </w:t>
      </w:r>
      <w:r w:rsidR="00050BA9" w:rsidRPr="00C136C1">
        <w:rPr>
          <w:color w:val="auto"/>
          <w:sz w:val="32"/>
          <w:szCs w:val="32"/>
        </w:rPr>
        <w:t xml:space="preserve">Nationalism and </w:t>
      </w:r>
      <w:r w:rsidR="00C60FD4" w:rsidRPr="00C136C1">
        <w:rPr>
          <w:color w:val="auto"/>
          <w:sz w:val="32"/>
          <w:szCs w:val="32"/>
        </w:rPr>
        <w:t xml:space="preserve">Abkhaz </w:t>
      </w:r>
      <w:r w:rsidR="00050BA9" w:rsidRPr="00C136C1">
        <w:rPr>
          <w:color w:val="auto"/>
          <w:sz w:val="32"/>
          <w:szCs w:val="32"/>
        </w:rPr>
        <w:t xml:space="preserve">Secessionism in </w:t>
      </w:r>
      <w:r w:rsidR="00C60FD4" w:rsidRPr="00C136C1">
        <w:rPr>
          <w:color w:val="auto"/>
          <w:sz w:val="32"/>
          <w:szCs w:val="32"/>
        </w:rPr>
        <w:t xml:space="preserve">the </w:t>
      </w:r>
      <w:r w:rsidR="00050BA9" w:rsidRPr="00C136C1">
        <w:rPr>
          <w:color w:val="auto"/>
          <w:sz w:val="32"/>
          <w:szCs w:val="32"/>
        </w:rPr>
        <w:t>1990s</w:t>
      </w:r>
      <w:bookmarkEnd w:id="10"/>
    </w:p>
    <w:p w:rsidR="006D2116" w:rsidRPr="006D2116" w:rsidRDefault="006D2116" w:rsidP="006D2116"/>
    <w:p w:rsidR="00E94009" w:rsidRDefault="00050BA9" w:rsidP="00AD5BED">
      <w:pPr>
        <w:spacing w:line="360" w:lineRule="auto"/>
        <w:jc w:val="both"/>
        <w:rPr>
          <w:rFonts w:ascii="Times New Roman" w:hAnsi="Times New Roman"/>
          <w:sz w:val="24"/>
          <w:szCs w:val="24"/>
        </w:rPr>
      </w:pPr>
      <w:r w:rsidRPr="00CC4288">
        <w:rPr>
          <w:rFonts w:ascii="Times New Roman" w:hAnsi="Times New Roman"/>
          <w:sz w:val="24"/>
          <w:szCs w:val="24"/>
        </w:rPr>
        <w:t>Gorbachev’s ‘perestroika’ policy brought the emergence of various organizations and movements in Georgia. One of the most powerful and widely popular nationalist movement was Zviad Gamsakhurdia’s ‘Society of St.Ilia the Righteous’.</w:t>
      </w:r>
      <w:r w:rsidRPr="00CC4288">
        <w:rPr>
          <w:rStyle w:val="FootnoteReference"/>
          <w:rFonts w:ascii="Times New Roman" w:hAnsi="Times New Roman"/>
          <w:sz w:val="24"/>
          <w:szCs w:val="24"/>
        </w:rPr>
        <w:footnoteReference w:id="101"/>
      </w:r>
      <w:r w:rsidRPr="00CC4288">
        <w:rPr>
          <w:rFonts w:ascii="Times New Roman" w:hAnsi="Times New Roman"/>
          <w:sz w:val="24"/>
          <w:szCs w:val="24"/>
        </w:rPr>
        <w:t xml:space="preserve"> </w:t>
      </w:r>
      <w:r w:rsidR="006E5499">
        <w:rPr>
          <w:rFonts w:ascii="Times New Roman" w:hAnsi="Times New Roman"/>
          <w:sz w:val="24"/>
          <w:szCs w:val="24"/>
        </w:rPr>
        <w:t>Hewitt (2015) notes: “</w:t>
      </w:r>
      <w:r w:rsidR="00136E8A">
        <w:rPr>
          <w:rFonts w:ascii="Times New Roman" w:hAnsi="Times New Roman"/>
          <w:sz w:val="24"/>
          <w:szCs w:val="24"/>
        </w:rPr>
        <w:t>t</w:t>
      </w:r>
      <w:r w:rsidRPr="00CC4288">
        <w:rPr>
          <w:rFonts w:ascii="Times New Roman" w:hAnsi="Times New Roman"/>
          <w:sz w:val="24"/>
          <w:szCs w:val="24"/>
        </w:rPr>
        <w:t>he leaders of the nationalist movement were opposing the separatist sentiments of Abkhaz elites and implied on the illegitimacy of the autonomous status the Abkhazian region, as long as it never met the minimum requirement of the Soviet population threshold - one million people.</w:t>
      </w:r>
      <w:r w:rsidR="00136E8A">
        <w:rPr>
          <w:rFonts w:ascii="Times New Roman" w:hAnsi="Times New Roman"/>
          <w:sz w:val="24"/>
          <w:szCs w:val="24"/>
        </w:rPr>
        <w:t>”</w:t>
      </w:r>
      <w:r w:rsidRPr="00CC4288">
        <w:rPr>
          <w:rStyle w:val="FootnoteReference"/>
          <w:rFonts w:ascii="Times New Roman" w:hAnsi="Times New Roman"/>
          <w:sz w:val="24"/>
          <w:szCs w:val="24"/>
        </w:rPr>
        <w:footnoteReference w:id="102"/>
      </w:r>
      <w:r w:rsidRPr="00CC4288">
        <w:rPr>
          <w:rFonts w:ascii="Times New Roman" w:hAnsi="Times New Roman"/>
          <w:b/>
          <w:sz w:val="24"/>
          <w:szCs w:val="24"/>
        </w:rPr>
        <w:t xml:space="preserve"> </w:t>
      </w:r>
      <w:r w:rsidRPr="00CC4288">
        <w:rPr>
          <w:rFonts w:ascii="Times New Roman" w:hAnsi="Times New Roman"/>
          <w:sz w:val="24"/>
          <w:szCs w:val="24"/>
        </w:rPr>
        <w:t xml:space="preserve">In response to growing inter-ethnic tensions, the Abkhazian political elite called for the national forum in village Lykhny in 1989. The forum organized the petition on the restoration of the Abkhazian SSR. The petition was signed by 30,000 Abkhazians and 5,000 people from ethnic minorities (Russians, Armenians, Greeks, </w:t>
      </w:r>
      <w:proofErr w:type="gramStart"/>
      <w:r w:rsidRPr="00CC4288">
        <w:rPr>
          <w:rFonts w:ascii="Times New Roman" w:hAnsi="Times New Roman"/>
          <w:sz w:val="24"/>
          <w:szCs w:val="24"/>
        </w:rPr>
        <w:t>Georgians</w:t>
      </w:r>
      <w:proofErr w:type="gramEnd"/>
      <w:r w:rsidRPr="00CC4288">
        <w:rPr>
          <w:rFonts w:ascii="Times New Roman" w:hAnsi="Times New Roman"/>
          <w:sz w:val="24"/>
          <w:szCs w:val="24"/>
        </w:rPr>
        <w:t>).</w:t>
      </w:r>
      <w:r w:rsidRPr="00CC4288">
        <w:rPr>
          <w:rStyle w:val="FootnoteReference"/>
          <w:rFonts w:ascii="Times New Roman" w:hAnsi="Times New Roman"/>
          <w:sz w:val="24"/>
          <w:szCs w:val="24"/>
        </w:rPr>
        <w:footnoteReference w:id="103"/>
      </w:r>
      <w:r w:rsidRPr="00CC4288">
        <w:rPr>
          <w:rFonts w:ascii="Times New Roman" w:hAnsi="Times New Roman"/>
          <w:sz w:val="24"/>
          <w:szCs w:val="24"/>
        </w:rPr>
        <w:t xml:space="preserve"> </w:t>
      </w:r>
      <w:r w:rsidR="00234F43">
        <w:rPr>
          <w:rFonts w:ascii="Times New Roman" w:hAnsi="Times New Roman"/>
          <w:sz w:val="24"/>
          <w:szCs w:val="24"/>
        </w:rPr>
        <w:t>Nodia (1998) notes that t</w:t>
      </w:r>
      <w:r w:rsidRPr="00CC4288">
        <w:rPr>
          <w:rFonts w:ascii="Times New Roman" w:hAnsi="Times New Roman"/>
          <w:sz w:val="24"/>
          <w:szCs w:val="24"/>
        </w:rPr>
        <w:t>he petition triggered massive public protest and manifestations in Tbilisi which simultaneously turned into the demonstrations for the declaration of independence.</w:t>
      </w:r>
      <w:r w:rsidRPr="00CC4288">
        <w:rPr>
          <w:rStyle w:val="FootnoteReference"/>
          <w:rFonts w:ascii="Times New Roman" w:hAnsi="Times New Roman"/>
          <w:sz w:val="24"/>
          <w:szCs w:val="24"/>
        </w:rPr>
        <w:footnoteReference w:id="104"/>
      </w:r>
      <w:r w:rsidRPr="00CC4288">
        <w:rPr>
          <w:rFonts w:ascii="Times New Roman" w:hAnsi="Times New Roman"/>
          <w:sz w:val="24"/>
          <w:szCs w:val="24"/>
        </w:rPr>
        <w:t xml:space="preserve"> The Georgian political establishment declared the Soviet regime and all of its institutions as forcedly imposed in 1921, after the violent overthrow of the government of the Democratic Republic of Georgia. Moreover, the creation of the Abkhazian SSR was also declared illegal.</w:t>
      </w:r>
      <w:r w:rsidRPr="00CC4288">
        <w:rPr>
          <w:rStyle w:val="FootnoteReference"/>
          <w:rFonts w:ascii="Times New Roman" w:hAnsi="Times New Roman"/>
          <w:sz w:val="24"/>
          <w:szCs w:val="24"/>
        </w:rPr>
        <w:footnoteReference w:id="105"/>
      </w:r>
      <w:r w:rsidRPr="00CC4288">
        <w:rPr>
          <w:rFonts w:ascii="Times New Roman" w:hAnsi="Times New Roman"/>
          <w:sz w:val="24"/>
          <w:szCs w:val="24"/>
        </w:rPr>
        <w:t xml:space="preserve"> The peaceful demonstrations in Tbilisi sparked the anger in the communist regime. On 9 April 1989, the Soviet troops intervened with the main prospect in Tbilisi, killed 19 demonstrations, and severely injured dozens.</w:t>
      </w:r>
      <w:r w:rsidRPr="00CC4288">
        <w:rPr>
          <w:rStyle w:val="FootnoteReference"/>
          <w:rFonts w:ascii="Times New Roman" w:hAnsi="Times New Roman"/>
          <w:sz w:val="24"/>
          <w:szCs w:val="24"/>
        </w:rPr>
        <w:footnoteReference w:id="106"/>
      </w:r>
      <w:r w:rsidRPr="00CC4288">
        <w:rPr>
          <w:rFonts w:ascii="Times New Roman" w:hAnsi="Times New Roman"/>
          <w:sz w:val="24"/>
          <w:szCs w:val="24"/>
        </w:rPr>
        <w:t xml:space="preserve"> In October 1990, Georgia held its first Presidential elections, where the main candidate – nationalist Zviad Gamsakhurdia won by a </w:t>
      </w:r>
      <w:r w:rsidRPr="00CC4288">
        <w:rPr>
          <w:rFonts w:ascii="Times New Roman" w:hAnsi="Times New Roman"/>
          <w:sz w:val="24"/>
          <w:szCs w:val="24"/>
        </w:rPr>
        <w:lastRenderedPageBreak/>
        <w:t>significant majority of the votes.</w:t>
      </w:r>
      <w:r w:rsidRPr="00CC4288">
        <w:rPr>
          <w:rStyle w:val="FootnoteReference"/>
          <w:rFonts w:ascii="Times New Roman" w:hAnsi="Times New Roman"/>
          <w:sz w:val="24"/>
          <w:szCs w:val="24"/>
        </w:rPr>
        <w:footnoteReference w:id="107"/>
      </w:r>
      <w:r w:rsidRPr="00CC4288">
        <w:rPr>
          <w:rFonts w:ascii="Times New Roman" w:hAnsi="Times New Roman"/>
          <w:sz w:val="24"/>
          <w:szCs w:val="24"/>
        </w:rPr>
        <w:t xml:space="preserve"> Gamsakhurdia’s nationalist rhetoric was primarily based on the protection of the political and cultural rights of the ethnic Georgian population in autonomous regions of Abkhazia, South Ossetia an Adjaria. In absence of the state-owned military forces, Gamsakhurdia sought help from the guerrilla forces and paramilitary groups.</w:t>
      </w:r>
      <w:r w:rsidRPr="00CC4288">
        <w:rPr>
          <w:rStyle w:val="FootnoteReference"/>
          <w:rFonts w:ascii="Times New Roman" w:hAnsi="Times New Roman"/>
          <w:sz w:val="24"/>
          <w:szCs w:val="24"/>
        </w:rPr>
        <w:footnoteReference w:id="108"/>
      </w:r>
      <w:r w:rsidRPr="00CC4288">
        <w:rPr>
          <w:rFonts w:ascii="Times New Roman" w:hAnsi="Times New Roman"/>
          <w:sz w:val="24"/>
          <w:szCs w:val="24"/>
        </w:rPr>
        <w:t xml:space="preserve"> The first wave of nationalist policies affected the ethnic minorities residing in the capital of Georgia – Tbilisi. Armenians, Azeris, Kurds, Greeks, Russians, and other minorities were alarmed by Gamsakhurdia’s ‘Georgianization’ strategy.</w:t>
      </w:r>
      <w:r w:rsidRPr="00CC4288">
        <w:rPr>
          <w:rStyle w:val="FootnoteReference"/>
          <w:rFonts w:ascii="Times New Roman" w:hAnsi="Times New Roman"/>
          <w:sz w:val="24"/>
          <w:szCs w:val="24"/>
        </w:rPr>
        <w:footnoteReference w:id="109"/>
      </w:r>
      <w:r w:rsidRPr="00CC4288">
        <w:rPr>
          <w:rFonts w:ascii="Times New Roman" w:hAnsi="Times New Roman"/>
          <w:sz w:val="24"/>
          <w:szCs w:val="24"/>
        </w:rPr>
        <w:t xml:space="preserve"> They often referred to him as radical-nationalist or fascist and criticized his remarks such as ‘Georgia for Georgians’.</w:t>
      </w:r>
      <w:r w:rsidRPr="00CC4288">
        <w:rPr>
          <w:rStyle w:val="FootnoteReference"/>
          <w:rFonts w:ascii="Times New Roman" w:hAnsi="Times New Roman"/>
          <w:sz w:val="24"/>
          <w:szCs w:val="24"/>
        </w:rPr>
        <w:footnoteReference w:id="110"/>
      </w:r>
      <w:r w:rsidRPr="00CC4288">
        <w:rPr>
          <w:rFonts w:ascii="Times New Roman" w:hAnsi="Times New Roman"/>
          <w:sz w:val="24"/>
          <w:szCs w:val="24"/>
        </w:rPr>
        <w:t xml:space="preserve"> </w:t>
      </w:r>
    </w:p>
    <w:p w:rsidR="00E94009" w:rsidRDefault="00E94009" w:rsidP="00AD5BED">
      <w:pPr>
        <w:spacing w:line="360" w:lineRule="auto"/>
        <w:jc w:val="both"/>
        <w:rPr>
          <w:rFonts w:ascii="Times New Roman" w:hAnsi="Times New Roman"/>
          <w:sz w:val="24"/>
          <w:szCs w:val="24"/>
        </w:rPr>
      </w:pPr>
    </w:p>
    <w:p w:rsidR="00F8608C" w:rsidRDefault="00050BA9" w:rsidP="00AD5BED">
      <w:pPr>
        <w:spacing w:line="360" w:lineRule="auto"/>
        <w:jc w:val="both"/>
        <w:rPr>
          <w:rFonts w:ascii="Times New Roman" w:hAnsi="Times New Roman"/>
          <w:sz w:val="24"/>
          <w:szCs w:val="24"/>
        </w:rPr>
      </w:pPr>
      <w:r w:rsidRPr="00CC4288">
        <w:rPr>
          <w:rFonts w:ascii="Times New Roman" w:hAnsi="Times New Roman"/>
          <w:sz w:val="24"/>
          <w:szCs w:val="24"/>
        </w:rPr>
        <w:t xml:space="preserve">In March 1991, Secretary Gorbachov held the All-Union referendum of the Union treaty. The Georgian political elite refused to participate in it, declared it null and void, and publicly stated its aspiration for independence. Interestingly, </w:t>
      </w:r>
      <w:r w:rsidR="00300E69">
        <w:rPr>
          <w:rFonts w:ascii="Times New Roman" w:hAnsi="Times New Roman"/>
          <w:sz w:val="24"/>
          <w:szCs w:val="24"/>
        </w:rPr>
        <w:t xml:space="preserve">a </w:t>
      </w:r>
      <w:r w:rsidRPr="00CC4288">
        <w:rPr>
          <w:rFonts w:ascii="Times New Roman" w:hAnsi="Times New Roman"/>
          <w:sz w:val="24"/>
          <w:szCs w:val="24"/>
        </w:rPr>
        <w:t>solid majority of the Abkhazian population voted in favor of the preservation of the Soviet Union which deepened the ethnic conflict.</w:t>
      </w:r>
      <w:r w:rsidRPr="00CC4288">
        <w:rPr>
          <w:rStyle w:val="FootnoteReference"/>
          <w:rFonts w:ascii="Times New Roman" w:hAnsi="Times New Roman"/>
          <w:sz w:val="24"/>
          <w:szCs w:val="24"/>
        </w:rPr>
        <w:footnoteReference w:id="111"/>
      </w:r>
      <w:r w:rsidRPr="00CC4288">
        <w:rPr>
          <w:rFonts w:ascii="Times New Roman" w:hAnsi="Times New Roman"/>
          <w:sz w:val="24"/>
          <w:szCs w:val="24"/>
        </w:rPr>
        <w:t xml:space="preserve"> In respo</w:t>
      </w:r>
      <w:r w:rsidR="00300E69">
        <w:rPr>
          <w:rFonts w:ascii="Times New Roman" w:hAnsi="Times New Roman"/>
          <w:sz w:val="24"/>
          <w:szCs w:val="24"/>
        </w:rPr>
        <w:t>nse to the Soviet referendum, in</w:t>
      </w:r>
      <w:r w:rsidRPr="00CC4288">
        <w:rPr>
          <w:rFonts w:ascii="Times New Roman" w:hAnsi="Times New Roman"/>
          <w:sz w:val="24"/>
          <w:szCs w:val="24"/>
        </w:rPr>
        <w:t xml:space="preserve"> March 1991 Georgia held the independence referendum, and the following month, declared itself an independent unitary state.</w:t>
      </w:r>
      <w:r w:rsidRPr="00CC4288">
        <w:rPr>
          <w:rStyle w:val="FootnoteReference"/>
          <w:rFonts w:ascii="Times New Roman" w:hAnsi="Times New Roman"/>
          <w:sz w:val="24"/>
          <w:szCs w:val="24"/>
        </w:rPr>
        <w:footnoteReference w:id="112"/>
      </w:r>
      <w:r w:rsidRPr="00CC4288">
        <w:rPr>
          <w:rFonts w:ascii="Times New Roman" w:hAnsi="Times New Roman"/>
          <w:sz w:val="24"/>
          <w:szCs w:val="24"/>
        </w:rPr>
        <w:t xml:space="preserve"> It must be noted that almost 60% of the Abkhazian population supported the declaration of independence of Georgia in the referendum. This resulted in mutual engagement in peace negotiations. The Abkhaz politicians under the leadership of Ardzinba demanded a federative or confederative format for the solution of the administrative issues of Georgia. However, the Georgian side rejected the proposal in fear of angering the electorate </w:t>
      </w:r>
      <w:r w:rsidRPr="00CC4288">
        <w:rPr>
          <w:rFonts w:ascii="Times New Roman" w:hAnsi="Times New Roman"/>
          <w:sz w:val="24"/>
          <w:szCs w:val="24"/>
        </w:rPr>
        <w:lastRenderedPageBreak/>
        <w:t>which demanded the abolishment of the autonomies and unification of Georgian state.</w:t>
      </w:r>
      <w:r w:rsidRPr="00CC4288">
        <w:rPr>
          <w:rStyle w:val="FootnoteReference"/>
          <w:rFonts w:ascii="Times New Roman" w:hAnsi="Times New Roman"/>
          <w:sz w:val="24"/>
          <w:szCs w:val="24"/>
        </w:rPr>
        <w:footnoteReference w:id="113"/>
      </w:r>
      <w:r w:rsidRPr="00CC4288">
        <w:rPr>
          <w:rFonts w:ascii="Times New Roman" w:hAnsi="Times New Roman"/>
          <w:sz w:val="24"/>
          <w:szCs w:val="24"/>
        </w:rPr>
        <w:t xml:space="preserve"> Furthermore, the political elite was concerned that granting the federal status to secessionist regions would result in a domino effect and cause the dissolution of Georgian territorial integrity.</w:t>
      </w:r>
      <w:r w:rsidRPr="00CC4288">
        <w:rPr>
          <w:rStyle w:val="FootnoteReference"/>
          <w:rFonts w:ascii="Times New Roman" w:hAnsi="Times New Roman"/>
          <w:sz w:val="24"/>
          <w:szCs w:val="24"/>
        </w:rPr>
        <w:footnoteReference w:id="114"/>
      </w:r>
      <w:r w:rsidRPr="00CC4288">
        <w:rPr>
          <w:rFonts w:ascii="Times New Roman" w:hAnsi="Times New Roman"/>
          <w:sz w:val="24"/>
          <w:szCs w:val="24"/>
        </w:rPr>
        <w:t xml:space="preserve"> The disagreement resulted in breaking the diplomatic ties and significantly increased the risks of armed hostilities. The government of Gamsakhurdia was overthrown by a military coup in 1991 by paramilitary groups of Tengiz Kitovani and Jaba Ioseliani.</w:t>
      </w:r>
      <w:r w:rsidRPr="00CC4288">
        <w:rPr>
          <w:rStyle w:val="FootnoteReference"/>
          <w:rFonts w:ascii="Times New Roman" w:hAnsi="Times New Roman"/>
          <w:sz w:val="24"/>
          <w:szCs w:val="24"/>
        </w:rPr>
        <w:footnoteReference w:id="115"/>
      </w:r>
      <w:r w:rsidRPr="00CC4288">
        <w:rPr>
          <w:rFonts w:ascii="Times New Roman" w:hAnsi="Times New Roman"/>
          <w:sz w:val="24"/>
          <w:szCs w:val="24"/>
        </w:rPr>
        <w:t xml:space="preserve"> </w:t>
      </w:r>
    </w:p>
    <w:p w:rsidR="00F8608C" w:rsidRDefault="00F8608C" w:rsidP="00AD5BED">
      <w:pPr>
        <w:spacing w:line="360" w:lineRule="auto"/>
        <w:jc w:val="both"/>
        <w:rPr>
          <w:rFonts w:ascii="Times New Roman" w:hAnsi="Times New Roman"/>
          <w:sz w:val="24"/>
          <w:szCs w:val="24"/>
        </w:rPr>
      </w:pPr>
    </w:p>
    <w:p w:rsidR="00300E69" w:rsidRDefault="00050BA9" w:rsidP="00AD5BED">
      <w:pPr>
        <w:spacing w:line="360" w:lineRule="auto"/>
        <w:jc w:val="both"/>
        <w:rPr>
          <w:rFonts w:ascii="Times New Roman" w:hAnsi="Times New Roman"/>
          <w:sz w:val="24"/>
          <w:szCs w:val="24"/>
        </w:rPr>
      </w:pPr>
      <w:r w:rsidRPr="00CC4288">
        <w:rPr>
          <w:rFonts w:ascii="Times New Roman" w:hAnsi="Times New Roman"/>
          <w:sz w:val="24"/>
          <w:szCs w:val="24"/>
        </w:rPr>
        <w:t>In 1992, Eduard Shevardnadze came to power. Under his leadership, Georgia achieved the international recognition of the borders claimed by the central government which included Abkhazia, South Ossetia, and Adjara as integral parts within Georgia.</w:t>
      </w:r>
      <w:r w:rsidRPr="00CC4288">
        <w:rPr>
          <w:rStyle w:val="FootnoteReference"/>
          <w:rFonts w:ascii="Times New Roman" w:hAnsi="Times New Roman"/>
          <w:sz w:val="24"/>
          <w:szCs w:val="24"/>
        </w:rPr>
        <w:footnoteReference w:id="116"/>
      </w:r>
      <w:r w:rsidRPr="00CC4288">
        <w:rPr>
          <w:rFonts w:ascii="Times New Roman" w:hAnsi="Times New Roman"/>
          <w:sz w:val="24"/>
          <w:szCs w:val="24"/>
        </w:rPr>
        <w:t xml:space="preserve"> This decision sparked the outrage among the Abkhaz political elites which in return, declared Abkhazia as a sovereign state. In August 1992, the Georgian paramilitary groups of Kitovani entered the Abkhazian soil. They justified it as a special operation against the pro-Gamsakhurdia forces hiding in Abkhazian village.</w:t>
      </w:r>
      <w:r w:rsidRPr="00CC4288">
        <w:rPr>
          <w:rStyle w:val="FootnoteReference"/>
          <w:rFonts w:ascii="Times New Roman" w:hAnsi="Times New Roman"/>
          <w:sz w:val="24"/>
          <w:szCs w:val="24"/>
        </w:rPr>
        <w:footnoteReference w:id="117"/>
      </w:r>
      <w:r w:rsidRPr="00CC4288">
        <w:rPr>
          <w:rFonts w:ascii="Times New Roman" w:hAnsi="Times New Roman"/>
          <w:sz w:val="24"/>
          <w:szCs w:val="24"/>
        </w:rPr>
        <w:t xml:space="preserve"> The Abkhazian side declared this operation as the military intervention of Georgian troops in the Abkhazian state and responded by mobilization of troops.</w:t>
      </w:r>
      <w:r w:rsidRPr="00CC4288">
        <w:rPr>
          <w:rStyle w:val="FootnoteReference"/>
          <w:rFonts w:ascii="Times New Roman" w:hAnsi="Times New Roman"/>
          <w:sz w:val="24"/>
          <w:szCs w:val="24"/>
        </w:rPr>
        <w:footnoteReference w:id="118"/>
      </w:r>
      <w:r w:rsidRPr="00CC4288">
        <w:rPr>
          <w:rFonts w:ascii="Times New Roman" w:hAnsi="Times New Roman"/>
          <w:sz w:val="24"/>
          <w:szCs w:val="24"/>
        </w:rPr>
        <w:t xml:space="preserve"> On 14 August 1992, the Georgian army units entered Abkhazian territory intending to defend the Abkhazian people from paramilitary groups and criminal gangs.</w:t>
      </w:r>
      <w:r w:rsidRPr="00CC4288">
        <w:rPr>
          <w:rStyle w:val="FootnoteReference"/>
          <w:rFonts w:ascii="Times New Roman" w:hAnsi="Times New Roman"/>
          <w:sz w:val="24"/>
          <w:szCs w:val="24"/>
        </w:rPr>
        <w:footnoteReference w:id="119"/>
      </w:r>
      <w:r w:rsidRPr="00CC4288">
        <w:rPr>
          <w:rFonts w:ascii="Times New Roman" w:hAnsi="Times New Roman"/>
          <w:sz w:val="24"/>
          <w:szCs w:val="24"/>
        </w:rPr>
        <w:t xml:space="preserve"> This decision was supported by the UN monitoring mission which reported that the Georgian troops were fighting the criminal gangs in Abkhazia in consensual agreement with the political leadership of the Abkhazian government.</w:t>
      </w:r>
      <w:r w:rsidRPr="00CC4288">
        <w:rPr>
          <w:rStyle w:val="FootnoteReference"/>
          <w:rFonts w:ascii="Times New Roman" w:hAnsi="Times New Roman"/>
          <w:sz w:val="24"/>
          <w:szCs w:val="24"/>
        </w:rPr>
        <w:footnoteReference w:id="120"/>
      </w:r>
      <w:r w:rsidRPr="00CC4288">
        <w:rPr>
          <w:rFonts w:ascii="Times New Roman" w:hAnsi="Times New Roman"/>
          <w:sz w:val="24"/>
          <w:szCs w:val="24"/>
        </w:rPr>
        <w:t xml:space="preserve"> Georgian military forces rapidly strengthened their positions in capital – Sokhumi and surrounding villages. On September 3</w:t>
      </w:r>
      <w:r w:rsidR="00300E69">
        <w:rPr>
          <w:rFonts w:ascii="Times New Roman" w:hAnsi="Times New Roman"/>
          <w:sz w:val="24"/>
          <w:szCs w:val="24"/>
        </w:rPr>
        <w:t>,</w:t>
      </w:r>
      <w:r w:rsidRPr="00CC4288">
        <w:rPr>
          <w:rFonts w:ascii="Times New Roman" w:hAnsi="Times New Roman"/>
          <w:sz w:val="24"/>
          <w:szCs w:val="24"/>
        </w:rPr>
        <w:t xml:space="preserve"> 1992, the Russian political establishment demanded the signing of a cease-fire agreement between confronting parties.</w:t>
      </w:r>
      <w:r w:rsidRPr="00CC4288">
        <w:rPr>
          <w:rStyle w:val="FootnoteReference"/>
          <w:rFonts w:ascii="Times New Roman" w:hAnsi="Times New Roman"/>
          <w:sz w:val="24"/>
          <w:szCs w:val="24"/>
        </w:rPr>
        <w:footnoteReference w:id="121"/>
      </w:r>
      <w:r w:rsidRPr="00CC4288">
        <w:rPr>
          <w:rFonts w:ascii="Times New Roman" w:hAnsi="Times New Roman"/>
          <w:sz w:val="24"/>
          <w:szCs w:val="24"/>
        </w:rPr>
        <w:t xml:space="preserve"> Georgian side fulfilled its obligation by the withdrawal of the troops from Abkhazia, however, the Russian and Abkhaz side refused to follow the </w:t>
      </w:r>
      <w:r w:rsidRPr="00CC4288">
        <w:rPr>
          <w:rFonts w:ascii="Times New Roman" w:hAnsi="Times New Roman"/>
          <w:sz w:val="24"/>
          <w:szCs w:val="24"/>
        </w:rPr>
        <w:lastRenderedPageBreak/>
        <w:t>protocol.</w:t>
      </w:r>
      <w:r w:rsidRPr="00CC4288">
        <w:rPr>
          <w:rStyle w:val="FootnoteReference"/>
          <w:rFonts w:ascii="Times New Roman" w:hAnsi="Times New Roman"/>
          <w:sz w:val="24"/>
          <w:szCs w:val="24"/>
        </w:rPr>
        <w:footnoteReference w:id="122"/>
      </w:r>
      <w:r w:rsidRPr="00CC4288">
        <w:rPr>
          <w:rFonts w:ascii="Times New Roman" w:hAnsi="Times New Roman"/>
          <w:sz w:val="24"/>
          <w:szCs w:val="24"/>
        </w:rPr>
        <w:t xml:space="preserve"> This caused the continuation of hostilities between the parties and increased military tensions in bordering villages. On July 27</w:t>
      </w:r>
      <w:r w:rsidR="00300E69">
        <w:rPr>
          <w:rFonts w:ascii="Times New Roman" w:hAnsi="Times New Roman"/>
          <w:sz w:val="24"/>
          <w:szCs w:val="24"/>
        </w:rPr>
        <w:t>,</w:t>
      </w:r>
      <w:r w:rsidRPr="00CC4288">
        <w:rPr>
          <w:rFonts w:ascii="Times New Roman" w:hAnsi="Times New Roman"/>
          <w:sz w:val="24"/>
          <w:szCs w:val="24"/>
        </w:rPr>
        <w:t xml:space="preserve"> 1993, the Russian side brokered another cease-fire agreement in Sochi; however, lack of trust between the confronting sides resulted in neglecting of implementation of the agreement in practice.</w:t>
      </w:r>
      <w:r w:rsidRPr="00CC4288">
        <w:rPr>
          <w:rStyle w:val="FootnoteReference"/>
          <w:rFonts w:ascii="Times New Roman" w:hAnsi="Times New Roman"/>
          <w:sz w:val="24"/>
          <w:szCs w:val="24"/>
        </w:rPr>
        <w:footnoteReference w:id="123"/>
      </w:r>
      <w:r w:rsidRPr="00CC4288">
        <w:rPr>
          <w:rFonts w:ascii="Times New Roman" w:hAnsi="Times New Roman"/>
          <w:sz w:val="24"/>
          <w:szCs w:val="24"/>
        </w:rPr>
        <w:t xml:space="preserve"> Renewed military confrontation in Abkhazia coincided with the civil war in Georgia. The supporters of former President Gamsakhurdia demanded the withdrawal of Shevardnadze from the leadership of the state. The chaotic situation and political fragmentation in Georgia altered the military advantage in favor of Abkhazian forces. On September 27, 1993</w:t>
      </w:r>
      <w:r w:rsidR="00300E69">
        <w:rPr>
          <w:rFonts w:ascii="Times New Roman" w:hAnsi="Times New Roman"/>
          <w:sz w:val="24"/>
          <w:szCs w:val="24"/>
        </w:rPr>
        <w:t>,</w:t>
      </w:r>
      <w:r w:rsidRPr="00CC4288">
        <w:rPr>
          <w:rFonts w:ascii="Times New Roman" w:hAnsi="Times New Roman"/>
          <w:sz w:val="24"/>
          <w:szCs w:val="24"/>
        </w:rPr>
        <w:t xml:space="preserve"> the Abkhaz forces captured the whole region of Abkhazia and restored their political control over it.</w:t>
      </w:r>
      <w:r w:rsidRPr="00CC4288">
        <w:rPr>
          <w:rStyle w:val="FootnoteReference"/>
          <w:rFonts w:ascii="Times New Roman" w:hAnsi="Times New Roman"/>
          <w:sz w:val="24"/>
          <w:szCs w:val="24"/>
        </w:rPr>
        <w:footnoteReference w:id="124"/>
      </w:r>
      <w:r w:rsidRPr="00CC4288">
        <w:rPr>
          <w:rFonts w:ascii="Times New Roman" w:hAnsi="Times New Roman"/>
          <w:sz w:val="24"/>
          <w:szCs w:val="24"/>
        </w:rPr>
        <w:t xml:space="preserve"> Shevardnadze requested to Moscow to accept Georgia in CIS and send the Russian troops for securing the Georgian-Abkhaz border.</w:t>
      </w:r>
      <w:r w:rsidRPr="00CC4288">
        <w:rPr>
          <w:rStyle w:val="FootnoteReference"/>
          <w:rFonts w:ascii="Times New Roman" w:hAnsi="Times New Roman"/>
          <w:sz w:val="24"/>
          <w:szCs w:val="24"/>
        </w:rPr>
        <w:footnoteReference w:id="125"/>
      </w:r>
      <w:r w:rsidR="00135852">
        <w:rPr>
          <w:rFonts w:ascii="Times New Roman" w:hAnsi="Times New Roman"/>
          <w:sz w:val="24"/>
          <w:szCs w:val="24"/>
        </w:rPr>
        <w:t xml:space="preserve"> </w:t>
      </w:r>
      <w:r w:rsidRPr="00CC4288">
        <w:rPr>
          <w:rFonts w:ascii="Times New Roman" w:hAnsi="Times New Roman"/>
          <w:sz w:val="24"/>
          <w:szCs w:val="24"/>
        </w:rPr>
        <w:t xml:space="preserve"> As a result of the blood-shedding conflict, more than 250,000 (a significant majority of ethnic Georgians) were forced in exile and several thousand people were killed and heavily injured. One the one hand, Georgia lost its territory to secessionist powers but achieved the international recognition of Abkhazia as an internal part of its territory. One the other hand, the Abkhazian elite managed to defeat the Georgian troops with the help of Russian patrons which supplied them with weaponry and regularly engaged in fights.</w:t>
      </w:r>
      <w:r w:rsidRPr="00CC4288">
        <w:rPr>
          <w:rStyle w:val="FootnoteReference"/>
          <w:rFonts w:ascii="Times New Roman" w:hAnsi="Times New Roman"/>
          <w:sz w:val="24"/>
          <w:szCs w:val="24"/>
        </w:rPr>
        <w:footnoteReference w:id="126"/>
      </w:r>
      <w:r w:rsidRPr="00CC4288">
        <w:rPr>
          <w:rFonts w:ascii="Times New Roman" w:hAnsi="Times New Roman"/>
          <w:sz w:val="24"/>
          <w:szCs w:val="24"/>
        </w:rPr>
        <w:t xml:space="preserve"> Nevertheless, the Abkhazians lost the diplomatic battle for recognition which resulted in uncertainty about the legal status of the separatist power and crea</w:t>
      </w:r>
      <w:r w:rsidR="00AD5BED">
        <w:rPr>
          <w:rFonts w:ascii="Times New Roman" w:hAnsi="Times New Roman"/>
          <w:sz w:val="24"/>
          <w:szCs w:val="24"/>
        </w:rPr>
        <w:t xml:space="preserve">tion of the ‘frozen conflict’. </w:t>
      </w:r>
    </w:p>
    <w:p w:rsidR="00AD5BED" w:rsidRPr="00AD5BED" w:rsidRDefault="00AD5BED" w:rsidP="00AD5BED">
      <w:pPr>
        <w:pStyle w:val="NoSpacing"/>
      </w:pPr>
    </w:p>
    <w:p w:rsidR="00050BA9" w:rsidRPr="00C136C1" w:rsidRDefault="008B5A68" w:rsidP="006D2116">
      <w:pPr>
        <w:pStyle w:val="Heading2"/>
        <w:rPr>
          <w:color w:val="auto"/>
          <w:sz w:val="32"/>
          <w:szCs w:val="32"/>
        </w:rPr>
      </w:pPr>
      <w:bookmarkStart w:id="11" w:name="_Toc46952605"/>
      <w:r>
        <w:rPr>
          <w:color w:val="auto"/>
          <w:sz w:val="32"/>
          <w:szCs w:val="32"/>
        </w:rPr>
        <w:t xml:space="preserve">3.1.2 </w:t>
      </w:r>
      <w:r w:rsidR="009A51AE" w:rsidRPr="00C136C1">
        <w:rPr>
          <w:color w:val="auto"/>
          <w:sz w:val="32"/>
          <w:szCs w:val="32"/>
        </w:rPr>
        <w:t>The Post-Conflict Developments</w:t>
      </w:r>
      <w:bookmarkEnd w:id="11"/>
    </w:p>
    <w:p w:rsidR="003D140E" w:rsidRDefault="003D140E" w:rsidP="00050BA9">
      <w:pPr>
        <w:spacing w:line="360" w:lineRule="auto"/>
        <w:jc w:val="both"/>
        <w:rPr>
          <w:rFonts w:ascii="Times New Roman" w:hAnsi="Times New Roman"/>
          <w:sz w:val="24"/>
          <w:szCs w:val="24"/>
        </w:rPr>
      </w:pPr>
    </w:p>
    <w:p w:rsidR="001E423B"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In 1995, Eduard Shevardnadze was elected as the second President of Georgia. The country which suffered the e</w:t>
      </w:r>
      <w:r w:rsidR="00300E69">
        <w:rPr>
          <w:rFonts w:ascii="Times New Roman" w:hAnsi="Times New Roman"/>
          <w:sz w:val="24"/>
          <w:szCs w:val="24"/>
        </w:rPr>
        <w:t>thnic-conflict and civil war was</w:t>
      </w:r>
      <w:r w:rsidRPr="00CC4288">
        <w:rPr>
          <w:rFonts w:ascii="Times New Roman" w:hAnsi="Times New Roman"/>
          <w:sz w:val="24"/>
          <w:szCs w:val="24"/>
        </w:rPr>
        <w:t xml:space="preserve"> completely plunged into corruption and crime. Shevardnadze’s government failed to deliver an efficient restoration plan and deepened the already stagnating economy of the newly emerged state.</w:t>
      </w:r>
      <w:r w:rsidRPr="00CC4288">
        <w:rPr>
          <w:rStyle w:val="FootnoteReference"/>
          <w:rFonts w:ascii="Times New Roman" w:hAnsi="Times New Roman"/>
          <w:sz w:val="24"/>
          <w:szCs w:val="24"/>
        </w:rPr>
        <w:footnoteReference w:id="127"/>
      </w:r>
      <w:r w:rsidRPr="00CC4288">
        <w:rPr>
          <w:rFonts w:ascii="Times New Roman" w:hAnsi="Times New Roman"/>
          <w:sz w:val="24"/>
          <w:szCs w:val="24"/>
        </w:rPr>
        <w:t xml:space="preserve"> In the early 2000s, a young pro-Western</w:t>
      </w:r>
      <w:r w:rsidR="00300E69">
        <w:rPr>
          <w:rFonts w:ascii="Times New Roman" w:hAnsi="Times New Roman"/>
          <w:sz w:val="24"/>
          <w:szCs w:val="24"/>
        </w:rPr>
        <w:t xml:space="preserve"> politician Mikheil Saakashvili</w:t>
      </w:r>
      <w:r w:rsidRPr="00CC4288">
        <w:rPr>
          <w:rFonts w:ascii="Times New Roman" w:hAnsi="Times New Roman"/>
          <w:sz w:val="24"/>
          <w:szCs w:val="24"/>
        </w:rPr>
        <w:t xml:space="preserve"> consolidated a strong political group under </w:t>
      </w:r>
      <w:r w:rsidRPr="00CC4288">
        <w:rPr>
          <w:rFonts w:ascii="Times New Roman" w:hAnsi="Times New Roman"/>
          <w:sz w:val="24"/>
          <w:szCs w:val="24"/>
        </w:rPr>
        <w:lastRenderedPageBreak/>
        <w:t>his leadership and formed the opposition bloc during the parliamentary elections. Saakashvili’s party lost to the ruling coalition which sparked the protest among the citizens. Saakashvili declared the election results rigged and called for the peaceful anti-governmental demonstrations.</w:t>
      </w:r>
      <w:r w:rsidRPr="00CC4288">
        <w:rPr>
          <w:rStyle w:val="FootnoteReference"/>
          <w:rFonts w:ascii="Times New Roman" w:hAnsi="Times New Roman"/>
          <w:sz w:val="24"/>
          <w:szCs w:val="24"/>
        </w:rPr>
        <w:footnoteReference w:id="128"/>
      </w:r>
      <w:r w:rsidRPr="00CC4288">
        <w:rPr>
          <w:rFonts w:ascii="Times New Roman" w:hAnsi="Times New Roman"/>
          <w:sz w:val="24"/>
          <w:szCs w:val="24"/>
        </w:rPr>
        <w:t xml:space="preserve"> During the period of 14-23 November 2003, more than 200,000 people went in front of the Presidential building and demanded the resignation of Shevardnadze. The peaceful manifestations in Tbilisi were supported by the Western political elites and praised as ‘the Rose Revolution’. On November 24, 2003, Shevardnadze resigned and called for the new elections, where Mikheil Saakashvili held the victory with 96% of votes.</w:t>
      </w:r>
      <w:r w:rsidRPr="00CC4288">
        <w:rPr>
          <w:rStyle w:val="FootnoteReference"/>
          <w:rFonts w:ascii="Times New Roman" w:hAnsi="Times New Roman"/>
          <w:sz w:val="24"/>
          <w:szCs w:val="24"/>
        </w:rPr>
        <w:footnoteReference w:id="129"/>
      </w:r>
      <w:r w:rsidRPr="00CC4288">
        <w:rPr>
          <w:rFonts w:ascii="Times New Roman" w:hAnsi="Times New Roman"/>
          <w:sz w:val="24"/>
          <w:szCs w:val="24"/>
        </w:rPr>
        <w:t xml:space="preserve"> </w:t>
      </w:r>
    </w:p>
    <w:p w:rsidR="001E423B" w:rsidRDefault="001E423B" w:rsidP="00050BA9">
      <w:pPr>
        <w:spacing w:line="360" w:lineRule="auto"/>
        <w:jc w:val="both"/>
        <w:rPr>
          <w:rFonts w:ascii="Times New Roman" w:hAnsi="Times New Roman"/>
          <w:sz w:val="24"/>
          <w:szCs w:val="24"/>
        </w:rPr>
      </w:pPr>
    </w:p>
    <w:p w:rsidR="00050BA9"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new government of Georgia actively engaged in institutional reforms and strengthening of the socio-economic condition of the country.</w:t>
      </w:r>
      <w:r w:rsidR="00F93AA7">
        <w:rPr>
          <w:rFonts w:ascii="Times New Roman" w:hAnsi="Times New Roman"/>
          <w:sz w:val="24"/>
          <w:szCs w:val="24"/>
        </w:rPr>
        <w:t xml:space="preserve"> According to Lynch (2006): “t</w:t>
      </w:r>
      <w:r w:rsidRPr="00CC4288">
        <w:rPr>
          <w:rFonts w:ascii="Times New Roman" w:hAnsi="Times New Roman"/>
          <w:sz w:val="24"/>
          <w:szCs w:val="24"/>
        </w:rPr>
        <w:t>he active reforms concerned the judicial, police, and military sectors. Saakashvili was aiming to turn once a failed state into the progressive pro-European country.</w:t>
      </w:r>
      <w:r w:rsidR="00F93AA7">
        <w:rPr>
          <w:rFonts w:ascii="Times New Roman" w:hAnsi="Times New Roman"/>
          <w:sz w:val="24"/>
          <w:szCs w:val="24"/>
        </w:rPr>
        <w:t>”</w:t>
      </w:r>
      <w:r w:rsidRPr="00CC4288">
        <w:rPr>
          <w:rStyle w:val="FootnoteReference"/>
          <w:rFonts w:ascii="Times New Roman" w:hAnsi="Times New Roman"/>
          <w:sz w:val="24"/>
          <w:szCs w:val="24"/>
        </w:rPr>
        <w:footnoteReference w:id="130"/>
      </w:r>
      <w:r w:rsidRPr="00CC4288">
        <w:rPr>
          <w:rFonts w:ascii="Times New Roman" w:hAnsi="Times New Roman"/>
          <w:sz w:val="24"/>
          <w:szCs w:val="24"/>
        </w:rPr>
        <w:t xml:space="preserve"> Improved social welfare and economic attractiveness of Georgia was an integral element of the territorial reconciliation strategy. Saakashvili realized that the resolution of the Abkhazian conflict was impossible without dialogue with Russia.</w:t>
      </w:r>
      <w:r w:rsidRPr="00CC4288">
        <w:rPr>
          <w:rStyle w:val="FootnoteReference"/>
          <w:rFonts w:ascii="Times New Roman" w:hAnsi="Times New Roman"/>
          <w:sz w:val="24"/>
          <w:szCs w:val="24"/>
        </w:rPr>
        <w:footnoteReference w:id="131"/>
      </w:r>
      <w:r w:rsidR="00E95849">
        <w:rPr>
          <w:rFonts w:ascii="Times New Roman" w:hAnsi="Times New Roman"/>
          <w:sz w:val="24"/>
          <w:szCs w:val="24"/>
        </w:rPr>
        <w:t xml:space="preserve"> Although, he did not</w:t>
      </w:r>
      <w:r w:rsidRPr="00CC4288">
        <w:rPr>
          <w:rFonts w:ascii="Times New Roman" w:hAnsi="Times New Roman"/>
          <w:sz w:val="24"/>
          <w:szCs w:val="24"/>
        </w:rPr>
        <w:t xml:space="preserve"> seek the Russian help in peace negotiations and reconciliation process but rather limiting of military and technical supplying of Abkhaz separatists with Russian weaponry.</w:t>
      </w:r>
      <w:r w:rsidRPr="00CC4288">
        <w:rPr>
          <w:rStyle w:val="FootnoteReference"/>
          <w:rFonts w:ascii="Times New Roman" w:hAnsi="Times New Roman"/>
          <w:sz w:val="24"/>
          <w:szCs w:val="24"/>
        </w:rPr>
        <w:footnoteReference w:id="132"/>
      </w:r>
      <w:r w:rsidRPr="00CC4288">
        <w:rPr>
          <w:rFonts w:ascii="Times New Roman" w:hAnsi="Times New Roman"/>
          <w:sz w:val="24"/>
          <w:szCs w:val="24"/>
        </w:rPr>
        <w:t xml:space="preserve"> He</w:t>
      </w:r>
      <w:r w:rsidR="00E95849">
        <w:rPr>
          <w:rFonts w:ascii="Times New Roman" w:hAnsi="Times New Roman"/>
          <w:sz w:val="24"/>
          <w:szCs w:val="24"/>
        </w:rPr>
        <w:t xml:space="preserve"> suggested that Russia should not</w:t>
      </w:r>
      <w:r w:rsidRPr="00CC4288">
        <w:rPr>
          <w:rFonts w:ascii="Times New Roman" w:hAnsi="Times New Roman"/>
          <w:sz w:val="24"/>
          <w:szCs w:val="24"/>
        </w:rPr>
        <w:t xml:space="preserve"> have been involved in the first phase of diplomatic negotiations but engage in it after the agreement on the reconciliation plan between Georgian and Abkhaz parties.</w:t>
      </w:r>
      <w:r w:rsidRPr="00CC4288">
        <w:rPr>
          <w:rStyle w:val="FootnoteReference"/>
          <w:rFonts w:ascii="Times New Roman" w:hAnsi="Times New Roman"/>
          <w:sz w:val="24"/>
          <w:szCs w:val="24"/>
        </w:rPr>
        <w:footnoteReference w:id="133"/>
      </w:r>
      <w:r w:rsidRPr="00CC4288">
        <w:rPr>
          <w:rFonts w:ascii="Times New Roman" w:hAnsi="Times New Roman"/>
          <w:sz w:val="24"/>
          <w:szCs w:val="24"/>
        </w:rPr>
        <w:t xml:space="preserve"> Saakashvili’s peace plan was built on the formation of the federal states with a shared economy, constitution, election system, and governance, where the Abkhazian side would be considered the greatest autonomy with all components of the sovereign state.</w:t>
      </w:r>
      <w:r w:rsidRPr="00CC4288">
        <w:rPr>
          <w:rStyle w:val="FootnoteReference"/>
          <w:rFonts w:ascii="Times New Roman" w:hAnsi="Times New Roman"/>
          <w:sz w:val="24"/>
          <w:szCs w:val="24"/>
        </w:rPr>
        <w:footnoteReference w:id="134"/>
      </w:r>
      <w:r w:rsidRPr="00CC4288">
        <w:rPr>
          <w:rFonts w:ascii="Times New Roman" w:hAnsi="Times New Roman"/>
          <w:sz w:val="24"/>
          <w:szCs w:val="24"/>
        </w:rPr>
        <w:t xml:space="preserve"> However, the Abkhazian side rejected the peace plan and stressed that the independence status was non-negotiable.</w:t>
      </w:r>
      <w:r w:rsidRPr="00CC4288">
        <w:rPr>
          <w:rStyle w:val="FootnoteReference"/>
          <w:rFonts w:ascii="Times New Roman" w:hAnsi="Times New Roman"/>
          <w:sz w:val="24"/>
          <w:szCs w:val="24"/>
        </w:rPr>
        <w:footnoteReference w:id="135"/>
      </w:r>
      <w:r w:rsidRPr="00CC4288">
        <w:rPr>
          <w:rFonts w:ascii="Times New Roman" w:hAnsi="Times New Roman"/>
          <w:sz w:val="24"/>
          <w:szCs w:val="24"/>
        </w:rPr>
        <w:t xml:space="preserve"> Furthermore, they implied that the Abkhaz political elite and society would never consider </w:t>
      </w:r>
      <w:r w:rsidRPr="00CC4288">
        <w:rPr>
          <w:rFonts w:ascii="Times New Roman" w:hAnsi="Times New Roman"/>
          <w:sz w:val="24"/>
          <w:szCs w:val="24"/>
        </w:rPr>
        <w:lastRenderedPageBreak/>
        <w:t>being part of Georgia.</w:t>
      </w:r>
      <w:r w:rsidRPr="00CC4288">
        <w:rPr>
          <w:rStyle w:val="FootnoteReference"/>
          <w:rFonts w:ascii="Times New Roman" w:hAnsi="Times New Roman"/>
          <w:sz w:val="24"/>
          <w:szCs w:val="24"/>
        </w:rPr>
        <w:footnoteReference w:id="136"/>
      </w:r>
      <w:r w:rsidRPr="00CC4288">
        <w:rPr>
          <w:rFonts w:ascii="Times New Roman" w:hAnsi="Times New Roman"/>
          <w:sz w:val="24"/>
          <w:szCs w:val="24"/>
        </w:rPr>
        <w:t xml:space="preserve"> Such a stubborn approach of the Abkhaz political establishment toward the reconciliation process in Georgia is primarily caused by the</w:t>
      </w:r>
      <w:r w:rsidR="00E95849">
        <w:rPr>
          <w:rFonts w:ascii="Times New Roman" w:hAnsi="Times New Roman"/>
          <w:sz w:val="24"/>
          <w:szCs w:val="24"/>
        </w:rPr>
        <w:t>ir firm belief that Russia will not</w:t>
      </w:r>
      <w:r w:rsidRPr="00CC4288">
        <w:rPr>
          <w:rFonts w:ascii="Times New Roman" w:hAnsi="Times New Roman"/>
          <w:sz w:val="24"/>
          <w:szCs w:val="24"/>
        </w:rPr>
        <w:t xml:space="preserve"> allow the Georgian side to incorporate Abkhazia into its federative structure. Russian role in Georgian-Abkhazia conflict is decisively important. This was evident during the August 2008 war. The Russian strategy towards Abkhazia dramatically changed after the declaration of independence of Kosovo in 2008. In response to the western political elites, the Kremlin issued the Presidential decree on the establishment of direct ties with de-facto states of Abkhazia and South Ossetia.</w:t>
      </w:r>
      <w:r w:rsidRPr="00CC4288">
        <w:rPr>
          <w:rStyle w:val="FootnoteReference"/>
          <w:rFonts w:ascii="Times New Roman" w:hAnsi="Times New Roman"/>
          <w:sz w:val="24"/>
          <w:szCs w:val="24"/>
        </w:rPr>
        <w:footnoteReference w:id="137"/>
      </w:r>
      <w:r w:rsidRPr="00CC4288">
        <w:rPr>
          <w:rFonts w:ascii="Times New Roman" w:hAnsi="Times New Roman"/>
          <w:sz w:val="24"/>
          <w:szCs w:val="24"/>
        </w:rPr>
        <w:t xml:space="preserve"> In the following months, the number of Russian troops on Abkhazian borders was increased from 150 to 550 without consent with the Georgian government.</w:t>
      </w:r>
      <w:r w:rsidRPr="00CC4288">
        <w:rPr>
          <w:rStyle w:val="FootnoteReference"/>
          <w:rFonts w:ascii="Times New Roman" w:hAnsi="Times New Roman"/>
          <w:sz w:val="24"/>
          <w:szCs w:val="24"/>
        </w:rPr>
        <w:footnoteReference w:id="138"/>
      </w:r>
      <w:r w:rsidRPr="00CC4288">
        <w:rPr>
          <w:rFonts w:ascii="Times New Roman" w:hAnsi="Times New Roman"/>
          <w:sz w:val="24"/>
          <w:szCs w:val="24"/>
        </w:rPr>
        <w:t xml:space="preserve"> In April 2008, the Russian soldiers destroyed a remotely piloted Georgian drone over Abkhazia which was followed by the armed confrontation between Georgian and Abkhaz forces in Kodori Valley.</w:t>
      </w:r>
      <w:r w:rsidRPr="00CC4288">
        <w:rPr>
          <w:rStyle w:val="FootnoteReference"/>
          <w:rFonts w:ascii="Times New Roman" w:hAnsi="Times New Roman"/>
          <w:sz w:val="24"/>
          <w:szCs w:val="24"/>
        </w:rPr>
        <w:footnoteReference w:id="139"/>
      </w:r>
      <w:r w:rsidRPr="00CC4288">
        <w:rPr>
          <w:rFonts w:ascii="Times New Roman" w:hAnsi="Times New Roman"/>
          <w:sz w:val="24"/>
          <w:szCs w:val="24"/>
        </w:rPr>
        <w:t xml:space="preserve"> The five-day war in August 2008, between Russia and Georgia, created an extremely tense atmosphere on the Georgian-Abkhazian border. The Abkhazian government mobilized heavy weaponry in Kodori Valley and opened the fire in direction of Georgian villages. This was followed by join aerial attacks with Russian military forces in Western Georgian villages and bombing of the railroad.</w:t>
      </w:r>
      <w:r w:rsidRPr="00CC4288">
        <w:rPr>
          <w:rStyle w:val="FootnoteReference"/>
          <w:rFonts w:ascii="Times New Roman" w:hAnsi="Times New Roman"/>
          <w:sz w:val="24"/>
          <w:szCs w:val="24"/>
        </w:rPr>
        <w:footnoteReference w:id="140"/>
      </w:r>
      <w:r w:rsidRPr="00CC4288">
        <w:rPr>
          <w:rFonts w:ascii="Times New Roman" w:hAnsi="Times New Roman"/>
          <w:sz w:val="24"/>
          <w:szCs w:val="24"/>
        </w:rPr>
        <w:t xml:space="preserve"> Several Georgian villages were occupied by Russian troops and thousands of civilians were forced into exile.</w:t>
      </w:r>
      <w:r w:rsidRPr="00CC4288">
        <w:rPr>
          <w:rStyle w:val="FootnoteReference"/>
          <w:rFonts w:ascii="Times New Roman" w:hAnsi="Times New Roman"/>
          <w:sz w:val="24"/>
          <w:szCs w:val="24"/>
        </w:rPr>
        <w:footnoteReference w:id="141"/>
      </w:r>
      <w:r w:rsidRPr="00CC4288">
        <w:rPr>
          <w:rFonts w:ascii="Times New Roman" w:hAnsi="Times New Roman"/>
          <w:sz w:val="24"/>
          <w:szCs w:val="24"/>
        </w:rPr>
        <w:t xml:space="preserve"> </w:t>
      </w:r>
      <w:r w:rsidR="00DB1F60">
        <w:rPr>
          <w:rFonts w:ascii="Times New Roman" w:hAnsi="Times New Roman"/>
          <w:sz w:val="24"/>
          <w:szCs w:val="24"/>
        </w:rPr>
        <w:t>Cornell(2008) notes: “t</w:t>
      </w:r>
      <w:r w:rsidRPr="00CC4288">
        <w:rPr>
          <w:rFonts w:ascii="Times New Roman" w:hAnsi="Times New Roman"/>
          <w:sz w:val="24"/>
          <w:szCs w:val="24"/>
        </w:rPr>
        <w:t xml:space="preserve">he six-point cease-fire agreement negotiated by French President Nicolas Sarkozy </w:t>
      </w:r>
      <w:r w:rsidR="00DB1F60">
        <w:rPr>
          <w:rFonts w:ascii="Times New Roman" w:hAnsi="Times New Roman"/>
          <w:sz w:val="24"/>
          <w:szCs w:val="24"/>
        </w:rPr>
        <w:t xml:space="preserve">had </w:t>
      </w:r>
      <w:r w:rsidR="006E5499">
        <w:rPr>
          <w:rFonts w:ascii="Times New Roman" w:hAnsi="Times New Roman"/>
          <w:sz w:val="24"/>
          <w:szCs w:val="24"/>
        </w:rPr>
        <w:t xml:space="preserve">an </w:t>
      </w:r>
      <w:r w:rsidR="00DB1F60">
        <w:rPr>
          <w:rFonts w:ascii="Times New Roman" w:hAnsi="Times New Roman"/>
          <w:sz w:val="24"/>
          <w:szCs w:val="24"/>
        </w:rPr>
        <w:t>imme</w:t>
      </w:r>
      <w:r w:rsidR="006E5499">
        <w:rPr>
          <w:rFonts w:ascii="Times New Roman" w:hAnsi="Times New Roman"/>
          <w:sz w:val="24"/>
          <w:szCs w:val="24"/>
        </w:rPr>
        <w:t>a</w:t>
      </w:r>
      <w:r w:rsidR="00DB1F60">
        <w:rPr>
          <w:rFonts w:ascii="Times New Roman" w:hAnsi="Times New Roman"/>
          <w:sz w:val="24"/>
          <w:szCs w:val="24"/>
        </w:rPr>
        <w:t xml:space="preserve">surable impact on the post-conflict processes and pushed </w:t>
      </w:r>
      <w:r w:rsidRPr="00CC4288">
        <w:rPr>
          <w:rFonts w:ascii="Times New Roman" w:hAnsi="Times New Roman"/>
          <w:sz w:val="24"/>
          <w:szCs w:val="24"/>
        </w:rPr>
        <w:t>the Abkhaz and Russian forces to restore the status quo.</w:t>
      </w:r>
      <w:r w:rsidR="00DB1F60">
        <w:rPr>
          <w:rFonts w:ascii="Times New Roman" w:hAnsi="Times New Roman"/>
          <w:sz w:val="24"/>
          <w:szCs w:val="24"/>
        </w:rPr>
        <w:t>”</w:t>
      </w:r>
      <w:r w:rsidRPr="00CC4288">
        <w:rPr>
          <w:rStyle w:val="FootnoteReference"/>
          <w:rFonts w:ascii="Times New Roman" w:hAnsi="Times New Roman"/>
          <w:sz w:val="24"/>
          <w:szCs w:val="24"/>
        </w:rPr>
        <w:footnoteReference w:id="142"/>
      </w:r>
      <w:r w:rsidRPr="00CC4288">
        <w:rPr>
          <w:rFonts w:ascii="Times New Roman" w:hAnsi="Times New Roman"/>
          <w:sz w:val="24"/>
          <w:szCs w:val="24"/>
        </w:rPr>
        <w:t xml:space="preserve"> However, the military confrontations in August 2008 significantly damaged the ground for peaceful dialogue between the confronting parties. The six-point agreement obliged the Russian troops to withdraw their positions in Abkhazia and enable the restoration of diplomatic links between Sokhumi and </w:t>
      </w:r>
      <w:r w:rsidRPr="00CC4288">
        <w:rPr>
          <w:rFonts w:ascii="Times New Roman" w:hAnsi="Times New Roman"/>
          <w:sz w:val="24"/>
          <w:szCs w:val="24"/>
        </w:rPr>
        <w:lastRenderedPageBreak/>
        <w:t>Tbilisi. Ironically, the Kremlin recognized Abkhazia and South Ossetia as independent states and significantly deepened their dependence on Russia.</w:t>
      </w:r>
      <w:r w:rsidRPr="00CC4288">
        <w:rPr>
          <w:rStyle w:val="FootnoteReference"/>
          <w:rFonts w:ascii="Times New Roman" w:hAnsi="Times New Roman"/>
          <w:sz w:val="24"/>
          <w:szCs w:val="24"/>
        </w:rPr>
        <w:footnoteReference w:id="143"/>
      </w:r>
    </w:p>
    <w:p w:rsidR="0021409E" w:rsidRDefault="0021409E" w:rsidP="0021409E">
      <w:pPr>
        <w:pStyle w:val="NoSpacing"/>
      </w:pPr>
    </w:p>
    <w:p w:rsidR="0021409E" w:rsidRPr="0021409E" w:rsidRDefault="0021409E" w:rsidP="0021409E">
      <w:pPr>
        <w:pStyle w:val="NoSpacing"/>
      </w:pPr>
    </w:p>
    <w:p w:rsidR="00C810DB" w:rsidRPr="00C810DB" w:rsidRDefault="00C810DB" w:rsidP="00C810DB">
      <w:pPr>
        <w:pStyle w:val="NoSpacing"/>
      </w:pPr>
    </w:p>
    <w:p w:rsidR="00050BA9" w:rsidRPr="00C136C1" w:rsidRDefault="008B5A68" w:rsidP="006D2116">
      <w:pPr>
        <w:pStyle w:val="Heading2"/>
        <w:rPr>
          <w:color w:val="auto"/>
          <w:sz w:val="32"/>
          <w:szCs w:val="32"/>
        </w:rPr>
      </w:pPr>
      <w:bookmarkStart w:id="12" w:name="_Toc46952606"/>
      <w:r>
        <w:rPr>
          <w:color w:val="auto"/>
          <w:sz w:val="32"/>
          <w:szCs w:val="32"/>
        </w:rPr>
        <w:t>3.2</w:t>
      </w:r>
      <w:r w:rsidR="00050BA9" w:rsidRPr="00C136C1">
        <w:rPr>
          <w:color w:val="auto"/>
          <w:sz w:val="32"/>
          <w:szCs w:val="32"/>
        </w:rPr>
        <w:t xml:space="preserve"> The </w:t>
      </w:r>
      <w:r w:rsidR="001B43BE" w:rsidRPr="00C136C1">
        <w:rPr>
          <w:color w:val="auto"/>
          <w:sz w:val="32"/>
          <w:szCs w:val="32"/>
        </w:rPr>
        <w:t xml:space="preserve">Secessionism in South Ossetia in </w:t>
      </w:r>
      <w:r w:rsidR="00140E38" w:rsidRPr="00C136C1">
        <w:rPr>
          <w:color w:val="auto"/>
          <w:sz w:val="32"/>
          <w:szCs w:val="32"/>
        </w:rPr>
        <w:t xml:space="preserve">the </w:t>
      </w:r>
      <w:r w:rsidR="00300E69" w:rsidRPr="00C136C1">
        <w:rPr>
          <w:color w:val="auto"/>
          <w:sz w:val="32"/>
          <w:szCs w:val="32"/>
        </w:rPr>
        <w:t>e</w:t>
      </w:r>
      <w:r w:rsidR="001B43BE" w:rsidRPr="00C136C1">
        <w:rPr>
          <w:color w:val="auto"/>
          <w:sz w:val="32"/>
          <w:szCs w:val="32"/>
        </w:rPr>
        <w:t>arly 1990s</w:t>
      </w:r>
      <w:bookmarkEnd w:id="12"/>
    </w:p>
    <w:p w:rsidR="006D2116" w:rsidRPr="006D2116" w:rsidRDefault="006D2116" w:rsidP="006D2116"/>
    <w:p w:rsidR="00C810DB"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autonomous status of South Ossetia has been a concern for the Georgian government since th</w:t>
      </w:r>
      <w:r w:rsidR="006E5499">
        <w:rPr>
          <w:rFonts w:ascii="Times New Roman" w:hAnsi="Times New Roman"/>
          <w:sz w:val="24"/>
          <w:szCs w:val="24"/>
        </w:rPr>
        <w:t>e</w:t>
      </w:r>
      <w:r w:rsidRPr="00CC4288">
        <w:rPr>
          <w:rFonts w:ascii="Times New Roman" w:hAnsi="Times New Roman"/>
          <w:sz w:val="24"/>
          <w:szCs w:val="24"/>
        </w:rPr>
        <w:t xml:space="preserve"> early 20</w:t>
      </w:r>
      <w:r w:rsidRPr="00CC4288">
        <w:rPr>
          <w:rFonts w:ascii="Times New Roman" w:hAnsi="Times New Roman"/>
          <w:sz w:val="24"/>
          <w:szCs w:val="24"/>
          <w:vertAlign w:val="superscript"/>
        </w:rPr>
        <w:t>th</w:t>
      </w:r>
      <w:r w:rsidRPr="00CC4288">
        <w:rPr>
          <w:rFonts w:ascii="Times New Roman" w:hAnsi="Times New Roman"/>
          <w:sz w:val="24"/>
          <w:szCs w:val="24"/>
        </w:rPr>
        <w:t xml:space="preserve"> century. In 1920, the group of Bolsheviks in Ossetia captured the city of Tskhinvali and declared the autonomy of the Soviet Republic of South Ossetia.</w:t>
      </w:r>
      <w:r w:rsidRPr="00CC4288">
        <w:rPr>
          <w:rStyle w:val="FootnoteReference"/>
          <w:rFonts w:ascii="Times New Roman" w:hAnsi="Times New Roman"/>
          <w:sz w:val="24"/>
          <w:szCs w:val="24"/>
        </w:rPr>
        <w:footnoteReference w:id="144"/>
      </w:r>
      <w:r w:rsidRPr="00CC4288">
        <w:rPr>
          <w:rFonts w:ascii="Times New Roman" w:hAnsi="Times New Roman"/>
          <w:sz w:val="24"/>
          <w:szCs w:val="24"/>
        </w:rPr>
        <w:t xml:space="preserve"> National Guard of the Democratic Republic of Georgia immediately responded with fire and restored control over the territory. The Georgian government was afraid of the rise of secessionism in different regions after the recognition of the autonomy of Abkhaz SSR, thus, even the minor rhetoric about separation and self-determination became punishable. However, after the Soviet occupation of Georgia in 1921, the South Ossetian Bolsheviks were rewarded for their loyalty with the status of the autonomous district together with the right for self-determination. The constitution of the Georgian SSR in 1922 declared that the republic consisted of three autonomous regions: Adjara SSR, South Ossetian SSR, and Abkhaz SSR.</w:t>
      </w:r>
      <w:r w:rsidRPr="00CC4288">
        <w:rPr>
          <w:rStyle w:val="FootnoteReference"/>
          <w:rFonts w:ascii="Times New Roman" w:hAnsi="Times New Roman"/>
          <w:sz w:val="24"/>
          <w:szCs w:val="24"/>
        </w:rPr>
        <w:footnoteReference w:id="145"/>
      </w:r>
      <w:r w:rsidRPr="00CC4288">
        <w:rPr>
          <w:rFonts w:ascii="Times New Roman" w:hAnsi="Times New Roman"/>
          <w:sz w:val="24"/>
          <w:szCs w:val="24"/>
        </w:rPr>
        <w:t xml:space="preserve"> In contrast to Abkhaz SSR, the South Ossetian autonomy was heavily dependent on Tbilisi politically and economically. The Ossetians were deeply integrated within Georgian society and many of them resided in various regions of South-Eastern Georgian. In general, the relations between the two groups were harmonious. The political establishment in the autonomous district was often ethnic Ossetian and the education system was structured in the Ossetian language. Out of 100,000 inhabita</w:t>
      </w:r>
      <w:r w:rsidR="006E5499">
        <w:rPr>
          <w:rFonts w:ascii="Times New Roman" w:hAnsi="Times New Roman"/>
          <w:sz w:val="24"/>
          <w:szCs w:val="24"/>
        </w:rPr>
        <w:t>nts of the autonomous dis</w:t>
      </w:r>
      <w:r w:rsidR="00300E69">
        <w:rPr>
          <w:rFonts w:ascii="Times New Roman" w:hAnsi="Times New Roman"/>
          <w:sz w:val="24"/>
          <w:szCs w:val="24"/>
        </w:rPr>
        <w:t>trict</w:t>
      </w:r>
      <w:r w:rsidR="006E5499">
        <w:rPr>
          <w:rFonts w:ascii="Times New Roman" w:hAnsi="Times New Roman"/>
          <w:sz w:val="24"/>
          <w:szCs w:val="24"/>
        </w:rPr>
        <w:t>,</w:t>
      </w:r>
      <w:r w:rsidRPr="00CC4288">
        <w:rPr>
          <w:rFonts w:ascii="Times New Roman" w:hAnsi="Times New Roman"/>
          <w:sz w:val="24"/>
          <w:szCs w:val="24"/>
        </w:rPr>
        <w:t xml:space="preserve"> almost 35% were ethnic Georgians.</w:t>
      </w:r>
      <w:r w:rsidRPr="00CC4288">
        <w:rPr>
          <w:rStyle w:val="FootnoteReference"/>
          <w:rFonts w:ascii="Times New Roman" w:hAnsi="Times New Roman"/>
          <w:sz w:val="24"/>
          <w:szCs w:val="24"/>
        </w:rPr>
        <w:footnoteReference w:id="146"/>
      </w:r>
      <w:r w:rsidRPr="00CC4288">
        <w:rPr>
          <w:rFonts w:ascii="Times New Roman" w:hAnsi="Times New Roman"/>
          <w:sz w:val="24"/>
          <w:szCs w:val="24"/>
        </w:rPr>
        <w:t xml:space="preserve"> The turning point in relations between Georgians and</w:t>
      </w:r>
      <w:r w:rsidR="00300E69">
        <w:rPr>
          <w:rFonts w:ascii="Times New Roman" w:hAnsi="Times New Roman"/>
          <w:sz w:val="24"/>
          <w:szCs w:val="24"/>
        </w:rPr>
        <w:t xml:space="preserve"> Ossetians was the year of 1985</w:t>
      </w:r>
      <w:r w:rsidRPr="00CC4288">
        <w:rPr>
          <w:rFonts w:ascii="Times New Roman" w:hAnsi="Times New Roman"/>
          <w:sz w:val="24"/>
          <w:szCs w:val="24"/>
        </w:rPr>
        <w:t xml:space="preserve"> when the major infrastructure project – the Tunnel of Roki was built and enabled direct ground transportation between Russia and Ossetia. In 1989, the ethnic Ossetian separatist Alan Chochiev established the organization ‘Adamon Nikha</w:t>
      </w:r>
      <w:r w:rsidR="006E5499">
        <w:rPr>
          <w:rFonts w:ascii="Times New Roman" w:hAnsi="Times New Roman"/>
          <w:sz w:val="24"/>
          <w:szCs w:val="24"/>
        </w:rPr>
        <w:t>s</w:t>
      </w:r>
      <w:r w:rsidRPr="00CC4288">
        <w:rPr>
          <w:rFonts w:ascii="Times New Roman" w:hAnsi="Times New Roman"/>
          <w:sz w:val="24"/>
          <w:szCs w:val="24"/>
        </w:rPr>
        <w:t xml:space="preserve">’ which demanded the </w:t>
      </w:r>
      <w:r w:rsidRPr="00CC4288">
        <w:rPr>
          <w:rFonts w:ascii="Times New Roman" w:hAnsi="Times New Roman"/>
          <w:sz w:val="24"/>
          <w:szCs w:val="24"/>
        </w:rPr>
        <w:lastRenderedPageBreak/>
        <w:t>complete secession of the autonomous district from Georgia and supported the Abkhaz people’s aspiration for declaration of independence.</w:t>
      </w:r>
      <w:r w:rsidRPr="00CC4288">
        <w:rPr>
          <w:rStyle w:val="FootnoteReference"/>
          <w:rFonts w:ascii="Times New Roman" w:hAnsi="Times New Roman"/>
          <w:sz w:val="24"/>
          <w:szCs w:val="24"/>
        </w:rPr>
        <w:footnoteReference w:id="147"/>
      </w:r>
      <w:r w:rsidRPr="00CC4288">
        <w:rPr>
          <w:rFonts w:ascii="Times New Roman" w:hAnsi="Times New Roman"/>
          <w:sz w:val="24"/>
          <w:szCs w:val="24"/>
        </w:rPr>
        <w:t xml:space="preserve"> </w:t>
      </w:r>
    </w:p>
    <w:p w:rsidR="00C810DB" w:rsidRDefault="00C810DB" w:rsidP="00050BA9">
      <w:pPr>
        <w:spacing w:line="360" w:lineRule="auto"/>
        <w:jc w:val="both"/>
        <w:rPr>
          <w:rFonts w:ascii="Times New Roman" w:hAnsi="Times New Roman"/>
          <w:sz w:val="24"/>
          <w:szCs w:val="24"/>
        </w:rPr>
      </w:pPr>
    </w:p>
    <w:p w:rsidR="006E5499"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After the arrival of Gamsakhurdia in power, Tbilisi declared the Georgian language as official state language all over the territory of the unitary republic, including all three autonomous regions. Chochiev organized the public demonstrations in Tskhinvali were the protestors were demanding the declaration of Ossetian language as state language on the territory of the district. The demand was rejected by Georgian authorities. In response, the Ossetian side declared itself as an autonomous republic and triggered the tensions with Gamsakhurdia supporters. In November 1989, the pro-Georgian population in South Ossetia marched in the streets of Tskhinvali which was confronted by the Soviet army.</w:t>
      </w:r>
      <w:r w:rsidRPr="00CC4288">
        <w:rPr>
          <w:rStyle w:val="FootnoteReference"/>
          <w:rFonts w:ascii="Times New Roman" w:hAnsi="Times New Roman"/>
          <w:sz w:val="24"/>
          <w:szCs w:val="24"/>
        </w:rPr>
        <w:footnoteReference w:id="148"/>
      </w:r>
      <w:r w:rsidRPr="00CC4288">
        <w:rPr>
          <w:rFonts w:ascii="Times New Roman" w:hAnsi="Times New Roman"/>
          <w:sz w:val="24"/>
          <w:szCs w:val="24"/>
        </w:rPr>
        <w:t xml:space="preserve"> Intensified tensions between the parties resulted in hate speech based on ethnic and political grounds. In September 1990, the South Ossetian district declared the creation of the South Ossetian Soviet Democratic Republic. In response, the Georgian Supreme Council declared the decision as an illegal attempt of secessionism and a threat to the territorial integrity of Georgia.</w:t>
      </w:r>
      <w:r w:rsidRPr="00CC4288">
        <w:rPr>
          <w:rStyle w:val="FootnoteReference"/>
          <w:rFonts w:ascii="Times New Roman" w:hAnsi="Times New Roman"/>
          <w:sz w:val="24"/>
          <w:szCs w:val="24"/>
        </w:rPr>
        <w:footnoteReference w:id="149"/>
      </w:r>
      <w:r w:rsidRPr="00CC4288">
        <w:rPr>
          <w:rFonts w:ascii="Times New Roman" w:hAnsi="Times New Roman"/>
          <w:sz w:val="24"/>
          <w:szCs w:val="24"/>
        </w:rPr>
        <w:t xml:space="preserve"> The legal debate resulted in armed conflict between Georgian military groups and Ossetian and Russian police units in Tskhinvali in 1991. The ethnic Georgian population living in bordering villages was forced to flee.</w:t>
      </w:r>
      <w:r w:rsidRPr="00CC4288">
        <w:rPr>
          <w:rStyle w:val="FootnoteReference"/>
          <w:rFonts w:ascii="Times New Roman" w:hAnsi="Times New Roman"/>
          <w:sz w:val="24"/>
          <w:szCs w:val="24"/>
        </w:rPr>
        <w:footnoteReference w:id="150"/>
      </w:r>
      <w:r w:rsidRPr="00CC4288">
        <w:rPr>
          <w:rFonts w:ascii="Times New Roman" w:hAnsi="Times New Roman"/>
          <w:sz w:val="24"/>
          <w:szCs w:val="24"/>
        </w:rPr>
        <w:t xml:space="preserve"> South Ossetia was supported by the North Ossetian military groups and Russian paramilitary forces. </w:t>
      </w:r>
    </w:p>
    <w:p w:rsidR="006E5499" w:rsidRDefault="006E5499" w:rsidP="00050BA9">
      <w:pPr>
        <w:spacing w:line="360" w:lineRule="auto"/>
        <w:jc w:val="both"/>
        <w:rPr>
          <w:rFonts w:ascii="Times New Roman" w:hAnsi="Times New Roman"/>
          <w:sz w:val="24"/>
          <w:szCs w:val="24"/>
        </w:rPr>
      </w:pPr>
    </w:p>
    <w:p w:rsidR="00050BA9"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political fragmentation in Tbilisi and blood-shedding civil war gave a lead to the secessionist power and as a result, South Ossetian separatist leadership declared independence on May 29, 1992.</w:t>
      </w:r>
      <w:r w:rsidRPr="00CC4288">
        <w:rPr>
          <w:rStyle w:val="FootnoteReference"/>
          <w:rFonts w:ascii="Times New Roman" w:hAnsi="Times New Roman"/>
          <w:sz w:val="24"/>
          <w:szCs w:val="24"/>
        </w:rPr>
        <w:footnoteReference w:id="151"/>
      </w:r>
      <w:r w:rsidRPr="00CC4288">
        <w:rPr>
          <w:rFonts w:ascii="Times New Roman" w:hAnsi="Times New Roman"/>
          <w:sz w:val="24"/>
          <w:szCs w:val="24"/>
        </w:rPr>
        <w:t xml:space="preserve"> In June 1992, Georgian President Eduard Shevardnadze and Russian President Boris Yeltsin signed the cease-fire agreement of Dagomy.</w:t>
      </w:r>
      <w:r w:rsidRPr="00CC4288">
        <w:rPr>
          <w:rStyle w:val="FootnoteReference"/>
          <w:rFonts w:ascii="Times New Roman" w:hAnsi="Times New Roman"/>
          <w:sz w:val="24"/>
          <w:szCs w:val="24"/>
        </w:rPr>
        <w:footnoteReference w:id="152"/>
      </w:r>
      <w:r w:rsidRPr="00CC4288">
        <w:rPr>
          <w:rFonts w:ascii="Times New Roman" w:hAnsi="Times New Roman"/>
          <w:sz w:val="24"/>
          <w:szCs w:val="24"/>
        </w:rPr>
        <w:t xml:space="preserve"> Georgian government lost its control over </w:t>
      </w:r>
      <w:r w:rsidR="006E5499">
        <w:rPr>
          <w:rFonts w:ascii="Times New Roman" w:hAnsi="Times New Roman"/>
          <w:sz w:val="24"/>
          <w:szCs w:val="24"/>
        </w:rPr>
        <w:t xml:space="preserve">the </w:t>
      </w:r>
      <w:r w:rsidRPr="00CC4288">
        <w:rPr>
          <w:rFonts w:ascii="Times New Roman" w:hAnsi="Times New Roman"/>
          <w:sz w:val="24"/>
          <w:szCs w:val="24"/>
        </w:rPr>
        <w:t xml:space="preserve">strategically important Roki tunnel and </w:t>
      </w:r>
      <w:r w:rsidR="00300E69">
        <w:rPr>
          <w:rFonts w:ascii="Times New Roman" w:hAnsi="Times New Roman"/>
          <w:sz w:val="24"/>
          <w:szCs w:val="24"/>
        </w:rPr>
        <w:t xml:space="preserve">the </w:t>
      </w:r>
      <w:r w:rsidRPr="00CC4288">
        <w:rPr>
          <w:rFonts w:ascii="Times New Roman" w:hAnsi="Times New Roman"/>
          <w:sz w:val="24"/>
          <w:szCs w:val="24"/>
        </w:rPr>
        <w:t xml:space="preserve">Java settlement. This meant increased economic and political dependence of South Ossetia on </w:t>
      </w:r>
      <w:r w:rsidRPr="00CC4288">
        <w:rPr>
          <w:rFonts w:ascii="Times New Roman" w:hAnsi="Times New Roman"/>
          <w:sz w:val="24"/>
          <w:szCs w:val="24"/>
        </w:rPr>
        <w:lastRenderedPageBreak/>
        <w:t>Russia. More than 1000 people were killed and more than 20,000 were forced in exile.</w:t>
      </w:r>
      <w:r w:rsidRPr="00CC4288">
        <w:rPr>
          <w:rStyle w:val="FootnoteReference"/>
          <w:rFonts w:ascii="Times New Roman" w:hAnsi="Times New Roman"/>
          <w:sz w:val="24"/>
          <w:szCs w:val="24"/>
        </w:rPr>
        <w:footnoteReference w:id="153"/>
      </w:r>
      <w:r w:rsidRPr="00CC4288">
        <w:rPr>
          <w:rFonts w:ascii="Times New Roman" w:hAnsi="Times New Roman"/>
          <w:sz w:val="24"/>
          <w:szCs w:val="24"/>
        </w:rPr>
        <w:t xml:space="preserve"> The following years of the conflict were relatively peaceful for both parties. The Ergneti market in Tskhinvali which was functioning largely illegally contributed to the restoration of people-to-people relations and the establishment of economic ties. Moreover, Georgian leadership was actively pursuing the idea of the creation of the South Ossetian autonomy within Georgia, which was supported by Ossetian president Chibirov. Nevertheless, after the interference of the Russian intelligence units, Chibirov was overthrown from the Presidential post and all diplomati</w:t>
      </w:r>
      <w:r w:rsidR="006E5499">
        <w:rPr>
          <w:rFonts w:ascii="Times New Roman" w:hAnsi="Times New Roman"/>
          <w:sz w:val="24"/>
          <w:szCs w:val="24"/>
        </w:rPr>
        <w:t>c ties with Tbilisi were disrupted</w:t>
      </w:r>
      <w:r w:rsidRPr="00CC4288">
        <w:rPr>
          <w:rFonts w:ascii="Times New Roman" w:hAnsi="Times New Roman"/>
          <w:sz w:val="24"/>
          <w:szCs w:val="24"/>
        </w:rPr>
        <w:t>.</w:t>
      </w:r>
      <w:r w:rsidRPr="00CC4288">
        <w:rPr>
          <w:rStyle w:val="FootnoteReference"/>
          <w:rFonts w:ascii="Times New Roman" w:hAnsi="Times New Roman"/>
          <w:sz w:val="24"/>
          <w:szCs w:val="24"/>
        </w:rPr>
        <w:footnoteReference w:id="154"/>
      </w:r>
    </w:p>
    <w:p w:rsidR="00C136C1" w:rsidRDefault="00C136C1" w:rsidP="00C136C1">
      <w:pPr>
        <w:pStyle w:val="NoSpacing"/>
      </w:pPr>
    </w:p>
    <w:p w:rsidR="00F433AD" w:rsidRPr="00C136C1" w:rsidRDefault="00F433AD" w:rsidP="00C136C1">
      <w:pPr>
        <w:pStyle w:val="NoSpacing"/>
      </w:pPr>
    </w:p>
    <w:p w:rsidR="00050BA9" w:rsidRPr="00C136C1" w:rsidRDefault="008B5A68" w:rsidP="006D2116">
      <w:pPr>
        <w:pStyle w:val="Heading2"/>
        <w:rPr>
          <w:sz w:val="32"/>
          <w:szCs w:val="32"/>
        </w:rPr>
      </w:pPr>
      <w:bookmarkStart w:id="13" w:name="_Toc46952607"/>
      <w:r>
        <w:rPr>
          <w:color w:val="auto"/>
          <w:sz w:val="32"/>
          <w:szCs w:val="32"/>
        </w:rPr>
        <w:t>3.2.1</w:t>
      </w:r>
      <w:r w:rsidR="002F5E9E">
        <w:rPr>
          <w:color w:val="auto"/>
          <w:sz w:val="32"/>
          <w:szCs w:val="32"/>
        </w:rPr>
        <w:t xml:space="preserve"> Developments</w:t>
      </w:r>
      <w:r w:rsidR="00E82080" w:rsidRPr="00C136C1">
        <w:rPr>
          <w:color w:val="auto"/>
          <w:sz w:val="32"/>
          <w:szCs w:val="32"/>
        </w:rPr>
        <w:t xml:space="preserve"> in </w:t>
      </w:r>
      <w:r w:rsidR="002F5E9E">
        <w:rPr>
          <w:color w:val="auto"/>
          <w:sz w:val="32"/>
          <w:szCs w:val="32"/>
        </w:rPr>
        <w:t>the</w:t>
      </w:r>
      <w:r w:rsidR="00E82080" w:rsidRPr="00C136C1">
        <w:rPr>
          <w:color w:val="auto"/>
          <w:sz w:val="32"/>
          <w:szCs w:val="32"/>
        </w:rPr>
        <w:t xml:space="preserve"> 2000s</w:t>
      </w:r>
      <w:bookmarkEnd w:id="13"/>
    </w:p>
    <w:p w:rsidR="006D2116" w:rsidRPr="006D2116" w:rsidRDefault="006D2116" w:rsidP="006D2116"/>
    <w:p w:rsidR="00C810DB"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After the election of Mikheil Saakashvili as the third President of Georgia, the Georgian-Ossetian relations gained new momentum.</w:t>
      </w:r>
      <w:r w:rsidRPr="00CC4288">
        <w:rPr>
          <w:rStyle w:val="FootnoteReference"/>
          <w:rFonts w:ascii="Times New Roman" w:hAnsi="Times New Roman"/>
          <w:sz w:val="24"/>
          <w:szCs w:val="24"/>
        </w:rPr>
        <w:footnoteReference w:id="155"/>
      </w:r>
      <w:r w:rsidRPr="00CC4288">
        <w:rPr>
          <w:rFonts w:ascii="Times New Roman" w:hAnsi="Times New Roman"/>
          <w:sz w:val="24"/>
          <w:szCs w:val="24"/>
        </w:rPr>
        <w:t xml:space="preserve"> Saakashvili’s initial peace plan in South Ossetia was largely unsuccessful due to the lack of flexibility on culturally sensitive topics. The South Ossetian leadership perceived his promises as attempts of assimilation of ethnic Ossetians with Georgians, rather than the readiness for peaceful coexistence.</w:t>
      </w:r>
      <w:r w:rsidRPr="00CC4288">
        <w:rPr>
          <w:rStyle w:val="FootnoteReference"/>
          <w:rFonts w:ascii="Times New Roman" w:hAnsi="Times New Roman"/>
          <w:sz w:val="24"/>
          <w:szCs w:val="24"/>
        </w:rPr>
        <w:footnoteReference w:id="156"/>
      </w:r>
      <w:r w:rsidRPr="00CC4288">
        <w:rPr>
          <w:rFonts w:ascii="Times New Roman" w:hAnsi="Times New Roman"/>
          <w:sz w:val="24"/>
          <w:szCs w:val="24"/>
        </w:rPr>
        <w:t xml:space="preserve"> Saakashvili offered generous social and economic packages to the South Ossetian population and tried to change their attitude towards the local government. Moreover, the Georgian troops were deployed in five villages bordering the South Ossetian region.</w:t>
      </w:r>
      <w:r w:rsidRPr="00CC4288">
        <w:rPr>
          <w:rStyle w:val="FootnoteReference"/>
          <w:rFonts w:ascii="Times New Roman" w:hAnsi="Times New Roman"/>
          <w:sz w:val="24"/>
          <w:szCs w:val="24"/>
        </w:rPr>
        <w:footnoteReference w:id="157"/>
      </w:r>
      <w:r w:rsidRPr="00CC4288">
        <w:rPr>
          <w:rFonts w:ascii="Times New Roman" w:hAnsi="Times New Roman"/>
          <w:sz w:val="24"/>
          <w:szCs w:val="24"/>
        </w:rPr>
        <w:t xml:space="preserve"> In response, the South Ossetian authorities under the leadership of Kokoity declared the state of emergence and portrayed the Georgian activities as militarization and increased aggression against Ossetian people. This was an alarm signal sent to the Kremlin who already had tensed relations with Saakashvili.</w:t>
      </w:r>
      <w:r w:rsidRPr="00CC4288">
        <w:rPr>
          <w:rStyle w:val="FootnoteReference"/>
          <w:rFonts w:ascii="Times New Roman" w:hAnsi="Times New Roman"/>
          <w:sz w:val="24"/>
          <w:szCs w:val="24"/>
        </w:rPr>
        <w:footnoteReference w:id="158"/>
      </w:r>
      <w:r w:rsidRPr="00CC4288">
        <w:rPr>
          <w:rFonts w:ascii="Times New Roman" w:hAnsi="Times New Roman"/>
          <w:sz w:val="24"/>
          <w:szCs w:val="24"/>
        </w:rPr>
        <w:t xml:space="preserve"> In response, Vladimir Putin sanctioned the authorization of military assistance to the South Ossetian regime as a preventive measure for the securitization of borders. Russian military equipment, arms supplies, and soldiers reached South Ossetia in a few months. The Kremlin legally justified this process as part of obligations taken under </w:t>
      </w:r>
      <w:proofErr w:type="gramStart"/>
      <w:r w:rsidRPr="00CC4288">
        <w:rPr>
          <w:rFonts w:ascii="Times New Roman" w:hAnsi="Times New Roman"/>
          <w:sz w:val="24"/>
          <w:szCs w:val="24"/>
        </w:rPr>
        <w:t>the  Joint</w:t>
      </w:r>
      <w:proofErr w:type="gramEnd"/>
      <w:r w:rsidRPr="00CC4288">
        <w:rPr>
          <w:rFonts w:ascii="Times New Roman" w:hAnsi="Times New Roman"/>
          <w:sz w:val="24"/>
          <w:szCs w:val="24"/>
        </w:rPr>
        <w:t xml:space="preserve"> Controls Commission Agreement.</w:t>
      </w:r>
      <w:r w:rsidRPr="00CC4288">
        <w:rPr>
          <w:rStyle w:val="FootnoteReference"/>
          <w:rFonts w:ascii="Times New Roman" w:hAnsi="Times New Roman"/>
          <w:sz w:val="24"/>
          <w:szCs w:val="24"/>
        </w:rPr>
        <w:footnoteReference w:id="159"/>
      </w:r>
      <w:r w:rsidRPr="00CC4288">
        <w:rPr>
          <w:rFonts w:ascii="Times New Roman" w:hAnsi="Times New Roman"/>
          <w:sz w:val="24"/>
          <w:szCs w:val="24"/>
        </w:rPr>
        <w:t xml:space="preserve"> In </w:t>
      </w:r>
      <w:proofErr w:type="gramStart"/>
      <w:r w:rsidRPr="00CC4288">
        <w:rPr>
          <w:rFonts w:ascii="Times New Roman" w:hAnsi="Times New Roman"/>
          <w:sz w:val="24"/>
          <w:szCs w:val="24"/>
        </w:rPr>
        <w:t>Summer</w:t>
      </w:r>
      <w:proofErr w:type="gramEnd"/>
      <w:r w:rsidRPr="00CC4288">
        <w:rPr>
          <w:rFonts w:ascii="Times New Roman" w:hAnsi="Times New Roman"/>
          <w:sz w:val="24"/>
          <w:szCs w:val="24"/>
        </w:rPr>
        <w:t xml:space="preserve"> 2004, the political tensions escalated into minor conflict when the South Ossetian soldiers detained Georgian peacekeepers on their </w:t>
      </w:r>
      <w:r w:rsidRPr="00CC4288">
        <w:rPr>
          <w:rFonts w:ascii="Times New Roman" w:hAnsi="Times New Roman"/>
          <w:sz w:val="24"/>
          <w:szCs w:val="24"/>
        </w:rPr>
        <w:lastRenderedPageBreak/>
        <w:t>borders and opened the fire in direction of Georgian checkpoints. At first, the Georgian government order the intervention in Tskhinvali, however, soon after the mobilization of additional military units in North Ossetia, Saakashvili withdraw the forces and declared the readiness for cease-fire negotiations.</w:t>
      </w:r>
      <w:r w:rsidRPr="00CC4288">
        <w:rPr>
          <w:rStyle w:val="FootnoteReference"/>
          <w:rFonts w:ascii="Times New Roman" w:hAnsi="Times New Roman"/>
          <w:sz w:val="24"/>
          <w:szCs w:val="24"/>
        </w:rPr>
        <w:footnoteReference w:id="160"/>
      </w:r>
      <w:r w:rsidRPr="00CC4288">
        <w:rPr>
          <w:rFonts w:ascii="Times New Roman" w:hAnsi="Times New Roman"/>
          <w:sz w:val="24"/>
          <w:szCs w:val="24"/>
        </w:rPr>
        <w:t xml:space="preserve"> After the signing of the Sochi ceasefire agreement in 2004, the Georgian government had several attempts of peace talks with South Ossetian leadership. The South Ossetian side refused to give up on its idea of independence which put the negotiations in deadlock.</w:t>
      </w:r>
      <w:r w:rsidRPr="00CC4288">
        <w:rPr>
          <w:rStyle w:val="FootnoteReference"/>
          <w:rFonts w:ascii="Times New Roman" w:hAnsi="Times New Roman"/>
          <w:sz w:val="24"/>
          <w:szCs w:val="24"/>
        </w:rPr>
        <w:footnoteReference w:id="161"/>
      </w:r>
      <w:r w:rsidRPr="00CC4288">
        <w:rPr>
          <w:rFonts w:ascii="Times New Roman" w:hAnsi="Times New Roman"/>
          <w:sz w:val="24"/>
          <w:szCs w:val="24"/>
        </w:rPr>
        <w:t xml:space="preserve"> After the series of unsuccessful diplomatic approaches, the Georgian government decided to back the candidacy of Dmitri Sanakoev, as a leader of the South Ossetian government. As a result, the Presidential elections of South Ossetia in 2006 ended with the victory of two candidates, Kokoity in Tskhinvali and Sanakoev in Eredvi. In contrast to Kokoity, Dmitri Sanakoev was a pro-Georgian politician who actively supported the closer relations with Tbilisi.</w:t>
      </w:r>
      <w:r w:rsidR="007254ED">
        <w:rPr>
          <w:rStyle w:val="FootnoteReference"/>
          <w:rFonts w:ascii="Times New Roman" w:hAnsi="Times New Roman"/>
          <w:sz w:val="24"/>
          <w:szCs w:val="24"/>
        </w:rPr>
        <w:footnoteReference w:id="162"/>
      </w:r>
      <w:r w:rsidRPr="00CC4288">
        <w:rPr>
          <w:rFonts w:ascii="Times New Roman" w:hAnsi="Times New Roman"/>
          <w:sz w:val="24"/>
          <w:szCs w:val="24"/>
        </w:rPr>
        <w:t xml:space="preserve"> The results of the election brought even deeper division between </w:t>
      </w:r>
      <w:r w:rsidR="006E5499">
        <w:rPr>
          <w:rFonts w:ascii="Times New Roman" w:hAnsi="Times New Roman"/>
          <w:sz w:val="24"/>
          <w:szCs w:val="24"/>
        </w:rPr>
        <w:t xml:space="preserve">the </w:t>
      </w:r>
      <w:r w:rsidRPr="00CC4288">
        <w:rPr>
          <w:rFonts w:ascii="Times New Roman" w:hAnsi="Times New Roman"/>
          <w:sz w:val="24"/>
          <w:szCs w:val="24"/>
        </w:rPr>
        <w:t>ethnic Ossetian and Georgian population</w:t>
      </w:r>
      <w:r w:rsidR="00BE3931">
        <w:rPr>
          <w:rFonts w:ascii="Times New Roman" w:hAnsi="Times New Roman"/>
          <w:sz w:val="24"/>
          <w:szCs w:val="24"/>
        </w:rPr>
        <w:t xml:space="preserve">. </w:t>
      </w:r>
      <w:r w:rsidRPr="00CC4288">
        <w:rPr>
          <w:rFonts w:ascii="Times New Roman" w:hAnsi="Times New Roman"/>
          <w:sz w:val="24"/>
          <w:szCs w:val="24"/>
        </w:rPr>
        <w:t>The Kremlin perceived the outcome of the Presidential elections in South Ossetia as a threat to its interests in the region. In response, Russia banned the import of wine, mineral waters, and fruits from Georgia and declared the economic embargo.</w:t>
      </w:r>
      <w:r w:rsidRPr="00CC4288">
        <w:rPr>
          <w:rStyle w:val="FootnoteReference"/>
          <w:rFonts w:ascii="Times New Roman" w:hAnsi="Times New Roman"/>
          <w:sz w:val="24"/>
          <w:szCs w:val="24"/>
        </w:rPr>
        <w:footnoteReference w:id="163"/>
      </w:r>
      <w:r w:rsidRPr="00CC4288">
        <w:rPr>
          <w:rFonts w:ascii="Times New Roman" w:hAnsi="Times New Roman"/>
          <w:b/>
          <w:sz w:val="24"/>
          <w:szCs w:val="24"/>
        </w:rPr>
        <w:t xml:space="preserve"> </w:t>
      </w:r>
      <w:r w:rsidRPr="00CC4288">
        <w:rPr>
          <w:rFonts w:ascii="Times New Roman" w:hAnsi="Times New Roman"/>
          <w:sz w:val="24"/>
          <w:szCs w:val="24"/>
        </w:rPr>
        <w:t>The official statement of the Kremlin explained the embargo due to violation of sanitary norms; however, this version was immediately dismissed by the Georgian side. This was followed by limiting of Russian diplomatic representation in Georgia and deporting of ethnic Georgians from Russia. In response, the Georgian side arrested the Russian security officers in Georgia with a charge of espionage.</w:t>
      </w:r>
      <w:r w:rsidRPr="00CC4288">
        <w:rPr>
          <w:rStyle w:val="FootnoteReference"/>
          <w:rFonts w:ascii="Times New Roman" w:hAnsi="Times New Roman"/>
          <w:sz w:val="24"/>
          <w:szCs w:val="24"/>
        </w:rPr>
        <w:footnoteReference w:id="164"/>
      </w:r>
      <w:r w:rsidRPr="00CC4288">
        <w:rPr>
          <w:rFonts w:ascii="Times New Roman" w:hAnsi="Times New Roman"/>
          <w:sz w:val="24"/>
          <w:szCs w:val="24"/>
        </w:rPr>
        <w:t xml:space="preserve"> </w:t>
      </w:r>
    </w:p>
    <w:p w:rsidR="00C810DB" w:rsidRDefault="00C810DB" w:rsidP="00050BA9">
      <w:pPr>
        <w:spacing w:line="360" w:lineRule="auto"/>
        <w:jc w:val="both"/>
        <w:rPr>
          <w:rFonts w:ascii="Times New Roman" w:hAnsi="Times New Roman"/>
          <w:sz w:val="24"/>
          <w:szCs w:val="24"/>
        </w:rPr>
      </w:pPr>
    </w:p>
    <w:p w:rsidR="00B80727"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Intensified relations were negatively impacted by the recognition of the independence of Kosovo in 2008. Putin publicly warned the West that recognition of the independence of Kosovo would have a domino effect on other separatist regions.</w:t>
      </w:r>
      <w:r w:rsidRPr="00CC4288">
        <w:rPr>
          <w:rStyle w:val="FootnoteReference"/>
          <w:rFonts w:ascii="Times New Roman" w:hAnsi="Times New Roman"/>
          <w:sz w:val="24"/>
          <w:szCs w:val="24"/>
        </w:rPr>
        <w:footnoteReference w:id="165"/>
      </w:r>
      <w:r w:rsidRPr="00CC4288">
        <w:rPr>
          <w:rFonts w:ascii="Times New Roman" w:hAnsi="Times New Roman"/>
          <w:sz w:val="24"/>
          <w:szCs w:val="24"/>
        </w:rPr>
        <w:t xml:space="preserve"> Recognition of Kosovan </w:t>
      </w:r>
      <w:r w:rsidRPr="00CC4288">
        <w:rPr>
          <w:rFonts w:ascii="Times New Roman" w:hAnsi="Times New Roman"/>
          <w:sz w:val="24"/>
          <w:szCs w:val="24"/>
        </w:rPr>
        <w:lastRenderedPageBreak/>
        <w:t>independence was followed by the NATO Bucharest Summit in 2008 which on the one hand denied Georgia the chance to receive Membership Action Plan (MAP) and therefore, minimized the membership perspective in foreseeable future. On the other hand, the Joint Declaration of the Bucharest Summit stated that Georgia and Ukr</w:t>
      </w:r>
      <w:r w:rsidR="00300E69">
        <w:rPr>
          <w:rFonts w:ascii="Times New Roman" w:hAnsi="Times New Roman"/>
          <w:sz w:val="24"/>
          <w:szCs w:val="24"/>
        </w:rPr>
        <w:t>a</w:t>
      </w:r>
      <w:r w:rsidRPr="00CC4288">
        <w:rPr>
          <w:rFonts w:ascii="Times New Roman" w:hAnsi="Times New Roman"/>
          <w:sz w:val="24"/>
          <w:szCs w:val="24"/>
        </w:rPr>
        <w:t>ine will inevitably become a member of NATO in the future.</w:t>
      </w:r>
      <w:r w:rsidRPr="00CC4288">
        <w:rPr>
          <w:rStyle w:val="FootnoteReference"/>
          <w:rFonts w:ascii="Times New Roman" w:hAnsi="Times New Roman"/>
          <w:sz w:val="24"/>
          <w:szCs w:val="24"/>
        </w:rPr>
        <w:footnoteReference w:id="166"/>
      </w:r>
      <w:r w:rsidRPr="00CC4288">
        <w:rPr>
          <w:rFonts w:ascii="Times New Roman" w:hAnsi="Times New Roman"/>
          <w:sz w:val="24"/>
          <w:szCs w:val="24"/>
        </w:rPr>
        <w:t xml:space="preserve"> This vague, yet alarming statement for Russia contributed to the escalation of tensions to the final point. In August 2008, the South Ossetian border patrol opened the fire in direction of the Georgian guard post which quickly escalated into full-scale military conflict.</w:t>
      </w:r>
    </w:p>
    <w:p w:rsidR="00B80727" w:rsidRDefault="00B80727" w:rsidP="00B80727">
      <w:pPr>
        <w:pStyle w:val="NoSpacing"/>
      </w:pPr>
      <w:r>
        <w:rPr>
          <w:noProof/>
        </w:rPr>
        <w:drawing>
          <wp:inline distT="0" distB="0" distL="0" distR="0">
            <wp:extent cx="5000625" cy="35316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0px-2008_South_Ossetia_war_en.svg.png"/>
                    <pic:cNvPicPr/>
                  </pic:nvPicPr>
                  <pic:blipFill>
                    <a:blip r:embed="rId13">
                      <a:extLst>
                        <a:ext uri="{28A0092B-C50C-407E-A947-70E740481C1C}">
                          <a14:useLocalDpi xmlns:a14="http://schemas.microsoft.com/office/drawing/2010/main" val="0"/>
                        </a:ext>
                      </a:extLst>
                    </a:blip>
                    <a:stretch>
                      <a:fillRect/>
                    </a:stretch>
                  </pic:blipFill>
                  <pic:spPr>
                    <a:xfrm>
                      <a:off x="0" y="0"/>
                      <a:ext cx="5004269" cy="3534209"/>
                    </a:xfrm>
                    <a:prstGeom prst="rect">
                      <a:avLst/>
                    </a:prstGeom>
                  </pic:spPr>
                </pic:pic>
              </a:graphicData>
            </a:graphic>
          </wp:inline>
        </w:drawing>
      </w:r>
    </w:p>
    <w:p w:rsidR="00B80727" w:rsidRDefault="00B80727" w:rsidP="00B80727">
      <w:pPr>
        <w:pStyle w:val="NoSpacing"/>
      </w:pPr>
    </w:p>
    <w:p w:rsidR="00B80727" w:rsidRPr="00B74673" w:rsidRDefault="00B80727" w:rsidP="00B80727">
      <w:pPr>
        <w:pStyle w:val="NoSpacing"/>
        <w:rPr>
          <w:rFonts w:ascii="Times New Roman" w:hAnsi="Times New Roman"/>
          <w:b/>
          <w:sz w:val="24"/>
          <w:szCs w:val="24"/>
        </w:rPr>
      </w:pPr>
      <w:r w:rsidRPr="00B74673">
        <w:rPr>
          <w:rFonts w:ascii="Times New Roman" w:hAnsi="Times New Roman"/>
          <w:b/>
          <w:sz w:val="24"/>
          <w:szCs w:val="24"/>
        </w:rPr>
        <w:t xml:space="preserve">Map 3. </w:t>
      </w:r>
      <w:r w:rsidR="00300E69">
        <w:rPr>
          <w:rFonts w:ascii="Times New Roman" w:hAnsi="Times New Roman"/>
          <w:sz w:val="24"/>
          <w:szCs w:val="24"/>
        </w:rPr>
        <w:t>The R</w:t>
      </w:r>
      <w:r w:rsidRPr="00094BB1">
        <w:rPr>
          <w:rFonts w:ascii="Times New Roman" w:hAnsi="Times New Roman"/>
          <w:sz w:val="24"/>
          <w:szCs w:val="24"/>
        </w:rPr>
        <w:t>usso-Georgian War in 2008</w:t>
      </w:r>
      <w:r w:rsidR="00195E07" w:rsidRPr="00094BB1">
        <w:rPr>
          <w:rFonts w:ascii="Times New Roman" w:hAnsi="Times New Roman"/>
          <w:sz w:val="24"/>
          <w:szCs w:val="24"/>
        </w:rPr>
        <w:t xml:space="preserve"> - Navigation of Russian troops in Abkhazia and South Ossetia</w:t>
      </w:r>
      <w:r w:rsidR="00195E07" w:rsidRPr="00094BB1">
        <w:rPr>
          <w:rStyle w:val="FootnoteReference"/>
          <w:rFonts w:ascii="Times New Roman" w:hAnsi="Times New Roman"/>
          <w:sz w:val="24"/>
          <w:szCs w:val="24"/>
        </w:rPr>
        <w:footnoteReference w:id="167"/>
      </w:r>
    </w:p>
    <w:p w:rsidR="00195E07" w:rsidRDefault="00195E07" w:rsidP="00050BA9">
      <w:pPr>
        <w:spacing w:line="360" w:lineRule="auto"/>
        <w:jc w:val="both"/>
        <w:rPr>
          <w:rFonts w:ascii="Times New Roman" w:hAnsi="Times New Roman"/>
          <w:sz w:val="24"/>
          <w:szCs w:val="24"/>
        </w:rPr>
      </w:pPr>
    </w:p>
    <w:p w:rsidR="0021409E" w:rsidRDefault="00050BA9" w:rsidP="008B5A68">
      <w:pPr>
        <w:spacing w:line="360" w:lineRule="auto"/>
        <w:jc w:val="both"/>
        <w:rPr>
          <w:rFonts w:ascii="Times New Roman" w:hAnsi="Times New Roman"/>
          <w:sz w:val="24"/>
          <w:szCs w:val="24"/>
        </w:rPr>
      </w:pPr>
      <w:r w:rsidRPr="00CC4288">
        <w:rPr>
          <w:rFonts w:ascii="Times New Roman" w:hAnsi="Times New Roman"/>
          <w:sz w:val="24"/>
          <w:szCs w:val="24"/>
        </w:rPr>
        <w:t>The Kremlin mobilized heavily armored tanks and military units in Tskhinvali and transported the military vehicles through the Roki tunnel. Moreover, the air force was circulating and bombing the Georgian controlled city of Gori.</w:t>
      </w:r>
      <w:r w:rsidRPr="00CC4288">
        <w:rPr>
          <w:rStyle w:val="FootnoteReference"/>
          <w:rFonts w:ascii="Times New Roman" w:hAnsi="Times New Roman"/>
          <w:sz w:val="24"/>
          <w:szCs w:val="24"/>
        </w:rPr>
        <w:footnoteReference w:id="168"/>
      </w:r>
      <w:r w:rsidRPr="00CC4288">
        <w:rPr>
          <w:rFonts w:ascii="Times New Roman" w:hAnsi="Times New Roman"/>
          <w:sz w:val="24"/>
          <w:szCs w:val="24"/>
        </w:rPr>
        <w:t xml:space="preserve"> There were many cases of intervention in bordering Georgian villages, burning of homes, as well as murder and rape of </w:t>
      </w:r>
      <w:r w:rsidRPr="00CC4288">
        <w:rPr>
          <w:rFonts w:ascii="Times New Roman" w:hAnsi="Times New Roman"/>
          <w:sz w:val="24"/>
          <w:szCs w:val="24"/>
        </w:rPr>
        <w:lastRenderedPageBreak/>
        <w:t>innocent citizens.</w:t>
      </w:r>
      <w:r w:rsidRPr="00CC4288">
        <w:rPr>
          <w:rStyle w:val="FootnoteReference"/>
          <w:rFonts w:ascii="Times New Roman" w:hAnsi="Times New Roman"/>
          <w:sz w:val="24"/>
          <w:szCs w:val="24"/>
        </w:rPr>
        <w:footnoteReference w:id="169"/>
      </w:r>
      <w:r w:rsidRPr="00CC4288">
        <w:rPr>
          <w:rFonts w:ascii="Times New Roman" w:hAnsi="Times New Roman"/>
          <w:b/>
          <w:sz w:val="24"/>
          <w:szCs w:val="24"/>
        </w:rPr>
        <w:t xml:space="preserve"> </w:t>
      </w:r>
      <w:r w:rsidRPr="00CC4288">
        <w:rPr>
          <w:rFonts w:ascii="Times New Roman" w:hAnsi="Times New Roman"/>
          <w:sz w:val="24"/>
          <w:szCs w:val="24"/>
        </w:rPr>
        <w:t xml:space="preserve">The Russian military intervention in Georgian territory violated the </w:t>
      </w:r>
      <w:r w:rsidRPr="00AD5BED">
        <w:rPr>
          <w:rFonts w:ascii="Times New Roman" w:hAnsi="Times New Roman"/>
          <w:i/>
          <w:sz w:val="24"/>
          <w:szCs w:val="24"/>
        </w:rPr>
        <w:t>1975 Helsinki Final Act</w:t>
      </w:r>
      <w:r w:rsidRPr="00CC4288">
        <w:rPr>
          <w:rFonts w:ascii="Times New Roman" w:hAnsi="Times New Roman"/>
          <w:sz w:val="24"/>
          <w:szCs w:val="24"/>
        </w:rPr>
        <w:t xml:space="preserve">, </w:t>
      </w:r>
      <w:r w:rsidRPr="00AD5BED">
        <w:rPr>
          <w:rFonts w:ascii="Times New Roman" w:hAnsi="Times New Roman"/>
          <w:i/>
          <w:sz w:val="24"/>
          <w:szCs w:val="24"/>
        </w:rPr>
        <w:t>UN charter</w:t>
      </w:r>
      <w:r w:rsidRPr="00CC4288">
        <w:rPr>
          <w:rFonts w:ascii="Times New Roman" w:hAnsi="Times New Roman"/>
          <w:sz w:val="24"/>
          <w:szCs w:val="24"/>
        </w:rPr>
        <w:t xml:space="preserve">, and the </w:t>
      </w:r>
      <w:r w:rsidR="00AD5BED">
        <w:rPr>
          <w:rFonts w:ascii="Times New Roman" w:hAnsi="Times New Roman"/>
          <w:i/>
          <w:sz w:val="24"/>
          <w:szCs w:val="24"/>
        </w:rPr>
        <w:t>2002 NATO Russia-</w:t>
      </w:r>
      <w:r w:rsidRPr="00AD5BED">
        <w:rPr>
          <w:rFonts w:ascii="Times New Roman" w:hAnsi="Times New Roman"/>
          <w:i/>
          <w:sz w:val="24"/>
          <w:szCs w:val="24"/>
        </w:rPr>
        <w:t>Rome Declaration</w:t>
      </w:r>
      <w:r w:rsidRPr="00CC4288">
        <w:rPr>
          <w:rFonts w:ascii="Times New Roman" w:hAnsi="Times New Roman"/>
          <w:sz w:val="24"/>
          <w:szCs w:val="24"/>
        </w:rPr>
        <w:t xml:space="preserve"> to respect the territorial sovereignty of other states.</w:t>
      </w:r>
      <w:r w:rsidRPr="00CC4288">
        <w:rPr>
          <w:rStyle w:val="FootnoteReference"/>
          <w:rFonts w:ascii="Times New Roman" w:hAnsi="Times New Roman"/>
          <w:sz w:val="24"/>
          <w:szCs w:val="24"/>
        </w:rPr>
        <w:footnoteReference w:id="170"/>
      </w:r>
      <w:r w:rsidRPr="00CC4288">
        <w:rPr>
          <w:rFonts w:ascii="Times New Roman" w:hAnsi="Times New Roman"/>
          <w:sz w:val="24"/>
          <w:szCs w:val="24"/>
        </w:rPr>
        <w:t xml:space="preserve"> Moreover, Russia violated the six-point cease-fire agreement negotiated by President Nikola Sarkozy, which obliged the Kremlin to fully withdraw its troops from the South Ossetian region and enable the confronting sides to follow the c</w:t>
      </w:r>
      <w:r w:rsidR="008B5A68">
        <w:rPr>
          <w:rFonts w:ascii="Times New Roman" w:hAnsi="Times New Roman"/>
          <w:sz w:val="24"/>
          <w:szCs w:val="24"/>
        </w:rPr>
        <w:t>onflict transformation process.</w:t>
      </w:r>
    </w:p>
    <w:p w:rsidR="008B5A68" w:rsidRPr="008B5A68" w:rsidRDefault="008B5A68" w:rsidP="008B5A68">
      <w:pPr>
        <w:pStyle w:val="NoSpacing"/>
      </w:pPr>
    </w:p>
    <w:p w:rsidR="0084747A" w:rsidRPr="0084747A" w:rsidRDefault="0021409E" w:rsidP="0084747A">
      <w:pPr>
        <w:pStyle w:val="NoSpacing"/>
        <w:spacing w:line="360" w:lineRule="auto"/>
        <w:jc w:val="right"/>
        <w:rPr>
          <w:rFonts w:ascii="Times New Roman" w:hAnsi="Times New Roman"/>
          <w:sz w:val="22"/>
          <w:szCs w:val="22"/>
        </w:rPr>
      </w:pPr>
      <w:r w:rsidRPr="0084747A">
        <w:rPr>
          <w:rFonts w:ascii="Times New Roman" w:hAnsi="Times New Roman"/>
          <w:sz w:val="22"/>
          <w:szCs w:val="22"/>
        </w:rPr>
        <w:t xml:space="preserve">"It is time we Georgians did not depend only on others, It is time we asked what Georgia will do for the world. Our steady course is towards European Integration. </w:t>
      </w:r>
    </w:p>
    <w:p w:rsidR="0021409E" w:rsidRPr="0084747A" w:rsidRDefault="0021409E" w:rsidP="0084747A">
      <w:pPr>
        <w:pStyle w:val="NoSpacing"/>
        <w:spacing w:line="360" w:lineRule="auto"/>
        <w:jc w:val="right"/>
        <w:rPr>
          <w:rFonts w:ascii="Times New Roman" w:hAnsi="Times New Roman"/>
          <w:sz w:val="22"/>
          <w:szCs w:val="22"/>
        </w:rPr>
      </w:pPr>
      <w:r w:rsidRPr="0084747A">
        <w:rPr>
          <w:rFonts w:ascii="Times New Roman" w:hAnsi="Times New Roman"/>
          <w:sz w:val="22"/>
          <w:szCs w:val="22"/>
        </w:rPr>
        <w:t>It is time Europe finally saw and valued Georgia and took steps towards us."</w:t>
      </w:r>
      <w:r w:rsidR="0084747A">
        <w:rPr>
          <w:rStyle w:val="FootnoteReference"/>
          <w:rFonts w:ascii="Times New Roman" w:hAnsi="Times New Roman"/>
          <w:sz w:val="22"/>
          <w:szCs w:val="22"/>
        </w:rPr>
        <w:footnoteReference w:id="171"/>
      </w:r>
    </w:p>
    <w:p w:rsidR="0021409E" w:rsidRPr="0084747A" w:rsidRDefault="0021409E" w:rsidP="0084747A">
      <w:pPr>
        <w:pStyle w:val="NoSpacing"/>
        <w:spacing w:line="360" w:lineRule="auto"/>
        <w:jc w:val="right"/>
        <w:rPr>
          <w:rFonts w:ascii="Times New Roman" w:hAnsi="Times New Roman"/>
          <w:sz w:val="22"/>
          <w:szCs w:val="22"/>
        </w:rPr>
      </w:pPr>
      <w:r w:rsidRPr="0084747A">
        <w:rPr>
          <w:rFonts w:ascii="Times New Roman" w:hAnsi="Times New Roman"/>
          <w:sz w:val="22"/>
          <w:szCs w:val="22"/>
        </w:rPr>
        <w:t>Mikheil Saakashvili, the President of Georgia</w:t>
      </w:r>
    </w:p>
    <w:p w:rsidR="0021409E" w:rsidRPr="0084747A" w:rsidRDefault="0084747A" w:rsidP="0084747A">
      <w:pPr>
        <w:pStyle w:val="NoSpacing"/>
        <w:spacing w:line="360" w:lineRule="auto"/>
        <w:jc w:val="right"/>
        <w:rPr>
          <w:rFonts w:ascii="Times New Roman" w:hAnsi="Times New Roman"/>
          <w:sz w:val="22"/>
          <w:szCs w:val="22"/>
        </w:rPr>
      </w:pPr>
      <w:r w:rsidRPr="0084747A">
        <w:rPr>
          <w:rFonts w:ascii="Times New Roman" w:hAnsi="Times New Roman"/>
          <w:sz w:val="22"/>
          <w:szCs w:val="22"/>
        </w:rPr>
        <w:t>January 25, 2004.</w:t>
      </w:r>
    </w:p>
    <w:p w:rsidR="00D966B0" w:rsidRDefault="00D966B0" w:rsidP="00C136C1">
      <w:pPr>
        <w:pStyle w:val="NoSpacing"/>
      </w:pPr>
    </w:p>
    <w:p w:rsidR="00C136C1" w:rsidRPr="00C136C1" w:rsidRDefault="00C136C1" w:rsidP="00C136C1">
      <w:pPr>
        <w:pStyle w:val="NoSpacing"/>
      </w:pPr>
    </w:p>
    <w:p w:rsidR="006D2116" w:rsidRDefault="00B74673" w:rsidP="00C136C1">
      <w:pPr>
        <w:pStyle w:val="Heading2"/>
        <w:rPr>
          <w:color w:val="auto"/>
          <w:sz w:val="32"/>
          <w:szCs w:val="32"/>
        </w:rPr>
      </w:pPr>
      <w:bookmarkStart w:id="14" w:name="_Toc46952608"/>
      <w:r w:rsidRPr="00C136C1">
        <w:rPr>
          <w:color w:val="auto"/>
          <w:sz w:val="32"/>
          <w:szCs w:val="32"/>
        </w:rPr>
        <w:t>3.3 The EU</w:t>
      </w:r>
      <w:r w:rsidR="00050BA9" w:rsidRPr="00C136C1">
        <w:rPr>
          <w:color w:val="auto"/>
          <w:sz w:val="32"/>
          <w:szCs w:val="32"/>
        </w:rPr>
        <w:t xml:space="preserve"> and Georgia: </w:t>
      </w:r>
      <w:r w:rsidR="00F66AA6">
        <w:rPr>
          <w:color w:val="auto"/>
          <w:sz w:val="32"/>
          <w:szCs w:val="32"/>
        </w:rPr>
        <w:t xml:space="preserve">The </w:t>
      </w:r>
      <w:r w:rsidR="00050BA9" w:rsidRPr="00C136C1">
        <w:rPr>
          <w:color w:val="auto"/>
          <w:sz w:val="32"/>
          <w:szCs w:val="32"/>
        </w:rPr>
        <w:t>Evolution of the Partnership</w:t>
      </w:r>
      <w:bookmarkEnd w:id="14"/>
    </w:p>
    <w:p w:rsidR="00CE69D9" w:rsidRDefault="00CE69D9" w:rsidP="00CE69D9"/>
    <w:p w:rsidR="00CE69D9" w:rsidRPr="00CE69D9" w:rsidRDefault="007A6DF2" w:rsidP="007A6DF2">
      <w:pPr>
        <w:pStyle w:val="NoSpacing"/>
        <w:spacing w:line="360" w:lineRule="auto"/>
        <w:jc w:val="both"/>
        <w:rPr>
          <w:rFonts w:ascii="Times New Roman" w:hAnsi="Times New Roman"/>
          <w:sz w:val="24"/>
          <w:szCs w:val="24"/>
        </w:rPr>
      </w:pPr>
      <w:r>
        <w:rPr>
          <w:rFonts w:ascii="Times New Roman" w:hAnsi="Times New Roman"/>
          <w:sz w:val="24"/>
          <w:szCs w:val="24"/>
        </w:rPr>
        <w:t>The chapter explores the EU-Georgian cooperation from its initial stages in the</w:t>
      </w:r>
      <w:r w:rsidR="006E5499">
        <w:rPr>
          <w:rFonts w:ascii="Times New Roman" w:hAnsi="Times New Roman"/>
          <w:sz w:val="24"/>
          <w:szCs w:val="24"/>
        </w:rPr>
        <w:t xml:space="preserve"> late 1990s (PCA) to the deploy</w:t>
      </w:r>
      <w:r>
        <w:rPr>
          <w:rFonts w:ascii="Times New Roman" w:hAnsi="Times New Roman"/>
          <w:sz w:val="24"/>
          <w:szCs w:val="24"/>
        </w:rPr>
        <w:t xml:space="preserve">ment of the EUMM in 2008. It portrays the process of </w:t>
      </w:r>
      <w:r w:rsidR="006E5499">
        <w:rPr>
          <w:rFonts w:ascii="Times New Roman" w:hAnsi="Times New Roman"/>
          <w:sz w:val="24"/>
          <w:szCs w:val="24"/>
        </w:rPr>
        <w:t xml:space="preserve">the </w:t>
      </w:r>
      <w:r>
        <w:rPr>
          <w:rFonts w:ascii="Times New Roman" w:hAnsi="Times New Roman"/>
          <w:sz w:val="24"/>
          <w:szCs w:val="24"/>
        </w:rPr>
        <w:t xml:space="preserve">formation of the Georgian national security agenda and the EU’s role in this context. The chapter commences with </w:t>
      </w:r>
      <w:r w:rsidR="006E5499">
        <w:rPr>
          <w:rFonts w:ascii="Times New Roman" w:hAnsi="Times New Roman"/>
          <w:sz w:val="24"/>
          <w:szCs w:val="24"/>
        </w:rPr>
        <w:t xml:space="preserve">a </w:t>
      </w:r>
      <w:r>
        <w:rPr>
          <w:rFonts w:ascii="Times New Roman" w:hAnsi="Times New Roman"/>
          <w:sz w:val="24"/>
          <w:szCs w:val="24"/>
        </w:rPr>
        <w:t>discussion of the EU’s external governance instruments such as the EUSR and EUMM</w:t>
      </w:r>
      <w:r w:rsidR="00695BBD">
        <w:rPr>
          <w:rFonts w:ascii="Times New Roman" w:hAnsi="Times New Roman"/>
          <w:sz w:val="24"/>
          <w:szCs w:val="24"/>
        </w:rPr>
        <w:t>, the coordination of the policies with other actors such as the OSCE and the UN</w:t>
      </w:r>
      <w:r w:rsidR="006E5499">
        <w:rPr>
          <w:rFonts w:ascii="Times New Roman" w:hAnsi="Times New Roman"/>
          <w:sz w:val="24"/>
          <w:szCs w:val="24"/>
        </w:rPr>
        <w:t xml:space="preserve"> and emphasizes </w:t>
      </w:r>
      <w:r>
        <w:rPr>
          <w:rFonts w:ascii="Times New Roman" w:hAnsi="Times New Roman"/>
          <w:sz w:val="24"/>
          <w:szCs w:val="24"/>
        </w:rPr>
        <w:t>the role of Russia as a counterbalancing regional power.</w:t>
      </w:r>
    </w:p>
    <w:p w:rsidR="006B0CF3" w:rsidRDefault="006B0CF3" w:rsidP="006D2116">
      <w:pPr>
        <w:pStyle w:val="Heading2"/>
        <w:rPr>
          <w:color w:val="auto"/>
          <w:sz w:val="32"/>
          <w:szCs w:val="32"/>
        </w:rPr>
      </w:pPr>
    </w:p>
    <w:p w:rsidR="00050BA9" w:rsidRPr="00C136C1" w:rsidRDefault="00050BA9" w:rsidP="006D2116">
      <w:pPr>
        <w:pStyle w:val="Heading2"/>
        <w:rPr>
          <w:color w:val="auto"/>
          <w:sz w:val="32"/>
          <w:szCs w:val="32"/>
        </w:rPr>
      </w:pPr>
      <w:bookmarkStart w:id="15" w:name="_Toc46952609"/>
      <w:r w:rsidRPr="00C136C1">
        <w:rPr>
          <w:color w:val="auto"/>
          <w:sz w:val="32"/>
          <w:szCs w:val="32"/>
        </w:rPr>
        <w:t xml:space="preserve">3.3.1 </w:t>
      </w:r>
      <w:r w:rsidR="006B0CF3">
        <w:rPr>
          <w:color w:val="auto"/>
          <w:sz w:val="32"/>
          <w:szCs w:val="32"/>
        </w:rPr>
        <w:t>The National (In</w:t>
      </w:r>
      <w:proofErr w:type="gramStart"/>
      <w:r w:rsidR="006B0CF3">
        <w:rPr>
          <w:color w:val="auto"/>
          <w:sz w:val="32"/>
          <w:szCs w:val="32"/>
        </w:rPr>
        <w:t>)Security</w:t>
      </w:r>
      <w:proofErr w:type="gramEnd"/>
      <w:r w:rsidR="006B0CF3">
        <w:rPr>
          <w:color w:val="auto"/>
          <w:sz w:val="32"/>
          <w:szCs w:val="32"/>
        </w:rPr>
        <w:t xml:space="preserve"> of Georgia</w:t>
      </w:r>
      <w:bookmarkEnd w:id="15"/>
    </w:p>
    <w:p w:rsidR="006D2116" w:rsidRPr="006D2116" w:rsidRDefault="006D2116" w:rsidP="006D2116"/>
    <w:p w:rsidR="00913ED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After the collapse of the Soviet Union, the South Caucasian states plunged into the civil wars, economic recession, corruption, and political fragmentation. Georgia was the first one among its immediate neighbors to declare independence.</w:t>
      </w:r>
      <w:r w:rsidRPr="00CC4288">
        <w:rPr>
          <w:rStyle w:val="FootnoteReference"/>
          <w:rFonts w:ascii="Times New Roman" w:hAnsi="Times New Roman"/>
          <w:sz w:val="24"/>
          <w:szCs w:val="24"/>
        </w:rPr>
        <w:footnoteReference w:id="172"/>
      </w:r>
      <w:r w:rsidRPr="00CC4288">
        <w:rPr>
          <w:rFonts w:ascii="Times New Roman" w:hAnsi="Times New Roman"/>
          <w:sz w:val="24"/>
          <w:szCs w:val="24"/>
        </w:rPr>
        <w:t xml:space="preserve"> The first Preside</w:t>
      </w:r>
      <w:r w:rsidR="0011607B">
        <w:rPr>
          <w:rFonts w:ascii="Times New Roman" w:hAnsi="Times New Roman"/>
          <w:sz w:val="24"/>
          <w:szCs w:val="24"/>
        </w:rPr>
        <w:t xml:space="preserve">nt Zviad Gamsakhurdia </w:t>
      </w:r>
      <w:r w:rsidRPr="00CC4288">
        <w:rPr>
          <w:rFonts w:ascii="Times New Roman" w:hAnsi="Times New Roman"/>
          <w:sz w:val="24"/>
          <w:szCs w:val="24"/>
        </w:rPr>
        <w:t xml:space="preserve">failed to consolidate the nation around his nationalist ideas and significantly damaged already fragile relations with autonomous regions of Abkhazia and South Ossetia. Instead of institutionalization and implementation of rapid reforms, Gamsakhurdia’s government engaged in political (and later on military) hostilities with internal opponents and cut all </w:t>
      </w:r>
      <w:r w:rsidRPr="00CC4288">
        <w:rPr>
          <w:rFonts w:ascii="Times New Roman" w:hAnsi="Times New Roman"/>
          <w:sz w:val="24"/>
          <w:szCs w:val="24"/>
        </w:rPr>
        <w:lastRenderedPageBreak/>
        <w:t>diplomatic ties with separatist leaders in autonomous regions.</w:t>
      </w:r>
      <w:r w:rsidRPr="00CC4288">
        <w:rPr>
          <w:rStyle w:val="FootnoteReference"/>
          <w:rFonts w:ascii="Times New Roman" w:hAnsi="Times New Roman"/>
          <w:sz w:val="24"/>
          <w:szCs w:val="24"/>
        </w:rPr>
        <w:footnoteReference w:id="173"/>
      </w:r>
      <w:r w:rsidRPr="00CC4288">
        <w:rPr>
          <w:rFonts w:ascii="Times New Roman" w:hAnsi="Times New Roman"/>
          <w:sz w:val="24"/>
          <w:szCs w:val="24"/>
        </w:rPr>
        <w:t xml:space="preserve"> Gamsakhurdia’s nationalistic rhetoric was mixed with his fears of fragile territorial integrity. He believed that the compromise on the autonomous status with Abkhazian and South Ossetian leadership meant separation of these regions in a long-time perspective.</w:t>
      </w:r>
      <w:r w:rsidRPr="00CC4288">
        <w:rPr>
          <w:rStyle w:val="FootnoteReference"/>
          <w:rFonts w:ascii="Times New Roman" w:hAnsi="Times New Roman"/>
          <w:sz w:val="24"/>
          <w:szCs w:val="24"/>
        </w:rPr>
        <w:footnoteReference w:id="174"/>
      </w:r>
      <w:r w:rsidRPr="00CC4288">
        <w:rPr>
          <w:rFonts w:ascii="Times New Roman" w:hAnsi="Times New Roman"/>
          <w:sz w:val="24"/>
          <w:szCs w:val="24"/>
        </w:rPr>
        <w:t xml:space="preserve"> Gamsakhurdia’s concerns materialized very soon, as Georgia lost in military confrontation to both Abkhazia and South Ossetia. Besides geopolitical factors, internal chaos, and Russian involvement, the root of Georgia’s failure was the absence of functional security and defense institutions. This issue remained un</w:t>
      </w:r>
      <w:r w:rsidR="00C7236D">
        <w:rPr>
          <w:rFonts w:ascii="Times New Roman" w:hAnsi="Times New Roman"/>
          <w:sz w:val="24"/>
          <w:szCs w:val="24"/>
        </w:rPr>
        <w:t>re</w:t>
      </w:r>
      <w:r w:rsidRPr="00CC4288">
        <w:rPr>
          <w:rFonts w:ascii="Times New Roman" w:hAnsi="Times New Roman"/>
          <w:sz w:val="24"/>
          <w:szCs w:val="24"/>
        </w:rPr>
        <w:t>solved during Gamsakhurdia’s successor - Shevardnadze’s Presidency as well. Despite certain progress in stabilization of the hostile situations in the country and recognition of Georgian territories by the international</w:t>
      </w:r>
      <w:r w:rsidR="00E95849">
        <w:rPr>
          <w:rFonts w:ascii="Times New Roman" w:hAnsi="Times New Roman"/>
          <w:sz w:val="24"/>
          <w:szCs w:val="24"/>
        </w:rPr>
        <w:t xml:space="preserve"> community, Shevardnadze </w:t>
      </w:r>
      <w:r w:rsidR="00913ED8">
        <w:rPr>
          <w:rFonts w:ascii="Times New Roman" w:hAnsi="Times New Roman"/>
          <w:sz w:val="24"/>
          <w:szCs w:val="24"/>
        </w:rPr>
        <w:t>failed to</w:t>
      </w:r>
      <w:r w:rsidR="00E95849">
        <w:rPr>
          <w:rFonts w:ascii="Times New Roman" w:hAnsi="Times New Roman"/>
          <w:sz w:val="24"/>
          <w:szCs w:val="24"/>
        </w:rPr>
        <w:t xml:space="preserve"> </w:t>
      </w:r>
      <w:r w:rsidRPr="00CC4288">
        <w:rPr>
          <w:rFonts w:ascii="Times New Roman" w:hAnsi="Times New Roman"/>
          <w:sz w:val="24"/>
          <w:szCs w:val="24"/>
        </w:rPr>
        <w:t>deliver much-anticipated reforms and institution-building processes.</w:t>
      </w:r>
      <w:r w:rsidRPr="00CC4288">
        <w:rPr>
          <w:rStyle w:val="FootnoteReference"/>
          <w:rFonts w:ascii="Times New Roman" w:hAnsi="Times New Roman"/>
          <w:sz w:val="24"/>
          <w:szCs w:val="24"/>
        </w:rPr>
        <w:footnoteReference w:id="175"/>
      </w:r>
    </w:p>
    <w:p w:rsidR="00532AAA" w:rsidRDefault="00532AAA" w:rsidP="00050BA9">
      <w:pPr>
        <w:spacing w:line="360" w:lineRule="auto"/>
        <w:jc w:val="both"/>
        <w:rPr>
          <w:rFonts w:ascii="Times New Roman" w:hAnsi="Times New Roman"/>
          <w:sz w:val="24"/>
          <w:szCs w:val="24"/>
        </w:rPr>
      </w:pPr>
    </w:p>
    <w:p w:rsidR="006567C1" w:rsidRDefault="00532AAA" w:rsidP="00050BA9">
      <w:pPr>
        <w:spacing w:line="360" w:lineRule="auto"/>
        <w:jc w:val="both"/>
        <w:rPr>
          <w:rFonts w:ascii="Times New Roman" w:hAnsi="Times New Roman"/>
          <w:sz w:val="24"/>
          <w:szCs w:val="24"/>
        </w:rPr>
      </w:pPr>
      <w:r>
        <w:rPr>
          <w:rFonts w:ascii="Times New Roman" w:hAnsi="Times New Roman"/>
          <w:sz w:val="24"/>
          <w:szCs w:val="24"/>
        </w:rPr>
        <w:t>Kandelaki (2006) notes: "</w:t>
      </w:r>
      <w:r w:rsidR="00050BA9" w:rsidRPr="00CC4288">
        <w:rPr>
          <w:rFonts w:ascii="Times New Roman" w:hAnsi="Times New Roman"/>
          <w:sz w:val="24"/>
          <w:szCs w:val="24"/>
        </w:rPr>
        <w:t>Mikheil Saakashvili – a pro-European, energetic leader with the visionary political character who came to power in 2003 after successful ‘Rose Revolution’</w:t>
      </w:r>
      <w:r w:rsidRPr="00532AAA">
        <w:rPr>
          <w:rFonts w:ascii="Times New Roman" w:hAnsi="Times New Roman"/>
          <w:sz w:val="24"/>
          <w:szCs w:val="24"/>
        </w:rPr>
        <w:t xml:space="preserve"> </w:t>
      </w:r>
      <w:r w:rsidRPr="00CC4288">
        <w:rPr>
          <w:rFonts w:ascii="Times New Roman" w:hAnsi="Times New Roman"/>
          <w:sz w:val="24"/>
          <w:szCs w:val="24"/>
        </w:rPr>
        <w:t>engaged in the active reformation process from the very beginning o</w:t>
      </w:r>
      <w:r>
        <w:rPr>
          <w:rFonts w:ascii="Times New Roman" w:hAnsi="Times New Roman"/>
          <w:sz w:val="24"/>
          <w:szCs w:val="24"/>
        </w:rPr>
        <w:t>f his first term of Presidency.”</w:t>
      </w:r>
      <w:r w:rsidR="00050BA9" w:rsidRPr="00CC4288">
        <w:rPr>
          <w:rStyle w:val="FootnoteReference"/>
          <w:rFonts w:ascii="Times New Roman" w:hAnsi="Times New Roman"/>
          <w:sz w:val="24"/>
          <w:szCs w:val="24"/>
        </w:rPr>
        <w:footnoteReference w:id="176"/>
      </w:r>
      <w:r>
        <w:rPr>
          <w:rFonts w:ascii="Times New Roman" w:hAnsi="Times New Roman"/>
          <w:sz w:val="24"/>
          <w:szCs w:val="24"/>
        </w:rPr>
        <w:t xml:space="preserve"> </w:t>
      </w:r>
      <w:r w:rsidR="00050BA9" w:rsidRPr="00CC4288">
        <w:rPr>
          <w:rFonts w:ascii="Times New Roman" w:hAnsi="Times New Roman"/>
          <w:sz w:val="24"/>
          <w:szCs w:val="24"/>
        </w:rPr>
        <w:t>Georgia had no experience in state-building; therefore, Saakashvili’s government faced numerous challenges in the democratization process. In a short time, Georgia managed to achieve success in the fight against corruption and eradication bribery.</w:t>
      </w:r>
      <w:r w:rsidR="00050BA9" w:rsidRPr="00CC4288">
        <w:rPr>
          <w:rStyle w:val="FootnoteReference"/>
          <w:rFonts w:ascii="Times New Roman" w:hAnsi="Times New Roman"/>
          <w:sz w:val="24"/>
          <w:szCs w:val="24"/>
        </w:rPr>
        <w:footnoteReference w:id="177"/>
      </w:r>
      <w:r w:rsidR="00050BA9" w:rsidRPr="00CC4288">
        <w:rPr>
          <w:rFonts w:ascii="Times New Roman" w:hAnsi="Times New Roman"/>
          <w:sz w:val="24"/>
          <w:szCs w:val="24"/>
        </w:rPr>
        <w:t xml:space="preserve"> Moreover, Saakashvili’s economic reforms significantly increased Georgia’s attractiveness to foreigner investors and business circles, which resulted in a boost of foreign direct investments (FDI).</w:t>
      </w:r>
      <w:r w:rsidR="00050BA9" w:rsidRPr="00CC4288">
        <w:rPr>
          <w:rStyle w:val="FootnoteReference"/>
          <w:rFonts w:ascii="Times New Roman" w:hAnsi="Times New Roman"/>
          <w:sz w:val="24"/>
          <w:szCs w:val="24"/>
        </w:rPr>
        <w:footnoteReference w:id="178"/>
      </w:r>
      <w:r w:rsidR="00050BA9" w:rsidRPr="00CC4288">
        <w:rPr>
          <w:rFonts w:ascii="Times New Roman" w:hAnsi="Times New Roman"/>
          <w:sz w:val="24"/>
          <w:szCs w:val="24"/>
        </w:rPr>
        <w:t xml:space="preserve"> Judicial reforms and strengthening of the rule of law played a crucial role in the fight against organized crime. Finally, Saakashvili’s Euro-Atlantic course enabled Georgia to reform its military, security, and defense sectors per NATO and the EU standards. It must be noted that civil society and international observers often criticized Saakashvili’s authoritarian decisions and limitations of freedom of speech.</w:t>
      </w:r>
      <w:r w:rsidR="00050BA9" w:rsidRPr="00CC4288">
        <w:rPr>
          <w:rStyle w:val="FootnoteReference"/>
          <w:rFonts w:ascii="Times New Roman" w:hAnsi="Times New Roman"/>
          <w:sz w:val="24"/>
          <w:szCs w:val="24"/>
        </w:rPr>
        <w:footnoteReference w:id="179"/>
      </w:r>
      <w:r w:rsidR="00050BA9" w:rsidRPr="00CC4288">
        <w:rPr>
          <w:rFonts w:ascii="Times New Roman" w:hAnsi="Times New Roman"/>
          <w:sz w:val="24"/>
          <w:szCs w:val="24"/>
        </w:rPr>
        <w:t xml:space="preserve"> Moreover, many high-profile </w:t>
      </w:r>
      <w:r w:rsidR="00050BA9" w:rsidRPr="00CC4288">
        <w:rPr>
          <w:rFonts w:ascii="Times New Roman" w:hAnsi="Times New Roman"/>
          <w:sz w:val="24"/>
          <w:szCs w:val="24"/>
        </w:rPr>
        <w:lastRenderedPageBreak/>
        <w:t xml:space="preserve">experts and politicians in the West often described him as a spontaneous and explosive person and blamed him for lack of coherence in relations with Russia and separatist regions. </w:t>
      </w:r>
    </w:p>
    <w:p w:rsidR="006567C1" w:rsidRDefault="006567C1" w:rsidP="00050BA9">
      <w:pPr>
        <w:spacing w:line="360" w:lineRule="auto"/>
        <w:jc w:val="both"/>
        <w:rPr>
          <w:rFonts w:ascii="Times New Roman" w:hAnsi="Times New Roman"/>
          <w:sz w:val="24"/>
          <w:szCs w:val="24"/>
        </w:rPr>
      </w:pPr>
    </w:p>
    <w:p w:rsidR="006567C1"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August 2008 war significantly shook the Georgian economy, border security, and prospects of European integration. In the post-war period, the government prioritized the reform of the defense and security sector and designated the new security concept of Georgia.</w:t>
      </w:r>
      <w:r w:rsidRPr="00CC4288">
        <w:rPr>
          <w:rStyle w:val="FootnoteReference"/>
          <w:rFonts w:ascii="Times New Roman" w:hAnsi="Times New Roman"/>
          <w:sz w:val="24"/>
          <w:szCs w:val="24"/>
        </w:rPr>
        <w:footnoteReference w:id="180"/>
      </w:r>
      <w:r w:rsidRPr="00CC4288">
        <w:rPr>
          <w:rFonts w:ascii="Times New Roman" w:hAnsi="Times New Roman"/>
          <w:sz w:val="24"/>
          <w:szCs w:val="24"/>
        </w:rPr>
        <w:t>The National Security Concept of Georgia is a strategic document that outlines the priorities of geostrategic, institutional, and socio-political spheres of the country. The initial document has been developed in 2010 and undergone several phases of revision.</w:t>
      </w:r>
      <w:r w:rsidRPr="00CC4288">
        <w:rPr>
          <w:rFonts w:ascii="Times New Roman" w:hAnsi="Times New Roman"/>
          <w:b/>
          <w:sz w:val="24"/>
          <w:szCs w:val="24"/>
        </w:rPr>
        <w:t xml:space="preserve"> </w:t>
      </w:r>
      <w:r w:rsidRPr="00CC4288">
        <w:rPr>
          <w:rFonts w:ascii="Times New Roman" w:hAnsi="Times New Roman"/>
          <w:sz w:val="24"/>
          <w:szCs w:val="24"/>
        </w:rPr>
        <w:t>The security policy planning and implementation of the national security concept in Georgia was prerogative of the National Security Council of Georgia and the State Security and Crisis Management Council until 2017.</w:t>
      </w:r>
      <w:r w:rsidRPr="00CC4288">
        <w:rPr>
          <w:rStyle w:val="FootnoteReference"/>
          <w:rFonts w:ascii="Times New Roman" w:hAnsi="Times New Roman"/>
          <w:sz w:val="24"/>
          <w:szCs w:val="24"/>
        </w:rPr>
        <w:footnoteReference w:id="181"/>
      </w:r>
      <w:r w:rsidRPr="00CC4288">
        <w:rPr>
          <w:rFonts w:ascii="Times New Roman" w:hAnsi="Times New Roman"/>
          <w:sz w:val="24"/>
          <w:szCs w:val="24"/>
        </w:rPr>
        <w:t xml:space="preserve"> After the Constitutional changes in 2018, the government of Georgia became the responsible authority for structuring and implementation of the security agenda of the country.</w:t>
      </w:r>
      <w:r w:rsidRPr="00CC4288">
        <w:rPr>
          <w:rStyle w:val="FootnoteReference"/>
          <w:rFonts w:ascii="Times New Roman" w:hAnsi="Times New Roman"/>
          <w:sz w:val="24"/>
          <w:szCs w:val="24"/>
        </w:rPr>
        <w:footnoteReference w:id="182"/>
      </w:r>
      <w:r w:rsidRPr="00CC4288">
        <w:rPr>
          <w:rFonts w:ascii="Times New Roman" w:hAnsi="Times New Roman"/>
          <w:sz w:val="24"/>
          <w:szCs w:val="24"/>
        </w:rPr>
        <w:t xml:space="preserve"> </w:t>
      </w:r>
    </w:p>
    <w:p w:rsidR="00AE4993" w:rsidRDefault="00AE4993" w:rsidP="00050BA9">
      <w:pPr>
        <w:spacing w:line="360" w:lineRule="auto"/>
        <w:jc w:val="both"/>
        <w:rPr>
          <w:rFonts w:ascii="Times New Roman" w:hAnsi="Times New Roman"/>
          <w:sz w:val="24"/>
          <w:szCs w:val="24"/>
        </w:rPr>
      </w:pPr>
    </w:p>
    <w:p w:rsidR="00C81C00" w:rsidRPr="006567C1"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National Security Concept of Georgia addresses the economic, political, security, military, and judicial challenges of the state. In the context of this study, the emphasis is given to the component of breakaway regions. Russia is listed as the number one threat to the national security interests of Georgia in the document.</w:t>
      </w:r>
      <w:r w:rsidRPr="00CC4288">
        <w:rPr>
          <w:rFonts w:ascii="Times New Roman" w:hAnsi="Times New Roman"/>
          <w:b/>
          <w:sz w:val="24"/>
          <w:szCs w:val="24"/>
        </w:rPr>
        <w:t xml:space="preserve"> </w:t>
      </w:r>
      <w:r w:rsidRPr="00CC4288">
        <w:rPr>
          <w:rFonts w:ascii="Times New Roman" w:hAnsi="Times New Roman"/>
          <w:sz w:val="24"/>
          <w:szCs w:val="24"/>
        </w:rPr>
        <w:t>The Russian occupation of Georgian territories of Abkhazia and South Ossetia is considered as major hindering factors for the Euro-Atlantic aspirations of the country.</w:t>
      </w:r>
      <w:r w:rsidRPr="00CC4288">
        <w:rPr>
          <w:rStyle w:val="FootnoteReference"/>
          <w:rFonts w:ascii="Times New Roman" w:hAnsi="Times New Roman"/>
          <w:sz w:val="24"/>
          <w:szCs w:val="24"/>
        </w:rPr>
        <w:footnoteReference w:id="183"/>
      </w:r>
      <w:r w:rsidRPr="00CC4288">
        <w:rPr>
          <w:rFonts w:ascii="Times New Roman" w:hAnsi="Times New Roman"/>
          <w:sz w:val="24"/>
          <w:szCs w:val="24"/>
        </w:rPr>
        <w:t xml:space="preserve"> </w:t>
      </w:r>
    </w:p>
    <w:p w:rsidR="00C81C00" w:rsidRDefault="00C81C00" w:rsidP="00050BA9">
      <w:pPr>
        <w:spacing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714875" cy="270113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curity Poll GEO.png"/>
                    <pic:cNvPicPr/>
                  </pic:nvPicPr>
                  <pic:blipFill>
                    <a:blip r:embed="rId14">
                      <a:extLst>
                        <a:ext uri="{28A0092B-C50C-407E-A947-70E740481C1C}">
                          <a14:useLocalDpi xmlns:a14="http://schemas.microsoft.com/office/drawing/2010/main" val="0"/>
                        </a:ext>
                      </a:extLst>
                    </a:blip>
                    <a:stretch>
                      <a:fillRect/>
                    </a:stretch>
                  </pic:blipFill>
                  <pic:spPr>
                    <a:xfrm>
                      <a:off x="0" y="0"/>
                      <a:ext cx="4754071" cy="2723586"/>
                    </a:xfrm>
                    <a:prstGeom prst="rect">
                      <a:avLst/>
                    </a:prstGeom>
                  </pic:spPr>
                </pic:pic>
              </a:graphicData>
            </a:graphic>
          </wp:inline>
        </w:drawing>
      </w:r>
    </w:p>
    <w:p w:rsidR="00C81C00" w:rsidRPr="00B74673" w:rsidRDefault="00B74673" w:rsidP="00C81C00">
      <w:pPr>
        <w:pStyle w:val="NoSpacing"/>
        <w:rPr>
          <w:rFonts w:ascii="Times New Roman" w:hAnsi="Times New Roman"/>
          <w:b/>
          <w:sz w:val="24"/>
          <w:szCs w:val="24"/>
        </w:rPr>
      </w:pPr>
      <w:r w:rsidRPr="00B74673">
        <w:rPr>
          <w:rFonts w:ascii="Times New Roman" w:hAnsi="Times New Roman"/>
          <w:b/>
          <w:sz w:val="24"/>
          <w:szCs w:val="24"/>
        </w:rPr>
        <w:t>Figure 3</w:t>
      </w:r>
      <w:r w:rsidR="00C81C00" w:rsidRPr="00B74673">
        <w:rPr>
          <w:rFonts w:ascii="Times New Roman" w:hAnsi="Times New Roman"/>
          <w:b/>
          <w:sz w:val="24"/>
          <w:szCs w:val="24"/>
        </w:rPr>
        <w:t xml:space="preserve">. </w:t>
      </w:r>
      <w:r w:rsidR="00C81C00" w:rsidRPr="00094BB1">
        <w:rPr>
          <w:rFonts w:ascii="Times New Roman" w:hAnsi="Times New Roman"/>
          <w:sz w:val="24"/>
          <w:szCs w:val="24"/>
        </w:rPr>
        <w:t>Survey on Security Perceptions in Georgia 2020.</w:t>
      </w:r>
      <w:r w:rsidR="00C81C00" w:rsidRPr="00094BB1">
        <w:rPr>
          <w:rStyle w:val="FootnoteReference"/>
          <w:rFonts w:ascii="Times New Roman" w:hAnsi="Times New Roman"/>
          <w:sz w:val="24"/>
          <w:szCs w:val="24"/>
        </w:rPr>
        <w:footnoteReference w:id="184"/>
      </w:r>
    </w:p>
    <w:p w:rsidR="00C81C00" w:rsidRDefault="00C81C00" w:rsidP="00050BA9">
      <w:pPr>
        <w:spacing w:line="360" w:lineRule="auto"/>
        <w:jc w:val="both"/>
        <w:rPr>
          <w:rFonts w:ascii="Times New Roman" w:hAnsi="Times New Roman"/>
          <w:sz w:val="24"/>
          <w:szCs w:val="24"/>
        </w:rPr>
      </w:pPr>
    </w:p>
    <w:p w:rsidR="00050BA9"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Moreover, Russia is considered an unreliable trade partner for Georgia, and the priority is given to diversification of export destinations by deeper integration to the EU and Asian markets.</w:t>
      </w:r>
      <w:r w:rsidRPr="00CC4288">
        <w:rPr>
          <w:rStyle w:val="FootnoteReference"/>
          <w:rFonts w:ascii="Times New Roman" w:hAnsi="Times New Roman"/>
          <w:sz w:val="24"/>
          <w:szCs w:val="24"/>
        </w:rPr>
        <w:footnoteReference w:id="185"/>
      </w:r>
      <w:r w:rsidRPr="00CC4288">
        <w:rPr>
          <w:rFonts w:ascii="Times New Roman" w:hAnsi="Times New Roman"/>
          <w:sz w:val="24"/>
          <w:szCs w:val="24"/>
        </w:rPr>
        <w:t xml:space="preserve"> The most severe threat to the security environment of Georgia is caused by the Russian strategy of ‘creeping borderization’ and recognition of Abkhazia and South Ossetia as independent states. Furthermore, neglecting the six-point cease-fire agreement and supplying of the separatist regions with weaponry and military increases the risks of continuous violent clashes on the borders of contested regions. Finally, the Georgian security concept identifies Russian involvement as a major hindering factor for efficient implementation and internalization of the EU NREP in Abkhazia and South Ossetia.</w:t>
      </w:r>
      <w:r w:rsidRPr="00CC4288">
        <w:rPr>
          <w:rStyle w:val="FootnoteReference"/>
          <w:rFonts w:ascii="Times New Roman" w:hAnsi="Times New Roman"/>
          <w:sz w:val="24"/>
          <w:szCs w:val="24"/>
        </w:rPr>
        <w:footnoteReference w:id="186"/>
      </w:r>
    </w:p>
    <w:p w:rsidR="00C136C1" w:rsidRPr="00C136C1" w:rsidRDefault="00C136C1" w:rsidP="00C136C1">
      <w:pPr>
        <w:pStyle w:val="NoSpacing"/>
      </w:pPr>
    </w:p>
    <w:p w:rsidR="00F66CAE" w:rsidRDefault="00F66CAE" w:rsidP="00F66CAE">
      <w:pPr>
        <w:pStyle w:val="NoSpacing"/>
      </w:pPr>
    </w:p>
    <w:p w:rsidR="00C136C1" w:rsidRPr="00C136C1" w:rsidRDefault="00C136C1" w:rsidP="00C136C1">
      <w:pPr>
        <w:pStyle w:val="NoSpacing"/>
      </w:pPr>
    </w:p>
    <w:p w:rsidR="00050BA9" w:rsidRPr="00C136C1" w:rsidRDefault="00D966B0" w:rsidP="006D2116">
      <w:pPr>
        <w:pStyle w:val="Heading2"/>
        <w:rPr>
          <w:color w:val="auto"/>
          <w:sz w:val="32"/>
          <w:szCs w:val="32"/>
        </w:rPr>
      </w:pPr>
      <w:bookmarkStart w:id="16" w:name="_Toc46952610"/>
      <w:r>
        <w:rPr>
          <w:color w:val="auto"/>
          <w:sz w:val="32"/>
          <w:szCs w:val="32"/>
        </w:rPr>
        <w:t>3.3.2</w:t>
      </w:r>
      <w:r w:rsidR="00050BA9" w:rsidRPr="00C136C1">
        <w:rPr>
          <w:color w:val="auto"/>
          <w:sz w:val="32"/>
          <w:szCs w:val="32"/>
        </w:rPr>
        <w:t xml:space="preserve"> </w:t>
      </w:r>
      <w:r w:rsidR="004F09D2" w:rsidRPr="00C136C1">
        <w:rPr>
          <w:color w:val="auto"/>
          <w:sz w:val="32"/>
          <w:szCs w:val="32"/>
        </w:rPr>
        <w:t xml:space="preserve">In Search for </w:t>
      </w:r>
      <w:r w:rsidR="00F66AA6">
        <w:rPr>
          <w:color w:val="auto"/>
          <w:sz w:val="32"/>
          <w:szCs w:val="32"/>
        </w:rPr>
        <w:t xml:space="preserve">the </w:t>
      </w:r>
      <w:r w:rsidR="004F09D2" w:rsidRPr="00C136C1">
        <w:rPr>
          <w:color w:val="auto"/>
          <w:sz w:val="32"/>
          <w:szCs w:val="32"/>
        </w:rPr>
        <w:t>Cooperation Frameworks</w:t>
      </w:r>
      <w:r w:rsidR="00CB66B9" w:rsidRPr="00C136C1">
        <w:rPr>
          <w:color w:val="auto"/>
          <w:sz w:val="32"/>
          <w:szCs w:val="32"/>
        </w:rPr>
        <w:t xml:space="preserve">: From PCA to </w:t>
      </w:r>
      <w:r w:rsidR="00F66AA6">
        <w:rPr>
          <w:color w:val="auto"/>
          <w:sz w:val="32"/>
          <w:szCs w:val="32"/>
        </w:rPr>
        <w:t xml:space="preserve">the </w:t>
      </w:r>
      <w:r w:rsidR="00CB66B9" w:rsidRPr="00C136C1">
        <w:rPr>
          <w:color w:val="auto"/>
          <w:sz w:val="32"/>
          <w:szCs w:val="32"/>
        </w:rPr>
        <w:t>ENP</w:t>
      </w:r>
      <w:bookmarkEnd w:id="16"/>
    </w:p>
    <w:p w:rsidR="00C136C1" w:rsidRPr="00C136C1" w:rsidRDefault="00C136C1" w:rsidP="00C136C1"/>
    <w:p w:rsidR="006D2116" w:rsidRPr="006D2116" w:rsidRDefault="006D2116" w:rsidP="006D2116"/>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 xml:space="preserve">The European Union’s initial partnership with Georgia is dated back to the early 1990s. At that time, Georgia was dealing with secessionism, civil conflicts, corruption, and economic recession. The EU’s incentives carried primarily economic character which contributed to the </w:t>
      </w:r>
      <w:r w:rsidRPr="00CC4288">
        <w:rPr>
          <w:rFonts w:ascii="Times New Roman" w:hAnsi="Times New Roman"/>
          <w:sz w:val="24"/>
          <w:szCs w:val="24"/>
        </w:rPr>
        <w:lastRenderedPageBreak/>
        <w:t>rehabilitation of the newly emerged state in South Caucasus.</w:t>
      </w:r>
      <w:r w:rsidRPr="00CC4288">
        <w:rPr>
          <w:rStyle w:val="FootnoteReference"/>
          <w:rFonts w:ascii="Times New Roman" w:hAnsi="Times New Roman"/>
          <w:sz w:val="24"/>
          <w:szCs w:val="24"/>
        </w:rPr>
        <w:footnoteReference w:id="187"/>
      </w:r>
      <w:r w:rsidRPr="00CC4288">
        <w:rPr>
          <w:rFonts w:ascii="Times New Roman" w:hAnsi="Times New Roman"/>
          <w:sz w:val="24"/>
          <w:szCs w:val="24"/>
        </w:rPr>
        <w:t xml:space="preserve"> </w:t>
      </w:r>
      <w:r w:rsidR="00AE4993">
        <w:rPr>
          <w:rFonts w:ascii="Times New Roman" w:hAnsi="Times New Roman"/>
          <w:sz w:val="24"/>
          <w:szCs w:val="24"/>
        </w:rPr>
        <w:t>According to Simao (2008): “t</w:t>
      </w:r>
      <w:r w:rsidRPr="00CC4288">
        <w:rPr>
          <w:rFonts w:ascii="Times New Roman" w:hAnsi="Times New Roman"/>
          <w:sz w:val="24"/>
          <w:szCs w:val="24"/>
        </w:rPr>
        <w:t>he main objective of the Georgian government was to strengthen ties with regional security actors, primarily the United States and NATO. In this sense, the EU had a secondary role due to its normative nature of foreign policies.</w:t>
      </w:r>
      <w:r w:rsidR="00AE4993">
        <w:rPr>
          <w:rFonts w:ascii="Times New Roman" w:hAnsi="Times New Roman"/>
          <w:sz w:val="24"/>
          <w:szCs w:val="24"/>
        </w:rPr>
        <w:t>”</w:t>
      </w:r>
      <w:r w:rsidRPr="00CC4288">
        <w:rPr>
          <w:rStyle w:val="FootnoteReference"/>
          <w:rFonts w:ascii="Times New Roman" w:hAnsi="Times New Roman"/>
          <w:sz w:val="24"/>
          <w:szCs w:val="24"/>
        </w:rPr>
        <w:footnoteReference w:id="188"/>
      </w:r>
      <w:r w:rsidRPr="00CC4288">
        <w:rPr>
          <w:rFonts w:ascii="Times New Roman" w:hAnsi="Times New Roman"/>
          <w:sz w:val="24"/>
          <w:szCs w:val="24"/>
        </w:rPr>
        <w:t xml:space="preserve"> The EU was unprepared for full-scale engagement in a process that took place in former Soviet Union territories in the early 1990s. On the one hand, the foreign and security policies lacked coherence and efficient mechanisms for addressing the regional threats, on the other hand, the member states were concerned over the underdeveloped approach towards Russia.</w:t>
      </w:r>
      <w:r w:rsidRPr="00CC4288">
        <w:rPr>
          <w:rStyle w:val="FootnoteReference"/>
          <w:rFonts w:ascii="Times New Roman" w:hAnsi="Times New Roman"/>
          <w:sz w:val="24"/>
          <w:szCs w:val="24"/>
        </w:rPr>
        <w:footnoteReference w:id="189"/>
      </w:r>
      <w:r w:rsidRPr="00CC4288">
        <w:rPr>
          <w:rFonts w:ascii="Times New Roman" w:hAnsi="Times New Roman"/>
          <w:sz w:val="24"/>
          <w:szCs w:val="24"/>
        </w:rPr>
        <w:t xml:space="preserve"> As a result, for much of the 1990s, the EU-Georgian cooperation remained marginal.</w:t>
      </w:r>
      <w:r w:rsidRPr="00CC4288">
        <w:rPr>
          <w:rStyle w:val="FootnoteReference"/>
          <w:rFonts w:ascii="Times New Roman" w:hAnsi="Times New Roman"/>
          <w:sz w:val="24"/>
          <w:szCs w:val="24"/>
        </w:rPr>
        <w:footnoteReference w:id="190"/>
      </w:r>
      <w:r w:rsidRPr="00CC4288">
        <w:rPr>
          <w:rFonts w:ascii="Times New Roman" w:hAnsi="Times New Roman"/>
          <w:sz w:val="24"/>
          <w:szCs w:val="24"/>
        </w:rPr>
        <w:t xml:space="preserve"> The first institutional mechanism of the EU which addressed the conflict resolution process in the South Caucasus region was the European Commission’s 1995 document ‘Towards the European Union Strategy for Relations with Transcaucasian Republics’.</w:t>
      </w:r>
      <w:r w:rsidR="002D727F">
        <w:rPr>
          <w:rStyle w:val="FootnoteReference"/>
          <w:rFonts w:ascii="Times New Roman" w:hAnsi="Times New Roman"/>
          <w:sz w:val="24"/>
          <w:szCs w:val="24"/>
        </w:rPr>
        <w:footnoteReference w:id="191"/>
      </w:r>
      <w:r w:rsidRPr="00CC4288">
        <w:rPr>
          <w:rFonts w:ascii="Times New Roman" w:hAnsi="Times New Roman"/>
          <w:sz w:val="24"/>
          <w:szCs w:val="24"/>
        </w:rPr>
        <w:t xml:space="preserve"> The document concerned the secessionist conflicts in Abkhazia, South Ossetia, and Nagorno-Karabakh regions and implied the importance of finding peaceful means of resolution. Furthermore, the European Union signed the Partnership and Cooperation Acts (PCA) with three South Caucasian states – Armenia, Azerbaijan, and Georgia which symbolized its support for democratization processes in the region.</w:t>
      </w:r>
      <w:r w:rsidRPr="00CC4288">
        <w:rPr>
          <w:rStyle w:val="FootnoteReference"/>
          <w:rFonts w:ascii="Times New Roman" w:hAnsi="Times New Roman"/>
          <w:sz w:val="24"/>
          <w:szCs w:val="24"/>
        </w:rPr>
        <w:footnoteReference w:id="192"/>
      </w:r>
      <w:r w:rsidRPr="00CC4288">
        <w:rPr>
          <w:rFonts w:ascii="Times New Roman" w:hAnsi="Times New Roman"/>
          <w:sz w:val="24"/>
          <w:szCs w:val="24"/>
        </w:rPr>
        <w:t xml:space="preserve"> Despite limited engagement, the EU was one of the international actors which condemned the secessionist conflicts in Georgia and recognized the territorial integrity of the country in its official borders which included Abkhazia and South Ossetia.</w:t>
      </w:r>
      <w:r w:rsidRPr="00CC4288">
        <w:rPr>
          <w:rStyle w:val="FootnoteReference"/>
          <w:rFonts w:ascii="Times New Roman" w:hAnsi="Times New Roman"/>
          <w:sz w:val="24"/>
          <w:szCs w:val="24"/>
        </w:rPr>
        <w:footnoteReference w:id="193"/>
      </w:r>
      <w:r w:rsidRPr="00CC4288">
        <w:rPr>
          <w:rFonts w:ascii="Times New Roman" w:hAnsi="Times New Roman"/>
          <w:sz w:val="24"/>
          <w:szCs w:val="24"/>
        </w:rPr>
        <w:t xml:space="preserve"> This factor enabled the Georgian government to attain the international value to its domestic conflict and significantly limit the separatist region’s aspirations for independence. The PCA served as a platform for humanitarian and diplomatic activities of the EU in Georgia and its breakaway regions. Moreover, it contributed to the confidence-building process and shaped the pro-Western political orientation of the fragile democracy. Since the early 2000s, the EU became more active in the region and gained an important role in the conflict mediation process. In </w:t>
      </w:r>
      <w:r w:rsidRPr="00CC4288">
        <w:rPr>
          <w:rFonts w:ascii="Times New Roman" w:hAnsi="Times New Roman"/>
          <w:sz w:val="24"/>
          <w:szCs w:val="24"/>
        </w:rPr>
        <w:lastRenderedPageBreak/>
        <w:t>2001, the EU joined the Control Commission of the Organization for Security and Co-Operation in Europe (OSCE) in South Ossetia.</w:t>
      </w:r>
      <w:r w:rsidRPr="00CC4288">
        <w:rPr>
          <w:rStyle w:val="FootnoteReference"/>
          <w:rFonts w:ascii="Times New Roman" w:hAnsi="Times New Roman"/>
          <w:sz w:val="24"/>
          <w:szCs w:val="24"/>
        </w:rPr>
        <w:footnoteReference w:id="194"/>
      </w:r>
      <w:r w:rsidRPr="00CC4288">
        <w:rPr>
          <w:rFonts w:ascii="Times New Roman" w:hAnsi="Times New Roman"/>
          <w:b/>
          <w:sz w:val="24"/>
          <w:szCs w:val="24"/>
        </w:rPr>
        <w:t xml:space="preserve"> </w:t>
      </w:r>
      <w:r w:rsidRPr="00CC4288">
        <w:rPr>
          <w:rFonts w:ascii="Times New Roman" w:hAnsi="Times New Roman"/>
          <w:sz w:val="24"/>
          <w:szCs w:val="24"/>
        </w:rPr>
        <w:t>Later on, the EU’s delegation visited the capital of Abkhazia, S</w:t>
      </w:r>
      <w:r w:rsidR="00BB4CC1">
        <w:rPr>
          <w:rFonts w:ascii="Times New Roman" w:hAnsi="Times New Roman"/>
          <w:sz w:val="24"/>
          <w:szCs w:val="24"/>
        </w:rPr>
        <w:t>okhumi to negotiate to resume</w:t>
      </w:r>
      <w:r w:rsidRPr="00CC4288">
        <w:rPr>
          <w:rFonts w:ascii="Times New Roman" w:hAnsi="Times New Roman"/>
          <w:sz w:val="24"/>
          <w:szCs w:val="24"/>
        </w:rPr>
        <w:t xml:space="preserve"> political dialogue between de-facto authorities and the Georgian government.</w:t>
      </w:r>
      <w:r w:rsidRPr="00CC4288">
        <w:rPr>
          <w:rStyle w:val="FootnoteReference"/>
          <w:rFonts w:ascii="Times New Roman" w:hAnsi="Times New Roman"/>
          <w:sz w:val="24"/>
          <w:szCs w:val="24"/>
        </w:rPr>
        <w:footnoteReference w:id="195"/>
      </w:r>
      <w:r w:rsidRPr="00CC4288">
        <w:rPr>
          <w:rFonts w:ascii="Times New Roman" w:hAnsi="Times New Roman"/>
          <w:sz w:val="24"/>
          <w:szCs w:val="24"/>
        </w:rPr>
        <w:t xml:space="preserve"> Despite active diplomatic mediation, the EU </w:t>
      </w:r>
      <w:r w:rsidR="00E95849">
        <w:rPr>
          <w:rFonts w:ascii="Times New Roman" w:hAnsi="Times New Roman"/>
          <w:sz w:val="24"/>
          <w:szCs w:val="24"/>
        </w:rPr>
        <w:t>did not</w:t>
      </w:r>
      <w:r w:rsidRPr="00CC4288">
        <w:rPr>
          <w:rFonts w:ascii="Times New Roman" w:hAnsi="Times New Roman"/>
          <w:sz w:val="24"/>
          <w:szCs w:val="24"/>
        </w:rPr>
        <w:t xml:space="preserve"> manage to achieve the desired results due to incoherent policies and mechanisms. The Union required a much-anticipated neighborhood policy that would unify the most efficient instruments and mechanisms for addressing the geopolitical issues beyond its borders.</w:t>
      </w:r>
      <w:r w:rsidRPr="00CC4288">
        <w:rPr>
          <w:rStyle w:val="FootnoteReference"/>
          <w:rFonts w:ascii="Times New Roman" w:hAnsi="Times New Roman"/>
          <w:sz w:val="24"/>
          <w:szCs w:val="24"/>
        </w:rPr>
        <w:footnoteReference w:id="196"/>
      </w:r>
      <w:r w:rsidRPr="00CC4288">
        <w:rPr>
          <w:rFonts w:ascii="Times New Roman" w:hAnsi="Times New Roman"/>
          <w:sz w:val="24"/>
          <w:szCs w:val="24"/>
        </w:rPr>
        <w:t xml:space="preserve"> For this purpose, the European Union went through several stages of development and implementation of a new foreign policy instrument – the European Neighborhood Policy (ENP).</w:t>
      </w:r>
    </w:p>
    <w:p w:rsidR="00185685" w:rsidRDefault="00185685" w:rsidP="00050BA9">
      <w:pPr>
        <w:spacing w:line="360" w:lineRule="auto"/>
        <w:jc w:val="both"/>
        <w:rPr>
          <w:rFonts w:ascii="Times New Roman" w:hAnsi="Times New Roman"/>
          <w:sz w:val="24"/>
          <w:szCs w:val="24"/>
        </w:rPr>
      </w:pPr>
    </w:p>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Initial negotiations on a new EU strategy for the neighborhood took place during the 2002 Copenhagen European Council.</w:t>
      </w:r>
      <w:r w:rsidRPr="00CC4288">
        <w:rPr>
          <w:rStyle w:val="FootnoteReference"/>
          <w:rFonts w:ascii="Times New Roman" w:hAnsi="Times New Roman"/>
          <w:sz w:val="24"/>
          <w:szCs w:val="24"/>
        </w:rPr>
        <w:footnoteReference w:id="197"/>
      </w:r>
      <w:r w:rsidRPr="00CC4288">
        <w:rPr>
          <w:rFonts w:ascii="Times New Roman" w:hAnsi="Times New Roman"/>
          <w:sz w:val="24"/>
          <w:szCs w:val="24"/>
        </w:rPr>
        <w:t xml:space="preserve"> A year later, the European Commission sent the proposal to the European Council and the European Parliament concerning the framework: Wider Europe – Neighborhood which addressed the EU’s relations with Eastern and Southern neighbors.</w:t>
      </w:r>
      <w:r w:rsidRPr="00CC4288">
        <w:rPr>
          <w:rStyle w:val="FootnoteReference"/>
          <w:rFonts w:ascii="Times New Roman" w:hAnsi="Times New Roman"/>
          <w:sz w:val="24"/>
          <w:szCs w:val="24"/>
        </w:rPr>
        <w:footnoteReference w:id="198"/>
      </w:r>
      <w:r w:rsidRPr="00CC4288">
        <w:rPr>
          <w:rFonts w:ascii="Times New Roman" w:hAnsi="Times New Roman"/>
          <w:sz w:val="24"/>
          <w:szCs w:val="24"/>
        </w:rPr>
        <w:t xml:space="preserve"> In 2004, the European Commission presented the strategy paper of the European Neighborhood Policy (ENP) which was implemented the same year.</w:t>
      </w:r>
      <w:r w:rsidRPr="00CC4288">
        <w:rPr>
          <w:rStyle w:val="FootnoteReference"/>
          <w:rFonts w:ascii="Times New Roman" w:hAnsi="Times New Roman"/>
          <w:sz w:val="24"/>
          <w:szCs w:val="24"/>
        </w:rPr>
        <w:footnoteReference w:id="199"/>
      </w:r>
      <w:r w:rsidRPr="00CC4288">
        <w:rPr>
          <w:rFonts w:ascii="Times New Roman" w:hAnsi="Times New Roman"/>
          <w:sz w:val="24"/>
          <w:szCs w:val="24"/>
        </w:rPr>
        <w:t xml:space="preserve"> In 2006, the European Commission introduced an additional package of mechanisms and instruments for the strengthening of the ENP which was agreed with the European Council and the European Parliament.</w:t>
      </w:r>
      <w:r w:rsidRPr="00CC4288">
        <w:rPr>
          <w:rStyle w:val="FootnoteReference"/>
          <w:rFonts w:ascii="Times New Roman" w:hAnsi="Times New Roman"/>
          <w:sz w:val="24"/>
          <w:szCs w:val="24"/>
        </w:rPr>
        <w:footnoteReference w:id="200"/>
      </w:r>
    </w:p>
    <w:p w:rsidR="00DE799F"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 xml:space="preserve">The ENP was launched in 2004. It enabled deeper cooperation between the EU and the neighbors in South and East: Armenia, Azerbaijan, Algeria, Belarus, Egypt, Georgia, Israel, </w:t>
      </w:r>
      <w:r w:rsidRPr="00CC4288">
        <w:rPr>
          <w:rFonts w:ascii="Times New Roman" w:hAnsi="Times New Roman"/>
          <w:sz w:val="24"/>
          <w:szCs w:val="24"/>
        </w:rPr>
        <w:lastRenderedPageBreak/>
        <w:t xml:space="preserve">Jordan, Lebanon, Libya, Moldova, Morocco, Palestine, Syria, Tunisia, </w:t>
      </w:r>
      <w:proofErr w:type="gramStart"/>
      <w:r w:rsidRPr="00CC4288">
        <w:rPr>
          <w:rFonts w:ascii="Times New Roman" w:hAnsi="Times New Roman"/>
          <w:sz w:val="24"/>
          <w:szCs w:val="24"/>
        </w:rPr>
        <w:t>Ukraine</w:t>
      </w:r>
      <w:proofErr w:type="gramEnd"/>
      <w:r w:rsidRPr="00CC4288">
        <w:rPr>
          <w:rFonts w:ascii="Times New Roman" w:hAnsi="Times New Roman"/>
          <w:sz w:val="24"/>
          <w:szCs w:val="24"/>
        </w:rPr>
        <w:t>.</w:t>
      </w:r>
      <w:r w:rsidRPr="00CC4288">
        <w:rPr>
          <w:rStyle w:val="FootnoteReference"/>
          <w:rFonts w:ascii="Times New Roman" w:hAnsi="Times New Roman"/>
          <w:sz w:val="24"/>
          <w:szCs w:val="24"/>
        </w:rPr>
        <w:footnoteReference w:id="201"/>
      </w:r>
      <w:r w:rsidRPr="00CC4288">
        <w:rPr>
          <w:rFonts w:ascii="Times New Roman" w:hAnsi="Times New Roman"/>
          <w:b/>
          <w:sz w:val="24"/>
          <w:szCs w:val="24"/>
        </w:rPr>
        <w:t xml:space="preserve"> </w:t>
      </w:r>
      <w:r w:rsidRPr="00CC4288">
        <w:rPr>
          <w:rFonts w:ascii="Times New Roman" w:hAnsi="Times New Roman"/>
          <w:sz w:val="24"/>
          <w:szCs w:val="24"/>
        </w:rPr>
        <w:t>The ENP reinforced and strengthened the existing cooperation between the EU and the neighbors which were implemented through the PCA’s.</w:t>
      </w:r>
      <w:r w:rsidRPr="00CC4288">
        <w:rPr>
          <w:rStyle w:val="FootnoteReference"/>
          <w:rFonts w:ascii="Times New Roman" w:hAnsi="Times New Roman"/>
          <w:sz w:val="24"/>
          <w:szCs w:val="24"/>
        </w:rPr>
        <w:footnoteReference w:id="202"/>
      </w:r>
      <w:r w:rsidRPr="00CC4288">
        <w:rPr>
          <w:rFonts w:ascii="Times New Roman" w:hAnsi="Times New Roman"/>
          <w:sz w:val="24"/>
          <w:szCs w:val="24"/>
        </w:rPr>
        <w:t xml:space="preserve"> The instrument was introduced after the EU’s eastern enlargement in 2004 and aimed to export the EU’s norms and values beyond its borders.</w:t>
      </w:r>
      <w:r w:rsidRPr="00CC4288">
        <w:rPr>
          <w:rStyle w:val="FootnoteReference"/>
          <w:rFonts w:ascii="Times New Roman" w:hAnsi="Times New Roman"/>
          <w:sz w:val="24"/>
          <w:szCs w:val="24"/>
        </w:rPr>
        <w:footnoteReference w:id="203"/>
      </w:r>
      <w:r w:rsidRPr="00CC4288">
        <w:rPr>
          <w:rFonts w:ascii="Times New Roman" w:hAnsi="Times New Roman"/>
          <w:sz w:val="24"/>
          <w:szCs w:val="24"/>
        </w:rPr>
        <w:t xml:space="preserve"> The ENP significantly increased the EU’s flexibility of cooperation with neighbors without offering the membership. </w:t>
      </w:r>
    </w:p>
    <w:p w:rsidR="00DE799F" w:rsidRPr="00DE799F" w:rsidRDefault="00DE799F" w:rsidP="00DE799F">
      <w:pPr>
        <w:pStyle w:val="NoSpacing"/>
      </w:pPr>
      <w:r>
        <w:rPr>
          <w:noProof/>
        </w:rPr>
        <w:drawing>
          <wp:inline distT="0" distB="0" distL="0" distR="0">
            <wp:extent cx="4752975" cy="304762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P Mappp.png"/>
                    <pic:cNvPicPr/>
                  </pic:nvPicPr>
                  <pic:blipFill>
                    <a:blip r:embed="rId15">
                      <a:extLst>
                        <a:ext uri="{28A0092B-C50C-407E-A947-70E740481C1C}">
                          <a14:useLocalDpi xmlns:a14="http://schemas.microsoft.com/office/drawing/2010/main" val="0"/>
                        </a:ext>
                      </a:extLst>
                    </a:blip>
                    <a:stretch>
                      <a:fillRect/>
                    </a:stretch>
                  </pic:blipFill>
                  <pic:spPr>
                    <a:xfrm>
                      <a:off x="0" y="0"/>
                      <a:ext cx="4816581" cy="3088410"/>
                    </a:xfrm>
                    <a:prstGeom prst="rect">
                      <a:avLst/>
                    </a:prstGeom>
                  </pic:spPr>
                </pic:pic>
              </a:graphicData>
            </a:graphic>
          </wp:inline>
        </w:drawing>
      </w:r>
    </w:p>
    <w:p w:rsidR="00D966B0" w:rsidRDefault="00DE799F" w:rsidP="002D293F">
      <w:pPr>
        <w:pStyle w:val="NoSpacing"/>
        <w:rPr>
          <w:rFonts w:ascii="Times New Roman" w:hAnsi="Times New Roman"/>
          <w:sz w:val="24"/>
          <w:szCs w:val="24"/>
        </w:rPr>
      </w:pPr>
      <w:r w:rsidRPr="00AC186A">
        <w:rPr>
          <w:rFonts w:ascii="Times New Roman" w:hAnsi="Times New Roman"/>
          <w:b/>
          <w:sz w:val="24"/>
          <w:szCs w:val="24"/>
        </w:rPr>
        <w:t>Map 4</w:t>
      </w:r>
      <w:r w:rsidRPr="000A544F">
        <w:rPr>
          <w:rFonts w:ascii="Times New Roman" w:hAnsi="Times New Roman"/>
          <w:sz w:val="24"/>
          <w:szCs w:val="24"/>
        </w:rPr>
        <w:t>. The</w:t>
      </w:r>
      <w:r w:rsidR="000A544F">
        <w:rPr>
          <w:rFonts w:ascii="Times New Roman" w:hAnsi="Times New Roman"/>
          <w:sz w:val="24"/>
          <w:szCs w:val="24"/>
        </w:rPr>
        <w:t xml:space="preserve"> ENP and the Secessionist States</w:t>
      </w:r>
      <w:r w:rsidRPr="000A544F">
        <w:rPr>
          <w:rStyle w:val="FootnoteReference"/>
          <w:rFonts w:ascii="Times New Roman" w:hAnsi="Times New Roman"/>
          <w:sz w:val="24"/>
          <w:szCs w:val="24"/>
        </w:rPr>
        <w:footnoteReference w:id="204"/>
      </w:r>
    </w:p>
    <w:p w:rsidR="00423B8C" w:rsidRDefault="00423B8C" w:rsidP="002D293F">
      <w:pPr>
        <w:pStyle w:val="NoSpacing"/>
        <w:rPr>
          <w:rFonts w:ascii="Times New Roman" w:hAnsi="Times New Roman"/>
          <w:sz w:val="24"/>
          <w:szCs w:val="24"/>
        </w:rPr>
      </w:pPr>
    </w:p>
    <w:p w:rsidR="00050BA9"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On the one hand, it enables the EU to promote the democratic principles and rule of law and on the other hand, the neighbor states are targeting compliance with the EU regulations without the evident perspective of membership on a sight.</w:t>
      </w:r>
      <w:r w:rsidRPr="00CC4288">
        <w:rPr>
          <w:rStyle w:val="FootnoteReference"/>
          <w:rFonts w:ascii="Times New Roman" w:hAnsi="Times New Roman"/>
          <w:sz w:val="24"/>
          <w:szCs w:val="24"/>
        </w:rPr>
        <w:footnoteReference w:id="205"/>
      </w:r>
      <w:r w:rsidRPr="00CC4288">
        <w:rPr>
          <w:rFonts w:ascii="Times New Roman" w:hAnsi="Times New Roman"/>
          <w:sz w:val="24"/>
          <w:szCs w:val="24"/>
        </w:rPr>
        <w:t xml:space="preserve"> It must be noted that such an approach carries certain limitations for the efficiency of the instrument. In the long-term, the neighbor states show less interest in continuity of merely institutional cooperation and </w:t>
      </w:r>
      <w:proofErr w:type="gramStart"/>
      <w:r w:rsidRPr="00CC4288">
        <w:rPr>
          <w:rFonts w:ascii="Times New Roman" w:hAnsi="Times New Roman"/>
          <w:sz w:val="24"/>
          <w:szCs w:val="24"/>
        </w:rPr>
        <w:t>a strive</w:t>
      </w:r>
      <w:proofErr w:type="gramEnd"/>
      <w:r w:rsidRPr="00CC4288">
        <w:rPr>
          <w:rFonts w:ascii="Times New Roman" w:hAnsi="Times New Roman"/>
          <w:sz w:val="24"/>
          <w:szCs w:val="24"/>
        </w:rPr>
        <w:t xml:space="preserve"> to negotiate the ‘golden carrot’ – accession to the Union.</w:t>
      </w:r>
      <w:r w:rsidRPr="00CC4288">
        <w:rPr>
          <w:rStyle w:val="FootnoteReference"/>
          <w:rFonts w:ascii="Times New Roman" w:hAnsi="Times New Roman"/>
          <w:sz w:val="24"/>
          <w:szCs w:val="24"/>
        </w:rPr>
        <w:footnoteReference w:id="206"/>
      </w:r>
      <w:r w:rsidRPr="00CC4288">
        <w:rPr>
          <w:rFonts w:ascii="Times New Roman" w:hAnsi="Times New Roman"/>
          <w:sz w:val="24"/>
          <w:szCs w:val="24"/>
        </w:rPr>
        <w:t xml:space="preserve"> Considering the large pool </w:t>
      </w:r>
      <w:r w:rsidRPr="00CC4288">
        <w:rPr>
          <w:rFonts w:ascii="Times New Roman" w:hAnsi="Times New Roman"/>
          <w:sz w:val="24"/>
          <w:szCs w:val="24"/>
        </w:rPr>
        <w:lastRenderedPageBreak/>
        <w:t>of countries which joined the ENP format, the EU introduced the individual Action Plans (AP) which was tailored to domestic policies and urgent needs of the neighbor state.</w:t>
      </w:r>
      <w:r w:rsidRPr="00CC4288">
        <w:rPr>
          <w:rStyle w:val="FootnoteReference"/>
          <w:rFonts w:ascii="Times New Roman" w:hAnsi="Times New Roman"/>
          <w:sz w:val="24"/>
          <w:szCs w:val="24"/>
        </w:rPr>
        <w:footnoteReference w:id="207"/>
      </w:r>
      <w:r w:rsidRPr="00CC4288">
        <w:rPr>
          <w:rFonts w:ascii="Times New Roman" w:hAnsi="Times New Roman"/>
          <w:sz w:val="24"/>
          <w:szCs w:val="24"/>
        </w:rPr>
        <w:t xml:space="preserve"> In the case of Georgia, the AP was primarily focused on institutional cooperation, confidence-building, and the EU’s financial assistance in exchange for positive changes. One of the main components was strengthening justice freedom, security, and border management. Moreover, the EU urged Georgia to engage in deeper regional cooperation with neighboring Armenia and Azerbaijan and take an active role in the diversification of the energy corridors.</w:t>
      </w:r>
      <w:r w:rsidRPr="00CC4288">
        <w:rPr>
          <w:rStyle w:val="FootnoteReference"/>
          <w:rFonts w:ascii="Times New Roman" w:hAnsi="Times New Roman"/>
          <w:sz w:val="24"/>
          <w:szCs w:val="24"/>
        </w:rPr>
        <w:footnoteReference w:id="208"/>
      </w:r>
    </w:p>
    <w:p w:rsidR="002D293F" w:rsidRPr="002D293F" w:rsidRDefault="002D293F" w:rsidP="002D293F">
      <w:pPr>
        <w:pStyle w:val="NoSpacing"/>
        <w:rPr>
          <w:sz w:val="32"/>
          <w:szCs w:val="32"/>
        </w:rPr>
      </w:pPr>
    </w:p>
    <w:p w:rsidR="006D2116" w:rsidRPr="002D293F" w:rsidRDefault="00CB66B9" w:rsidP="00C7236D">
      <w:pPr>
        <w:pStyle w:val="Heading2"/>
        <w:rPr>
          <w:color w:val="auto"/>
          <w:sz w:val="32"/>
          <w:szCs w:val="32"/>
        </w:rPr>
      </w:pPr>
      <w:bookmarkStart w:id="17" w:name="_Toc46952611"/>
      <w:r w:rsidRPr="002D293F">
        <w:rPr>
          <w:color w:val="auto"/>
          <w:sz w:val="32"/>
          <w:szCs w:val="32"/>
        </w:rPr>
        <w:t>3.3.</w:t>
      </w:r>
      <w:r w:rsidR="00D966B0">
        <w:rPr>
          <w:color w:val="auto"/>
          <w:sz w:val="32"/>
          <w:szCs w:val="32"/>
        </w:rPr>
        <w:t>3</w:t>
      </w:r>
      <w:r w:rsidRPr="002D293F">
        <w:rPr>
          <w:color w:val="auto"/>
          <w:sz w:val="32"/>
          <w:szCs w:val="32"/>
        </w:rPr>
        <w:t xml:space="preserve"> Deeper Engagement</w:t>
      </w:r>
      <w:r w:rsidR="00050BA9" w:rsidRPr="002D293F">
        <w:rPr>
          <w:color w:val="auto"/>
          <w:sz w:val="32"/>
          <w:szCs w:val="32"/>
        </w:rPr>
        <w:t>: EUJUST Themis, EUSR, EUMM</w:t>
      </w:r>
      <w:bookmarkEnd w:id="17"/>
    </w:p>
    <w:p w:rsidR="002D293F" w:rsidRPr="002D293F" w:rsidRDefault="002D293F" w:rsidP="002D293F"/>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EU-Georgian cooperation in the framework of the ENP played a crucial role in the enhancement of the democratization process, institutional capacity-building, and strengthening of the Euro-Atlantic course of the country. In response to Georgia’s security concerns, the EU introduced the specialized rule of law-oriented mission – EUJUST Themis which significantly strengthened Georgia’s judiciary systems and fight on organized crime.</w:t>
      </w:r>
      <w:r w:rsidRPr="00CC4288">
        <w:rPr>
          <w:rStyle w:val="FootnoteReference"/>
          <w:rFonts w:ascii="Times New Roman" w:hAnsi="Times New Roman"/>
          <w:sz w:val="24"/>
          <w:szCs w:val="24"/>
        </w:rPr>
        <w:footnoteReference w:id="209"/>
      </w:r>
      <w:r w:rsidRPr="00CC4288">
        <w:rPr>
          <w:rFonts w:ascii="Times New Roman" w:hAnsi="Times New Roman"/>
          <w:sz w:val="24"/>
          <w:szCs w:val="24"/>
        </w:rPr>
        <w:t xml:space="preserve"> The main objective of the EUJUST Themis was ensuring stability in the region and support of Georgia’s democratic transition process.</w:t>
      </w:r>
      <w:r w:rsidRPr="00CC4288">
        <w:rPr>
          <w:rStyle w:val="FootnoteReference"/>
          <w:rFonts w:ascii="Times New Roman" w:hAnsi="Times New Roman"/>
          <w:sz w:val="24"/>
          <w:szCs w:val="24"/>
        </w:rPr>
        <w:footnoteReference w:id="210"/>
      </w:r>
      <w:r w:rsidRPr="00CC4288">
        <w:rPr>
          <w:rFonts w:ascii="Times New Roman" w:hAnsi="Times New Roman"/>
          <w:sz w:val="24"/>
          <w:szCs w:val="24"/>
        </w:rPr>
        <w:t xml:space="preserve"> Moreover, by sending the specialized mission to the partner state, the EU reiterated its support towards the democratic reforms in Georgia and engaged in civilian security and crisis management process beyond the borders, which was essentially a new challenge for the Union. The mission focused on four major tasks in Georgia: a) Transfer of know-how in judicial reforms and assistance to the relevant authorities in drafting of the new legal norms and criminal justice reform strategy; b) Coordination and support of compliance of Georgian anti-corruption norms and policies with the EU standards; c) Support and planning of new legislation and judiciary norms; d) Strengthening of regional and international cooperation in the field of criminal justice and </w:t>
      </w:r>
      <w:r w:rsidRPr="00CC4288">
        <w:rPr>
          <w:rFonts w:ascii="Times New Roman" w:hAnsi="Times New Roman"/>
          <w:sz w:val="24"/>
          <w:szCs w:val="24"/>
        </w:rPr>
        <w:lastRenderedPageBreak/>
        <w:t>human rights.</w:t>
      </w:r>
      <w:r w:rsidRPr="00CC4288">
        <w:rPr>
          <w:rStyle w:val="FootnoteReference"/>
          <w:rFonts w:ascii="Times New Roman" w:hAnsi="Times New Roman"/>
          <w:sz w:val="24"/>
          <w:szCs w:val="24"/>
        </w:rPr>
        <w:footnoteReference w:id="211"/>
      </w:r>
      <w:r w:rsidR="00BB4CC1">
        <w:rPr>
          <w:rFonts w:ascii="Times New Roman" w:hAnsi="Times New Roman"/>
          <w:sz w:val="24"/>
          <w:szCs w:val="24"/>
        </w:rPr>
        <w:t xml:space="preserve"> The mission staff was</w:t>
      </w:r>
      <w:r w:rsidRPr="00CC4288">
        <w:rPr>
          <w:rFonts w:ascii="Times New Roman" w:hAnsi="Times New Roman"/>
          <w:sz w:val="24"/>
          <w:szCs w:val="24"/>
        </w:rPr>
        <w:t xml:space="preserve"> experts in the field of criminal justice and penitentiary systems. The experts from the EUJUST Themis were placed on key positions within the Ministry of Justice of Georgia, the Ministry of Internal Affairs, The Supreme Court of Georgia, and other governmental bodies and actively participated in consultations and decision-making processes concerning the judiciary and penitentiary reforms.</w:t>
      </w:r>
      <w:r w:rsidRPr="00CC4288">
        <w:rPr>
          <w:rStyle w:val="FootnoteReference"/>
          <w:rFonts w:ascii="Times New Roman" w:hAnsi="Times New Roman"/>
          <w:sz w:val="24"/>
          <w:szCs w:val="24"/>
        </w:rPr>
        <w:footnoteReference w:id="212"/>
      </w:r>
      <w:r w:rsidRPr="00CC4288">
        <w:rPr>
          <w:rFonts w:ascii="Times New Roman" w:hAnsi="Times New Roman"/>
          <w:b/>
          <w:sz w:val="24"/>
          <w:szCs w:val="24"/>
        </w:rPr>
        <w:t xml:space="preserve"> </w:t>
      </w:r>
      <w:r w:rsidRPr="00CC4288">
        <w:rPr>
          <w:rFonts w:ascii="Times New Roman" w:hAnsi="Times New Roman"/>
          <w:sz w:val="24"/>
          <w:szCs w:val="24"/>
        </w:rPr>
        <w:t>After several years of coordinated working and supervision of the criminal justice reforms in Georgia, the mission completed its objectives by the adoption of the ‘Joint Strategy for Criminal Justice Reform’ in Georgia and addressing the immediate civilian security and development issues in the country.</w:t>
      </w:r>
      <w:r w:rsidRPr="00CC4288">
        <w:rPr>
          <w:rStyle w:val="FootnoteReference"/>
          <w:rFonts w:ascii="Times New Roman" w:hAnsi="Times New Roman"/>
          <w:sz w:val="24"/>
          <w:szCs w:val="24"/>
        </w:rPr>
        <w:footnoteReference w:id="213"/>
      </w:r>
    </w:p>
    <w:p w:rsidR="00185685" w:rsidRDefault="00185685" w:rsidP="00050BA9">
      <w:pPr>
        <w:spacing w:line="360" w:lineRule="auto"/>
        <w:jc w:val="both"/>
        <w:rPr>
          <w:rFonts w:ascii="Times New Roman" w:hAnsi="Times New Roman"/>
          <w:sz w:val="24"/>
          <w:szCs w:val="24"/>
        </w:rPr>
      </w:pPr>
    </w:p>
    <w:p w:rsidR="00546EE1" w:rsidRDefault="006E5499" w:rsidP="00050BA9">
      <w:pPr>
        <w:spacing w:line="360" w:lineRule="auto"/>
        <w:jc w:val="both"/>
        <w:rPr>
          <w:rFonts w:ascii="Times New Roman" w:hAnsi="Times New Roman"/>
          <w:sz w:val="24"/>
          <w:szCs w:val="24"/>
        </w:rPr>
      </w:pPr>
      <w:r>
        <w:rPr>
          <w:rFonts w:ascii="Times New Roman" w:hAnsi="Times New Roman"/>
          <w:sz w:val="24"/>
          <w:szCs w:val="24"/>
        </w:rPr>
        <w:t>According to Grevi (2007): “T</w:t>
      </w:r>
      <w:r w:rsidR="0013679A">
        <w:rPr>
          <w:rFonts w:ascii="Times New Roman" w:hAnsi="Times New Roman"/>
          <w:sz w:val="24"/>
          <w:szCs w:val="24"/>
        </w:rPr>
        <w:t xml:space="preserve">he </w:t>
      </w:r>
      <w:r w:rsidR="00050BA9" w:rsidRPr="00CC4288">
        <w:rPr>
          <w:rFonts w:ascii="Times New Roman" w:hAnsi="Times New Roman"/>
          <w:sz w:val="24"/>
          <w:szCs w:val="24"/>
        </w:rPr>
        <w:t xml:space="preserve">political significance of the unresolved conflicts in Georgia </w:t>
      </w:r>
      <w:r w:rsidR="0013679A">
        <w:rPr>
          <w:rFonts w:ascii="Times New Roman" w:hAnsi="Times New Roman"/>
          <w:sz w:val="24"/>
          <w:szCs w:val="24"/>
        </w:rPr>
        <w:t xml:space="preserve">was </w:t>
      </w:r>
      <w:r w:rsidR="00050BA9" w:rsidRPr="00CC4288">
        <w:rPr>
          <w:rFonts w:ascii="Times New Roman" w:hAnsi="Times New Roman"/>
          <w:sz w:val="24"/>
          <w:szCs w:val="24"/>
        </w:rPr>
        <w:t xml:space="preserve">high </w:t>
      </w:r>
      <w:r w:rsidR="0013679A">
        <w:rPr>
          <w:rFonts w:ascii="Times New Roman" w:hAnsi="Times New Roman"/>
          <w:sz w:val="24"/>
          <w:szCs w:val="24"/>
        </w:rPr>
        <w:t xml:space="preserve">and the </w:t>
      </w:r>
      <w:r w:rsidR="00050BA9" w:rsidRPr="00CC4288">
        <w:rPr>
          <w:rFonts w:ascii="Times New Roman" w:hAnsi="Times New Roman"/>
          <w:sz w:val="24"/>
          <w:szCs w:val="24"/>
        </w:rPr>
        <w:t>ri</w:t>
      </w:r>
      <w:r w:rsidR="0013679A">
        <w:rPr>
          <w:rFonts w:ascii="Times New Roman" w:hAnsi="Times New Roman"/>
          <w:sz w:val="24"/>
          <w:szCs w:val="24"/>
        </w:rPr>
        <w:t xml:space="preserve">sk of </w:t>
      </w:r>
      <w:r>
        <w:rPr>
          <w:rFonts w:ascii="Times New Roman" w:hAnsi="Times New Roman"/>
          <w:sz w:val="24"/>
          <w:szCs w:val="24"/>
        </w:rPr>
        <w:t xml:space="preserve">the </w:t>
      </w:r>
      <w:r w:rsidR="0013679A">
        <w:rPr>
          <w:rFonts w:ascii="Times New Roman" w:hAnsi="Times New Roman"/>
          <w:sz w:val="24"/>
          <w:szCs w:val="24"/>
        </w:rPr>
        <w:t>re-escalation of tensions was persistent, therefore,</w:t>
      </w:r>
      <w:r w:rsidR="00050BA9" w:rsidRPr="00CC4288">
        <w:rPr>
          <w:rFonts w:ascii="Times New Roman" w:hAnsi="Times New Roman"/>
          <w:sz w:val="24"/>
          <w:szCs w:val="24"/>
        </w:rPr>
        <w:t xml:space="preserve"> the EU implemented the EU Special Representative (EU</w:t>
      </w:r>
      <w:r w:rsidR="0013679A">
        <w:rPr>
          <w:rFonts w:ascii="Times New Roman" w:hAnsi="Times New Roman"/>
          <w:sz w:val="24"/>
          <w:szCs w:val="24"/>
        </w:rPr>
        <w:t>SR) to South Caucasus as a counter-measure.”</w:t>
      </w:r>
      <w:r w:rsidR="00050BA9" w:rsidRPr="00CC4288">
        <w:rPr>
          <w:rStyle w:val="FootnoteReference"/>
          <w:rFonts w:ascii="Times New Roman" w:hAnsi="Times New Roman"/>
          <w:sz w:val="24"/>
          <w:szCs w:val="24"/>
        </w:rPr>
        <w:footnoteReference w:id="214"/>
      </w:r>
      <w:r w:rsidR="00050BA9" w:rsidRPr="00CC4288">
        <w:rPr>
          <w:rFonts w:ascii="Times New Roman" w:hAnsi="Times New Roman"/>
          <w:b/>
          <w:sz w:val="24"/>
          <w:szCs w:val="24"/>
        </w:rPr>
        <w:t xml:space="preserve"> </w:t>
      </w:r>
      <w:r w:rsidR="00050BA9" w:rsidRPr="00CC4288">
        <w:rPr>
          <w:rFonts w:ascii="Times New Roman" w:hAnsi="Times New Roman"/>
          <w:sz w:val="24"/>
          <w:szCs w:val="24"/>
        </w:rPr>
        <w:t>The instrument is an integral component of the EU’s CSFP and functions on behalf of the High Representative of the Union for Foreign and Security Policy and the President of the European Commission.</w:t>
      </w:r>
      <w:r w:rsidR="00050BA9" w:rsidRPr="00CC4288">
        <w:rPr>
          <w:rStyle w:val="FootnoteReference"/>
          <w:rFonts w:ascii="Times New Roman" w:hAnsi="Times New Roman"/>
          <w:sz w:val="24"/>
          <w:szCs w:val="24"/>
        </w:rPr>
        <w:footnoteReference w:id="215"/>
      </w:r>
      <w:r w:rsidR="00050BA9" w:rsidRPr="00CC4288">
        <w:rPr>
          <w:rFonts w:ascii="Times New Roman" w:hAnsi="Times New Roman"/>
          <w:sz w:val="24"/>
          <w:szCs w:val="24"/>
        </w:rPr>
        <w:t xml:space="preserve"> The EUSR is a diplomatic instrument that combines four components of the CSFP: the EU’s policy-making, diplomatic initiatives, cooperation with third parties, and coordination with international organizations.</w:t>
      </w:r>
      <w:r w:rsidR="00050BA9" w:rsidRPr="00CC4288">
        <w:rPr>
          <w:rStyle w:val="FootnoteReference"/>
          <w:rFonts w:ascii="Times New Roman" w:hAnsi="Times New Roman"/>
          <w:sz w:val="24"/>
          <w:szCs w:val="24"/>
        </w:rPr>
        <w:footnoteReference w:id="216"/>
      </w:r>
      <w:r w:rsidR="00050BA9" w:rsidRPr="00CC4288">
        <w:rPr>
          <w:rFonts w:ascii="Times New Roman" w:hAnsi="Times New Roman"/>
          <w:sz w:val="24"/>
          <w:szCs w:val="24"/>
        </w:rPr>
        <w:t xml:space="preserve"> Moreover, the EUSR’s in charge of monitoring the conflict dynamics in neighbor states, gathering the information from first-hand sources, and active engagement in political dialogue and conflict transformation.</w:t>
      </w:r>
      <w:r w:rsidR="00050BA9" w:rsidRPr="00CC4288">
        <w:rPr>
          <w:rStyle w:val="FootnoteReference"/>
          <w:rFonts w:ascii="Times New Roman" w:hAnsi="Times New Roman"/>
          <w:sz w:val="24"/>
          <w:szCs w:val="24"/>
        </w:rPr>
        <w:footnoteReference w:id="217"/>
      </w:r>
      <w:r w:rsidR="00050BA9" w:rsidRPr="00CC4288">
        <w:rPr>
          <w:rFonts w:ascii="Times New Roman" w:hAnsi="Times New Roman"/>
          <w:sz w:val="24"/>
          <w:szCs w:val="24"/>
        </w:rPr>
        <w:t xml:space="preserve"> The main objectives of the EUSR in Georgia address the issues of economic development, strengthening of rule of law and human rights, peaceful reconciliation, and restoration of territorial integrity, facilitation of dialogue between the confronting parties and safe return of IDPs.</w:t>
      </w:r>
      <w:r w:rsidR="00050BA9" w:rsidRPr="00CC4288">
        <w:rPr>
          <w:rStyle w:val="FootnoteReference"/>
          <w:rFonts w:ascii="Times New Roman" w:hAnsi="Times New Roman"/>
          <w:sz w:val="24"/>
          <w:szCs w:val="24"/>
        </w:rPr>
        <w:footnoteReference w:id="218"/>
      </w:r>
      <w:r w:rsidR="00050BA9" w:rsidRPr="00CC4288">
        <w:rPr>
          <w:rFonts w:ascii="Times New Roman" w:hAnsi="Times New Roman"/>
          <w:sz w:val="24"/>
          <w:szCs w:val="24"/>
        </w:rPr>
        <w:t xml:space="preserve"> Initially, the EUSR in Georgia faced numerous </w:t>
      </w:r>
      <w:r w:rsidR="00050BA9" w:rsidRPr="00CC4288">
        <w:rPr>
          <w:rFonts w:ascii="Times New Roman" w:hAnsi="Times New Roman"/>
          <w:sz w:val="24"/>
          <w:szCs w:val="24"/>
        </w:rPr>
        <w:lastRenderedPageBreak/>
        <w:t>challenges in the implementation of its mandate. One the one hand, the Georgian government was looking for the mechanisms that would deliver an immediate resolution of the conflicts, on the other hand, the de-facto authorities of the breakaway regions refused to cooperate with the EUSR office and enable the implementation of various instruments in the regions.</w:t>
      </w:r>
      <w:r w:rsidR="00050BA9" w:rsidRPr="00CC4288">
        <w:rPr>
          <w:rStyle w:val="FootnoteReference"/>
          <w:rFonts w:ascii="Times New Roman" w:hAnsi="Times New Roman"/>
          <w:sz w:val="24"/>
          <w:szCs w:val="24"/>
        </w:rPr>
        <w:footnoteReference w:id="219"/>
      </w:r>
      <w:r w:rsidR="00050BA9" w:rsidRPr="00CC4288">
        <w:rPr>
          <w:rFonts w:ascii="Times New Roman" w:hAnsi="Times New Roman"/>
          <w:sz w:val="24"/>
          <w:szCs w:val="24"/>
        </w:rPr>
        <w:t xml:space="preserve"> </w:t>
      </w:r>
    </w:p>
    <w:p w:rsidR="00546EE1" w:rsidRDefault="00546EE1" w:rsidP="00050BA9">
      <w:pPr>
        <w:spacing w:line="360" w:lineRule="auto"/>
        <w:jc w:val="both"/>
        <w:rPr>
          <w:rFonts w:ascii="Times New Roman" w:hAnsi="Times New Roman"/>
          <w:sz w:val="24"/>
          <w:szCs w:val="24"/>
        </w:rPr>
      </w:pPr>
    </w:p>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Nevertheless, the EUSR played a vital role in the initiation of the EU-Abkhazian communication and improvement of the socio-economic situation in borderline districts such as Gali, through the financial instruments and humanitarian programs.</w:t>
      </w:r>
      <w:r w:rsidRPr="00CC4288">
        <w:rPr>
          <w:rStyle w:val="FootnoteReference"/>
          <w:rFonts w:ascii="Times New Roman" w:hAnsi="Times New Roman"/>
          <w:sz w:val="24"/>
          <w:szCs w:val="24"/>
        </w:rPr>
        <w:footnoteReference w:id="220"/>
      </w:r>
      <w:r w:rsidRPr="00CC4288">
        <w:rPr>
          <w:rFonts w:ascii="Times New Roman" w:hAnsi="Times New Roman"/>
          <w:sz w:val="24"/>
          <w:szCs w:val="24"/>
        </w:rPr>
        <w:t xml:space="preserve"> In 2006, the EU appointed Swedish diplomat Peter Semneby as a new EUSR in South Caucasus.</w:t>
      </w:r>
      <w:r w:rsidRPr="00CC4288">
        <w:rPr>
          <w:rStyle w:val="FootnoteReference"/>
          <w:rFonts w:ascii="Times New Roman" w:hAnsi="Times New Roman"/>
          <w:sz w:val="24"/>
          <w:szCs w:val="24"/>
        </w:rPr>
        <w:footnoteReference w:id="221"/>
      </w:r>
      <w:r w:rsidR="00017F53">
        <w:rPr>
          <w:rFonts w:ascii="Times New Roman" w:hAnsi="Times New Roman"/>
          <w:sz w:val="24"/>
          <w:szCs w:val="24"/>
        </w:rPr>
        <w:t xml:space="preserve"> Se</w:t>
      </w:r>
      <w:r w:rsidRPr="00CC4288">
        <w:rPr>
          <w:rFonts w:ascii="Times New Roman" w:hAnsi="Times New Roman"/>
          <w:sz w:val="24"/>
          <w:szCs w:val="24"/>
        </w:rPr>
        <w:t>mneby’s agenda as a new EUSR was primarily oriented towards the settlement of the conflicts and direct dialogue with de-facto authorities.</w:t>
      </w:r>
      <w:r w:rsidRPr="00CC4288">
        <w:rPr>
          <w:rStyle w:val="FootnoteReference"/>
          <w:rFonts w:ascii="Times New Roman" w:hAnsi="Times New Roman"/>
          <w:sz w:val="24"/>
          <w:szCs w:val="24"/>
        </w:rPr>
        <w:footnoteReference w:id="222"/>
      </w:r>
      <w:r w:rsidRPr="00CC4288">
        <w:rPr>
          <w:rFonts w:ascii="Times New Roman" w:hAnsi="Times New Roman"/>
          <w:sz w:val="24"/>
          <w:szCs w:val="24"/>
        </w:rPr>
        <w:t xml:space="preserve"> Over the next three years, the EUSR contributed to social, medical, and educational programs in breakaway regions, restoration of personal links between the civilians on different sides of administrative borderline (ABL), strengthening of the rule of law, and information campaigns on the EU and EUSR. The EUSR was one of the major participants in the development of the EU’s non-recognition and engagement policy (EU NREP) which became the main instrument of the Union’s conflict mediation strategy towards the contested states in South Caucasus.</w:t>
      </w:r>
      <w:r w:rsidRPr="00CC4288">
        <w:rPr>
          <w:rStyle w:val="FootnoteReference"/>
          <w:rFonts w:ascii="Times New Roman" w:hAnsi="Times New Roman"/>
          <w:sz w:val="24"/>
          <w:szCs w:val="24"/>
        </w:rPr>
        <w:footnoteReference w:id="223"/>
      </w:r>
    </w:p>
    <w:p w:rsidR="00185685" w:rsidRDefault="00185685" w:rsidP="00050BA9">
      <w:pPr>
        <w:spacing w:line="360" w:lineRule="auto"/>
        <w:jc w:val="both"/>
        <w:rPr>
          <w:rFonts w:ascii="Times New Roman" w:hAnsi="Times New Roman"/>
          <w:sz w:val="24"/>
          <w:szCs w:val="24"/>
        </w:rPr>
      </w:pPr>
    </w:p>
    <w:p w:rsidR="00050BA9"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One of the main challenges for the EU in the conflict mediation process is the maintenance of peace and order on the ABL in contested regions. In this regard, the Union developed the specialized civilian monitoring mission under the CSDP framework, which consists of 200 experts, observers, and monitors.</w:t>
      </w:r>
      <w:r w:rsidRPr="00CC4288">
        <w:rPr>
          <w:rStyle w:val="FootnoteReference"/>
          <w:rFonts w:ascii="Times New Roman" w:hAnsi="Times New Roman"/>
          <w:sz w:val="24"/>
          <w:szCs w:val="24"/>
        </w:rPr>
        <w:footnoteReference w:id="224"/>
      </w:r>
      <w:r w:rsidRPr="00CC4288">
        <w:rPr>
          <w:rFonts w:ascii="Times New Roman" w:hAnsi="Times New Roman"/>
          <w:sz w:val="24"/>
          <w:szCs w:val="24"/>
        </w:rPr>
        <w:t xml:space="preserve"> The European Union Monitoring Mission in Georgia (EUMM Georgia) was launched in October 2008. The monitoring mission corresponded to diplomatic measures of the six-point cease-fire agreement negotiated by the EU and signed by Georgian and Russian officials after the war in August 2008.</w:t>
      </w:r>
      <w:r w:rsidRPr="00CC4288">
        <w:rPr>
          <w:rStyle w:val="FootnoteReference"/>
          <w:rFonts w:ascii="Times New Roman" w:hAnsi="Times New Roman"/>
          <w:sz w:val="24"/>
          <w:szCs w:val="24"/>
        </w:rPr>
        <w:footnoteReference w:id="225"/>
      </w:r>
      <w:r w:rsidRPr="00CC4288">
        <w:rPr>
          <w:rFonts w:ascii="Times New Roman" w:hAnsi="Times New Roman"/>
          <w:sz w:val="24"/>
          <w:szCs w:val="24"/>
        </w:rPr>
        <w:t xml:space="preserve"> The mission mandate addresses the stabilization of the security environment on the ABL’s, contribution towards </w:t>
      </w:r>
      <w:r w:rsidRPr="00CC4288">
        <w:rPr>
          <w:rFonts w:ascii="Times New Roman" w:hAnsi="Times New Roman"/>
          <w:sz w:val="24"/>
          <w:szCs w:val="24"/>
        </w:rPr>
        <w:lastRenderedPageBreak/>
        <w:t>the peaceful resolution of the conflicts, and confidence-building between the confronting parties.</w:t>
      </w:r>
      <w:r w:rsidRPr="00CC4288">
        <w:rPr>
          <w:rStyle w:val="FootnoteReference"/>
          <w:rFonts w:ascii="Times New Roman" w:hAnsi="Times New Roman"/>
          <w:sz w:val="24"/>
          <w:szCs w:val="24"/>
        </w:rPr>
        <w:footnoteReference w:id="226"/>
      </w:r>
      <w:r w:rsidRPr="00CC4288">
        <w:rPr>
          <w:rFonts w:ascii="Times New Roman" w:hAnsi="Times New Roman"/>
          <w:sz w:val="24"/>
          <w:szCs w:val="24"/>
        </w:rPr>
        <w:t xml:space="preserve"> Moreover, the monitoring mission identified two main objectives: long-term stability in the region and the implementation of the six-point ceasefire agreement and reducing the risks of conflict reescalation.</w:t>
      </w:r>
      <w:r w:rsidRPr="00CC4288">
        <w:rPr>
          <w:rStyle w:val="FootnoteReference"/>
          <w:rFonts w:ascii="Times New Roman" w:hAnsi="Times New Roman"/>
          <w:sz w:val="24"/>
          <w:szCs w:val="24"/>
        </w:rPr>
        <w:footnoteReference w:id="227"/>
      </w:r>
      <w:r w:rsidRPr="00CC4288">
        <w:rPr>
          <w:rFonts w:ascii="Times New Roman" w:hAnsi="Times New Roman"/>
          <w:sz w:val="24"/>
          <w:szCs w:val="24"/>
        </w:rPr>
        <w:t xml:space="preserve"> The monitoring mission outlined four components for efficient implementation of its agenda: stabilization, normalization, confidence-buildin</w:t>
      </w:r>
      <w:r w:rsidR="00185685">
        <w:rPr>
          <w:rFonts w:ascii="Times New Roman" w:hAnsi="Times New Roman"/>
          <w:sz w:val="24"/>
          <w:szCs w:val="24"/>
        </w:rPr>
        <w:t xml:space="preserve">g, exchange of the information. </w:t>
      </w:r>
      <w:r w:rsidR="00D44609">
        <w:rPr>
          <w:rFonts w:ascii="Times New Roman" w:hAnsi="Times New Roman"/>
          <w:sz w:val="24"/>
          <w:szCs w:val="24"/>
        </w:rPr>
        <w:t>According to Merling</w:t>
      </w:r>
      <w:r w:rsidR="00017F53">
        <w:rPr>
          <w:rFonts w:ascii="Times New Roman" w:hAnsi="Times New Roman"/>
          <w:sz w:val="24"/>
          <w:szCs w:val="24"/>
        </w:rPr>
        <w:t>en (2009): ”T</w:t>
      </w:r>
      <w:r w:rsidRPr="00CC4288">
        <w:rPr>
          <w:rFonts w:ascii="Times New Roman" w:hAnsi="Times New Roman"/>
          <w:sz w:val="24"/>
          <w:szCs w:val="24"/>
        </w:rPr>
        <w:t xml:space="preserve">he monitoring mission </w:t>
      </w:r>
      <w:r w:rsidR="00D44609">
        <w:rPr>
          <w:rFonts w:ascii="Times New Roman" w:hAnsi="Times New Roman"/>
          <w:sz w:val="24"/>
          <w:szCs w:val="24"/>
        </w:rPr>
        <w:t>is</w:t>
      </w:r>
      <w:r w:rsidRPr="00CC4288">
        <w:rPr>
          <w:rFonts w:ascii="Times New Roman" w:hAnsi="Times New Roman"/>
          <w:sz w:val="24"/>
          <w:szCs w:val="24"/>
        </w:rPr>
        <w:t xml:space="preserve"> divided </w:t>
      </w:r>
      <w:r w:rsidR="00D44609">
        <w:rPr>
          <w:rFonts w:ascii="Times New Roman" w:hAnsi="Times New Roman"/>
          <w:sz w:val="24"/>
          <w:szCs w:val="24"/>
        </w:rPr>
        <w:t>in</w:t>
      </w:r>
      <w:r w:rsidR="00017F53">
        <w:rPr>
          <w:rFonts w:ascii="Times New Roman" w:hAnsi="Times New Roman"/>
          <w:sz w:val="24"/>
          <w:szCs w:val="24"/>
        </w:rPr>
        <w:t>to</w:t>
      </w:r>
      <w:r w:rsidR="00D44609">
        <w:rPr>
          <w:rFonts w:ascii="Times New Roman" w:hAnsi="Times New Roman"/>
          <w:sz w:val="24"/>
          <w:szCs w:val="24"/>
        </w:rPr>
        <w:t xml:space="preserve"> </w:t>
      </w:r>
      <w:r w:rsidRPr="00CC4288">
        <w:rPr>
          <w:rFonts w:ascii="Times New Roman" w:hAnsi="Times New Roman"/>
          <w:sz w:val="24"/>
          <w:szCs w:val="24"/>
        </w:rPr>
        <w:t xml:space="preserve">groups of experts </w:t>
      </w:r>
      <w:r w:rsidR="00D44609">
        <w:rPr>
          <w:rFonts w:ascii="Times New Roman" w:hAnsi="Times New Roman"/>
          <w:sz w:val="24"/>
          <w:szCs w:val="24"/>
        </w:rPr>
        <w:t>in the fields of</w:t>
      </w:r>
      <w:r w:rsidRPr="00CC4288">
        <w:rPr>
          <w:rFonts w:ascii="Times New Roman" w:hAnsi="Times New Roman"/>
          <w:sz w:val="24"/>
          <w:szCs w:val="24"/>
        </w:rPr>
        <w:t xml:space="preserve"> human rights, human security, humanitarian</w:t>
      </w:r>
      <w:r w:rsidR="00D44609">
        <w:rPr>
          <w:rFonts w:ascii="Times New Roman" w:hAnsi="Times New Roman"/>
          <w:sz w:val="24"/>
          <w:szCs w:val="24"/>
        </w:rPr>
        <w:t xml:space="preserve"> issues, and conflict mediation;</w:t>
      </w:r>
      <w:r w:rsidRPr="00CC4288">
        <w:rPr>
          <w:rFonts w:ascii="Times New Roman" w:hAnsi="Times New Roman"/>
          <w:sz w:val="24"/>
          <w:szCs w:val="24"/>
        </w:rPr>
        <w:t xml:space="preserve"> Furthermore, the monitors actively observe the situation on the ABLs and movement of the Russian troops in these areas. Reporting of the humanitarian situation in villages and movement of military infrastructure.</w:t>
      </w:r>
      <w:r w:rsidR="00D44609">
        <w:rPr>
          <w:rFonts w:ascii="Times New Roman" w:hAnsi="Times New Roman"/>
          <w:sz w:val="24"/>
          <w:szCs w:val="24"/>
        </w:rPr>
        <w:t>”</w:t>
      </w:r>
      <w:r w:rsidRPr="00CC4288">
        <w:rPr>
          <w:rStyle w:val="FootnoteReference"/>
          <w:rFonts w:ascii="Times New Roman" w:hAnsi="Times New Roman"/>
          <w:sz w:val="24"/>
          <w:szCs w:val="24"/>
        </w:rPr>
        <w:footnoteReference w:id="228"/>
      </w:r>
      <w:r w:rsidRPr="00CC4288">
        <w:rPr>
          <w:rFonts w:ascii="Times New Roman" w:hAnsi="Times New Roman"/>
          <w:sz w:val="24"/>
          <w:szCs w:val="24"/>
        </w:rPr>
        <w:t xml:space="preserve"> It must be noted that despite legal rights to operate within the territories controlled by the de-facto authorities of Abkhazia and South Ossetia, the mission’s activities are conducted only in Tbilisi controlled territories.</w:t>
      </w:r>
      <w:r w:rsidRPr="00CC4288">
        <w:rPr>
          <w:rStyle w:val="FootnoteReference"/>
          <w:rFonts w:ascii="Times New Roman" w:hAnsi="Times New Roman"/>
          <w:sz w:val="24"/>
          <w:szCs w:val="24"/>
        </w:rPr>
        <w:footnoteReference w:id="229"/>
      </w:r>
      <w:r w:rsidRPr="00CC4288">
        <w:rPr>
          <w:rFonts w:ascii="Times New Roman" w:hAnsi="Times New Roman"/>
          <w:sz w:val="24"/>
          <w:szCs w:val="24"/>
        </w:rPr>
        <w:t xml:space="preserve"> This can be considered as one of the main hindering factors for the efficient implementation of the mission’s objectives. Furthermore, there were facts of kidnapping and harassment of the monitors by the separatist forces.</w:t>
      </w:r>
      <w:r w:rsidRPr="00CC4288">
        <w:rPr>
          <w:rStyle w:val="FootnoteReference"/>
          <w:rFonts w:ascii="Times New Roman" w:hAnsi="Times New Roman"/>
          <w:sz w:val="24"/>
          <w:szCs w:val="24"/>
        </w:rPr>
        <w:footnoteReference w:id="230"/>
      </w:r>
      <w:r w:rsidRPr="00CC4288">
        <w:rPr>
          <w:rFonts w:ascii="Times New Roman" w:hAnsi="Times New Roman"/>
          <w:b/>
          <w:sz w:val="24"/>
          <w:szCs w:val="24"/>
        </w:rPr>
        <w:t xml:space="preserve"> </w:t>
      </w:r>
      <w:r w:rsidRPr="00CC4288">
        <w:rPr>
          <w:rFonts w:ascii="Times New Roman" w:hAnsi="Times New Roman"/>
          <w:sz w:val="24"/>
          <w:szCs w:val="24"/>
        </w:rPr>
        <w:t>Nevertheless, the EUMM remains the only active international monitoring mission deployed near the contested regions of Geor</w:t>
      </w:r>
      <w:r w:rsidR="00E204B8">
        <w:rPr>
          <w:rFonts w:ascii="Times New Roman" w:hAnsi="Times New Roman"/>
          <w:sz w:val="24"/>
          <w:szCs w:val="24"/>
        </w:rPr>
        <w:t>gia and plays a crucial role in</w:t>
      </w:r>
      <w:r w:rsidRPr="00CC4288">
        <w:rPr>
          <w:rFonts w:ascii="Times New Roman" w:hAnsi="Times New Roman"/>
          <w:sz w:val="24"/>
          <w:szCs w:val="24"/>
        </w:rPr>
        <w:t xml:space="preserve"> the implementation of the EU’</w:t>
      </w:r>
      <w:r w:rsidR="00F305D7">
        <w:rPr>
          <w:rFonts w:ascii="Times New Roman" w:hAnsi="Times New Roman"/>
          <w:sz w:val="24"/>
          <w:szCs w:val="24"/>
        </w:rPr>
        <w:t xml:space="preserve">s conflict mediation strategy. </w:t>
      </w:r>
    </w:p>
    <w:p w:rsidR="00792A84" w:rsidRPr="00792A84" w:rsidRDefault="00792A84" w:rsidP="00792A84">
      <w:pPr>
        <w:pStyle w:val="NoSpacing"/>
      </w:pPr>
    </w:p>
    <w:p w:rsidR="00050BA9" w:rsidRPr="00792A84" w:rsidRDefault="00D966B0" w:rsidP="006D2116">
      <w:pPr>
        <w:pStyle w:val="Heading2"/>
        <w:rPr>
          <w:color w:val="auto"/>
          <w:sz w:val="32"/>
          <w:szCs w:val="32"/>
        </w:rPr>
      </w:pPr>
      <w:bookmarkStart w:id="18" w:name="_Toc46952612"/>
      <w:r>
        <w:rPr>
          <w:color w:val="auto"/>
          <w:sz w:val="32"/>
          <w:szCs w:val="32"/>
        </w:rPr>
        <w:t>3.3.4</w:t>
      </w:r>
      <w:r w:rsidR="00050BA9" w:rsidRPr="00792A84">
        <w:rPr>
          <w:color w:val="auto"/>
          <w:sz w:val="32"/>
          <w:szCs w:val="32"/>
        </w:rPr>
        <w:t xml:space="preserve"> </w:t>
      </w:r>
      <w:r w:rsidR="00924987" w:rsidRPr="00792A84">
        <w:rPr>
          <w:color w:val="auto"/>
          <w:sz w:val="32"/>
          <w:szCs w:val="32"/>
        </w:rPr>
        <w:t xml:space="preserve">The </w:t>
      </w:r>
      <w:r w:rsidR="00050BA9" w:rsidRPr="00792A84">
        <w:rPr>
          <w:color w:val="auto"/>
          <w:sz w:val="32"/>
          <w:szCs w:val="32"/>
        </w:rPr>
        <w:t>More for More</w:t>
      </w:r>
      <w:r w:rsidR="00924987" w:rsidRPr="00792A84">
        <w:rPr>
          <w:color w:val="auto"/>
          <w:sz w:val="32"/>
          <w:szCs w:val="32"/>
        </w:rPr>
        <w:t xml:space="preserve"> Strategy</w:t>
      </w:r>
      <w:r w:rsidR="00421946" w:rsidRPr="00792A84">
        <w:rPr>
          <w:color w:val="auto"/>
          <w:sz w:val="32"/>
          <w:szCs w:val="32"/>
        </w:rPr>
        <w:t>: Eastern Partnership</w:t>
      </w:r>
      <w:bookmarkEnd w:id="18"/>
    </w:p>
    <w:p w:rsidR="00792A84" w:rsidRPr="00792A84" w:rsidRDefault="00792A84" w:rsidP="00792A84"/>
    <w:p w:rsidR="00D21302"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 xml:space="preserve">The EU-Georgian cooperation under the ENP framework achieved some of its important objectives. However, cultural, political, and social-economic differences between the Southern and Eastern neighborhoods, as well as different needs and domestic challenges underlined the necessity for more specific, region-tied platforms for cooperation. In May 2009, the European Union launched the Eastern Partnership (EaP) platform in Prague, Czech </w:t>
      </w:r>
      <w:r w:rsidRPr="00CC4288">
        <w:rPr>
          <w:rFonts w:ascii="Times New Roman" w:hAnsi="Times New Roman"/>
          <w:sz w:val="24"/>
          <w:szCs w:val="24"/>
        </w:rPr>
        <w:lastRenderedPageBreak/>
        <w:t>Republic.</w:t>
      </w:r>
      <w:r w:rsidRPr="00CC4288">
        <w:rPr>
          <w:rStyle w:val="FootnoteReference"/>
          <w:rFonts w:ascii="Times New Roman" w:hAnsi="Times New Roman"/>
          <w:sz w:val="24"/>
          <w:szCs w:val="24"/>
        </w:rPr>
        <w:footnoteReference w:id="231"/>
      </w:r>
      <w:r w:rsidRPr="00CC4288">
        <w:rPr>
          <w:rFonts w:ascii="Times New Roman" w:hAnsi="Times New Roman"/>
          <w:sz w:val="24"/>
          <w:szCs w:val="24"/>
        </w:rPr>
        <w:t xml:space="preserve"> The six neighboring states in the East: Armenia, Azerbaijan, Belarus, Georgia, Moldova, and Ukraine were invited to join the initiative. </w:t>
      </w:r>
    </w:p>
    <w:p w:rsidR="00D21302" w:rsidRDefault="00D21302" w:rsidP="00050BA9">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629275" cy="38192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ern Partnership Maapp.png"/>
                    <pic:cNvPicPr/>
                  </pic:nvPicPr>
                  <pic:blipFill>
                    <a:blip r:embed="rId16">
                      <a:extLst>
                        <a:ext uri="{28A0092B-C50C-407E-A947-70E740481C1C}">
                          <a14:useLocalDpi xmlns:a14="http://schemas.microsoft.com/office/drawing/2010/main" val="0"/>
                        </a:ext>
                      </a:extLst>
                    </a:blip>
                    <a:stretch>
                      <a:fillRect/>
                    </a:stretch>
                  </pic:blipFill>
                  <pic:spPr>
                    <a:xfrm>
                      <a:off x="0" y="0"/>
                      <a:ext cx="5642935" cy="3828512"/>
                    </a:xfrm>
                    <a:prstGeom prst="rect">
                      <a:avLst/>
                    </a:prstGeom>
                  </pic:spPr>
                </pic:pic>
              </a:graphicData>
            </a:graphic>
          </wp:inline>
        </w:drawing>
      </w:r>
    </w:p>
    <w:p w:rsidR="00D21302" w:rsidRDefault="00D21302" w:rsidP="00792A84">
      <w:pPr>
        <w:pStyle w:val="NoSpacing"/>
        <w:rPr>
          <w:rFonts w:ascii="Times New Roman" w:hAnsi="Times New Roman"/>
          <w:sz w:val="24"/>
          <w:szCs w:val="24"/>
        </w:rPr>
      </w:pPr>
      <w:r w:rsidRPr="00421946">
        <w:rPr>
          <w:rFonts w:ascii="Times New Roman" w:hAnsi="Times New Roman"/>
          <w:b/>
          <w:sz w:val="24"/>
          <w:szCs w:val="24"/>
        </w:rPr>
        <w:t>Map</w:t>
      </w:r>
      <w:r w:rsidR="00421946" w:rsidRPr="00421946">
        <w:rPr>
          <w:rFonts w:ascii="Times New Roman" w:hAnsi="Times New Roman"/>
          <w:b/>
          <w:sz w:val="24"/>
          <w:szCs w:val="24"/>
        </w:rPr>
        <w:t xml:space="preserve"> 5</w:t>
      </w:r>
      <w:r w:rsidRPr="00421946">
        <w:rPr>
          <w:rFonts w:ascii="Times New Roman" w:hAnsi="Times New Roman"/>
          <w:b/>
          <w:sz w:val="24"/>
          <w:szCs w:val="24"/>
        </w:rPr>
        <w:t xml:space="preserve">. </w:t>
      </w:r>
      <w:r w:rsidRPr="000A1F80">
        <w:rPr>
          <w:rFonts w:ascii="Times New Roman" w:hAnsi="Times New Roman"/>
          <w:sz w:val="24"/>
          <w:szCs w:val="24"/>
        </w:rPr>
        <w:t>Six Member States of the Eastern Partnership Initiative</w:t>
      </w:r>
      <w:r w:rsidR="005B7387" w:rsidRPr="000A1F80">
        <w:rPr>
          <w:rStyle w:val="FootnoteReference"/>
          <w:rFonts w:ascii="Times New Roman" w:hAnsi="Times New Roman"/>
          <w:sz w:val="24"/>
          <w:szCs w:val="24"/>
        </w:rPr>
        <w:footnoteReference w:id="232"/>
      </w:r>
    </w:p>
    <w:p w:rsidR="00D966B0" w:rsidRDefault="00D966B0" w:rsidP="00792A84">
      <w:pPr>
        <w:pStyle w:val="NoSpacing"/>
        <w:rPr>
          <w:rFonts w:ascii="Times New Roman" w:hAnsi="Times New Roman"/>
          <w:sz w:val="24"/>
          <w:szCs w:val="24"/>
        </w:rPr>
      </w:pPr>
    </w:p>
    <w:p w:rsidR="00695BBD" w:rsidRDefault="00D44609" w:rsidP="00050BA9">
      <w:pPr>
        <w:spacing w:line="360" w:lineRule="auto"/>
        <w:jc w:val="both"/>
        <w:rPr>
          <w:rFonts w:ascii="Times New Roman" w:hAnsi="Times New Roman"/>
          <w:sz w:val="24"/>
          <w:szCs w:val="24"/>
        </w:rPr>
      </w:pPr>
      <w:r>
        <w:rPr>
          <w:rFonts w:ascii="Times New Roman" w:hAnsi="Times New Roman"/>
          <w:sz w:val="24"/>
          <w:szCs w:val="24"/>
        </w:rPr>
        <w:t>Popescu (2009) notes that t</w:t>
      </w:r>
      <w:r w:rsidR="00D21302">
        <w:rPr>
          <w:rFonts w:ascii="Times New Roman" w:hAnsi="Times New Roman"/>
          <w:sz w:val="24"/>
          <w:szCs w:val="24"/>
        </w:rPr>
        <w:t xml:space="preserve">he mechanism aims </w:t>
      </w:r>
      <w:r w:rsidR="00050BA9" w:rsidRPr="00CC4288">
        <w:rPr>
          <w:rFonts w:ascii="Times New Roman" w:hAnsi="Times New Roman"/>
          <w:sz w:val="24"/>
          <w:szCs w:val="24"/>
        </w:rPr>
        <w:t>to address the specific needs and ambitions of six former Soviet states on internal and external dimensions.</w:t>
      </w:r>
      <w:r w:rsidR="00050BA9" w:rsidRPr="00CC4288">
        <w:rPr>
          <w:rStyle w:val="FootnoteReference"/>
          <w:rFonts w:ascii="Times New Roman" w:hAnsi="Times New Roman"/>
          <w:sz w:val="24"/>
          <w:szCs w:val="24"/>
        </w:rPr>
        <w:footnoteReference w:id="233"/>
      </w:r>
      <w:r w:rsidR="00050BA9" w:rsidRPr="00CC4288">
        <w:rPr>
          <w:rFonts w:ascii="Times New Roman" w:hAnsi="Times New Roman"/>
          <w:sz w:val="24"/>
          <w:szCs w:val="24"/>
        </w:rPr>
        <w:t xml:space="preserve"> The EaP declaration underlined that the main objective of the platform was to enhance multilateral partnerships, strengthen the rule of law, support democratization, and institutionalization processes and prepare the ground for the future enlargement of the EU.</w:t>
      </w:r>
      <w:r w:rsidR="00050BA9" w:rsidRPr="00CC4288">
        <w:rPr>
          <w:rStyle w:val="FootnoteReference"/>
          <w:rFonts w:ascii="Times New Roman" w:hAnsi="Times New Roman"/>
          <w:sz w:val="24"/>
          <w:szCs w:val="24"/>
        </w:rPr>
        <w:footnoteReference w:id="234"/>
      </w:r>
      <w:r w:rsidR="00050BA9" w:rsidRPr="00CC4288">
        <w:rPr>
          <w:rFonts w:ascii="Times New Roman" w:hAnsi="Times New Roman"/>
          <w:sz w:val="24"/>
          <w:szCs w:val="24"/>
        </w:rPr>
        <w:t xml:space="preserve"> The masterminds behind the EaP project were the Polish foreign Minister Sikorski and Swedish Foreign Minister Carl Bildt who had active consultations with the state officials from the Baltic </w:t>
      </w:r>
      <w:proofErr w:type="gramStart"/>
      <w:r w:rsidR="00050BA9" w:rsidRPr="00CC4288">
        <w:rPr>
          <w:rFonts w:ascii="Times New Roman" w:hAnsi="Times New Roman"/>
          <w:sz w:val="24"/>
          <w:szCs w:val="24"/>
        </w:rPr>
        <w:t>states</w:t>
      </w:r>
      <w:proofErr w:type="gramEnd"/>
      <w:r w:rsidR="00050BA9" w:rsidRPr="00CC4288">
        <w:rPr>
          <w:rFonts w:ascii="Times New Roman" w:hAnsi="Times New Roman"/>
          <w:sz w:val="24"/>
          <w:szCs w:val="24"/>
        </w:rPr>
        <w:t xml:space="preserve"> and Georgian </w:t>
      </w:r>
      <w:r w:rsidR="00050BA9" w:rsidRPr="00CC4288">
        <w:rPr>
          <w:rFonts w:ascii="Times New Roman" w:hAnsi="Times New Roman"/>
          <w:sz w:val="24"/>
          <w:szCs w:val="24"/>
        </w:rPr>
        <w:lastRenderedPageBreak/>
        <w:t>President Mikheil Saakashvili.</w:t>
      </w:r>
      <w:r w:rsidR="00050BA9" w:rsidRPr="00CC4288">
        <w:rPr>
          <w:rStyle w:val="FootnoteReference"/>
          <w:rFonts w:ascii="Times New Roman" w:hAnsi="Times New Roman"/>
          <w:sz w:val="24"/>
          <w:szCs w:val="24"/>
        </w:rPr>
        <w:footnoteReference w:id="235"/>
      </w:r>
      <w:r w:rsidR="00050BA9" w:rsidRPr="00CC4288">
        <w:rPr>
          <w:rFonts w:ascii="Times New Roman" w:hAnsi="Times New Roman"/>
          <w:sz w:val="24"/>
          <w:szCs w:val="24"/>
        </w:rPr>
        <w:t xml:space="preserve"> One of the main advantages of the EaP was its flexibility in setting the goals and priorities individually with participating states. This policy enables both the EU and the Eastern neighbors to outline the action plan following foreign policy interests and domestic needs.</w:t>
      </w:r>
      <w:r w:rsidR="00050BA9" w:rsidRPr="00CC4288">
        <w:rPr>
          <w:rStyle w:val="FootnoteReference"/>
          <w:rFonts w:ascii="Times New Roman" w:hAnsi="Times New Roman"/>
          <w:sz w:val="24"/>
          <w:szCs w:val="24"/>
        </w:rPr>
        <w:footnoteReference w:id="236"/>
      </w:r>
      <w:r w:rsidR="00050BA9" w:rsidRPr="00CC4288">
        <w:rPr>
          <w:rFonts w:ascii="Times New Roman" w:hAnsi="Times New Roman"/>
          <w:sz w:val="24"/>
          <w:szCs w:val="24"/>
        </w:rPr>
        <w:t xml:space="preserve"> The strengthening of civil society, good governance, and rule of law are some of the main priorities of the EaP. Every two years, the participating states are gathering at the EaP summit which gives the assessment of the progress and discusses the possibility to reward the neighbors with prospects of Visa Liberalization, Association Agreements and Deep and Comprehensive Free Trade Agreements.</w:t>
      </w:r>
      <w:r w:rsidR="00050BA9" w:rsidRPr="00CC4288">
        <w:rPr>
          <w:rStyle w:val="FootnoteReference"/>
          <w:rFonts w:ascii="Times New Roman" w:hAnsi="Times New Roman"/>
          <w:sz w:val="24"/>
          <w:szCs w:val="24"/>
        </w:rPr>
        <w:footnoteReference w:id="237"/>
      </w:r>
      <w:r w:rsidR="00050BA9" w:rsidRPr="00CC4288">
        <w:rPr>
          <w:rFonts w:ascii="Times New Roman" w:hAnsi="Times New Roman"/>
          <w:sz w:val="24"/>
          <w:szCs w:val="24"/>
        </w:rPr>
        <w:t xml:space="preserve"> </w:t>
      </w:r>
    </w:p>
    <w:p w:rsidR="00695BBD" w:rsidRDefault="00695BBD" w:rsidP="00050BA9">
      <w:pPr>
        <w:spacing w:line="360" w:lineRule="auto"/>
        <w:jc w:val="both"/>
        <w:rPr>
          <w:rFonts w:ascii="Times New Roman" w:hAnsi="Times New Roman"/>
          <w:sz w:val="24"/>
          <w:szCs w:val="24"/>
        </w:rPr>
      </w:pPr>
    </w:p>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EaP is essentially a complementary initiative to the ENP. It enables the EU to fill the institutional gaps and connect the missing links of the ENP. The EaP Civil Society Forum is one of such mechanisms, which is dedicated specifically to the development of the NGOs and Civil Society Organizations in Eastern neighbor states.</w:t>
      </w:r>
      <w:r w:rsidRPr="00CC4288">
        <w:rPr>
          <w:rStyle w:val="FootnoteReference"/>
          <w:rFonts w:ascii="Times New Roman" w:hAnsi="Times New Roman"/>
          <w:sz w:val="24"/>
          <w:szCs w:val="24"/>
        </w:rPr>
        <w:footnoteReference w:id="238"/>
      </w:r>
      <w:r w:rsidRPr="00CC4288">
        <w:rPr>
          <w:rFonts w:ascii="Times New Roman" w:hAnsi="Times New Roman"/>
          <w:sz w:val="24"/>
          <w:szCs w:val="24"/>
        </w:rPr>
        <w:t xml:space="preserve"> The EaP uses a two-dimensional approach for achieving its objectives with partner states: strengthening of the partnership in the context of political association with the EU and approximation of the economic policies for the integration into the EU’s internal market.</w:t>
      </w:r>
      <w:r w:rsidRPr="00CC4288">
        <w:rPr>
          <w:rStyle w:val="FootnoteReference"/>
          <w:rFonts w:ascii="Times New Roman" w:hAnsi="Times New Roman"/>
          <w:sz w:val="24"/>
          <w:szCs w:val="24"/>
        </w:rPr>
        <w:footnoteReference w:id="239"/>
      </w:r>
      <w:r w:rsidRPr="00CC4288">
        <w:rPr>
          <w:rFonts w:ascii="Times New Roman" w:hAnsi="Times New Roman"/>
          <w:sz w:val="24"/>
          <w:szCs w:val="24"/>
        </w:rPr>
        <w:t xml:space="preserve"> </w:t>
      </w:r>
      <w:proofErr w:type="gramStart"/>
      <w:r w:rsidRPr="00CC4288">
        <w:rPr>
          <w:rFonts w:ascii="Times New Roman" w:hAnsi="Times New Roman"/>
          <w:sz w:val="24"/>
          <w:szCs w:val="24"/>
        </w:rPr>
        <w:t>although</w:t>
      </w:r>
      <w:proofErr w:type="gramEnd"/>
      <w:r w:rsidRPr="00CC4288">
        <w:rPr>
          <w:rFonts w:ascii="Times New Roman" w:hAnsi="Times New Roman"/>
          <w:sz w:val="24"/>
          <w:szCs w:val="24"/>
        </w:rPr>
        <w:t>, the EaP has no practical tools and instruments for conflict resolution. Its soft power mechanisms and financial instruments are certainly attractive for the Eastern neig</w:t>
      </w:r>
      <w:r w:rsidR="00434913">
        <w:rPr>
          <w:rFonts w:ascii="Times New Roman" w:hAnsi="Times New Roman"/>
          <w:sz w:val="24"/>
          <w:szCs w:val="24"/>
        </w:rPr>
        <w:t>hbor states but the same does not</w:t>
      </w:r>
      <w:r w:rsidRPr="00CC4288">
        <w:rPr>
          <w:rFonts w:ascii="Times New Roman" w:hAnsi="Times New Roman"/>
          <w:sz w:val="24"/>
          <w:szCs w:val="24"/>
        </w:rPr>
        <w:t xml:space="preserve"> apply to the contested regions.</w:t>
      </w:r>
      <w:r w:rsidRPr="00CC4288">
        <w:rPr>
          <w:rStyle w:val="FootnoteReference"/>
          <w:rFonts w:ascii="Times New Roman" w:hAnsi="Times New Roman"/>
          <w:sz w:val="24"/>
          <w:szCs w:val="24"/>
        </w:rPr>
        <w:footnoteReference w:id="240"/>
      </w:r>
      <w:r w:rsidRPr="00CC4288">
        <w:rPr>
          <w:rFonts w:ascii="Times New Roman" w:hAnsi="Times New Roman"/>
          <w:sz w:val="24"/>
          <w:szCs w:val="24"/>
        </w:rPr>
        <w:t xml:space="preserve"> One of the major initiatives of the EaP concerning the security capacity building was the Integrated Border Management mechanism; however, its primary focus was shifted more towards the interstate context rather than internal ABL areas.</w:t>
      </w:r>
      <w:r w:rsidRPr="00CC4288">
        <w:rPr>
          <w:rStyle w:val="FootnoteReference"/>
          <w:rFonts w:ascii="Times New Roman" w:hAnsi="Times New Roman"/>
          <w:sz w:val="24"/>
          <w:szCs w:val="24"/>
        </w:rPr>
        <w:footnoteReference w:id="241"/>
      </w:r>
      <w:r w:rsidRPr="00CC4288">
        <w:rPr>
          <w:rFonts w:ascii="Times New Roman" w:hAnsi="Times New Roman"/>
          <w:sz w:val="24"/>
          <w:szCs w:val="24"/>
        </w:rPr>
        <w:t xml:space="preserve"> Furthermore, there is a significant contrast in declared objectives and mandate between the EaP and other EU instruments such as EUSR </w:t>
      </w:r>
      <w:r w:rsidR="00434913">
        <w:rPr>
          <w:rFonts w:ascii="Times New Roman" w:hAnsi="Times New Roman"/>
          <w:sz w:val="24"/>
          <w:szCs w:val="24"/>
        </w:rPr>
        <w:t>and EUMM. The EaP agenda does not</w:t>
      </w:r>
      <w:r w:rsidRPr="00CC4288">
        <w:rPr>
          <w:rFonts w:ascii="Times New Roman" w:hAnsi="Times New Roman"/>
          <w:sz w:val="24"/>
          <w:szCs w:val="24"/>
        </w:rPr>
        <w:t xml:space="preserve"> include any specific agreement on the conflict resolution strategy i</w:t>
      </w:r>
      <w:r w:rsidR="00434913">
        <w:rPr>
          <w:rFonts w:ascii="Times New Roman" w:hAnsi="Times New Roman"/>
          <w:sz w:val="24"/>
          <w:szCs w:val="24"/>
        </w:rPr>
        <w:t xml:space="preserve">n contested regions; it does not </w:t>
      </w:r>
      <w:r w:rsidRPr="00CC4288">
        <w:rPr>
          <w:rFonts w:ascii="Times New Roman" w:hAnsi="Times New Roman"/>
          <w:sz w:val="24"/>
          <w:szCs w:val="24"/>
        </w:rPr>
        <w:t>outline the necessary capacities for engagement in conflict mediation; it prioritizes the cooperat</w:t>
      </w:r>
      <w:r w:rsidR="00434913">
        <w:rPr>
          <w:rFonts w:ascii="Times New Roman" w:hAnsi="Times New Roman"/>
          <w:sz w:val="24"/>
          <w:szCs w:val="24"/>
        </w:rPr>
        <w:t xml:space="preserve">ion in the fields which does not </w:t>
      </w:r>
      <w:r w:rsidRPr="00CC4288">
        <w:rPr>
          <w:rFonts w:ascii="Times New Roman" w:hAnsi="Times New Roman"/>
          <w:sz w:val="24"/>
          <w:szCs w:val="24"/>
        </w:rPr>
        <w:t xml:space="preserve">confront the interests of the important regional actors such as Russia. </w:t>
      </w:r>
      <w:r w:rsidRPr="00CC4288">
        <w:rPr>
          <w:rFonts w:ascii="Times New Roman" w:hAnsi="Times New Roman"/>
          <w:sz w:val="24"/>
          <w:szCs w:val="24"/>
        </w:rPr>
        <w:lastRenderedPageBreak/>
        <w:t>These factors underline the EaP’s limited capacity or even inability to enhance the EU’s role as a conflict mediator, however, it must be emphasized that the platform plays a crucial role in coherent institutional development and democratization in Eastern neighbors states, including Georgia.</w:t>
      </w:r>
    </w:p>
    <w:p w:rsidR="00695BBD" w:rsidRDefault="00695BBD" w:rsidP="00050BA9">
      <w:pPr>
        <w:spacing w:line="360" w:lineRule="auto"/>
        <w:jc w:val="both"/>
        <w:rPr>
          <w:rFonts w:ascii="Times New Roman" w:hAnsi="Times New Roman"/>
          <w:sz w:val="24"/>
          <w:szCs w:val="24"/>
        </w:rPr>
      </w:pPr>
    </w:p>
    <w:p w:rsidR="006D2116" w:rsidRDefault="0045545A" w:rsidP="00050BA9">
      <w:pPr>
        <w:spacing w:line="360" w:lineRule="auto"/>
        <w:jc w:val="both"/>
        <w:rPr>
          <w:rFonts w:ascii="Times New Roman" w:hAnsi="Times New Roman"/>
          <w:sz w:val="24"/>
          <w:szCs w:val="24"/>
        </w:rPr>
      </w:pPr>
      <w:r>
        <w:rPr>
          <w:rFonts w:ascii="Times New Roman" w:hAnsi="Times New Roman"/>
          <w:sz w:val="24"/>
          <w:szCs w:val="24"/>
        </w:rPr>
        <w:t>One of the major objectives of the EaP is to project the EU’s resilience policy in partner states. The concept corresponds to the ability of the states and societies to implement the reforms and effectively withstand the ex</w:t>
      </w:r>
      <w:r w:rsidR="00855EB3">
        <w:rPr>
          <w:rFonts w:ascii="Times New Roman" w:hAnsi="Times New Roman"/>
          <w:sz w:val="24"/>
          <w:szCs w:val="24"/>
        </w:rPr>
        <w:t>ternal and internal challenges.</w:t>
      </w:r>
      <w:r w:rsidR="00855EB3">
        <w:rPr>
          <w:rStyle w:val="FootnoteReference"/>
          <w:rFonts w:ascii="Times New Roman" w:hAnsi="Times New Roman"/>
          <w:sz w:val="24"/>
          <w:szCs w:val="24"/>
        </w:rPr>
        <w:footnoteReference w:id="242"/>
      </w:r>
      <w:r w:rsidR="00855EB3">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Furthermore, the OECD has outlined that resilience is </w:t>
      </w:r>
      <w:r w:rsidR="00BB4CC1">
        <w:rPr>
          <w:rFonts w:ascii="Times New Roman" w:hAnsi="Times New Roman"/>
          <w:sz w:val="24"/>
          <w:szCs w:val="24"/>
        </w:rPr>
        <w:t xml:space="preserve">a </w:t>
      </w:r>
      <w:r>
        <w:rPr>
          <w:rFonts w:ascii="Times New Roman" w:hAnsi="Times New Roman"/>
          <w:sz w:val="24"/>
          <w:szCs w:val="24"/>
        </w:rPr>
        <w:t>vital component of the states to face the external interventions and changes in three dimensions: effective</w:t>
      </w:r>
      <w:r w:rsidR="00362466">
        <w:rPr>
          <w:rFonts w:ascii="Times New Roman" w:hAnsi="Times New Roman"/>
          <w:sz w:val="24"/>
          <w:szCs w:val="24"/>
        </w:rPr>
        <w:t>ness, capacity, and legitimacy.</w:t>
      </w:r>
      <w:r w:rsidR="00362466">
        <w:rPr>
          <w:rStyle w:val="FootnoteReference"/>
          <w:rFonts w:ascii="Times New Roman" w:hAnsi="Times New Roman"/>
          <w:sz w:val="24"/>
          <w:szCs w:val="24"/>
        </w:rPr>
        <w:footnoteReference w:id="243"/>
      </w:r>
      <w:r>
        <w:rPr>
          <w:rFonts w:ascii="Times New Roman" w:hAnsi="Times New Roman"/>
          <w:sz w:val="24"/>
          <w:szCs w:val="24"/>
        </w:rPr>
        <w:t xml:space="preserve"> The concept is </w:t>
      </w:r>
      <w:r w:rsidR="00BB4CC1">
        <w:rPr>
          <w:rFonts w:ascii="Times New Roman" w:hAnsi="Times New Roman"/>
          <w:sz w:val="24"/>
          <w:szCs w:val="24"/>
        </w:rPr>
        <w:t xml:space="preserve">an </w:t>
      </w:r>
      <w:r>
        <w:rPr>
          <w:rFonts w:ascii="Times New Roman" w:hAnsi="Times New Roman"/>
          <w:sz w:val="24"/>
          <w:szCs w:val="24"/>
        </w:rPr>
        <w:t>integral part of the EU’s external governa</w:t>
      </w:r>
      <w:r w:rsidR="00BB4CC1">
        <w:rPr>
          <w:rFonts w:ascii="Times New Roman" w:hAnsi="Times New Roman"/>
          <w:sz w:val="24"/>
          <w:szCs w:val="24"/>
        </w:rPr>
        <w:t>nce, especially regarding</w:t>
      </w:r>
      <w:r>
        <w:rPr>
          <w:rFonts w:ascii="Times New Roman" w:hAnsi="Times New Roman"/>
          <w:sz w:val="24"/>
          <w:szCs w:val="24"/>
        </w:rPr>
        <w:t xml:space="preserve"> the conflict-affected states. In the context of the EU-Georgian partnership under the EaP framework, the objective of the resilience policy is to prepare the Georgian political elites and the society for adaptation and survival in </w:t>
      </w:r>
      <w:r w:rsidR="00BB4CC1">
        <w:rPr>
          <w:rFonts w:ascii="Times New Roman" w:hAnsi="Times New Roman"/>
          <w:sz w:val="24"/>
          <w:szCs w:val="24"/>
        </w:rPr>
        <w:t xml:space="preserve">a </w:t>
      </w:r>
      <w:r>
        <w:rPr>
          <w:rFonts w:ascii="Times New Roman" w:hAnsi="Times New Roman"/>
          <w:sz w:val="24"/>
          <w:szCs w:val="24"/>
        </w:rPr>
        <w:t>radically cha</w:t>
      </w:r>
      <w:r w:rsidR="001615E6">
        <w:rPr>
          <w:rFonts w:ascii="Times New Roman" w:hAnsi="Times New Roman"/>
          <w:sz w:val="24"/>
          <w:szCs w:val="24"/>
        </w:rPr>
        <w:t>nging environment.</w:t>
      </w:r>
      <w:r w:rsidR="001615E6">
        <w:rPr>
          <w:rStyle w:val="FootnoteReference"/>
          <w:rFonts w:ascii="Times New Roman" w:hAnsi="Times New Roman"/>
          <w:sz w:val="24"/>
          <w:szCs w:val="24"/>
        </w:rPr>
        <w:footnoteReference w:id="244"/>
      </w:r>
      <w:r>
        <w:rPr>
          <w:rFonts w:ascii="Times New Roman" w:hAnsi="Times New Roman"/>
          <w:sz w:val="24"/>
          <w:szCs w:val="24"/>
        </w:rPr>
        <w:t xml:space="preserve"> The resilience policy offers different paths of partnership, in </w:t>
      </w:r>
      <w:r w:rsidR="00BB4CC1">
        <w:rPr>
          <w:rFonts w:ascii="Times New Roman" w:hAnsi="Times New Roman"/>
          <w:sz w:val="24"/>
          <w:szCs w:val="24"/>
        </w:rPr>
        <w:t xml:space="preserve">the </w:t>
      </w:r>
      <w:r>
        <w:rPr>
          <w:rFonts w:ascii="Times New Roman" w:hAnsi="Times New Roman"/>
          <w:sz w:val="24"/>
          <w:szCs w:val="24"/>
        </w:rPr>
        <w:t>case of Georgia, the EU is targeting the spheres where i</w:t>
      </w:r>
      <w:r w:rsidR="00417FBC">
        <w:rPr>
          <w:rFonts w:ascii="Times New Roman" w:hAnsi="Times New Roman"/>
          <w:sz w:val="24"/>
          <w:szCs w:val="24"/>
        </w:rPr>
        <w:t>t can achieve evident progress.</w:t>
      </w:r>
      <w:r w:rsidR="00417FBC">
        <w:rPr>
          <w:rStyle w:val="FootnoteReference"/>
          <w:rFonts w:ascii="Times New Roman" w:hAnsi="Times New Roman"/>
          <w:sz w:val="24"/>
          <w:szCs w:val="24"/>
        </w:rPr>
        <w:footnoteReference w:id="245"/>
      </w:r>
      <w:r>
        <w:rPr>
          <w:rFonts w:ascii="Times New Roman" w:hAnsi="Times New Roman"/>
          <w:sz w:val="24"/>
          <w:szCs w:val="24"/>
        </w:rPr>
        <w:t xml:space="preserve"> It must be noted that the EU is facing certain limitations in </w:t>
      </w:r>
      <w:r w:rsidR="00BB4CC1">
        <w:rPr>
          <w:rFonts w:ascii="Times New Roman" w:hAnsi="Times New Roman"/>
          <w:sz w:val="24"/>
          <w:szCs w:val="24"/>
        </w:rPr>
        <w:t xml:space="preserve">the </w:t>
      </w:r>
      <w:r>
        <w:rPr>
          <w:rFonts w:ascii="Times New Roman" w:hAnsi="Times New Roman"/>
          <w:sz w:val="24"/>
          <w:szCs w:val="24"/>
        </w:rPr>
        <w:t xml:space="preserve">enhancement of resilience; for example, in </w:t>
      </w:r>
      <w:r w:rsidR="00BB4CC1">
        <w:rPr>
          <w:rFonts w:ascii="Times New Roman" w:hAnsi="Times New Roman"/>
          <w:sz w:val="24"/>
          <w:szCs w:val="24"/>
        </w:rPr>
        <w:t xml:space="preserve">the </w:t>
      </w:r>
      <w:r>
        <w:rPr>
          <w:rFonts w:ascii="Times New Roman" w:hAnsi="Times New Roman"/>
          <w:sz w:val="24"/>
          <w:szCs w:val="24"/>
        </w:rPr>
        <w:t xml:space="preserve">case of Georgia, the membership prospect could lead to more active reforms, strengthening of the judicial and economic sectors, well as regional cooperation. However, this could signal a threat to Russia and lead to </w:t>
      </w:r>
      <w:r w:rsidR="00E204B8">
        <w:rPr>
          <w:rFonts w:ascii="Times New Roman" w:hAnsi="Times New Roman"/>
          <w:sz w:val="24"/>
          <w:szCs w:val="24"/>
        </w:rPr>
        <w:t xml:space="preserve">the </w:t>
      </w:r>
      <w:r>
        <w:rPr>
          <w:rFonts w:ascii="Times New Roman" w:hAnsi="Times New Roman"/>
          <w:sz w:val="24"/>
          <w:szCs w:val="24"/>
        </w:rPr>
        <w:t>re-escalation of hostilities. In the framework of the EaP, the EU’s c</w:t>
      </w:r>
      <w:r w:rsidR="00BB4CC1">
        <w:rPr>
          <w:rFonts w:ascii="Times New Roman" w:hAnsi="Times New Roman"/>
          <w:sz w:val="24"/>
          <w:szCs w:val="24"/>
        </w:rPr>
        <w:t>apacity to address the security-</w:t>
      </w:r>
      <w:r>
        <w:rPr>
          <w:rFonts w:ascii="Times New Roman" w:hAnsi="Times New Roman"/>
          <w:sz w:val="24"/>
          <w:szCs w:val="24"/>
        </w:rPr>
        <w:t xml:space="preserve">related resilience in Georgia is significantly limited. This can be explained by the internal dispute on </w:t>
      </w:r>
      <w:r w:rsidR="00BB4CC1">
        <w:rPr>
          <w:rFonts w:ascii="Times New Roman" w:hAnsi="Times New Roman"/>
          <w:sz w:val="24"/>
          <w:szCs w:val="24"/>
        </w:rPr>
        <w:t xml:space="preserve">the </w:t>
      </w:r>
      <w:r>
        <w:rPr>
          <w:rFonts w:ascii="Times New Roman" w:hAnsi="Times New Roman"/>
          <w:sz w:val="24"/>
          <w:szCs w:val="24"/>
        </w:rPr>
        <w:t xml:space="preserve">protracted conflict in Georgia and the EU’s soft power approach which refrains from addressing the political context of the frozen conflicts. The efficiency of the EU’s resilience objectives in Georgia relies on the Union’s capability to design the policies which will address the needs of the conflicting parties and withstand the overwhelming pressure from Russia. </w:t>
      </w:r>
    </w:p>
    <w:p w:rsidR="008B5A68" w:rsidRPr="008B5A68" w:rsidRDefault="008B5A68" w:rsidP="008B5A68">
      <w:pPr>
        <w:pStyle w:val="NoSpacing"/>
      </w:pPr>
    </w:p>
    <w:p w:rsidR="00050BA9" w:rsidRPr="00792A84" w:rsidRDefault="00D966B0" w:rsidP="006D2116">
      <w:pPr>
        <w:pStyle w:val="Heading2"/>
        <w:rPr>
          <w:sz w:val="32"/>
          <w:szCs w:val="32"/>
        </w:rPr>
      </w:pPr>
      <w:bookmarkStart w:id="19" w:name="_Toc46952613"/>
      <w:r>
        <w:rPr>
          <w:color w:val="auto"/>
          <w:sz w:val="32"/>
          <w:szCs w:val="32"/>
        </w:rPr>
        <w:lastRenderedPageBreak/>
        <w:t>3.3.5</w:t>
      </w:r>
      <w:r w:rsidR="00050BA9" w:rsidRPr="00792A84">
        <w:rPr>
          <w:color w:val="auto"/>
          <w:sz w:val="32"/>
          <w:szCs w:val="32"/>
        </w:rPr>
        <w:t xml:space="preserve"> Georgia’s </w:t>
      </w:r>
      <w:r w:rsidR="00421946" w:rsidRPr="00792A84">
        <w:rPr>
          <w:color w:val="auto"/>
          <w:sz w:val="32"/>
          <w:szCs w:val="32"/>
        </w:rPr>
        <w:t>Aspirations and Perceptions on European Integration</w:t>
      </w:r>
      <w:bookmarkEnd w:id="19"/>
    </w:p>
    <w:p w:rsidR="006D2116" w:rsidRPr="006D2116" w:rsidRDefault="006D2116" w:rsidP="006D2116"/>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After the declaration of independence in 1991, Georgia experienced a decade of systematic corruption, nepotism, politically captive judiciaries, shadow economy, organized crime, and political fragmentation. The grievances of ordinary citizens were the least concern for political elites and oligarchs who exploited the state structure for personal benefits.</w:t>
      </w:r>
      <w:r w:rsidRPr="00CC4288">
        <w:rPr>
          <w:rStyle w:val="FootnoteReference"/>
          <w:rFonts w:ascii="Times New Roman" w:hAnsi="Times New Roman"/>
          <w:sz w:val="24"/>
          <w:szCs w:val="24"/>
        </w:rPr>
        <w:footnoteReference w:id="246"/>
      </w:r>
      <w:r w:rsidRPr="00CC4288">
        <w:rPr>
          <w:rFonts w:ascii="Times New Roman" w:hAnsi="Times New Roman"/>
          <w:sz w:val="24"/>
          <w:szCs w:val="24"/>
        </w:rPr>
        <w:t xml:space="preserve"> After the Rose Revolution in 2003, the country engaged in rapid democratization and institution-building process. The pro-Western government of Saakashvili managed to make a positive impact on many occasions, especially fight against corruption. Between 2004 and 2012 Georgia managed to improve its corruption index fro</w:t>
      </w:r>
      <w:r w:rsidR="001B5654">
        <w:rPr>
          <w:rFonts w:ascii="Times New Roman" w:hAnsi="Times New Roman"/>
          <w:sz w:val="24"/>
          <w:szCs w:val="24"/>
        </w:rPr>
        <w:t>m 134th to 51</w:t>
      </w:r>
      <w:r w:rsidR="001B5654" w:rsidRPr="001B5654">
        <w:rPr>
          <w:rFonts w:ascii="Times New Roman" w:hAnsi="Times New Roman"/>
          <w:sz w:val="24"/>
          <w:szCs w:val="24"/>
          <w:vertAlign w:val="superscript"/>
        </w:rPr>
        <w:t>st</w:t>
      </w:r>
      <w:r w:rsidR="001B5654">
        <w:rPr>
          <w:rFonts w:ascii="Times New Roman" w:hAnsi="Times New Roman"/>
          <w:sz w:val="24"/>
          <w:szCs w:val="24"/>
        </w:rPr>
        <w:t xml:space="preserve"> </w:t>
      </w:r>
      <w:r w:rsidR="001B5654" w:rsidRPr="00CC4288">
        <w:rPr>
          <w:rFonts w:ascii="Times New Roman" w:hAnsi="Times New Roman"/>
          <w:sz w:val="24"/>
          <w:szCs w:val="24"/>
        </w:rPr>
        <w:t>place</w:t>
      </w:r>
      <w:r w:rsidRPr="00CC4288">
        <w:rPr>
          <w:rFonts w:ascii="Times New Roman" w:hAnsi="Times New Roman"/>
          <w:sz w:val="24"/>
          <w:szCs w:val="24"/>
        </w:rPr>
        <w:t xml:space="preserve"> out of 180 countries.</w:t>
      </w:r>
      <w:r w:rsidRPr="00CC4288">
        <w:rPr>
          <w:rStyle w:val="FootnoteReference"/>
          <w:rFonts w:ascii="Times New Roman" w:hAnsi="Times New Roman"/>
          <w:sz w:val="24"/>
          <w:szCs w:val="24"/>
        </w:rPr>
        <w:footnoteReference w:id="247"/>
      </w:r>
      <w:r w:rsidRPr="00CC4288">
        <w:rPr>
          <w:rFonts w:ascii="Times New Roman" w:hAnsi="Times New Roman"/>
          <w:sz w:val="24"/>
          <w:szCs w:val="24"/>
        </w:rPr>
        <w:t xml:space="preserve"> Moreover, Saakashvili’s strict, yet efficient Police reforms enabled the country to eradicate long-rooted tradition of organized crime and armed gangs.</w:t>
      </w:r>
      <w:r w:rsidRPr="00CC4288">
        <w:rPr>
          <w:rStyle w:val="FootnoteReference"/>
          <w:rFonts w:ascii="Times New Roman" w:hAnsi="Times New Roman"/>
          <w:sz w:val="24"/>
          <w:szCs w:val="24"/>
        </w:rPr>
        <w:footnoteReference w:id="248"/>
      </w:r>
      <w:r w:rsidRPr="00CC4288">
        <w:rPr>
          <w:rFonts w:ascii="Times New Roman" w:hAnsi="Times New Roman"/>
          <w:sz w:val="24"/>
          <w:szCs w:val="24"/>
        </w:rPr>
        <w:t xml:space="preserve"> The average salaries of Police officers, militaries, security guards, and border security officers were increased multiple times.</w:t>
      </w:r>
      <w:r w:rsidRPr="00CC4288">
        <w:rPr>
          <w:rStyle w:val="FootnoteReference"/>
          <w:rFonts w:ascii="Times New Roman" w:hAnsi="Times New Roman"/>
          <w:sz w:val="24"/>
          <w:szCs w:val="24"/>
        </w:rPr>
        <w:footnoteReference w:id="249"/>
      </w:r>
      <w:r w:rsidRPr="00CC4288">
        <w:rPr>
          <w:rFonts w:ascii="Times New Roman" w:hAnsi="Times New Roman"/>
          <w:sz w:val="24"/>
          <w:szCs w:val="24"/>
        </w:rPr>
        <w:t xml:space="preserve"> The Police and Army became the second and the third most respected and trusted institutions after the Orthodox Church for the last decade.</w:t>
      </w:r>
      <w:r w:rsidRPr="00CC4288">
        <w:rPr>
          <w:rStyle w:val="FootnoteReference"/>
          <w:rFonts w:ascii="Times New Roman" w:hAnsi="Times New Roman"/>
          <w:sz w:val="24"/>
          <w:szCs w:val="24"/>
        </w:rPr>
        <w:footnoteReference w:id="250"/>
      </w:r>
      <w:r w:rsidRPr="00CC4288">
        <w:rPr>
          <w:rFonts w:ascii="Times New Roman" w:hAnsi="Times New Roman"/>
          <w:sz w:val="24"/>
          <w:szCs w:val="24"/>
        </w:rPr>
        <w:t xml:space="preserve"> Simplification of bureaucratic mechanisms and services, as well as reform of taxation policy, made Georgia increasingly attractive for foreign business and financial circles.</w:t>
      </w:r>
      <w:r w:rsidRPr="00CC4288">
        <w:rPr>
          <w:rStyle w:val="FootnoteReference"/>
          <w:rFonts w:ascii="Times New Roman" w:hAnsi="Times New Roman"/>
          <w:sz w:val="24"/>
          <w:szCs w:val="24"/>
        </w:rPr>
        <w:footnoteReference w:id="251"/>
      </w:r>
    </w:p>
    <w:p w:rsidR="00695BBD" w:rsidRDefault="00695BBD" w:rsidP="00050BA9">
      <w:pPr>
        <w:spacing w:line="360" w:lineRule="auto"/>
        <w:jc w:val="both"/>
        <w:rPr>
          <w:rFonts w:ascii="Times New Roman" w:hAnsi="Times New Roman"/>
          <w:sz w:val="24"/>
          <w:szCs w:val="24"/>
        </w:rPr>
      </w:pPr>
    </w:p>
    <w:p w:rsidR="00770EEF"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Several waves of institutional and economic reforms can be perceived as the practical materialization of the country’s Euro-Atlantic aspirations. As a result of consistent and devoted approximation to the EU norms and standards, Georgia cemented its status as the front-runner among the EaP states and exemplary aspirant in ENP.</w:t>
      </w:r>
      <w:r w:rsidRPr="00CC4288">
        <w:rPr>
          <w:rStyle w:val="FootnoteReference"/>
          <w:rFonts w:ascii="Times New Roman" w:hAnsi="Times New Roman"/>
          <w:sz w:val="24"/>
          <w:szCs w:val="24"/>
        </w:rPr>
        <w:footnoteReference w:id="252"/>
      </w:r>
      <w:r w:rsidRPr="00CC4288">
        <w:rPr>
          <w:rFonts w:ascii="Times New Roman" w:hAnsi="Times New Roman"/>
          <w:sz w:val="24"/>
          <w:szCs w:val="24"/>
        </w:rPr>
        <w:t xml:space="preserve"> </w:t>
      </w:r>
      <w:r w:rsidR="00770EEF">
        <w:rPr>
          <w:rFonts w:ascii="Times New Roman" w:hAnsi="Times New Roman"/>
          <w:sz w:val="24"/>
          <w:szCs w:val="24"/>
        </w:rPr>
        <w:t>As Lavenex (2004) notes: “the fundamental p</w:t>
      </w:r>
      <w:r w:rsidR="00E204B8">
        <w:rPr>
          <w:rFonts w:ascii="Times New Roman" w:hAnsi="Times New Roman"/>
          <w:sz w:val="24"/>
          <w:szCs w:val="24"/>
        </w:rPr>
        <w:t>rinciple of the European extern</w:t>
      </w:r>
      <w:r w:rsidR="00770EEF">
        <w:rPr>
          <w:rFonts w:ascii="Times New Roman" w:hAnsi="Times New Roman"/>
          <w:sz w:val="24"/>
          <w:szCs w:val="24"/>
        </w:rPr>
        <w:t xml:space="preserve">al governance </w:t>
      </w:r>
      <w:r w:rsidR="005B2B2A">
        <w:rPr>
          <w:rFonts w:ascii="Times New Roman" w:hAnsi="Times New Roman"/>
          <w:sz w:val="24"/>
          <w:szCs w:val="24"/>
        </w:rPr>
        <w:t>is the willingness of the third country to adopt the EU’s institutional and legal norms on the domestic level.”</w:t>
      </w:r>
      <w:r w:rsidR="005B2B2A">
        <w:rPr>
          <w:rStyle w:val="FootnoteReference"/>
          <w:rFonts w:ascii="Times New Roman" w:hAnsi="Times New Roman"/>
          <w:sz w:val="24"/>
          <w:szCs w:val="24"/>
        </w:rPr>
        <w:footnoteReference w:id="253"/>
      </w:r>
    </w:p>
    <w:p w:rsidR="00050BA9" w:rsidRPr="00CC4288" w:rsidRDefault="00050BA9" w:rsidP="00050BA9">
      <w:pPr>
        <w:spacing w:line="360" w:lineRule="auto"/>
        <w:jc w:val="both"/>
        <w:rPr>
          <w:rFonts w:ascii="Times New Roman" w:hAnsi="Times New Roman"/>
          <w:sz w:val="24"/>
          <w:szCs w:val="24"/>
        </w:rPr>
      </w:pPr>
      <w:r w:rsidRPr="005B2B2A">
        <w:rPr>
          <w:rFonts w:ascii="Times New Roman" w:hAnsi="Times New Roman"/>
          <w:i/>
          <w:sz w:val="24"/>
          <w:szCs w:val="24"/>
        </w:rPr>
        <w:lastRenderedPageBreak/>
        <w:t>The 2016 EU Global Strategy</w:t>
      </w:r>
      <w:r w:rsidRPr="00CC4288">
        <w:rPr>
          <w:rFonts w:ascii="Times New Roman" w:hAnsi="Times New Roman"/>
          <w:sz w:val="24"/>
          <w:szCs w:val="24"/>
        </w:rPr>
        <w:t xml:space="preserve"> acknowledged Georgia as a role model for the ENP countries and regional partners in a successful and stable democratization process.</w:t>
      </w:r>
      <w:r w:rsidRPr="00CC4288">
        <w:rPr>
          <w:rStyle w:val="FootnoteReference"/>
          <w:rFonts w:ascii="Times New Roman" w:hAnsi="Times New Roman"/>
          <w:sz w:val="24"/>
          <w:szCs w:val="24"/>
        </w:rPr>
        <w:footnoteReference w:id="254"/>
      </w:r>
      <w:r w:rsidRPr="00CC4288">
        <w:rPr>
          <w:rFonts w:ascii="Times New Roman" w:hAnsi="Times New Roman"/>
          <w:sz w:val="24"/>
          <w:szCs w:val="24"/>
        </w:rPr>
        <w:t xml:space="preserve"> Moreover, the EU reaffirmed its willingness to support Georgia in the implementation of the Association Agreement Action Plan and the completion of necessary reforms for utilization of the DCFTA benefits.</w:t>
      </w:r>
      <w:r w:rsidRPr="00CC4288">
        <w:rPr>
          <w:rStyle w:val="FootnoteReference"/>
          <w:rFonts w:ascii="Times New Roman" w:hAnsi="Times New Roman"/>
          <w:sz w:val="24"/>
          <w:szCs w:val="24"/>
        </w:rPr>
        <w:footnoteReference w:id="255"/>
      </w:r>
      <w:r w:rsidRPr="00CC4288">
        <w:rPr>
          <w:rFonts w:ascii="Times New Roman" w:hAnsi="Times New Roman"/>
          <w:sz w:val="24"/>
          <w:szCs w:val="24"/>
        </w:rPr>
        <w:t xml:space="preserve"> The EU’s financial assistance to Georgia for 2017-2020 has been set at almost </w:t>
      </w:r>
      <w:r w:rsidR="00930887" w:rsidRPr="00930887">
        <w:rPr>
          <w:rFonts w:ascii="Times New Roman" w:hAnsi="Times New Roman"/>
          <w:color w:val="222222"/>
          <w:sz w:val="24"/>
          <w:szCs w:val="24"/>
          <w:shd w:val="clear" w:color="auto" w:fill="FFFFFF"/>
        </w:rPr>
        <w:t>€</w:t>
      </w:r>
      <w:r w:rsidR="00930887">
        <w:rPr>
          <w:rFonts w:ascii="Times New Roman" w:hAnsi="Times New Roman"/>
          <w:sz w:val="24"/>
          <w:szCs w:val="24"/>
        </w:rPr>
        <w:t>500 million</w:t>
      </w:r>
      <w:r w:rsidRPr="00CC4288">
        <w:rPr>
          <w:rFonts w:ascii="Times New Roman" w:hAnsi="Times New Roman"/>
          <w:sz w:val="24"/>
          <w:szCs w:val="24"/>
        </w:rPr>
        <w:t xml:space="preserve"> which </w:t>
      </w:r>
      <w:r w:rsidR="00930887">
        <w:rPr>
          <w:rFonts w:ascii="Times New Roman" w:hAnsi="Times New Roman"/>
          <w:sz w:val="24"/>
          <w:szCs w:val="24"/>
        </w:rPr>
        <w:t xml:space="preserve">is </w:t>
      </w:r>
      <w:r w:rsidRPr="00CC4288">
        <w:rPr>
          <w:rFonts w:ascii="Times New Roman" w:hAnsi="Times New Roman"/>
          <w:sz w:val="24"/>
          <w:szCs w:val="24"/>
        </w:rPr>
        <w:t>allocated through the incentive-based approach for economic market development, good governance, energy projects, environmental and climate change, civil society development.</w:t>
      </w:r>
      <w:r w:rsidRPr="00CC4288">
        <w:rPr>
          <w:rStyle w:val="FootnoteReference"/>
          <w:rFonts w:ascii="Times New Roman" w:hAnsi="Times New Roman"/>
          <w:sz w:val="24"/>
          <w:szCs w:val="24"/>
        </w:rPr>
        <w:footnoteReference w:id="256"/>
      </w:r>
      <w:r w:rsidRPr="00CC4288">
        <w:rPr>
          <w:rFonts w:ascii="Times New Roman" w:hAnsi="Times New Roman"/>
          <w:sz w:val="24"/>
          <w:szCs w:val="24"/>
        </w:rPr>
        <w:t xml:space="preserve"> In 2014, Georgia signed the Framework Participation Agreement (HPA) which further enhanced bilateral partnerships in the security sector. Georgian side contributed to the deployment of 150 staff to the EUFOR RCA operation in the Central African Republic. Furthermore, Georgia participates in EU Military Training Mission in the Central African Republic and Mali.</w:t>
      </w:r>
      <w:r w:rsidRPr="00CC4288">
        <w:rPr>
          <w:rStyle w:val="FootnoteReference"/>
          <w:rFonts w:ascii="Times New Roman" w:hAnsi="Times New Roman"/>
          <w:sz w:val="24"/>
          <w:szCs w:val="24"/>
        </w:rPr>
        <w:footnoteReference w:id="257"/>
      </w:r>
    </w:p>
    <w:p w:rsidR="00695BBD" w:rsidRDefault="00695BBD" w:rsidP="00050BA9">
      <w:pPr>
        <w:spacing w:line="360" w:lineRule="auto"/>
        <w:jc w:val="both"/>
        <w:rPr>
          <w:rFonts w:ascii="Times New Roman" w:hAnsi="Times New Roman"/>
          <w:sz w:val="24"/>
          <w:szCs w:val="24"/>
        </w:rPr>
      </w:pPr>
    </w:p>
    <w:p w:rsidR="001B5654"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Georgian society remains highly consistent with the Euro-Atlantic integration course. The public surveys and polls indicated that for the last ten years, more than 75% of the population supports deeper integration in Euro-Atlantic structures.</w:t>
      </w:r>
      <w:r w:rsidRPr="00CC4288">
        <w:rPr>
          <w:rStyle w:val="FootnoteReference"/>
          <w:rFonts w:ascii="Times New Roman" w:hAnsi="Times New Roman"/>
          <w:sz w:val="24"/>
          <w:szCs w:val="24"/>
        </w:rPr>
        <w:footnoteReference w:id="258"/>
      </w:r>
      <w:r w:rsidRPr="00CC4288">
        <w:rPr>
          <w:rFonts w:ascii="Times New Roman" w:hAnsi="Times New Roman"/>
          <w:sz w:val="24"/>
          <w:szCs w:val="24"/>
        </w:rPr>
        <w:t xml:space="preserve"> </w:t>
      </w:r>
    </w:p>
    <w:p w:rsidR="006D2116" w:rsidRDefault="001B5654" w:rsidP="006D2116">
      <w:pPr>
        <w:spacing w:line="360" w:lineRule="auto"/>
        <w:jc w:val="both"/>
        <w:rPr>
          <w:rFonts w:ascii="Times New Roman" w:hAnsi="Times New Roman"/>
        </w:rPr>
      </w:pPr>
      <w:r>
        <w:rPr>
          <w:rFonts w:ascii="Times New Roman" w:hAnsi="Times New Roman"/>
          <w:noProof/>
          <w:sz w:val="24"/>
          <w:szCs w:val="24"/>
        </w:rPr>
        <w:drawing>
          <wp:inline distT="0" distB="0" distL="0" distR="0">
            <wp:extent cx="4143375" cy="287614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support.png"/>
                    <pic:cNvPicPr/>
                  </pic:nvPicPr>
                  <pic:blipFill>
                    <a:blip r:embed="rId17">
                      <a:extLst>
                        <a:ext uri="{28A0092B-C50C-407E-A947-70E740481C1C}">
                          <a14:useLocalDpi xmlns:a14="http://schemas.microsoft.com/office/drawing/2010/main" val="0"/>
                        </a:ext>
                      </a:extLst>
                    </a:blip>
                    <a:stretch>
                      <a:fillRect/>
                    </a:stretch>
                  </pic:blipFill>
                  <pic:spPr>
                    <a:xfrm>
                      <a:off x="0" y="0"/>
                      <a:ext cx="4213218" cy="2924626"/>
                    </a:xfrm>
                    <a:prstGeom prst="rect">
                      <a:avLst/>
                    </a:prstGeom>
                  </pic:spPr>
                </pic:pic>
              </a:graphicData>
            </a:graphic>
          </wp:inline>
        </w:drawing>
      </w:r>
    </w:p>
    <w:p w:rsidR="006D2116" w:rsidRDefault="00421946" w:rsidP="006D2116">
      <w:pPr>
        <w:spacing w:line="360" w:lineRule="auto"/>
        <w:jc w:val="both"/>
        <w:rPr>
          <w:rFonts w:ascii="Times New Roman" w:hAnsi="Times New Roman"/>
        </w:rPr>
      </w:pPr>
      <w:r w:rsidRPr="008B36E7">
        <w:rPr>
          <w:rFonts w:ascii="Times New Roman" w:hAnsi="Times New Roman"/>
          <w:b/>
        </w:rPr>
        <w:lastRenderedPageBreak/>
        <w:t>Figure 5</w:t>
      </w:r>
      <w:r w:rsidR="001B5654" w:rsidRPr="006D2116">
        <w:rPr>
          <w:rFonts w:ascii="Times New Roman" w:hAnsi="Times New Roman"/>
        </w:rPr>
        <w:t>. NDI Poll: EU Membership Support in Georgia 2012-2019</w:t>
      </w:r>
      <w:r w:rsidR="00CE6D1C" w:rsidRPr="006D2116">
        <w:rPr>
          <w:rFonts w:ascii="Times New Roman" w:hAnsi="Times New Roman"/>
        </w:rPr>
        <w:t xml:space="preserve"> </w:t>
      </w:r>
      <w:r w:rsidR="001B5654" w:rsidRPr="006D2116">
        <w:rPr>
          <w:rStyle w:val="FootnoteReference"/>
          <w:rFonts w:ascii="Times New Roman" w:hAnsi="Times New Roman"/>
        </w:rPr>
        <w:footnoteReference w:id="259"/>
      </w:r>
    </w:p>
    <w:p w:rsidR="00D57DBE" w:rsidRDefault="00D57DBE" w:rsidP="006D2116">
      <w:pPr>
        <w:spacing w:line="360" w:lineRule="auto"/>
        <w:jc w:val="both"/>
        <w:rPr>
          <w:rFonts w:ascii="Times New Roman" w:hAnsi="Times New Roman"/>
          <w:sz w:val="24"/>
          <w:szCs w:val="24"/>
        </w:rPr>
      </w:pPr>
    </w:p>
    <w:p w:rsidR="008101DB" w:rsidRDefault="00050BA9" w:rsidP="006D2116">
      <w:pPr>
        <w:spacing w:line="360" w:lineRule="auto"/>
        <w:jc w:val="both"/>
        <w:rPr>
          <w:rFonts w:ascii="Times New Roman" w:hAnsi="Times New Roman"/>
          <w:sz w:val="24"/>
          <w:szCs w:val="24"/>
        </w:rPr>
      </w:pPr>
      <w:r w:rsidRPr="00CC4288">
        <w:rPr>
          <w:rFonts w:ascii="Times New Roman" w:hAnsi="Times New Roman"/>
          <w:sz w:val="24"/>
          <w:szCs w:val="24"/>
        </w:rPr>
        <w:t>Although, it is important to note that Georgian people’s perception of the EU’s role and capabilities are often mismatching the official framework of EU-Georgian cooperation. Despite informational campaigns and opening of the EU centers in several regions of Georgia, the majority of the population remains uninformed about the EU’s role in Georgia and especially institutional architecture and bureaucratic mechanisms of the Union.</w:t>
      </w:r>
      <w:r w:rsidRPr="00CC4288">
        <w:rPr>
          <w:rStyle w:val="FootnoteReference"/>
          <w:rFonts w:ascii="Times New Roman" w:hAnsi="Times New Roman"/>
          <w:sz w:val="24"/>
          <w:szCs w:val="24"/>
        </w:rPr>
        <w:footnoteReference w:id="260"/>
      </w:r>
      <w:r w:rsidRPr="00CC4288">
        <w:rPr>
          <w:rFonts w:ascii="Times New Roman" w:hAnsi="Times New Roman"/>
          <w:sz w:val="24"/>
          <w:szCs w:val="24"/>
        </w:rPr>
        <w:t xml:space="preserve"> The majority of Georgian citizens perceive the EU as a security and stability guarantor. The European integration process is often interpreted as ‘territorial integrity’, ‘economic benefits’, ‘stability’ ‘prosperity’ and ‘security’.</w:t>
      </w:r>
      <w:r w:rsidRPr="00CC4288">
        <w:rPr>
          <w:rStyle w:val="FootnoteReference"/>
          <w:rFonts w:ascii="Times New Roman" w:hAnsi="Times New Roman"/>
          <w:sz w:val="24"/>
          <w:szCs w:val="24"/>
        </w:rPr>
        <w:footnoteReference w:id="261"/>
      </w:r>
      <w:r w:rsidRPr="00CC4288">
        <w:rPr>
          <w:rFonts w:ascii="Times New Roman" w:hAnsi="Times New Roman"/>
          <w:sz w:val="24"/>
          <w:szCs w:val="24"/>
        </w:rPr>
        <w:t xml:space="preserve"> </w:t>
      </w:r>
    </w:p>
    <w:p w:rsidR="008101DB" w:rsidRDefault="008101DB" w:rsidP="001B5654">
      <w:pPr>
        <w:pStyle w:val="NoSpacing"/>
        <w:rPr>
          <w:rFonts w:ascii="Times New Roman" w:hAnsi="Times New Roman"/>
          <w:sz w:val="24"/>
          <w:szCs w:val="24"/>
        </w:rPr>
      </w:pPr>
    </w:p>
    <w:p w:rsidR="008101DB" w:rsidRDefault="008101DB" w:rsidP="001B5654">
      <w:pPr>
        <w:pStyle w:val="NoSpacing"/>
        <w:rPr>
          <w:rFonts w:ascii="Times New Roman" w:hAnsi="Times New Roman"/>
          <w:sz w:val="24"/>
          <w:szCs w:val="24"/>
        </w:rPr>
      </w:pPr>
      <w:r>
        <w:rPr>
          <w:rFonts w:ascii="Times New Roman" w:hAnsi="Times New Roman"/>
          <w:noProof/>
          <w:sz w:val="24"/>
          <w:szCs w:val="24"/>
        </w:rPr>
        <w:drawing>
          <wp:inline distT="0" distB="0" distL="0" distR="0">
            <wp:extent cx="5105400" cy="3467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 Survey.png"/>
                    <pic:cNvPicPr/>
                  </pic:nvPicPr>
                  <pic:blipFill>
                    <a:blip r:embed="rId18">
                      <a:extLst>
                        <a:ext uri="{28A0092B-C50C-407E-A947-70E740481C1C}">
                          <a14:useLocalDpi xmlns:a14="http://schemas.microsoft.com/office/drawing/2010/main" val="0"/>
                        </a:ext>
                      </a:extLst>
                    </a:blip>
                    <a:stretch>
                      <a:fillRect/>
                    </a:stretch>
                  </pic:blipFill>
                  <pic:spPr>
                    <a:xfrm>
                      <a:off x="0" y="0"/>
                      <a:ext cx="5139130" cy="3490099"/>
                    </a:xfrm>
                    <a:prstGeom prst="rect">
                      <a:avLst/>
                    </a:prstGeom>
                  </pic:spPr>
                </pic:pic>
              </a:graphicData>
            </a:graphic>
          </wp:inline>
        </w:drawing>
      </w:r>
    </w:p>
    <w:p w:rsidR="008101DB" w:rsidRPr="008B36E7" w:rsidRDefault="00425E9C" w:rsidP="001B5654">
      <w:pPr>
        <w:pStyle w:val="NoSpacing"/>
        <w:rPr>
          <w:rFonts w:ascii="Times New Roman" w:hAnsi="Times New Roman"/>
          <w:sz w:val="24"/>
          <w:szCs w:val="24"/>
        </w:rPr>
      </w:pPr>
      <w:r w:rsidRPr="00425E9C">
        <w:rPr>
          <w:rFonts w:ascii="Times New Roman" w:hAnsi="Times New Roman"/>
          <w:b/>
          <w:sz w:val="24"/>
          <w:szCs w:val="24"/>
        </w:rPr>
        <w:t>Figure 6</w:t>
      </w:r>
      <w:r w:rsidR="008101DB" w:rsidRPr="00425E9C">
        <w:rPr>
          <w:rFonts w:ascii="Times New Roman" w:hAnsi="Times New Roman"/>
          <w:b/>
          <w:sz w:val="24"/>
          <w:szCs w:val="24"/>
        </w:rPr>
        <w:t xml:space="preserve">. </w:t>
      </w:r>
      <w:r w:rsidR="00E57FB7" w:rsidRPr="008B36E7">
        <w:rPr>
          <w:rFonts w:ascii="Times New Roman" w:hAnsi="Times New Roman"/>
          <w:sz w:val="24"/>
          <w:szCs w:val="24"/>
        </w:rPr>
        <w:t xml:space="preserve">The Most Common </w:t>
      </w:r>
      <w:r w:rsidR="00BB4CC1">
        <w:rPr>
          <w:rFonts w:ascii="Times New Roman" w:hAnsi="Times New Roman"/>
          <w:sz w:val="24"/>
          <w:szCs w:val="24"/>
        </w:rPr>
        <w:t>Values Associated with the EU -</w:t>
      </w:r>
      <w:r w:rsidR="008101DB" w:rsidRPr="008B36E7">
        <w:rPr>
          <w:rFonts w:ascii="Times New Roman" w:hAnsi="Times New Roman"/>
          <w:sz w:val="24"/>
          <w:szCs w:val="24"/>
        </w:rPr>
        <w:t xml:space="preserve"> Georgia </w:t>
      </w:r>
      <w:r w:rsidR="00BB4CC1">
        <w:rPr>
          <w:rFonts w:ascii="Times New Roman" w:hAnsi="Times New Roman"/>
          <w:sz w:val="24"/>
          <w:szCs w:val="24"/>
        </w:rPr>
        <w:t xml:space="preserve">in </w:t>
      </w:r>
      <w:r w:rsidR="008101DB" w:rsidRPr="008B36E7">
        <w:rPr>
          <w:rFonts w:ascii="Times New Roman" w:hAnsi="Times New Roman"/>
          <w:sz w:val="24"/>
          <w:szCs w:val="24"/>
        </w:rPr>
        <w:t>2019.</w:t>
      </w:r>
      <w:r w:rsidR="00E57FB7" w:rsidRPr="008B36E7">
        <w:rPr>
          <w:rStyle w:val="FootnoteReference"/>
          <w:rFonts w:ascii="Times New Roman" w:hAnsi="Times New Roman"/>
          <w:sz w:val="24"/>
          <w:szCs w:val="24"/>
        </w:rPr>
        <w:footnoteReference w:id="262"/>
      </w:r>
    </w:p>
    <w:p w:rsidR="00E57FB7" w:rsidRDefault="00E57FB7" w:rsidP="001B5654">
      <w:pPr>
        <w:pStyle w:val="NoSpacing"/>
        <w:rPr>
          <w:rFonts w:ascii="Times New Roman" w:hAnsi="Times New Roman"/>
          <w:sz w:val="24"/>
          <w:szCs w:val="24"/>
        </w:rPr>
      </w:pPr>
    </w:p>
    <w:p w:rsidR="00050BA9" w:rsidRDefault="00050BA9" w:rsidP="00D57DBE">
      <w:pPr>
        <w:pStyle w:val="NoSpacing"/>
        <w:spacing w:line="360" w:lineRule="auto"/>
        <w:jc w:val="both"/>
        <w:rPr>
          <w:rFonts w:ascii="Times New Roman" w:hAnsi="Times New Roman"/>
          <w:sz w:val="24"/>
          <w:szCs w:val="24"/>
        </w:rPr>
      </w:pPr>
      <w:r w:rsidRPr="00CC4288">
        <w:rPr>
          <w:rFonts w:ascii="Times New Roman" w:hAnsi="Times New Roman"/>
          <w:sz w:val="24"/>
          <w:szCs w:val="24"/>
        </w:rPr>
        <w:t xml:space="preserve">In parallel, there are several political parties, governmental organizations, social media groups, and outlets (mostly, associated with Russia) working on the inheritance of anti-EU sentiments among the Georgian population. The most widespread propagandist topics are associated with LGBTQ rights, multiculturalism, fight against the traditional values and </w:t>
      </w:r>
      <w:r w:rsidRPr="00CC4288">
        <w:rPr>
          <w:rFonts w:ascii="Times New Roman" w:hAnsi="Times New Roman"/>
          <w:sz w:val="24"/>
          <w:szCs w:val="24"/>
        </w:rPr>
        <w:lastRenderedPageBreak/>
        <w:t>religious views.</w:t>
      </w:r>
      <w:r w:rsidRPr="00CC4288">
        <w:rPr>
          <w:rStyle w:val="FootnoteReference"/>
          <w:rFonts w:ascii="Times New Roman" w:hAnsi="Times New Roman"/>
          <w:sz w:val="24"/>
          <w:szCs w:val="24"/>
        </w:rPr>
        <w:footnoteReference w:id="263"/>
      </w:r>
      <w:r w:rsidRPr="00CC4288">
        <w:rPr>
          <w:rFonts w:ascii="Times New Roman" w:hAnsi="Times New Roman"/>
          <w:sz w:val="24"/>
          <w:szCs w:val="24"/>
        </w:rPr>
        <w:t xml:space="preserve"> Interestingly, these groups often imply on the EU’s inability in conflict mediation with secessionist states and call for direct dialogue with de-facto authorities and Russia. Even though their public approval ranking is relatively low, these groups possess greater threat from a long-term perspective, considering the foreseeable perspective of Georgia’s accession to the EU and the dynamics of the conflict resolution process. Exaggerated perceptions on the EU’s security actorness and Georgia’s membership pers</w:t>
      </w:r>
      <w:r w:rsidR="00E95849">
        <w:rPr>
          <w:rFonts w:ascii="Times New Roman" w:hAnsi="Times New Roman"/>
          <w:sz w:val="24"/>
          <w:szCs w:val="24"/>
        </w:rPr>
        <w:t xml:space="preserve">pectives should not </w:t>
      </w:r>
      <w:r w:rsidRPr="00CC4288">
        <w:rPr>
          <w:rFonts w:ascii="Times New Roman" w:hAnsi="Times New Roman"/>
          <w:sz w:val="24"/>
          <w:szCs w:val="24"/>
        </w:rPr>
        <w:t xml:space="preserve">be attributed to the EU’s policy in Georgia. It is rather incoherent communication of the Georgian government(s) and political parties over the years that associate themselves with the EU for political benefits and make unfounded promises to the society on behalf of the Western partners. Such an environment could pose a certain degree of political and societal pressure on the EU and limit its risk-taking ability and political maneuvers concerning the contested regions. In light of Russia’s continuous aggression on Georgian borders and the government’s limited capability to find the resolution to the conflicts internally, the EU together with NATO and the US will remain the most reliable and desired partner for Georgia society in foreseeable future.  </w:t>
      </w:r>
    </w:p>
    <w:p w:rsidR="00D57DBE" w:rsidRPr="00D57DBE" w:rsidRDefault="00D57DBE" w:rsidP="00D57DBE">
      <w:pPr>
        <w:pStyle w:val="NoSpacing"/>
        <w:spacing w:line="360" w:lineRule="auto"/>
        <w:jc w:val="both"/>
      </w:pPr>
    </w:p>
    <w:p w:rsidR="00050BA9" w:rsidRPr="00D57DBE" w:rsidRDefault="00D966B0" w:rsidP="006D2116">
      <w:pPr>
        <w:pStyle w:val="Heading2"/>
        <w:rPr>
          <w:color w:val="auto"/>
          <w:sz w:val="32"/>
          <w:szCs w:val="32"/>
        </w:rPr>
      </w:pPr>
      <w:bookmarkStart w:id="20" w:name="_Toc46952614"/>
      <w:r>
        <w:rPr>
          <w:color w:val="auto"/>
          <w:sz w:val="32"/>
          <w:szCs w:val="32"/>
        </w:rPr>
        <w:t>3.3.6</w:t>
      </w:r>
      <w:r w:rsidR="00B45F0D" w:rsidRPr="00D57DBE">
        <w:rPr>
          <w:color w:val="auto"/>
          <w:sz w:val="32"/>
          <w:szCs w:val="32"/>
        </w:rPr>
        <w:t xml:space="preserve"> EU</w:t>
      </w:r>
      <w:r w:rsidR="00050BA9" w:rsidRPr="00D57DBE">
        <w:rPr>
          <w:color w:val="auto"/>
          <w:sz w:val="32"/>
          <w:szCs w:val="32"/>
        </w:rPr>
        <w:t xml:space="preserve"> </w:t>
      </w:r>
      <w:r w:rsidR="00B45F0D" w:rsidRPr="00D57DBE">
        <w:rPr>
          <w:color w:val="auto"/>
          <w:sz w:val="32"/>
          <w:szCs w:val="32"/>
        </w:rPr>
        <w:t>Policy Coordination with o</w:t>
      </w:r>
      <w:r w:rsidR="00050BA9" w:rsidRPr="00D57DBE">
        <w:rPr>
          <w:color w:val="auto"/>
          <w:sz w:val="32"/>
          <w:szCs w:val="32"/>
        </w:rPr>
        <w:t>ther Actors: the OSCE and the UN</w:t>
      </w:r>
      <w:bookmarkEnd w:id="20"/>
    </w:p>
    <w:p w:rsidR="00D57DBE" w:rsidRPr="00D57DBE" w:rsidRDefault="00D57DBE" w:rsidP="00D57DBE"/>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 xml:space="preserve">The secessionist conflicts in Georgia attracted the attention of several international actors, more precisely the OSCE and the UN.  Both organizations played a key role in the settlement of the conflicts in </w:t>
      </w:r>
      <w:r w:rsidR="00BB4CC1">
        <w:rPr>
          <w:rFonts w:ascii="Times New Roman" w:hAnsi="Times New Roman"/>
          <w:sz w:val="24"/>
          <w:szCs w:val="24"/>
        </w:rPr>
        <w:t xml:space="preserve">the </w:t>
      </w:r>
      <w:r w:rsidRPr="00CC4288">
        <w:rPr>
          <w:rFonts w:ascii="Times New Roman" w:hAnsi="Times New Roman"/>
          <w:sz w:val="24"/>
          <w:szCs w:val="24"/>
        </w:rPr>
        <w:t>1990s. At that time, the EU’s role was very marginal and limited to financial support for the rehabilitation of Georgia and humanitarian aid to conflict-affected regions.</w:t>
      </w:r>
      <w:r w:rsidRPr="00CC4288">
        <w:rPr>
          <w:rStyle w:val="FootnoteReference"/>
          <w:rFonts w:ascii="Times New Roman" w:hAnsi="Times New Roman"/>
          <w:sz w:val="24"/>
          <w:szCs w:val="24"/>
        </w:rPr>
        <w:footnoteReference w:id="264"/>
      </w:r>
      <w:r w:rsidRPr="00CC4288">
        <w:rPr>
          <w:rFonts w:ascii="Times New Roman" w:hAnsi="Times New Roman"/>
          <w:sz w:val="24"/>
          <w:szCs w:val="24"/>
        </w:rPr>
        <w:t xml:space="preserve"> After the war in August 2008, the EU took a central position in the conflict mediation process and invited both the OSCE and the UN to chair the Geneva International Discussions (GID) to achieve the desired degree of international involvement in diplomatic communications between the confronted parties.</w:t>
      </w:r>
      <w:r w:rsidRPr="00CC4288">
        <w:rPr>
          <w:rStyle w:val="FootnoteReference"/>
          <w:rFonts w:ascii="Times New Roman" w:hAnsi="Times New Roman"/>
          <w:sz w:val="24"/>
          <w:szCs w:val="24"/>
        </w:rPr>
        <w:footnoteReference w:id="265"/>
      </w:r>
      <w:r w:rsidRPr="00CC4288">
        <w:rPr>
          <w:rFonts w:ascii="Times New Roman" w:hAnsi="Times New Roman"/>
          <w:sz w:val="24"/>
          <w:szCs w:val="24"/>
        </w:rPr>
        <w:t xml:space="preserve"> </w:t>
      </w:r>
      <w:r w:rsidR="005B2B2A">
        <w:rPr>
          <w:rFonts w:ascii="Times New Roman" w:hAnsi="Times New Roman"/>
          <w:sz w:val="24"/>
          <w:szCs w:val="24"/>
        </w:rPr>
        <w:t xml:space="preserve">According to Peters (2009): “the European external governance is not limited to </w:t>
      </w:r>
      <w:r w:rsidR="00E204B8">
        <w:rPr>
          <w:rFonts w:ascii="Times New Roman" w:hAnsi="Times New Roman"/>
          <w:sz w:val="24"/>
          <w:szCs w:val="24"/>
        </w:rPr>
        <w:t xml:space="preserve">the </w:t>
      </w:r>
      <w:r w:rsidR="005B2B2A">
        <w:rPr>
          <w:rFonts w:ascii="Times New Roman" w:hAnsi="Times New Roman"/>
          <w:sz w:val="24"/>
          <w:szCs w:val="24"/>
        </w:rPr>
        <w:t>specific state or non-state actors or the fields of cooperation.”</w:t>
      </w:r>
      <w:r w:rsidR="005B2B2A">
        <w:rPr>
          <w:rStyle w:val="FootnoteReference"/>
          <w:rFonts w:ascii="Times New Roman" w:hAnsi="Times New Roman"/>
          <w:sz w:val="24"/>
          <w:szCs w:val="24"/>
        </w:rPr>
        <w:footnoteReference w:id="266"/>
      </w:r>
      <w:r w:rsidR="005B2B2A">
        <w:rPr>
          <w:rFonts w:ascii="Times New Roman" w:hAnsi="Times New Roman"/>
          <w:sz w:val="24"/>
          <w:szCs w:val="24"/>
        </w:rPr>
        <w:t xml:space="preserve"> In the context of Georgian contested regions, the EU’s external </w:t>
      </w:r>
      <w:r w:rsidR="005B2B2A">
        <w:rPr>
          <w:rFonts w:ascii="Times New Roman" w:hAnsi="Times New Roman"/>
          <w:sz w:val="24"/>
          <w:szCs w:val="24"/>
        </w:rPr>
        <w:lastRenderedPageBreak/>
        <w:t xml:space="preserve">governance is practiced through the coordination of the policies with other regional actors. </w:t>
      </w:r>
      <w:r w:rsidRPr="00CC4288">
        <w:rPr>
          <w:rFonts w:ascii="Times New Roman" w:hAnsi="Times New Roman"/>
          <w:sz w:val="24"/>
          <w:szCs w:val="24"/>
        </w:rPr>
        <w:t>The OSCE and the UN already had extensive experience of engagement in mediation at the Geneva Peace Process. Since t</w:t>
      </w:r>
      <w:r w:rsidR="00E204B8">
        <w:rPr>
          <w:rFonts w:ascii="Times New Roman" w:hAnsi="Times New Roman"/>
          <w:sz w:val="24"/>
          <w:szCs w:val="24"/>
        </w:rPr>
        <w:t xml:space="preserve">he early 1990s the UN, the OSCE, </w:t>
      </w:r>
      <w:r w:rsidRPr="00CC4288">
        <w:rPr>
          <w:rFonts w:ascii="Times New Roman" w:hAnsi="Times New Roman"/>
          <w:sz w:val="24"/>
          <w:szCs w:val="24"/>
        </w:rPr>
        <w:t>and Russia were facilitators of negotiations on Abkhazian conflict, while the OSCE, Germany, France, the US, the UK had observer status</w:t>
      </w:r>
      <w:r w:rsidRPr="00CC4288">
        <w:rPr>
          <w:rFonts w:ascii="Times New Roman" w:hAnsi="Times New Roman"/>
          <w:b/>
          <w:sz w:val="24"/>
          <w:szCs w:val="24"/>
        </w:rPr>
        <w:t>.</w:t>
      </w:r>
      <w:r w:rsidRPr="00CC4288">
        <w:rPr>
          <w:rStyle w:val="FootnoteReference"/>
          <w:rFonts w:ascii="Times New Roman" w:hAnsi="Times New Roman"/>
          <w:sz w:val="24"/>
          <w:szCs w:val="24"/>
        </w:rPr>
        <w:footnoteReference w:id="267"/>
      </w:r>
      <w:r w:rsidRPr="00CC4288">
        <w:rPr>
          <w:rFonts w:ascii="Times New Roman" w:hAnsi="Times New Roman"/>
          <w:sz w:val="24"/>
          <w:szCs w:val="24"/>
        </w:rPr>
        <w:t xml:space="preserve">  Moreover, the OSCE initiated the Joint Control Commission which was negotiating the South Ossetian conflict with</w:t>
      </w:r>
      <w:r w:rsidR="00BB4CC1">
        <w:rPr>
          <w:rFonts w:ascii="Times New Roman" w:hAnsi="Times New Roman"/>
          <w:sz w:val="24"/>
          <w:szCs w:val="24"/>
        </w:rPr>
        <w:t xml:space="preserve"> Georgia, Russia, South Ossetia, </w:t>
      </w:r>
      <w:r w:rsidRPr="00CC4288">
        <w:rPr>
          <w:rFonts w:ascii="Times New Roman" w:hAnsi="Times New Roman"/>
          <w:sz w:val="24"/>
          <w:szCs w:val="24"/>
        </w:rPr>
        <w:t xml:space="preserve">and the EU Commission as </w:t>
      </w:r>
      <w:r w:rsidR="00BB4CC1">
        <w:rPr>
          <w:rFonts w:ascii="Times New Roman" w:hAnsi="Times New Roman"/>
          <w:sz w:val="24"/>
          <w:szCs w:val="24"/>
        </w:rPr>
        <w:t xml:space="preserve">an </w:t>
      </w:r>
      <w:r w:rsidRPr="00CC4288">
        <w:rPr>
          <w:rFonts w:ascii="Times New Roman" w:hAnsi="Times New Roman"/>
          <w:sz w:val="24"/>
          <w:szCs w:val="24"/>
        </w:rPr>
        <w:t>observer.</w:t>
      </w:r>
      <w:r w:rsidRPr="00CC4288">
        <w:rPr>
          <w:rStyle w:val="FootnoteReference"/>
          <w:rFonts w:ascii="Times New Roman" w:hAnsi="Times New Roman"/>
          <w:sz w:val="24"/>
          <w:szCs w:val="24"/>
        </w:rPr>
        <w:footnoteReference w:id="268"/>
      </w:r>
    </w:p>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OSCE deployed its mission in Georgia in 1992. The main objective of the mission was to facilitate peaceful negotiation between the confronting parties, on the one hand, Georgia and Abkhazia and on the other hand, Georgia and South Ossetia.</w:t>
      </w:r>
      <w:r w:rsidRPr="00CC4288">
        <w:rPr>
          <w:rStyle w:val="FootnoteReference"/>
          <w:rFonts w:ascii="Times New Roman" w:hAnsi="Times New Roman"/>
          <w:sz w:val="24"/>
          <w:szCs w:val="24"/>
        </w:rPr>
        <w:footnoteReference w:id="269"/>
      </w:r>
      <w:r w:rsidRPr="00CC4288">
        <w:rPr>
          <w:rFonts w:ascii="Times New Roman" w:hAnsi="Times New Roman"/>
          <w:sz w:val="24"/>
          <w:szCs w:val="24"/>
        </w:rPr>
        <w:t xml:space="preserve"> Furthermore, the OSCE observers were gathering information in conflict-affected regions, reporting the human rights situation, and movement of the military facilities.</w:t>
      </w:r>
      <w:r w:rsidRPr="00CC4288">
        <w:rPr>
          <w:rStyle w:val="FootnoteReference"/>
          <w:rFonts w:ascii="Times New Roman" w:hAnsi="Times New Roman"/>
          <w:sz w:val="24"/>
          <w:szCs w:val="24"/>
        </w:rPr>
        <w:footnoteReference w:id="270"/>
      </w:r>
      <w:r w:rsidRPr="00CC4288">
        <w:rPr>
          <w:rFonts w:ascii="Times New Roman" w:hAnsi="Times New Roman"/>
          <w:sz w:val="24"/>
          <w:szCs w:val="24"/>
        </w:rPr>
        <w:t xml:space="preserve"> The OSCE Border Monitoring Operation (BMO) was in charge of observing and report on movement across the Georgian-Russian border, including the territories of Chechnya, Ingushya, and Dagestan.</w:t>
      </w:r>
      <w:r w:rsidRPr="00CC4288">
        <w:rPr>
          <w:rStyle w:val="FootnoteReference"/>
          <w:rFonts w:ascii="Times New Roman" w:hAnsi="Times New Roman"/>
          <w:sz w:val="24"/>
          <w:szCs w:val="24"/>
        </w:rPr>
        <w:footnoteReference w:id="271"/>
      </w:r>
      <w:r w:rsidRPr="00CC4288">
        <w:rPr>
          <w:rFonts w:ascii="Times New Roman" w:hAnsi="Times New Roman"/>
          <w:sz w:val="24"/>
          <w:szCs w:val="24"/>
        </w:rPr>
        <w:t xml:space="preserve"> Considering Russia’s role in the OSCE, the mission was significantly limited in engagement with separatist regions. After the recognition of South Ossetian independence, Russia requested the OSCE to move </w:t>
      </w:r>
      <w:proofErr w:type="gramStart"/>
      <w:r w:rsidRPr="00CC4288">
        <w:rPr>
          <w:rFonts w:ascii="Times New Roman" w:hAnsi="Times New Roman"/>
          <w:sz w:val="24"/>
          <w:szCs w:val="24"/>
        </w:rPr>
        <w:t>its</w:t>
      </w:r>
      <w:proofErr w:type="gramEnd"/>
      <w:r w:rsidRPr="00CC4288">
        <w:rPr>
          <w:rFonts w:ascii="Times New Roman" w:hAnsi="Times New Roman"/>
          <w:sz w:val="24"/>
          <w:szCs w:val="24"/>
        </w:rPr>
        <w:t xml:space="preserve"> headquarter to Tskhinvali, however, the proposal was rejected. In response, Russia refused to vote for extendin</w:t>
      </w:r>
      <w:r w:rsidR="00BB4CC1">
        <w:rPr>
          <w:rFonts w:ascii="Times New Roman" w:hAnsi="Times New Roman"/>
          <w:sz w:val="24"/>
          <w:szCs w:val="24"/>
        </w:rPr>
        <w:t xml:space="preserve">g </w:t>
      </w:r>
      <w:r w:rsidRPr="00CC4288">
        <w:rPr>
          <w:rFonts w:ascii="Times New Roman" w:hAnsi="Times New Roman"/>
          <w:sz w:val="24"/>
          <w:szCs w:val="24"/>
        </w:rPr>
        <w:t>the OSCE’s Mandate to Georgia.</w:t>
      </w:r>
      <w:r w:rsidRPr="00CC4288">
        <w:rPr>
          <w:rStyle w:val="FootnoteReference"/>
          <w:rFonts w:ascii="Times New Roman" w:hAnsi="Times New Roman"/>
          <w:sz w:val="24"/>
          <w:szCs w:val="24"/>
        </w:rPr>
        <w:footnoteReference w:id="272"/>
      </w:r>
      <w:r w:rsidRPr="00CC4288">
        <w:rPr>
          <w:rFonts w:ascii="Times New Roman" w:hAnsi="Times New Roman"/>
          <w:sz w:val="24"/>
          <w:szCs w:val="24"/>
        </w:rPr>
        <w:t xml:space="preserve"> In June 2009, the OSCE finished its operation in Georgia. Despite </w:t>
      </w:r>
      <w:r w:rsidR="00BB4CC1">
        <w:rPr>
          <w:rFonts w:ascii="Times New Roman" w:hAnsi="Times New Roman"/>
          <w:sz w:val="24"/>
          <w:szCs w:val="24"/>
        </w:rPr>
        <w:t xml:space="preserve">a </w:t>
      </w:r>
      <w:r w:rsidRPr="00CC4288">
        <w:rPr>
          <w:rFonts w:ascii="Times New Roman" w:hAnsi="Times New Roman"/>
          <w:sz w:val="24"/>
          <w:szCs w:val="24"/>
        </w:rPr>
        <w:t xml:space="preserve">positive contribution towards the observing and reporting of the situation on the borders and facilitation of dialogue in </w:t>
      </w:r>
      <w:r w:rsidR="00BB4CC1">
        <w:rPr>
          <w:rFonts w:ascii="Times New Roman" w:hAnsi="Times New Roman"/>
          <w:sz w:val="24"/>
          <w:szCs w:val="24"/>
        </w:rPr>
        <w:t xml:space="preserve">the </w:t>
      </w:r>
      <w:r w:rsidRPr="00CC4288">
        <w:rPr>
          <w:rFonts w:ascii="Times New Roman" w:hAnsi="Times New Roman"/>
          <w:sz w:val="24"/>
          <w:szCs w:val="24"/>
        </w:rPr>
        <w:t>diplomatic di</w:t>
      </w:r>
      <w:r w:rsidR="00E95849">
        <w:rPr>
          <w:rFonts w:ascii="Times New Roman" w:hAnsi="Times New Roman"/>
          <w:sz w:val="24"/>
          <w:szCs w:val="24"/>
        </w:rPr>
        <w:t>mension, the organization did not</w:t>
      </w:r>
      <w:r w:rsidRPr="00CC4288">
        <w:rPr>
          <w:rFonts w:ascii="Times New Roman" w:hAnsi="Times New Roman"/>
          <w:sz w:val="24"/>
          <w:szCs w:val="24"/>
        </w:rPr>
        <w:t xml:space="preserve"> mana</w:t>
      </w:r>
      <w:r w:rsidR="00BB4CC1">
        <w:rPr>
          <w:rFonts w:ascii="Times New Roman" w:hAnsi="Times New Roman"/>
          <w:sz w:val="24"/>
          <w:szCs w:val="24"/>
        </w:rPr>
        <w:t xml:space="preserve">ge to find </w:t>
      </w:r>
      <w:r w:rsidRPr="00CC4288">
        <w:rPr>
          <w:rFonts w:ascii="Times New Roman" w:hAnsi="Times New Roman"/>
          <w:sz w:val="24"/>
          <w:szCs w:val="24"/>
        </w:rPr>
        <w:t>suitable mechanisms and platform</w:t>
      </w:r>
      <w:r w:rsidR="00BB4CC1">
        <w:rPr>
          <w:rFonts w:ascii="Times New Roman" w:hAnsi="Times New Roman"/>
          <w:sz w:val="24"/>
          <w:szCs w:val="24"/>
        </w:rPr>
        <w:t>s</w:t>
      </w:r>
      <w:r w:rsidRPr="00CC4288">
        <w:rPr>
          <w:rFonts w:ascii="Times New Roman" w:hAnsi="Times New Roman"/>
          <w:sz w:val="24"/>
          <w:szCs w:val="24"/>
        </w:rPr>
        <w:t xml:space="preserve"> to achieve consensus bet</w:t>
      </w:r>
      <w:r w:rsidR="00BB4CC1">
        <w:rPr>
          <w:rFonts w:ascii="Times New Roman" w:hAnsi="Times New Roman"/>
          <w:sz w:val="24"/>
          <w:szCs w:val="24"/>
        </w:rPr>
        <w:t xml:space="preserve">ween Georgia, contested regions, </w:t>
      </w:r>
      <w:r w:rsidRPr="00CC4288">
        <w:rPr>
          <w:rFonts w:ascii="Times New Roman" w:hAnsi="Times New Roman"/>
          <w:sz w:val="24"/>
          <w:szCs w:val="24"/>
        </w:rPr>
        <w:t>and Russia.</w:t>
      </w:r>
      <w:r w:rsidRPr="00CC4288">
        <w:rPr>
          <w:rStyle w:val="FootnoteReference"/>
          <w:rFonts w:ascii="Times New Roman" w:hAnsi="Times New Roman"/>
          <w:sz w:val="24"/>
          <w:szCs w:val="24"/>
        </w:rPr>
        <w:footnoteReference w:id="273"/>
      </w:r>
    </w:p>
    <w:p w:rsidR="007A6DF2" w:rsidRDefault="00E204B8" w:rsidP="00DC7791">
      <w:pPr>
        <w:spacing w:line="360" w:lineRule="auto"/>
        <w:jc w:val="both"/>
        <w:rPr>
          <w:rFonts w:ascii="Times New Roman" w:hAnsi="Times New Roman"/>
          <w:sz w:val="24"/>
          <w:szCs w:val="24"/>
        </w:rPr>
      </w:pPr>
      <w:r>
        <w:rPr>
          <w:rFonts w:ascii="Times New Roman" w:hAnsi="Times New Roman"/>
          <w:sz w:val="24"/>
          <w:szCs w:val="24"/>
        </w:rPr>
        <w:t>The United Nation</w:t>
      </w:r>
      <w:r w:rsidR="00050BA9" w:rsidRPr="00CC4288">
        <w:rPr>
          <w:rFonts w:ascii="Times New Roman" w:hAnsi="Times New Roman"/>
          <w:sz w:val="24"/>
          <w:szCs w:val="24"/>
        </w:rPr>
        <w:t xml:space="preserve"> involvement in protracted conflicts of Georgia dates back to 1993.</w:t>
      </w:r>
      <w:r w:rsidR="00050BA9" w:rsidRPr="00CC4288">
        <w:rPr>
          <w:rStyle w:val="FootnoteReference"/>
          <w:rFonts w:ascii="Times New Roman" w:hAnsi="Times New Roman"/>
          <w:sz w:val="24"/>
          <w:szCs w:val="24"/>
        </w:rPr>
        <w:footnoteReference w:id="274"/>
      </w:r>
      <w:r w:rsidR="00050BA9" w:rsidRPr="00CC4288">
        <w:rPr>
          <w:rFonts w:ascii="Times New Roman" w:hAnsi="Times New Roman"/>
          <w:sz w:val="24"/>
          <w:szCs w:val="24"/>
        </w:rPr>
        <w:t xml:space="preserve"> The Union Nations Mission to Georgia (UNOMIG) was granted the Mandate to operate on the borders of the confronting parties, report the humanitarian situation, and support the CIS </w:t>
      </w:r>
      <w:r w:rsidR="00050BA9" w:rsidRPr="00CC4288">
        <w:rPr>
          <w:rFonts w:ascii="Times New Roman" w:hAnsi="Times New Roman"/>
          <w:sz w:val="24"/>
          <w:szCs w:val="24"/>
        </w:rPr>
        <w:lastRenderedPageBreak/>
        <w:t>peacekeeping forces (CIPKE).</w:t>
      </w:r>
      <w:r w:rsidR="00050BA9" w:rsidRPr="00CC4288">
        <w:rPr>
          <w:rStyle w:val="FootnoteReference"/>
          <w:rFonts w:ascii="Times New Roman" w:hAnsi="Times New Roman"/>
          <w:sz w:val="24"/>
          <w:szCs w:val="24"/>
        </w:rPr>
        <w:footnoteReference w:id="275"/>
      </w:r>
      <w:r w:rsidR="00050BA9" w:rsidRPr="00CC4288">
        <w:rPr>
          <w:rFonts w:ascii="Times New Roman" w:hAnsi="Times New Roman"/>
          <w:sz w:val="24"/>
          <w:szCs w:val="24"/>
        </w:rPr>
        <w:t xml:space="preserve"> The main objective of the UNOMIG was to enhance the dialogue between the confronting parties, provide humanitarian aid to conflict-affected villages and assist the return process of refugees and IDPs.</w:t>
      </w:r>
      <w:r w:rsidR="00050BA9" w:rsidRPr="00CC4288">
        <w:rPr>
          <w:rStyle w:val="FootnoteReference"/>
          <w:rFonts w:ascii="Times New Roman" w:hAnsi="Times New Roman"/>
          <w:sz w:val="24"/>
          <w:szCs w:val="24"/>
        </w:rPr>
        <w:footnoteReference w:id="276"/>
      </w:r>
      <w:r w:rsidR="00050BA9" w:rsidRPr="00CC4288">
        <w:rPr>
          <w:rFonts w:ascii="Times New Roman" w:hAnsi="Times New Roman"/>
          <w:sz w:val="24"/>
          <w:szCs w:val="24"/>
        </w:rPr>
        <w:t xml:space="preserve"> The UNOMIG was cooperating with the Coordinating Council of Abkhazia in the fields of economic and social problems, refugees and IDPs, peaceful dialogue, and reconciliation.</w:t>
      </w:r>
      <w:r w:rsidR="00050BA9" w:rsidRPr="00CC4288">
        <w:rPr>
          <w:rStyle w:val="FootnoteReference"/>
          <w:rFonts w:ascii="Times New Roman" w:hAnsi="Times New Roman"/>
          <w:sz w:val="24"/>
          <w:szCs w:val="24"/>
        </w:rPr>
        <w:footnoteReference w:id="277"/>
      </w:r>
      <w:r w:rsidR="00050BA9" w:rsidRPr="00CC4288">
        <w:rPr>
          <w:rFonts w:ascii="Times New Roman" w:hAnsi="Times New Roman"/>
          <w:sz w:val="24"/>
          <w:szCs w:val="24"/>
        </w:rPr>
        <w:t xml:space="preserve"> Later on, the OSCE and Russia also joined the format as facilitators. The UN Security Council and the UNOMIG publicly supported Georgia’s interest for territorial integrity and peaceful resolution of the conflict.</w:t>
      </w:r>
      <w:r w:rsidR="00050BA9" w:rsidRPr="00CC4288">
        <w:rPr>
          <w:rStyle w:val="FootnoteReference"/>
          <w:rFonts w:ascii="Times New Roman" w:hAnsi="Times New Roman"/>
          <w:sz w:val="24"/>
          <w:szCs w:val="24"/>
        </w:rPr>
        <w:footnoteReference w:id="278"/>
      </w:r>
      <w:r w:rsidR="00050BA9" w:rsidRPr="00CC4288">
        <w:rPr>
          <w:rFonts w:ascii="Times New Roman" w:hAnsi="Times New Roman"/>
          <w:sz w:val="24"/>
          <w:szCs w:val="24"/>
        </w:rPr>
        <w:t xml:space="preserve"> To some degree, this factor constrained the mission’s efficiency in negotiation with separatist forces. In 1999, Abkhazia declared independence and the objectives of the missions became practically unachievable.</w:t>
      </w:r>
      <w:r w:rsidR="00050BA9" w:rsidRPr="00CC4288">
        <w:rPr>
          <w:rStyle w:val="FootnoteReference"/>
          <w:rFonts w:ascii="Times New Roman" w:hAnsi="Times New Roman"/>
          <w:sz w:val="24"/>
          <w:szCs w:val="24"/>
        </w:rPr>
        <w:footnoteReference w:id="279"/>
      </w:r>
      <w:r w:rsidR="00050BA9" w:rsidRPr="00CC4288">
        <w:rPr>
          <w:rFonts w:ascii="Times New Roman" w:hAnsi="Times New Roman"/>
          <w:sz w:val="24"/>
          <w:szCs w:val="24"/>
        </w:rPr>
        <w:t xml:space="preserve"> The UN once again engaged in the conflict mediation process in Georgia after the war in 2008. It joined the GID format which was proposed by the EU after signing the six-point ceasefire agreement. Similarly to the OSCE, Russia played a crucial role in deciding the UNOMIG’s fate in Georgia. A year after the August war, the Kremlin used its position in UN Security Council and voted the extension of the UNOMIG Mandate in Abkhazia.</w:t>
      </w:r>
      <w:r w:rsidR="00050BA9" w:rsidRPr="00CC4288">
        <w:rPr>
          <w:rStyle w:val="FootnoteReference"/>
          <w:rFonts w:ascii="Times New Roman" w:hAnsi="Times New Roman"/>
          <w:sz w:val="24"/>
          <w:szCs w:val="24"/>
        </w:rPr>
        <w:footnoteReference w:id="280"/>
      </w:r>
      <w:r w:rsidR="00050BA9" w:rsidRPr="00CC4288">
        <w:rPr>
          <w:rFonts w:ascii="Times New Roman" w:hAnsi="Times New Roman"/>
          <w:sz w:val="24"/>
          <w:szCs w:val="24"/>
        </w:rPr>
        <w:t xml:space="preserve"> To this day, the EUMM remains the only active mission on the ground in Georgia which is actively engaged in conflict mediation and t</w:t>
      </w:r>
      <w:r w:rsidR="00D57DBE">
        <w:rPr>
          <w:rFonts w:ascii="Times New Roman" w:hAnsi="Times New Roman"/>
          <w:sz w:val="24"/>
          <w:szCs w:val="24"/>
        </w:rPr>
        <w:t xml:space="preserve">ransformation process on ABLs. </w:t>
      </w:r>
    </w:p>
    <w:p w:rsidR="00DC7791" w:rsidRDefault="00DC7791"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0D5F83" w:rsidRDefault="000D5F83" w:rsidP="00DC7791">
      <w:pPr>
        <w:pStyle w:val="NoSpacing"/>
      </w:pPr>
    </w:p>
    <w:p w:rsidR="00345812" w:rsidRDefault="00345812" w:rsidP="00DC7791">
      <w:pPr>
        <w:pStyle w:val="NoSpacing"/>
      </w:pPr>
    </w:p>
    <w:p w:rsidR="00345812" w:rsidRDefault="00345812" w:rsidP="00DC7791">
      <w:pPr>
        <w:pStyle w:val="NoSpacing"/>
      </w:pPr>
    </w:p>
    <w:p w:rsidR="00345812" w:rsidRDefault="00345812" w:rsidP="00DC7791">
      <w:pPr>
        <w:pStyle w:val="NoSpacing"/>
      </w:pPr>
    </w:p>
    <w:p w:rsidR="00345812" w:rsidRDefault="00345812" w:rsidP="00DC7791">
      <w:pPr>
        <w:pStyle w:val="NoSpacing"/>
      </w:pPr>
    </w:p>
    <w:p w:rsidR="00345812" w:rsidRDefault="00345812" w:rsidP="00DC7791">
      <w:pPr>
        <w:pStyle w:val="NoSpacing"/>
      </w:pPr>
    </w:p>
    <w:p w:rsidR="00345812" w:rsidRDefault="00345812" w:rsidP="00DC7791">
      <w:pPr>
        <w:pStyle w:val="NoSpacing"/>
      </w:pPr>
    </w:p>
    <w:p w:rsidR="00345812" w:rsidRDefault="00345812" w:rsidP="00DC7791">
      <w:pPr>
        <w:pStyle w:val="NoSpacing"/>
      </w:pPr>
    </w:p>
    <w:p w:rsidR="00345812" w:rsidRDefault="00345812" w:rsidP="00DC7791">
      <w:pPr>
        <w:pStyle w:val="NoSpacing"/>
      </w:pPr>
    </w:p>
    <w:p w:rsidR="00345812" w:rsidRDefault="00345812" w:rsidP="00DC7791">
      <w:pPr>
        <w:pStyle w:val="NoSpacing"/>
      </w:pPr>
    </w:p>
    <w:p w:rsidR="000D5F83" w:rsidRDefault="000D5F83" w:rsidP="00DC7791">
      <w:pPr>
        <w:pStyle w:val="NoSpacing"/>
      </w:pPr>
    </w:p>
    <w:p w:rsidR="00527CB2" w:rsidRDefault="00527CB2" w:rsidP="00DC7791">
      <w:pPr>
        <w:pStyle w:val="NoSpacing"/>
      </w:pPr>
    </w:p>
    <w:p w:rsidR="000D5F83" w:rsidRPr="004A05DF" w:rsidRDefault="004A05DF" w:rsidP="004A05DF">
      <w:pPr>
        <w:pStyle w:val="NoSpacing"/>
        <w:spacing w:line="360" w:lineRule="auto"/>
        <w:jc w:val="right"/>
        <w:rPr>
          <w:rFonts w:ascii="Times New Roman" w:hAnsi="Times New Roman"/>
          <w:sz w:val="22"/>
          <w:szCs w:val="22"/>
        </w:rPr>
      </w:pPr>
      <w:r w:rsidRPr="004A05DF">
        <w:rPr>
          <w:rFonts w:ascii="Times New Roman" w:hAnsi="Times New Roman"/>
          <w:sz w:val="22"/>
          <w:szCs w:val="22"/>
        </w:rPr>
        <w:t>"The collapse of the Soviet Union was a genuine tragedy."</w:t>
      </w:r>
      <w:r w:rsidR="009077EF">
        <w:rPr>
          <w:rStyle w:val="FootnoteReference"/>
          <w:rFonts w:ascii="Times New Roman" w:hAnsi="Times New Roman"/>
          <w:sz w:val="22"/>
          <w:szCs w:val="22"/>
        </w:rPr>
        <w:footnoteReference w:id="281"/>
      </w:r>
    </w:p>
    <w:p w:rsidR="004A05DF" w:rsidRPr="004A05DF" w:rsidRDefault="004A05DF" w:rsidP="004A05DF">
      <w:pPr>
        <w:pStyle w:val="NoSpacing"/>
        <w:spacing w:line="360" w:lineRule="auto"/>
        <w:jc w:val="right"/>
        <w:rPr>
          <w:rFonts w:ascii="Times New Roman" w:hAnsi="Times New Roman"/>
          <w:sz w:val="22"/>
          <w:szCs w:val="22"/>
        </w:rPr>
      </w:pPr>
      <w:r w:rsidRPr="004A05DF">
        <w:rPr>
          <w:rFonts w:ascii="Times New Roman" w:hAnsi="Times New Roman"/>
          <w:sz w:val="22"/>
          <w:szCs w:val="22"/>
        </w:rPr>
        <w:t>Vladimir Putin, the President of the Russian Federation</w:t>
      </w:r>
    </w:p>
    <w:p w:rsidR="004A05DF" w:rsidRPr="004A05DF" w:rsidRDefault="004A05DF" w:rsidP="004A05DF">
      <w:pPr>
        <w:pStyle w:val="NoSpacing"/>
        <w:spacing w:line="360" w:lineRule="auto"/>
        <w:jc w:val="right"/>
        <w:rPr>
          <w:rFonts w:ascii="Times New Roman" w:hAnsi="Times New Roman"/>
          <w:sz w:val="22"/>
          <w:szCs w:val="22"/>
        </w:rPr>
      </w:pPr>
      <w:r w:rsidRPr="004A05DF">
        <w:rPr>
          <w:rFonts w:ascii="Times New Roman" w:hAnsi="Times New Roman"/>
          <w:sz w:val="22"/>
          <w:szCs w:val="22"/>
        </w:rPr>
        <w:t>April 25, 2005.</w:t>
      </w:r>
    </w:p>
    <w:p w:rsidR="00050BA9" w:rsidRPr="00D57DBE" w:rsidRDefault="001B274C" w:rsidP="006D2116">
      <w:pPr>
        <w:pStyle w:val="Heading2"/>
        <w:rPr>
          <w:color w:val="auto"/>
          <w:sz w:val="32"/>
          <w:szCs w:val="32"/>
        </w:rPr>
      </w:pPr>
      <w:bookmarkStart w:id="21" w:name="_Toc46952615"/>
      <w:r>
        <w:rPr>
          <w:color w:val="auto"/>
          <w:sz w:val="32"/>
          <w:szCs w:val="32"/>
        </w:rPr>
        <w:t>3</w:t>
      </w:r>
      <w:r w:rsidR="000D5F83">
        <w:rPr>
          <w:color w:val="auto"/>
          <w:sz w:val="32"/>
          <w:szCs w:val="32"/>
        </w:rPr>
        <w:t>.4</w:t>
      </w:r>
      <w:r w:rsidR="00050BA9" w:rsidRPr="00D57DBE">
        <w:rPr>
          <w:color w:val="auto"/>
          <w:sz w:val="32"/>
          <w:szCs w:val="32"/>
        </w:rPr>
        <w:t xml:space="preserve"> </w:t>
      </w:r>
      <w:r w:rsidR="00AE4D71" w:rsidRPr="00D57DBE">
        <w:rPr>
          <w:color w:val="auto"/>
          <w:sz w:val="32"/>
          <w:szCs w:val="32"/>
        </w:rPr>
        <w:t>Russia’s Foreign Policy in Shared Neighborhood</w:t>
      </w:r>
      <w:bookmarkEnd w:id="21"/>
    </w:p>
    <w:p w:rsidR="00D57DBE" w:rsidRPr="00D57DBE" w:rsidRDefault="00D57DBE" w:rsidP="00D57DBE"/>
    <w:p w:rsidR="00050BA9" w:rsidRPr="00CC4288" w:rsidRDefault="00050BA9" w:rsidP="00050BA9">
      <w:pPr>
        <w:tabs>
          <w:tab w:val="left" w:pos="2610"/>
        </w:tabs>
        <w:spacing w:line="360" w:lineRule="auto"/>
        <w:jc w:val="both"/>
        <w:rPr>
          <w:rFonts w:ascii="Times New Roman" w:hAnsi="Times New Roman"/>
          <w:sz w:val="24"/>
          <w:szCs w:val="24"/>
        </w:rPr>
      </w:pPr>
      <w:r w:rsidRPr="00CC4288">
        <w:rPr>
          <w:rFonts w:ascii="Times New Roman" w:hAnsi="Times New Roman"/>
          <w:sz w:val="24"/>
          <w:szCs w:val="24"/>
        </w:rPr>
        <w:t>The image of Russia in Georgia’s national discourse has always been associated with imperialism and occupation. The nationalist movement of the first President of Georgia Zviad Gamsakhurdia portrayed Russia as the main enemy of sovereignty and independence of the newly emerged state.</w:t>
      </w:r>
      <w:r w:rsidRPr="00CC4288">
        <w:rPr>
          <w:rStyle w:val="FootnoteReference"/>
          <w:rFonts w:ascii="Times New Roman" w:hAnsi="Times New Roman"/>
          <w:sz w:val="24"/>
          <w:szCs w:val="24"/>
        </w:rPr>
        <w:footnoteReference w:id="282"/>
      </w:r>
      <w:r w:rsidRPr="00CC4288">
        <w:rPr>
          <w:rFonts w:ascii="Times New Roman" w:hAnsi="Times New Roman"/>
          <w:sz w:val="24"/>
          <w:szCs w:val="24"/>
        </w:rPr>
        <w:t xml:space="preserve"> Moreover, the conflicts in Abkhazia and South Ossetia intensified the hatred towards Russia due to the direct and indirect involvement of the Kremlin on the side of the separatist powers. The pro-Gamsakhurdia ruling elite was often branded their opponents as ‘Russian informants’ and enemies of the society to delegitimize their actions in the eyes of the Georgian people.</w:t>
      </w:r>
      <w:r w:rsidRPr="00CC4288">
        <w:rPr>
          <w:rStyle w:val="FootnoteReference"/>
          <w:rFonts w:ascii="Times New Roman" w:hAnsi="Times New Roman"/>
          <w:sz w:val="24"/>
          <w:szCs w:val="24"/>
        </w:rPr>
        <w:footnoteReference w:id="283"/>
      </w:r>
      <w:r w:rsidRPr="00CC4288">
        <w:rPr>
          <w:rFonts w:ascii="Times New Roman" w:hAnsi="Times New Roman"/>
          <w:sz w:val="24"/>
          <w:szCs w:val="24"/>
        </w:rPr>
        <w:t xml:space="preserve"> Gamsakhurdia’s radical criticism towards Russia certainly carried the elements of fairness, however, the ultra-nationalistic policies did more harm than good for the fragile and fragmented state during the initial years of independence. Moreover, the anti-Russian course wasn’t favored by the western political establishment either.</w:t>
      </w:r>
      <w:r w:rsidRPr="00CC4288">
        <w:rPr>
          <w:rStyle w:val="FootnoteReference"/>
          <w:rFonts w:ascii="Times New Roman" w:hAnsi="Times New Roman"/>
          <w:sz w:val="24"/>
          <w:szCs w:val="24"/>
        </w:rPr>
        <w:footnoteReference w:id="284"/>
      </w:r>
      <w:r w:rsidRPr="00CC4288">
        <w:rPr>
          <w:rFonts w:ascii="Times New Roman" w:hAnsi="Times New Roman"/>
          <w:sz w:val="24"/>
          <w:szCs w:val="24"/>
        </w:rPr>
        <w:t xml:space="preserve"> The US leaders were concerned with Gamsakhurdia’s isolationist tendencies and desire to form the Transcaucasian political group together with Chechens, Ingush, and other Caucasian nations.</w:t>
      </w:r>
      <w:r w:rsidRPr="00CC4288">
        <w:rPr>
          <w:rStyle w:val="FootnoteReference"/>
          <w:rFonts w:ascii="Times New Roman" w:hAnsi="Times New Roman"/>
          <w:sz w:val="24"/>
          <w:szCs w:val="24"/>
        </w:rPr>
        <w:footnoteReference w:id="285"/>
      </w:r>
      <w:r w:rsidRPr="00CC4288">
        <w:rPr>
          <w:rFonts w:ascii="Times New Roman" w:hAnsi="Times New Roman"/>
          <w:sz w:val="24"/>
          <w:szCs w:val="24"/>
        </w:rPr>
        <w:t xml:space="preserve"> Few years after his election, Gamsakhuria was overthrown by the military coup, organized by Tengiz Sigua and Jaba Ioseliani – the leaders of the paramilitary group ‘Mkhedrioni’.</w:t>
      </w:r>
      <w:r w:rsidRPr="00CC4288">
        <w:rPr>
          <w:rStyle w:val="FootnoteReference"/>
          <w:rFonts w:ascii="Times New Roman" w:hAnsi="Times New Roman"/>
          <w:sz w:val="24"/>
          <w:szCs w:val="24"/>
        </w:rPr>
        <w:footnoteReference w:id="286"/>
      </w:r>
      <w:r w:rsidRPr="00CC4288">
        <w:rPr>
          <w:rFonts w:ascii="Times New Roman" w:hAnsi="Times New Roman"/>
          <w:sz w:val="24"/>
          <w:szCs w:val="24"/>
        </w:rPr>
        <w:t xml:space="preserve"> It must be noted that the rebels had strong links with the Kremlin and a large portion of the weaponry and equipment was supplied from the Russian army bases in North </w:t>
      </w:r>
      <w:r w:rsidRPr="00CC4288">
        <w:rPr>
          <w:rFonts w:ascii="Times New Roman" w:hAnsi="Times New Roman"/>
          <w:sz w:val="24"/>
          <w:szCs w:val="24"/>
        </w:rPr>
        <w:lastRenderedPageBreak/>
        <w:t>Caucasus.</w:t>
      </w:r>
      <w:r w:rsidRPr="00CC4288">
        <w:rPr>
          <w:rStyle w:val="FootnoteReference"/>
          <w:rFonts w:ascii="Times New Roman" w:hAnsi="Times New Roman"/>
          <w:sz w:val="24"/>
          <w:szCs w:val="24"/>
        </w:rPr>
        <w:footnoteReference w:id="287"/>
      </w:r>
      <w:r w:rsidRPr="00CC4288">
        <w:rPr>
          <w:rFonts w:ascii="Times New Roman" w:hAnsi="Times New Roman"/>
          <w:sz w:val="24"/>
          <w:szCs w:val="24"/>
        </w:rPr>
        <w:t xml:space="preserve"> Gamsakhurdia was replaced by the Kremlin’s favorite – former Soviet Foreign Minister Eduard Ambrosevich Shevardnadze.</w:t>
      </w:r>
      <w:r w:rsidRPr="00CC4288">
        <w:rPr>
          <w:rStyle w:val="FootnoteReference"/>
          <w:rFonts w:ascii="Times New Roman" w:hAnsi="Times New Roman"/>
          <w:sz w:val="24"/>
          <w:szCs w:val="24"/>
        </w:rPr>
        <w:footnoteReference w:id="288"/>
      </w:r>
      <w:r w:rsidRPr="00CC4288">
        <w:rPr>
          <w:rFonts w:ascii="Times New Roman" w:hAnsi="Times New Roman"/>
          <w:sz w:val="24"/>
          <w:szCs w:val="24"/>
        </w:rPr>
        <w:t xml:space="preserve"> One the one hand, Shevardnadze had strong links with the political establishment in the Kremlin but one the other hand, he was widely praised as one of the major figures in the dissolution of the Soviet Union and ally to Western democratic leaders.</w:t>
      </w:r>
      <w:r w:rsidRPr="00CC4288">
        <w:rPr>
          <w:rStyle w:val="FootnoteReference"/>
          <w:rFonts w:ascii="Times New Roman" w:hAnsi="Times New Roman"/>
          <w:sz w:val="24"/>
          <w:szCs w:val="24"/>
        </w:rPr>
        <w:footnoteReference w:id="289"/>
      </w:r>
    </w:p>
    <w:p w:rsidR="001B274C" w:rsidRDefault="001B274C" w:rsidP="00050BA9">
      <w:pPr>
        <w:spacing w:line="360" w:lineRule="auto"/>
        <w:jc w:val="both"/>
        <w:rPr>
          <w:rFonts w:ascii="Times New Roman" w:hAnsi="Times New Roman"/>
          <w:sz w:val="24"/>
          <w:szCs w:val="24"/>
        </w:rPr>
      </w:pPr>
    </w:p>
    <w:p w:rsidR="001B274C"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The foreign strategy of the Russian Federation after the collapse of the Soviet Union was primarily based on strengthening its influence over the ‘near abroad’. This geopolitical term refers to the former Soviet republics which comprise the geostrategic area of interest of the Kremlin. Consequently, Georgia as well as</w:t>
      </w:r>
      <w:r w:rsidR="00BB4CC1">
        <w:rPr>
          <w:rFonts w:ascii="Times New Roman" w:hAnsi="Times New Roman"/>
          <w:sz w:val="24"/>
          <w:szCs w:val="24"/>
        </w:rPr>
        <w:t xml:space="preserve"> all other CIS states were</w:t>
      </w:r>
      <w:r w:rsidRPr="00CC4288">
        <w:rPr>
          <w:rFonts w:ascii="Times New Roman" w:hAnsi="Times New Roman"/>
          <w:sz w:val="24"/>
          <w:szCs w:val="24"/>
        </w:rPr>
        <w:t xml:space="preserve"> envisioned as ‘Russia’s backyard’. Russia often exerts its military influence near abroad, especially if there is a higher chance of collision of geopolitical interests with the US and other international actors. This approach is often justified with the necessity of protection of Russians abroad, sovereignty of neighbors, and maintaining stability in the region.</w:t>
      </w:r>
      <w:r w:rsidRPr="00CC4288">
        <w:rPr>
          <w:rStyle w:val="FootnoteReference"/>
          <w:rFonts w:ascii="Times New Roman" w:hAnsi="Times New Roman"/>
          <w:sz w:val="24"/>
          <w:szCs w:val="24"/>
        </w:rPr>
        <w:footnoteReference w:id="290"/>
      </w:r>
      <w:r w:rsidRPr="00CC4288">
        <w:rPr>
          <w:rFonts w:ascii="Times New Roman" w:hAnsi="Times New Roman"/>
          <w:sz w:val="24"/>
          <w:szCs w:val="24"/>
        </w:rPr>
        <w:t xml:space="preserve"> Moreover, for the former Soviet republic, peace with Russia meant the agreement on the rules of the political game offered by the Kremlin. Soon after the arrival of Eduard Shevardnadze, Georgia joined the CIS as a part of the normalization process of relations with Russia. This was further extended by joining the Collective Security Treaty (</w:t>
      </w:r>
      <w:r w:rsidR="00BB4CC1">
        <w:rPr>
          <w:rFonts w:ascii="Times New Roman" w:hAnsi="Times New Roman"/>
          <w:sz w:val="24"/>
          <w:szCs w:val="24"/>
        </w:rPr>
        <w:t xml:space="preserve">CST) – military alliance under </w:t>
      </w:r>
      <w:r w:rsidRPr="00CC4288">
        <w:rPr>
          <w:rFonts w:ascii="Times New Roman" w:hAnsi="Times New Roman"/>
          <w:sz w:val="24"/>
          <w:szCs w:val="24"/>
        </w:rPr>
        <w:t>Russian patronage, which practically meant the reinforcement of total control on the Georgian political environment by the Kremlin.</w:t>
      </w:r>
      <w:r w:rsidRPr="00CC4288">
        <w:rPr>
          <w:rStyle w:val="FootnoteReference"/>
          <w:rFonts w:ascii="Times New Roman" w:hAnsi="Times New Roman"/>
          <w:sz w:val="24"/>
          <w:szCs w:val="24"/>
        </w:rPr>
        <w:footnoteReference w:id="291"/>
      </w:r>
      <w:r w:rsidRPr="00CC4288">
        <w:rPr>
          <w:rFonts w:ascii="Times New Roman" w:hAnsi="Times New Roman"/>
          <w:sz w:val="24"/>
          <w:szCs w:val="24"/>
        </w:rPr>
        <w:t xml:space="preserve"> Considering the geopolitical and logistical importance of Georgia, Russia was carefully but rapidly exerting its strategy of complete dominance in the face of western political powers. In 1995, Shevardnadze and Yeltsin signed the bilateral agreement on the deployment of Russian military bases in several regions of Georgia. As </w:t>
      </w:r>
      <w:r w:rsidR="00A1710C">
        <w:rPr>
          <w:rFonts w:ascii="Times New Roman" w:hAnsi="Times New Roman"/>
          <w:sz w:val="24"/>
          <w:szCs w:val="24"/>
        </w:rPr>
        <w:t>Cornell (2015) notes: “</w:t>
      </w:r>
      <w:r w:rsidRPr="00CC4288">
        <w:rPr>
          <w:rFonts w:ascii="Times New Roman" w:hAnsi="Times New Roman"/>
          <w:sz w:val="24"/>
          <w:szCs w:val="24"/>
        </w:rPr>
        <w:t>Russia effectively took control of five strategic points near the borderlin</w:t>
      </w:r>
      <w:r w:rsidR="00A1710C">
        <w:rPr>
          <w:rFonts w:ascii="Times New Roman" w:hAnsi="Times New Roman"/>
          <w:sz w:val="24"/>
          <w:szCs w:val="24"/>
        </w:rPr>
        <w:t xml:space="preserve">es </w:t>
      </w:r>
      <w:r w:rsidRPr="00CC4288">
        <w:rPr>
          <w:rFonts w:ascii="Times New Roman" w:hAnsi="Times New Roman"/>
          <w:sz w:val="24"/>
          <w:szCs w:val="24"/>
        </w:rPr>
        <w:t>in Georgia and cemented its political and military control over the country.</w:t>
      </w:r>
      <w:r w:rsidR="00A1710C">
        <w:rPr>
          <w:rFonts w:ascii="Times New Roman" w:hAnsi="Times New Roman"/>
          <w:sz w:val="24"/>
          <w:szCs w:val="24"/>
        </w:rPr>
        <w:t>”</w:t>
      </w:r>
      <w:r w:rsidRPr="00CC4288">
        <w:rPr>
          <w:rStyle w:val="FootnoteReference"/>
          <w:rFonts w:ascii="Times New Roman" w:hAnsi="Times New Roman"/>
          <w:sz w:val="24"/>
          <w:szCs w:val="24"/>
        </w:rPr>
        <w:footnoteReference w:id="292"/>
      </w:r>
      <w:r w:rsidRPr="00CC4288">
        <w:rPr>
          <w:rFonts w:ascii="Times New Roman" w:hAnsi="Times New Roman"/>
          <w:sz w:val="24"/>
          <w:szCs w:val="24"/>
        </w:rPr>
        <w:t xml:space="preserve"> Georgia was frozen in time and its state-building process was limited to a great extent. Despite the presence of international actors such as the UNOMIG, and the OSCE, the country </w:t>
      </w:r>
      <w:r w:rsidRPr="00CC4288">
        <w:rPr>
          <w:rFonts w:ascii="Times New Roman" w:hAnsi="Times New Roman"/>
          <w:sz w:val="24"/>
          <w:szCs w:val="24"/>
        </w:rPr>
        <w:lastRenderedPageBreak/>
        <w:t>still lacked much-needed partner for institutionalization, democratization, and support of the reforms.</w:t>
      </w:r>
      <w:r w:rsidR="00BB4CC1">
        <w:rPr>
          <w:rFonts w:ascii="Times New Roman" w:hAnsi="Times New Roman"/>
          <w:sz w:val="24"/>
          <w:szCs w:val="24"/>
        </w:rPr>
        <w:t xml:space="preserve"> </w:t>
      </w:r>
    </w:p>
    <w:p w:rsidR="001B274C" w:rsidRDefault="001B274C" w:rsidP="00050BA9">
      <w:pPr>
        <w:spacing w:line="360" w:lineRule="auto"/>
        <w:jc w:val="both"/>
        <w:rPr>
          <w:rFonts w:ascii="Times New Roman" w:hAnsi="Times New Roman"/>
          <w:sz w:val="24"/>
          <w:szCs w:val="24"/>
        </w:rPr>
      </w:pPr>
    </w:p>
    <w:p w:rsidR="00050BA9" w:rsidRPr="00CC4288" w:rsidRDefault="00050BA9" w:rsidP="00050BA9">
      <w:pPr>
        <w:spacing w:line="360" w:lineRule="auto"/>
        <w:jc w:val="both"/>
        <w:rPr>
          <w:rFonts w:ascii="Times New Roman" w:hAnsi="Times New Roman"/>
          <w:sz w:val="24"/>
          <w:szCs w:val="24"/>
        </w:rPr>
      </w:pPr>
      <w:r w:rsidRPr="00CC4288">
        <w:rPr>
          <w:rFonts w:ascii="Times New Roman" w:hAnsi="Times New Roman"/>
          <w:sz w:val="24"/>
          <w:szCs w:val="24"/>
        </w:rPr>
        <w:t>In the late 1990s, Shevardnadze’s government made the first steps towards the pro-Western course. During 1996-2000, Georgia signed the Partnership and Cooperation Agreement (PCA) with the EU and became a member of the Council of Europe.</w:t>
      </w:r>
      <w:r w:rsidRPr="00CC4288">
        <w:rPr>
          <w:rStyle w:val="FootnoteReference"/>
          <w:rFonts w:ascii="Times New Roman" w:hAnsi="Times New Roman"/>
          <w:sz w:val="24"/>
          <w:szCs w:val="24"/>
        </w:rPr>
        <w:footnoteReference w:id="293"/>
      </w:r>
      <w:r w:rsidRPr="00CC4288">
        <w:rPr>
          <w:rFonts w:ascii="Times New Roman" w:hAnsi="Times New Roman"/>
          <w:sz w:val="24"/>
          <w:szCs w:val="24"/>
        </w:rPr>
        <w:t xml:space="preserve"> Furthermore, the US significantly increased its financial assistance to the country and persuaded the Georgian government to withdraw from the CST.</w:t>
      </w:r>
      <w:r w:rsidRPr="00CC4288">
        <w:rPr>
          <w:rStyle w:val="FootnoteReference"/>
          <w:rFonts w:ascii="Times New Roman" w:hAnsi="Times New Roman"/>
          <w:sz w:val="24"/>
          <w:szCs w:val="24"/>
        </w:rPr>
        <w:footnoteReference w:id="294"/>
      </w:r>
      <w:r w:rsidRPr="00CC4288">
        <w:rPr>
          <w:rFonts w:ascii="Times New Roman" w:hAnsi="Times New Roman"/>
          <w:b/>
          <w:sz w:val="24"/>
          <w:szCs w:val="24"/>
        </w:rPr>
        <w:t xml:space="preserve"> </w:t>
      </w:r>
      <w:r w:rsidRPr="00CC4288">
        <w:rPr>
          <w:rFonts w:ascii="Times New Roman" w:hAnsi="Times New Roman"/>
          <w:sz w:val="24"/>
          <w:szCs w:val="24"/>
        </w:rPr>
        <w:t>Such circumstances negatively affected the Georgian-Russian relations and decreased the chances of restoring of Georgian territorial integrity with the Kremlin’s assistance. On the contrary, Shevardnadze was seeking alternative ways to establish the functional national army and border guard to protect the country from separatist forces, paramilitary groups, and potential aggression from Russia. In 2002, the government of the U</w:t>
      </w:r>
      <w:r w:rsidR="00930887">
        <w:rPr>
          <w:rFonts w:ascii="Times New Roman" w:hAnsi="Times New Roman"/>
          <w:sz w:val="24"/>
          <w:szCs w:val="24"/>
        </w:rPr>
        <w:t>.</w:t>
      </w:r>
      <w:r w:rsidRPr="00CC4288">
        <w:rPr>
          <w:rFonts w:ascii="Times New Roman" w:hAnsi="Times New Roman"/>
          <w:sz w:val="24"/>
          <w:szCs w:val="24"/>
        </w:rPr>
        <w:t>S</w:t>
      </w:r>
      <w:r w:rsidR="00930887">
        <w:rPr>
          <w:rFonts w:ascii="Times New Roman" w:hAnsi="Times New Roman"/>
          <w:sz w:val="24"/>
          <w:szCs w:val="24"/>
        </w:rPr>
        <w:t>.</w:t>
      </w:r>
      <w:r w:rsidRPr="00CC4288">
        <w:rPr>
          <w:rFonts w:ascii="Times New Roman" w:hAnsi="Times New Roman"/>
          <w:sz w:val="24"/>
          <w:szCs w:val="24"/>
        </w:rPr>
        <w:t xml:space="preserve"> allocated </w:t>
      </w:r>
      <w:r w:rsidR="00930887">
        <w:rPr>
          <w:rFonts w:ascii="Times New Roman" w:hAnsi="Times New Roman"/>
          <w:sz w:val="24"/>
          <w:szCs w:val="24"/>
        </w:rPr>
        <w:t xml:space="preserve">USD70 million </w:t>
      </w:r>
      <w:r w:rsidRPr="00CC4288">
        <w:rPr>
          <w:rFonts w:ascii="Times New Roman" w:hAnsi="Times New Roman"/>
          <w:sz w:val="24"/>
          <w:szCs w:val="24"/>
        </w:rPr>
        <w:t>for equipment, training of the Georgian army, and restructuring of the governing bodies. With increased political pressure from the Kremlin and growing risks of armed hostilities, the Georgian government finally selected its pro-Western course and declared the Euro-Atlantic aspirations.</w:t>
      </w:r>
      <w:r w:rsidRPr="00CC4288">
        <w:rPr>
          <w:rStyle w:val="FootnoteReference"/>
          <w:rFonts w:ascii="Times New Roman" w:hAnsi="Times New Roman"/>
          <w:sz w:val="24"/>
          <w:szCs w:val="24"/>
        </w:rPr>
        <w:footnoteReference w:id="295"/>
      </w:r>
    </w:p>
    <w:p w:rsidR="00AD17D6" w:rsidRDefault="00AD17D6" w:rsidP="00050BA9">
      <w:pPr>
        <w:spacing w:line="360" w:lineRule="auto"/>
        <w:jc w:val="both"/>
        <w:rPr>
          <w:rFonts w:ascii="Times New Roman" w:hAnsi="Times New Roman"/>
          <w:sz w:val="24"/>
          <w:szCs w:val="24"/>
        </w:rPr>
      </w:pPr>
    </w:p>
    <w:p w:rsidR="00050BA9" w:rsidRPr="00CC4288" w:rsidRDefault="00AD17D6" w:rsidP="00050BA9">
      <w:pPr>
        <w:spacing w:line="360" w:lineRule="auto"/>
        <w:jc w:val="both"/>
        <w:rPr>
          <w:rFonts w:ascii="Times New Roman" w:hAnsi="Times New Roman"/>
          <w:sz w:val="24"/>
          <w:szCs w:val="24"/>
        </w:rPr>
      </w:pPr>
      <w:r>
        <w:rPr>
          <w:rFonts w:ascii="Times New Roman" w:hAnsi="Times New Roman"/>
          <w:sz w:val="24"/>
          <w:szCs w:val="24"/>
        </w:rPr>
        <w:t xml:space="preserve">In </w:t>
      </w:r>
      <w:r w:rsidR="00E204B8">
        <w:rPr>
          <w:rFonts w:ascii="Times New Roman" w:hAnsi="Times New Roman"/>
          <w:sz w:val="24"/>
          <w:szCs w:val="24"/>
        </w:rPr>
        <w:t xml:space="preserve">the </w:t>
      </w:r>
      <w:r>
        <w:rPr>
          <w:rFonts w:ascii="Times New Roman" w:hAnsi="Times New Roman"/>
          <w:sz w:val="24"/>
          <w:szCs w:val="24"/>
        </w:rPr>
        <w:t xml:space="preserve">early 2000s, </w:t>
      </w:r>
      <w:r w:rsidR="00050BA9" w:rsidRPr="00CC4288">
        <w:rPr>
          <w:rFonts w:ascii="Times New Roman" w:hAnsi="Times New Roman"/>
          <w:sz w:val="24"/>
          <w:szCs w:val="24"/>
        </w:rPr>
        <w:t>Saakashvili brought fresh hopes for the normalization of Georgian-Russian relations.</w:t>
      </w:r>
      <w:r w:rsidR="00050BA9" w:rsidRPr="00CC4288">
        <w:rPr>
          <w:rStyle w:val="FootnoteReference"/>
          <w:rFonts w:ascii="Times New Roman" w:hAnsi="Times New Roman"/>
          <w:sz w:val="24"/>
          <w:szCs w:val="24"/>
        </w:rPr>
        <w:footnoteReference w:id="296"/>
      </w:r>
      <w:r w:rsidR="00050BA9" w:rsidRPr="00CC4288">
        <w:rPr>
          <w:rFonts w:ascii="Times New Roman" w:hAnsi="Times New Roman"/>
          <w:sz w:val="24"/>
          <w:szCs w:val="24"/>
        </w:rPr>
        <w:t xml:space="preserve"> Saakashvili was looking for direct dialogue with the leaders of separatist regions concerning his peace plan. He declared readiness to grant Abkhazia and South Ossetia greater autonomy status and form the federal republic of Georgia.</w:t>
      </w:r>
      <w:r w:rsidR="00050BA9" w:rsidRPr="00CC4288">
        <w:rPr>
          <w:rStyle w:val="FootnoteReference"/>
          <w:rFonts w:ascii="Times New Roman" w:hAnsi="Times New Roman"/>
          <w:sz w:val="24"/>
          <w:szCs w:val="24"/>
        </w:rPr>
        <w:footnoteReference w:id="297"/>
      </w:r>
      <w:r w:rsidR="00050BA9" w:rsidRPr="00CC4288">
        <w:rPr>
          <w:rFonts w:ascii="Times New Roman" w:hAnsi="Times New Roman"/>
          <w:sz w:val="24"/>
          <w:szCs w:val="24"/>
        </w:rPr>
        <w:t xml:space="preserve"> On the one hand, Saakashvili was well-aware that without diplomacy with Russia his plan would never materialize but on the other hand, he never considered the Kremlin as a participant of the negotiations.</w:t>
      </w:r>
      <w:r w:rsidR="00050BA9" w:rsidRPr="00CC4288">
        <w:rPr>
          <w:rStyle w:val="FootnoteReference"/>
          <w:rFonts w:ascii="Times New Roman" w:hAnsi="Times New Roman"/>
          <w:sz w:val="24"/>
          <w:szCs w:val="24"/>
        </w:rPr>
        <w:footnoteReference w:id="298"/>
      </w:r>
      <w:r w:rsidR="00050BA9" w:rsidRPr="00CC4288">
        <w:rPr>
          <w:rFonts w:ascii="Times New Roman" w:hAnsi="Times New Roman"/>
          <w:sz w:val="24"/>
          <w:szCs w:val="24"/>
        </w:rPr>
        <w:t xml:space="preserve"> The first meeting of Saakashvili and Putin proceeded in Moscow, in 2004. The Russian leader was assertive in his objectives concerning Georgia. </w:t>
      </w:r>
      <w:r w:rsidR="00300EA0">
        <w:rPr>
          <w:rFonts w:ascii="Times New Roman" w:hAnsi="Times New Roman"/>
          <w:sz w:val="24"/>
          <w:szCs w:val="24"/>
        </w:rPr>
        <w:t>According to Asmus (2010)</w:t>
      </w:r>
      <w:proofErr w:type="gramStart"/>
      <w:r w:rsidR="00300EA0">
        <w:rPr>
          <w:rFonts w:ascii="Times New Roman" w:hAnsi="Times New Roman"/>
          <w:sz w:val="24"/>
          <w:szCs w:val="24"/>
        </w:rPr>
        <w:t>,  Putin</w:t>
      </w:r>
      <w:proofErr w:type="gramEnd"/>
      <w:r w:rsidR="00050BA9" w:rsidRPr="00CC4288">
        <w:rPr>
          <w:rFonts w:ascii="Times New Roman" w:hAnsi="Times New Roman"/>
          <w:sz w:val="24"/>
          <w:szCs w:val="24"/>
        </w:rPr>
        <w:t xml:space="preserve"> requested Saakashvili to grant high political positions to his protégés and to </w:t>
      </w:r>
      <w:r w:rsidR="00050BA9" w:rsidRPr="00CC4288">
        <w:rPr>
          <w:rFonts w:ascii="Times New Roman" w:hAnsi="Times New Roman"/>
          <w:sz w:val="24"/>
          <w:szCs w:val="24"/>
        </w:rPr>
        <w:lastRenderedPageBreak/>
        <w:t>extend the Mandate of the Russian military bases in Georgia for another ten years.</w:t>
      </w:r>
      <w:r w:rsidR="00050BA9" w:rsidRPr="00CC4288">
        <w:rPr>
          <w:rStyle w:val="FootnoteReference"/>
          <w:rFonts w:ascii="Times New Roman" w:hAnsi="Times New Roman"/>
          <w:sz w:val="24"/>
          <w:szCs w:val="24"/>
        </w:rPr>
        <w:footnoteReference w:id="299"/>
      </w:r>
      <w:r w:rsidR="00050BA9" w:rsidRPr="00CC4288">
        <w:rPr>
          <w:rFonts w:ascii="Times New Roman" w:hAnsi="Times New Roman"/>
          <w:sz w:val="24"/>
          <w:szCs w:val="24"/>
        </w:rPr>
        <w:t xml:space="preserve"> The outtake of the meeting meant Russia’s interest to maintain and gradually increase its influence on Georgia and draw the country back to the degrading state. Putin’s requests were rejected by the Georgian President and on the contrary, Saakashvili declared the Russian troops as occupiers and accelerated the process of their withdrawal from Georgian regions.</w:t>
      </w:r>
      <w:r w:rsidR="00050BA9" w:rsidRPr="00CC4288">
        <w:rPr>
          <w:rStyle w:val="FootnoteReference"/>
          <w:rFonts w:ascii="Times New Roman" w:hAnsi="Times New Roman"/>
          <w:sz w:val="24"/>
          <w:szCs w:val="24"/>
        </w:rPr>
        <w:footnoteReference w:id="300"/>
      </w:r>
      <w:r w:rsidR="00050BA9" w:rsidRPr="00CC4288">
        <w:rPr>
          <w:rFonts w:ascii="Times New Roman" w:hAnsi="Times New Roman"/>
          <w:sz w:val="24"/>
          <w:szCs w:val="24"/>
        </w:rPr>
        <w:t xml:space="preserve"> Moreover, Saakashvili significantly extended NATO-Georgian partnership by strengthening institutional cooperation, deployment of large army units in NATO missions, and increasing the military budget by multiple times.</w:t>
      </w:r>
      <w:r w:rsidR="00050BA9" w:rsidRPr="00CC4288">
        <w:rPr>
          <w:rStyle w:val="FootnoteReference"/>
          <w:rFonts w:ascii="Times New Roman" w:hAnsi="Times New Roman"/>
          <w:sz w:val="24"/>
          <w:szCs w:val="24"/>
        </w:rPr>
        <w:footnoteReference w:id="301"/>
      </w:r>
      <w:r w:rsidR="00050BA9" w:rsidRPr="00CC4288">
        <w:rPr>
          <w:rFonts w:ascii="Times New Roman" w:hAnsi="Times New Roman"/>
          <w:sz w:val="24"/>
          <w:szCs w:val="24"/>
        </w:rPr>
        <w:t xml:space="preserve"> The Kremlin’s concerns over the increased presence and political influence of the EU</w:t>
      </w:r>
      <w:r w:rsidR="00E95849">
        <w:rPr>
          <w:rFonts w:ascii="Times New Roman" w:hAnsi="Times New Roman"/>
          <w:sz w:val="24"/>
          <w:szCs w:val="24"/>
        </w:rPr>
        <w:t xml:space="preserve"> and NATO in its backyard did not</w:t>
      </w:r>
      <w:r w:rsidR="00050BA9" w:rsidRPr="00CC4288">
        <w:rPr>
          <w:rFonts w:ascii="Times New Roman" w:hAnsi="Times New Roman"/>
          <w:sz w:val="24"/>
          <w:szCs w:val="24"/>
        </w:rPr>
        <w:t xml:space="preserve"> fade away easily. In winter 2006, two major Russian gas pipelines in Georgia have been exploded; consequently, the whole Georgian population was left for freezing, however</w:t>
      </w:r>
      <w:r w:rsidR="00BB4CC1">
        <w:rPr>
          <w:rFonts w:ascii="Times New Roman" w:hAnsi="Times New Roman"/>
          <w:sz w:val="24"/>
          <w:szCs w:val="24"/>
        </w:rPr>
        <w:t xml:space="preserve">, the Kremlin refused to take </w:t>
      </w:r>
      <w:r w:rsidR="00050BA9" w:rsidRPr="00CC4288">
        <w:rPr>
          <w:rFonts w:ascii="Times New Roman" w:hAnsi="Times New Roman"/>
          <w:sz w:val="24"/>
          <w:szCs w:val="24"/>
        </w:rPr>
        <w:t>responsibility for the act.</w:t>
      </w:r>
      <w:r w:rsidR="00050BA9" w:rsidRPr="00CC4288">
        <w:rPr>
          <w:rStyle w:val="FootnoteReference"/>
          <w:rFonts w:ascii="Times New Roman" w:hAnsi="Times New Roman"/>
          <w:sz w:val="24"/>
          <w:szCs w:val="24"/>
        </w:rPr>
        <w:footnoteReference w:id="302"/>
      </w:r>
      <w:r w:rsidR="00050BA9" w:rsidRPr="00CC4288">
        <w:rPr>
          <w:rFonts w:ascii="Times New Roman" w:hAnsi="Times New Roman"/>
          <w:b/>
          <w:sz w:val="24"/>
          <w:szCs w:val="24"/>
        </w:rPr>
        <w:t xml:space="preserve"> </w:t>
      </w:r>
      <w:r w:rsidR="00050BA9" w:rsidRPr="00CC4288">
        <w:rPr>
          <w:rFonts w:ascii="Times New Roman" w:hAnsi="Times New Roman"/>
          <w:sz w:val="24"/>
          <w:szCs w:val="24"/>
        </w:rPr>
        <w:t>This was followed by the economic embargo when Russia banned Georgian mineral water, wine, fruits, and vegetables on the Russian market due to the violation of the sanitary standards.</w:t>
      </w:r>
      <w:r w:rsidR="00050BA9" w:rsidRPr="00CC4288">
        <w:rPr>
          <w:rStyle w:val="FootnoteReference"/>
          <w:rFonts w:ascii="Times New Roman" w:hAnsi="Times New Roman"/>
          <w:sz w:val="24"/>
          <w:szCs w:val="24"/>
        </w:rPr>
        <w:footnoteReference w:id="303"/>
      </w:r>
      <w:r w:rsidR="00050BA9" w:rsidRPr="00CC4288">
        <w:rPr>
          <w:rFonts w:ascii="Times New Roman" w:hAnsi="Times New Roman"/>
          <w:sz w:val="24"/>
          <w:szCs w:val="24"/>
        </w:rPr>
        <w:t xml:space="preserve"> As a result, Georgia was left with severe energy deficit and massive market imbalance. The final step before reaching the peak point of escalation was the cutting off diplomatic ties. The Russian diplomatic representation in Georgia stopped issuing </w:t>
      </w:r>
      <w:r w:rsidR="00BB4CC1">
        <w:rPr>
          <w:rFonts w:ascii="Times New Roman" w:hAnsi="Times New Roman"/>
          <w:sz w:val="24"/>
          <w:szCs w:val="24"/>
        </w:rPr>
        <w:t xml:space="preserve">Russian visas, halved its staff, </w:t>
      </w:r>
      <w:r w:rsidR="00050BA9" w:rsidRPr="00CC4288">
        <w:rPr>
          <w:rFonts w:ascii="Times New Roman" w:hAnsi="Times New Roman"/>
          <w:sz w:val="24"/>
          <w:szCs w:val="24"/>
        </w:rPr>
        <w:t>and requested the deportation of ethnic Georgians from Russia.</w:t>
      </w:r>
      <w:r w:rsidR="00050BA9" w:rsidRPr="00CC4288">
        <w:rPr>
          <w:rStyle w:val="FootnoteReference"/>
          <w:rFonts w:ascii="Times New Roman" w:hAnsi="Times New Roman"/>
          <w:sz w:val="24"/>
          <w:szCs w:val="24"/>
        </w:rPr>
        <w:footnoteReference w:id="304"/>
      </w:r>
    </w:p>
    <w:p w:rsidR="00AD17D6" w:rsidRDefault="00AD17D6" w:rsidP="002F2E3D">
      <w:pPr>
        <w:spacing w:line="360" w:lineRule="auto"/>
        <w:jc w:val="both"/>
        <w:rPr>
          <w:rFonts w:ascii="Times New Roman" w:hAnsi="Times New Roman"/>
          <w:sz w:val="24"/>
          <w:szCs w:val="24"/>
        </w:rPr>
      </w:pPr>
    </w:p>
    <w:p w:rsidR="002F2E3D" w:rsidRDefault="00050BA9" w:rsidP="002F2E3D">
      <w:pPr>
        <w:spacing w:line="360" w:lineRule="auto"/>
        <w:jc w:val="both"/>
        <w:rPr>
          <w:rFonts w:ascii="Times New Roman" w:hAnsi="Times New Roman"/>
          <w:sz w:val="24"/>
          <w:szCs w:val="24"/>
        </w:rPr>
      </w:pPr>
      <w:r w:rsidRPr="00CC4288">
        <w:rPr>
          <w:rFonts w:ascii="Times New Roman" w:hAnsi="Times New Roman"/>
          <w:sz w:val="24"/>
          <w:szCs w:val="24"/>
        </w:rPr>
        <w:t>During the Security Summit in Munich, Germany in 2007, President Vladimir Putin publicly implied the Kremlin’s concerns regarding NATO’s enlargement policy and the potential recognition of Kosovo as incompatible with Russian interests.</w:t>
      </w:r>
      <w:r w:rsidRPr="00CC4288">
        <w:rPr>
          <w:rStyle w:val="FootnoteReference"/>
          <w:rFonts w:ascii="Times New Roman" w:hAnsi="Times New Roman"/>
          <w:sz w:val="24"/>
          <w:szCs w:val="24"/>
        </w:rPr>
        <w:footnoteReference w:id="305"/>
      </w:r>
      <w:r w:rsidR="00BB4CC1">
        <w:rPr>
          <w:rFonts w:ascii="Times New Roman" w:hAnsi="Times New Roman"/>
          <w:sz w:val="24"/>
          <w:szCs w:val="24"/>
        </w:rPr>
        <w:t xml:space="preserve"> T</w:t>
      </w:r>
      <w:r w:rsidRPr="00CC4288">
        <w:rPr>
          <w:rFonts w:ascii="Times New Roman" w:hAnsi="Times New Roman"/>
          <w:sz w:val="24"/>
          <w:szCs w:val="24"/>
        </w:rPr>
        <w:t>he Western political elites failed to precisely assess th</w:t>
      </w:r>
      <w:r w:rsidR="00BB4CC1">
        <w:rPr>
          <w:rFonts w:ascii="Times New Roman" w:hAnsi="Times New Roman"/>
          <w:sz w:val="24"/>
          <w:szCs w:val="24"/>
        </w:rPr>
        <w:t>e potential risks of</w:t>
      </w:r>
      <w:r w:rsidRPr="00CC4288">
        <w:rPr>
          <w:rFonts w:ascii="Times New Roman" w:hAnsi="Times New Roman"/>
          <w:sz w:val="24"/>
          <w:szCs w:val="24"/>
        </w:rPr>
        <w:t xml:space="preserve"> Russia</w:t>
      </w:r>
      <w:r w:rsidR="00BB4CC1">
        <w:rPr>
          <w:rFonts w:ascii="Times New Roman" w:hAnsi="Times New Roman"/>
          <w:sz w:val="24"/>
          <w:szCs w:val="24"/>
        </w:rPr>
        <w:t>n resurgence</w:t>
      </w:r>
      <w:r w:rsidRPr="00CC4288">
        <w:rPr>
          <w:rFonts w:ascii="Times New Roman" w:hAnsi="Times New Roman"/>
          <w:sz w:val="24"/>
          <w:szCs w:val="24"/>
        </w:rPr>
        <w:t xml:space="preserve"> concerning Kosovan independence. President Putin used the declaration of Kosovo’s independence as a precedent for the recognition of separatist regions in Georgia. Moreover, the Declaration of the NATO </w:t>
      </w:r>
      <w:r w:rsidRPr="00CC4288">
        <w:rPr>
          <w:rFonts w:ascii="Times New Roman" w:hAnsi="Times New Roman"/>
          <w:sz w:val="24"/>
          <w:szCs w:val="24"/>
        </w:rPr>
        <w:lastRenderedPageBreak/>
        <w:t>Bucharest Summit (2008) was an alarming signal for the Kremlin that someday, NATO ships and military bases would appear in Russia’s near abroad. The promise of eventual NATO membership wasn’t enough for Saakashvili’s government to protect the country from Russian military aggression. The German and French leaders chose not to aggravate already intensified relations between Georgia and Russia and refused to grant Georgia, the Membership Action Plan (MAP).</w:t>
      </w:r>
      <w:r w:rsidRPr="00CC4288">
        <w:rPr>
          <w:rStyle w:val="FootnoteReference"/>
          <w:rFonts w:ascii="Times New Roman" w:hAnsi="Times New Roman"/>
          <w:sz w:val="24"/>
          <w:szCs w:val="24"/>
        </w:rPr>
        <w:footnoteReference w:id="306"/>
      </w:r>
      <w:r w:rsidRPr="00CC4288">
        <w:rPr>
          <w:rFonts w:ascii="Times New Roman" w:hAnsi="Times New Roman"/>
          <w:sz w:val="24"/>
          <w:szCs w:val="24"/>
        </w:rPr>
        <w:t xml:space="preserve"> Ironically, the decision taken by intimidation over Russia was used by the Kremlin for justification of its aggression d</w:t>
      </w:r>
      <w:r w:rsidR="002F2E3D">
        <w:rPr>
          <w:rFonts w:ascii="Times New Roman" w:hAnsi="Times New Roman"/>
          <w:sz w:val="24"/>
          <w:szCs w:val="24"/>
        </w:rPr>
        <w:t xml:space="preserve">uring the war in august 2008.  </w:t>
      </w:r>
    </w:p>
    <w:p w:rsidR="007A6DF2" w:rsidRDefault="007A6DF2"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FB2966" w:rsidRDefault="00FB2966" w:rsidP="007A6DF2">
      <w:pPr>
        <w:pStyle w:val="NoSpacing"/>
      </w:pPr>
    </w:p>
    <w:p w:rsidR="00D57DBE" w:rsidRDefault="00D57DBE" w:rsidP="006D2116">
      <w:pPr>
        <w:pStyle w:val="Heading2"/>
        <w:rPr>
          <w:rFonts w:ascii="MS Sans Serif" w:eastAsia="Times New Roman" w:hAnsi="MS Sans Serif" w:cs="Times New Roman"/>
          <w:color w:val="auto"/>
          <w:sz w:val="20"/>
          <w:szCs w:val="20"/>
        </w:rPr>
      </w:pPr>
    </w:p>
    <w:p w:rsidR="00DC7791" w:rsidRDefault="00DC7791" w:rsidP="00DC7791"/>
    <w:p w:rsidR="0056749A" w:rsidRDefault="0056749A" w:rsidP="0056749A">
      <w:pPr>
        <w:pStyle w:val="NoSpacing"/>
      </w:pPr>
    </w:p>
    <w:p w:rsidR="0056749A" w:rsidRDefault="0056749A" w:rsidP="0056749A">
      <w:pPr>
        <w:pStyle w:val="NoSpacing"/>
      </w:pPr>
    </w:p>
    <w:p w:rsidR="0056749A" w:rsidRDefault="0056749A" w:rsidP="0056749A">
      <w:pPr>
        <w:pStyle w:val="NoSpacing"/>
      </w:pPr>
    </w:p>
    <w:p w:rsidR="0056749A" w:rsidRDefault="0056749A" w:rsidP="0056749A">
      <w:pPr>
        <w:pStyle w:val="NoSpacing"/>
      </w:pPr>
    </w:p>
    <w:p w:rsidR="0056749A" w:rsidRDefault="0056749A" w:rsidP="0056749A">
      <w:pPr>
        <w:pStyle w:val="NoSpacing"/>
      </w:pPr>
    </w:p>
    <w:p w:rsidR="0056749A" w:rsidRDefault="0056749A" w:rsidP="0056749A">
      <w:pPr>
        <w:pStyle w:val="NoSpacing"/>
      </w:pPr>
    </w:p>
    <w:p w:rsidR="0056749A" w:rsidRDefault="0056749A" w:rsidP="0056749A">
      <w:pPr>
        <w:pStyle w:val="NoSpacing"/>
      </w:pPr>
    </w:p>
    <w:p w:rsidR="0056749A" w:rsidRDefault="0056749A" w:rsidP="0056749A">
      <w:pPr>
        <w:pStyle w:val="NoSpacing"/>
      </w:pPr>
    </w:p>
    <w:p w:rsidR="0056749A" w:rsidRDefault="0056749A" w:rsidP="0056749A">
      <w:pPr>
        <w:pStyle w:val="NoSpacing"/>
      </w:pPr>
    </w:p>
    <w:p w:rsidR="00046FAE" w:rsidRDefault="00046FAE" w:rsidP="0056749A">
      <w:pPr>
        <w:pStyle w:val="NoSpacing"/>
      </w:pPr>
    </w:p>
    <w:p w:rsidR="00DF4494" w:rsidRDefault="00DF4494" w:rsidP="0056749A">
      <w:pPr>
        <w:pStyle w:val="NoSpacing"/>
      </w:pPr>
    </w:p>
    <w:p w:rsidR="0056749A" w:rsidRPr="0056749A" w:rsidRDefault="0056749A" w:rsidP="0056749A">
      <w:pPr>
        <w:pStyle w:val="NoSpacing"/>
      </w:pPr>
    </w:p>
    <w:p w:rsidR="00046FAE" w:rsidRPr="00046FAE" w:rsidRDefault="00046FAE" w:rsidP="00046FAE">
      <w:pPr>
        <w:pStyle w:val="NoSpacing"/>
        <w:spacing w:line="360" w:lineRule="auto"/>
        <w:jc w:val="right"/>
        <w:rPr>
          <w:rFonts w:ascii="Times New Roman" w:hAnsi="Times New Roman"/>
          <w:sz w:val="22"/>
          <w:szCs w:val="22"/>
        </w:rPr>
      </w:pPr>
      <w:r w:rsidRPr="00046FAE">
        <w:rPr>
          <w:rFonts w:ascii="Times New Roman" w:hAnsi="Times New Roman"/>
          <w:sz w:val="22"/>
          <w:szCs w:val="22"/>
        </w:rPr>
        <w:lastRenderedPageBreak/>
        <w:t>"Europe has to be fair. Europe should not hesitate to step out</w:t>
      </w:r>
    </w:p>
    <w:p w:rsidR="00046FAE" w:rsidRPr="00046FAE" w:rsidRDefault="00046FAE" w:rsidP="00046FAE">
      <w:pPr>
        <w:pStyle w:val="NoSpacing"/>
        <w:spacing w:line="360" w:lineRule="auto"/>
        <w:jc w:val="right"/>
        <w:rPr>
          <w:rFonts w:ascii="Times New Roman" w:hAnsi="Times New Roman"/>
          <w:sz w:val="22"/>
          <w:szCs w:val="22"/>
        </w:rPr>
      </w:pPr>
      <w:r w:rsidRPr="00046FAE">
        <w:rPr>
          <w:rFonts w:ascii="Times New Roman" w:hAnsi="Times New Roman"/>
          <w:sz w:val="22"/>
          <w:szCs w:val="22"/>
        </w:rPr>
        <w:t>Of the ideological framework to put across the message of pace in Russo-Georgian conflict."</w:t>
      </w:r>
      <w:r w:rsidR="007D0777">
        <w:rPr>
          <w:rStyle w:val="FootnoteReference"/>
          <w:rFonts w:ascii="Times New Roman" w:hAnsi="Times New Roman"/>
          <w:sz w:val="22"/>
          <w:szCs w:val="22"/>
        </w:rPr>
        <w:footnoteReference w:id="307"/>
      </w:r>
    </w:p>
    <w:p w:rsidR="00046FAE" w:rsidRPr="00046FAE" w:rsidRDefault="00046FAE" w:rsidP="00046FAE">
      <w:pPr>
        <w:pStyle w:val="NoSpacing"/>
        <w:spacing w:line="360" w:lineRule="auto"/>
        <w:jc w:val="right"/>
        <w:rPr>
          <w:rFonts w:ascii="Times New Roman" w:hAnsi="Times New Roman"/>
          <w:sz w:val="22"/>
          <w:szCs w:val="22"/>
        </w:rPr>
      </w:pPr>
      <w:r w:rsidRPr="00046FAE">
        <w:rPr>
          <w:rFonts w:ascii="Times New Roman" w:hAnsi="Times New Roman"/>
          <w:sz w:val="22"/>
          <w:szCs w:val="22"/>
        </w:rPr>
        <w:t>Nicolas Sarkozy, the President of the Republic of France</w:t>
      </w:r>
    </w:p>
    <w:p w:rsidR="00B304DA" w:rsidRDefault="00046FAE" w:rsidP="00046FAE">
      <w:pPr>
        <w:pStyle w:val="NoSpacing"/>
        <w:spacing w:line="360" w:lineRule="auto"/>
        <w:jc w:val="right"/>
        <w:rPr>
          <w:rFonts w:ascii="Times New Roman" w:hAnsi="Times New Roman"/>
          <w:sz w:val="22"/>
          <w:szCs w:val="22"/>
        </w:rPr>
      </w:pPr>
      <w:r w:rsidRPr="00046FAE">
        <w:rPr>
          <w:rFonts w:ascii="Times New Roman" w:hAnsi="Times New Roman"/>
          <w:sz w:val="22"/>
          <w:szCs w:val="22"/>
        </w:rPr>
        <w:t>October 21, 2008.</w:t>
      </w:r>
    </w:p>
    <w:p w:rsidR="00DC7791" w:rsidRPr="00046FAE" w:rsidRDefault="00046FAE" w:rsidP="00046FAE">
      <w:pPr>
        <w:pStyle w:val="NoSpacing"/>
        <w:spacing w:line="360" w:lineRule="auto"/>
        <w:jc w:val="right"/>
        <w:rPr>
          <w:rFonts w:ascii="Times New Roman" w:hAnsi="Times New Roman"/>
          <w:sz w:val="22"/>
          <w:szCs w:val="22"/>
        </w:rPr>
      </w:pPr>
      <w:r w:rsidRPr="00046FAE">
        <w:rPr>
          <w:rFonts w:ascii="Times New Roman" w:hAnsi="Times New Roman"/>
          <w:sz w:val="22"/>
          <w:szCs w:val="22"/>
        </w:rPr>
        <w:t xml:space="preserve"> </w:t>
      </w:r>
    </w:p>
    <w:p w:rsidR="002F2E3D" w:rsidRDefault="002F2E3D" w:rsidP="006D2116">
      <w:pPr>
        <w:pStyle w:val="Heading2"/>
        <w:rPr>
          <w:color w:val="auto"/>
          <w:sz w:val="32"/>
          <w:szCs w:val="32"/>
        </w:rPr>
      </w:pPr>
      <w:bookmarkStart w:id="22" w:name="_Toc46952616"/>
      <w:r w:rsidRPr="00D57DBE">
        <w:rPr>
          <w:color w:val="auto"/>
          <w:sz w:val="32"/>
          <w:szCs w:val="32"/>
        </w:rPr>
        <w:t>4.</w:t>
      </w:r>
      <w:r w:rsidR="003C44CE" w:rsidRPr="00D57DBE">
        <w:rPr>
          <w:color w:val="auto"/>
          <w:sz w:val="32"/>
          <w:szCs w:val="32"/>
        </w:rPr>
        <w:t xml:space="preserve"> </w:t>
      </w:r>
      <w:r w:rsidR="00F61F43" w:rsidRPr="00D57DBE">
        <w:rPr>
          <w:color w:val="auto"/>
          <w:sz w:val="32"/>
          <w:szCs w:val="32"/>
        </w:rPr>
        <w:t>The EU’ Conflict Mediation Strategy</w:t>
      </w:r>
      <w:r w:rsidR="003C44CE" w:rsidRPr="00D57DBE">
        <w:rPr>
          <w:color w:val="auto"/>
          <w:sz w:val="32"/>
          <w:szCs w:val="32"/>
        </w:rPr>
        <w:t>: Strengths and Limitations</w:t>
      </w:r>
      <w:bookmarkEnd w:id="22"/>
    </w:p>
    <w:p w:rsidR="00FB2966" w:rsidRDefault="00FB2966" w:rsidP="00FB2966">
      <w:pPr>
        <w:spacing w:line="360" w:lineRule="auto"/>
        <w:jc w:val="both"/>
        <w:rPr>
          <w:rFonts w:ascii="Times New Roman" w:hAnsi="Times New Roman"/>
          <w:sz w:val="24"/>
          <w:szCs w:val="24"/>
        </w:rPr>
      </w:pPr>
    </w:p>
    <w:p w:rsidR="003C44CE" w:rsidRDefault="00FB2966" w:rsidP="00FB2966">
      <w:pPr>
        <w:pStyle w:val="NoSpacing"/>
        <w:spacing w:line="360" w:lineRule="auto"/>
        <w:jc w:val="both"/>
        <w:rPr>
          <w:rFonts w:ascii="Times New Roman" w:hAnsi="Times New Roman"/>
          <w:sz w:val="24"/>
          <w:szCs w:val="24"/>
        </w:rPr>
      </w:pPr>
      <w:r>
        <w:rPr>
          <w:rFonts w:ascii="Times New Roman" w:hAnsi="Times New Roman"/>
          <w:sz w:val="24"/>
          <w:szCs w:val="24"/>
        </w:rPr>
        <w:t>The chapter presents the empirical analysis of the EU’s conflict mediation strategy in the breakaway entities of Georgia. It addresses the cert</w:t>
      </w:r>
      <w:r w:rsidR="00E204B8">
        <w:rPr>
          <w:rFonts w:ascii="Times New Roman" w:hAnsi="Times New Roman"/>
          <w:sz w:val="24"/>
          <w:szCs w:val="24"/>
        </w:rPr>
        <w:t>ain political, economic and di</w:t>
      </w:r>
      <w:r>
        <w:rPr>
          <w:rFonts w:ascii="Times New Roman" w:hAnsi="Times New Roman"/>
          <w:sz w:val="24"/>
          <w:szCs w:val="24"/>
        </w:rPr>
        <w:t>p</w:t>
      </w:r>
      <w:r w:rsidR="00E204B8">
        <w:rPr>
          <w:rFonts w:ascii="Times New Roman" w:hAnsi="Times New Roman"/>
          <w:sz w:val="24"/>
          <w:szCs w:val="24"/>
        </w:rPr>
        <w:t>l</w:t>
      </w:r>
      <w:r>
        <w:rPr>
          <w:rFonts w:ascii="Times New Roman" w:hAnsi="Times New Roman"/>
          <w:sz w:val="24"/>
          <w:szCs w:val="24"/>
        </w:rPr>
        <w:t xml:space="preserve">omatic instruments utilized by the EU </w:t>
      </w:r>
      <w:r w:rsidR="00E204B8">
        <w:rPr>
          <w:rFonts w:ascii="Times New Roman" w:hAnsi="Times New Roman"/>
          <w:sz w:val="24"/>
          <w:szCs w:val="24"/>
        </w:rPr>
        <w:t>and provides the critical assess</w:t>
      </w:r>
      <w:r>
        <w:rPr>
          <w:rFonts w:ascii="Times New Roman" w:hAnsi="Times New Roman"/>
          <w:sz w:val="24"/>
          <w:szCs w:val="24"/>
        </w:rPr>
        <w:t>ment of the NREP as a central mechanism of engagement with contested regions. The chapter outlines the major constra</w:t>
      </w:r>
      <w:r w:rsidR="00E204B8">
        <w:rPr>
          <w:rFonts w:ascii="Times New Roman" w:hAnsi="Times New Roman"/>
          <w:sz w:val="24"/>
          <w:szCs w:val="24"/>
        </w:rPr>
        <w:t>ints and hindering factors that</w:t>
      </w:r>
      <w:r>
        <w:rPr>
          <w:rFonts w:ascii="Times New Roman" w:hAnsi="Times New Roman"/>
          <w:sz w:val="24"/>
          <w:szCs w:val="24"/>
        </w:rPr>
        <w:t xml:space="preserve"> limit the capacity of the EU as a conflict mediator and provides the answer to the central question of the research. </w:t>
      </w:r>
    </w:p>
    <w:p w:rsidR="00FB2966" w:rsidRPr="00FB2966" w:rsidRDefault="00FB2966" w:rsidP="00FB2966">
      <w:pPr>
        <w:pStyle w:val="NoSpacing"/>
        <w:spacing w:line="360" w:lineRule="auto"/>
        <w:jc w:val="both"/>
        <w:rPr>
          <w:rFonts w:ascii="Times New Roman" w:hAnsi="Times New Roman"/>
          <w:sz w:val="24"/>
          <w:szCs w:val="24"/>
        </w:rPr>
      </w:pPr>
    </w:p>
    <w:p w:rsidR="00050BA9" w:rsidRPr="00D57DBE" w:rsidRDefault="00050BA9" w:rsidP="006D2116">
      <w:pPr>
        <w:pStyle w:val="Heading2"/>
        <w:rPr>
          <w:color w:val="auto"/>
          <w:sz w:val="32"/>
          <w:szCs w:val="32"/>
        </w:rPr>
      </w:pPr>
      <w:bookmarkStart w:id="23" w:name="_Toc46952617"/>
      <w:r w:rsidRPr="00D57DBE">
        <w:rPr>
          <w:color w:val="auto"/>
          <w:sz w:val="32"/>
          <w:szCs w:val="32"/>
        </w:rPr>
        <w:t>4</w:t>
      </w:r>
      <w:r w:rsidR="008B5A68">
        <w:rPr>
          <w:color w:val="auto"/>
          <w:sz w:val="32"/>
          <w:szCs w:val="32"/>
        </w:rPr>
        <w:t>.1</w:t>
      </w:r>
      <w:r w:rsidR="002F2E3D" w:rsidRPr="00D57DBE">
        <w:rPr>
          <w:color w:val="auto"/>
          <w:sz w:val="32"/>
          <w:szCs w:val="32"/>
        </w:rPr>
        <w:t xml:space="preserve"> Economic Instruments: the AA and the DCFTA</w:t>
      </w:r>
      <w:bookmarkEnd w:id="23"/>
    </w:p>
    <w:p w:rsidR="00D57DBE" w:rsidRPr="00D57DBE" w:rsidRDefault="00D57DBE" w:rsidP="00D57DBE"/>
    <w:p w:rsidR="008D4055"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One of the fundamental components of the idea of ‘Europe whole, free and peace’ is </w:t>
      </w:r>
      <w:r w:rsidR="00BB4CC1">
        <w:rPr>
          <w:rFonts w:ascii="Times New Roman" w:hAnsi="Times New Roman"/>
          <w:sz w:val="24"/>
          <w:szCs w:val="24"/>
        </w:rPr>
        <w:t xml:space="preserve">the </w:t>
      </w:r>
      <w:r w:rsidRPr="0011545E">
        <w:rPr>
          <w:rFonts w:ascii="Times New Roman" w:hAnsi="Times New Roman"/>
          <w:sz w:val="24"/>
          <w:szCs w:val="24"/>
        </w:rPr>
        <w:t>EU’s efficient neighb</w:t>
      </w:r>
      <w:r w:rsidR="00BB4CC1">
        <w:rPr>
          <w:rFonts w:ascii="Times New Roman" w:hAnsi="Times New Roman"/>
          <w:sz w:val="24"/>
          <w:szCs w:val="24"/>
        </w:rPr>
        <w:t xml:space="preserve">orhood policy. Strengthening </w:t>
      </w:r>
      <w:r w:rsidRPr="0011545E">
        <w:rPr>
          <w:rFonts w:ascii="Times New Roman" w:hAnsi="Times New Roman"/>
          <w:sz w:val="24"/>
          <w:szCs w:val="24"/>
        </w:rPr>
        <w:t>the economic</w:t>
      </w:r>
      <w:r w:rsidR="00BB4CC1">
        <w:rPr>
          <w:rFonts w:ascii="Times New Roman" w:hAnsi="Times New Roman"/>
          <w:sz w:val="24"/>
          <w:szCs w:val="24"/>
        </w:rPr>
        <w:t xml:space="preserve">, political, </w:t>
      </w:r>
      <w:r w:rsidRPr="0011545E">
        <w:rPr>
          <w:rFonts w:ascii="Times New Roman" w:hAnsi="Times New Roman"/>
          <w:sz w:val="24"/>
          <w:szCs w:val="24"/>
        </w:rPr>
        <w:t>and institutional partnership with neighbors enables the Unio</w:t>
      </w:r>
      <w:r w:rsidR="00BB4CC1">
        <w:rPr>
          <w:rFonts w:ascii="Times New Roman" w:hAnsi="Times New Roman"/>
          <w:sz w:val="24"/>
          <w:szCs w:val="24"/>
        </w:rPr>
        <w:t xml:space="preserve">n to implement its objective in a </w:t>
      </w:r>
      <w:r w:rsidRPr="0011545E">
        <w:rPr>
          <w:rFonts w:ascii="Times New Roman" w:hAnsi="Times New Roman"/>
          <w:sz w:val="24"/>
          <w:szCs w:val="24"/>
        </w:rPr>
        <w:t xml:space="preserve">stable environment. In recent years, the political instruments such as the ENPI and the EaP contributed to bridging the gaps between the vulnerabilities and capabilities of the EU-Eastern Neighbors cooperation. Moreover, </w:t>
      </w:r>
      <w:proofErr w:type="gramStart"/>
      <w:r w:rsidR="008350D4">
        <w:rPr>
          <w:rFonts w:ascii="Times New Roman" w:hAnsi="Times New Roman"/>
          <w:sz w:val="24"/>
          <w:szCs w:val="24"/>
        </w:rPr>
        <w:t>The</w:t>
      </w:r>
      <w:proofErr w:type="gramEnd"/>
      <w:r w:rsidR="008350D4">
        <w:rPr>
          <w:rFonts w:ascii="Times New Roman" w:hAnsi="Times New Roman"/>
          <w:sz w:val="24"/>
          <w:szCs w:val="24"/>
        </w:rPr>
        <w:t xml:space="preserve"> ‘More for M</w:t>
      </w:r>
      <w:r w:rsidRPr="0011545E">
        <w:rPr>
          <w:rFonts w:ascii="Times New Roman" w:hAnsi="Times New Roman"/>
          <w:sz w:val="24"/>
          <w:szCs w:val="24"/>
        </w:rPr>
        <w:t>ore’ strategy outlined the priorities and interests of individual states in partnership with the EU. Over the years, the frontrunne</w:t>
      </w:r>
      <w:r w:rsidR="00BB4CC1">
        <w:rPr>
          <w:rFonts w:ascii="Times New Roman" w:hAnsi="Times New Roman"/>
          <w:sz w:val="24"/>
          <w:szCs w:val="24"/>
        </w:rPr>
        <w:t xml:space="preserve">rs of the EaP: Georgia, Ukraine, </w:t>
      </w:r>
      <w:r w:rsidRPr="0011545E">
        <w:rPr>
          <w:rFonts w:ascii="Times New Roman" w:hAnsi="Times New Roman"/>
          <w:sz w:val="24"/>
          <w:szCs w:val="24"/>
        </w:rPr>
        <w:t>and Moldova achieved significant progress in institutional capacity building and approximation with the EU norms and values.</w:t>
      </w:r>
      <w:r w:rsidR="00AB50F6">
        <w:rPr>
          <w:rStyle w:val="FootnoteReference"/>
          <w:rFonts w:ascii="Times New Roman" w:hAnsi="Times New Roman"/>
          <w:sz w:val="24"/>
          <w:szCs w:val="24"/>
        </w:rPr>
        <w:footnoteReference w:id="308"/>
      </w:r>
      <w:r w:rsidRPr="0011545E">
        <w:rPr>
          <w:rFonts w:ascii="Times New Roman" w:hAnsi="Times New Roman"/>
          <w:sz w:val="24"/>
          <w:szCs w:val="24"/>
        </w:rPr>
        <w:t xml:space="preserve"> In such circumstances, the EU utilizes the mechanism of the Association Agreements (AA) and the Deep and Comprehensive Free Trade Agreements (DCFTA) with partner states which enables the enhance</w:t>
      </w:r>
      <w:r w:rsidR="00BB4CC1">
        <w:rPr>
          <w:rFonts w:ascii="Times New Roman" w:hAnsi="Times New Roman"/>
          <w:sz w:val="24"/>
          <w:szCs w:val="24"/>
        </w:rPr>
        <w:t xml:space="preserve">ment of the political, economic, </w:t>
      </w:r>
      <w:r w:rsidRPr="0011545E">
        <w:rPr>
          <w:rFonts w:ascii="Times New Roman" w:hAnsi="Times New Roman"/>
          <w:sz w:val="24"/>
          <w:szCs w:val="24"/>
        </w:rPr>
        <w:t xml:space="preserve">and institutional cooperation on </w:t>
      </w:r>
      <w:r w:rsidR="00BB4CC1">
        <w:rPr>
          <w:rFonts w:ascii="Times New Roman" w:hAnsi="Times New Roman"/>
          <w:sz w:val="24"/>
          <w:szCs w:val="24"/>
        </w:rPr>
        <w:t xml:space="preserve">the </w:t>
      </w:r>
      <w:r w:rsidRPr="0011545E">
        <w:rPr>
          <w:rFonts w:ascii="Times New Roman" w:hAnsi="Times New Roman"/>
          <w:sz w:val="24"/>
          <w:szCs w:val="24"/>
        </w:rPr>
        <w:t>bilater</w:t>
      </w:r>
      <w:r w:rsidR="00BB4CC1">
        <w:rPr>
          <w:rFonts w:ascii="Times New Roman" w:hAnsi="Times New Roman"/>
          <w:sz w:val="24"/>
          <w:szCs w:val="24"/>
        </w:rPr>
        <w:t>al level. The EU and Georgia si</w:t>
      </w:r>
      <w:r w:rsidRPr="0011545E">
        <w:rPr>
          <w:rFonts w:ascii="Times New Roman" w:hAnsi="Times New Roman"/>
          <w:sz w:val="24"/>
          <w:szCs w:val="24"/>
        </w:rPr>
        <w:t>g</w:t>
      </w:r>
      <w:r w:rsidR="00BB4CC1">
        <w:rPr>
          <w:rFonts w:ascii="Times New Roman" w:hAnsi="Times New Roman"/>
          <w:sz w:val="24"/>
          <w:szCs w:val="24"/>
        </w:rPr>
        <w:t>n</w:t>
      </w:r>
      <w:r w:rsidRPr="0011545E">
        <w:rPr>
          <w:rFonts w:ascii="Times New Roman" w:hAnsi="Times New Roman"/>
          <w:sz w:val="24"/>
          <w:szCs w:val="24"/>
        </w:rPr>
        <w:t xml:space="preserve">ed </w:t>
      </w:r>
      <w:r w:rsidR="00930887">
        <w:rPr>
          <w:rFonts w:ascii="Times New Roman" w:hAnsi="Times New Roman"/>
          <w:sz w:val="24"/>
          <w:szCs w:val="24"/>
        </w:rPr>
        <w:t>the AA and the DCFTA in June 201</w:t>
      </w:r>
      <w:r w:rsidRPr="0011545E">
        <w:rPr>
          <w:rFonts w:ascii="Times New Roman" w:hAnsi="Times New Roman"/>
          <w:sz w:val="24"/>
          <w:szCs w:val="24"/>
        </w:rPr>
        <w:t xml:space="preserve">4 </w:t>
      </w:r>
      <w:r w:rsidR="00E204B8">
        <w:rPr>
          <w:rFonts w:ascii="Times New Roman" w:hAnsi="Times New Roman"/>
          <w:sz w:val="24"/>
          <w:szCs w:val="24"/>
        </w:rPr>
        <w:t>and went in force i</w:t>
      </w:r>
      <w:r w:rsidR="00930887">
        <w:rPr>
          <w:rFonts w:ascii="Times New Roman" w:hAnsi="Times New Roman"/>
          <w:sz w:val="24"/>
          <w:szCs w:val="24"/>
        </w:rPr>
        <w:t>n July 201</w:t>
      </w:r>
      <w:r w:rsidR="00F92146">
        <w:rPr>
          <w:rFonts w:ascii="Times New Roman" w:hAnsi="Times New Roman"/>
          <w:sz w:val="24"/>
          <w:szCs w:val="24"/>
        </w:rPr>
        <w:t>6.</w:t>
      </w:r>
      <w:r w:rsidR="00F92146">
        <w:rPr>
          <w:rStyle w:val="FootnoteReference"/>
          <w:rFonts w:ascii="Times New Roman" w:hAnsi="Times New Roman"/>
          <w:sz w:val="24"/>
          <w:szCs w:val="24"/>
        </w:rPr>
        <w:footnoteReference w:id="309"/>
      </w:r>
      <w:r w:rsidRPr="0011545E">
        <w:rPr>
          <w:rFonts w:ascii="Times New Roman" w:hAnsi="Times New Roman"/>
          <w:b/>
          <w:sz w:val="24"/>
          <w:szCs w:val="24"/>
        </w:rPr>
        <w:t xml:space="preserve"> </w:t>
      </w:r>
      <w:r w:rsidRPr="0011545E">
        <w:rPr>
          <w:rFonts w:ascii="Times New Roman" w:hAnsi="Times New Roman"/>
          <w:sz w:val="24"/>
          <w:szCs w:val="24"/>
        </w:rPr>
        <w:t xml:space="preserve">The agreements come with the mutually agreed national Action Plan </w:t>
      </w:r>
      <w:r w:rsidRPr="0011545E">
        <w:rPr>
          <w:rFonts w:ascii="Times New Roman" w:hAnsi="Times New Roman"/>
          <w:sz w:val="24"/>
          <w:szCs w:val="24"/>
        </w:rPr>
        <w:lastRenderedPageBreak/>
        <w:t>(AP) which help</w:t>
      </w:r>
      <w:r w:rsidR="00BB4CC1">
        <w:rPr>
          <w:rFonts w:ascii="Times New Roman" w:hAnsi="Times New Roman"/>
          <w:sz w:val="24"/>
          <w:szCs w:val="24"/>
        </w:rPr>
        <w:t xml:space="preserve">s </w:t>
      </w:r>
      <w:r w:rsidRPr="0011545E">
        <w:rPr>
          <w:rFonts w:ascii="Times New Roman" w:hAnsi="Times New Roman"/>
          <w:sz w:val="24"/>
          <w:szCs w:val="24"/>
        </w:rPr>
        <w:t>partner state</w:t>
      </w:r>
      <w:r w:rsidR="00BB4CC1">
        <w:rPr>
          <w:rFonts w:ascii="Times New Roman" w:hAnsi="Times New Roman"/>
          <w:sz w:val="24"/>
          <w:szCs w:val="24"/>
        </w:rPr>
        <w:t>s</w:t>
      </w:r>
      <w:r w:rsidRPr="0011545E">
        <w:rPr>
          <w:rFonts w:ascii="Times New Roman" w:hAnsi="Times New Roman"/>
          <w:sz w:val="24"/>
          <w:szCs w:val="24"/>
        </w:rPr>
        <w:t xml:space="preserve"> to implement th</w:t>
      </w:r>
      <w:r w:rsidR="00BB4CC1">
        <w:rPr>
          <w:rFonts w:ascii="Times New Roman" w:hAnsi="Times New Roman"/>
          <w:sz w:val="24"/>
          <w:szCs w:val="24"/>
        </w:rPr>
        <w:t>e reforms in specific areas in a r</w:t>
      </w:r>
      <w:r w:rsidRPr="0011545E">
        <w:rPr>
          <w:rFonts w:ascii="Times New Roman" w:hAnsi="Times New Roman"/>
          <w:sz w:val="24"/>
          <w:szCs w:val="24"/>
        </w:rPr>
        <w:t xml:space="preserve">elatively short time. In </w:t>
      </w:r>
      <w:r w:rsidR="00BB4CC1">
        <w:rPr>
          <w:rFonts w:ascii="Times New Roman" w:hAnsi="Times New Roman"/>
          <w:sz w:val="24"/>
          <w:szCs w:val="24"/>
        </w:rPr>
        <w:t xml:space="preserve">the </w:t>
      </w:r>
      <w:r w:rsidRPr="0011545E">
        <w:rPr>
          <w:rFonts w:ascii="Times New Roman" w:hAnsi="Times New Roman"/>
          <w:sz w:val="24"/>
          <w:szCs w:val="24"/>
        </w:rPr>
        <w:t>case of Georgia</w:t>
      </w:r>
      <w:r w:rsidR="00BB4CC1">
        <w:rPr>
          <w:rFonts w:ascii="Times New Roman" w:hAnsi="Times New Roman"/>
          <w:sz w:val="24"/>
          <w:szCs w:val="24"/>
        </w:rPr>
        <w:t>,</w:t>
      </w:r>
      <w:r w:rsidRPr="0011545E">
        <w:rPr>
          <w:rFonts w:ascii="Times New Roman" w:hAnsi="Times New Roman"/>
          <w:sz w:val="24"/>
          <w:szCs w:val="24"/>
        </w:rPr>
        <w:t xml:space="preserve"> the AP targeted the adoption of the EU regulations related to trade and distribution of the goods and services, food safety, public p</w:t>
      </w:r>
      <w:r w:rsidR="00F61B83">
        <w:rPr>
          <w:rFonts w:ascii="Times New Roman" w:hAnsi="Times New Roman"/>
          <w:sz w:val="24"/>
          <w:szCs w:val="24"/>
        </w:rPr>
        <w:t>rocurement, energy market.</w:t>
      </w:r>
      <w:r w:rsidR="00C757EA">
        <w:rPr>
          <w:rStyle w:val="FootnoteReference"/>
          <w:rFonts w:ascii="Times New Roman" w:hAnsi="Times New Roman"/>
          <w:sz w:val="24"/>
          <w:szCs w:val="24"/>
        </w:rPr>
        <w:footnoteReference w:id="310"/>
      </w:r>
      <w:r w:rsidRPr="0011545E">
        <w:rPr>
          <w:rFonts w:ascii="Times New Roman" w:hAnsi="Times New Roman"/>
          <w:sz w:val="24"/>
          <w:szCs w:val="24"/>
        </w:rPr>
        <w:t xml:space="preserve"> The DCFTA enables the partner states to trade with the EU under non-tariff barriers and enjoy the re</w:t>
      </w:r>
      <w:r w:rsidR="001078DE">
        <w:rPr>
          <w:rFonts w:ascii="Times New Roman" w:hAnsi="Times New Roman"/>
          <w:sz w:val="24"/>
          <w:szCs w:val="24"/>
        </w:rPr>
        <w:t>moved duties on imported goods.</w:t>
      </w:r>
      <w:r w:rsidR="001078DE">
        <w:rPr>
          <w:rStyle w:val="FootnoteReference"/>
          <w:rFonts w:ascii="Times New Roman" w:hAnsi="Times New Roman"/>
          <w:sz w:val="24"/>
          <w:szCs w:val="24"/>
        </w:rPr>
        <w:footnoteReference w:id="311"/>
      </w:r>
      <w:r w:rsidR="008D4055">
        <w:rPr>
          <w:rFonts w:ascii="Times New Roman" w:hAnsi="Times New Roman"/>
          <w:sz w:val="24"/>
          <w:szCs w:val="24"/>
        </w:rPr>
        <w:t xml:space="preserve">  </w:t>
      </w:r>
      <w:r w:rsidR="00770EEF">
        <w:rPr>
          <w:rFonts w:ascii="Times New Roman" w:hAnsi="Times New Roman"/>
          <w:sz w:val="24"/>
          <w:szCs w:val="24"/>
        </w:rPr>
        <w:t xml:space="preserve">As Lavenex (2004) notes: </w:t>
      </w:r>
      <w:proofErr w:type="gramStart"/>
      <w:r w:rsidR="00770EEF">
        <w:rPr>
          <w:rFonts w:ascii="Times New Roman" w:hAnsi="Times New Roman"/>
          <w:sz w:val="24"/>
          <w:szCs w:val="24"/>
        </w:rPr>
        <w:t>“ the</w:t>
      </w:r>
      <w:proofErr w:type="gramEnd"/>
      <w:r w:rsidR="00770EEF">
        <w:rPr>
          <w:rFonts w:ascii="Times New Roman" w:hAnsi="Times New Roman"/>
          <w:sz w:val="24"/>
          <w:szCs w:val="24"/>
        </w:rPr>
        <w:t xml:space="preserve"> European external governance addresses the process of approximation of the third countries with the EU norms and rules.”</w:t>
      </w:r>
      <w:r w:rsidR="00770EEF">
        <w:rPr>
          <w:rStyle w:val="FootnoteReference"/>
          <w:rFonts w:ascii="Times New Roman" w:hAnsi="Times New Roman"/>
          <w:sz w:val="24"/>
          <w:szCs w:val="24"/>
        </w:rPr>
        <w:footnoteReference w:id="312"/>
      </w:r>
      <w:r w:rsidR="00770EEF">
        <w:rPr>
          <w:rFonts w:ascii="Times New Roman" w:hAnsi="Times New Roman"/>
          <w:sz w:val="24"/>
          <w:szCs w:val="24"/>
        </w:rPr>
        <w:t xml:space="preserve"> In the context of the DCFTA</w:t>
      </w:r>
      <w:r w:rsidR="00E204B8">
        <w:rPr>
          <w:rFonts w:ascii="Times New Roman" w:hAnsi="Times New Roman"/>
          <w:sz w:val="24"/>
          <w:szCs w:val="24"/>
        </w:rPr>
        <w:t>,</w:t>
      </w:r>
      <w:r w:rsidR="00770EEF">
        <w:rPr>
          <w:rFonts w:ascii="Times New Roman" w:hAnsi="Times New Roman"/>
          <w:sz w:val="24"/>
          <w:szCs w:val="24"/>
        </w:rPr>
        <w:t xml:space="preserve"> the Georgian government strives to achieve certain progress in </w:t>
      </w:r>
      <w:r w:rsidR="00E204B8">
        <w:rPr>
          <w:rFonts w:ascii="Times New Roman" w:hAnsi="Times New Roman"/>
          <w:sz w:val="24"/>
          <w:szCs w:val="24"/>
        </w:rPr>
        <w:t xml:space="preserve">the </w:t>
      </w:r>
      <w:r w:rsidR="00770EEF">
        <w:rPr>
          <w:rFonts w:ascii="Times New Roman" w:hAnsi="Times New Roman"/>
          <w:sz w:val="24"/>
          <w:szCs w:val="24"/>
        </w:rPr>
        <w:t xml:space="preserve">economic sector </w:t>
      </w:r>
      <w:r w:rsidR="00E204B8">
        <w:rPr>
          <w:rFonts w:ascii="Times New Roman" w:hAnsi="Times New Roman"/>
          <w:sz w:val="24"/>
          <w:szCs w:val="24"/>
        </w:rPr>
        <w:t>and adopt the EU’s norms</w:t>
      </w:r>
      <w:r w:rsidR="00770EEF">
        <w:rPr>
          <w:rFonts w:ascii="Times New Roman" w:hAnsi="Times New Roman"/>
          <w:sz w:val="24"/>
          <w:szCs w:val="24"/>
        </w:rPr>
        <w:t xml:space="preserve"> to sustain the stable growth of the country. </w:t>
      </w:r>
    </w:p>
    <w:p w:rsidR="00FB2966" w:rsidRDefault="00FB2966" w:rsidP="0011545E">
      <w:pPr>
        <w:spacing w:line="360" w:lineRule="auto"/>
        <w:jc w:val="both"/>
        <w:rPr>
          <w:rFonts w:ascii="Times New Roman" w:hAnsi="Times New Roman"/>
          <w:sz w:val="24"/>
          <w:szCs w:val="24"/>
        </w:rPr>
      </w:pPr>
    </w:p>
    <w:p w:rsidR="00330176" w:rsidRDefault="008D4055" w:rsidP="0011545E">
      <w:pPr>
        <w:spacing w:line="360" w:lineRule="auto"/>
        <w:jc w:val="both"/>
        <w:rPr>
          <w:rFonts w:ascii="Times New Roman" w:hAnsi="Times New Roman"/>
          <w:b/>
          <w:sz w:val="24"/>
          <w:szCs w:val="24"/>
        </w:rPr>
      </w:pPr>
      <w:r>
        <w:rPr>
          <w:rFonts w:ascii="Times New Roman" w:hAnsi="Times New Roman"/>
          <w:sz w:val="24"/>
          <w:szCs w:val="24"/>
        </w:rPr>
        <w:t>Since 2014</w:t>
      </w:r>
      <w:r w:rsidR="00050BA9" w:rsidRPr="0011545E">
        <w:rPr>
          <w:rFonts w:ascii="Times New Roman" w:hAnsi="Times New Roman"/>
          <w:sz w:val="24"/>
          <w:szCs w:val="24"/>
        </w:rPr>
        <w:t>, the EU has become the main trading partner of Georgia with</w:t>
      </w:r>
      <w:r w:rsidR="00BB4CC1">
        <w:rPr>
          <w:rFonts w:ascii="Times New Roman" w:hAnsi="Times New Roman"/>
          <w:sz w:val="24"/>
          <w:szCs w:val="24"/>
        </w:rPr>
        <w:t xml:space="preserve"> an</w:t>
      </w:r>
      <w:r w:rsidR="00050BA9" w:rsidRPr="0011545E">
        <w:rPr>
          <w:rFonts w:ascii="Times New Roman" w:hAnsi="Times New Roman"/>
          <w:sz w:val="24"/>
          <w:szCs w:val="24"/>
        </w:rPr>
        <w:t xml:space="preserve"> average </w:t>
      </w:r>
      <w:r w:rsidR="00BB4CC1">
        <w:rPr>
          <w:rFonts w:ascii="Times New Roman" w:hAnsi="Times New Roman"/>
          <w:sz w:val="24"/>
          <w:szCs w:val="24"/>
        </w:rPr>
        <w:t xml:space="preserve">of </w:t>
      </w:r>
      <w:r w:rsidR="00050BA9" w:rsidRPr="0011545E">
        <w:rPr>
          <w:rFonts w:ascii="Times New Roman" w:hAnsi="Times New Roman"/>
          <w:sz w:val="24"/>
          <w:szCs w:val="24"/>
        </w:rPr>
        <w:t>23-27% of total exports</w:t>
      </w:r>
      <w:r w:rsidR="00BB4CC1">
        <w:rPr>
          <w:rFonts w:ascii="Times New Roman" w:hAnsi="Times New Roman"/>
          <w:sz w:val="24"/>
          <w:szCs w:val="24"/>
        </w:rPr>
        <w:t>, followed by Russia – 12-1</w:t>
      </w:r>
      <w:r w:rsidR="001078DE">
        <w:rPr>
          <w:rFonts w:ascii="Times New Roman" w:hAnsi="Times New Roman"/>
          <w:sz w:val="24"/>
          <w:szCs w:val="24"/>
        </w:rPr>
        <w:t>5%.</w:t>
      </w:r>
      <w:r w:rsidR="001078DE">
        <w:rPr>
          <w:rStyle w:val="FootnoteReference"/>
          <w:rFonts w:ascii="Times New Roman" w:hAnsi="Times New Roman"/>
          <w:sz w:val="24"/>
          <w:szCs w:val="24"/>
        </w:rPr>
        <w:footnoteReference w:id="313"/>
      </w:r>
      <w:r w:rsidR="00434913">
        <w:rPr>
          <w:rFonts w:ascii="Times New Roman" w:hAnsi="Times New Roman"/>
          <w:sz w:val="24"/>
          <w:szCs w:val="24"/>
        </w:rPr>
        <w:t xml:space="preserve"> In 201</w:t>
      </w:r>
      <w:r w:rsidR="00050BA9" w:rsidRPr="0011545E">
        <w:rPr>
          <w:rFonts w:ascii="Times New Roman" w:hAnsi="Times New Roman"/>
          <w:sz w:val="24"/>
          <w:szCs w:val="24"/>
        </w:rPr>
        <w:t>8, the EU exports to Georgia</w:t>
      </w:r>
      <w:r w:rsidR="00D57DBE">
        <w:rPr>
          <w:rFonts w:ascii="Times New Roman" w:hAnsi="Times New Roman"/>
          <w:sz w:val="24"/>
          <w:szCs w:val="24"/>
        </w:rPr>
        <w:t xml:space="preserve"> </w:t>
      </w:r>
      <w:r w:rsidR="00050BA9" w:rsidRPr="0011545E">
        <w:rPr>
          <w:rFonts w:ascii="Times New Roman" w:hAnsi="Times New Roman"/>
          <w:sz w:val="24"/>
          <w:szCs w:val="24"/>
        </w:rPr>
        <w:t xml:space="preserve">reached </w:t>
      </w:r>
      <w:r w:rsidR="00930887" w:rsidRPr="00930887">
        <w:rPr>
          <w:rFonts w:ascii="Times New Roman" w:hAnsi="Times New Roman"/>
          <w:color w:val="222222"/>
          <w:sz w:val="24"/>
          <w:szCs w:val="24"/>
          <w:shd w:val="clear" w:color="auto" w:fill="FFFFFF"/>
        </w:rPr>
        <w:t>€</w:t>
      </w:r>
      <w:r w:rsidR="00930887">
        <w:rPr>
          <w:rFonts w:ascii="Times New Roman" w:hAnsi="Times New Roman"/>
          <w:sz w:val="24"/>
          <w:szCs w:val="24"/>
        </w:rPr>
        <w:t>2 billion</w:t>
      </w:r>
      <w:r>
        <w:rPr>
          <w:rFonts w:ascii="Times New Roman" w:hAnsi="Times New Roman"/>
          <w:sz w:val="24"/>
          <w:szCs w:val="24"/>
        </w:rPr>
        <w:t>, while Georgian exports weighed</w:t>
      </w:r>
      <w:r w:rsidR="00050BA9" w:rsidRPr="0011545E">
        <w:rPr>
          <w:rFonts w:ascii="Times New Roman" w:hAnsi="Times New Roman"/>
          <w:sz w:val="24"/>
          <w:szCs w:val="24"/>
        </w:rPr>
        <w:t xml:space="preserve"> at </w:t>
      </w:r>
      <w:r w:rsidR="00930887" w:rsidRPr="00930887">
        <w:rPr>
          <w:rFonts w:ascii="Times New Roman" w:hAnsi="Times New Roman"/>
          <w:color w:val="222222"/>
          <w:sz w:val="24"/>
          <w:szCs w:val="24"/>
          <w:shd w:val="clear" w:color="auto" w:fill="FFFFFF"/>
        </w:rPr>
        <w:t>€</w:t>
      </w:r>
      <w:r w:rsidR="00930887">
        <w:rPr>
          <w:rFonts w:ascii="Times New Roman" w:hAnsi="Times New Roman"/>
          <w:sz w:val="24"/>
          <w:szCs w:val="24"/>
        </w:rPr>
        <w:t>0.6 billion</w:t>
      </w:r>
      <w:r w:rsidR="00050BA9" w:rsidRPr="0011545E">
        <w:rPr>
          <w:rFonts w:ascii="Times New Roman" w:hAnsi="Times New Roman"/>
          <w:sz w:val="24"/>
          <w:szCs w:val="24"/>
        </w:rPr>
        <w:t xml:space="preserve"> – 0</w:t>
      </w:r>
      <w:r w:rsidR="00BB4CC1">
        <w:rPr>
          <w:rFonts w:ascii="Times New Roman" w:hAnsi="Times New Roman"/>
          <w:sz w:val="24"/>
          <w:szCs w:val="24"/>
        </w:rPr>
        <w:t>.1</w:t>
      </w:r>
      <w:r w:rsidR="00514E99">
        <w:rPr>
          <w:rFonts w:ascii="Times New Roman" w:hAnsi="Times New Roman"/>
          <w:sz w:val="24"/>
          <w:szCs w:val="24"/>
        </w:rPr>
        <w:t>% of total imports of the EU.</w:t>
      </w:r>
      <w:r w:rsidR="00514E99">
        <w:rPr>
          <w:rStyle w:val="FootnoteReference"/>
          <w:rFonts w:ascii="Times New Roman" w:hAnsi="Times New Roman"/>
          <w:sz w:val="24"/>
          <w:szCs w:val="24"/>
        </w:rPr>
        <w:footnoteReference w:id="314"/>
      </w:r>
      <w:r w:rsidR="00050BA9" w:rsidRPr="0011545E">
        <w:rPr>
          <w:rFonts w:ascii="Times New Roman" w:hAnsi="Times New Roman"/>
          <w:b/>
          <w:sz w:val="24"/>
          <w:szCs w:val="24"/>
        </w:rPr>
        <w:t xml:space="preserve"> </w:t>
      </w:r>
    </w:p>
    <w:p w:rsidR="00330176" w:rsidRDefault="00330176" w:rsidP="0011545E">
      <w:pPr>
        <w:spacing w:line="360" w:lineRule="auto"/>
        <w:jc w:val="both"/>
        <w:rPr>
          <w:rFonts w:ascii="Times New Roman" w:hAnsi="Times New Roman"/>
          <w:b/>
          <w:sz w:val="24"/>
          <w:szCs w:val="24"/>
        </w:rPr>
      </w:pPr>
      <w:r>
        <w:rPr>
          <w:rFonts w:ascii="Times New Roman" w:hAnsi="Times New Roman"/>
          <w:b/>
          <w:noProof/>
          <w:sz w:val="24"/>
          <w:szCs w:val="24"/>
        </w:rPr>
        <w:drawing>
          <wp:inline distT="0" distB="0" distL="0" distR="0">
            <wp:extent cx="5760720" cy="23152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U-Georgia trade2.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2315210"/>
                    </a:xfrm>
                    <a:prstGeom prst="rect">
                      <a:avLst/>
                    </a:prstGeom>
                  </pic:spPr>
                </pic:pic>
              </a:graphicData>
            </a:graphic>
          </wp:inline>
        </w:drawing>
      </w:r>
      <w:r w:rsidR="008D4055">
        <w:rPr>
          <w:rFonts w:ascii="Times New Roman" w:hAnsi="Times New Roman"/>
          <w:b/>
          <w:sz w:val="24"/>
          <w:szCs w:val="24"/>
        </w:rPr>
        <w:t xml:space="preserve">  </w:t>
      </w:r>
    </w:p>
    <w:p w:rsidR="00330176" w:rsidRPr="00F61F43" w:rsidRDefault="00D57DBE" w:rsidP="00330176">
      <w:pPr>
        <w:pStyle w:val="NoSpacing"/>
        <w:rPr>
          <w:b/>
          <w:sz w:val="24"/>
          <w:szCs w:val="24"/>
        </w:rPr>
      </w:pPr>
      <w:r>
        <w:rPr>
          <w:rFonts w:ascii="Times New Roman" w:hAnsi="Times New Roman"/>
          <w:b/>
          <w:sz w:val="24"/>
          <w:szCs w:val="24"/>
        </w:rPr>
        <w:t>Figure 7</w:t>
      </w:r>
      <w:r w:rsidR="00330176" w:rsidRPr="00F61F43">
        <w:rPr>
          <w:rFonts w:ascii="Times New Roman" w:hAnsi="Times New Roman"/>
          <w:b/>
          <w:sz w:val="24"/>
          <w:szCs w:val="24"/>
        </w:rPr>
        <w:t xml:space="preserve">. </w:t>
      </w:r>
      <w:r w:rsidR="00330176" w:rsidRPr="008B36E7">
        <w:rPr>
          <w:rFonts w:ascii="Times New Roman" w:hAnsi="Times New Roman"/>
          <w:sz w:val="24"/>
          <w:szCs w:val="24"/>
        </w:rPr>
        <w:t>Total Agricultural Exports in the EU from Georgia 2014-2018</w:t>
      </w:r>
      <w:r w:rsidR="00330176" w:rsidRPr="008B36E7">
        <w:rPr>
          <w:rStyle w:val="FootnoteReference"/>
          <w:rFonts w:ascii="Times New Roman" w:hAnsi="Times New Roman"/>
          <w:sz w:val="24"/>
          <w:szCs w:val="24"/>
        </w:rPr>
        <w:footnoteReference w:id="315"/>
      </w:r>
    </w:p>
    <w:p w:rsidR="00330176" w:rsidRDefault="00330176" w:rsidP="0011545E">
      <w:pPr>
        <w:spacing w:line="360" w:lineRule="auto"/>
        <w:jc w:val="both"/>
        <w:rPr>
          <w:rFonts w:ascii="Times New Roman" w:hAnsi="Times New Roman"/>
          <w:b/>
          <w:sz w:val="24"/>
          <w:szCs w:val="24"/>
        </w:rPr>
      </w:pPr>
    </w:p>
    <w:p w:rsidR="00050BA9" w:rsidRPr="008D4055" w:rsidRDefault="00050BA9" w:rsidP="0011545E">
      <w:pPr>
        <w:spacing w:line="360" w:lineRule="auto"/>
        <w:jc w:val="both"/>
        <w:rPr>
          <w:rFonts w:ascii="Times New Roman" w:hAnsi="Times New Roman"/>
          <w:b/>
          <w:sz w:val="24"/>
          <w:szCs w:val="24"/>
        </w:rPr>
      </w:pPr>
      <w:r w:rsidRPr="0011545E">
        <w:rPr>
          <w:rFonts w:ascii="Times New Roman" w:hAnsi="Times New Roman"/>
          <w:sz w:val="24"/>
          <w:szCs w:val="24"/>
        </w:rPr>
        <w:lastRenderedPageBreak/>
        <w:t xml:space="preserve">Georgia’s consistency and efficiency in </w:t>
      </w:r>
      <w:r w:rsidR="00BB4CC1">
        <w:rPr>
          <w:rFonts w:ascii="Times New Roman" w:hAnsi="Times New Roman"/>
          <w:sz w:val="24"/>
          <w:szCs w:val="24"/>
        </w:rPr>
        <w:t xml:space="preserve">the </w:t>
      </w:r>
      <w:r w:rsidRPr="0011545E">
        <w:rPr>
          <w:rFonts w:ascii="Times New Roman" w:hAnsi="Times New Roman"/>
          <w:sz w:val="24"/>
          <w:szCs w:val="24"/>
        </w:rPr>
        <w:t xml:space="preserve">implementation of the EU rules and laws related to the AA </w:t>
      </w:r>
      <w:r w:rsidR="00BB4CC1">
        <w:rPr>
          <w:rFonts w:ascii="Times New Roman" w:hAnsi="Times New Roman"/>
          <w:sz w:val="24"/>
          <w:szCs w:val="24"/>
        </w:rPr>
        <w:t>and the DCFTA positively impact</w:t>
      </w:r>
      <w:r w:rsidRPr="0011545E">
        <w:rPr>
          <w:rFonts w:ascii="Times New Roman" w:hAnsi="Times New Roman"/>
          <w:sz w:val="24"/>
          <w:szCs w:val="24"/>
        </w:rPr>
        <w:t xml:space="preserve"> the overall course of the bilateral cooperation; although, for the developing state with </w:t>
      </w:r>
      <w:r w:rsidR="00BB4CC1">
        <w:rPr>
          <w:rFonts w:ascii="Times New Roman" w:hAnsi="Times New Roman"/>
          <w:sz w:val="24"/>
          <w:szCs w:val="24"/>
        </w:rPr>
        <w:t xml:space="preserve">a </w:t>
      </w:r>
      <w:r w:rsidRPr="0011545E">
        <w:rPr>
          <w:rFonts w:ascii="Times New Roman" w:hAnsi="Times New Roman"/>
          <w:sz w:val="24"/>
          <w:szCs w:val="24"/>
        </w:rPr>
        <w:t xml:space="preserve">fragile economy, which primarily depends on the import of goods, the EU regulations could bring certain harms and blockages in various sectors. More precisely, under the DCFTA, Georgia takes the responsibility to fundamentally restructure its economic and social landscape. The new regulations corresponding to the EU standards will forcefully expel the SME’s and manufacturers from the domestic market if they fail to adapt to </w:t>
      </w:r>
      <w:r w:rsidR="00BB4CC1">
        <w:rPr>
          <w:rFonts w:ascii="Times New Roman" w:hAnsi="Times New Roman"/>
          <w:sz w:val="24"/>
          <w:szCs w:val="24"/>
        </w:rPr>
        <w:t xml:space="preserve">the </w:t>
      </w:r>
      <w:r w:rsidRPr="0011545E">
        <w:rPr>
          <w:rFonts w:ascii="Times New Roman" w:hAnsi="Times New Roman"/>
          <w:sz w:val="24"/>
          <w:szCs w:val="24"/>
        </w:rPr>
        <w:t>new economic environment. This painful process poses a risk of financial damage and even econo</w:t>
      </w:r>
      <w:r w:rsidR="00BB4CC1">
        <w:rPr>
          <w:rFonts w:ascii="Times New Roman" w:hAnsi="Times New Roman"/>
          <w:sz w:val="24"/>
          <w:szCs w:val="24"/>
        </w:rPr>
        <w:t xml:space="preserve">mic recessions in the </w:t>
      </w:r>
      <w:r w:rsidR="00D12D06">
        <w:rPr>
          <w:rFonts w:ascii="Times New Roman" w:hAnsi="Times New Roman"/>
          <w:sz w:val="24"/>
          <w:szCs w:val="24"/>
        </w:rPr>
        <w:t>short-term.</w:t>
      </w:r>
      <w:r w:rsidR="00D12D06">
        <w:rPr>
          <w:rStyle w:val="FootnoteReference"/>
          <w:rFonts w:ascii="Times New Roman" w:hAnsi="Times New Roman"/>
          <w:sz w:val="24"/>
          <w:szCs w:val="24"/>
        </w:rPr>
        <w:footnoteReference w:id="316"/>
      </w:r>
      <w:r w:rsidRPr="0011545E">
        <w:rPr>
          <w:rFonts w:ascii="Times New Roman" w:hAnsi="Times New Roman"/>
          <w:sz w:val="24"/>
          <w:szCs w:val="24"/>
        </w:rPr>
        <w:t xml:space="preserve"> Thus, </w:t>
      </w:r>
      <w:r w:rsidR="00BB4CC1">
        <w:rPr>
          <w:rFonts w:ascii="Times New Roman" w:hAnsi="Times New Roman"/>
          <w:sz w:val="24"/>
          <w:szCs w:val="24"/>
        </w:rPr>
        <w:t xml:space="preserve">the Georgian government and </w:t>
      </w:r>
      <w:r w:rsidRPr="0011545E">
        <w:rPr>
          <w:rFonts w:ascii="Times New Roman" w:hAnsi="Times New Roman"/>
          <w:sz w:val="24"/>
          <w:szCs w:val="24"/>
        </w:rPr>
        <w:t>society must overcome the initial barriers of readjustment of the economic sector and target the long-term objec</w:t>
      </w:r>
      <w:r w:rsidR="00BB4CC1">
        <w:rPr>
          <w:rFonts w:ascii="Times New Roman" w:hAnsi="Times New Roman"/>
          <w:sz w:val="24"/>
          <w:szCs w:val="24"/>
        </w:rPr>
        <w:t xml:space="preserve">tives when the DCFTA comes in </w:t>
      </w:r>
      <w:r w:rsidRPr="0011545E">
        <w:rPr>
          <w:rFonts w:ascii="Times New Roman" w:hAnsi="Times New Roman"/>
          <w:sz w:val="24"/>
          <w:szCs w:val="24"/>
        </w:rPr>
        <w:t xml:space="preserve">full force. </w:t>
      </w:r>
    </w:p>
    <w:p w:rsidR="000312C9" w:rsidRDefault="000312C9" w:rsidP="0011545E">
      <w:pPr>
        <w:spacing w:line="360" w:lineRule="auto"/>
        <w:jc w:val="both"/>
        <w:rPr>
          <w:rFonts w:ascii="Times New Roman" w:hAnsi="Times New Roman"/>
          <w:sz w:val="24"/>
          <w:szCs w:val="24"/>
        </w:rPr>
      </w:pPr>
    </w:p>
    <w:p w:rsidR="003F5B08"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AA and</w:t>
      </w:r>
      <w:r w:rsidR="001D2F5D">
        <w:rPr>
          <w:rFonts w:ascii="Times New Roman" w:hAnsi="Times New Roman"/>
          <w:sz w:val="24"/>
          <w:szCs w:val="24"/>
        </w:rPr>
        <w:t xml:space="preserve"> the DCFTA </w:t>
      </w:r>
      <w:r w:rsidR="00BB4CC1">
        <w:rPr>
          <w:rFonts w:ascii="Times New Roman" w:hAnsi="Times New Roman"/>
          <w:sz w:val="24"/>
          <w:szCs w:val="24"/>
        </w:rPr>
        <w:t>contribute</w:t>
      </w:r>
      <w:r w:rsidRPr="0011545E">
        <w:rPr>
          <w:rFonts w:ascii="Times New Roman" w:hAnsi="Times New Roman"/>
          <w:sz w:val="24"/>
          <w:szCs w:val="24"/>
        </w:rPr>
        <w:t xml:space="preserve"> to the EU’s attractiveness for the partners and opens the doors for wider cooperation and active engagement. Nevertheless, there is a major co</w:t>
      </w:r>
      <w:r w:rsidR="001D2F5D">
        <w:rPr>
          <w:rFonts w:ascii="Times New Roman" w:hAnsi="Times New Roman"/>
          <w:sz w:val="24"/>
          <w:szCs w:val="24"/>
        </w:rPr>
        <w:t>mponent of t</w:t>
      </w:r>
      <w:r w:rsidR="00E204B8">
        <w:rPr>
          <w:rFonts w:ascii="Times New Roman" w:hAnsi="Times New Roman"/>
          <w:sz w:val="24"/>
          <w:szCs w:val="24"/>
        </w:rPr>
        <w:t>he agreements – ‘territorial cla</w:t>
      </w:r>
      <w:r w:rsidR="001D2F5D">
        <w:rPr>
          <w:rFonts w:ascii="Times New Roman" w:hAnsi="Times New Roman"/>
          <w:sz w:val="24"/>
          <w:szCs w:val="24"/>
        </w:rPr>
        <w:t>use’. Emerson (2018) outlines this factor as a major constraint of the mechanism</w:t>
      </w:r>
      <w:r w:rsidR="005C5609">
        <w:rPr>
          <w:rFonts w:ascii="Times New Roman" w:hAnsi="Times New Roman"/>
          <w:sz w:val="24"/>
          <w:szCs w:val="24"/>
        </w:rPr>
        <w:t>.</w:t>
      </w:r>
      <w:r w:rsidR="005C5609">
        <w:rPr>
          <w:rStyle w:val="FootnoteReference"/>
          <w:rFonts w:ascii="Times New Roman" w:hAnsi="Times New Roman"/>
          <w:sz w:val="24"/>
          <w:szCs w:val="24"/>
        </w:rPr>
        <w:footnoteReference w:id="317"/>
      </w:r>
      <w:r w:rsidRPr="0011545E">
        <w:rPr>
          <w:rFonts w:ascii="Times New Roman" w:hAnsi="Times New Roman"/>
          <w:b/>
          <w:sz w:val="24"/>
          <w:szCs w:val="24"/>
        </w:rPr>
        <w:t xml:space="preserve"> </w:t>
      </w:r>
      <w:r w:rsidRPr="0011545E">
        <w:rPr>
          <w:rFonts w:ascii="Times New Roman" w:hAnsi="Times New Roman"/>
          <w:sz w:val="24"/>
          <w:szCs w:val="24"/>
        </w:rPr>
        <w:t>The contracting parties of the agreements are Georgia, the European Union and the European Atomic Energy Community (including the member states). The sides agree on the legal content of t</w:t>
      </w:r>
      <w:r w:rsidR="00BB4CC1">
        <w:rPr>
          <w:rFonts w:ascii="Times New Roman" w:hAnsi="Times New Roman"/>
          <w:sz w:val="24"/>
          <w:szCs w:val="24"/>
        </w:rPr>
        <w:t xml:space="preserve">he AA and the DCFTA, the duties, </w:t>
      </w:r>
      <w:r w:rsidRPr="0011545E">
        <w:rPr>
          <w:rFonts w:ascii="Times New Roman" w:hAnsi="Times New Roman"/>
          <w:sz w:val="24"/>
          <w:szCs w:val="24"/>
        </w:rPr>
        <w:t>and responsibilities outlined under the agreements, the dates for the implementation and ratific</w:t>
      </w:r>
      <w:r w:rsidR="00BB4CC1">
        <w:rPr>
          <w:rFonts w:ascii="Times New Roman" w:hAnsi="Times New Roman"/>
          <w:sz w:val="24"/>
          <w:szCs w:val="24"/>
        </w:rPr>
        <w:t xml:space="preserve">ation of the relevant documents, </w:t>
      </w:r>
      <w:r w:rsidRPr="0011545E">
        <w:rPr>
          <w:rFonts w:ascii="Times New Roman" w:hAnsi="Times New Roman"/>
          <w:sz w:val="24"/>
          <w:szCs w:val="24"/>
        </w:rPr>
        <w:t>and the national action plan for the adoption of the k</w:t>
      </w:r>
      <w:r w:rsidR="00E56E78">
        <w:rPr>
          <w:rFonts w:ascii="Times New Roman" w:hAnsi="Times New Roman"/>
          <w:sz w:val="24"/>
          <w:szCs w:val="24"/>
        </w:rPr>
        <w:t>ey legal norms.</w:t>
      </w:r>
      <w:r w:rsidR="00E56E78">
        <w:rPr>
          <w:rStyle w:val="FootnoteReference"/>
          <w:rFonts w:ascii="Times New Roman" w:hAnsi="Times New Roman"/>
          <w:sz w:val="24"/>
          <w:szCs w:val="24"/>
        </w:rPr>
        <w:footnoteReference w:id="318"/>
      </w:r>
      <w:r w:rsidRPr="0011545E">
        <w:rPr>
          <w:rFonts w:ascii="Times New Roman" w:hAnsi="Times New Roman"/>
          <w:b/>
          <w:sz w:val="24"/>
          <w:szCs w:val="24"/>
        </w:rPr>
        <w:t xml:space="preserve"> </w:t>
      </w:r>
      <w:r w:rsidRPr="0011545E">
        <w:rPr>
          <w:rFonts w:ascii="Times New Roman" w:hAnsi="Times New Roman"/>
          <w:sz w:val="24"/>
          <w:szCs w:val="24"/>
        </w:rPr>
        <w:t xml:space="preserve">The European Union recognizes the territorial integrity of Georgia, including its secessionist regions of Abkhazia and South Ossetia, however, due to the current instability on the borders, the Union refused to exert the application of the agreements to these territories. In this regard, the contracting parties agreed to include </w:t>
      </w:r>
      <w:r w:rsidR="00BB4CC1">
        <w:rPr>
          <w:rFonts w:ascii="Times New Roman" w:hAnsi="Times New Roman"/>
          <w:sz w:val="24"/>
          <w:szCs w:val="24"/>
        </w:rPr>
        <w:t xml:space="preserve">the ‘territorial clause’ in </w:t>
      </w:r>
      <w:r w:rsidRPr="00930887">
        <w:rPr>
          <w:rFonts w:ascii="Times New Roman" w:hAnsi="Times New Roman"/>
          <w:i/>
          <w:sz w:val="24"/>
          <w:szCs w:val="24"/>
        </w:rPr>
        <w:t>Title IV, Article 429</w:t>
      </w:r>
      <w:r w:rsidRPr="0011545E">
        <w:rPr>
          <w:rFonts w:ascii="Times New Roman" w:hAnsi="Times New Roman"/>
          <w:sz w:val="24"/>
          <w:szCs w:val="24"/>
        </w:rPr>
        <w:t xml:space="preserve">, </w:t>
      </w:r>
      <w:proofErr w:type="gramStart"/>
      <w:r w:rsidRPr="00930887">
        <w:rPr>
          <w:rFonts w:ascii="Times New Roman" w:hAnsi="Times New Roman"/>
          <w:i/>
          <w:sz w:val="24"/>
          <w:szCs w:val="24"/>
        </w:rPr>
        <w:t>Paragraph</w:t>
      </w:r>
      <w:proofErr w:type="gramEnd"/>
      <w:r w:rsidRPr="00930887">
        <w:rPr>
          <w:rFonts w:ascii="Times New Roman" w:hAnsi="Times New Roman"/>
          <w:i/>
          <w:sz w:val="24"/>
          <w:szCs w:val="24"/>
        </w:rPr>
        <w:t xml:space="preserve"> 2</w:t>
      </w:r>
      <w:r w:rsidRPr="0011545E">
        <w:rPr>
          <w:rFonts w:ascii="Times New Roman" w:hAnsi="Times New Roman"/>
          <w:sz w:val="24"/>
          <w:szCs w:val="24"/>
        </w:rPr>
        <w:t xml:space="preserve"> of the AA which limits the application of the AA and the DCFTA components to the territories where the Georgian government e</w:t>
      </w:r>
      <w:r w:rsidR="00E56E78">
        <w:rPr>
          <w:rFonts w:ascii="Times New Roman" w:hAnsi="Times New Roman"/>
          <w:sz w:val="24"/>
          <w:szCs w:val="24"/>
        </w:rPr>
        <w:t xml:space="preserve">xercises the effective </w:t>
      </w:r>
      <w:r w:rsidR="00E56E78">
        <w:rPr>
          <w:rFonts w:ascii="Times New Roman" w:hAnsi="Times New Roman"/>
          <w:sz w:val="24"/>
          <w:szCs w:val="24"/>
        </w:rPr>
        <w:lastRenderedPageBreak/>
        <w:t>control.</w:t>
      </w:r>
      <w:r w:rsidR="00E56E78">
        <w:rPr>
          <w:rStyle w:val="FootnoteReference"/>
          <w:rFonts w:ascii="Times New Roman" w:hAnsi="Times New Roman"/>
          <w:sz w:val="24"/>
          <w:szCs w:val="24"/>
        </w:rPr>
        <w:footnoteReference w:id="319"/>
      </w:r>
      <w:r w:rsidRPr="0011545E">
        <w:rPr>
          <w:rFonts w:ascii="Times New Roman" w:hAnsi="Times New Roman"/>
          <w:sz w:val="24"/>
          <w:szCs w:val="24"/>
        </w:rPr>
        <w:t xml:space="preserve"> Moreover, the </w:t>
      </w:r>
      <w:r w:rsidR="001D2F5D">
        <w:rPr>
          <w:rFonts w:ascii="Times New Roman" w:hAnsi="Times New Roman"/>
          <w:sz w:val="24"/>
          <w:szCs w:val="24"/>
        </w:rPr>
        <w:t xml:space="preserve">clause can be </w:t>
      </w:r>
      <w:r w:rsidRPr="0011545E">
        <w:rPr>
          <w:rFonts w:ascii="Times New Roman" w:hAnsi="Times New Roman"/>
          <w:sz w:val="24"/>
          <w:szCs w:val="24"/>
        </w:rPr>
        <w:t>repeal</w:t>
      </w:r>
      <w:r w:rsidR="001D2F5D">
        <w:rPr>
          <w:rFonts w:ascii="Times New Roman" w:hAnsi="Times New Roman"/>
          <w:sz w:val="24"/>
          <w:szCs w:val="24"/>
        </w:rPr>
        <w:t xml:space="preserve">ed </w:t>
      </w:r>
      <w:r w:rsidRPr="0011545E">
        <w:rPr>
          <w:rFonts w:ascii="Times New Roman" w:hAnsi="Times New Roman"/>
          <w:sz w:val="24"/>
          <w:szCs w:val="24"/>
        </w:rPr>
        <w:t xml:space="preserve">if </w:t>
      </w:r>
      <w:r w:rsidR="00BB4CC1">
        <w:rPr>
          <w:rFonts w:ascii="Times New Roman" w:hAnsi="Times New Roman"/>
          <w:sz w:val="24"/>
          <w:szCs w:val="24"/>
        </w:rPr>
        <w:t xml:space="preserve">the </w:t>
      </w:r>
      <w:r w:rsidRPr="0011545E">
        <w:rPr>
          <w:rFonts w:ascii="Times New Roman" w:hAnsi="Times New Roman"/>
          <w:sz w:val="24"/>
          <w:szCs w:val="24"/>
        </w:rPr>
        <w:t>Georgian g</w:t>
      </w:r>
      <w:r w:rsidR="00BB4CC1">
        <w:rPr>
          <w:rFonts w:ascii="Times New Roman" w:hAnsi="Times New Roman"/>
          <w:sz w:val="24"/>
          <w:szCs w:val="24"/>
        </w:rPr>
        <w:t xml:space="preserve">overnment ensures </w:t>
      </w:r>
      <w:r w:rsidRPr="0011545E">
        <w:rPr>
          <w:rFonts w:ascii="Times New Roman" w:hAnsi="Times New Roman"/>
          <w:sz w:val="24"/>
          <w:szCs w:val="24"/>
        </w:rPr>
        <w:t>full control</w:t>
      </w:r>
      <w:r w:rsidR="0023540B">
        <w:rPr>
          <w:rFonts w:ascii="Times New Roman" w:hAnsi="Times New Roman"/>
          <w:sz w:val="24"/>
          <w:szCs w:val="24"/>
        </w:rPr>
        <w:t xml:space="preserve"> over the secessionist regions.</w:t>
      </w:r>
      <w:r w:rsidR="0023540B">
        <w:rPr>
          <w:rStyle w:val="FootnoteReference"/>
          <w:rFonts w:ascii="Times New Roman" w:hAnsi="Times New Roman"/>
          <w:sz w:val="24"/>
          <w:szCs w:val="24"/>
        </w:rPr>
        <w:footnoteReference w:id="320"/>
      </w:r>
      <w:r w:rsidRPr="0011545E">
        <w:rPr>
          <w:rFonts w:ascii="Times New Roman" w:hAnsi="Times New Roman"/>
          <w:sz w:val="24"/>
          <w:szCs w:val="24"/>
        </w:rPr>
        <w:t xml:space="preserve"> Strengthening an</w:t>
      </w:r>
      <w:r w:rsidR="00BB4CC1">
        <w:rPr>
          <w:rFonts w:ascii="Times New Roman" w:hAnsi="Times New Roman"/>
          <w:sz w:val="24"/>
          <w:szCs w:val="24"/>
        </w:rPr>
        <w:t>d diversification of the economic sectors and energy security are</w:t>
      </w:r>
      <w:r w:rsidRPr="0011545E">
        <w:rPr>
          <w:rFonts w:ascii="Times New Roman" w:hAnsi="Times New Roman"/>
          <w:sz w:val="24"/>
          <w:szCs w:val="24"/>
        </w:rPr>
        <w:t xml:space="preserve"> one of the main objectives of Georgia which will one the one hand, stabilize the internal socio-economic situation and one the other hand,  significantly increase the attractiveness for the de-facto authorities. To this day, the Georgian markets remain the main source of agriculture and food products for Abkhazia and South O</w:t>
      </w:r>
      <w:r w:rsidR="00BB4CC1">
        <w:rPr>
          <w:rFonts w:ascii="Times New Roman" w:hAnsi="Times New Roman"/>
          <w:sz w:val="24"/>
          <w:szCs w:val="24"/>
        </w:rPr>
        <w:t xml:space="preserve">ssetia. The same applies to </w:t>
      </w:r>
      <w:r w:rsidRPr="0011545E">
        <w:rPr>
          <w:rFonts w:ascii="Times New Roman" w:hAnsi="Times New Roman"/>
          <w:sz w:val="24"/>
          <w:szCs w:val="24"/>
        </w:rPr>
        <w:t>me</w:t>
      </w:r>
      <w:r w:rsidR="0060591A">
        <w:rPr>
          <w:rFonts w:ascii="Times New Roman" w:hAnsi="Times New Roman"/>
          <w:sz w:val="24"/>
          <w:szCs w:val="24"/>
        </w:rPr>
        <w:t>dicine and healthcare services.</w:t>
      </w:r>
      <w:r w:rsidR="0060591A">
        <w:rPr>
          <w:rStyle w:val="FootnoteReference"/>
          <w:rFonts w:ascii="Times New Roman" w:hAnsi="Times New Roman"/>
          <w:sz w:val="24"/>
          <w:szCs w:val="24"/>
        </w:rPr>
        <w:footnoteReference w:id="321"/>
      </w:r>
      <w:r w:rsidR="00BB4CC1">
        <w:rPr>
          <w:rFonts w:ascii="Times New Roman" w:hAnsi="Times New Roman"/>
          <w:sz w:val="24"/>
          <w:szCs w:val="24"/>
        </w:rPr>
        <w:t xml:space="preserve"> The e</w:t>
      </w:r>
      <w:r w:rsidRPr="0011545E">
        <w:rPr>
          <w:rFonts w:ascii="Times New Roman" w:hAnsi="Times New Roman"/>
          <w:sz w:val="24"/>
          <w:szCs w:val="24"/>
        </w:rPr>
        <w:t>fficient implementation of the AA and the DCFTA agreements will increase the capacity for deeper regional in</w:t>
      </w:r>
      <w:r w:rsidR="00BB4CC1">
        <w:rPr>
          <w:rFonts w:ascii="Times New Roman" w:hAnsi="Times New Roman"/>
          <w:sz w:val="24"/>
          <w:szCs w:val="24"/>
        </w:rPr>
        <w:t xml:space="preserve">tegration and contribute to </w:t>
      </w:r>
      <w:r w:rsidR="00930887">
        <w:rPr>
          <w:rFonts w:ascii="Times New Roman" w:hAnsi="Times New Roman"/>
          <w:sz w:val="24"/>
          <w:szCs w:val="24"/>
        </w:rPr>
        <w:t xml:space="preserve">economic reconciliation. </w:t>
      </w:r>
    </w:p>
    <w:p w:rsidR="003F5B08" w:rsidRDefault="003F5B08" w:rsidP="0011545E">
      <w:pPr>
        <w:spacing w:line="360" w:lineRule="auto"/>
        <w:jc w:val="both"/>
        <w:rPr>
          <w:rFonts w:ascii="Times New Roman" w:hAnsi="Times New Roman"/>
          <w:sz w:val="24"/>
          <w:szCs w:val="24"/>
        </w:rPr>
      </w:pPr>
    </w:p>
    <w:p w:rsidR="00050BA9" w:rsidRPr="00527CB2" w:rsidRDefault="00930887" w:rsidP="0011545E">
      <w:pPr>
        <w:spacing w:line="360" w:lineRule="auto"/>
        <w:jc w:val="both"/>
        <w:rPr>
          <w:rFonts w:ascii="Times New Roman" w:hAnsi="Times New Roman"/>
          <w:sz w:val="24"/>
          <w:szCs w:val="24"/>
        </w:rPr>
      </w:pPr>
      <w:r>
        <w:rPr>
          <w:rFonts w:ascii="Times New Roman" w:hAnsi="Times New Roman"/>
          <w:sz w:val="24"/>
          <w:szCs w:val="24"/>
        </w:rPr>
        <w:t>In 201</w:t>
      </w:r>
      <w:r w:rsidR="00050BA9" w:rsidRPr="0011545E">
        <w:rPr>
          <w:rFonts w:ascii="Times New Roman" w:hAnsi="Times New Roman"/>
          <w:sz w:val="24"/>
          <w:szCs w:val="24"/>
        </w:rPr>
        <w:t>8, the Georgian government introduced the economic program ‘A Step for the Better Future’ which aims to strengthen the economic ties with the de-facto authorities and enha</w:t>
      </w:r>
      <w:r w:rsidR="0014623E">
        <w:rPr>
          <w:rFonts w:ascii="Times New Roman" w:hAnsi="Times New Roman"/>
          <w:sz w:val="24"/>
          <w:szCs w:val="24"/>
        </w:rPr>
        <w:t>nce people-to-people relations.</w:t>
      </w:r>
      <w:r w:rsidR="0014623E">
        <w:rPr>
          <w:rStyle w:val="FootnoteReference"/>
          <w:rFonts w:ascii="Times New Roman" w:hAnsi="Times New Roman"/>
          <w:sz w:val="24"/>
          <w:szCs w:val="24"/>
        </w:rPr>
        <w:footnoteReference w:id="322"/>
      </w:r>
      <w:r w:rsidR="00050BA9" w:rsidRPr="0011545E">
        <w:rPr>
          <w:rFonts w:ascii="Times New Roman" w:hAnsi="Times New Roman"/>
          <w:b/>
          <w:sz w:val="24"/>
          <w:szCs w:val="24"/>
        </w:rPr>
        <w:t xml:space="preserve"> </w:t>
      </w:r>
      <w:r w:rsidR="00050BA9" w:rsidRPr="0011545E">
        <w:rPr>
          <w:rFonts w:ascii="Times New Roman" w:hAnsi="Times New Roman"/>
          <w:sz w:val="24"/>
          <w:szCs w:val="24"/>
        </w:rPr>
        <w:t xml:space="preserve">However, </w:t>
      </w:r>
      <w:r w:rsidR="00BB4CC1">
        <w:rPr>
          <w:rFonts w:ascii="Times New Roman" w:hAnsi="Times New Roman"/>
          <w:sz w:val="24"/>
          <w:szCs w:val="24"/>
        </w:rPr>
        <w:t xml:space="preserve">the </w:t>
      </w:r>
      <w:r w:rsidR="00050BA9" w:rsidRPr="0011545E">
        <w:rPr>
          <w:rFonts w:ascii="Times New Roman" w:hAnsi="Times New Roman"/>
          <w:sz w:val="24"/>
          <w:szCs w:val="24"/>
        </w:rPr>
        <w:t>success of such initiatives significantly relies on the willingness of the separatist regions for deeper engagement and internalization of the policies proposed by the EU and Georgia. In recent years, Abkhazia and South Ossetia showed very little interest in multilateral institutional and economic cooperation.</w:t>
      </w:r>
      <w:r w:rsidR="00407519">
        <w:rPr>
          <w:rStyle w:val="FootnoteReference"/>
          <w:rFonts w:ascii="Times New Roman" w:hAnsi="Times New Roman"/>
          <w:sz w:val="24"/>
          <w:szCs w:val="24"/>
        </w:rPr>
        <w:footnoteReference w:id="323"/>
      </w:r>
      <w:r w:rsidR="00050BA9" w:rsidRPr="0011545E">
        <w:rPr>
          <w:rFonts w:ascii="Times New Roman" w:hAnsi="Times New Roman"/>
          <w:sz w:val="24"/>
          <w:szCs w:val="24"/>
        </w:rPr>
        <w:t xml:space="preserve"> The de-facto authorities often imply on the EU and Georgia’s willingness to restore the territorial integrity of Georgia by peaceful means. Moreover, the agreements reaffirm the mutual commitment to the NREP strategy which frightens the secessionist authorities. Considering the low willingness and inconsistent dynamics of engagement in the economic programs of Abkhazia and South Ossetia, it can be said that in a short-term perspective, the EU’s economic instruments are characterized by limited efficiency in </w:t>
      </w:r>
      <w:r w:rsidR="00BB4CC1">
        <w:rPr>
          <w:rFonts w:ascii="Times New Roman" w:hAnsi="Times New Roman"/>
          <w:sz w:val="24"/>
          <w:szCs w:val="24"/>
        </w:rPr>
        <w:t xml:space="preserve">the </w:t>
      </w:r>
      <w:r w:rsidR="00050BA9" w:rsidRPr="0011545E">
        <w:rPr>
          <w:rFonts w:ascii="Times New Roman" w:hAnsi="Times New Roman"/>
          <w:sz w:val="24"/>
          <w:szCs w:val="24"/>
        </w:rPr>
        <w:t>conflict transformation proce</w:t>
      </w:r>
      <w:r>
        <w:rPr>
          <w:rFonts w:ascii="Times New Roman" w:hAnsi="Times New Roman"/>
          <w:sz w:val="24"/>
          <w:szCs w:val="24"/>
        </w:rPr>
        <w:t xml:space="preserve">ss. </w:t>
      </w:r>
      <w:r w:rsidR="00E204B8">
        <w:rPr>
          <w:rFonts w:ascii="Times New Roman" w:hAnsi="Times New Roman"/>
          <w:sz w:val="24"/>
          <w:szCs w:val="24"/>
        </w:rPr>
        <w:t>Assessment of the</w:t>
      </w:r>
      <w:r w:rsidR="00527CB2">
        <w:rPr>
          <w:rFonts w:ascii="Times New Roman" w:hAnsi="Times New Roman"/>
          <w:sz w:val="24"/>
          <w:szCs w:val="24"/>
        </w:rPr>
        <w:t xml:space="preserve"> EU-Georgian cooperation in the context of the AA and the DCFTA through the prism of t</w:t>
      </w:r>
      <w:r w:rsidR="00E204B8">
        <w:rPr>
          <w:rFonts w:ascii="Times New Roman" w:hAnsi="Times New Roman"/>
          <w:sz w:val="24"/>
          <w:szCs w:val="24"/>
        </w:rPr>
        <w:t>he external governance implies</w:t>
      </w:r>
      <w:r w:rsidR="00527CB2">
        <w:rPr>
          <w:rFonts w:ascii="Times New Roman" w:hAnsi="Times New Roman"/>
          <w:sz w:val="24"/>
          <w:szCs w:val="24"/>
        </w:rPr>
        <w:t xml:space="preserve"> the ‘</w:t>
      </w:r>
      <w:r w:rsidR="00527CB2" w:rsidRPr="00527CB2">
        <w:rPr>
          <w:rFonts w:ascii="Times New Roman" w:hAnsi="Times New Roman"/>
          <w:i/>
          <w:sz w:val="24"/>
          <w:szCs w:val="24"/>
        </w:rPr>
        <w:t>logic of consequences’</w:t>
      </w:r>
      <w:r w:rsidR="00527CB2">
        <w:rPr>
          <w:rFonts w:ascii="Times New Roman" w:hAnsi="Times New Roman"/>
          <w:i/>
          <w:sz w:val="24"/>
          <w:szCs w:val="24"/>
        </w:rPr>
        <w:t xml:space="preserve">. </w:t>
      </w:r>
      <w:r w:rsidR="00527CB2">
        <w:rPr>
          <w:rFonts w:ascii="Times New Roman" w:hAnsi="Times New Roman"/>
          <w:sz w:val="24"/>
          <w:szCs w:val="24"/>
        </w:rPr>
        <w:t xml:space="preserve">According to Schimmelfennig (2004): “the third parties seek to deepen the relations with the EU through the mechanism of conditionality which is driven through the rewards and </w:t>
      </w:r>
      <w:r w:rsidR="00527CB2">
        <w:rPr>
          <w:rFonts w:ascii="Times New Roman" w:hAnsi="Times New Roman"/>
          <w:sz w:val="24"/>
          <w:szCs w:val="24"/>
        </w:rPr>
        <w:lastRenderedPageBreak/>
        <w:t>sanctions.”</w:t>
      </w:r>
      <w:r w:rsidR="00527CB2">
        <w:rPr>
          <w:rStyle w:val="FootnoteReference"/>
          <w:rFonts w:ascii="Times New Roman" w:hAnsi="Times New Roman"/>
          <w:sz w:val="24"/>
          <w:szCs w:val="24"/>
        </w:rPr>
        <w:footnoteReference w:id="324"/>
      </w:r>
      <w:r w:rsidR="00527CB2">
        <w:rPr>
          <w:rFonts w:ascii="Times New Roman" w:hAnsi="Times New Roman"/>
          <w:sz w:val="24"/>
          <w:szCs w:val="24"/>
        </w:rPr>
        <w:t xml:space="preserve"> The ‘golden carrot’ of the Association Agreement is the free movement of people, deeper engagement in </w:t>
      </w:r>
      <w:r w:rsidR="00E204B8">
        <w:rPr>
          <w:rFonts w:ascii="Times New Roman" w:hAnsi="Times New Roman"/>
          <w:sz w:val="24"/>
          <w:szCs w:val="24"/>
        </w:rPr>
        <w:t xml:space="preserve">the </w:t>
      </w:r>
      <w:r w:rsidR="00527CB2">
        <w:rPr>
          <w:rFonts w:ascii="Times New Roman" w:hAnsi="Times New Roman"/>
          <w:sz w:val="24"/>
          <w:szCs w:val="24"/>
        </w:rPr>
        <w:t>economic se</w:t>
      </w:r>
      <w:r w:rsidR="00E204B8">
        <w:rPr>
          <w:rFonts w:ascii="Times New Roman" w:hAnsi="Times New Roman"/>
          <w:sz w:val="24"/>
          <w:szCs w:val="24"/>
        </w:rPr>
        <w:t xml:space="preserve">ctor, </w:t>
      </w:r>
      <w:r w:rsidR="00527CB2">
        <w:rPr>
          <w:rFonts w:ascii="Times New Roman" w:hAnsi="Times New Roman"/>
          <w:sz w:val="24"/>
          <w:szCs w:val="24"/>
        </w:rPr>
        <w:t xml:space="preserve">and potential of membership which directly complies with the aspirations of the Georgian government. </w:t>
      </w:r>
    </w:p>
    <w:p w:rsidR="00770EEF" w:rsidRDefault="00770EEF" w:rsidP="00D57DBE">
      <w:pPr>
        <w:pStyle w:val="NoSpacing"/>
      </w:pPr>
    </w:p>
    <w:p w:rsidR="00770EEF" w:rsidRPr="00D57DBE" w:rsidRDefault="00770EEF" w:rsidP="00D57DBE">
      <w:pPr>
        <w:pStyle w:val="NoSpacing"/>
      </w:pPr>
    </w:p>
    <w:p w:rsidR="003024E9" w:rsidRPr="00D57DBE" w:rsidRDefault="008B5A68" w:rsidP="007B74C4">
      <w:pPr>
        <w:pStyle w:val="Heading2"/>
        <w:rPr>
          <w:color w:val="auto"/>
          <w:sz w:val="32"/>
          <w:szCs w:val="32"/>
        </w:rPr>
      </w:pPr>
      <w:bookmarkStart w:id="24" w:name="_Toc46952618"/>
      <w:r>
        <w:rPr>
          <w:color w:val="auto"/>
          <w:sz w:val="32"/>
          <w:szCs w:val="32"/>
        </w:rPr>
        <w:t>4.1.1</w:t>
      </w:r>
      <w:r w:rsidR="003024E9" w:rsidRPr="00D57DBE">
        <w:rPr>
          <w:color w:val="auto"/>
          <w:sz w:val="32"/>
          <w:szCs w:val="32"/>
        </w:rPr>
        <w:t xml:space="preserve"> </w:t>
      </w:r>
      <w:r w:rsidR="008706A7" w:rsidRPr="00D57DBE">
        <w:rPr>
          <w:color w:val="auto"/>
          <w:sz w:val="32"/>
          <w:szCs w:val="32"/>
        </w:rPr>
        <w:t>Diplomacy Instruments: Cease-fire Agreement and the G</w:t>
      </w:r>
      <w:r w:rsidR="00761156">
        <w:rPr>
          <w:color w:val="auto"/>
          <w:sz w:val="32"/>
          <w:szCs w:val="32"/>
        </w:rPr>
        <w:t>eneva International Discussions</w:t>
      </w:r>
      <w:bookmarkEnd w:id="24"/>
    </w:p>
    <w:p w:rsidR="00D57DBE" w:rsidRPr="00D57DBE" w:rsidRDefault="00D57DBE" w:rsidP="00D57DBE"/>
    <w:p w:rsidR="00050BA9" w:rsidRPr="0011545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The war in August 2008 has been one of the biggest tests for the EU’s crisis response capabilities and execution of the post-conflict reconciliation strategies. </w:t>
      </w:r>
      <w:r w:rsidR="00300EA0">
        <w:rPr>
          <w:rFonts w:ascii="Times New Roman" w:hAnsi="Times New Roman"/>
          <w:sz w:val="24"/>
          <w:szCs w:val="24"/>
        </w:rPr>
        <w:t>As Gross (2011) notes,</w:t>
      </w:r>
      <w:r w:rsidRPr="0011545E">
        <w:rPr>
          <w:rFonts w:ascii="Times New Roman" w:hAnsi="Times New Roman"/>
          <w:sz w:val="24"/>
          <w:szCs w:val="24"/>
        </w:rPr>
        <w:t xml:space="preserve"> a month before the conflict, the EU and Georgia agreed on </w:t>
      </w:r>
      <w:r w:rsidR="00BB4CC1">
        <w:rPr>
          <w:rFonts w:ascii="Times New Roman" w:hAnsi="Times New Roman"/>
          <w:sz w:val="24"/>
          <w:szCs w:val="24"/>
        </w:rPr>
        <w:t xml:space="preserve">the </w:t>
      </w:r>
      <w:r w:rsidRPr="0011545E">
        <w:rPr>
          <w:rFonts w:ascii="Times New Roman" w:hAnsi="Times New Roman"/>
          <w:sz w:val="24"/>
          <w:szCs w:val="24"/>
        </w:rPr>
        <w:t>establishment of the Civilian Planning and Conduct Capability (Civcom)</w:t>
      </w:r>
      <w:r w:rsidR="0082203F" w:rsidRPr="0011545E">
        <w:rPr>
          <w:rFonts w:ascii="Times New Roman" w:hAnsi="Times New Roman"/>
          <w:sz w:val="24"/>
          <w:szCs w:val="24"/>
        </w:rPr>
        <w:t xml:space="preserve"> mechanism which compromise</w:t>
      </w:r>
      <w:r w:rsidR="00BB4CC1">
        <w:rPr>
          <w:rFonts w:ascii="Times New Roman" w:hAnsi="Times New Roman"/>
          <w:sz w:val="24"/>
          <w:szCs w:val="24"/>
        </w:rPr>
        <w:t xml:space="preserve">s financial, judicial, logistical, </w:t>
      </w:r>
      <w:r w:rsidRPr="0011545E">
        <w:rPr>
          <w:rFonts w:ascii="Times New Roman" w:hAnsi="Times New Roman"/>
          <w:sz w:val="24"/>
          <w:szCs w:val="24"/>
        </w:rPr>
        <w:t>and procurement experts for t</w:t>
      </w:r>
      <w:r w:rsidR="00A373D0">
        <w:rPr>
          <w:rFonts w:ascii="Times New Roman" w:hAnsi="Times New Roman"/>
          <w:sz w:val="24"/>
          <w:szCs w:val="24"/>
        </w:rPr>
        <w:t>he civilian crisis management.</w:t>
      </w:r>
      <w:r w:rsidR="00A373D0">
        <w:rPr>
          <w:rStyle w:val="FootnoteReference"/>
          <w:rFonts w:ascii="Times New Roman" w:hAnsi="Times New Roman"/>
          <w:sz w:val="24"/>
          <w:szCs w:val="24"/>
        </w:rPr>
        <w:footnoteReference w:id="325"/>
      </w:r>
      <w:r w:rsidR="00A373D0">
        <w:rPr>
          <w:rFonts w:ascii="Times New Roman" w:hAnsi="Times New Roman"/>
          <w:b/>
          <w:sz w:val="24"/>
          <w:szCs w:val="24"/>
        </w:rPr>
        <w:t xml:space="preserve"> </w:t>
      </w:r>
      <w:r w:rsidRPr="0011545E">
        <w:rPr>
          <w:rFonts w:ascii="Times New Roman" w:hAnsi="Times New Roman"/>
          <w:sz w:val="24"/>
          <w:szCs w:val="24"/>
        </w:rPr>
        <w:t xml:space="preserve">The mission played </w:t>
      </w:r>
      <w:r w:rsidR="00BB4CC1">
        <w:rPr>
          <w:rFonts w:ascii="Times New Roman" w:hAnsi="Times New Roman"/>
          <w:sz w:val="24"/>
          <w:szCs w:val="24"/>
        </w:rPr>
        <w:t xml:space="preserve">a </w:t>
      </w:r>
      <w:r w:rsidRPr="0011545E">
        <w:rPr>
          <w:rFonts w:ascii="Times New Roman" w:hAnsi="Times New Roman"/>
          <w:sz w:val="24"/>
          <w:szCs w:val="24"/>
        </w:rPr>
        <w:t xml:space="preserve">crucial role in </w:t>
      </w:r>
      <w:r w:rsidR="00BB4CC1">
        <w:rPr>
          <w:rFonts w:ascii="Times New Roman" w:hAnsi="Times New Roman"/>
          <w:sz w:val="24"/>
          <w:szCs w:val="24"/>
        </w:rPr>
        <w:t xml:space="preserve">the </w:t>
      </w:r>
      <w:r w:rsidRPr="0011545E">
        <w:rPr>
          <w:rFonts w:ascii="Times New Roman" w:hAnsi="Times New Roman"/>
          <w:sz w:val="24"/>
          <w:szCs w:val="24"/>
        </w:rPr>
        <w:t>mobilization</w:t>
      </w:r>
      <w:r w:rsidR="00BB4CC1">
        <w:rPr>
          <w:rFonts w:ascii="Times New Roman" w:hAnsi="Times New Roman"/>
          <w:sz w:val="24"/>
          <w:szCs w:val="24"/>
        </w:rPr>
        <w:t xml:space="preserve"> of humanitarian aid, equipment, </w:t>
      </w:r>
      <w:r w:rsidRPr="0011545E">
        <w:rPr>
          <w:rFonts w:ascii="Times New Roman" w:hAnsi="Times New Roman"/>
          <w:sz w:val="24"/>
          <w:szCs w:val="24"/>
        </w:rPr>
        <w:t>an</w:t>
      </w:r>
      <w:r w:rsidR="00A373D0">
        <w:rPr>
          <w:rFonts w:ascii="Times New Roman" w:hAnsi="Times New Roman"/>
          <w:sz w:val="24"/>
          <w:szCs w:val="24"/>
        </w:rPr>
        <w:t>d vehicles during the conflict.</w:t>
      </w:r>
      <w:r w:rsidR="00A373D0">
        <w:rPr>
          <w:rStyle w:val="FootnoteReference"/>
          <w:rFonts w:ascii="Times New Roman" w:hAnsi="Times New Roman"/>
          <w:sz w:val="24"/>
          <w:szCs w:val="24"/>
        </w:rPr>
        <w:footnoteReference w:id="326"/>
      </w:r>
      <w:r w:rsidRPr="0011545E">
        <w:rPr>
          <w:rFonts w:ascii="Times New Roman" w:hAnsi="Times New Roman"/>
          <w:sz w:val="24"/>
          <w:szCs w:val="24"/>
        </w:rPr>
        <w:t xml:space="preserve"> The Civcom is a two-pillar mechanism and delivers the expertise on civilian and military matt</w:t>
      </w:r>
      <w:r w:rsidR="005D39DD">
        <w:rPr>
          <w:rFonts w:ascii="Times New Roman" w:hAnsi="Times New Roman"/>
          <w:sz w:val="24"/>
          <w:szCs w:val="24"/>
        </w:rPr>
        <w:t>ers.</w:t>
      </w:r>
      <w:r w:rsidR="005D39DD">
        <w:rPr>
          <w:rStyle w:val="FootnoteReference"/>
          <w:rFonts w:ascii="Times New Roman" w:hAnsi="Times New Roman"/>
          <w:sz w:val="24"/>
          <w:szCs w:val="24"/>
        </w:rPr>
        <w:footnoteReference w:id="327"/>
      </w:r>
      <w:r w:rsidR="005D39DD">
        <w:rPr>
          <w:rFonts w:ascii="Times New Roman" w:hAnsi="Times New Roman"/>
          <w:sz w:val="24"/>
          <w:szCs w:val="24"/>
        </w:rPr>
        <w:t xml:space="preserve"> </w:t>
      </w:r>
      <w:r w:rsidR="00BB4CC1">
        <w:rPr>
          <w:rFonts w:ascii="Times New Roman" w:hAnsi="Times New Roman"/>
          <w:sz w:val="24"/>
          <w:szCs w:val="24"/>
        </w:rPr>
        <w:t xml:space="preserve">It </w:t>
      </w:r>
      <w:r w:rsidRPr="0011545E">
        <w:rPr>
          <w:rFonts w:ascii="Times New Roman" w:hAnsi="Times New Roman"/>
          <w:sz w:val="24"/>
          <w:szCs w:val="24"/>
        </w:rPr>
        <w:t>subordinates the policies with two political bodies in Brussels: the Political and Security Committee</w:t>
      </w:r>
      <w:r w:rsidR="000C7E43">
        <w:rPr>
          <w:rFonts w:ascii="Times New Roman" w:hAnsi="Times New Roman"/>
          <w:sz w:val="24"/>
          <w:szCs w:val="24"/>
        </w:rPr>
        <w:t xml:space="preserve"> and the EU Military Committee.</w:t>
      </w:r>
      <w:r w:rsidR="000C7E43">
        <w:rPr>
          <w:rStyle w:val="FootnoteReference"/>
          <w:rFonts w:ascii="Times New Roman" w:hAnsi="Times New Roman"/>
          <w:sz w:val="24"/>
          <w:szCs w:val="24"/>
        </w:rPr>
        <w:footnoteReference w:id="328"/>
      </w:r>
      <w:r w:rsidRPr="0011545E">
        <w:rPr>
          <w:rFonts w:ascii="Times New Roman" w:hAnsi="Times New Roman"/>
          <w:sz w:val="24"/>
          <w:szCs w:val="24"/>
        </w:rPr>
        <w:t xml:space="preserve"> The mechanism significantly increased the EU’s capacity in addressing the first-hand needs of Georgia right after the conflict and minimized the bureaucracy-related constrains. </w:t>
      </w:r>
    </w:p>
    <w:p w:rsidR="003F5B08" w:rsidRDefault="003F5B08" w:rsidP="0011545E">
      <w:pPr>
        <w:spacing w:line="360" w:lineRule="auto"/>
        <w:jc w:val="both"/>
        <w:rPr>
          <w:rFonts w:ascii="Times New Roman" w:hAnsi="Times New Roman"/>
          <w:sz w:val="24"/>
          <w:szCs w:val="24"/>
        </w:rPr>
      </w:pPr>
    </w:p>
    <w:p w:rsidR="00050BA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The French Presidency of the EU in 2008 played </w:t>
      </w:r>
      <w:r w:rsidR="00BB4CC1">
        <w:rPr>
          <w:rFonts w:ascii="Times New Roman" w:hAnsi="Times New Roman"/>
          <w:sz w:val="24"/>
          <w:szCs w:val="24"/>
        </w:rPr>
        <w:t xml:space="preserve">a </w:t>
      </w:r>
      <w:r w:rsidRPr="0011545E">
        <w:rPr>
          <w:rFonts w:ascii="Times New Roman" w:hAnsi="Times New Roman"/>
          <w:sz w:val="24"/>
          <w:szCs w:val="24"/>
        </w:rPr>
        <w:t xml:space="preserve">decisive role in </w:t>
      </w:r>
      <w:r w:rsidR="00BB4CC1">
        <w:rPr>
          <w:rFonts w:ascii="Times New Roman" w:hAnsi="Times New Roman"/>
          <w:sz w:val="24"/>
          <w:szCs w:val="24"/>
        </w:rPr>
        <w:t xml:space="preserve">the </w:t>
      </w:r>
      <w:r w:rsidRPr="0011545E">
        <w:rPr>
          <w:rFonts w:ascii="Times New Roman" w:hAnsi="Times New Roman"/>
          <w:sz w:val="24"/>
          <w:szCs w:val="24"/>
        </w:rPr>
        <w:t>diplomatic success of the EU concerning the suspending of the armed hostilities and convincing the confronting parties to sign the cease-fire ag</w:t>
      </w:r>
      <w:r w:rsidR="00930887">
        <w:rPr>
          <w:rFonts w:ascii="Times New Roman" w:hAnsi="Times New Roman"/>
          <w:sz w:val="24"/>
          <w:szCs w:val="24"/>
        </w:rPr>
        <w:t>reement. On August 1</w:t>
      </w:r>
      <w:r w:rsidR="00BB4CC1">
        <w:rPr>
          <w:rFonts w:ascii="Times New Roman" w:hAnsi="Times New Roman"/>
          <w:sz w:val="24"/>
          <w:szCs w:val="24"/>
        </w:rPr>
        <w:t>2</w:t>
      </w:r>
      <w:r w:rsidR="00930887">
        <w:rPr>
          <w:rFonts w:ascii="Times New Roman" w:hAnsi="Times New Roman"/>
          <w:sz w:val="24"/>
          <w:szCs w:val="24"/>
        </w:rPr>
        <w:t>,</w:t>
      </w:r>
      <w:r w:rsidR="00BB4CC1">
        <w:rPr>
          <w:rFonts w:ascii="Times New Roman" w:hAnsi="Times New Roman"/>
          <w:sz w:val="24"/>
          <w:szCs w:val="24"/>
        </w:rPr>
        <w:t xml:space="preserve"> 2008, </w:t>
      </w:r>
      <w:r w:rsidRPr="0011545E">
        <w:rPr>
          <w:rFonts w:ascii="Times New Roman" w:hAnsi="Times New Roman"/>
          <w:sz w:val="24"/>
          <w:szCs w:val="24"/>
        </w:rPr>
        <w:t xml:space="preserve">French President Nicolas Sarkozy invited the Russian and Georgian leaders to sign the </w:t>
      </w:r>
      <w:r w:rsidR="00E37C76">
        <w:rPr>
          <w:rFonts w:ascii="Times New Roman" w:hAnsi="Times New Roman"/>
          <w:sz w:val="24"/>
          <w:szCs w:val="24"/>
        </w:rPr>
        <w:t>six-point cease-fire agreement.</w:t>
      </w:r>
      <w:r w:rsidR="00E37C76">
        <w:rPr>
          <w:rStyle w:val="FootnoteReference"/>
          <w:rFonts w:ascii="Times New Roman" w:hAnsi="Times New Roman"/>
          <w:sz w:val="24"/>
          <w:szCs w:val="24"/>
        </w:rPr>
        <w:footnoteReference w:id="329"/>
      </w:r>
      <w:r w:rsidRPr="0011545E">
        <w:rPr>
          <w:rFonts w:ascii="Times New Roman" w:hAnsi="Times New Roman"/>
          <w:sz w:val="24"/>
          <w:szCs w:val="24"/>
        </w:rPr>
        <w:t xml:space="preserve"> The parties agreed on the following postulates:</w:t>
      </w:r>
    </w:p>
    <w:p w:rsidR="00761156" w:rsidRPr="00761156" w:rsidRDefault="00761156" w:rsidP="00761156">
      <w:pPr>
        <w:pStyle w:val="NoSpacing"/>
      </w:pPr>
    </w:p>
    <w:p w:rsidR="00050BA9" w:rsidRPr="00761156" w:rsidRDefault="00761156" w:rsidP="0011545E">
      <w:pPr>
        <w:spacing w:line="360" w:lineRule="auto"/>
        <w:jc w:val="both"/>
        <w:rPr>
          <w:rFonts w:asciiTheme="majorHAnsi" w:hAnsiTheme="majorHAnsi"/>
          <w:sz w:val="24"/>
          <w:szCs w:val="24"/>
        </w:rPr>
      </w:pPr>
      <w:r w:rsidRPr="00761156">
        <w:rPr>
          <w:rFonts w:asciiTheme="majorHAnsi" w:hAnsiTheme="majorHAnsi"/>
          <w:sz w:val="24"/>
          <w:szCs w:val="24"/>
        </w:rPr>
        <w:t>1.</w:t>
      </w:r>
      <w:r w:rsidR="0082203F" w:rsidRPr="00761156">
        <w:rPr>
          <w:rFonts w:asciiTheme="majorHAnsi" w:hAnsiTheme="majorHAnsi"/>
          <w:sz w:val="24"/>
          <w:szCs w:val="24"/>
        </w:rPr>
        <w:t xml:space="preserve"> </w:t>
      </w:r>
      <w:r w:rsidR="00050BA9" w:rsidRPr="00761156">
        <w:rPr>
          <w:rFonts w:asciiTheme="majorHAnsi" w:hAnsiTheme="majorHAnsi"/>
          <w:sz w:val="24"/>
          <w:szCs w:val="24"/>
        </w:rPr>
        <w:t>No recourse to the use of force;</w:t>
      </w:r>
    </w:p>
    <w:p w:rsidR="00050BA9"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2.</w:t>
      </w:r>
      <w:r w:rsidR="0082203F" w:rsidRPr="00761156">
        <w:rPr>
          <w:rFonts w:asciiTheme="majorHAnsi" w:hAnsiTheme="majorHAnsi"/>
          <w:sz w:val="24"/>
          <w:szCs w:val="24"/>
        </w:rPr>
        <w:t xml:space="preserve"> </w:t>
      </w:r>
      <w:r w:rsidRPr="00761156">
        <w:rPr>
          <w:rFonts w:asciiTheme="majorHAnsi" w:hAnsiTheme="majorHAnsi"/>
          <w:sz w:val="24"/>
          <w:szCs w:val="24"/>
        </w:rPr>
        <w:t>A lasting cessation of hostilities;</w:t>
      </w:r>
    </w:p>
    <w:p w:rsidR="00050BA9"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lastRenderedPageBreak/>
        <w:t>3.</w:t>
      </w:r>
      <w:r w:rsidR="0082203F" w:rsidRPr="00761156">
        <w:rPr>
          <w:rFonts w:asciiTheme="majorHAnsi" w:hAnsiTheme="majorHAnsi"/>
          <w:sz w:val="24"/>
          <w:szCs w:val="24"/>
        </w:rPr>
        <w:t xml:space="preserve"> </w:t>
      </w:r>
      <w:r w:rsidRPr="00761156">
        <w:rPr>
          <w:rFonts w:asciiTheme="majorHAnsi" w:hAnsiTheme="majorHAnsi"/>
          <w:sz w:val="24"/>
          <w:szCs w:val="24"/>
        </w:rPr>
        <w:t>Unfettered access for humanitarian providers;</w:t>
      </w:r>
    </w:p>
    <w:p w:rsidR="00050BA9"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4.</w:t>
      </w:r>
      <w:r w:rsidR="0082203F" w:rsidRPr="00761156">
        <w:rPr>
          <w:rFonts w:asciiTheme="majorHAnsi" w:hAnsiTheme="majorHAnsi"/>
          <w:sz w:val="24"/>
          <w:szCs w:val="24"/>
        </w:rPr>
        <w:t xml:space="preserve"> </w:t>
      </w:r>
      <w:r w:rsidRPr="00761156">
        <w:rPr>
          <w:rFonts w:asciiTheme="majorHAnsi" w:hAnsiTheme="majorHAnsi"/>
          <w:sz w:val="24"/>
          <w:szCs w:val="24"/>
        </w:rPr>
        <w:t>Georgian forces to be withdrawn to the initial positions on the ABLs;</w:t>
      </w:r>
    </w:p>
    <w:p w:rsidR="00050BA9"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5.</w:t>
      </w:r>
      <w:r w:rsidR="0082203F" w:rsidRPr="00761156">
        <w:rPr>
          <w:rFonts w:asciiTheme="majorHAnsi" w:hAnsiTheme="majorHAnsi"/>
          <w:sz w:val="24"/>
          <w:szCs w:val="24"/>
        </w:rPr>
        <w:t xml:space="preserve"> </w:t>
      </w:r>
      <w:r w:rsidRPr="00761156">
        <w:rPr>
          <w:rFonts w:asciiTheme="majorHAnsi" w:hAnsiTheme="majorHAnsi"/>
          <w:sz w:val="24"/>
          <w:szCs w:val="24"/>
        </w:rPr>
        <w:t>Russian forces to be withdrawn and returned to the initial positions before the conflict;</w:t>
      </w:r>
    </w:p>
    <w:p w:rsidR="00050BA9" w:rsidRDefault="00050BA9" w:rsidP="0011545E">
      <w:pPr>
        <w:spacing w:line="360" w:lineRule="auto"/>
        <w:jc w:val="both"/>
        <w:rPr>
          <w:rFonts w:ascii="Times New Roman" w:hAnsi="Times New Roman"/>
          <w:sz w:val="24"/>
          <w:szCs w:val="24"/>
        </w:rPr>
      </w:pPr>
      <w:r w:rsidRPr="00761156">
        <w:rPr>
          <w:rFonts w:asciiTheme="majorHAnsi" w:hAnsiTheme="majorHAnsi"/>
          <w:sz w:val="24"/>
          <w:szCs w:val="24"/>
        </w:rPr>
        <w:t>6.</w:t>
      </w:r>
      <w:r w:rsidR="00BF72BF" w:rsidRPr="00761156">
        <w:rPr>
          <w:rFonts w:asciiTheme="majorHAnsi" w:hAnsiTheme="majorHAnsi"/>
          <w:sz w:val="24"/>
          <w:szCs w:val="24"/>
        </w:rPr>
        <w:t xml:space="preserve"> </w:t>
      </w:r>
      <w:r w:rsidRPr="00761156">
        <w:rPr>
          <w:rFonts w:asciiTheme="majorHAnsi" w:hAnsiTheme="majorHAnsi"/>
          <w:sz w:val="24"/>
          <w:szCs w:val="24"/>
        </w:rPr>
        <w:t>Participation in international discussions on security and peaceful reconciliation for Abkha</w:t>
      </w:r>
      <w:r w:rsidR="00E37C76" w:rsidRPr="00761156">
        <w:rPr>
          <w:rFonts w:asciiTheme="majorHAnsi" w:hAnsiTheme="majorHAnsi"/>
          <w:sz w:val="24"/>
          <w:szCs w:val="24"/>
        </w:rPr>
        <w:t>zia and South Ossetia regions</w:t>
      </w:r>
      <w:r w:rsidR="00E37C76">
        <w:rPr>
          <w:rFonts w:ascii="Times New Roman" w:hAnsi="Times New Roman"/>
          <w:sz w:val="24"/>
          <w:szCs w:val="24"/>
        </w:rPr>
        <w:t>;</w:t>
      </w:r>
      <w:r w:rsidR="00E37C76">
        <w:rPr>
          <w:rStyle w:val="FootnoteReference"/>
          <w:rFonts w:ascii="Times New Roman" w:hAnsi="Times New Roman"/>
          <w:sz w:val="24"/>
          <w:szCs w:val="24"/>
        </w:rPr>
        <w:footnoteReference w:id="330"/>
      </w:r>
    </w:p>
    <w:p w:rsidR="00761156" w:rsidRPr="00761156" w:rsidRDefault="00761156" w:rsidP="00761156">
      <w:pPr>
        <w:pStyle w:val="NoSpacing"/>
      </w:pPr>
    </w:p>
    <w:p w:rsidR="00050BA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On September 8</w:t>
      </w:r>
      <w:r w:rsidR="00BB4CC1">
        <w:rPr>
          <w:rFonts w:ascii="Times New Roman" w:hAnsi="Times New Roman"/>
          <w:sz w:val="24"/>
          <w:szCs w:val="24"/>
        </w:rPr>
        <w:t>,</w:t>
      </w:r>
      <w:r w:rsidRPr="0011545E">
        <w:rPr>
          <w:rFonts w:ascii="Times New Roman" w:hAnsi="Times New Roman"/>
          <w:sz w:val="24"/>
          <w:szCs w:val="24"/>
        </w:rPr>
        <w:t xml:space="preserve"> 2008, Nicolas Sarkozy introduced </w:t>
      </w:r>
      <w:r w:rsidR="00BB4CC1">
        <w:rPr>
          <w:rFonts w:ascii="Times New Roman" w:hAnsi="Times New Roman"/>
          <w:sz w:val="24"/>
          <w:szCs w:val="24"/>
        </w:rPr>
        <w:t xml:space="preserve">an </w:t>
      </w:r>
      <w:r w:rsidRPr="0011545E">
        <w:rPr>
          <w:rFonts w:ascii="Times New Roman" w:hAnsi="Times New Roman"/>
          <w:sz w:val="24"/>
          <w:szCs w:val="24"/>
        </w:rPr>
        <w:t>additional document which contained further measures for effective implementation of the agreement:</w:t>
      </w:r>
    </w:p>
    <w:p w:rsidR="00761156" w:rsidRPr="00761156" w:rsidRDefault="00761156" w:rsidP="00761156">
      <w:pPr>
        <w:pStyle w:val="NoSpacing"/>
      </w:pPr>
    </w:p>
    <w:p w:rsidR="00050BA9"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a)</w:t>
      </w:r>
      <w:r w:rsidR="00542018" w:rsidRPr="00761156">
        <w:rPr>
          <w:rFonts w:asciiTheme="majorHAnsi" w:hAnsiTheme="majorHAnsi"/>
          <w:sz w:val="24"/>
          <w:szCs w:val="24"/>
        </w:rPr>
        <w:t xml:space="preserve"> </w:t>
      </w:r>
      <w:r w:rsidRPr="00761156">
        <w:rPr>
          <w:rFonts w:asciiTheme="majorHAnsi" w:hAnsiTheme="majorHAnsi"/>
          <w:sz w:val="24"/>
          <w:szCs w:val="24"/>
        </w:rPr>
        <w:t xml:space="preserve">Establishment of the Geneva International Discussions (GID) for </w:t>
      </w:r>
      <w:r w:rsidR="00BB4CC1" w:rsidRPr="00761156">
        <w:rPr>
          <w:rFonts w:asciiTheme="majorHAnsi" w:hAnsiTheme="majorHAnsi"/>
          <w:sz w:val="24"/>
          <w:szCs w:val="24"/>
        </w:rPr>
        <w:t xml:space="preserve">ensuring </w:t>
      </w:r>
      <w:r w:rsidRPr="00761156">
        <w:rPr>
          <w:rFonts w:asciiTheme="majorHAnsi" w:hAnsiTheme="majorHAnsi"/>
          <w:sz w:val="24"/>
          <w:szCs w:val="24"/>
        </w:rPr>
        <w:t>security and stability in the region;</w:t>
      </w:r>
    </w:p>
    <w:p w:rsidR="00050BA9"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b) The EU to be granted a role of the conflict mediator;</w:t>
      </w:r>
    </w:p>
    <w:p w:rsidR="00050BA9"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c) Addressing the peaceful and secure return/reintegration of the refugees and IDPs;</w:t>
      </w:r>
    </w:p>
    <w:p w:rsidR="00050BA9" w:rsidRPr="00761156" w:rsidRDefault="00BB4CC1" w:rsidP="0011545E">
      <w:pPr>
        <w:spacing w:line="360" w:lineRule="auto"/>
        <w:jc w:val="both"/>
        <w:rPr>
          <w:rFonts w:asciiTheme="majorHAnsi" w:hAnsiTheme="majorHAnsi"/>
          <w:sz w:val="24"/>
          <w:szCs w:val="24"/>
        </w:rPr>
      </w:pPr>
      <w:r w:rsidRPr="00761156">
        <w:rPr>
          <w:rFonts w:asciiTheme="majorHAnsi" w:hAnsiTheme="majorHAnsi"/>
          <w:sz w:val="24"/>
          <w:szCs w:val="24"/>
        </w:rPr>
        <w:t>d) Establishment of two work</w:t>
      </w:r>
      <w:r w:rsidR="00050BA9" w:rsidRPr="00761156">
        <w:rPr>
          <w:rFonts w:asciiTheme="majorHAnsi" w:hAnsiTheme="majorHAnsi"/>
          <w:sz w:val="24"/>
          <w:szCs w:val="24"/>
        </w:rPr>
        <w:t>groups dedicated to security issues and IDPs;</w:t>
      </w:r>
    </w:p>
    <w:p w:rsidR="00F0306C"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 xml:space="preserve">The document officially provisioned the EU’s role as a conflict mediator and outlined four major objectives: </w:t>
      </w:r>
    </w:p>
    <w:p w:rsidR="00F0306C"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a)</w:t>
      </w:r>
      <w:r w:rsidR="00542018" w:rsidRPr="00761156">
        <w:rPr>
          <w:rFonts w:asciiTheme="majorHAnsi" w:hAnsiTheme="majorHAnsi"/>
          <w:sz w:val="24"/>
          <w:szCs w:val="24"/>
        </w:rPr>
        <w:t xml:space="preserve"> </w:t>
      </w:r>
      <w:r w:rsidRPr="00761156">
        <w:rPr>
          <w:rFonts w:asciiTheme="majorHAnsi" w:hAnsiTheme="majorHAnsi"/>
          <w:sz w:val="24"/>
          <w:szCs w:val="24"/>
        </w:rPr>
        <w:t xml:space="preserve">Monitoring of the commitment of the parties to the GID resolutions; </w:t>
      </w:r>
    </w:p>
    <w:p w:rsidR="00F0306C"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b)</w:t>
      </w:r>
      <w:r w:rsidR="00F0306C" w:rsidRPr="00761156">
        <w:rPr>
          <w:rFonts w:asciiTheme="majorHAnsi" w:hAnsiTheme="majorHAnsi"/>
          <w:sz w:val="24"/>
          <w:szCs w:val="24"/>
        </w:rPr>
        <w:t xml:space="preserve"> </w:t>
      </w:r>
      <w:r w:rsidRPr="00761156">
        <w:rPr>
          <w:rFonts w:asciiTheme="majorHAnsi" w:hAnsiTheme="majorHAnsi"/>
          <w:sz w:val="24"/>
          <w:szCs w:val="24"/>
        </w:rPr>
        <w:t xml:space="preserve">De-escalation of the tensions in conflict zones and normalization of the relations between Georgia and de-facto authorities, as well as Georgia and Russia; </w:t>
      </w:r>
    </w:p>
    <w:p w:rsidR="00F0306C" w:rsidRPr="00761156"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c)</w:t>
      </w:r>
      <w:r w:rsidR="00F0306C" w:rsidRPr="00761156">
        <w:rPr>
          <w:rFonts w:asciiTheme="majorHAnsi" w:hAnsiTheme="majorHAnsi"/>
          <w:sz w:val="24"/>
          <w:szCs w:val="24"/>
        </w:rPr>
        <w:t xml:space="preserve"> </w:t>
      </w:r>
      <w:r w:rsidRPr="00761156">
        <w:rPr>
          <w:rFonts w:asciiTheme="majorHAnsi" w:hAnsiTheme="majorHAnsi"/>
          <w:sz w:val="24"/>
          <w:szCs w:val="24"/>
        </w:rPr>
        <w:t xml:space="preserve">Prevention of further armed hostilities; </w:t>
      </w:r>
    </w:p>
    <w:p w:rsidR="00050BA9" w:rsidRDefault="00050BA9" w:rsidP="0011545E">
      <w:pPr>
        <w:spacing w:line="360" w:lineRule="auto"/>
        <w:jc w:val="both"/>
        <w:rPr>
          <w:rFonts w:asciiTheme="majorHAnsi" w:hAnsiTheme="majorHAnsi"/>
          <w:sz w:val="24"/>
          <w:szCs w:val="24"/>
        </w:rPr>
      </w:pPr>
      <w:r w:rsidRPr="00761156">
        <w:rPr>
          <w:rFonts w:asciiTheme="majorHAnsi" w:hAnsiTheme="majorHAnsi"/>
          <w:sz w:val="24"/>
          <w:szCs w:val="24"/>
        </w:rPr>
        <w:t>d)</w:t>
      </w:r>
      <w:r w:rsidR="00F0306C" w:rsidRPr="00761156">
        <w:rPr>
          <w:rFonts w:asciiTheme="majorHAnsi" w:hAnsiTheme="majorHAnsi"/>
          <w:sz w:val="24"/>
          <w:szCs w:val="24"/>
        </w:rPr>
        <w:t xml:space="preserve"> </w:t>
      </w:r>
      <w:r w:rsidRPr="00761156">
        <w:rPr>
          <w:rFonts w:asciiTheme="majorHAnsi" w:hAnsiTheme="majorHAnsi"/>
          <w:sz w:val="24"/>
          <w:szCs w:val="24"/>
        </w:rPr>
        <w:t>Active contribution to the confidence-building and co</w:t>
      </w:r>
      <w:r w:rsidR="00E37C76" w:rsidRPr="00761156">
        <w:rPr>
          <w:rFonts w:asciiTheme="majorHAnsi" w:hAnsiTheme="majorHAnsi"/>
          <w:sz w:val="24"/>
          <w:szCs w:val="24"/>
        </w:rPr>
        <w:t>nflict transformation process;</w:t>
      </w:r>
      <w:r w:rsidR="00E37C76" w:rsidRPr="00761156">
        <w:rPr>
          <w:rStyle w:val="FootnoteReference"/>
          <w:rFonts w:asciiTheme="majorHAnsi" w:hAnsiTheme="majorHAnsi"/>
          <w:sz w:val="24"/>
          <w:szCs w:val="24"/>
        </w:rPr>
        <w:footnoteReference w:id="331"/>
      </w:r>
    </w:p>
    <w:p w:rsidR="00761156" w:rsidRPr="00761156" w:rsidRDefault="00761156" w:rsidP="00761156">
      <w:pPr>
        <w:pStyle w:val="NoSpacing"/>
      </w:pPr>
    </w:p>
    <w:p w:rsidR="00910810"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The French Presidency of the EU and the Sarkozy’s policy with Russia brought diplomatic success to the EU and saved Georgia </w:t>
      </w:r>
      <w:r w:rsidR="00FC1216">
        <w:rPr>
          <w:rFonts w:ascii="Times New Roman" w:hAnsi="Times New Roman"/>
          <w:sz w:val="24"/>
          <w:szCs w:val="24"/>
        </w:rPr>
        <w:t>from losing larger territories.</w:t>
      </w:r>
      <w:r w:rsidR="00FC1216">
        <w:rPr>
          <w:rStyle w:val="FootnoteReference"/>
          <w:rFonts w:ascii="Times New Roman" w:hAnsi="Times New Roman"/>
          <w:sz w:val="24"/>
          <w:szCs w:val="24"/>
        </w:rPr>
        <w:footnoteReference w:id="332"/>
      </w:r>
      <w:r w:rsidRPr="0011545E">
        <w:rPr>
          <w:rFonts w:ascii="Times New Roman" w:hAnsi="Times New Roman"/>
          <w:sz w:val="24"/>
          <w:szCs w:val="24"/>
        </w:rPr>
        <w:t xml:space="preserve"> Vladimir Putin’s strategic interests in </w:t>
      </w:r>
      <w:r w:rsidR="00BB4CC1">
        <w:rPr>
          <w:rFonts w:ascii="Times New Roman" w:hAnsi="Times New Roman"/>
          <w:sz w:val="24"/>
          <w:szCs w:val="24"/>
        </w:rPr>
        <w:t xml:space="preserve">the </w:t>
      </w:r>
      <w:r w:rsidRPr="0011545E">
        <w:rPr>
          <w:rFonts w:ascii="Times New Roman" w:hAnsi="Times New Roman"/>
          <w:sz w:val="24"/>
          <w:szCs w:val="24"/>
        </w:rPr>
        <w:t>energy sector with France and Germany, as well as personal ties with the leaders of both countries</w:t>
      </w:r>
      <w:r w:rsidR="00BB4CC1">
        <w:rPr>
          <w:rFonts w:ascii="Times New Roman" w:hAnsi="Times New Roman"/>
          <w:sz w:val="24"/>
          <w:szCs w:val="24"/>
        </w:rPr>
        <w:t>,</w:t>
      </w:r>
      <w:r w:rsidRPr="0011545E">
        <w:rPr>
          <w:rFonts w:ascii="Times New Roman" w:hAnsi="Times New Roman"/>
          <w:sz w:val="24"/>
          <w:szCs w:val="24"/>
        </w:rPr>
        <w:t xml:space="preserve"> created </w:t>
      </w:r>
      <w:r w:rsidR="00BB4CC1">
        <w:rPr>
          <w:rFonts w:ascii="Times New Roman" w:hAnsi="Times New Roman"/>
          <w:sz w:val="24"/>
          <w:szCs w:val="24"/>
        </w:rPr>
        <w:t xml:space="preserve">a </w:t>
      </w:r>
      <w:r w:rsidRPr="0011545E">
        <w:rPr>
          <w:rFonts w:ascii="Times New Roman" w:hAnsi="Times New Roman"/>
          <w:sz w:val="24"/>
          <w:szCs w:val="24"/>
        </w:rPr>
        <w:t>good ground for negotiati</w:t>
      </w:r>
      <w:r w:rsidR="00917A4B">
        <w:rPr>
          <w:rFonts w:ascii="Times New Roman" w:hAnsi="Times New Roman"/>
          <w:sz w:val="24"/>
          <w:szCs w:val="24"/>
        </w:rPr>
        <w:t>on of the cease-fire agreement</w:t>
      </w:r>
      <w:r w:rsidRPr="0011545E">
        <w:rPr>
          <w:rFonts w:ascii="Times New Roman" w:hAnsi="Times New Roman"/>
          <w:sz w:val="24"/>
          <w:szCs w:val="24"/>
        </w:rPr>
        <w:t>.</w:t>
      </w:r>
      <w:r w:rsidR="00917A4B">
        <w:rPr>
          <w:rStyle w:val="FootnoteReference"/>
          <w:rFonts w:ascii="Times New Roman" w:hAnsi="Times New Roman"/>
          <w:sz w:val="24"/>
          <w:szCs w:val="24"/>
        </w:rPr>
        <w:footnoteReference w:id="333"/>
      </w:r>
      <w:r w:rsidRPr="0011545E">
        <w:rPr>
          <w:rFonts w:ascii="Times New Roman" w:hAnsi="Times New Roman"/>
          <w:sz w:val="24"/>
          <w:szCs w:val="24"/>
        </w:rPr>
        <w:t xml:space="preserve"> However, Sarkozy’s diplomatic success was overshadowed by the Kremlin’s recognition of the independence of the secessionist states. In response, the EU hardened its </w:t>
      </w:r>
      <w:r w:rsidRPr="0011545E">
        <w:rPr>
          <w:rFonts w:ascii="Times New Roman" w:hAnsi="Times New Roman"/>
          <w:sz w:val="24"/>
          <w:szCs w:val="24"/>
        </w:rPr>
        <w:lastRenderedPageBreak/>
        <w:t>rhetoric and condemned Russia’s disproportional use of force in Georgia and illegal recogn</w:t>
      </w:r>
      <w:r w:rsidR="00917A4B">
        <w:rPr>
          <w:rFonts w:ascii="Times New Roman" w:hAnsi="Times New Roman"/>
          <w:sz w:val="24"/>
          <w:szCs w:val="24"/>
        </w:rPr>
        <w:t>ition of the separatist states.</w:t>
      </w:r>
      <w:r w:rsidR="00917A4B">
        <w:rPr>
          <w:rStyle w:val="FootnoteReference"/>
          <w:rFonts w:ascii="Times New Roman" w:hAnsi="Times New Roman"/>
          <w:sz w:val="24"/>
          <w:szCs w:val="24"/>
        </w:rPr>
        <w:footnoteReference w:id="334"/>
      </w:r>
      <w:r w:rsidRPr="0011545E">
        <w:rPr>
          <w:rFonts w:ascii="Times New Roman" w:hAnsi="Times New Roman"/>
          <w:sz w:val="24"/>
          <w:szCs w:val="24"/>
        </w:rPr>
        <w:t xml:space="preserve"> </w:t>
      </w:r>
    </w:p>
    <w:p w:rsidR="00910810" w:rsidRDefault="00910810" w:rsidP="0011545E">
      <w:pPr>
        <w:spacing w:line="360" w:lineRule="auto"/>
        <w:jc w:val="both"/>
        <w:rPr>
          <w:rFonts w:ascii="Times New Roman" w:hAnsi="Times New Roman"/>
          <w:sz w:val="24"/>
          <w:szCs w:val="24"/>
        </w:rPr>
      </w:pPr>
    </w:p>
    <w:p w:rsidR="00AD17D6"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In September 2008, Nicolas Sarkoz</w:t>
      </w:r>
      <w:r w:rsidR="00910810">
        <w:rPr>
          <w:rFonts w:ascii="Times New Roman" w:hAnsi="Times New Roman"/>
          <w:sz w:val="24"/>
          <w:szCs w:val="24"/>
        </w:rPr>
        <w:t xml:space="preserve">y invited </w:t>
      </w:r>
      <w:r w:rsidRPr="0011545E">
        <w:rPr>
          <w:rFonts w:ascii="Times New Roman" w:hAnsi="Times New Roman"/>
          <w:sz w:val="24"/>
          <w:szCs w:val="24"/>
        </w:rPr>
        <w:t xml:space="preserve">Dimitry Medvedev to Paris to discuss the implementation of the cease-fire agreement. The sides negotiated the ‘Sarkozy-Medvedev Plan’ and agreed on </w:t>
      </w:r>
      <w:r w:rsidR="00BB4CC1">
        <w:rPr>
          <w:rFonts w:ascii="Times New Roman" w:hAnsi="Times New Roman"/>
          <w:sz w:val="24"/>
          <w:szCs w:val="24"/>
        </w:rPr>
        <w:t xml:space="preserve">the </w:t>
      </w:r>
      <w:r w:rsidRPr="0011545E">
        <w:rPr>
          <w:rFonts w:ascii="Times New Roman" w:hAnsi="Times New Roman"/>
          <w:sz w:val="24"/>
          <w:szCs w:val="24"/>
        </w:rPr>
        <w:t>withdrawal of the Russian troops from the occupied territ</w:t>
      </w:r>
      <w:r w:rsidR="00BB4CC1">
        <w:rPr>
          <w:rFonts w:ascii="Times New Roman" w:hAnsi="Times New Roman"/>
          <w:sz w:val="24"/>
          <w:szCs w:val="24"/>
        </w:rPr>
        <w:t xml:space="preserve">ories in </w:t>
      </w:r>
      <w:r w:rsidR="00917A4B">
        <w:rPr>
          <w:rFonts w:ascii="Times New Roman" w:hAnsi="Times New Roman"/>
          <w:sz w:val="24"/>
          <w:szCs w:val="24"/>
        </w:rPr>
        <w:t>one month.</w:t>
      </w:r>
      <w:r w:rsidR="00917A4B">
        <w:rPr>
          <w:rStyle w:val="FootnoteReference"/>
          <w:rFonts w:ascii="Times New Roman" w:hAnsi="Times New Roman"/>
          <w:sz w:val="24"/>
          <w:szCs w:val="24"/>
        </w:rPr>
        <w:footnoteReference w:id="335"/>
      </w:r>
      <w:r w:rsidRPr="0011545E">
        <w:rPr>
          <w:rFonts w:ascii="Times New Roman" w:hAnsi="Times New Roman"/>
          <w:sz w:val="24"/>
          <w:szCs w:val="24"/>
        </w:rPr>
        <w:t xml:space="preserve"> However, Russia never materialized its promises in practice. The Kremlin insisted that Sarkozy signed separate documents with Russian and Georgian leaders, thus there was no Russian-Georgian agreement and implied on the vagueness of</w:t>
      </w:r>
      <w:r w:rsidR="009B6160">
        <w:rPr>
          <w:rFonts w:ascii="Times New Roman" w:hAnsi="Times New Roman"/>
          <w:sz w:val="24"/>
          <w:szCs w:val="24"/>
        </w:rPr>
        <w:t xml:space="preserve"> the cease-fire agreement text.</w:t>
      </w:r>
      <w:r w:rsidR="009B6160">
        <w:rPr>
          <w:rStyle w:val="FootnoteReference"/>
          <w:rFonts w:ascii="Times New Roman" w:hAnsi="Times New Roman"/>
          <w:sz w:val="24"/>
          <w:szCs w:val="24"/>
        </w:rPr>
        <w:footnoteReference w:id="336"/>
      </w:r>
      <w:r w:rsidRPr="0011545E">
        <w:rPr>
          <w:rFonts w:ascii="Times New Roman" w:hAnsi="Times New Roman"/>
          <w:sz w:val="24"/>
          <w:szCs w:val="24"/>
        </w:rPr>
        <w:t xml:space="preserve"> Furthermore, </w:t>
      </w:r>
      <w:r w:rsidR="00BB4CC1">
        <w:rPr>
          <w:rFonts w:ascii="Times New Roman" w:hAnsi="Times New Roman"/>
          <w:sz w:val="24"/>
          <w:szCs w:val="24"/>
        </w:rPr>
        <w:t xml:space="preserve">the </w:t>
      </w:r>
      <w:r w:rsidRPr="0011545E">
        <w:rPr>
          <w:rFonts w:ascii="Times New Roman" w:hAnsi="Times New Roman"/>
          <w:sz w:val="24"/>
          <w:szCs w:val="24"/>
        </w:rPr>
        <w:t>Russian side claimed that there were</w:t>
      </w:r>
      <w:r w:rsidR="00BB4CC1">
        <w:rPr>
          <w:rFonts w:ascii="Times New Roman" w:hAnsi="Times New Roman"/>
          <w:sz w:val="24"/>
          <w:szCs w:val="24"/>
        </w:rPr>
        <w:t xml:space="preserve"> differences in Russian, French, </w:t>
      </w:r>
      <w:r w:rsidRPr="0011545E">
        <w:rPr>
          <w:rFonts w:ascii="Times New Roman" w:hAnsi="Times New Roman"/>
          <w:sz w:val="24"/>
          <w:szCs w:val="24"/>
        </w:rPr>
        <w:t>and English versions of the texts. The Kremlin interprete</w:t>
      </w:r>
      <w:r w:rsidR="00BB4CC1">
        <w:rPr>
          <w:rFonts w:ascii="Times New Roman" w:hAnsi="Times New Roman"/>
          <w:sz w:val="24"/>
          <w:szCs w:val="24"/>
        </w:rPr>
        <w:t>d the stability in the conflict-affected regions as its</w:t>
      </w:r>
      <w:r w:rsidRPr="0011545E">
        <w:rPr>
          <w:rFonts w:ascii="Times New Roman" w:hAnsi="Times New Roman"/>
          <w:sz w:val="24"/>
          <w:szCs w:val="24"/>
        </w:rPr>
        <w:t xml:space="preserve"> prerogative to prot</w:t>
      </w:r>
      <w:r w:rsidR="00D45AEE">
        <w:rPr>
          <w:rFonts w:ascii="Times New Roman" w:hAnsi="Times New Roman"/>
          <w:sz w:val="24"/>
          <w:szCs w:val="24"/>
        </w:rPr>
        <w:t>ect Abkhazia and South Ossetia.</w:t>
      </w:r>
      <w:r w:rsidR="00D45AEE">
        <w:rPr>
          <w:rStyle w:val="FootnoteReference"/>
          <w:rFonts w:ascii="Times New Roman" w:hAnsi="Times New Roman"/>
          <w:sz w:val="24"/>
          <w:szCs w:val="24"/>
        </w:rPr>
        <w:footnoteReference w:id="337"/>
      </w:r>
      <w:r w:rsidRPr="0011545E">
        <w:rPr>
          <w:rFonts w:ascii="Times New Roman" w:hAnsi="Times New Roman"/>
          <w:sz w:val="24"/>
          <w:szCs w:val="24"/>
        </w:rPr>
        <w:t xml:space="preserve"> Consequently, Russian troops remain deplo</w:t>
      </w:r>
      <w:r w:rsidR="00BB4CC1">
        <w:rPr>
          <w:rFonts w:ascii="Times New Roman" w:hAnsi="Times New Roman"/>
          <w:sz w:val="24"/>
          <w:szCs w:val="24"/>
        </w:rPr>
        <w:t xml:space="preserve">yed in both regions to this day, </w:t>
      </w:r>
      <w:r w:rsidRPr="0011545E">
        <w:rPr>
          <w:rFonts w:ascii="Times New Roman" w:hAnsi="Times New Roman"/>
          <w:sz w:val="24"/>
          <w:szCs w:val="24"/>
        </w:rPr>
        <w:t>and EU monitors and humanitarian missions are no</w:t>
      </w:r>
      <w:r w:rsidR="00C677DF">
        <w:rPr>
          <w:rFonts w:ascii="Times New Roman" w:hAnsi="Times New Roman"/>
          <w:sz w:val="24"/>
          <w:szCs w:val="24"/>
        </w:rPr>
        <w:t>t allowed to enter the regions.</w:t>
      </w:r>
      <w:r w:rsidR="00C677DF">
        <w:rPr>
          <w:rStyle w:val="FootnoteReference"/>
          <w:rFonts w:ascii="Times New Roman" w:hAnsi="Times New Roman"/>
          <w:sz w:val="24"/>
          <w:szCs w:val="24"/>
        </w:rPr>
        <w:footnoteReference w:id="338"/>
      </w:r>
      <w:r w:rsidRPr="0011545E">
        <w:rPr>
          <w:rFonts w:ascii="Times New Roman" w:hAnsi="Times New Roman"/>
          <w:sz w:val="24"/>
          <w:szCs w:val="24"/>
        </w:rPr>
        <w:t xml:space="preserve"> Furthermore, the Kremlin justified its decision by growing threats from Georgia and </w:t>
      </w:r>
      <w:r w:rsidR="00BB4CC1">
        <w:rPr>
          <w:rFonts w:ascii="Times New Roman" w:hAnsi="Times New Roman"/>
          <w:sz w:val="24"/>
          <w:szCs w:val="24"/>
        </w:rPr>
        <w:t xml:space="preserve">the </w:t>
      </w:r>
      <w:r w:rsidRPr="0011545E">
        <w:rPr>
          <w:rFonts w:ascii="Times New Roman" w:hAnsi="Times New Roman"/>
          <w:sz w:val="24"/>
          <w:szCs w:val="24"/>
        </w:rPr>
        <w:t xml:space="preserve">movement of the military groups near </w:t>
      </w:r>
      <w:r w:rsidR="006320DB" w:rsidRPr="0011545E">
        <w:rPr>
          <w:rFonts w:ascii="Times New Roman" w:hAnsi="Times New Roman"/>
          <w:sz w:val="24"/>
          <w:szCs w:val="24"/>
        </w:rPr>
        <w:t>the Abkhazian and South Ossetia</w:t>
      </w:r>
      <w:r w:rsidRPr="0011545E">
        <w:rPr>
          <w:rFonts w:ascii="Times New Roman" w:hAnsi="Times New Roman"/>
          <w:sz w:val="24"/>
          <w:szCs w:val="24"/>
        </w:rPr>
        <w:t xml:space="preserve"> borders. </w:t>
      </w:r>
    </w:p>
    <w:p w:rsidR="00AD17D6" w:rsidRDefault="00AD17D6" w:rsidP="0011545E">
      <w:pPr>
        <w:spacing w:line="360" w:lineRule="auto"/>
        <w:jc w:val="both"/>
        <w:rPr>
          <w:rFonts w:ascii="Times New Roman" w:hAnsi="Times New Roman"/>
          <w:sz w:val="24"/>
          <w:szCs w:val="24"/>
        </w:rPr>
      </w:pPr>
    </w:p>
    <w:p w:rsidR="003F5B08" w:rsidRDefault="00AD17D6" w:rsidP="0011545E">
      <w:pPr>
        <w:spacing w:line="360" w:lineRule="auto"/>
        <w:jc w:val="both"/>
        <w:rPr>
          <w:rFonts w:ascii="Times New Roman" w:hAnsi="Times New Roman"/>
          <w:sz w:val="24"/>
          <w:szCs w:val="24"/>
        </w:rPr>
      </w:pPr>
      <w:r>
        <w:rPr>
          <w:rFonts w:ascii="Times New Roman" w:hAnsi="Times New Roman"/>
          <w:sz w:val="24"/>
          <w:szCs w:val="24"/>
        </w:rPr>
        <w:t>In 2008</w:t>
      </w:r>
      <w:r w:rsidR="00050BA9" w:rsidRPr="0011545E">
        <w:rPr>
          <w:rFonts w:ascii="Times New Roman" w:hAnsi="Times New Roman"/>
          <w:sz w:val="24"/>
          <w:szCs w:val="24"/>
        </w:rPr>
        <w:t>, the Georgian governmen</w:t>
      </w:r>
      <w:r>
        <w:rPr>
          <w:rFonts w:ascii="Times New Roman" w:hAnsi="Times New Roman"/>
          <w:sz w:val="24"/>
          <w:szCs w:val="24"/>
        </w:rPr>
        <w:t xml:space="preserve">t and the relevant authorities - </w:t>
      </w:r>
      <w:r w:rsidR="00050BA9" w:rsidRPr="0011545E">
        <w:rPr>
          <w:rFonts w:ascii="Times New Roman" w:hAnsi="Times New Roman"/>
          <w:sz w:val="24"/>
          <w:szCs w:val="24"/>
        </w:rPr>
        <w:t>the Ministry of Defense and the Ministry of Internal Affairs signed the</w:t>
      </w:r>
      <w:r>
        <w:rPr>
          <w:rFonts w:ascii="Times New Roman" w:hAnsi="Times New Roman"/>
          <w:sz w:val="24"/>
          <w:szCs w:val="24"/>
        </w:rPr>
        <w:t xml:space="preserve"> Memorandum</w:t>
      </w:r>
      <w:r w:rsidR="006320DB" w:rsidRPr="0011545E">
        <w:rPr>
          <w:rFonts w:ascii="Times New Roman" w:hAnsi="Times New Roman"/>
          <w:sz w:val="24"/>
          <w:szCs w:val="24"/>
        </w:rPr>
        <w:t xml:space="preserve"> of Understanding (MoU</w:t>
      </w:r>
      <w:r w:rsidR="00050BA9" w:rsidRPr="0011545E">
        <w:rPr>
          <w:rFonts w:ascii="Times New Roman" w:hAnsi="Times New Roman"/>
          <w:sz w:val="24"/>
          <w:szCs w:val="24"/>
        </w:rPr>
        <w:t xml:space="preserve">) with the head of the EUMM. According </w:t>
      </w:r>
      <w:r w:rsidR="00E204B8">
        <w:rPr>
          <w:rFonts w:ascii="Times New Roman" w:hAnsi="Times New Roman"/>
          <w:sz w:val="24"/>
          <w:szCs w:val="24"/>
        </w:rPr>
        <w:t xml:space="preserve">to </w:t>
      </w:r>
      <w:r w:rsidR="00300EA0">
        <w:rPr>
          <w:rFonts w:ascii="Times New Roman" w:hAnsi="Times New Roman"/>
          <w:sz w:val="24"/>
          <w:szCs w:val="24"/>
        </w:rPr>
        <w:t>Fischer (2009),</w:t>
      </w:r>
      <w:r w:rsidR="00050BA9" w:rsidRPr="0011545E">
        <w:rPr>
          <w:rFonts w:ascii="Times New Roman" w:hAnsi="Times New Roman"/>
          <w:sz w:val="24"/>
          <w:szCs w:val="24"/>
        </w:rPr>
        <w:t xml:space="preserve"> the EUMM was granted a right for unrestricted inspection of the movement and deployment of Georgian troops and military personal all over the cou</w:t>
      </w:r>
      <w:r w:rsidR="00C677DF">
        <w:rPr>
          <w:rFonts w:ascii="Times New Roman" w:hAnsi="Times New Roman"/>
          <w:sz w:val="24"/>
          <w:szCs w:val="24"/>
        </w:rPr>
        <w:t>ntry’s territory.</w:t>
      </w:r>
      <w:r w:rsidR="00C677DF">
        <w:rPr>
          <w:rStyle w:val="FootnoteReference"/>
          <w:rFonts w:ascii="Times New Roman" w:hAnsi="Times New Roman"/>
          <w:sz w:val="24"/>
          <w:szCs w:val="24"/>
        </w:rPr>
        <w:footnoteReference w:id="339"/>
      </w:r>
      <w:r w:rsidR="00050BA9" w:rsidRPr="0011545E">
        <w:rPr>
          <w:rFonts w:ascii="Times New Roman" w:hAnsi="Times New Roman"/>
          <w:sz w:val="24"/>
          <w:szCs w:val="24"/>
        </w:rPr>
        <w:t xml:space="preserve"> Moreover, Georgia agreed to withdraw heavy armaments and military units in the areas</w:t>
      </w:r>
      <w:r w:rsidR="00C175F0" w:rsidRPr="0011545E">
        <w:rPr>
          <w:rFonts w:ascii="Times New Roman" w:hAnsi="Times New Roman"/>
          <w:sz w:val="24"/>
          <w:szCs w:val="24"/>
        </w:rPr>
        <w:t xml:space="preserve"> </w:t>
      </w:r>
      <w:r w:rsidR="00050BA9" w:rsidRPr="0011545E">
        <w:rPr>
          <w:rFonts w:ascii="Times New Roman" w:hAnsi="Times New Roman"/>
          <w:sz w:val="24"/>
          <w:szCs w:val="24"/>
        </w:rPr>
        <w:t>near to the ABLs and granted the EUMM aright to conducted unannounced inspections on the ABLs</w:t>
      </w:r>
      <w:r w:rsidR="00974556">
        <w:rPr>
          <w:rFonts w:ascii="Times New Roman" w:hAnsi="Times New Roman"/>
          <w:b/>
          <w:sz w:val="24"/>
          <w:szCs w:val="24"/>
        </w:rPr>
        <w:t>.</w:t>
      </w:r>
      <w:r w:rsidR="00974556">
        <w:rPr>
          <w:rStyle w:val="FootnoteReference"/>
          <w:rFonts w:ascii="Times New Roman" w:hAnsi="Times New Roman"/>
          <w:b/>
          <w:sz w:val="24"/>
          <w:szCs w:val="24"/>
        </w:rPr>
        <w:footnoteReference w:id="340"/>
      </w:r>
      <w:r w:rsidR="00050BA9" w:rsidRPr="0011545E">
        <w:rPr>
          <w:rFonts w:ascii="Times New Roman" w:hAnsi="Times New Roman"/>
          <w:sz w:val="24"/>
          <w:szCs w:val="24"/>
        </w:rPr>
        <w:t xml:space="preserve"> The short-lived glory of Sarkozy’s diplomatic su</w:t>
      </w:r>
      <w:r w:rsidR="00974556">
        <w:rPr>
          <w:rFonts w:ascii="Times New Roman" w:hAnsi="Times New Roman"/>
          <w:sz w:val="24"/>
          <w:szCs w:val="24"/>
        </w:rPr>
        <w:t xml:space="preserve">ccess due to the </w:t>
      </w:r>
      <w:r w:rsidR="00050BA9" w:rsidRPr="0011545E">
        <w:rPr>
          <w:rFonts w:ascii="Times New Roman" w:hAnsi="Times New Roman"/>
          <w:sz w:val="24"/>
          <w:szCs w:val="24"/>
        </w:rPr>
        <w:t xml:space="preserve">Kremlin’s neglecting of the six-point cease-fire agreement turned the EU’s post-war measurements into unilateral gesture. Georgia remains devoted to the arrangements under the cease-fire agreement; however, in absence of the same </w:t>
      </w:r>
      <w:r w:rsidR="00050BA9" w:rsidRPr="0011545E">
        <w:rPr>
          <w:rFonts w:ascii="Times New Roman" w:hAnsi="Times New Roman"/>
          <w:sz w:val="24"/>
          <w:szCs w:val="24"/>
        </w:rPr>
        <w:lastRenderedPageBreak/>
        <w:t xml:space="preserve">commitment from </w:t>
      </w:r>
      <w:r w:rsidR="00BB4CC1">
        <w:rPr>
          <w:rFonts w:ascii="Times New Roman" w:hAnsi="Times New Roman"/>
          <w:sz w:val="24"/>
          <w:szCs w:val="24"/>
        </w:rPr>
        <w:t xml:space="preserve">the </w:t>
      </w:r>
      <w:r w:rsidR="00050BA9" w:rsidRPr="0011545E">
        <w:rPr>
          <w:rFonts w:ascii="Times New Roman" w:hAnsi="Times New Roman"/>
          <w:sz w:val="24"/>
          <w:szCs w:val="24"/>
        </w:rPr>
        <w:t>secessionist states it is difficult to achieve any notable results. The EUMM’s criticism towards the de-facto authorities and the Kremlin is often ignored and in recent years, the parties have shown very little interest to internalize the adju</w:t>
      </w:r>
      <w:r>
        <w:rPr>
          <w:rFonts w:ascii="Times New Roman" w:hAnsi="Times New Roman"/>
          <w:sz w:val="24"/>
          <w:szCs w:val="24"/>
        </w:rPr>
        <w:t xml:space="preserve">stments on the domestic level. </w:t>
      </w:r>
    </w:p>
    <w:p w:rsidR="00AD17D6" w:rsidRPr="00AD17D6" w:rsidRDefault="00AD17D6" w:rsidP="00AD17D6">
      <w:pPr>
        <w:pStyle w:val="NoSpacing"/>
      </w:pPr>
    </w:p>
    <w:p w:rsidR="00910810"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After 50 rounds of diplomatic negotiations mediated by the E</w:t>
      </w:r>
      <w:r w:rsidR="00E95849">
        <w:rPr>
          <w:rFonts w:ascii="Times New Roman" w:hAnsi="Times New Roman"/>
          <w:sz w:val="24"/>
          <w:szCs w:val="24"/>
        </w:rPr>
        <w:t>U at the GID, the parties have not</w:t>
      </w:r>
      <w:r w:rsidR="00974556">
        <w:rPr>
          <w:rFonts w:ascii="Times New Roman" w:hAnsi="Times New Roman"/>
          <w:sz w:val="24"/>
          <w:szCs w:val="24"/>
        </w:rPr>
        <w:t xml:space="preserve"> reached any tangible results.</w:t>
      </w:r>
      <w:r w:rsidR="00974556">
        <w:rPr>
          <w:rStyle w:val="FootnoteReference"/>
          <w:rFonts w:ascii="Times New Roman" w:hAnsi="Times New Roman"/>
          <w:sz w:val="24"/>
          <w:szCs w:val="24"/>
        </w:rPr>
        <w:footnoteReference w:id="341"/>
      </w:r>
      <w:r w:rsidRPr="0011545E">
        <w:rPr>
          <w:rFonts w:ascii="Times New Roman" w:hAnsi="Times New Roman"/>
          <w:b/>
          <w:sz w:val="24"/>
          <w:szCs w:val="24"/>
        </w:rPr>
        <w:t xml:space="preserve"> </w:t>
      </w:r>
      <w:r w:rsidRPr="0011545E">
        <w:rPr>
          <w:rFonts w:ascii="Times New Roman" w:hAnsi="Times New Roman"/>
          <w:sz w:val="24"/>
          <w:szCs w:val="24"/>
        </w:rPr>
        <w:t>Despite limited success, the GID remains the most effective format where the EU has the opportunity to directly negotiate with the de-facto authorities and attempt to influence their views and interests. The peace mechanism was established under the provisions of the six-point cease-fire agreement in 2008. The Council of the European Union assigned the EUSR as a chair of the GID and invited the UN and the OSCE representativ</w:t>
      </w:r>
      <w:r w:rsidR="00974556">
        <w:rPr>
          <w:rFonts w:ascii="Times New Roman" w:hAnsi="Times New Roman"/>
          <w:sz w:val="24"/>
          <w:szCs w:val="24"/>
        </w:rPr>
        <w:t>es as co-chairs of the process.</w:t>
      </w:r>
      <w:r w:rsidR="00974556">
        <w:rPr>
          <w:rStyle w:val="FootnoteReference"/>
          <w:rFonts w:ascii="Times New Roman" w:hAnsi="Times New Roman"/>
          <w:sz w:val="24"/>
          <w:szCs w:val="24"/>
        </w:rPr>
        <w:footnoteReference w:id="342"/>
      </w:r>
      <w:r w:rsidRPr="0011545E">
        <w:rPr>
          <w:rFonts w:ascii="Times New Roman" w:hAnsi="Times New Roman"/>
          <w:sz w:val="24"/>
          <w:szCs w:val="24"/>
        </w:rPr>
        <w:t xml:space="preserve"> Despite the EU’s efforts to persuade the conflicting parties in </w:t>
      </w:r>
      <w:r w:rsidR="00BB4CC1">
        <w:rPr>
          <w:rFonts w:ascii="Times New Roman" w:hAnsi="Times New Roman"/>
          <w:sz w:val="24"/>
          <w:szCs w:val="24"/>
        </w:rPr>
        <w:t xml:space="preserve">the </w:t>
      </w:r>
      <w:r w:rsidRPr="0011545E">
        <w:rPr>
          <w:rFonts w:ascii="Times New Roman" w:hAnsi="Times New Roman"/>
          <w:sz w:val="24"/>
          <w:szCs w:val="24"/>
        </w:rPr>
        <w:t>peaceful transformation of the conflict, the Union faced several constrain</w:t>
      </w:r>
      <w:r w:rsidR="00BB4CC1">
        <w:rPr>
          <w:rFonts w:ascii="Times New Roman" w:hAnsi="Times New Roman"/>
          <w:sz w:val="24"/>
          <w:szCs w:val="24"/>
        </w:rPr>
        <w:t>t</w:t>
      </w:r>
      <w:r w:rsidRPr="0011545E">
        <w:rPr>
          <w:rFonts w:ascii="Times New Roman" w:hAnsi="Times New Roman"/>
          <w:sz w:val="24"/>
          <w:szCs w:val="24"/>
        </w:rPr>
        <w:t>s. The EU’s commitment to the NREP strategy puts its neutrality under the question and consequently limits its reliability for d</w:t>
      </w:r>
      <w:r w:rsidR="00974556">
        <w:rPr>
          <w:rFonts w:ascii="Times New Roman" w:hAnsi="Times New Roman"/>
          <w:sz w:val="24"/>
          <w:szCs w:val="24"/>
        </w:rPr>
        <w:t>e-facto authorities and Russia.</w:t>
      </w:r>
      <w:r w:rsidR="00974556">
        <w:rPr>
          <w:rStyle w:val="FootnoteReference"/>
          <w:rFonts w:ascii="Times New Roman" w:hAnsi="Times New Roman"/>
          <w:sz w:val="24"/>
          <w:szCs w:val="24"/>
        </w:rPr>
        <w:footnoteReference w:id="343"/>
      </w:r>
      <w:r w:rsidRPr="0011545E">
        <w:rPr>
          <w:rFonts w:ascii="Times New Roman" w:hAnsi="Times New Roman"/>
          <w:b/>
          <w:sz w:val="24"/>
          <w:szCs w:val="24"/>
        </w:rPr>
        <w:t xml:space="preserve"> </w:t>
      </w:r>
      <w:r w:rsidR="00BB4CC1">
        <w:rPr>
          <w:rFonts w:ascii="Times New Roman" w:hAnsi="Times New Roman"/>
          <w:sz w:val="24"/>
          <w:szCs w:val="24"/>
        </w:rPr>
        <w:t>The member</w:t>
      </w:r>
      <w:r w:rsidRPr="0011545E">
        <w:rPr>
          <w:rFonts w:ascii="Times New Roman" w:hAnsi="Times New Roman"/>
          <w:sz w:val="24"/>
          <w:szCs w:val="24"/>
        </w:rPr>
        <w:t xml:space="preserve"> states are often divergent in their positions towards the recognition and/or non-recognition of the contested states. Furthermore, the contrast in individual relations with Russia deepens the lack of cohesion of the common strategy. Finally, the EU is rather passive in addressing the political aspects of the sec</w:t>
      </w:r>
      <w:r w:rsidR="00BB4CC1">
        <w:rPr>
          <w:rFonts w:ascii="Times New Roman" w:hAnsi="Times New Roman"/>
          <w:sz w:val="24"/>
          <w:szCs w:val="24"/>
        </w:rPr>
        <w:t>essionist conflicts which leave</w:t>
      </w:r>
      <w:r w:rsidRPr="0011545E">
        <w:rPr>
          <w:rFonts w:ascii="Times New Roman" w:hAnsi="Times New Roman"/>
          <w:sz w:val="24"/>
          <w:szCs w:val="24"/>
        </w:rPr>
        <w:t xml:space="preserve"> </w:t>
      </w:r>
      <w:r w:rsidR="00BB4CC1">
        <w:rPr>
          <w:rFonts w:ascii="Times New Roman" w:hAnsi="Times New Roman"/>
          <w:sz w:val="24"/>
          <w:szCs w:val="24"/>
        </w:rPr>
        <w:t xml:space="preserve">several </w:t>
      </w:r>
      <w:r w:rsidRPr="0011545E">
        <w:rPr>
          <w:rFonts w:ascii="Times New Roman" w:hAnsi="Times New Roman"/>
          <w:sz w:val="24"/>
          <w:szCs w:val="24"/>
        </w:rPr>
        <w:t xml:space="preserve">issues on the hold. </w:t>
      </w:r>
    </w:p>
    <w:p w:rsidR="00910810" w:rsidRDefault="00910810" w:rsidP="0011545E">
      <w:pPr>
        <w:spacing w:line="360" w:lineRule="auto"/>
        <w:jc w:val="both"/>
        <w:rPr>
          <w:rFonts w:ascii="Times New Roman" w:hAnsi="Times New Roman"/>
          <w:sz w:val="24"/>
          <w:szCs w:val="24"/>
        </w:rPr>
      </w:pPr>
    </w:p>
    <w:p w:rsidR="00050BA9" w:rsidRPr="0011545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Georgian government</w:t>
      </w:r>
      <w:r w:rsidR="00BB4CC1">
        <w:rPr>
          <w:rFonts w:ascii="Times New Roman" w:hAnsi="Times New Roman"/>
          <w:sz w:val="24"/>
          <w:szCs w:val="24"/>
        </w:rPr>
        <w:t>’</w:t>
      </w:r>
      <w:r w:rsidRPr="0011545E">
        <w:rPr>
          <w:rFonts w:ascii="Times New Roman" w:hAnsi="Times New Roman"/>
          <w:sz w:val="24"/>
          <w:szCs w:val="24"/>
        </w:rPr>
        <w:t>s main object</w:t>
      </w:r>
      <w:r w:rsidR="00BB4CC1">
        <w:rPr>
          <w:rFonts w:ascii="Times New Roman" w:hAnsi="Times New Roman"/>
          <w:sz w:val="24"/>
          <w:szCs w:val="24"/>
        </w:rPr>
        <w:t>ive on the GID platform has</w:t>
      </w:r>
      <w:r w:rsidRPr="0011545E">
        <w:rPr>
          <w:rFonts w:ascii="Times New Roman" w:hAnsi="Times New Roman"/>
          <w:sz w:val="24"/>
          <w:szCs w:val="24"/>
        </w:rPr>
        <w:t xml:space="preserve"> internalize</w:t>
      </w:r>
      <w:r w:rsidR="00BB4CC1">
        <w:rPr>
          <w:rFonts w:ascii="Times New Roman" w:hAnsi="Times New Roman"/>
          <w:sz w:val="24"/>
          <w:szCs w:val="24"/>
        </w:rPr>
        <w:t>d</w:t>
      </w:r>
      <w:r w:rsidRPr="0011545E">
        <w:rPr>
          <w:rFonts w:ascii="Times New Roman" w:hAnsi="Times New Roman"/>
          <w:sz w:val="24"/>
          <w:szCs w:val="24"/>
        </w:rPr>
        <w:t xml:space="preserve"> the conflict and underline the Russian fault in hindering of the reconciliation process. On </w:t>
      </w:r>
      <w:r w:rsidR="00BB4CC1">
        <w:rPr>
          <w:rFonts w:ascii="Times New Roman" w:hAnsi="Times New Roman"/>
          <w:sz w:val="24"/>
          <w:szCs w:val="24"/>
        </w:rPr>
        <w:t xml:space="preserve">the </w:t>
      </w:r>
      <w:r w:rsidRPr="0011545E">
        <w:rPr>
          <w:rFonts w:ascii="Times New Roman" w:hAnsi="Times New Roman"/>
          <w:sz w:val="24"/>
          <w:szCs w:val="24"/>
        </w:rPr>
        <w:t>contrary, the Kremlin and t</w:t>
      </w:r>
      <w:r w:rsidR="00BB4CC1">
        <w:rPr>
          <w:rFonts w:ascii="Times New Roman" w:hAnsi="Times New Roman"/>
          <w:sz w:val="24"/>
          <w:szCs w:val="24"/>
        </w:rPr>
        <w:t>he de-facto authorities imply</w:t>
      </w:r>
      <w:r w:rsidRPr="0011545E">
        <w:rPr>
          <w:rFonts w:ascii="Times New Roman" w:hAnsi="Times New Roman"/>
          <w:sz w:val="24"/>
          <w:szCs w:val="24"/>
        </w:rPr>
        <w:t xml:space="preserve"> the right for self-determination and legitimization of the sovereig</w:t>
      </w:r>
      <w:r w:rsidR="00C34C99">
        <w:rPr>
          <w:rFonts w:ascii="Times New Roman" w:hAnsi="Times New Roman"/>
          <w:sz w:val="24"/>
          <w:szCs w:val="24"/>
        </w:rPr>
        <w:t>nty of the breakaway entities.</w:t>
      </w:r>
      <w:r w:rsidR="00C34C99">
        <w:rPr>
          <w:rStyle w:val="FootnoteReference"/>
          <w:rFonts w:ascii="Times New Roman" w:hAnsi="Times New Roman"/>
          <w:sz w:val="24"/>
          <w:szCs w:val="24"/>
        </w:rPr>
        <w:footnoteReference w:id="344"/>
      </w:r>
      <w:r w:rsidR="00C175F0" w:rsidRPr="0011545E">
        <w:rPr>
          <w:rFonts w:ascii="Times New Roman" w:hAnsi="Times New Roman"/>
          <w:b/>
          <w:sz w:val="24"/>
          <w:szCs w:val="24"/>
        </w:rPr>
        <w:t xml:space="preserve"> </w:t>
      </w:r>
      <w:r w:rsidRPr="0011545E">
        <w:rPr>
          <w:rFonts w:ascii="Times New Roman" w:hAnsi="Times New Roman"/>
          <w:sz w:val="24"/>
          <w:szCs w:val="24"/>
        </w:rPr>
        <w:t xml:space="preserve">The structural division and tensed atmosphere at the GID resulted in limited (or none) success during the 50 rounds of negotiations. The EU is forced to take the role of the facilitator of the negotiations rather than the conflict mediator. </w:t>
      </w:r>
      <w:r w:rsidRPr="0011545E">
        <w:rPr>
          <w:rFonts w:ascii="Times New Roman" w:hAnsi="Times New Roman"/>
          <w:sz w:val="24"/>
          <w:szCs w:val="24"/>
        </w:rPr>
        <w:lastRenderedPageBreak/>
        <w:t xml:space="preserve">All </w:t>
      </w:r>
      <w:r w:rsidR="00C175F0" w:rsidRPr="0011545E">
        <w:rPr>
          <w:rFonts w:ascii="Times New Roman" w:hAnsi="Times New Roman"/>
          <w:sz w:val="24"/>
          <w:szCs w:val="24"/>
        </w:rPr>
        <w:t>three mediators of the GID -</w:t>
      </w:r>
      <w:r w:rsidRPr="0011545E">
        <w:rPr>
          <w:rFonts w:ascii="Times New Roman" w:hAnsi="Times New Roman"/>
          <w:sz w:val="24"/>
          <w:szCs w:val="24"/>
        </w:rPr>
        <w:t xml:space="preserve"> the EU, the UN, and the OSCE propose var</w:t>
      </w:r>
      <w:r w:rsidR="00BB4CC1">
        <w:rPr>
          <w:rFonts w:ascii="Times New Roman" w:hAnsi="Times New Roman"/>
          <w:sz w:val="24"/>
          <w:szCs w:val="24"/>
        </w:rPr>
        <w:t>ious solutions for decreasing</w:t>
      </w:r>
      <w:r w:rsidRPr="0011545E">
        <w:rPr>
          <w:rFonts w:ascii="Times New Roman" w:hAnsi="Times New Roman"/>
          <w:sz w:val="24"/>
          <w:szCs w:val="24"/>
        </w:rPr>
        <w:t xml:space="preserve"> the tensions and harmonization of the deman</w:t>
      </w:r>
      <w:r w:rsidR="00C175F0" w:rsidRPr="0011545E">
        <w:rPr>
          <w:rFonts w:ascii="Times New Roman" w:hAnsi="Times New Roman"/>
          <w:sz w:val="24"/>
          <w:szCs w:val="24"/>
        </w:rPr>
        <w:t>ds of the confronting parties.</w:t>
      </w:r>
      <w:r w:rsidRPr="0011545E">
        <w:rPr>
          <w:rFonts w:ascii="Times New Roman" w:hAnsi="Times New Roman"/>
          <w:sz w:val="24"/>
          <w:szCs w:val="24"/>
        </w:rPr>
        <w:t xml:space="preserve"> The EU’s negotiation strategy in the GID is one of the main causes of </w:t>
      </w:r>
      <w:r w:rsidR="00BB4CC1">
        <w:rPr>
          <w:rFonts w:ascii="Times New Roman" w:hAnsi="Times New Roman"/>
          <w:sz w:val="24"/>
          <w:szCs w:val="24"/>
        </w:rPr>
        <w:t xml:space="preserve">the </w:t>
      </w:r>
      <w:r w:rsidRPr="0011545E">
        <w:rPr>
          <w:rFonts w:ascii="Times New Roman" w:hAnsi="Times New Roman"/>
          <w:sz w:val="24"/>
          <w:szCs w:val="24"/>
        </w:rPr>
        <w:t xml:space="preserve">limited success of the platform. Instead of bargaining with the ‘threats and promises’ with the confronting parties, the EU takes </w:t>
      </w:r>
      <w:r w:rsidR="00BB4CC1">
        <w:rPr>
          <w:rFonts w:ascii="Times New Roman" w:hAnsi="Times New Roman"/>
          <w:sz w:val="24"/>
          <w:szCs w:val="24"/>
        </w:rPr>
        <w:t xml:space="preserve">a </w:t>
      </w:r>
      <w:r w:rsidRPr="0011545E">
        <w:rPr>
          <w:rFonts w:ascii="Times New Roman" w:hAnsi="Times New Roman"/>
          <w:sz w:val="24"/>
          <w:szCs w:val="24"/>
        </w:rPr>
        <w:t>passive neutral position and mirrors the preferences and power of the confronting parties</w:t>
      </w:r>
      <w:r w:rsidR="00C34C99">
        <w:rPr>
          <w:rFonts w:ascii="Times New Roman" w:hAnsi="Times New Roman"/>
          <w:b/>
          <w:sz w:val="24"/>
          <w:szCs w:val="24"/>
        </w:rPr>
        <w:t>.</w:t>
      </w:r>
      <w:r w:rsidR="00C34C99" w:rsidRPr="004524F4">
        <w:rPr>
          <w:rStyle w:val="FootnoteReference"/>
          <w:rFonts w:ascii="Times New Roman" w:hAnsi="Times New Roman"/>
          <w:sz w:val="24"/>
          <w:szCs w:val="24"/>
        </w:rPr>
        <w:footnoteReference w:id="345"/>
      </w:r>
      <w:r w:rsidRPr="0011545E">
        <w:rPr>
          <w:rFonts w:ascii="Times New Roman" w:hAnsi="Times New Roman"/>
          <w:sz w:val="24"/>
          <w:szCs w:val="24"/>
        </w:rPr>
        <w:t xml:space="preserve"> Russia’s involvement in the GID plays </w:t>
      </w:r>
      <w:r w:rsidR="00BB4CC1">
        <w:rPr>
          <w:rFonts w:ascii="Times New Roman" w:hAnsi="Times New Roman"/>
          <w:sz w:val="24"/>
          <w:szCs w:val="24"/>
        </w:rPr>
        <w:t xml:space="preserve">a </w:t>
      </w:r>
      <w:r w:rsidRPr="0011545E">
        <w:rPr>
          <w:rFonts w:ascii="Times New Roman" w:hAnsi="Times New Roman"/>
          <w:sz w:val="24"/>
          <w:szCs w:val="24"/>
        </w:rPr>
        <w:t xml:space="preserve">crucial role in </w:t>
      </w:r>
      <w:r w:rsidR="00BB4CC1">
        <w:rPr>
          <w:rFonts w:ascii="Times New Roman" w:hAnsi="Times New Roman"/>
          <w:sz w:val="24"/>
          <w:szCs w:val="24"/>
        </w:rPr>
        <w:t xml:space="preserve">the </w:t>
      </w:r>
      <w:r w:rsidRPr="0011545E">
        <w:rPr>
          <w:rFonts w:ascii="Times New Roman" w:hAnsi="Times New Roman"/>
          <w:sz w:val="24"/>
          <w:szCs w:val="24"/>
        </w:rPr>
        <w:t>limitation of the EU’s mediation depth and restrict</w:t>
      </w:r>
      <w:r w:rsidR="00BB4CC1">
        <w:rPr>
          <w:rFonts w:ascii="Times New Roman" w:hAnsi="Times New Roman"/>
          <w:sz w:val="24"/>
          <w:szCs w:val="24"/>
        </w:rPr>
        <w:t>s</w:t>
      </w:r>
      <w:r w:rsidRPr="0011545E">
        <w:rPr>
          <w:rFonts w:ascii="Times New Roman" w:hAnsi="Times New Roman"/>
          <w:sz w:val="24"/>
          <w:szCs w:val="24"/>
        </w:rPr>
        <w:t xml:space="preserve"> its capacity to manipulate the pa</w:t>
      </w:r>
      <w:r w:rsidR="004524F4">
        <w:rPr>
          <w:rFonts w:ascii="Times New Roman" w:hAnsi="Times New Roman"/>
          <w:sz w:val="24"/>
          <w:szCs w:val="24"/>
        </w:rPr>
        <w:t>rties to achieve the consensus.</w:t>
      </w:r>
      <w:r w:rsidR="004524F4">
        <w:rPr>
          <w:rStyle w:val="FootnoteReference"/>
          <w:rFonts w:ascii="Times New Roman" w:hAnsi="Times New Roman"/>
          <w:sz w:val="24"/>
          <w:szCs w:val="24"/>
        </w:rPr>
        <w:footnoteReference w:id="346"/>
      </w:r>
      <w:r w:rsidRPr="0011545E">
        <w:rPr>
          <w:rFonts w:ascii="Times New Roman" w:hAnsi="Times New Roman"/>
          <w:sz w:val="24"/>
          <w:szCs w:val="24"/>
        </w:rPr>
        <w:t xml:space="preserve"> Furthermore, one of the major limitations of the format is exclusions of the civil society from the process. The NGOs, international organi</w:t>
      </w:r>
      <w:r w:rsidR="00BB4CC1">
        <w:rPr>
          <w:rFonts w:ascii="Times New Roman" w:hAnsi="Times New Roman"/>
          <w:sz w:val="24"/>
          <w:szCs w:val="24"/>
        </w:rPr>
        <w:t xml:space="preserve">zations, </w:t>
      </w:r>
      <w:r w:rsidRPr="0011545E">
        <w:rPr>
          <w:rFonts w:ascii="Times New Roman" w:hAnsi="Times New Roman"/>
          <w:sz w:val="24"/>
          <w:szCs w:val="24"/>
        </w:rPr>
        <w:t xml:space="preserve">and the observer missions play </w:t>
      </w:r>
      <w:r w:rsidR="00BB4CC1">
        <w:rPr>
          <w:rFonts w:ascii="Times New Roman" w:hAnsi="Times New Roman"/>
          <w:sz w:val="24"/>
          <w:szCs w:val="24"/>
        </w:rPr>
        <w:t xml:space="preserve">a </w:t>
      </w:r>
      <w:r w:rsidRPr="0011545E">
        <w:rPr>
          <w:rFonts w:ascii="Times New Roman" w:hAnsi="Times New Roman"/>
          <w:sz w:val="24"/>
          <w:szCs w:val="24"/>
        </w:rPr>
        <w:t xml:space="preserve">crucial role in </w:t>
      </w:r>
      <w:r w:rsidR="00BB4CC1">
        <w:rPr>
          <w:rFonts w:ascii="Times New Roman" w:hAnsi="Times New Roman"/>
          <w:sz w:val="24"/>
          <w:szCs w:val="24"/>
        </w:rPr>
        <w:t>gathering</w:t>
      </w:r>
      <w:r w:rsidRPr="0011545E">
        <w:rPr>
          <w:rFonts w:ascii="Times New Roman" w:hAnsi="Times New Roman"/>
          <w:sz w:val="24"/>
          <w:szCs w:val="24"/>
        </w:rPr>
        <w:t xml:space="preserve"> the information and facilitation of the people-to-people relations, thus, the absence of this component in the GID severely limits its practical impact on </w:t>
      </w:r>
      <w:r w:rsidR="00BB4CC1">
        <w:rPr>
          <w:rFonts w:ascii="Times New Roman" w:hAnsi="Times New Roman"/>
          <w:sz w:val="24"/>
          <w:szCs w:val="24"/>
        </w:rPr>
        <w:t xml:space="preserve">the </w:t>
      </w:r>
      <w:r w:rsidRPr="0011545E">
        <w:rPr>
          <w:rFonts w:ascii="Times New Roman" w:hAnsi="Times New Roman"/>
          <w:sz w:val="24"/>
          <w:szCs w:val="24"/>
        </w:rPr>
        <w:t xml:space="preserve">conflict transformation process. It must be emphasized that in light of limited access to separatist regions, GID remains </w:t>
      </w:r>
      <w:r w:rsidR="00BB4CC1">
        <w:rPr>
          <w:rFonts w:ascii="Times New Roman" w:hAnsi="Times New Roman"/>
          <w:sz w:val="24"/>
          <w:szCs w:val="24"/>
        </w:rPr>
        <w:t xml:space="preserve">an </w:t>
      </w:r>
      <w:r w:rsidRPr="0011545E">
        <w:rPr>
          <w:rFonts w:ascii="Times New Roman" w:hAnsi="Times New Roman"/>
          <w:sz w:val="24"/>
          <w:szCs w:val="24"/>
        </w:rPr>
        <w:t xml:space="preserve">important mechanism for direct contact with de-facto authorities; nevertheless, a decade of fruitless </w:t>
      </w:r>
      <w:r w:rsidR="00BB4CC1">
        <w:rPr>
          <w:rFonts w:ascii="Times New Roman" w:hAnsi="Times New Roman"/>
          <w:sz w:val="24"/>
          <w:szCs w:val="24"/>
        </w:rPr>
        <w:t xml:space="preserve">negotiations and absence of </w:t>
      </w:r>
      <w:r w:rsidRPr="0011545E">
        <w:rPr>
          <w:rFonts w:ascii="Times New Roman" w:hAnsi="Times New Roman"/>
          <w:sz w:val="24"/>
          <w:szCs w:val="24"/>
        </w:rPr>
        <w:t xml:space="preserve">tangible progress overshadows the universal objectives of the mechanism. </w:t>
      </w:r>
    </w:p>
    <w:p w:rsidR="003F5B08" w:rsidRDefault="003F5B08" w:rsidP="0011545E">
      <w:pPr>
        <w:spacing w:line="360" w:lineRule="auto"/>
        <w:jc w:val="both"/>
        <w:rPr>
          <w:rFonts w:ascii="Times New Roman" w:hAnsi="Times New Roman"/>
          <w:sz w:val="24"/>
          <w:szCs w:val="24"/>
        </w:rPr>
      </w:pPr>
    </w:p>
    <w:p w:rsidR="00E07B1A" w:rsidRDefault="00BB4CC1" w:rsidP="0011545E">
      <w:pPr>
        <w:spacing w:line="360" w:lineRule="auto"/>
        <w:jc w:val="both"/>
        <w:rPr>
          <w:rFonts w:ascii="Times New Roman" w:hAnsi="Times New Roman"/>
          <w:sz w:val="24"/>
          <w:szCs w:val="24"/>
        </w:rPr>
      </w:pPr>
      <w:r>
        <w:rPr>
          <w:rFonts w:ascii="Times New Roman" w:hAnsi="Times New Roman"/>
          <w:sz w:val="24"/>
          <w:szCs w:val="24"/>
        </w:rPr>
        <w:t>Another major limitation of</w:t>
      </w:r>
      <w:r w:rsidR="00050BA9" w:rsidRPr="0011545E">
        <w:rPr>
          <w:rFonts w:ascii="Times New Roman" w:hAnsi="Times New Roman"/>
          <w:sz w:val="24"/>
          <w:szCs w:val="24"/>
        </w:rPr>
        <w:t xml:space="preserve"> the EU’s efficiency in conflict mediation is the internal divergence.</w:t>
      </w:r>
      <w:r w:rsidR="00344B23" w:rsidRPr="0011545E">
        <w:rPr>
          <w:rFonts w:ascii="Times New Roman" w:hAnsi="Times New Roman"/>
          <w:sz w:val="24"/>
          <w:szCs w:val="24"/>
        </w:rPr>
        <w:t xml:space="preserve"> </w:t>
      </w:r>
      <w:r>
        <w:rPr>
          <w:rFonts w:ascii="Times New Roman" w:hAnsi="Times New Roman"/>
          <w:sz w:val="24"/>
          <w:szCs w:val="24"/>
        </w:rPr>
        <w:t>The EU is ultimately divided into</w:t>
      </w:r>
      <w:r w:rsidR="00050BA9" w:rsidRPr="0011545E">
        <w:rPr>
          <w:rFonts w:ascii="Times New Roman" w:hAnsi="Times New Roman"/>
          <w:sz w:val="24"/>
          <w:szCs w:val="24"/>
        </w:rPr>
        <w:t xml:space="preserve"> its recognition policies. </w:t>
      </w:r>
      <w:r w:rsidR="00300EA0">
        <w:rPr>
          <w:rFonts w:ascii="Times New Roman" w:hAnsi="Times New Roman"/>
          <w:sz w:val="24"/>
          <w:szCs w:val="24"/>
        </w:rPr>
        <w:t>As Simao (2016) notes: “</w:t>
      </w:r>
      <w:r w:rsidR="00050BA9" w:rsidRPr="0011545E">
        <w:rPr>
          <w:rFonts w:ascii="Times New Roman" w:hAnsi="Times New Roman"/>
          <w:sz w:val="24"/>
          <w:szCs w:val="24"/>
        </w:rPr>
        <w:t>the membe</w:t>
      </w:r>
      <w:r>
        <w:rPr>
          <w:rFonts w:ascii="Times New Roman" w:hAnsi="Times New Roman"/>
          <w:sz w:val="24"/>
          <w:szCs w:val="24"/>
        </w:rPr>
        <w:t>r states pursue their</w:t>
      </w:r>
      <w:r w:rsidR="00050BA9" w:rsidRPr="0011545E">
        <w:rPr>
          <w:rFonts w:ascii="Times New Roman" w:hAnsi="Times New Roman"/>
          <w:sz w:val="24"/>
          <w:szCs w:val="24"/>
        </w:rPr>
        <w:t xml:space="preserve"> interests and policies when it comes to the recognitio</w:t>
      </w:r>
      <w:r w:rsidR="004524F4">
        <w:rPr>
          <w:rFonts w:ascii="Times New Roman" w:hAnsi="Times New Roman"/>
          <w:sz w:val="24"/>
          <w:szCs w:val="24"/>
        </w:rPr>
        <w:t>n of new states such as Kosovo.</w:t>
      </w:r>
      <w:r w:rsidR="00300EA0">
        <w:rPr>
          <w:rFonts w:ascii="Times New Roman" w:hAnsi="Times New Roman"/>
          <w:sz w:val="24"/>
          <w:szCs w:val="24"/>
        </w:rPr>
        <w:t>”</w:t>
      </w:r>
      <w:r w:rsidR="004524F4">
        <w:rPr>
          <w:rStyle w:val="FootnoteReference"/>
          <w:rFonts w:ascii="Times New Roman" w:hAnsi="Times New Roman"/>
          <w:sz w:val="24"/>
          <w:szCs w:val="24"/>
        </w:rPr>
        <w:footnoteReference w:id="347"/>
      </w:r>
      <w:r w:rsidR="00050BA9" w:rsidRPr="0011545E">
        <w:rPr>
          <w:rFonts w:ascii="Times New Roman" w:hAnsi="Times New Roman"/>
          <w:sz w:val="24"/>
          <w:szCs w:val="24"/>
        </w:rPr>
        <w:t xml:space="preserve"> Uncompromising national interests negatively affecti</w:t>
      </w:r>
      <w:r>
        <w:rPr>
          <w:rFonts w:ascii="Times New Roman" w:hAnsi="Times New Roman"/>
          <w:sz w:val="24"/>
          <w:szCs w:val="24"/>
        </w:rPr>
        <w:t xml:space="preserve">ve the cohesive strategy of </w:t>
      </w:r>
      <w:r w:rsidR="00050BA9" w:rsidRPr="0011545E">
        <w:rPr>
          <w:rFonts w:ascii="Times New Roman" w:hAnsi="Times New Roman"/>
          <w:sz w:val="24"/>
          <w:szCs w:val="24"/>
        </w:rPr>
        <w:t xml:space="preserve">external action and create barriers to the EU’s actorness. There is </w:t>
      </w:r>
      <w:r>
        <w:rPr>
          <w:rFonts w:ascii="Times New Roman" w:hAnsi="Times New Roman"/>
          <w:sz w:val="24"/>
          <w:szCs w:val="24"/>
        </w:rPr>
        <w:t xml:space="preserve">a </w:t>
      </w:r>
      <w:r w:rsidR="00050BA9" w:rsidRPr="0011545E">
        <w:rPr>
          <w:rFonts w:ascii="Times New Roman" w:hAnsi="Times New Roman"/>
          <w:sz w:val="24"/>
          <w:szCs w:val="24"/>
        </w:rPr>
        <w:t>relatively positive picture when it comes to the EU’s policy with contested states. The Union managed to improve its posture concerning the engagement with the contested states through the agreement to engage with de-facto authorities without re</w:t>
      </w:r>
      <w:r w:rsidR="004524F4">
        <w:rPr>
          <w:rFonts w:ascii="Times New Roman" w:hAnsi="Times New Roman"/>
          <w:sz w:val="24"/>
          <w:szCs w:val="24"/>
        </w:rPr>
        <w:t>cognition of their sovereignty.</w:t>
      </w:r>
      <w:r w:rsidR="004524F4">
        <w:rPr>
          <w:rStyle w:val="FootnoteReference"/>
          <w:rFonts w:ascii="Times New Roman" w:hAnsi="Times New Roman"/>
          <w:sz w:val="24"/>
          <w:szCs w:val="24"/>
        </w:rPr>
        <w:footnoteReference w:id="348"/>
      </w:r>
      <w:r w:rsidR="00050BA9" w:rsidRPr="0011545E">
        <w:rPr>
          <w:rFonts w:ascii="Times New Roman" w:hAnsi="Times New Roman"/>
          <w:sz w:val="24"/>
          <w:szCs w:val="24"/>
        </w:rPr>
        <w:t xml:space="preserve"> However, the effectiveness of the NREP in </w:t>
      </w:r>
      <w:r>
        <w:rPr>
          <w:rFonts w:ascii="Times New Roman" w:hAnsi="Times New Roman"/>
          <w:sz w:val="24"/>
          <w:szCs w:val="24"/>
        </w:rPr>
        <w:t xml:space="preserve">the </w:t>
      </w:r>
      <w:r w:rsidR="00050BA9" w:rsidRPr="0011545E">
        <w:rPr>
          <w:rFonts w:ascii="Times New Roman" w:hAnsi="Times New Roman"/>
          <w:sz w:val="24"/>
          <w:szCs w:val="24"/>
        </w:rPr>
        <w:t xml:space="preserve">conflict mediation process is significantly limited when the member states are unable to formulate a single position on certain aspects of the process. </w:t>
      </w:r>
      <w:r>
        <w:rPr>
          <w:rFonts w:ascii="Times New Roman" w:hAnsi="Times New Roman"/>
          <w:sz w:val="24"/>
          <w:szCs w:val="24"/>
        </w:rPr>
        <w:t>The i</w:t>
      </w:r>
      <w:r w:rsidR="00050BA9" w:rsidRPr="0011545E">
        <w:rPr>
          <w:rFonts w:ascii="Times New Roman" w:hAnsi="Times New Roman"/>
          <w:sz w:val="24"/>
          <w:szCs w:val="24"/>
        </w:rPr>
        <w:t>nternal division is often caused by the decision-making bureaucracy of the EU – the agreement on in</w:t>
      </w:r>
      <w:r w:rsidR="00434913">
        <w:rPr>
          <w:rFonts w:ascii="Times New Roman" w:hAnsi="Times New Roman"/>
          <w:sz w:val="24"/>
          <w:szCs w:val="24"/>
        </w:rPr>
        <w:t>stitutional measurements does not</w:t>
      </w:r>
      <w:r w:rsidR="00050BA9" w:rsidRPr="0011545E">
        <w:rPr>
          <w:rFonts w:ascii="Times New Roman" w:hAnsi="Times New Roman"/>
          <w:sz w:val="24"/>
          <w:szCs w:val="24"/>
        </w:rPr>
        <w:t xml:space="preserve"> always comply with the EU </w:t>
      </w:r>
      <w:r w:rsidR="00050BA9" w:rsidRPr="0011545E">
        <w:rPr>
          <w:rFonts w:ascii="Times New Roman" w:hAnsi="Times New Roman"/>
          <w:sz w:val="24"/>
          <w:szCs w:val="24"/>
        </w:rPr>
        <w:lastRenderedPageBreak/>
        <w:t>fo</w:t>
      </w:r>
      <w:r>
        <w:rPr>
          <w:rFonts w:ascii="Times New Roman" w:hAnsi="Times New Roman"/>
          <w:sz w:val="24"/>
          <w:szCs w:val="24"/>
        </w:rPr>
        <w:t>reign policy priorities which are</w:t>
      </w:r>
      <w:r w:rsidR="00050BA9" w:rsidRPr="0011545E">
        <w:rPr>
          <w:rFonts w:ascii="Times New Roman" w:hAnsi="Times New Roman"/>
          <w:sz w:val="24"/>
          <w:szCs w:val="24"/>
        </w:rPr>
        <w:t xml:space="preserve"> shaped by t</w:t>
      </w:r>
      <w:r w:rsidR="00C04C5F">
        <w:rPr>
          <w:rFonts w:ascii="Times New Roman" w:hAnsi="Times New Roman"/>
          <w:sz w:val="24"/>
          <w:szCs w:val="24"/>
        </w:rPr>
        <w:t>he most powerful member states.</w:t>
      </w:r>
      <w:r w:rsidR="00C04C5F">
        <w:rPr>
          <w:rStyle w:val="FootnoteReference"/>
          <w:rFonts w:ascii="Times New Roman" w:hAnsi="Times New Roman"/>
          <w:sz w:val="24"/>
          <w:szCs w:val="24"/>
        </w:rPr>
        <w:footnoteReference w:id="349"/>
      </w:r>
      <w:r w:rsidR="00050BA9" w:rsidRPr="0011545E">
        <w:rPr>
          <w:rFonts w:ascii="Times New Roman" w:hAnsi="Times New Roman"/>
          <w:sz w:val="24"/>
          <w:szCs w:val="24"/>
        </w:rPr>
        <w:t xml:space="preserve"> The differences in the state positions </w:t>
      </w:r>
      <w:r>
        <w:rPr>
          <w:rFonts w:ascii="Times New Roman" w:hAnsi="Times New Roman"/>
          <w:sz w:val="24"/>
          <w:szCs w:val="24"/>
        </w:rPr>
        <w:t>of the member states overshadow</w:t>
      </w:r>
      <w:r w:rsidR="00050BA9" w:rsidRPr="0011545E">
        <w:rPr>
          <w:rFonts w:ascii="Times New Roman" w:hAnsi="Times New Roman"/>
          <w:sz w:val="24"/>
          <w:szCs w:val="24"/>
        </w:rPr>
        <w:t xml:space="preserve"> the points of agreement, thus, the EU struggles to find the unilateral consensus on </w:t>
      </w:r>
      <w:r w:rsidR="00C04C5F">
        <w:rPr>
          <w:rFonts w:ascii="Times New Roman" w:hAnsi="Times New Roman"/>
          <w:sz w:val="24"/>
          <w:szCs w:val="24"/>
        </w:rPr>
        <w:t>common foreign policy strategy.</w:t>
      </w:r>
      <w:r w:rsidR="00C04C5F">
        <w:rPr>
          <w:rStyle w:val="FootnoteReference"/>
          <w:rFonts w:ascii="Times New Roman" w:hAnsi="Times New Roman"/>
          <w:sz w:val="24"/>
          <w:szCs w:val="24"/>
        </w:rPr>
        <w:footnoteReference w:id="350"/>
      </w:r>
      <w:r w:rsidR="00050BA9" w:rsidRPr="0011545E">
        <w:rPr>
          <w:rFonts w:ascii="Times New Roman" w:hAnsi="Times New Roman"/>
          <w:sz w:val="24"/>
          <w:szCs w:val="24"/>
        </w:rPr>
        <w:t xml:space="preserve"> </w:t>
      </w:r>
    </w:p>
    <w:p w:rsidR="00E07B1A" w:rsidRDefault="00E07B1A" w:rsidP="0011545E">
      <w:pPr>
        <w:spacing w:line="360" w:lineRule="auto"/>
        <w:jc w:val="both"/>
        <w:rPr>
          <w:rFonts w:ascii="Times New Roman" w:hAnsi="Times New Roman"/>
          <w:sz w:val="24"/>
          <w:szCs w:val="24"/>
        </w:rPr>
      </w:pPr>
    </w:p>
    <w:p w:rsidR="00BF473D"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In the context of Georgia, The EU’s engagement with contested states created divergence among the old member states (France, Germany, Austria, Netherlands, Italy) and the new member states (Poland, Czech Republic, Estonia, Latvia, Lithuania, Romania). France and Germany prioritize the normalized approach based on </w:t>
      </w:r>
      <w:r w:rsidR="00BB4CC1">
        <w:rPr>
          <w:rFonts w:ascii="Times New Roman" w:hAnsi="Times New Roman"/>
          <w:sz w:val="24"/>
          <w:szCs w:val="24"/>
        </w:rPr>
        <w:t xml:space="preserve">the </w:t>
      </w:r>
      <w:r w:rsidRPr="0011545E">
        <w:rPr>
          <w:rFonts w:ascii="Times New Roman" w:hAnsi="Times New Roman"/>
          <w:sz w:val="24"/>
          <w:szCs w:val="24"/>
        </w:rPr>
        <w:t>conditionality mechanism which eliminates the risks of overlapping the Russian interests in the near abroad. In such circumstances, the EU’s conflict mediation role is limited to the facilitation of dialogue and de-esca</w:t>
      </w:r>
      <w:r w:rsidR="00C04C5F">
        <w:rPr>
          <w:rFonts w:ascii="Times New Roman" w:hAnsi="Times New Roman"/>
          <w:sz w:val="24"/>
          <w:szCs w:val="24"/>
        </w:rPr>
        <w:t>lation of tensions on the ABLs.</w:t>
      </w:r>
      <w:r w:rsidR="00C04C5F">
        <w:rPr>
          <w:rStyle w:val="FootnoteReference"/>
          <w:rFonts w:ascii="Times New Roman" w:hAnsi="Times New Roman"/>
          <w:sz w:val="24"/>
          <w:szCs w:val="24"/>
        </w:rPr>
        <w:footnoteReference w:id="351"/>
      </w:r>
      <w:r w:rsidR="00BB4CC1">
        <w:rPr>
          <w:rFonts w:ascii="Times New Roman" w:hAnsi="Times New Roman"/>
          <w:sz w:val="24"/>
          <w:szCs w:val="24"/>
        </w:rPr>
        <w:t xml:space="preserve"> On the </w:t>
      </w:r>
      <w:r w:rsidRPr="0011545E">
        <w:rPr>
          <w:rFonts w:ascii="Times New Roman" w:hAnsi="Times New Roman"/>
          <w:sz w:val="24"/>
          <w:szCs w:val="24"/>
        </w:rPr>
        <w:t xml:space="preserve">contrary, Poland, </w:t>
      </w:r>
      <w:r w:rsidR="00BB4CC1">
        <w:rPr>
          <w:rFonts w:ascii="Times New Roman" w:hAnsi="Times New Roman"/>
          <w:sz w:val="24"/>
          <w:szCs w:val="24"/>
        </w:rPr>
        <w:t xml:space="preserve">the Czech Republic, </w:t>
      </w:r>
      <w:r w:rsidRPr="0011545E">
        <w:rPr>
          <w:rFonts w:ascii="Times New Roman" w:hAnsi="Times New Roman"/>
          <w:sz w:val="24"/>
          <w:szCs w:val="24"/>
        </w:rPr>
        <w:t>and the Baltic states push for active engagement of the EU both on the ground</w:t>
      </w:r>
      <w:r w:rsidR="00C04C5F">
        <w:rPr>
          <w:rFonts w:ascii="Times New Roman" w:hAnsi="Times New Roman"/>
          <w:sz w:val="24"/>
          <w:szCs w:val="24"/>
        </w:rPr>
        <w:t xml:space="preserve"> and in the context of the GID.</w:t>
      </w:r>
      <w:r w:rsidR="00C04C5F">
        <w:rPr>
          <w:rStyle w:val="FootnoteReference"/>
          <w:rFonts w:ascii="Times New Roman" w:hAnsi="Times New Roman"/>
          <w:sz w:val="24"/>
          <w:szCs w:val="24"/>
        </w:rPr>
        <w:footnoteReference w:id="352"/>
      </w:r>
      <w:r w:rsidRPr="0011545E">
        <w:rPr>
          <w:rFonts w:ascii="Times New Roman" w:hAnsi="Times New Roman"/>
          <w:sz w:val="24"/>
          <w:szCs w:val="24"/>
        </w:rPr>
        <w:t xml:space="preserve"> </w:t>
      </w:r>
      <w:r w:rsidR="00E204B8">
        <w:rPr>
          <w:rFonts w:ascii="Times New Roman" w:hAnsi="Times New Roman"/>
          <w:sz w:val="24"/>
          <w:szCs w:val="24"/>
        </w:rPr>
        <w:t xml:space="preserve"> According to Rosamond (2009): “</w:t>
      </w:r>
      <w:r w:rsidR="00BF473D">
        <w:rPr>
          <w:rFonts w:ascii="Times New Roman" w:hAnsi="Times New Roman"/>
          <w:sz w:val="24"/>
          <w:szCs w:val="24"/>
        </w:rPr>
        <w:t>the European external governance is determined by its capability to govern efficiently. In this context, the member states are expected to achieve the consensus on multiple levels: national, regional, and supranational.”</w:t>
      </w:r>
      <w:r w:rsidR="00BF473D">
        <w:rPr>
          <w:rStyle w:val="FootnoteReference"/>
          <w:rFonts w:ascii="Times New Roman" w:hAnsi="Times New Roman"/>
          <w:sz w:val="24"/>
          <w:szCs w:val="24"/>
        </w:rPr>
        <w:footnoteReference w:id="353"/>
      </w:r>
    </w:p>
    <w:p w:rsidR="00BF473D" w:rsidRDefault="00BF473D" w:rsidP="0011545E">
      <w:pPr>
        <w:spacing w:line="360" w:lineRule="auto"/>
        <w:jc w:val="both"/>
        <w:rPr>
          <w:rFonts w:ascii="Times New Roman" w:hAnsi="Times New Roman"/>
          <w:sz w:val="24"/>
          <w:szCs w:val="24"/>
        </w:rPr>
      </w:pPr>
    </w:p>
    <w:p w:rsidR="00050BA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divergence in attitudes and posit</w:t>
      </w:r>
      <w:r w:rsidR="00BB4CC1">
        <w:rPr>
          <w:rFonts w:ascii="Times New Roman" w:hAnsi="Times New Roman"/>
          <w:sz w:val="24"/>
          <w:szCs w:val="24"/>
        </w:rPr>
        <w:t xml:space="preserve">ions towards Russia was </w:t>
      </w:r>
      <w:r w:rsidRPr="0011545E">
        <w:rPr>
          <w:rFonts w:ascii="Times New Roman" w:hAnsi="Times New Roman"/>
          <w:sz w:val="24"/>
          <w:szCs w:val="24"/>
        </w:rPr>
        <w:t>visible during the conflict in August 2008. The leaders of Pol</w:t>
      </w:r>
      <w:r w:rsidR="00BB4CC1">
        <w:rPr>
          <w:rFonts w:ascii="Times New Roman" w:hAnsi="Times New Roman"/>
          <w:sz w:val="24"/>
          <w:szCs w:val="24"/>
        </w:rPr>
        <w:t xml:space="preserve">and, Latvia, Lithuania, Estonia, </w:t>
      </w:r>
      <w:r w:rsidRPr="0011545E">
        <w:rPr>
          <w:rFonts w:ascii="Times New Roman" w:hAnsi="Times New Roman"/>
          <w:sz w:val="24"/>
          <w:szCs w:val="24"/>
        </w:rPr>
        <w:t xml:space="preserve">and </w:t>
      </w:r>
      <w:r w:rsidR="00BB4CC1">
        <w:rPr>
          <w:rFonts w:ascii="Times New Roman" w:hAnsi="Times New Roman"/>
          <w:sz w:val="24"/>
          <w:szCs w:val="24"/>
        </w:rPr>
        <w:t xml:space="preserve">the </w:t>
      </w:r>
      <w:r w:rsidRPr="0011545E">
        <w:rPr>
          <w:rFonts w:ascii="Times New Roman" w:hAnsi="Times New Roman"/>
          <w:sz w:val="24"/>
          <w:szCs w:val="24"/>
        </w:rPr>
        <w:t>Czech Republic arrived in Georgia and took the place next to the Georgian President Mikheil Saakashvili on the main a</w:t>
      </w:r>
      <w:r w:rsidR="00103D22">
        <w:rPr>
          <w:rFonts w:ascii="Times New Roman" w:hAnsi="Times New Roman"/>
          <w:sz w:val="24"/>
          <w:szCs w:val="24"/>
        </w:rPr>
        <w:t>venue of the capital, Tbilisi.</w:t>
      </w:r>
      <w:r w:rsidR="00103D22">
        <w:rPr>
          <w:rStyle w:val="FootnoteReference"/>
          <w:rFonts w:ascii="Times New Roman" w:hAnsi="Times New Roman"/>
          <w:sz w:val="24"/>
          <w:szCs w:val="24"/>
        </w:rPr>
        <w:footnoteReference w:id="354"/>
      </w:r>
      <w:r w:rsidRPr="0011545E">
        <w:rPr>
          <w:rFonts w:ascii="Times New Roman" w:hAnsi="Times New Roman"/>
          <w:sz w:val="24"/>
          <w:szCs w:val="24"/>
        </w:rPr>
        <w:t xml:space="preserve"> The Polish President Lech Kaczynski and the Foreign Minister Radoslaw Sikorski called for the establishment of the EU force to assure the stability and peace in </w:t>
      </w:r>
      <w:r w:rsidR="00BB4CC1">
        <w:rPr>
          <w:rFonts w:ascii="Times New Roman" w:hAnsi="Times New Roman"/>
          <w:sz w:val="24"/>
          <w:szCs w:val="24"/>
        </w:rPr>
        <w:t xml:space="preserve">the </w:t>
      </w:r>
      <w:r w:rsidRPr="0011545E">
        <w:rPr>
          <w:rFonts w:ascii="Times New Roman" w:hAnsi="Times New Roman"/>
          <w:sz w:val="24"/>
          <w:szCs w:val="24"/>
        </w:rPr>
        <w:t>Caucasus region.</w:t>
      </w:r>
      <w:r w:rsidR="00103D22">
        <w:rPr>
          <w:rStyle w:val="FootnoteReference"/>
          <w:rFonts w:ascii="Times New Roman" w:hAnsi="Times New Roman"/>
          <w:sz w:val="24"/>
          <w:szCs w:val="24"/>
        </w:rPr>
        <w:footnoteReference w:id="355"/>
      </w:r>
      <w:r w:rsidRPr="0011545E">
        <w:rPr>
          <w:rFonts w:ascii="Times New Roman" w:hAnsi="Times New Roman"/>
          <w:sz w:val="24"/>
          <w:szCs w:val="24"/>
        </w:rPr>
        <w:t xml:space="preserve"> Once again, the old member states rejected the initiative and called for the diplomatic solution of the process. The Fr</w:t>
      </w:r>
      <w:r w:rsidR="00BB4CC1">
        <w:rPr>
          <w:rFonts w:ascii="Times New Roman" w:hAnsi="Times New Roman"/>
          <w:sz w:val="24"/>
          <w:szCs w:val="24"/>
        </w:rPr>
        <w:t xml:space="preserve">ench President Sarkozy took </w:t>
      </w:r>
      <w:r w:rsidRPr="0011545E">
        <w:rPr>
          <w:rFonts w:ascii="Times New Roman" w:hAnsi="Times New Roman"/>
          <w:sz w:val="24"/>
          <w:szCs w:val="24"/>
        </w:rPr>
        <w:t>advantage of his close relations with Vladimir Putin and brok</w:t>
      </w:r>
      <w:r w:rsidR="00103D22">
        <w:rPr>
          <w:rFonts w:ascii="Times New Roman" w:hAnsi="Times New Roman"/>
          <w:sz w:val="24"/>
          <w:szCs w:val="24"/>
        </w:rPr>
        <w:t xml:space="preserve">ered the cease-fire </w:t>
      </w:r>
      <w:r w:rsidR="00103D22">
        <w:rPr>
          <w:rFonts w:ascii="Times New Roman" w:hAnsi="Times New Roman"/>
          <w:sz w:val="24"/>
          <w:szCs w:val="24"/>
        </w:rPr>
        <w:lastRenderedPageBreak/>
        <w:t>agreement.</w:t>
      </w:r>
      <w:r w:rsidR="00103D22">
        <w:rPr>
          <w:rStyle w:val="FootnoteReference"/>
          <w:rFonts w:ascii="Times New Roman" w:hAnsi="Times New Roman"/>
          <w:sz w:val="24"/>
          <w:szCs w:val="24"/>
        </w:rPr>
        <w:footnoteReference w:id="356"/>
      </w:r>
      <w:r w:rsidRPr="0011545E">
        <w:rPr>
          <w:rFonts w:ascii="Times New Roman" w:hAnsi="Times New Roman"/>
          <w:sz w:val="24"/>
          <w:szCs w:val="24"/>
        </w:rPr>
        <w:t xml:space="preserve"> The EU has been internally divergent on k</w:t>
      </w:r>
      <w:r w:rsidR="00E95849">
        <w:rPr>
          <w:rFonts w:ascii="Times New Roman" w:hAnsi="Times New Roman"/>
          <w:sz w:val="24"/>
          <w:szCs w:val="24"/>
        </w:rPr>
        <w:t>ey policies in the past and has not</w:t>
      </w:r>
      <w:r w:rsidRPr="0011545E">
        <w:rPr>
          <w:rFonts w:ascii="Times New Roman" w:hAnsi="Times New Roman"/>
          <w:sz w:val="24"/>
          <w:szCs w:val="24"/>
        </w:rPr>
        <w:t xml:space="preserve"> achieved significant progress in this regard to this day. In such circumstances, it is difficult to expect any fundamental progress in </w:t>
      </w:r>
      <w:r w:rsidR="00BB4CC1">
        <w:rPr>
          <w:rFonts w:ascii="Times New Roman" w:hAnsi="Times New Roman"/>
          <w:sz w:val="24"/>
          <w:szCs w:val="24"/>
        </w:rPr>
        <w:t xml:space="preserve">the </w:t>
      </w:r>
      <w:r w:rsidRPr="0011545E">
        <w:rPr>
          <w:rFonts w:ascii="Times New Roman" w:hAnsi="Times New Roman"/>
          <w:sz w:val="24"/>
          <w:szCs w:val="24"/>
        </w:rPr>
        <w:t xml:space="preserve">foreseeable future concerning the GID process or in engagement with the de-facto authorities. </w:t>
      </w:r>
    </w:p>
    <w:p w:rsidR="00D57DBE" w:rsidRPr="00D57DBE" w:rsidRDefault="00D57DBE" w:rsidP="00D57DBE">
      <w:pPr>
        <w:pStyle w:val="NoSpacing"/>
      </w:pPr>
    </w:p>
    <w:p w:rsidR="00050BA9" w:rsidRPr="00D57DBE" w:rsidRDefault="008B5A68" w:rsidP="007B74C4">
      <w:pPr>
        <w:pStyle w:val="Heading2"/>
        <w:rPr>
          <w:color w:val="auto"/>
          <w:sz w:val="32"/>
          <w:szCs w:val="32"/>
        </w:rPr>
      </w:pPr>
      <w:bookmarkStart w:id="25" w:name="_Toc46952619"/>
      <w:r>
        <w:rPr>
          <w:color w:val="auto"/>
          <w:sz w:val="32"/>
          <w:szCs w:val="32"/>
        </w:rPr>
        <w:t>4.1.2</w:t>
      </w:r>
      <w:r w:rsidR="003C44CE" w:rsidRPr="00D57DBE">
        <w:rPr>
          <w:color w:val="auto"/>
          <w:sz w:val="32"/>
          <w:szCs w:val="32"/>
        </w:rPr>
        <w:t xml:space="preserve"> The EU’s Policy of Engagement without Recognition: Practical Aspects</w:t>
      </w:r>
      <w:bookmarkEnd w:id="25"/>
    </w:p>
    <w:p w:rsidR="00D57DBE" w:rsidRPr="00D57DBE" w:rsidRDefault="00D57DBE" w:rsidP="00D57DBE"/>
    <w:p w:rsidR="007A05FB"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In 2009, the Swedish diplomat and the EU Special Representative in South Caucasus, Peter Semneby designed the strategy of the Non-Recognition and Engagement Policy (NREP) with breakaway regions in Georgia.</w:t>
      </w:r>
      <w:r w:rsidR="00910810">
        <w:rPr>
          <w:rStyle w:val="FootnoteReference"/>
          <w:rFonts w:ascii="Times New Roman" w:hAnsi="Times New Roman"/>
          <w:sz w:val="24"/>
          <w:szCs w:val="24"/>
        </w:rPr>
        <w:footnoteReference w:id="357"/>
      </w:r>
      <w:r w:rsidRPr="0011545E">
        <w:rPr>
          <w:rFonts w:ascii="Times New Roman" w:hAnsi="Times New Roman"/>
          <w:sz w:val="24"/>
          <w:szCs w:val="24"/>
        </w:rPr>
        <w:t xml:space="preserve"> Semneby’s initiative was positively assessed in Brussels and consequently, in December 2009, the Political and Security Committee of the Council of the European Union adop</w:t>
      </w:r>
      <w:r w:rsidR="00652942">
        <w:rPr>
          <w:rFonts w:ascii="Times New Roman" w:hAnsi="Times New Roman"/>
          <w:sz w:val="24"/>
          <w:szCs w:val="24"/>
        </w:rPr>
        <w:t xml:space="preserve">ted the NREP on </w:t>
      </w:r>
      <w:r w:rsidR="00BB4CC1">
        <w:rPr>
          <w:rFonts w:ascii="Times New Roman" w:hAnsi="Times New Roman"/>
          <w:sz w:val="24"/>
          <w:szCs w:val="24"/>
        </w:rPr>
        <w:t xml:space="preserve">the </w:t>
      </w:r>
      <w:r w:rsidR="00652942">
        <w:rPr>
          <w:rFonts w:ascii="Times New Roman" w:hAnsi="Times New Roman"/>
          <w:sz w:val="24"/>
          <w:szCs w:val="24"/>
        </w:rPr>
        <w:t>official level.</w:t>
      </w:r>
      <w:r w:rsidR="00652942">
        <w:rPr>
          <w:rStyle w:val="FootnoteReference"/>
          <w:rFonts w:ascii="Times New Roman" w:hAnsi="Times New Roman"/>
          <w:sz w:val="24"/>
          <w:szCs w:val="24"/>
        </w:rPr>
        <w:footnoteReference w:id="358"/>
      </w:r>
      <w:r w:rsidRPr="0011545E">
        <w:rPr>
          <w:rFonts w:ascii="Times New Roman" w:hAnsi="Times New Roman"/>
          <w:sz w:val="24"/>
          <w:szCs w:val="24"/>
        </w:rPr>
        <w:t xml:space="preserve"> The NREP is a complementary mechanism to the EU’s diverse political and economic mechanisms which are utilized in Georgia. The strategy is built on two pillars – Non-Recognition and Engagement, which means that the EU is pursuing the dialogue with de-facto authorities and in parallel, remain committed to the te</w:t>
      </w:r>
      <w:r w:rsidR="00652942">
        <w:rPr>
          <w:rFonts w:ascii="Times New Roman" w:hAnsi="Times New Roman"/>
          <w:sz w:val="24"/>
          <w:szCs w:val="24"/>
        </w:rPr>
        <w:t>rritorial integrity of Georgia.</w:t>
      </w:r>
      <w:r w:rsidR="00652942">
        <w:rPr>
          <w:rStyle w:val="FootnoteReference"/>
          <w:rFonts w:ascii="Times New Roman" w:hAnsi="Times New Roman"/>
          <w:sz w:val="24"/>
          <w:szCs w:val="24"/>
        </w:rPr>
        <w:footnoteReference w:id="359"/>
      </w:r>
      <w:r w:rsidRPr="0011545E">
        <w:rPr>
          <w:rFonts w:ascii="Times New Roman" w:hAnsi="Times New Roman"/>
          <w:b/>
          <w:sz w:val="24"/>
          <w:szCs w:val="24"/>
        </w:rPr>
        <w:t xml:space="preserve"> </w:t>
      </w:r>
      <w:r w:rsidRPr="0011545E">
        <w:rPr>
          <w:rFonts w:ascii="Times New Roman" w:hAnsi="Times New Roman"/>
          <w:sz w:val="24"/>
          <w:szCs w:val="24"/>
        </w:rPr>
        <w:t>Interestingly, the NREP is a non-documented policy and its objectives are synchronized with the dynamics of the c</w:t>
      </w:r>
      <w:r w:rsidR="00652942">
        <w:rPr>
          <w:rFonts w:ascii="Times New Roman" w:hAnsi="Times New Roman"/>
          <w:sz w:val="24"/>
          <w:szCs w:val="24"/>
        </w:rPr>
        <w:t>onflict transformation process.</w:t>
      </w:r>
      <w:r w:rsidR="00652942">
        <w:rPr>
          <w:rStyle w:val="FootnoteReference"/>
          <w:rFonts w:ascii="Times New Roman" w:hAnsi="Times New Roman"/>
          <w:sz w:val="24"/>
          <w:szCs w:val="24"/>
        </w:rPr>
        <w:footnoteReference w:id="360"/>
      </w:r>
      <w:r w:rsidRPr="0011545E">
        <w:rPr>
          <w:rFonts w:ascii="Times New Roman" w:hAnsi="Times New Roman"/>
          <w:sz w:val="24"/>
          <w:szCs w:val="24"/>
        </w:rPr>
        <w:t xml:space="preserve"> </w:t>
      </w:r>
    </w:p>
    <w:p w:rsidR="007A05FB" w:rsidRDefault="007A05FB" w:rsidP="0011545E">
      <w:pPr>
        <w:spacing w:line="360" w:lineRule="auto"/>
        <w:jc w:val="both"/>
        <w:rPr>
          <w:rFonts w:ascii="Times New Roman" w:hAnsi="Times New Roman"/>
          <w:sz w:val="24"/>
          <w:szCs w:val="24"/>
        </w:rPr>
      </w:pPr>
    </w:p>
    <w:p w:rsidR="007A05FB"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There are three main actors of</w:t>
      </w:r>
      <w:r w:rsidR="00BB4CC1">
        <w:rPr>
          <w:rFonts w:ascii="Times New Roman" w:hAnsi="Times New Roman"/>
          <w:sz w:val="24"/>
          <w:szCs w:val="24"/>
        </w:rPr>
        <w:t xml:space="preserve"> the policy: the EUSR, the EEAS, </w:t>
      </w:r>
      <w:r w:rsidRPr="0011545E">
        <w:rPr>
          <w:rFonts w:ascii="Times New Roman" w:hAnsi="Times New Roman"/>
          <w:sz w:val="24"/>
          <w:szCs w:val="24"/>
        </w:rPr>
        <w:t xml:space="preserve">and the EU Delegation in Georgia. All of them actively participate in </w:t>
      </w:r>
      <w:r w:rsidR="00BB4CC1">
        <w:rPr>
          <w:rFonts w:ascii="Times New Roman" w:hAnsi="Times New Roman"/>
          <w:sz w:val="24"/>
          <w:szCs w:val="24"/>
        </w:rPr>
        <w:t xml:space="preserve">shaping the policy and outlining </w:t>
      </w:r>
      <w:r w:rsidRPr="0011545E">
        <w:rPr>
          <w:rFonts w:ascii="Times New Roman" w:hAnsi="Times New Roman"/>
          <w:sz w:val="24"/>
          <w:szCs w:val="24"/>
        </w:rPr>
        <w:t>the</w:t>
      </w:r>
      <w:r w:rsidR="00BB4CC1">
        <w:rPr>
          <w:rFonts w:ascii="Times New Roman" w:hAnsi="Times New Roman"/>
          <w:sz w:val="24"/>
          <w:szCs w:val="24"/>
        </w:rPr>
        <w:t>ir</w:t>
      </w:r>
      <w:r w:rsidRPr="0011545E">
        <w:rPr>
          <w:rFonts w:ascii="Times New Roman" w:hAnsi="Times New Roman"/>
          <w:sz w:val="24"/>
          <w:szCs w:val="24"/>
        </w:rPr>
        <w:t xml:space="preserve"> priorities. Furthermore, the EU has underlined the importance of the NREP on many occasions, including the Assoc</w:t>
      </w:r>
      <w:r w:rsidR="00652942">
        <w:rPr>
          <w:rFonts w:ascii="Times New Roman" w:hAnsi="Times New Roman"/>
          <w:sz w:val="24"/>
          <w:szCs w:val="24"/>
        </w:rPr>
        <w:t>iation Agreements with Georgia.</w:t>
      </w:r>
      <w:r w:rsidR="00652942">
        <w:rPr>
          <w:rStyle w:val="FootnoteReference"/>
          <w:rFonts w:ascii="Times New Roman" w:hAnsi="Times New Roman"/>
          <w:sz w:val="24"/>
          <w:szCs w:val="24"/>
        </w:rPr>
        <w:footnoteReference w:id="361"/>
      </w:r>
      <w:r w:rsidRPr="0011545E">
        <w:rPr>
          <w:rFonts w:ascii="Times New Roman" w:hAnsi="Times New Roman"/>
          <w:sz w:val="24"/>
          <w:szCs w:val="24"/>
        </w:rPr>
        <w:t xml:space="preserve"> The financial</w:t>
      </w:r>
      <w:r w:rsidR="00BB4CC1">
        <w:rPr>
          <w:rFonts w:ascii="Times New Roman" w:hAnsi="Times New Roman"/>
          <w:sz w:val="24"/>
          <w:szCs w:val="24"/>
        </w:rPr>
        <w:t xml:space="preserve"> instruments are considered as the</w:t>
      </w:r>
      <w:r w:rsidRPr="0011545E">
        <w:rPr>
          <w:rFonts w:ascii="Times New Roman" w:hAnsi="Times New Roman"/>
          <w:sz w:val="24"/>
          <w:szCs w:val="24"/>
        </w:rPr>
        <w:t xml:space="preserve"> main mechan</w:t>
      </w:r>
      <w:r w:rsidR="00BB4CC1">
        <w:rPr>
          <w:rFonts w:ascii="Times New Roman" w:hAnsi="Times New Roman"/>
          <w:sz w:val="24"/>
          <w:szCs w:val="24"/>
        </w:rPr>
        <w:t xml:space="preserve">ism of the NREP </w:t>
      </w:r>
      <w:proofErr w:type="gramStart"/>
      <w:r w:rsidR="00BB4CC1">
        <w:rPr>
          <w:rFonts w:ascii="Times New Roman" w:hAnsi="Times New Roman"/>
          <w:sz w:val="24"/>
          <w:szCs w:val="24"/>
        </w:rPr>
        <w:t xml:space="preserve">concerning </w:t>
      </w:r>
      <w:r w:rsidRPr="0011545E">
        <w:rPr>
          <w:rFonts w:ascii="Times New Roman" w:hAnsi="Times New Roman"/>
          <w:sz w:val="24"/>
          <w:szCs w:val="24"/>
        </w:rPr>
        <w:t xml:space="preserve"> Abkhazia</w:t>
      </w:r>
      <w:proofErr w:type="gramEnd"/>
      <w:r w:rsidRPr="0011545E">
        <w:rPr>
          <w:rFonts w:ascii="Times New Roman" w:hAnsi="Times New Roman"/>
          <w:sz w:val="24"/>
          <w:szCs w:val="24"/>
        </w:rPr>
        <w:t xml:space="preserve"> and</w:t>
      </w:r>
      <w:r w:rsidR="00930887">
        <w:rPr>
          <w:rFonts w:ascii="Times New Roman" w:hAnsi="Times New Roman"/>
          <w:sz w:val="24"/>
          <w:szCs w:val="24"/>
        </w:rPr>
        <w:t xml:space="preserve"> South Ossetia. </w:t>
      </w:r>
      <w:proofErr w:type="gramStart"/>
      <w:r w:rsidR="00930887">
        <w:rPr>
          <w:rFonts w:ascii="Times New Roman" w:hAnsi="Times New Roman"/>
          <w:sz w:val="24"/>
          <w:szCs w:val="24"/>
        </w:rPr>
        <w:t>Between 2008-201</w:t>
      </w:r>
      <w:r w:rsidRPr="0011545E">
        <w:rPr>
          <w:rFonts w:ascii="Times New Roman" w:hAnsi="Times New Roman"/>
          <w:sz w:val="24"/>
          <w:szCs w:val="24"/>
        </w:rPr>
        <w:t>7</w:t>
      </w:r>
      <w:proofErr w:type="gramEnd"/>
      <w:r w:rsidRPr="0011545E">
        <w:rPr>
          <w:rFonts w:ascii="Times New Roman" w:hAnsi="Times New Roman"/>
          <w:sz w:val="24"/>
          <w:szCs w:val="24"/>
        </w:rPr>
        <w:t xml:space="preserve"> the EU allocated more than </w:t>
      </w:r>
      <w:r w:rsidR="00930887" w:rsidRPr="00930887">
        <w:rPr>
          <w:rFonts w:ascii="Times New Roman" w:hAnsi="Times New Roman"/>
          <w:color w:val="222222"/>
          <w:sz w:val="24"/>
          <w:szCs w:val="24"/>
          <w:shd w:val="clear" w:color="auto" w:fill="FFFFFF"/>
        </w:rPr>
        <w:t>€</w:t>
      </w:r>
      <w:r w:rsidR="00930887">
        <w:rPr>
          <w:rFonts w:ascii="Times New Roman" w:hAnsi="Times New Roman"/>
          <w:sz w:val="24"/>
          <w:szCs w:val="24"/>
        </w:rPr>
        <w:t>40 million</w:t>
      </w:r>
      <w:r w:rsidRPr="0011545E">
        <w:rPr>
          <w:rFonts w:ascii="Times New Roman" w:hAnsi="Times New Roman"/>
          <w:sz w:val="24"/>
          <w:szCs w:val="24"/>
        </w:rPr>
        <w:t xml:space="preserve"> in Abkhazia, mainl</w:t>
      </w:r>
      <w:r w:rsidR="00652942">
        <w:rPr>
          <w:rFonts w:ascii="Times New Roman" w:hAnsi="Times New Roman"/>
          <w:sz w:val="24"/>
          <w:szCs w:val="24"/>
        </w:rPr>
        <w:t xml:space="preserve">y through the </w:t>
      </w:r>
      <w:r w:rsidR="00652942">
        <w:rPr>
          <w:rFonts w:ascii="Times New Roman" w:hAnsi="Times New Roman"/>
          <w:sz w:val="24"/>
          <w:szCs w:val="24"/>
        </w:rPr>
        <w:lastRenderedPageBreak/>
        <w:t>UN and Red Cross.</w:t>
      </w:r>
      <w:r w:rsidR="00652942">
        <w:rPr>
          <w:rStyle w:val="FootnoteReference"/>
          <w:rFonts w:ascii="Times New Roman" w:hAnsi="Times New Roman"/>
          <w:sz w:val="24"/>
          <w:szCs w:val="24"/>
        </w:rPr>
        <w:footnoteReference w:id="362"/>
      </w:r>
      <w:r w:rsidRPr="0011545E">
        <w:rPr>
          <w:rFonts w:ascii="Times New Roman" w:hAnsi="Times New Roman"/>
          <w:sz w:val="24"/>
          <w:szCs w:val="24"/>
        </w:rPr>
        <w:t xml:space="preserve"> Due to the indirect e</w:t>
      </w:r>
      <w:r w:rsidR="00BB4CC1">
        <w:rPr>
          <w:rFonts w:ascii="Times New Roman" w:hAnsi="Times New Roman"/>
          <w:sz w:val="24"/>
          <w:szCs w:val="24"/>
        </w:rPr>
        <w:t xml:space="preserve">ngagement, lack of transparency, </w:t>
      </w:r>
      <w:r w:rsidRPr="0011545E">
        <w:rPr>
          <w:rFonts w:ascii="Times New Roman" w:hAnsi="Times New Roman"/>
          <w:sz w:val="24"/>
          <w:szCs w:val="24"/>
        </w:rPr>
        <w:t>and extreme corruption of the de-facto authorities, the EU’s profile and awareness about its activities in contested regions remain significantly low.</w:t>
      </w:r>
      <w:r w:rsidR="000E6247">
        <w:rPr>
          <w:rStyle w:val="FootnoteReference"/>
          <w:rFonts w:ascii="Times New Roman" w:hAnsi="Times New Roman"/>
          <w:sz w:val="24"/>
          <w:szCs w:val="24"/>
        </w:rPr>
        <w:footnoteReference w:id="363"/>
      </w:r>
      <w:r w:rsidRPr="0011545E">
        <w:rPr>
          <w:rFonts w:ascii="Times New Roman" w:hAnsi="Times New Roman"/>
          <w:sz w:val="24"/>
          <w:szCs w:val="24"/>
        </w:rPr>
        <w:t xml:space="preserve"> Furthermore, in the last five years</w:t>
      </w:r>
      <w:r w:rsidR="00BB4CC1">
        <w:rPr>
          <w:rFonts w:ascii="Times New Roman" w:hAnsi="Times New Roman"/>
          <w:sz w:val="24"/>
          <w:szCs w:val="24"/>
        </w:rPr>
        <w:t xml:space="preserve">, </w:t>
      </w:r>
      <w:r w:rsidRPr="0011545E">
        <w:rPr>
          <w:rFonts w:ascii="Times New Roman" w:hAnsi="Times New Roman"/>
          <w:sz w:val="24"/>
          <w:szCs w:val="24"/>
        </w:rPr>
        <w:t>Abkhazia has increasingly dependent o</w:t>
      </w:r>
      <w:r w:rsidR="00930887">
        <w:rPr>
          <w:rFonts w:ascii="Times New Roman" w:hAnsi="Times New Roman"/>
          <w:sz w:val="24"/>
          <w:szCs w:val="24"/>
        </w:rPr>
        <w:t xml:space="preserve">n Russian subsidies. </w:t>
      </w:r>
      <w:proofErr w:type="gramStart"/>
      <w:r w:rsidR="00930887">
        <w:rPr>
          <w:rFonts w:ascii="Times New Roman" w:hAnsi="Times New Roman"/>
          <w:sz w:val="24"/>
          <w:szCs w:val="24"/>
        </w:rPr>
        <w:t>Between 2013-201</w:t>
      </w:r>
      <w:r w:rsidRPr="0011545E">
        <w:rPr>
          <w:rFonts w:ascii="Times New Roman" w:hAnsi="Times New Roman"/>
          <w:sz w:val="24"/>
          <w:szCs w:val="24"/>
        </w:rPr>
        <w:t>8,</w:t>
      </w:r>
      <w:proofErr w:type="gramEnd"/>
      <w:r w:rsidRPr="0011545E">
        <w:rPr>
          <w:rFonts w:ascii="Times New Roman" w:hAnsi="Times New Roman"/>
          <w:sz w:val="24"/>
          <w:szCs w:val="24"/>
        </w:rPr>
        <w:t xml:space="preserve"> 75% of the Abkhaz budget consisted of</w:t>
      </w:r>
      <w:r w:rsidR="00FE1072">
        <w:rPr>
          <w:rFonts w:ascii="Times New Roman" w:hAnsi="Times New Roman"/>
          <w:sz w:val="24"/>
          <w:szCs w:val="24"/>
        </w:rPr>
        <w:t xml:space="preserve"> Russian financial support.</w:t>
      </w:r>
      <w:r w:rsidR="00FE1072">
        <w:rPr>
          <w:rStyle w:val="FootnoteReference"/>
          <w:rFonts w:ascii="Times New Roman" w:hAnsi="Times New Roman"/>
          <w:sz w:val="24"/>
          <w:szCs w:val="24"/>
        </w:rPr>
        <w:footnoteReference w:id="364"/>
      </w:r>
      <w:r w:rsidRPr="0011545E">
        <w:rPr>
          <w:rFonts w:ascii="Times New Roman" w:hAnsi="Times New Roman"/>
          <w:sz w:val="24"/>
          <w:szCs w:val="24"/>
        </w:rPr>
        <w:t xml:space="preserve"> In 2017, the total amount of the Abkhazian budget amounted to </w:t>
      </w:r>
      <w:r w:rsidR="00930887">
        <w:rPr>
          <w:rFonts w:ascii="Times New Roman" w:hAnsi="Times New Roman"/>
          <w:color w:val="222222"/>
          <w:sz w:val="24"/>
          <w:szCs w:val="24"/>
          <w:shd w:val="clear" w:color="auto" w:fill="FFFFFF"/>
        </w:rPr>
        <w:t xml:space="preserve">RUB </w:t>
      </w:r>
      <w:r w:rsidR="00930887">
        <w:rPr>
          <w:rFonts w:ascii="Times New Roman" w:hAnsi="Times New Roman"/>
          <w:sz w:val="24"/>
          <w:szCs w:val="24"/>
        </w:rPr>
        <w:t>10.2 billion (</w:t>
      </w:r>
      <w:proofErr w:type="gramStart"/>
      <w:r w:rsidR="00930887">
        <w:rPr>
          <w:rFonts w:ascii="Times New Roman" w:hAnsi="Times New Roman"/>
          <w:sz w:val="24"/>
          <w:szCs w:val="24"/>
        </w:rPr>
        <w:t>approx..</w:t>
      </w:r>
      <w:proofErr w:type="gramEnd"/>
      <w:r w:rsidRPr="0011545E">
        <w:rPr>
          <w:rFonts w:ascii="Times New Roman" w:hAnsi="Times New Roman"/>
          <w:sz w:val="24"/>
          <w:szCs w:val="24"/>
        </w:rPr>
        <w:t xml:space="preserve"> </w:t>
      </w:r>
      <w:r w:rsidR="00930887" w:rsidRPr="00930887">
        <w:rPr>
          <w:rFonts w:ascii="Times New Roman" w:hAnsi="Times New Roman"/>
          <w:color w:val="222222"/>
          <w:sz w:val="24"/>
          <w:szCs w:val="24"/>
          <w:shd w:val="clear" w:color="auto" w:fill="FFFFFF"/>
        </w:rPr>
        <w:t>€</w:t>
      </w:r>
      <w:r w:rsidR="00930887">
        <w:rPr>
          <w:rFonts w:ascii="Times New Roman" w:hAnsi="Times New Roman"/>
          <w:sz w:val="24"/>
          <w:szCs w:val="24"/>
        </w:rPr>
        <w:t>150 million</w:t>
      </w:r>
      <w:r w:rsidRPr="0011545E">
        <w:rPr>
          <w:rFonts w:ascii="Times New Roman" w:hAnsi="Times New Roman"/>
          <w:sz w:val="24"/>
          <w:szCs w:val="24"/>
        </w:rPr>
        <w:t xml:space="preserve">);  more than half of it came from the Russian subsidies </w:t>
      </w:r>
      <w:r w:rsidR="00930887">
        <w:rPr>
          <w:rFonts w:ascii="Times New Roman" w:hAnsi="Times New Roman"/>
          <w:sz w:val="24"/>
          <w:szCs w:val="24"/>
        </w:rPr>
        <w:t>–</w:t>
      </w:r>
      <w:r w:rsidRPr="0011545E">
        <w:rPr>
          <w:rFonts w:ascii="Times New Roman" w:hAnsi="Times New Roman"/>
          <w:sz w:val="24"/>
          <w:szCs w:val="24"/>
        </w:rPr>
        <w:t xml:space="preserve"> </w:t>
      </w:r>
      <w:r w:rsidR="00930887">
        <w:rPr>
          <w:rFonts w:ascii="Times New Roman" w:hAnsi="Times New Roman"/>
          <w:sz w:val="24"/>
          <w:szCs w:val="24"/>
        </w:rPr>
        <w:t>RUB 5.3 billion Russian (approx.</w:t>
      </w:r>
      <w:r w:rsidR="004009CA">
        <w:rPr>
          <w:rFonts w:ascii="Times New Roman" w:hAnsi="Times New Roman"/>
          <w:sz w:val="24"/>
          <w:szCs w:val="24"/>
        </w:rPr>
        <w:t xml:space="preserve"> </w:t>
      </w:r>
      <w:r w:rsidR="00930887" w:rsidRPr="00930887">
        <w:rPr>
          <w:rFonts w:ascii="Times New Roman" w:hAnsi="Times New Roman"/>
          <w:color w:val="222222"/>
          <w:sz w:val="24"/>
          <w:szCs w:val="24"/>
          <w:shd w:val="clear" w:color="auto" w:fill="FFFFFF"/>
        </w:rPr>
        <w:t>€</w:t>
      </w:r>
      <w:r w:rsidR="00930887">
        <w:rPr>
          <w:rFonts w:ascii="Times New Roman" w:hAnsi="Times New Roman"/>
          <w:sz w:val="24"/>
          <w:szCs w:val="24"/>
        </w:rPr>
        <w:t>70 million</w:t>
      </w:r>
      <w:r w:rsidR="004009CA">
        <w:rPr>
          <w:rFonts w:ascii="Times New Roman" w:hAnsi="Times New Roman"/>
          <w:sz w:val="24"/>
          <w:szCs w:val="24"/>
        </w:rPr>
        <w:t>).</w:t>
      </w:r>
      <w:r w:rsidR="004009CA">
        <w:rPr>
          <w:rStyle w:val="FootnoteReference"/>
          <w:rFonts w:ascii="Times New Roman" w:hAnsi="Times New Roman"/>
          <w:sz w:val="24"/>
          <w:szCs w:val="24"/>
        </w:rPr>
        <w:footnoteReference w:id="365"/>
      </w:r>
      <w:r w:rsidRPr="0011545E">
        <w:rPr>
          <w:rFonts w:ascii="Times New Roman" w:hAnsi="Times New Roman"/>
          <w:sz w:val="24"/>
          <w:szCs w:val="24"/>
        </w:rPr>
        <w:t xml:space="preserve"> </w:t>
      </w:r>
    </w:p>
    <w:p w:rsidR="007A05FB" w:rsidRDefault="007A05FB" w:rsidP="0011545E">
      <w:pPr>
        <w:spacing w:line="360" w:lineRule="auto"/>
        <w:jc w:val="both"/>
        <w:rPr>
          <w:rFonts w:ascii="Times New Roman" w:hAnsi="Times New Roman"/>
          <w:sz w:val="24"/>
          <w:szCs w:val="24"/>
        </w:rPr>
      </w:pPr>
    </w:p>
    <w:p w:rsidR="006A400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The Kremlin’s efforts to </w:t>
      </w:r>
      <w:r w:rsidR="007A05FB">
        <w:rPr>
          <w:rFonts w:ascii="Times New Roman" w:hAnsi="Times New Roman"/>
          <w:sz w:val="24"/>
          <w:szCs w:val="24"/>
        </w:rPr>
        <w:t>strengthen the economic leverage on the</w:t>
      </w:r>
      <w:r w:rsidRPr="0011545E">
        <w:rPr>
          <w:rFonts w:ascii="Times New Roman" w:hAnsi="Times New Roman"/>
          <w:sz w:val="24"/>
          <w:szCs w:val="24"/>
        </w:rPr>
        <w:t xml:space="preserve"> de-fact</w:t>
      </w:r>
      <w:r w:rsidR="00BB4CC1">
        <w:rPr>
          <w:rFonts w:ascii="Times New Roman" w:hAnsi="Times New Roman"/>
          <w:sz w:val="24"/>
          <w:szCs w:val="24"/>
        </w:rPr>
        <w:t>o authorities efficiently serve</w:t>
      </w:r>
      <w:r w:rsidRPr="0011545E">
        <w:rPr>
          <w:rFonts w:ascii="Times New Roman" w:hAnsi="Times New Roman"/>
          <w:sz w:val="24"/>
          <w:szCs w:val="24"/>
        </w:rPr>
        <w:t xml:space="preserve"> a counter-strategy to the NREP financial mechanisms. The EU’s inability to challenge Russian in </w:t>
      </w:r>
      <w:r w:rsidR="00BB4CC1">
        <w:rPr>
          <w:rFonts w:ascii="Times New Roman" w:hAnsi="Times New Roman"/>
          <w:sz w:val="24"/>
          <w:szCs w:val="24"/>
        </w:rPr>
        <w:t xml:space="preserve">the </w:t>
      </w:r>
      <w:r w:rsidRPr="0011545E">
        <w:rPr>
          <w:rFonts w:ascii="Times New Roman" w:hAnsi="Times New Roman"/>
          <w:sz w:val="24"/>
          <w:szCs w:val="24"/>
        </w:rPr>
        <w:t xml:space="preserve">financial aspect significantly limits its role and engagement </w:t>
      </w:r>
      <w:r w:rsidR="007A05FB">
        <w:rPr>
          <w:rFonts w:ascii="Times New Roman" w:hAnsi="Times New Roman"/>
          <w:sz w:val="24"/>
          <w:szCs w:val="24"/>
        </w:rPr>
        <w:t xml:space="preserve">scope in the contested states. </w:t>
      </w:r>
      <w:r w:rsidRPr="0011545E">
        <w:rPr>
          <w:rFonts w:ascii="Times New Roman" w:hAnsi="Times New Roman"/>
          <w:sz w:val="24"/>
          <w:szCs w:val="24"/>
        </w:rPr>
        <w:t>Furthermore, the NREP lacks the essential incentives which will contribute towards the people-to-people relations, facil</w:t>
      </w:r>
      <w:r w:rsidR="00E204B8">
        <w:rPr>
          <w:rFonts w:ascii="Times New Roman" w:hAnsi="Times New Roman"/>
          <w:sz w:val="24"/>
          <w:szCs w:val="24"/>
        </w:rPr>
        <w:t xml:space="preserve">itation of economic cooperation, </w:t>
      </w:r>
      <w:r w:rsidRPr="0011545E">
        <w:rPr>
          <w:rFonts w:ascii="Times New Roman" w:hAnsi="Times New Roman"/>
          <w:sz w:val="24"/>
          <w:szCs w:val="24"/>
        </w:rPr>
        <w:t>and restoration of trade, free move</w:t>
      </w:r>
      <w:r w:rsidR="00F61B83">
        <w:rPr>
          <w:rFonts w:ascii="Times New Roman" w:hAnsi="Times New Roman"/>
          <w:sz w:val="24"/>
          <w:szCs w:val="24"/>
        </w:rPr>
        <w:t xml:space="preserve">ment, </w:t>
      </w:r>
      <w:proofErr w:type="gramStart"/>
      <w:r w:rsidR="00F61B83">
        <w:rPr>
          <w:rFonts w:ascii="Times New Roman" w:hAnsi="Times New Roman"/>
          <w:sz w:val="24"/>
          <w:szCs w:val="24"/>
        </w:rPr>
        <w:t>educational</w:t>
      </w:r>
      <w:proofErr w:type="gramEnd"/>
      <w:r w:rsidR="00F61B83">
        <w:rPr>
          <w:rFonts w:ascii="Times New Roman" w:hAnsi="Times New Roman"/>
          <w:sz w:val="24"/>
          <w:szCs w:val="24"/>
        </w:rPr>
        <w:t xml:space="preserve"> programs.</w:t>
      </w:r>
      <w:r w:rsidRPr="0011545E">
        <w:rPr>
          <w:rFonts w:ascii="Times New Roman" w:hAnsi="Times New Roman"/>
          <w:sz w:val="24"/>
          <w:szCs w:val="24"/>
        </w:rPr>
        <w:t xml:space="preserve"> The de-facto authorities often imply on the mixed signals of the EU’s NREP strategy </w:t>
      </w:r>
      <w:r w:rsidR="004009CA">
        <w:rPr>
          <w:rFonts w:ascii="Times New Roman" w:hAnsi="Times New Roman"/>
          <w:sz w:val="24"/>
          <w:szCs w:val="24"/>
        </w:rPr>
        <w:t>and show very low trust levels.</w:t>
      </w:r>
      <w:r w:rsidRPr="0011545E">
        <w:rPr>
          <w:rFonts w:ascii="Times New Roman" w:hAnsi="Times New Roman"/>
          <w:sz w:val="24"/>
          <w:szCs w:val="24"/>
        </w:rPr>
        <w:t xml:space="preserve"> Both Abkhaz and th</w:t>
      </w:r>
      <w:r w:rsidR="00BB4CC1">
        <w:rPr>
          <w:rFonts w:ascii="Times New Roman" w:hAnsi="Times New Roman"/>
          <w:sz w:val="24"/>
          <w:szCs w:val="24"/>
        </w:rPr>
        <w:t>e South Ossetian society refuse</w:t>
      </w:r>
      <w:r w:rsidRPr="0011545E">
        <w:rPr>
          <w:rFonts w:ascii="Times New Roman" w:hAnsi="Times New Roman"/>
          <w:sz w:val="24"/>
          <w:szCs w:val="24"/>
        </w:rPr>
        <w:t xml:space="preserve"> to subordinate their state-building objectives with the EU’s interests. Moreover, they perceive the EU as su</w:t>
      </w:r>
      <w:r w:rsidR="004009CA">
        <w:rPr>
          <w:rFonts w:ascii="Times New Roman" w:hAnsi="Times New Roman"/>
          <w:sz w:val="24"/>
          <w:szCs w:val="24"/>
        </w:rPr>
        <w:t>bjective and not being neutral.</w:t>
      </w:r>
      <w:r w:rsidR="004009CA">
        <w:rPr>
          <w:rStyle w:val="FootnoteReference"/>
          <w:rFonts w:ascii="Times New Roman" w:hAnsi="Times New Roman"/>
          <w:sz w:val="24"/>
          <w:szCs w:val="24"/>
        </w:rPr>
        <w:footnoteReference w:id="366"/>
      </w:r>
      <w:r w:rsidRPr="0011545E">
        <w:rPr>
          <w:rFonts w:ascii="Times New Roman" w:hAnsi="Times New Roman"/>
          <w:sz w:val="24"/>
          <w:szCs w:val="24"/>
        </w:rPr>
        <w:t xml:space="preserve"> The NREP has shown very limited efficiency concerning the issues of the refugees and IDPs. The initial objective of the strategy was to achieve </w:t>
      </w:r>
      <w:r w:rsidR="00BB4CC1">
        <w:rPr>
          <w:rFonts w:ascii="Times New Roman" w:hAnsi="Times New Roman"/>
          <w:sz w:val="24"/>
          <w:szCs w:val="24"/>
        </w:rPr>
        <w:t xml:space="preserve">a </w:t>
      </w:r>
      <w:r w:rsidRPr="0011545E">
        <w:rPr>
          <w:rFonts w:ascii="Times New Roman" w:hAnsi="Times New Roman"/>
          <w:sz w:val="24"/>
          <w:szCs w:val="24"/>
        </w:rPr>
        <w:t xml:space="preserve">peaceful and secure return of these groups to their homes. However, from </w:t>
      </w:r>
      <w:r w:rsidR="00BB4CC1">
        <w:rPr>
          <w:rFonts w:ascii="Times New Roman" w:hAnsi="Times New Roman"/>
          <w:sz w:val="24"/>
          <w:szCs w:val="24"/>
        </w:rPr>
        <w:t xml:space="preserve">a </w:t>
      </w:r>
      <w:r w:rsidRPr="0011545E">
        <w:rPr>
          <w:rFonts w:ascii="Times New Roman" w:hAnsi="Times New Roman"/>
          <w:sz w:val="24"/>
          <w:szCs w:val="24"/>
        </w:rPr>
        <w:t>realistic point of view</w:t>
      </w:r>
      <w:r w:rsidR="00BB4CC1">
        <w:rPr>
          <w:rFonts w:ascii="Times New Roman" w:hAnsi="Times New Roman"/>
          <w:sz w:val="24"/>
          <w:szCs w:val="24"/>
        </w:rPr>
        <w:t>,</w:t>
      </w:r>
      <w:r w:rsidR="00E95849">
        <w:rPr>
          <w:rFonts w:ascii="Times New Roman" w:hAnsi="Times New Roman"/>
          <w:sz w:val="24"/>
          <w:szCs w:val="24"/>
        </w:rPr>
        <w:t xml:space="preserve"> this goal will not</w:t>
      </w:r>
      <w:r w:rsidRPr="0011545E">
        <w:rPr>
          <w:rFonts w:ascii="Times New Roman" w:hAnsi="Times New Roman"/>
          <w:sz w:val="24"/>
          <w:szCs w:val="24"/>
        </w:rPr>
        <w:t xml:space="preserve"> be achieved in </w:t>
      </w:r>
      <w:r w:rsidR="00BB4CC1">
        <w:rPr>
          <w:rFonts w:ascii="Times New Roman" w:hAnsi="Times New Roman"/>
          <w:sz w:val="24"/>
          <w:szCs w:val="24"/>
        </w:rPr>
        <w:t xml:space="preserve">the </w:t>
      </w:r>
      <w:r w:rsidRPr="0011545E">
        <w:rPr>
          <w:rFonts w:ascii="Times New Roman" w:hAnsi="Times New Roman"/>
          <w:sz w:val="24"/>
          <w:szCs w:val="24"/>
        </w:rPr>
        <w:t>foreseeable future. It must be emphasized that the practice of collective non-recognition of the</w:t>
      </w:r>
      <w:r w:rsidR="00E204B8">
        <w:rPr>
          <w:rFonts w:ascii="Times New Roman" w:hAnsi="Times New Roman"/>
          <w:sz w:val="24"/>
          <w:szCs w:val="24"/>
        </w:rPr>
        <w:t xml:space="preserve"> EU member states in regarding</w:t>
      </w:r>
      <w:r w:rsidRPr="0011545E">
        <w:rPr>
          <w:rFonts w:ascii="Times New Roman" w:hAnsi="Times New Roman"/>
          <w:sz w:val="24"/>
          <w:szCs w:val="24"/>
        </w:rPr>
        <w:t xml:space="preserve"> the contested regions of Georgia play</w:t>
      </w:r>
      <w:r w:rsidR="00BB4CC1">
        <w:rPr>
          <w:rFonts w:ascii="Times New Roman" w:hAnsi="Times New Roman"/>
          <w:sz w:val="24"/>
          <w:szCs w:val="24"/>
        </w:rPr>
        <w:t>s</w:t>
      </w:r>
      <w:r w:rsidRPr="0011545E">
        <w:rPr>
          <w:rFonts w:ascii="Times New Roman" w:hAnsi="Times New Roman"/>
          <w:sz w:val="24"/>
          <w:szCs w:val="24"/>
        </w:rPr>
        <w:t xml:space="preserve"> </w:t>
      </w:r>
      <w:r w:rsidR="00BB4CC1">
        <w:rPr>
          <w:rFonts w:ascii="Times New Roman" w:hAnsi="Times New Roman"/>
          <w:sz w:val="24"/>
          <w:szCs w:val="24"/>
        </w:rPr>
        <w:t xml:space="preserve">a </w:t>
      </w:r>
      <w:r w:rsidRPr="0011545E">
        <w:rPr>
          <w:rFonts w:ascii="Times New Roman" w:hAnsi="Times New Roman"/>
          <w:sz w:val="24"/>
          <w:szCs w:val="24"/>
        </w:rPr>
        <w:t xml:space="preserve">crucial role in shaping the political opinion globally and strengthening the Georgian sovereignty. Moreover, the engagement with the contested states, even in </w:t>
      </w:r>
      <w:r w:rsidR="00BB4CC1">
        <w:rPr>
          <w:rFonts w:ascii="Times New Roman" w:hAnsi="Times New Roman"/>
          <w:sz w:val="24"/>
          <w:szCs w:val="24"/>
        </w:rPr>
        <w:t xml:space="preserve">a </w:t>
      </w:r>
      <w:r w:rsidRPr="0011545E">
        <w:rPr>
          <w:rFonts w:ascii="Times New Roman" w:hAnsi="Times New Roman"/>
          <w:sz w:val="24"/>
          <w:szCs w:val="24"/>
        </w:rPr>
        <w:t xml:space="preserve">limited capacity and incoherent character contributes to </w:t>
      </w:r>
      <w:r w:rsidR="00BB4CC1">
        <w:rPr>
          <w:rFonts w:ascii="Times New Roman" w:hAnsi="Times New Roman"/>
          <w:sz w:val="24"/>
          <w:szCs w:val="24"/>
        </w:rPr>
        <w:t xml:space="preserve">the </w:t>
      </w:r>
      <w:r w:rsidRPr="0011545E">
        <w:rPr>
          <w:rFonts w:ascii="Times New Roman" w:hAnsi="Times New Roman"/>
          <w:sz w:val="24"/>
          <w:szCs w:val="24"/>
        </w:rPr>
        <w:t xml:space="preserve">stabilization of the conflict dynamics and de-escalation of the confrontation. However, the complexity of the frozen conflicts in Georgia and politically subtle demands of the confronting parties lay-out the weaknesses of the NREP </w:t>
      </w:r>
      <w:r w:rsidRPr="0011545E">
        <w:rPr>
          <w:rFonts w:ascii="Times New Roman" w:hAnsi="Times New Roman"/>
          <w:sz w:val="24"/>
          <w:szCs w:val="24"/>
        </w:rPr>
        <w:lastRenderedPageBreak/>
        <w:t>and underline the necessity for essentially differentiated and carefully calibrated approach which will target the specific area</w:t>
      </w:r>
      <w:r w:rsidR="00930887">
        <w:rPr>
          <w:rFonts w:ascii="Times New Roman" w:hAnsi="Times New Roman"/>
          <w:sz w:val="24"/>
          <w:szCs w:val="24"/>
        </w:rPr>
        <w:t xml:space="preserve">s of the separatist conflicts. </w:t>
      </w:r>
    </w:p>
    <w:p w:rsidR="002A005E" w:rsidRDefault="002A005E" w:rsidP="002A005E">
      <w:pPr>
        <w:pStyle w:val="NoSpacing"/>
      </w:pPr>
    </w:p>
    <w:p w:rsidR="00770EEF" w:rsidRPr="00D57DBE" w:rsidRDefault="00770EEF" w:rsidP="00D57DBE">
      <w:pPr>
        <w:pStyle w:val="NoSpacing"/>
      </w:pPr>
    </w:p>
    <w:p w:rsidR="003C44CE" w:rsidRDefault="003C44CE" w:rsidP="007B74C4">
      <w:pPr>
        <w:pStyle w:val="Heading2"/>
        <w:rPr>
          <w:color w:val="auto"/>
          <w:sz w:val="32"/>
          <w:szCs w:val="32"/>
        </w:rPr>
      </w:pPr>
      <w:bookmarkStart w:id="26" w:name="_Toc46952620"/>
      <w:r w:rsidRPr="00D57DBE">
        <w:rPr>
          <w:color w:val="auto"/>
          <w:sz w:val="32"/>
          <w:szCs w:val="32"/>
        </w:rPr>
        <w:t>4.2 Russia’</w:t>
      </w:r>
      <w:r w:rsidR="00F61F43" w:rsidRPr="00D57DBE">
        <w:rPr>
          <w:color w:val="auto"/>
          <w:sz w:val="32"/>
          <w:szCs w:val="32"/>
        </w:rPr>
        <w:t xml:space="preserve">s Leverage on </w:t>
      </w:r>
      <w:r w:rsidRPr="00D57DBE">
        <w:rPr>
          <w:color w:val="auto"/>
          <w:sz w:val="32"/>
          <w:szCs w:val="32"/>
        </w:rPr>
        <w:t>the Contested Regions</w:t>
      </w:r>
      <w:bookmarkEnd w:id="26"/>
    </w:p>
    <w:p w:rsidR="007A05FB" w:rsidRDefault="007A05FB" w:rsidP="007A05FB"/>
    <w:p w:rsidR="007B74C4" w:rsidRDefault="007A05FB" w:rsidP="007A05FB">
      <w:pPr>
        <w:pStyle w:val="NoSpacing"/>
        <w:spacing w:line="360" w:lineRule="auto"/>
        <w:jc w:val="both"/>
        <w:rPr>
          <w:rFonts w:ascii="Times New Roman" w:hAnsi="Times New Roman"/>
          <w:sz w:val="24"/>
          <w:szCs w:val="24"/>
        </w:rPr>
      </w:pPr>
      <w:r>
        <w:rPr>
          <w:rFonts w:ascii="Times New Roman" w:hAnsi="Times New Roman"/>
          <w:sz w:val="24"/>
          <w:szCs w:val="24"/>
        </w:rPr>
        <w:t xml:space="preserve">The Russian Federation perceives the EU’s political interests in the shared </w:t>
      </w:r>
      <w:r w:rsidR="00E204B8">
        <w:rPr>
          <w:rFonts w:ascii="Times New Roman" w:hAnsi="Times New Roman"/>
          <w:sz w:val="24"/>
          <w:szCs w:val="24"/>
        </w:rPr>
        <w:t xml:space="preserve">neighborhood as a threat to </w:t>
      </w:r>
      <w:r>
        <w:rPr>
          <w:rFonts w:ascii="Times New Roman" w:hAnsi="Times New Roman"/>
          <w:sz w:val="24"/>
          <w:szCs w:val="24"/>
        </w:rPr>
        <w:t>national interests. Throughout the last f</w:t>
      </w:r>
      <w:r w:rsidR="00E204B8">
        <w:rPr>
          <w:rFonts w:ascii="Times New Roman" w:hAnsi="Times New Roman"/>
          <w:sz w:val="24"/>
          <w:szCs w:val="24"/>
        </w:rPr>
        <w:t xml:space="preserve">ew decades, the Kremlin put significant financial, political, </w:t>
      </w:r>
      <w:r>
        <w:rPr>
          <w:rFonts w:ascii="Times New Roman" w:hAnsi="Times New Roman"/>
          <w:sz w:val="24"/>
          <w:szCs w:val="24"/>
        </w:rPr>
        <w:t>and at sometimes even military efforts to counterbalance the EU’s growing presence in the near abroad. The chapter presents the analysis of Ru</w:t>
      </w:r>
      <w:r w:rsidR="00E204B8">
        <w:rPr>
          <w:rFonts w:ascii="Times New Roman" w:hAnsi="Times New Roman"/>
          <w:sz w:val="24"/>
          <w:szCs w:val="24"/>
        </w:rPr>
        <w:t xml:space="preserve">ssia’s strategy concerning </w:t>
      </w:r>
      <w:r>
        <w:rPr>
          <w:rFonts w:ascii="Times New Roman" w:hAnsi="Times New Roman"/>
          <w:sz w:val="24"/>
          <w:szCs w:val="24"/>
        </w:rPr>
        <w:t>the contested regions and its geopolitical vision in the shared neighborhood.</w:t>
      </w:r>
    </w:p>
    <w:p w:rsidR="00233F22" w:rsidRPr="007A05FB" w:rsidRDefault="00233F22" w:rsidP="007A05FB">
      <w:pPr>
        <w:pStyle w:val="NoSpacing"/>
        <w:spacing w:line="360" w:lineRule="auto"/>
        <w:jc w:val="both"/>
        <w:rPr>
          <w:rFonts w:ascii="Times New Roman" w:hAnsi="Times New Roman"/>
          <w:sz w:val="24"/>
          <w:szCs w:val="24"/>
        </w:rPr>
      </w:pPr>
    </w:p>
    <w:p w:rsidR="00050BA9" w:rsidRPr="00D57DBE" w:rsidRDefault="00050BA9" w:rsidP="007B74C4">
      <w:pPr>
        <w:pStyle w:val="Heading2"/>
        <w:rPr>
          <w:color w:val="auto"/>
          <w:sz w:val="32"/>
          <w:szCs w:val="32"/>
        </w:rPr>
      </w:pPr>
      <w:bookmarkStart w:id="27" w:name="_Toc46952621"/>
      <w:r w:rsidRPr="00D57DBE">
        <w:rPr>
          <w:color w:val="auto"/>
          <w:sz w:val="32"/>
          <w:szCs w:val="32"/>
        </w:rPr>
        <w:t xml:space="preserve">4.2.1 </w:t>
      </w:r>
      <w:r w:rsidR="00233F22">
        <w:rPr>
          <w:color w:val="auto"/>
          <w:sz w:val="32"/>
          <w:szCs w:val="32"/>
        </w:rPr>
        <w:t>Political</w:t>
      </w:r>
      <w:r w:rsidR="003C44CE" w:rsidRPr="00D57DBE">
        <w:rPr>
          <w:color w:val="auto"/>
          <w:sz w:val="32"/>
          <w:szCs w:val="32"/>
        </w:rPr>
        <w:t xml:space="preserve"> Mechanisms: Passportization and Recognition</w:t>
      </w:r>
      <w:bookmarkEnd w:id="27"/>
    </w:p>
    <w:p w:rsidR="007B74C4" w:rsidRPr="007B74C4" w:rsidRDefault="007B74C4" w:rsidP="007B74C4"/>
    <w:p w:rsidR="00050BA9" w:rsidRPr="0011545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war in August 2008 brought drastic geopo</w:t>
      </w:r>
      <w:r w:rsidR="004009CA">
        <w:rPr>
          <w:rFonts w:ascii="Times New Roman" w:hAnsi="Times New Roman"/>
          <w:sz w:val="24"/>
          <w:szCs w:val="24"/>
        </w:rPr>
        <w:t xml:space="preserve">litical changes in the region. </w:t>
      </w:r>
      <w:r w:rsidRPr="0011545E">
        <w:rPr>
          <w:rFonts w:ascii="Times New Roman" w:hAnsi="Times New Roman"/>
          <w:sz w:val="24"/>
          <w:szCs w:val="24"/>
        </w:rPr>
        <w:t>On August 26</w:t>
      </w:r>
      <w:r w:rsidR="00BB4CC1">
        <w:rPr>
          <w:rFonts w:ascii="Times New Roman" w:hAnsi="Times New Roman"/>
          <w:sz w:val="24"/>
          <w:szCs w:val="24"/>
        </w:rPr>
        <w:t>,</w:t>
      </w:r>
      <w:r w:rsidRPr="0011545E">
        <w:rPr>
          <w:rFonts w:ascii="Times New Roman" w:hAnsi="Times New Roman"/>
          <w:sz w:val="24"/>
          <w:szCs w:val="24"/>
        </w:rPr>
        <w:t xml:space="preserve"> 2008, President of Russian Federation Dimitry </w:t>
      </w:r>
      <w:r w:rsidR="00BB4CC1">
        <w:rPr>
          <w:rFonts w:ascii="Times New Roman" w:hAnsi="Times New Roman"/>
          <w:sz w:val="24"/>
          <w:szCs w:val="24"/>
        </w:rPr>
        <w:t xml:space="preserve">Medvedev signed the state </w:t>
      </w:r>
      <w:r w:rsidR="00BB4CC1" w:rsidRPr="00930887">
        <w:rPr>
          <w:rFonts w:ascii="Times New Roman" w:hAnsi="Times New Roman"/>
          <w:i/>
          <w:sz w:val="24"/>
          <w:szCs w:val="24"/>
        </w:rPr>
        <w:t>decrees</w:t>
      </w:r>
      <w:r w:rsidR="00BB4CC1">
        <w:rPr>
          <w:rFonts w:ascii="Times New Roman" w:hAnsi="Times New Roman"/>
          <w:sz w:val="24"/>
          <w:szCs w:val="24"/>
        </w:rPr>
        <w:t xml:space="preserve"> </w:t>
      </w:r>
      <w:r w:rsidR="00BB4CC1" w:rsidRPr="00930887">
        <w:rPr>
          <w:rFonts w:ascii="Times New Roman" w:hAnsi="Times New Roman"/>
          <w:i/>
          <w:sz w:val="24"/>
          <w:szCs w:val="24"/>
        </w:rPr>
        <w:t>#</w:t>
      </w:r>
      <w:r w:rsidR="00BB4CC1" w:rsidRPr="00930887">
        <w:rPr>
          <w:i/>
          <w:sz w:val="24"/>
          <w:szCs w:val="24"/>
        </w:rPr>
        <w:t>1</w:t>
      </w:r>
      <w:r w:rsidRPr="00930887">
        <w:rPr>
          <w:rFonts w:ascii="Times New Roman" w:hAnsi="Times New Roman"/>
          <w:i/>
          <w:sz w:val="24"/>
          <w:szCs w:val="24"/>
        </w:rPr>
        <w:t>260</w:t>
      </w:r>
      <w:r w:rsidR="00BB4CC1">
        <w:rPr>
          <w:rFonts w:ascii="Times New Roman" w:hAnsi="Times New Roman"/>
          <w:sz w:val="24"/>
          <w:szCs w:val="24"/>
        </w:rPr>
        <w:t xml:space="preserve"> and </w:t>
      </w:r>
      <w:r w:rsidR="00BB4CC1" w:rsidRPr="00930887">
        <w:rPr>
          <w:i/>
        </w:rPr>
        <w:t>1</w:t>
      </w:r>
      <w:r w:rsidR="00BB4CC1" w:rsidRPr="00930887">
        <w:rPr>
          <w:rFonts w:ascii="Times New Roman" w:hAnsi="Times New Roman"/>
          <w:i/>
          <w:sz w:val="24"/>
          <w:szCs w:val="24"/>
        </w:rPr>
        <w:t>26</w:t>
      </w:r>
      <w:r w:rsidR="00BB4CC1" w:rsidRPr="00930887">
        <w:rPr>
          <w:i/>
        </w:rPr>
        <w:t>1</w:t>
      </w:r>
      <w:r w:rsidRPr="0011545E">
        <w:rPr>
          <w:rFonts w:ascii="Times New Roman" w:hAnsi="Times New Roman"/>
          <w:sz w:val="24"/>
          <w:szCs w:val="24"/>
        </w:rPr>
        <w:t xml:space="preserve"> which sanctioned the recognition of the sovereignty and independence of Abkha</w:t>
      </w:r>
      <w:r w:rsidR="004009CA">
        <w:rPr>
          <w:rFonts w:ascii="Times New Roman" w:hAnsi="Times New Roman"/>
          <w:sz w:val="24"/>
          <w:szCs w:val="24"/>
        </w:rPr>
        <w:t>zia and South Ossetia regions.</w:t>
      </w:r>
      <w:r w:rsidR="004009CA">
        <w:rPr>
          <w:rStyle w:val="FootnoteReference"/>
          <w:rFonts w:ascii="Times New Roman" w:hAnsi="Times New Roman"/>
          <w:sz w:val="24"/>
          <w:szCs w:val="24"/>
        </w:rPr>
        <w:footnoteReference w:id="367"/>
      </w:r>
      <w:r w:rsidR="00BB4CC1">
        <w:rPr>
          <w:rFonts w:ascii="Times New Roman" w:hAnsi="Times New Roman"/>
          <w:sz w:val="24"/>
          <w:szCs w:val="24"/>
        </w:rPr>
        <w:t xml:space="preserve"> An</w:t>
      </w:r>
      <w:r w:rsidRPr="0011545E">
        <w:rPr>
          <w:rFonts w:ascii="Times New Roman" w:hAnsi="Times New Roman"/>
          <w:sz w:val="24"/>
          <w:szCs w:val="24"/>
        </w:rPr>
        <w:t xml:space="preserve"> unprecedented event, the Kremlin loudly procla</w:t>
      </w:r>
      <w:r w:rsidR="00BB4CC1">
        <w:rPr>
          <w:rFonts w:ascii="Times New Roman" w:hAnsi="Times New Roman"/>
          <w:sz w:val="24"/>
          <w:szCs w:val="24"/>
        </w:rPr>
        <w:t>imed its geostrategic interest</w:t>
      </w:r>
      <w:r w:rsidRPr="0011545E">
        <w:rPr>
          <w:rFonts w:ascii="Times New Roman" w:hAnsi="Times New Roman"/>
          <w:sz w:val="24"/>
          <w:szCs w:val="24"/>
        </w:rPr>
        <w:t xml:space="preserve"> in these regions and declared the readiness to defend its compatriots fr</w:t>
      </w:r>
      <w:r w:rsidR="006A4009" w:rsidRPr="0011545E">
        <w:rPr>
          <w:rFonts w:ascii="Times New Roman" w:hAnsi="Times New Roman"/>
          <w:sz w:val="24"/>
          <w:szCs w:val="24"/>
        </w:rPr>
        <w:t>om Euro-</w:t>
      </w:r>
      <w:r w:rsidR="004009CA">
        <w:rPr>
          <w:rFonts w:ascii="Times New Roman" w:hAnsi="Times New Roman"/>
          <w:sz w:val="24"/>
          <w:szCs w:val="24"/>
        </w:rPr>
        <w:t>Atlantic expansionism.</w:t>
      </w:r>
      <w:r w:rsidR="004009CA">
        <w:rPr>
          <w:rStyle w:val="FootnoteReference"/>
          <w:rFonts w:ascii="Times New Roman" w:hAnsi="Times New Roman"/>
          <w:sz w:val="24"/>
          <w:szCs w:val="24"/>
        </w:rPr>
        <w:footnoteReference w:id="368"/>
      </w:r>
      <w:r w:rsidRPr="0011545E">
        <w:rPr>
          <w:rFonts w:ascii="Times New Roman" w:hAnsi="Times New Roman"/>
          <w:sz w:val="24"/>
          <w:szCs w:val="24"/>
        </w:rPr>
        <w:t xml:space="preserve"> Vladimir Putin’s voiced the possibility of such scenario as early as January 2006, while addressing the issue of Kosovan status and Turkish recognition of Northern Cyprus, Putin emphasized on </w:t>
      </w:r>
      <w:r w:rsidR="00BB4CC1">
        <w:rPr>
          <w:rFonts w:ascii="Times New Roman" w:hAnsi="Times New Roman"/>
          <w:sz w:val="24"/>
          <w:szCs w:val="24"/>
        </w:rPr>
        <w:t xml:space="preserve">the </w:t>
      </w:r>
      <w:r w:rsidRPr="0011545E">
        <w:rPr>
          <w:rFonts w:ascii="Times New Roman" w:hAnsi="Times New Roman"/>
          <w:sz w:val="24"/>
          <w:szCs w:val="24"/>
        </w:rPr>
        <w:t>necessity of universal agreement on the status of contested states, furthermore, he underlined that recognition of such entities will cause the domino effect and eventually lead to the recognition of Abkhazia and South Os</w:t>
      </w:r>
      <w:r w:rsidR="004009CA">
        <w:rPr>
          <w:rFonts w:ascii="Times New Roman" w:hAnsi="Times New Roman"/>
          <w:sz w:val="24"/>
          <w:szCs w:val="24"/>
        </w:rPr>
        <w:t>setia.</w:t>
      </w:r>
      <w:r w:rsidR="004009CA">
        <w:rPr>
          <w:rStyle w:val="FootnoteReference"/>
          <w:rFonts w:ascii="Times New Roman" w:hAnsi="Times New Roman"/>
          <w:sz w:val="24"/>
          <w:szCs w:val="24"/>
        </w:rPr>
        <w:footnoteReference w:id="369"/>
      </w:r>
      <w:r w:rsidRPr="0011545E">
        <w:rPr>
          <w:rFonts w:ascii="Times New Roman" w:hAnsi="Times New Roman"/>
          <w:sz w:val="24"/>
          <w:szCs w:val="24"/>
        </w:rPr>
        <w:t xml:space="preserve"> Putin’s statement was further extended by the Foreign Minister of Russia Gregory Karasin, who stated that recognition of Kosovo by the West would create the legal precedent in international law and consequently cause the projection of the same processes in Abkh</w:t>
      </w:r>
      <w:r w:rsidR="004009CA">
        <w:rPr>
          <w:rFonts w:ascii="Times New Roman" w:hAnsi="Times New Roman"/>
          <w:sz w:val="24"/>
          <w:szCs w:val="24"/>
        </w:rPr>
        <w:t>azia and South Ossetia regions.</w:t>
      </w:r>
      <w:r w:rsidR="004009CA">
        <w:rPr>
          <w:rStyle w:val="FootnoteReference"/>
          <w:rFonts w:ascii="Times New Roman" w:hAnsi="Times New Roman"/>
          <w:sz w:val="24"/>
          <w:szCs w:val="24"/>
        </w:rPr>
        <w:footnoteReference w:id="370"/>
      </w:r>
      <w:r w:rsidRPr="0011545E">
        <w:rPr>
          <w:rFonts w:ascii="Times New Roman" w:hAnsi="Times New Roman"/>
          <w:sz w:val="24"/>
          <w:szCs w:val="24"/>
        </w:rPr>
        <w:t xml:space="preserve"> A year later, newly appointed Foreign Minister of Russia, Sergey Lavrov paid </w:t>
      </w:r>
      <w:r w:rsidR="00BB4CC1">
        <w:rPr>
          <w:rFonts w:ascii="Times New Roman" w:hAnsi="Times New Roman"/>
          <w:sz w:val="24"/>
          <w:szCs w:val="24"/>
        </w:rPr>
        <w:t xml:space="preserve">an </w:t>
      </w:r>
      <w:r w:rsidRPr="0011545E">
        <w:rPr>
          <w:rFonts w:ascii="Times New Roman" w:hAnsi="Times New Roman"/>
          <w:sz w:val="24"/>
          <w:szCs w:val="24"/>
        </w:rPr>
        <w:t xml:space="preserve">official visit to North Ossetia, Lavrov publicly promised the political elites and local population that the Kremlin would take all possible efforts to enable all </w:t>
      </w:r>
      <w:r w:rsidRPr="0011545E">
        <w:rPr>
          <w:rFonts w:ascii="Times New Roman" w:hAnsi="Times New Roman"/>
          <w:sz w:val="24"/>
          <w:szCs w:val="24"/>
        </w:rPr>
        <w:lastRenderedPageBreak/>
        <w:t>Ossetian people (referring to South Ossetians as w</w:t>
      </w:r>
      <w:r w:rsidR="004009CA">
        <w:rPr>
          <w:rFonts w:ascii="Times New Roman" w:hAnsi="Times New Roman"/>
          <w:sz w:val="24"/>
          <w:szCs w:val="24"/>
        </w:rPr>
        <w:t>ell) to live together in peace.</w:t>
      </w:r>
      <w:r w:rsidR="004009CA">
        <w:rPr>
          <w:rStyle w:val="FootnoteReference"/>
          <w:rFonts w:ascii="Times New Roman" w:hAnsi="Times New Roman"/>
          <w:sz w:val="24"/>
          <w:szCs w:val="24"/>
        </w:rPr>
        <w:footnoteReference w:id="371"/>
      </w:r>
      <w:r w:rsidRPr="0011545E">
        <w:rPr>
          <w:rFonts w:ascii="Times New Roman" w:hAnsi="Times New Roman"/>
          <w:sz w:val="24"/>
          <w:szCs w:val="24"/>
        </w:rPr>
        <w:t xml:space="preserve"> In January 2008, Vladimir Putin publicly addressed the processes on preparation for recognition of Kosovo and underlined that this event will imminently cause the repercussions globally and </w:t>
      </w:r>
      <w:proofErr w:type="gramStart"/>
      <w:r w:rsidRPr="0011545E">
        <w:rPr>
          <w:rFonts w:ascii="Times New Roman" w:hAnsi="Times New Roman"/>
          <w:sz w:val="24"/>
          <w:szCs w:val="24"/>
        </w:rPr>
        <w:t>lead</w:t>
      </w:r>
      <w:proofErr w:type="gramEnd"/>
      <w:r w:rsidRPr="0011545E">
        <w:rPr>
          <w:rFonts w:ascii="Times New Roman" w:hAnsi="Times New Roman"/>
          <w:sz w:val="24"/>
          <w:szCs w:val="24"/>
        </w:rPr>
        <w:t xml:space="preserve"> to recognition of contested regions not only in Balkans</w:t>
      </w:r>
      <w:r w:rsidR="00492FB8">
        <w:rPr>
          <w:rFonts w:ascii="Times New Roman" w:hAnsi="Times New Roman"/>
          <w:sz w:val="24"/>
          <w:szCs w:val="24"/>
        </w:rPr>
        <w:t xml:space="preserve"> but in South Caucasus as well.</w:t>
      </w:r>
      <w:r w:rsidR="00492FB8">
        <w:rPr>
          <w:rStyle w:val="FootnoteReference"/>
          <w:rFonts w:ascii="Times New Roman" w:hAnsi="Times New Roman"/>
          <w:sz w:val="24"/>
          <w:szCs w:val="24"/>
        </w:rPr>
        <w:footnoteReference w:id="372"/>
      </w:r>
      <w:r w:rsidR="00BB4CC1">
        <w:rPr>
          <w:rFonts w:ascii="Times New Roman" w:hAnsi="Times New Roman"/>
          <w:sz w:val="24"/>
          <w:szCs w:val="24"/>
        </w:rPr>
        <w:t xml:space="preserve"> The clearest</w:t>
      </w:r>
      <w:r w:rsidRPr="0011545E">
        <w:rPr>
          <w:rFonts w:ascii="Times New Roman" w:hAnsi="Times New Roman"/>
          <w:sz w:val="24"/>
          <w:szCs w:val="24"/>
        </w:rPr>
        <w:t xml:space="preserve"> message on this topics was articulated by the First Vice-Prime Minister of Russia Boris Ivanov at the Munich Security Conference in 2008, Ivanov claimed that Russia would wait to the US and the EU to recognize the Kosovan independence and create the legal precedent, this event would automatically open pandora’s box and result in recognition</w:t>
      </w:r>
      <w:r w:rsidR="00492FB8">
        <w:rPr>
          <w:rFonts w:ascii="Times New Roman" w:hAnsi="Times New Roman"/>
          <w:sz w:val="24"/>
          <w:szCs w:val="24"/>
        </w:rPr>
        <w:t xml:space="preserve"> of Abkhazia and South Ossetia.</w:t>
      </w:r>
      <w:r w:rsidR="00492FB8">
        <w:rPr>
          <w:rStyle w:val="FootnoteReference"/>
          <w:rFonts w:ascii="Times New Roman" w:hAnsi="Times New Roman"/>
          <w:sz w:val="24"/>
          <w:szCs w:val="24"/>
        </w:rPr>
        <w:footnoteReference w:id="373"/>
      </w:r>
    </w:p>
    <w:p w:rsidR="002A005E" w:rsidRDefault="002A005E" w:rsidP="0011545E">
      <w:pPr>
        <w:spacing w:line="360" w:lineRule="auto"/>
        <w:jc w:val="both"/>
        <w:rPr>
          <w:rFonts w:ascii="Times New Roman" w:hAnsi="Times New Roman"/>
          <w:sz w:val="24"/>
          <w:szCs w:val="24"/>
        </w:rPr>
      </w:pPr>
    </w:p>
    <w:p w:rsidR="002238BB"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Considering the global criticism towards Russia for its actions in 2008, as well as condemnation of recognition of the </w:t>
      </w:r>
      <w:r w:rsidR="001D0C0E" w:rsidRPr="0011545E">
        <w:rPr>
          <w:rFonts w:ascii="Times New Roman" w:hAnsi="Times New Roman"/>
          <w:sz w:val="24"/>
          <w:szCs w:val="24"/>
        </w:rPr>
        <w:t>secessionist</w:t>
      </w:r>
      <w:r w:rsidRPr="0011545E">
        <w:rPr>
          <w:rFonts w:ascii="Times New Roman" w:hAnsi="Times New Roman"/>
          <w:sz w:val="24"/>
          <w:szCs w:val="24"/>
        </w:rPr>
        <w:t xml:space="preserve"> states, the Kremlin needed strong arguments to justify its acti</w:t>
      </w:r>
      <w:r w:rsidR="00BB4CC1">
        <w:rPr>
          <w:rFonts w:ascii="Times New Roman" w:hAnsi="Times New Roman"/>
          <w:sz w:val="24"/>
          <w:szCs w:val="24"/>
        </w:rPr>
        <w:t xml:space="preserve">ons, It is no surprise that </w:t>
      </w:r>
      <w:r w:rsidRPr="0011545E">
        <w:rPr>
          <w:rFonts w:ascii="Times New Roman" w:hAnsi="Times New Roman"/>
          <w:sz w:val="24"/>
          <w:szCs w:val="24"/>
        </w:rPr>
        <w:t xml:space="preserve">President Medvedev portrayed Georgian side as </w:t>
      </w:r>
      <w:r w:rsidR="00BB4CC1">
        <w:rPr>
          <w:rFonts w:ascii="Times New Roman" w:hAnsi="Times New Roman"/>
          <w:sz w:val="24"/>
          <w:szCs w:val="24"/>
        </w:rPr>
        <w:t xml:space="preserve">the </w:t>
      </w:r>
      <w:r w:rsidRPr="0011545E">
        <w:rPr>
          <w:rFonts w:ascii="Times New Roman" w:hAnsi="Times New Roman"/>
          <w:sz w:val="24"/>
          <w:szCs w:val="24"/>
        </w:rPr>
        <w:t xml:space="preserve">aggressor and war criminals, furthermore, he </w:t>
      </w:r>
      <w:r w:rsidR="001D0C0E" w:rsidRPr="0011545E">
        <w:rPr>
          <w:rFonts w:ascii="Times New Roman" w:hAnsi="Times New Roman"/>
          <w:sz w:val="24"/>
          <w:szCs w:val="24"/>
        </w:rPr>
        <w:t>repeatedly</w:t>
      </w:r>
      <w:r w:rsidRPr="0011545E">
        <w:rPr>
          <w:rFonts w:ascii="Times New Roman" w:hAnsi="Times New Roman"/>
          <w:sz w:val="24"/>
          <w:szCs w:val="24"/>
        </w:rPr>
        <w:t xml:space="preserve"> underlined on </w:t>
      </w:r>
      <w:r w:rsidR="00BB4CC1">
        <w:rPr>
          <w:rFonts w:ascii="Times New Roman" w:hAnsi="Times New Roman"/>
          <w:sz w:val="24"/>
          <w:szCs w:val="24"/>
        </w:rPr>
        <w:t xml:space="preserve">the </w:t>
      </w:r>
      <w:r w:rsidRPr="0011545E">
        <w:rPr>
          <w:rFonts w:ascii="Times New Roman" w:hAnsi="Times New Roman"/>
          <w:sz w:val="24"/>
          <w:szCs w:val="24"/>
        </w:rPr>
        <w:t>impossibility of peaceful c</w:t>
      </w:r>
      <w:r w:rsidR="00BB4CC1">
        <w:rPr>
          <w:rFonts w:ascii="Times New Roman" w:hAnsi="Times New Roman"/>
          <w:sz w:val="24"/>
          <w:szCs w:val="24"/>
        </w:rPr>
        <w:t xml:space="preserve">oexistence of Georgians, Abkhaz, Ossetians </w:t>
      </w:r>
      <w:r w:rsidRPr="0011545E">
        <w:rPr>
          <w:rFonts w:ascii="Times New Roman" w:hAnsi="Times New Roman"/>
          <w:sz w:val="24"/>
          <w:szCs w:val="24"/>
        </w:rPr>
        <w:t>and implied on several attempts of genocide in recent history by</w:t>
      </w:r>
      <w:r w:rsidR="00326D0E">
        <w:rPr>
          <w:rFonts w:ascii="Times New Roman" w:hAnsi="Times New Roman"/>
          <w:sz w:val="24"/>
          <w:szCs w:val="24"/>
        </w:rPr>
        <w:t xml:space="preserve"> the Georgian political elites.</w:t>
      </w:r>
      <w:r w:rsidR="00326D0E">
        <w:rPr>
          <w:rStyle w:val="FootnoteReference"/>
          <w:rFonts w:ascii="Times New Roman" w:hAnsi="Times New Roman"/>
          <w:sz w:val="24"/>
          <w:szCs w:val="24"/>
        </w:rPr>
        <w:footnoteReference w:id="374"/>
      </w:r>
      <w:r w:rsidRPr="0011545E">
        <w:rPr>
          <w:rFonts w:ascii="Times New Roman" w:hAnsi="Times New Roman"/>
          <w:sz w:val="24"/>
          <w:szCs w:val="24"/>
        </w:rPr>
        <w:t xml:space="preserve"> Russia achieved its revenge for recognition of Kosovo and ironically, repeated the same rhetoric of genocide and war crimes but in </w:t>
      </w:r>
      <w:r w:rsidR="00E204B8">
        <w:rPr>
          <w:rFonts w:ascii="Times New Roman" w:hAnsi="Times New Roman"/>
          <w:sz w:val="24"/>
          <w:szCs w:val="24"/>
        </w:rPr>
        <w:t xml:space="preserve">the </w:t>
      </w:r>
      <w:r w:rsidRPr="0011545E">
        <w:rPr>
          <w:rFonts w:ascii="Times New Roman" w:hAnsi="Times New Roman"/>
          <w:sz w:val="24"/>
          <w:szCs w:val="24"/>
        </w:rPr>
        <w:t>case of Georgia</w:t>
      </w:r>
      <w:r w:rsidR="00E204B8">
        <w:rPr>
          <w:rFonts w:ascii="Times New Roman" w:hAnsi="Times New Roman"/>
          <w:sz w:val="24"/>
          <w:szCs w:val="24"/>
        </w:rPr>
        <w:t>,</w:t>
      </w:r>
      <w:r w:rsidRPr="0011545E">
        <w:rPr>
          <w:rFonts w:ascii="Times New Roman" w:hAnsi="Times New Roman"/>
          <w:sz w:val="24"/>
          <w:szCs w:val="24"/>
        </w:rPr>
        <w:t xml:space="preserve"> there were no factual proofs of </w:t>
      </w:r>
      <w:r w:rsidR="00E204B8">
        <w:rPr>
          <w:rFonts w:ascii="Times New Roman" w:hAnsi="Times New Roman"/>
          <w:sz w:val="24"/>
          <w:szCs w:val="24"/>
        </w:rPr>
        <w:t xml:space="preserve">the </w:t>
      </w:r>
      <w:r w:rsidRPr="0011545E">
        <w:rPr>
          <w:rFonts w:ascii="Times New Roman" w:hAnsi="Times New Roman"/>
          <w:sz w:val="24"/>
          <w:szCs w:val="24"/>
        </w:rPr>
        <w:t>genocid</w:t>
      </w:r>
      <w:r w:rsidR="002238BB">
        <w:rPr>
          <w:rFonts w:ascii="Times New Roman" w:hAnsi="Times New Roman"/>
          <w:sz w:val="24"/>
          <w:szCs w:val="24"/>
        </w:rPr>
        <w:t>e of Abkhaz and Ossetian people.</w:t>
      </w:r>
      <w:r w:rsidRPr="0011545E">
        <w:rPr>
          <w:rFonts w:ascii="Times New Roman" w:hAnsi="Times New Roman"/>
          <w:sz w:val="24"/>
          <w:szCs w:val="24"/>
        </w:rPr>
        <w:t xml:space="preserve"> </w:t>
      </w:r>
    </w:p>
    <w:p w:rsidR="002238BB" w:rsidRDefault="002238BB" w:rsidP="0011545E">
      <w:pPr>
        <w:spacing w:line="360" w:lineRule="auto"/>
        <w:jc w:val="both"/>
        <w:rPr>
          <w:rFonts w:ascii="Times New Roman" w:hAnsi="Times New Roman"/>
          <w:sz w:val="24"/>
          <w:szCs w:val="24"/>
        </w:rPr>
      </w:pPr>
    </w:p>
    <w:p w:rsidR="00050BA9" w:rsidRPr="0011545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Another big achievement of Russia by recognizing the separatist entities was prolonging its military control in these territories, According to the six-point cease-fire agreement and later on, Medvedev-Sarkozy Plan, Russian troops were obliged to withdraw and relocate to the North Caucasus by the end of September 2008, The kremlin was well</w:t>
      </w:r>
      <w:r w:rsidR="002238BB">
        <w:rPr>
          <w:rFonts w:ascii="Times New Roman" w:hAnsi="Times New Roman"/>
          <w:sz w:val="24"/>
          <w:szCs w:val="24"/>
        </w:rPr>
        <w:t>-aware that Saakashvili would not</w:t>
      </w:r>
      <w:r w:rsidRPr="0011545E">
        <w:rPr>
          <w:rFonts w:ascii="Times New Roman" w:hAnsi="Times New Roman"/>
          <w:sz w:val="24"/>
          <w:szCs w:val="24"/>
        </w:rPr>
        <w:t xml:space="preserve"> negotiate the possibility to prolong the mandate of Russian ‘peacekeepers’ in separatist regions which would eventually lead to change in </w:t>
      </w:r>
      <w:r w:rsidR="00E204B8">
        <w:rPr>
          <w:rFonts w:ascii="Times New Roman" w:hAnsi="Times New Roman"/>
          <w:sz w:val="24"/>
          <w:szCs w:val="24"/>
        </w:rPr>
        <w:t xml:space="preserve">the </w:t>
      </w:r>
      <w:r w:rsidRPr="0011545E">
        <w:rPr>
          <w:rFonts w:ascii="Times New Roman" w:hAnsi="Times New Roman"/>
          <w:sz w:val="24"/>
          <w:szCs w:val="24"/>
        </w:rPr>
        <w:t>balance of political influence i</w:t>
      </w:r>
      <w:r w:rsidR="002A005E">
        <w:rPr>
          <w:rFonts w:ascii="Times New Roman" w:hAnsi="Times New Roman"/>
          <w:sz w:val="24"/>
          <w:szCs w:val="24"/>
        </w:rPr>
        <w:t>n favor of Georgia and the west.</w:t>
      </w:r>
      <w:r w:rsidRPr="0011545E">
        <w:rPr>
          <w:rFonts w:ascii="Times New Roman" w:hAnsi="Times New Roman"/>
          <w:sz w:val="24"/>
          <w:szCs w:val="24"/>
        </w:rPr>
        <w:t xml:space="preserve"> Interestingly, in July 2009 the Foreign Minister L</w:t>
      </w:r>
      <w:r w:rsidR="00E95849">
        <w:rPr>
          <w:rFonts w:ascii="Times New Roman" w:hAnsi="Times New Roman"/>
          <w:sz w:val="24"/>
          <w:szCs w:val="24"/>
        </w:rPr>
        <w:t xml:space="preserve">avrov stated that Russia did not </w:t>
      </w:r>
      <w:r w:rsidRPr="0011545E">
        <w:rPr>
          <w:rFonts w:ascii="Times New Roman" w:hAnsi="Times New Roman"/>
          <w:sz w:val="24"/>
          <w:szCs w:val="24"/>
        </w:rPr>
        <w:t xml:space="preserve">intend to recognize the de-facto entities even after the war, Lavrov explained that Russia was ready to follow the Medvedev-Sarkozy Plan but Georgian </w:t>
      </w:r>
      <w:r w:rsidRPr="0011545E">
        <w:rPr>
          <w:rFonts w:ascii="Times New Roman" w:hAnsi="Times New Roman"/>
          <w:sz w:val="24"/>
          <w:szCs w:val="24"/>
        </w:rPr>
        <w:lastRenderedPageBreak/>
        <w:t>President Saakashvili requested to make changes to the document by refusing to discuss the status of the regions and recognize R</w:t>
      </w:r>
      <w:r w:rsidR="00326D0E">
        <w:rPr>
          <w:rFonts w:ascii="Times New Roman" w:hAnsi="Times New Roman"/>
          <w:sz w:val="24"/>
          <w:szCs w:val="24"/>
        </w:rPr>
        <w:t>ussia as a part of the conflict.</w:t>
      </w:r>
      <w:r w:rsidR="00326D0E">
        <w:rPr>
          <w:rStyle w:val="FootnoteReference"/>
          <w:rFonts w:ascii="Times New Roman" w:hAnsi="Times New Roman"/>
          <w:sz w:val="24"/>
          <w:szCs w:val="24"/>
        </w:rPr>
        <w:footnoteReference w:id="375"/>
      </w:r>
      <w:r w:rsidRPr="0011545E">
        <w:rPr>
          <w:rFonts w:ascii="Times New Roman" w:hAnsi="Times New Roman"/>
          <w:sz w:val="24"/>
          <w:szCs w:val="24"/>
        </w:rPr>
        <w:t xml:space="preserve"> He recalled this statement several times on various occasions and emphasized that Russia was forced into making such </w:t>
      </w:r>
      <w:r w:rsidR="00BB4CC1">
        <w:rPr>
          <w:rFonts w:ascii="Times New Roman" w:hAnsi="Times New Roman"/>
          <w:sz w:val="24"/>
          <w:szCs w:val="24"/>
        </w:rPr>
        <w:t xml:space="preserve">a </w:t>
      </w:r>
      <w:r w:rsidRPr="0011545E">
        <w:rPr>
          <w:rFonts w:ascii="Times New Roman" w:hAnsi="Times New Roman"/>
          <w:sz w:val="24"/>
          <w:szCs w:val="24"/>
        </w:rPr>
        <w:t>decision which was trigger</w:t>
      </w:r>
      <w:r w:rsidR="00326D0E">
        <w:rPr>
          <w:rFonts w:ascii="Times New Roman" w:hAnsi="Times New Roman"/>
          <w:sz w:val="24"/>
          <w:szCs w:val="24"/>
        </w:rPr>
        <w:t>ed by blood-thirsty Saakashvili.</w:t>
      </w:r>
      <w:r w:rsidR="00326D0E">
        <w:rPr>
          <w:rStyle w:val="FootnoteReference"/>
          <w:rFonts w:ascii="Times New Roman" w:hAnsi="Times New Roman"/>
          <w:sz w:val="24"/>
          <w:szCs w:val="24"/>
        </w:rPr>
        <w:footnoteReference w:id="376"/>
      </w:r>
      <w:r w:rsidRPr="0011545E">
        <w:rPr>
          <w:rFonts w:ascii="Times New Roman" w:hAnsi="Times New Roman"/>
          <w:sz w:val="24"/>
          <w:szCs w:val="24"/>
        </w:rPr>
        <w:t xml:space="preserve"> The security dimension of the decision was later highli</w:t>
      </w:r>
      <w:r w:rsidR="00BB4CC1">
        <w:rPr>
          <w:rFonts w:ascii="Times New Roman" w:hAnsi="Times New Roman"/>
          <w:sz w:val="24"/>
          <w:szCs w:val="24"/>
        </w:rPr>
        <w:t>gh</w:t>
      </w:r>
      <w:r w:rsidRPr="0011545E">
        <w:rPr>
          <w:rFonts w:ascii="Times New Roman" w:hAnsi="Times New Roman"/>
          <w:sz w:val="24"/>
          <w:szCs w:val="24"/>
        </w:rPr>
        <w:t>ted by President Medvedev, who explained that if Russia would neglect Abkhazia and South Ossetia in 2008, NATO and the Western political powers would drag Georgia and these regions into military alliances and dislocate their armory near to Russia borders, Such</w:t>
      </w:r>
      <w:r w:rsidR="00BB4CC1">
        <w:rPr>
          <w:rFonts w:ascii="Times New Roman" w:hAnsi="Times New Roman"/>
          <w:sz w:val="24"/>
          <w:szCs w:val="24"/>
        </w:rPr>
        <w:t xml:space="preserve"> scenario would put Russia’s</w:t>
      </w:r>
      <w:r w:rsidRPr="0011545E">
        <w:rPr>
          <w:rFonts w:ascii="Times New Roman" w:hAnsi="Times New Roman"/>
          <w:sz w:val="24"/>
          <w:szCs w:val="24"/>
        </w:rPr>
        <w:t xml:space="preserve"> relations with the West into the deadlock and cause the military con</w:t>
      </w:r>
      <w:r w:rsidR="00326D0E">
        <w:rPr>
          <w:rFonts w:ascii="Times New Roman" w:hAnsi="Times New Roman"/>
          <w:sz w:val="24"/>
          <w:szCs w:val="24"/>
        </w:rPr>
        <w:t>frontations of the global scale.</w:t>
      </w:r>
      <w:r w:rsidR="00326D0E">
        <w:rPr>
          <w:rStyle w:val="FootnoteReference"/>
          <w:rFonts w:ascii="Times New Roman" w:hAnsi="Times New Roman"/>
          <w:sz w:val="24"/>
          <w:szCs w:val="24"/>
        </w:rPr>
        <w:footnoteReference w:id="377"/>
      </w:r>
      <w:r w:rsidR="001D0C0E" w:rsidRPr="0011545E">
        <w:rPr>
          <w:rFonts w:ascii="Times New Roman" w:hAnsi="Times New Roman"/>
          <w:b/>
          <w:sz w:val="24"/>
          <w:szCs w:val="24"/>
        </w:rPr>
        <w:t xml:space="preserve"> </w:t>
      </w:r>
      <w:r w:rsidRPr="0011545E">
        <w:rPr>
          <w:rFonts w:ascii="Times New Roman" w:hAnsi="Times New Roman"/>
          <w:sz w:val="24"/>
          <w:szCs w:val="24"/>
        </w:rPr>
        <w:t xml:space="preserve">Security concerns were further discussed by Vladimir Putin who implied on potential deployment of the US and NATO missile shields in Georgia and </w:t>
      </w:r>
      <w:r w:rsidR="00BB4CC1">
        <w:rPr>
          <w:rFonts w:ascii="Times New Roman" w:hAnsi="Times New Roman"/>
          <w:sz w:val="24"/>
          <w:szCs w:val="24"/>
        </w:rPr>
        <w:t xml:space="preserve">the </w:t>
      </w:r>
      <w:r w:rsidRPr="0011545E">
        <w:rPr>
          <w:rFonts w:ascii="Times New Roman" w:hAnsi="Times New Roman"/>
          <w:sz w:val="24"/>
          <w:szCs w:val="24"/>
        </w:rPr>
        <w:t>Black Sea region, Putin explained that Russia follows its foreign and security policy and the attempts of interception by the third parties would l</w:t>
      </w:r>
      <w:r w:rsidR="00326D0E">
        <w:rPr>
          <w:rFonts w:ascii="Times New Roman" w:hAnsi="Times New Roman"/>
          <w:sz w:val="24"/>
          <w:szCs w:val="24"/>
        </w:rPr>
        <w:t>ead to the logical consequences.</w:t>
      </w:r>
      <w:r w:rsidR="00326D0E">
        <w:rPr>
          <w:rStyle w:val="FootnoteReference"/>
          <w:rFonts w:ascii="Times New Roman" w:hAnsi="Times New Roman"/>
          <w:sz w:val="24"/>
          <w:szCs w:val="24"/>
        </w:rPr>
        <w:footnoteReference w:id="378"/>
      </w:r>
    </w:p>
    <w:p w:rsidR="002A005E" w:rsidRDefault="002A005E" w:rsidP="0011545E">
      <w:pPr>
        <w:spacing w:line="360" w:lineRule="auto"/>
        <w:jc w:val="both"/>
        <w:rPr>
          <w:rFonts w:ascii="Times New Roman" w:hAnsi="Times New Roman"/>
          <w:sz w:val="24"/>
          <w:szCs w:val="24"/>
        </w:rPr>
      </w:pPr>
    </w:p>
    <w:p w:rsidR="00982A25"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Before the world witnessed the Kremlin’s actions towards the contested states in 2008, </w:t>
      </w:r>
      <w:r w:rsidR="00BB4CC1">
        <w:rPr>
          <w:rFonts w:ascii="Times New Roman" w:hAnsi="Times New Roman"/>
          <w:sz w:val="24"/>
          <w:szCs w:val="24"/>
        </w:rPr>
        <w:t xml:space="preserve">other pieces of </w:t>
      </w:r>
      <w:r w:rsidR="00E204B8">
        <w:rPr>
          <w:rFonts w:ascii="Times New Roman" w:hAnsi="Times New Roman"/>
          <w:sz w:val="24"/>
          <w:szCs w:val="24"/>
        </w:rPr>
        <w:t xml:space="preserve">the </w:t>
      </w:r>
      <w:r w:rsidR="00BB4CC1">
        <w:rPr>
          <w:rFonts w:ascii="Times New Roman" w:hAnsi="Times New Roman"/>
          <w:sz w:val="24"/>
          <w:szCs w:val="24"/>
        </w:rPr>
        <w:t xml:space="preserve">puzzle were </w:t>
      </w:r>
      <w:r w:rsidRPr="0011545E">
        <w:rPr>
          <w:rFonts w:ascii="Times New Roman" w:hAnsi="Times New Roman"/>
          <w:sz w:val="24"/>
          <w:szCs w:val="24"/>
        </w:rPr>
        <w:t>conjoined years earlier. The instrument of ‘Passportization’ (Rus</w:t>
      </w:r>
      <w:proofErr w:type="gramStart"/>
      <w:r w:rsidRPr="0011545E">
        <w:rPr>
          <w:rFonts w:ascii="Times New Roman" w:hAnsi="Times New Roman"/>
          <w:sz w:val="24"/>
          <w:szCs w:val="24"/>
        </w:rPr>
        <w:t>:Passportiz</w:t>
      </w:r>
      <w:r w:rsidR="00BB4CC1">
        <w:rPr>
          <w:rFonts w:ascii="Times New Roman" w:hAnsi="Times New Roman"/>
          <w:sz w:val="24"/>
          <w:szCs w:val="24"/>
        </w:rPr>
        <w:t>acya</w:t>
      </w:r>
      <w:proofErr w:type="gramEnd"/>
      <w:r w:rsidR="00BB4CC1">
        <w:rPr>
          <w:rFonts w:ascii="Times New Roman" w:hAnsi="Times New Roman"/>
          <w:sz w:val="24"/>
          <w:szCs w:val="24"/>
        </w:rPr>
        <w:t>) - granting citizenship</w:t>
      </w:r>
      <w:r w:rsidRPr="0011545E">
        <w:rPr>
          <w:rFonts w:ascii="Times New Roman" w:hAnsi="Times New Roman"/>
          <w:sz w:val="24"/>
          <w:szCs w:val="24"/>
        </w:rPr>
        <w:t xml:space="preserve"> to the residents of various post-Soviet regions, represents one of the key components of Russia’s near abroad policy. Passportization was initially introduced in Abkhazia and South Ossetia (as well as Transnistria and Nagorno-Karabakh) since 2002 and becam</w:t>
      </w:r>
      <w:r w:rsidR="00A82409">
        <w:rPr>
          <w:rFonts w:ascii="Times New Roman" w:hAnsi="Times New Roman"/>
          <w:sz w:val="24"/>
          <w:szCs w:val="24"/>
        </w:rPr>
        <w:t>e a widespread process in 2008.</w:t>
      </w:r>
      <w:r w:rsidR="00A82409">
        <w:rPr>
          <w:rStyle w:val="FootnoteReference"/>
          <w:rFonts w:ascii="Times New Roman" w:hAnsi="Times New Roman"/>
          <w:sz w:val="24"/>
          <w:szCs w:val="24"/>
        </w:rPr>
        <w:footnoteReference w:id="379"/>
      </w:r>
      <w:r w:rsidR="00CA5AC1">
        <w:rPr>
          <w:rFonts w:ascii="Times New Roman" w:hAnsi="Times New Roman"/>
          <w:sz w:val="24"/>
          <w:szCs w:val="24"/>
        </w:rPr>
        <w:t xml:space="preserve"> The </w:t>
      </w:r>
      <w:r w:rsidRPr="0011545E">
        <w:rPr>
          <w:rFonts w:ascii="Times New Roman" w:hAnsi="Times New Roman"/>
          <w:sz w:val="24"/>
          <w:szCs w:val="24"/>
        </w:rPr>
        <w:t xml:space="preserve">Passportization instrument is </w:t>
      </w:r>
      <w:r w:rsidR="00BB4CC1">
        <w:rPr>
          <w:rFonts w:ascii="Times New Roman" w:hAnsi="Times New Roman"/>
          <w:sz w:val="24"/>
          <w:szCs w:val="24"/>
        </w:rPr>
        <w:t xml:space="preserve">a </w:t>
      </w:r>
      <w:r w:rsidRPr="0011545E">
        <w:rPr>
          <w:rFonts w:ascii="Times New Roman" w:hAnsi="Times New Roman"/>
          <w:sz w:val="24"/>
          <w:szCs w:val="24"/>
        </w:rPr>
        <w:t xml:space="preserve">geostrategic response to the identity crisis and </w:t>
      </w:r>
      <w:r w:rsidR="00BB4CC1">
        <w:rPr>
          <w:rFonts w:ascii="Times New Roman" w:hAnsi="Times New Roman"/>
          <w:sz w:val="24"/>
          <w:szCs w:val="24"/>
        </w:rPr>
        <w:t xml:space="preserve">the </w:t>
      </w:r>
      <w:r w:rsidRPr="0011545E">
        <w:rPr>
          <w:rFonts w:ascii="Times New Roman" w:hAnsi="Times New Roman"/>
          <w:sz w:val="24"/>
          <w:szCs w:val="24"/>
        </w:rPr>
        <w:t xml:space="preserve">new geopolitical environment in which Russia found itself after </w:t>
      </w:r>
      <w:r w:rsidR="00BB4CC1">
        <w:rPr>
          <w:rFonts w:ascii="Times New Roman" w:hAnsi="Times New Roman"/>
          <w:sz w:val="24"/>
          <w:szCs w:val="24"/>
        </w:rPr>
        <w:t xml:space="preserve">the </w:t>
      </w:r>
      <w:r w:rsidRPr="0011545E">
        <w:rPr>
          <w:rFonts w:ascii="Times New Roman" w:hAnsi="Times New Roman"/>
          <w:sz w:val="24"/>
          <w:szCs w:val="24"/>
        </w:rPr>
        <w:t xml:space="preserve">collapse of the Soviet Union. More than 25 million Russians and Russian speakers were left outside of the federal borders without </w:t>
      </w:r>
      <w:r w:rsidR="00BB4CC1">
        <w:rPr>
          <w:rFonts w:ascii="Times New Roman" w:hAnsi="Times New Roman"/>
          <w:sz w:val="24"/>
          <w:szCs w:val="24"/>
        </w:rPr>
        <w:t xml:space="preserve">a </w:t>
      </w:r>
      <w:r w:rsidRPr="0011545E">
        <w:rPr>
          <w:rFonts w:ascii="Times New Roman" w:hAnsi="Times New Roman"/>
          <w:sz w:val="24"/>
          <w:szCs w:val="24"/>
        </w:rPr>
        <w:t>functional lega</w:t>
      </w:r>
      <w:r w:rsidR="001F265F">
        <w:rPr>
          <w:rFonts w:ascii="Times New Roman" w:hAnsi="Times New Roman"/>
          <w:sz w:val="24"/>
          <w:szCs w:val="24"/>
        </w:rPr>
        <w:t>l framework for naturalization.</w:t>
      </w:r>
      <w:r w:rsidR="001F265F">
        <w:rPr>
          <w:rStyle w:val="FootnoteReference"/>
          <w:rFonts w:ascii="Times New Roman" w:hAnsi="Times New Roman"/>
          <w:sz w:val="24"/>
          <w:szCs w:val="24"/>
        </w:rPr>
        <w:footnoteReference w:id="380"/>
      </w:r>
      <w:r w:rsidRPr="0011545E">
        <w:rPr>
          <w:rFonts w:ascii="Times New Roman" w:hAnsi="Times New Roman"/>
          <w:sz w:val="24"/>
          <w:szCs w:val="24"/>
        </w:rPr>
        <w:t xml:space="preserve"> As a first step, Russia introduced the dual citizenship option for ethnic Russians and Russian-speakers residing outside of the federal borders. This initiative was rejected by the countries with the largest Russian population due to fears over sovereignty and territ</w:t>
      </w:r>
      <w:r w:rsidR="00F62251">
        <w:rPr>
          <w:rFonts w:ascii="Times New Roman" w:hAnsi="Times New Roman"/>
          <w:sz w:val="24"/>
          <w:szCs w:val="24"/>
        </w:rPr>
        <w:t>orial integrity.</w:t>
      </w:r>
      <w:r w:rsidR="00F62251">
        <w:rPr>
          <w:rStyle w:val="FootnoteReference"/>
          <w:rFonts w:ascii="Times New Roman" w:hAnsi="Times New Roman"/>
          <w:sz w:val="24"/>
          <w:szCs w:val="24"/>
        </w:rPr>
        <w:footnoteReference w:id="381"/>
      </w:r>
      <w:r w:rsidRPr="0011545E">
        <w:rPr>
          <w:rFonts w:ascii="Times New Roman" w:hAnsi="Times New Roman"/>
          <w:sz w:val="24"/>
          <w:szCs w:val="24"/>
        </w:rPr>
        <w:t xml:space="preserve"> Later on, the Kremlin introduced </w:t>
      </w:r>
      <w:r w:rsidRPr="0011545E">
        <w:rPr>
          <w:rFonts w:ascii="Times New Roman" w:hAnsi="Times New Roman"/>
          <w:sz w:val="24"/>
          <w:szCs w:val="24"/>
        </w:rPr>
        <w:lastRenderedPageBreak/>
        <w:t xml:space="preserve">simplified naturalization regulations for citizens of the Post-Soviet states which later on served as a basis of the new policy –‘protection </w:t>
      </w:r>
      <w:r w:rsidR="00F62251">
        <w:rPr>
          <w:rFonts w:ascii="Times New Roman" w:hAnsi="Times New Roman"/>
          <w:sz w:val="24"/>
          <w:szCs w:val="24"/>
        </w:rPr>
        <w:t>of Russian compatriots abroad’.</w:t>
      </w:r>
      <w:r w:rsidR="00F62251">
        <w:rPr>
          <w:rStyle w:val="FootnoteReference"/>
          <w:rFonts w:ascii="Times New Roman" w:hAnsi="Times New Roman"/>
          <w:sz w:val="24"/>
          <w:szCs w:val="24"/>
        </w:rPr>
        <w:footnoteReference w:id="382"/>
      </w:r>
      <w:r w:rsidRPr="0011545E">
        <w:rPr>
          <w:rFonts w:ascii="Times New Roman" w:hAnsi="Times New Roman"/>
          <w:sz w:val="24"/>
          <w:szCs w:val="24"/>
        </w:rPr>
        <w:t xml:space="preserve"> </w:t>
      </w:r>
    </w:p>
    <w:p w:rsidR="00982A25" w:rsidRDefault="00982A25" w:rsidP="0011545E">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514975" cy="275991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ssia Near Abroad.png"/>
                    <pic:cNvPicPr/>
                  </pic:nvPicPr>
                  <pic:blipFill>
                    <a:blip r:embed="rId20">
                      <a:extLst>
                        <a:ext uri="{28A0092B-C50C-407E-A947-70E740481C1C}">
                          <a14:useLocalDpi xmlns:a14="http://schemas.microsoft.com/office/drawing/2010/main" val="0"/>
                        </a:ext>
                      </a:extLst>
                    </a:blip>
                    <a:stretch>
                      <a:fillRect/>
                    </a:stretch>
                  </pic:blipFill>
                  <pic:spPr>
                    <a:xfrm>
                      <a:off x="0" y="0"/>
                      <a:ext cx="5524795" cy="2764832"/>
                    </a:xfrm>
                    <a:prstGeom prst="rect">
                      <a:avLst/>
                    </a:prstGeom>
                  </pic:spPr>
                </pic:pic>
              </a:graphicData>
            </a:graphic>
          </wp:inline>
        </w:drawing>
      </w:r>
    </w:p>
    <w:p w:rsidR="00982A25" w:rsidRDefault="00982A25" w:rsidP="00982A25">
      <w:pPr>
        <w:pStyle w:val="NoSpacing"/>
      </w:pPr>
    </w:p>
    <w:p w:rsidR="00982A25" w:rsidRPr="008E1083" w:rsidRDefault="00F61F43" w:rsidP="00982A25">
      <w:pPr>
        <w:pStyle w:val="NoSpacing"/>
        <w:rPr>
          <w:rFonts w:ascii="Times New Roman" w:hAnsi="Times New Roman"/>
          <w:sz w:val="24"/>
          <w:szCs w:val="24"/>
        </w:rPr>
      </w:pPr>
      <w:r w:rsidRPr="00F61F43">
        <w:rPr>
          <w:rFonts w:ascii="Times New Roman" w:hAnsi="Times New Roman"/>
          <w:b/>
          <w:sz w:val="24"/>
          <w:szCs w:val="24"/>
        </w:rPr>
        <w:t>Map 6</w:t>
      </w:r>
      <w:r w:rsidR="00982A25" w:rsidRPr="00F61F43">
        <w:rPr>
          <w:rFonts w:ascii="Times New Roman" w:hAnsi="Times New Roman"/>
          <w:b/>
          <w:sz w:val="24"/>
          <w:szCs w:val="24"/>
        </w:rPr>
        <w:t xml:space="preserve">. </w:t>
      </w:r>
      <w:r w:rsidR="00982A25" w:rsidRPr="008E1083">
        <w:rPr>
          <w:rFonts w:ascii="Times New Roman" w:hAnsi="Times New Roman"/>
          <w:sz w:val="24"/>
          <w:szCs w:val="24"/>
        </w:rPr>
        <w:t>Russia's Near Abroad - the Post-Soviet States with Largest Concentration of Russian Speakers</w:t>
      </w:r>
      <w:r w:rsidR="00982A25" w:rsidRPr="008E1083">
        <w:rPr>
          <w:rStyle w:val="FootnoteReference"/>
          <w:rFonts w:ascii="Times New Roman" w:hAnsi="Times New Roman"/>
          <w:sz w:val="24"/>
          <w:szCs w:val="24"/>
        </w:rPr>
        <w:footnoteReference w:id="383"/>
      </w:r>
    </w:p>
    <w:p w:rsidR="00982A25" w:rsidRDefault="00982A25" w:rsidP="0011545E">
      <w:pPr>
        <w:spacing w:line="360" w:lineRule="auto"/>
        <w:jc w:val="both"/>
        <w:rPr>
          <w:rFonts w:ascii="Times New Roman" w:hAnsi="Times New Roman"/>
          <w:sz w:val="24"/>
          <w:szCs w:val="24"/>
        </w:rPr>
      </w:pPr>
    </w:p>
    <w:p w:rsidR="007B74C4"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In July 2008, a month before the war, more than 80% of </w:t>
      </w:r>
      <w:r w:rsidR="00BB4CC1">
        <w:rPr>
          <w:rFonts w:ascii="Times New Roman" w:hAnsi="Times New Roman"/>
          <w:sz w:val="24"/>
          <w:szCs w:val="24"/>
        </w:rPr>
        <w:t xml:space="preserve">the </w:t>
      </w:r>
      <w:r w:rsidRPr="0011545E">
        <w:rPr>
          <w:rFonts w:ascii="Times New Roman" w:hAnsi="Times New Roman"/>
          <w:sz w:val="24"/>
          <w:szCs w:val="24"/>
        </w:rPr>
        <w:t xml:space="preserve">South Ossetian population had already </w:t>
      </w:r>
      <w:r w:rsidR="00BB4CC1">
        <w:rPr>
          <w:rFonts w:ascii="Times New Roman" w:hAnsi="Times New Roman"/>
          <w:sz w:val="24"/>
          <w:szCs w:val="24"/>
        </w:rPr>
        <w:t xml:space="preserve">received </w:t>
      </w:r>
      <w:r w:rsidR="003F3C65">
        <w:rPr>
          <w:rFonts w:ascii="Times New Roman" w:hAnsi="Times New Roman"/>
          <w:sz w:val="24"/>
          <w:szCs w:val="24"/>
        </w:rPr>
        <w:t>Russian passports.</w:t>
      </w:r>
      <w:r w:rsidR="003F3C65">
        <w:rPr>
          <w:rStyle w:val="FootnoteReference"/>
          <w:rFonts w:ascii="Times New Roman" w:hAnsi="Times New Roman"/>
          <w:sz w:val="24"/>
          <w:szCs w:val="24"/>
        </w:rPr>
        <w:footnoteReference w:id="384"/>
      </w:r>
      <w:r w:rsidRPr="0011545E">
        <w:rPr>
          <w:rFonts w:ascii="Times New Roman" w:hAnsi="Times New Roman"/>
          <w:sz w:val="24"/>
          <w:szCs w:val="24"/>
        </w:rPr>
        <w:t xml:space="preserve"> One the one hand, the Kremlin effectively manipulates with the factor of international isolation in contested states and offers the residents a window to </w:t>
      </w:r>
      <w:r w:rsidR="00BB4CC1">
        <w:rPr>
          <w:rFonts w:ascii="Times New Roman" w:hAnsi="Times New Roman"/>
          <w:sz w:val="24"/>
          <w:szCs w:val="24"/>
        </w:rPr>
        <w:t xml:space="preserve">the </w:t>
      </w:r>
      <w:r w:rsidRPr="0011545E">
        <w:rPr>
          <w:rFonts w:ascii="Times New Roman" w:hAnsi="Times New Roman"/>
          <w:sz w:val="24"/>
          <w:szCs w:val="24"/>
        </w:rPr>
        <w:t>outer world; on the other hand, collective naturalization enables the Russian political elite to inherit the legal aspect in ‘protection of compatriots’ in case of confr</w:t>
      </w:r>
      <w:r w:rsidR="003F3C65">
        <w:rPr>
          <w:rFonts w:ascii="Times New Roman" w:hAnsi="Times New Roman"/>
          <w:sz w:val="24"/>
          <w:szCs w:val="24"/>
        </w:rPr>
        <w:t>ontation and armed hostilities.</w:t>
      </w:r>
      <w:r w:rsidR="003F3C65">
        <w:rPr>
          <w:rStyle w:val="FootnoteReference"/>
          <w:rFonts w:ascii="Times New Roman" w:hAnsi="Times New Roman"/>
          <w:sz w:val="24"/>
          <w:szCs w:val="24"/>
        </w:rPr>
        <w:footnoteReference w:id="385"/>
      </w:r>
      <w:r w:rsidRPr="0011545E">
        <w:rPr>
          <w:rFonts w:ascii="Times New Roman" w:hAnsi="Times New Roman"/>
          <w:sz w:val="24"/>
          <w:szCs w:val="24"/>
        </w:rPr>
        <w:t xml:space="preserve"> It must be underlined that the instrument effectively outweighs the EU’s Visa Liberalization instrument which was granted to Georgia under </w:t>
      </w:r>
      <w:r w:rsidR="003F3C65">
        <w:rPr>
          <w:rFonts w:ascii="Times New Roman" w:hAnsi="Times New Roman"/>
          <w:sz w:val="24"/>
          <w:szCs w:val="24"/>
        </w:rPr>
        <w:t>the AA provision in 2014.</w:t>
      </w:r>
      <w:r w:rsidR="003F3C65">
        <w:rPr>
          <w:rStyle w:val="FootnoteReference"/>
          <w:rFonts w:ascii="Times New Roman" w:hAnsi="Times New Roman"/>
          <w:sz w:val="24"/>
          <w:szCs w:val="24"/>
        </w:rPr>
        <w:footnoteReference w:id="386"/>
      </w:r>
      <w:r w:rsidRPr="0011545E">
        <w:rPr>
          <w:rFonts w:ascii="Times New Roman" w:hAnsi="Times New Roman"/>
          <w:sz w:val="24"/>
          <w:szCs w:val="24"/>
        </w:rPr>
        <w:t xml:space="preserve"> The inhabitants of the separatist regions holding the Russian passports are relatively free to travel internationally per visa regulations between Russia and the country of destination. Thus, it is fair to conclude that the Kremlin’s strategy towards the conte</w:t>
      </w:r>
      <w:r w:rsidR="00BB4CC1">
        <w:rPr>
          <w:rFonts w:ascii="Times New Roman" w:hAnsi="Times New Roman"/>
          <w:sz w:val="24"/>
          <w:szCs w:val="24"/>
        </w:rPr>
        <w:t xml:space="preserve">sted </w:t>
      </w:r>
      <w:r w:rsidR="00BB4CC1">
        <w:rPr>
          <w:rFonts w:ascii="Times New Roman" w:hAnsi="Times New Roman"/>
          <w:sz w:val="24"/>
          <w:szCs w:val="24"/>
        </w:rPr>
        <w:lastRenderedPageBreak/>
        <w:t xml:space="preserve">states is multi-layered is </w:t>
      </w:r>
      <w:r w:rsidRPr="0011545E">
        <w:rPr>
          <w:rFonts w:ascii="Times New Roman" w:hAnsi="Times New Roman"/>
          <w:sz w:val="24"/>
          <w:szCs w:val="24"/>
        </w:rPr>
        <w:t xml:space="preserve">complex rather than a holistic response </w:t>
      </w:r>
      <w:r w:rsidR="00930887">
        <w:rPr>
          <w:rFonts w:ascii="Times New Roman" w:hAnsi="Times New Roman"/>
          <w:sz w:val="24"/>
          <w:szCs w:val="24"/>
        </w:rPr>
        <w:t xml:space="preserve">to ‘the Western expansionism’. </w:t>
      </w:r>
    </w:p>
    <w:p w:rsidR="00D57DBE" w:rsidRDefault="00D57DBE" w:rsidP="00D57DBE">
      <w:pPr>
        <w:pStyle w:val="NoSpacing"/>
      </w:pPr>
    </w:p>
    <w:p w:rsidR="00CA5AC1" w:rsidRPr="00D57DBE" w:rsidRDefault="00CA5AC1" w:rsidP="00D57DBE">
      <w:pPr>
        <w:pStyle w:val="NoSpacing"/>
      </w:pPr>
    </w:p>
    <w:p w:rsidR="00050BA9" w:rsidRPr="00D57DBE" w:rsidRDefault="00050BA9" w:rsidP="007B74C4">
      <w:pPr>
        <w:pStyle w:val="Heading2"/>
        <w:rPr>
          <w:color w:val="auto"/>
          <w:sz w:val="32"/>
          <w:szCs w:val="32"/>
        </w:rPr>
      </w:pPr>
      <w:bookmarkStart w:id="28" w:name="_Toc46952622"/>
      <w:r w:rsidRPr="00D57DBE">
        <w:rPr>
          <w:color w:val="auto"/>
          <w:sz w:val="32"/>
          <w:szCs w:val="32"/>
        </w:rPr>
        <w:t>4.2.2</w:t>
      </w:r>
      <w:r w:rsidR="003C44CE" w:rsidRPr="00D57DBE">
        <w:rPr>
          <w:color w:val="auto"/>
          <w:sz w:val="32"/>
          <w:szCs w:val="32"/>
        </w:rPr>
        <w:t xml:space="preserve"> </w:t>
      </w:r>
      <w:r w:rsidR="00F61F43" w:rsidRPr="00D57DBE">
        <w:rPr>
          <w:color w:val="auto"/>
          <w:sz w:val="32"/>
          <w:szCs w:val="32"/>
        </w:rPr>
        <w:t xml:space="preserve">Hard Power Tools: </w:t>
      </w:r>
      <w:r w:rsidR="003C44CE" w:rsidRPr="00D57DBE">
        <w:rPr>
          <w:color w:val="auto"/>
          <w:sz w:val="32"/>
          <w:szCs w:val="32"/>
        </w:rPr>
        <w:t>Creeping Borderization</w:t>
      </w:r>
      <w:bookmarkEnd w:id="28"/>
      <w:r w:rsidR="003C44CE" w:rsidRPr="00D57DBE">
        <w:rPr>
          <w:color w:val="auto"/>
          <w:sz w:val="32"/>
          <w:szCs w:val="32"/>
        </w:rPr>
        <w:t xml:space="preserve"> </w:t>
      </w:r>
    </w:p>
    <w:p w:rsidR="007B74C4" w:rsidRPr="007B74C4" w:rsidRDefault="007B74C4" w:rsidP="007B74C4"/>
    <w:p w:rsidR="00233F22"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After the war in 2008, Russia completed multiple geopolitical maneuvers to achieve complete control over the breakaway entities. As</w:t>
      </w:r>
      <w:r w:rsidR="00F56A9C">
        <w:rPr>
          <w:rFonts w:ascii="Times New Roman" w:hAnsi="Times New Roman"/>
          <w:sz w:val="24"/>
          <w:szCs w:val="24"/>
        </w:rPr>
        <w:t xml:space="preserve"> a first step, Russia used the v</w:t>
      </w:r>
      <w:r w:rsidRPr="0011545E">
        <w:rPr>
          <w:rFonts w:ascii="Times New Roman" w:hAnsi="Times New Roman"/>
          <w:sz w:val="24"/>
          <w:szCs w:val="24"/>
        </w:rPr>
        <w:t xml:space="preserve">eto power at the UN Security Council in June 2009 and blocked the extension of the Mandate of the UN observer </w:t>
      </w:r>
      <w:r w:rsidR="00284E8B">
        <w:rPr>
          <w:rFonts w:ascii="Times New Roman" w:hAnsi="Times New Roman"/>
          <w:sz w:val="24"/>
          <w:szCs w:val="24"/>
        </w:rPr>
        <w:t>mission in Georgia.</w:t>
      </w:r>
      <w:r w:rsidR="00284E8B">
        <w:rPr>
          <w:rStyle w:val="FootnoteReference"/>
          <w:rFonts w:ascii="Times New Roman" w:hAnsi="Times New Roman"/>
          <w:sz w:val="24"/>
          <w:szCs w:val="24"/>
        </w:rPr>
        <w:footnoteReference w:id="387"/>
      </w:r>
      <w:r w:rsidRPr="0011545E">
        <w:rPr>
          <w:rFonts w:ascii="Times New Roman" w:hAnsi="Times New Roman"/>
          <w:sz w:val="24"/>
          <w:szCs w:val="24"/>
        </w:rPr>
        <w:t xml:space="preserve"> As a result, the Kremlin monopolized the domestic political agenda in contested states and halted the main source of financial instruments and engagement channel</w:t>
      </w:r>
      <w:r w:rsidR="00F56A9C">
        <w:rPr>
          <w:rFonts w:ascii="Times New Roman" w:hAnsi="Times New Roman"/>
          <w:sz w:val="24"/>
          <w:szCs w:val="24"/>
        </w:rPr>
        <w:t>s</w:t>
      </w:r>
      <w:r w:rsidRPr="0011545E">
        <w:rPr>
          <w:rFonts w:ascii="Times New Roman" w:hAnsi="Times New Roman"/>
          <w:sz w:val="24"/>
          <w:szCs w:val="24"/>
        </w:rPr>
        <w:t xml:space="preserve"> of </w:t>
      </w:r>
      <w:r w:rsidR="00F56A9C">
        <w:rPr>
          <w:rFonts w:ascii="Times New Roman" w:hAnsi="Times New Roman"/>
          <w:sz w:val="24"/>
          <w:szCs w:val="24"/>
        </w:rPr>
        <w:t xml:space="preserve">the </w:t>
      </w:r>
      <w:r w:rsidRPr="0011545E">
        <w:rPr>
          <w:rFonts w:ascii="Times New Roman" w:hAnsi="Times New Roman"/>
          <w:sz w:val="24"/>
          <w:szCs w:val="24"/>
        </w:rPr>
        <w:t>Georgian government and the Western political elites. Furthermore, Russia persuaded the de-facto authorities to sign the agreements (valid for 49 years, renewable for 15 year period) which granted the Russian troops the official Mandate to operate and protect the de-facto borders. As a result, Russia deployed the civilian and military units on the borders of the breakaway regions, fully equippe</w:t>
      </w:r>
      <w:r w:rsidR="00F56A9C">
        <w:rPr>
          <w:rFonts w:ascii="Times New Roman" w:hAnsi="Times New Roman"/>
          <w:sz w:val="24"/>
          <w:szCs w:val="24"/>
        </w:rPr>
        <w:t xml:space="preserve">d in Russian armor and weaponry, </w:t>
      </w:r>
      <w:r w:rsidRPr="0011545E">
        <w:rPr>
          <w:rFonts w:ascii="Times New Roman" w:hAnsi="Times New Roman"/>
          <w:sz w:val="24"/>
          <w:szCs w:val="24"/>
        </w:rPr>
        <w:t>and practically extended its borders to the ABLs between s</w:t>
      </w:r>
      <w:r w:rsidR="00284E8B">
        <w:rPr>
          <w:rFonts w:ascii="Times New Roman" w:hAnsi="Times New Roman"/>
          <w:sz w:val="24"/>
          <w:szCs w:val="24"/>
        </w:rPr>
        <w:t>eparatist entities and Georgia.</w:t>
      </w:r>
      <w:r w:rsidR="00284E8B">
        <w:rPr>
          <w:rStyle w:val="FootnoteReference"/>
          <w:rFonts w:ascii="Times New Roman" w:hAnsi="Times New Roman"/>
          <w:sz w:val="24"/>
          <w:szCs w:val="24"/>
        </w:rPr>
        <w:footnoteReference w:id="388"/>
      </w:r>
      <w:r w:rsidRPr="0011545E">
        <w:rPr>
          <w:rFonts w:ascii="Times New Roman" w:hAnsi="Times New Roman"/>
          <w:sz w:val="24"/>
          <w:szCs w:val="24"/>
        </w:rPr>
        <w:t xml:space="preserve"> The military component included the construction of several bases for 2000 soldiers in strategic points of both regions and </w:t>
      </w:r>
      <w:r w:rsidR="00F56A9C">
        <w:rPr>
          <w:rFonts w:ascii="Times New Roman" w:hAnsi="Times New Roman"/>
          <w:sz w:val="24"/>
          <w:szCs w:val="24"/>
        </w:rPr>
        <w:t xml:space="preserve">the </w:t>
      </w:r>
      <w:r w:rsidRPr="0011545E">
        <w:rPr>
          <w:rFonts w:ascii="Times New Roman" w:hAnsi="Times New Roman"/>
          <w:sz w:val="24"/>
          <w:szCs w:val="24"/>
        </w:rPr>
        <w:t xml:space="preserve">establishment of </w:t>
      </w:r>
      <w:r w:rsidR="00F56A9C">
        <w:rPr>
          <w:rFonts w:ascii="Times New Roman" w:hAnsi="Times New Roman"/>
          <w:sz w:val="24"/>
          <w:szCs w:val="24"/>
        </w:rPr>
        <w:t xml:space="preserve">the </w:t>
      </w:r>
      <w:r w:rsidRPr="0011545E">
        <w:rPr>
          <w:rFonts w:ascii="Times New Roman" w:hAnsi="Times New Roman"/>
          <w:sz w:val="24"/>
          <w:szCs w:val="24"/>
        </w:rPr>
        <w:t>n</w:t>
      </w:r>
      <w:r w:rsidR="00284E8B">
        <w:rPr>
          <w:rFonts w:ascii="Times New Roman" w:hAnsi="Times New Roman"/>
          <w:sz w:val="24"/>
          <w:szCs w:val="24"/>
        </w:rPr>
        <w:t>aval base in Sokhumi, Abkhazia.</w:t>
      </w:r>
      <w:r w:rsidR="00284E8B">
        <w:rPr>
          <w:rStyle w:val="FootnoteReference"/>
          <w:rFonts w:ascii="Times New Roman" w:hAnsi="Times New Roman"/>
          <w:sz w:val="24"/>
          <w:szCs w:val="24"/>
        </w:rPr>
        <w:footnoteReference w:id="389"/>
      </w:r>
      <w:r w:rsidRPr="0011545E">
        <w:rPr>
          <w:rFonts w:ascii="Times New Roman" w:hAnsi="Times New Roman"/>
          <w:sz w:val="24"/>
          <w:szCs w:val="24"/>
        </w:rPr>
        <w:t xml:space="preserve"> </w:t>
      </w:r>
    </w:p>
    <w:p w:rsidR="00233F22" w:rsidRDefault="00233F22" w:rsidP="0011545E">
      <w:pPr>
        <w:spacing w:line="360" w:lineRule="auto"/>
        <w:jc w:val="both"/>
        <w:rPr>
          <w:rFonts w:ascii="Times New Roman" w:hAnsi="Times New Roman"/>
          <w:sz w:val="24"/>
          <w:szCs w:val="24"/>
        </w:rPr>
      </w:pPr>
    </w:p>
    <w:p w:rsidR="00050BA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economic policy towards the contested states is based on blocking of alternative sources of financial income, limitation of trade and business contacts with Ge</w:t>
      </w:r>
      <w:r w:rsidR="00F56A9C">
        <w:rPr>
          <w:rFonts w:ascii="Times New Roman" w:hAnsi="Times New Roman"/>
          <w:sz w:val="24"/>
          <w:szCs w:val="24"/>
        </w:rPr>
        <w:t xml:space="preserve">orgia, </w:t>
      </w:r>
      <w:r w:rsidRPr="0011545E">
        <w:rPr>
          <w:rFonts w:ascii="Times New Roman" w:hAnsi="Times New Roman"/>
          <w:sz w:val="24"/>
          <w:szCs w:val="24"/>
        </w:rPr>
        <w:t>and increased dependence on Russian goods and financial incentives. In 2010, Russia and Abkhazia signed the bilateral agreement on socio-economic cooperation and custom-free trad</w:t>
      </w:r>
      <w:r w:rsidR="00284E8B">
        <w:rPr>
          <w:rFonts w:ascii="Times New Roman" w:hAnsi="Times New Roman"/>
          <w:sz w:val="24"/>
          <w:szCs w:val="24"/>
        </w:rPr>
        <w:t>e.</w:t>
      </w:r>
      <w:r w:rsidR="00284E8B">
        <w:rPr>
          <w:rStyle w:val="FootnoteReference"/>
          <w:rFonts w:ascii="Times New Roman" w:hAnsi="Times New Roman"/>
          <w:sz w:val="24"/>
          <w:szCs w:val="24"/>
        </w:rPr>
        <w:footnoteReference w:id="390"/>
      </w:r>
      <w:r w:rsidR="00F56A9C">
        <w:rPr>
          <w:rFonts w:ascii="Times New Roman" w:hAnsi="Times New Roman"/>
          <w:sz w:val="24"/>
          <w:szCs w:val="24"/>
        </w:rPr>
        <w:t xml:space="preserve"> In exchange for</w:t>
      </w:r>
      <w:r w:rsidRPr="0011545E">
        <w:rPr>
          <w:rFonts w:ascii="Times New Roman" w:hAnsi="Times New Roman"/>
          <w:sz w:val="24"/>
          <w:szCs w:val="24"/>
        </w:rPr>
        <w:t xml:space="preserve"> financial assistance, Russia freely exploits natural resources from the Black Sea coast and mountainous regions in Abkhazia. Between 2009 and 2015, approximately 95% of foreign direct investments in Abkhazia were originated from Russ</w:t>
      </w:r>
      <w:r w:rsidR="00110EB4">
        <w:rPr>
          <w:rFonts w:ascii="Times New Roman" w:hAnsi="Times New Roman"/>
          <w:sz w:val="24"/>
          <w:szCs w:val="24"/>
        </w:rPr>
        <w:t>ia.</w:t>
      </w:r>
      <w:r w:rsidR="00110EB4">
        <w:rPr>
          <w:rStyle w:val="FootnoteReference"/>
          <w:rFonts w:ascii="Times New Roman" w:hAnsi="Times New Roman"/>
          <w:sz w:val="24"/>
          <w:szCs w:val="24"/>
        </w:rPr>
        <w:footnoteReference w:id="391"/>
      </w:r>
      <w:r w:rsidRPr="0011545E">
        <w:rPr>
          <w:rFonts w:ascii="Times New Roman" w:hAnsi="Times New Roman"/>
          <w:sz w:val="24"/>
          <w:szCs w:val="24"/>
        </w:rPr>
        <w:t xml:space="preserve"> Furthermore, between 2015 and 2020 the Kremlin’s budgetary contribution</w:t>
      </w:r>
      <w:r w:rsidR="00F56A9C">
        <w:rPr>
          <w:rFonts w:ascii="Times New Roman" w:hAnsi="Times New Roman"/>
          <w:sz w:val="24"/>
          <w:szCs w:val="24"/>
        </w:rPr>
        <w:t xml:space="preserve"> to Abkhazia reached 55%, </w:t>
      </w:r>
      <w:r w:rsidRPr="0011545E">
        <w:rPr>
          <w:rFonts w:ascii="Times New Roman" w:hAnsi="Times New Roman"/>
          <w:sz w:val="24"/>
          <w:szCs w:val="24"/>
        </w:rPr>
        <w:t xml:space="preserve">and more than </w:t>
      </w:r>
      <w:r w:rsidRPr="0011545E">
        <w:rPr>
          <w:rFonts w:ascii="Times New Roman" w:hAnsi="Times New Roman"/>
          <w:sz w:val="24"/>
          <w:szCs w:val="24"/>
        </w:rPr>
        <w:lastRenderedPageBreak/>
        <w:t>80% of consumer goods in Abkhazia we</w:t>
      </w:r>
      <w:r w:rsidR="00110EB4">
        <w:rPr>
          <w:rFonts w:ascii="Times New Roman" w:hAnsi="Times New Roman"/>
          <w:sz w:val="24"/>
          <w:szCs w:val="24"/>
        </w:rPr>
        <w:t>re imported from Russia.</w:t>
      </w:r>
      <w:r w:rsidR="00110EB4">
        <w:rPr>
          <w:rStyle w:val="FootnoteReference"/>
          <w:rFonts w:ascii="Times New Roman" w:hAnsi="Times New Roman"/>
          <w:sz w:val="24"/>
          <w:szCs w:val="24"/>
        </w:rPr>
        <w:footnoteReference w:id="392"/>
      </w:r>
      <w:r w:rsidRPr="0011545E">
        <w:rPr>
          <w:rFonts w:ascii="Times New Roman" w:hAnsi="Times New Roman"/>
          <w:sz w:val="24"/>
          <w:szCs w:val="24"/>
        </w:rPr>
        <w:t xml:space="preserve"> Interestingly, Putin’s generous economic incentives towards the separatist regions caused the outrage among the Russian nationalists, who organized the street protests aga</w:t>
      </w:r>
      <w:r w:rsidR="00416D6D">
        <w:rPr>
          <w:rFonts w:ascii="Times New Roman" w:hAnsi="Times New Roman"/>
          <w:sz w:val="24"/>
          <w:szCs w:val="24"/>
        </w:rPr>
        <w:t>inst ‘feeding of the Caucasus’.</w:t>
      </w:r>
      <w:r w:rsidR="00416D6D">
        <w:rPr>
          <w:rStyle w:val="FootnoteReference"/>
          <w:rFonts w:ascii="Times New Roman" w:hAnsi="Times New Roman"/>
          <w:sz w:val="24"/>
          <w:szCs w:val="24"/>
        </w:rPr>
        <w:footnoteReference w:id="393"/>
      </w:r>
      <w:r w:rsidRPr="0011545E">
        <w:rPr>
          <w:rFonts w:ascii="Times New Roman" w:hAnsi="Times New Roman"/>
          <w:sz w:val="24"/>
          <w:szCs w:val="24"/>
        </w:rPr>
        <w:t xml:space="preserve"> As a result of prolonged economic and intergovernmental linkage with Abkhazia and South Ossetia, the K</w:t>
      </w:r>
      <w:r w:rsidR="00744E72" w:rsidRPr="0011545E">
        <w:rPr>
          <w:rFonts w:ascii="Times New Roman" w:hAnsi="Times New Roman"/>
          <w:sz w:val="24"/>
          <w:szCs w:val="24"/>
        </w:rPr>
        <w:t>remlin has established unilateral</w:t>
      </w:r>
      <w:r w:rsidRPr="0011545E">
        <w:rPr>
          <w:rFonts w:ascii="Times New Roman" w:hAnsi="Times New Roman"/>
          <w:sz w:val="24"/>
          <w:szCs w:val="24"/>
        </w:rPr>
        <w:t xml:space="preserve"> dependence which represents </w:t>
      </w:r>
      <w:r w:rsidR="00F56A9C">
        <w:rPr>
          <w:rFonts w:ascii="Times New Roman" w:hAnsi="Times New Roman"/>
          <w:sz w:val="24"/>
          <w:szCs w:val="24"/>
        </w:rPr>
        <w:t xml:space="preserve">an </w:t>
      </w:r>
      <w:r w:rsidRPr="0011545E">
        <w:rPr>
          <w:rFonts w:ascii="Times New Roman" w:hAnsi="Times New Roman"/>
          <w:sz w:val="24"/>
          <w:szCs w:val="24"/>
        </w:rPr>
        <w:t xml:space="preserve">immense challenge for the EU and Georgia in </w:t>
      </w:r>
      <w:r w:rsidR="00F56A9C">
        <w:rPr>
          <w:rFonts w:ascii="Times New Roman" w:hAnsi="Times New Roman"/>
          <w:sz w:val="24"/>
          <w:szCs w:val="24"/>
        </w:rPr>
        <w:t xml:space="preserve">the </w:t>
      </w:r>
      <w:r w:rsidRPr="0011545E">
        <w:rPr>
          <w:rFonts w:ascii="Times New Roman" w:hAnsi="Times New Roman"/>
          <w:sz w:val="24"/>
          <w:szCs w:val="24"/>
        </w:rPr>
        <w:t>conflict mediation process.</w:t>
      </w:r>
    </w:p>
    <w:p w:rsidR="0068288D" w:rsidRDefault="0068288D" w:rsidP="0068288D">
      <w:pPr>
        <w:pStyle w:val="NoSpacing"/>
      </w:pPr>
      <w:r>
        <w:rPr>
          <w:noProof/>
        </w:rPr>
        <w:drawing>
          <wp:inline distT="0" distB="0" distL="0" distR="0">
            <wp:extent cx="5760720" cy="2962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dget 2012-2016.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962275"/>
                    </a:xfrm>
                    <a:prstGeom prst="rect">
                      <a:avLst/>
                    </a:prstGeom>
                  </pic:spPr>
                </pic:pic>
              </a:graphicData>
            </a:graphic>
          </wp:inline>
        </w:drawing>
      </w:r>
    </w:p>
    <w:p w:rsidR="0068288D" w:rsidRPr="0011517B" w:rsidRDefault="00F61F43" w:rsidP="0068288D">
      <w:pPr>
        <w:pStyle w:val="NoSpacing"/>
        <w:rPr>
          <w:rFonts w:ascii="Times New Roman" w:hAnsi="Times New Roman"/>
          <w:sz w:val="24"/>
          <w:szCs w:val="24"/>
        </w:rPr>
      </w:pPr>
      <w:r w:rsidRPr="00F61F43">
        <w:rPr>
          <w:rFonts w:ascii="Times New Roman" w:hAnsi="Times New Roman"/>
          <w:b/>
          <w:sz w:val="24"/>
          <w:szCs w:val="24"/>
        </w:rPr>
        <w:t>Figure 9</w:t>
      </w:r>
      <w:r w:rsidR="0068288D" w:rsidRPr="00F61F43">
        <w:rPr>
          <w:rFonts w:ascii="Times New Roman" w:hAnsi="Times New Roman"/>
          <w:b/>
          <w:sz w:val="24"/>
          <w:szCs w:val="24"/>
        </w:rPr>
        <w:t>.</w:t>
      </w:r>
      <w:r w:rsidR="0068288D" w:rsidRPr="0011517B">
        <w:rPr>
          <w:rFonts w:ascii="Times New Roman" w:hAnsi="Times New Roman"/>
          <w:sz w:val="24"/>
          <w:szCs w:val="24"/>
        </w:rPr>
        <w:t xml:space="preserve"> Russian Share in Budget of Abkhazia and South Ossetia in 2012-2016</w:t>
      </w:r>
      <w:r w:rsidR="0068288D" w:rsidRPr="0011517B">
        <w:rPr>
          <w:rStyle w:val="FootnoteReference"/>
          <w:rFonts w:ascii="Times New Roman" w:hAnsi="Times New Roman"/>
          <w:sz w:val="24"/>
          <w:szCs w:val="24"/>
        </w:rPr>
        <w:footnoteReference w:id="394"/>
      </w:r>
    </w:p>
    <w:p w:rsidR="0068288D" w:rsidRPr="0068288D" w:rsidRDefault="0068288D" w:rsidP="0068288D">
      <w:pPr>
        <w:pStyle w:val="NoSpacing"/>
      </w:pPr>
    </w:p>
    <w:p w:rsidR="00557C6B"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Beside</w:t>
      </w:r>
      <w:r w:rsidR="00F56A9C">
        <w:rPr>
          <w:rFonts w:ascii="Times New Roman" w:hAnsi="Times New Roman"/>
          <w:sz w:val="24"/>
          <w:szCs w:val="24"/>
        </w:rPr>
        <w:t>s</w:t>
      </w:r>
      <w:r w:rsidRPr="0011545E">
        <w:rPr>
          <w:rFonts w:ascii="Times New Roman" w:hAnsi="Times New Roman"/>
          <w:sz w:val="24"/>
          <w:szCs w:val="24"/>
        </w:rPr>
        <w:t xml:space="preserve"> the economic and security leverage on contested states, the Kremlin actively exercises its hard power tactics against Georgia through the ‘creeping borderization’ mechanism. The instru</w:t>
      </w:r>
      <w:r w:rsidR="00F56A9C">
        <w:rPr>
          <w:rFonts w:ascii="Times New Roman" w:hAnsi="Times New Roman"/>
          <w:sz w:val="24"/>
          <w:szCs w:val="24"/>
        </w:rPr>
        <w:t xml:space="preserve">ment is utilized to achieve </w:t>
      </w:r>
      <w:r w:rsidRPr="0011545E">
        <w:rPr>
          <w:rFonts w:ascii="Times New Roman" w:hAnsi="Times New Roman"/>
          <w:sz w:val="24"/>
          <w:szCs w:val="24"/>
        </w:rPr>
        <w:t xml:space="preserve">physical control on </w:t>
      </w:r>
      <w:r w:rsidR="00F56A9C">
        <w:rPr>
          <w:rFonts w:ascii="Times New Roman" w:hAnsi="Times New Roman"/>
          <w:sz w:val="24"/>
          <w:szCs w:val="24"/>
        </w:rPr>
        <w:t xml:space="preserve">the </w:t>
      </w:r>
      <w:r w:rsidRPr="0011545E">
        <w:rPr>
          <w:rFonts w:ascii="Times New Roman" w:hAnsi="Times New Roman"/>
          <w:sz w:val="24"/>
          <w:szCs w:val="24"/>
        </w:rPr>
        <w:t xml:space="preserve">wider territorial segment on Georgian administered territories near the ABL. The Russian troops are illegally </w:t>
      </w:r>
      <w:r w:rsidR="00F56A9C">
        <w:rPr>
          <w:rFonts w:ascii="Times New Roman" w:hAnsi="Times New Roman"/>
          <w:sz w:val="24"/>
          <w:szCs w:val="24"/>
        </w:rPr>
        <w:t xml:space="preserve">moving the border fences, signs, </w:t>
      </w:r>
      <w:r w:rsidRPr="0011545E">
        <w:rPr>
          <w:rFonts w:ascii="Times New Roman" w:hAnsi="Times New Roman"/>
          <w:sz w:val="24"/>
          <w:szCs w:val="24"/>
        </w:rPr>
        <w:t xml:space="preserve">and the block-posts and expend their control on Georgian territories. The act is extremely provocative and poses </w:t>
      </w:r>
      <w:r w:rsidR="00F56A9C">
        <w:rPr>
          <w:rFonts w:ascii="Times New Roman" w:hAnsi="Times New Roman"/>
          <w:sz w:val="24"/>
          <w:szCs w:val="24"/>
        </w:rPr>
        <w:t xml:space="preserve">the </w:t>
      </w:r>
      <w:r w:rsidRPr="0011545E">
        <w:rPr>
          <w:rFonts w:ascii="Times New Roman" w:hAnsi="Times New Roman"/>
          <w:sz w:val="24"/>
          <w:szCs w:val="24"/>
        </w:rPr>
        <w:t xml:space="preserve">threat of re-escalation of armed hostilities between the Russian troops and Georgian armed forces. </w:t>
      </w:r>
    </w:p>
    <w:p w:rsidR="00557C6B" w:rsidRDefault="00557C6B" w:rsidP="0011545E">
      <w:pPr>
        <w:spacing w:line="360" w:lineRule="auto"/>
        <w:jc w:val="both"/>
        <w:rPr>
          <w:rFonts w:ascii="Times New Roman" w:hAnsi="Times New Roman"/>
          <w:sz w:val="24"/>
          <w:szCs w:val="24"/>
        </w:rPr>
      </w:pPr>
    </w:p>
    <w:p w:rsidR="00B13A08"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In 2018, the EUMM published the report on ‘creeping borderization’ which presented a detailed picture of Russia’s vile strategy: between 2008-2018, more than 60km of security </w:t>
      </w:r>
      <w:r w:rsidRPr="0011545E">
        <w:rPr>
          <w:rFonts w:ascii="Times New Roman" w:hAnsi="Times New Roman"/>
          <w:sz w:val="24"/>
          <w:szCs w:val="24"/>
        </w:rPr>
        <w:lastRenderedPageBreak/>
        <w:t xml:space="preserve">fences have been stretched near the South Ossetian ABL, 20km of security and surveillance equipment has been installed, more than 200 border signs have been attached beyond the Georgian ABL and up to 20 Russian border guard bases and controlled crossing points have emerged. As a result, more than 10 Georgian villages and small settlements have been occupied and dozens of people were </w:t>
      </w:r>
      <w:r w:rsidR="00416D6D">
        <w:rPr>
          <w:rFonts w:ascii="Times New Roman" w:hAnsi="Times New Roman"/>
          <w:sz w:val="24"/>
          <w:szCs w:val="24"/>
        </w:rPr>
        <w:t>left behind the Russian fences.</w:t>
      </w:r>
      <w:r w:rsidR="00416D6D">
        <w:rPr>
          <w:rStyle w:val="FootnoteReference"/>
          <w:rFonts w:ascii="Times New Roman" w:hAnsi="Times New Roman"/>
          <w:sz w:val="24"/>
          <w:szCs w:val="24"/>
        </w:rPr>
        <w:footnoteReference w:id="395"/>
      </w:r>
      <w:r w:rsidRPr="0011545E">
        <w:rPr>
          <w:rFonts w:ascii="Times New Roman" w:hAnsi="Times New Roman"/>
          <w:sz w:val="24"/>
          <w:szCs w:val="24"/>
        </w:rPr>
        <w:t xml:space="preserve"> </w:t>
      </w:r>
    </w:p>
    <w:p w:rsidR="00C7236D" w:rsidRDefault="007C282C" w:rsidP="00C7236D">
      <w:pPr>
        <w:spacing w:line="360" w:lineRule="auto"/>
        <w:jc w:val="both"/>
        <w:rPr>
          <w:rFonts w:ascii="Times New Roman" w:hAnsi="Times New Roman"/>
          <w:b/>
          <w:sz w:val="24"/>
          <w:szCs w:val="24"/>
        </w:rPr>
      </w:pPr>
      <w:r>
        <w:rPr>
          <w:rFonts w:ascii="Times New Roman" w:hAnsi="Times New Roman"/>
          <w:noProof/>
          <w:sz w:val="24"/>
          <w:szCs w:val="24"/>
        </w:rPr>
        <w:drawing>
          <wp:inline distT="0" distB="0" distL="0" distR="0">
            <wp:extent cx="4514850" cy="3948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rderization in Tskhinvali.png"/>
                    <pic:cNvPicPr/>
                  </pic:nvPicPr>
                  <pic:blipFill>
                    <a:blip r:embed="rId22">
                      <a:extLst>
                        <a:ext uri="{28A0092B-C50C-407E-A947-70E740481C1C}">
                          <a14:useLocalDpi xmlns:a14="http://schemas.microsoft.com/office/drawing/2010/main" val="0"/>
                        </a:ext>
                      </a:extLst>
                    </a:blip>
                    <a:stretch>
                      <a:fillRect/>
                    </a:stretch>
                  </pic:blipFill>
                  <pic:spPr>
                    <a:xfrm>
                      <a:off x="0" y="0"/>
                      <a:ext cx="4545958" cy="3975206"/>
                    </a:xfrm>
                    <a:prstGeom prst="rect">
                      <a:avLst/>
                    </a:prstGeom>
                  </pic:spPr>
                </pic:pic>
              </a:graphicData>
            </a:graphic>
          </wp:inline>
        </w:drawing>
      </w:r>
    </w:p>
    <w:p w:rsidR="00B13A08" w:rsidRPr="00C67B17" w:rsidRDefault="00F61F43" w:rsidP="00C7236D">
      <w:pPr>
        <w:spacing w:line="360" w:lineRule="auto"/>
        <w:jc w:val="both"/>
        <w:rPr>
          <w:rFonts w:ascii="Times New Roman" w:hAnsi="Times New Roman"/>
          <w:sz w:val="24"/>
          <w:szCs w:val="24"/>
        </w:rPr>
      </w:pPr>
      <w:r w:rsidRPr="00F61F43">
        <w:rPr>
          <w:rFonts w:ascii="Times New Roman" w:hAnsi="Times New Roman"/>
          <w:b/>
          <w:sz w:val="24"/>
          <w:szCs w:val="24"/>
        </w:rPr>
        <w:t>Map 7</w:t>
      </w:r>
      <w:r w:rsidR="00B13A08" w:rsidRPr="00F61F43">
        <w:rPr>
          <w:rFonts w:ascii="Times New Roman" w:hAnsi="Times New Roman"/>
          <w:b/>
          <w:sz w:val="24"/>
          <w:szCs w:val="24"/>
        </w:rPr>
        <w:t xml:space="preserve">. </w:t>
      </w:r>
      <w:r w:rsidR="00C67B17">
        <w:rPr>
          <w:rFonts w:ascii="Times New Roman" w:hAnsi="Times New Roman"/>
          <w:sz w:val="24"/>
          <w:szCs w:val="24"/>
        </w:rPr>
        <w:t>Creeping Borderization i</w:t>
      </w:r>
      <w:r w:rsidR="00B13A08" w:rsidRPr="00C67B17">
        <w:rPr>
          <w:rFonts w:ascii="Times New Roman" w:hAnsi="Times New Roman"/>
          <w:sz w:val="24"/>
          <w:szCs w:val="24"/>
        </w:rPr>
        <w:t>n South Ossetia 2011-2018.</w:t>
      </w:r>
      <w:r w:rsidR="007C282C" w:rsidRPr="00C67B17">
        <w:rPr>
          <w:rStyle w:val="FootnoteReference"/>
          <w:rFonts w:ascii="Times New Roman" w:hAnsi="Times New Roman"/>
          <w:sz w:val="24"/>
          <w:szCs w:val="24"/>
        </w:rPr>
        <w:footnoteReference w:id="396"/>
      </w:r>
    </w:p>
    <w:p w:rsidR="007C282C" w:rsidRDefault="007C282C" w:rsidP="0011545E">
      <w:pPr>
        <w:spacing w:line="360" w:lineRule="auto"/>
        <w:jc w:val="both"/>
        <w:rPr>
          <w:rFonts w:ascii="Times New Roman" w:hAnsi="Times New Roman"/>
          <w:sz w:val="24"/>
          <w:szCs w:val="24"/>
        </w:rPr>
      </w:pPr>
    </w:p>
    <w:p w:rsidR="008B3B0B"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In Abkhazia, more than 30km of fences have been stretched, up to 25km of surveillance equipment has been installed and 20 new Russian b</w:t>
      </w:r>
      <w:r w:rsidR="006D5E33">
        <w:rPr>
          <w:rFonts w:ascii="Times New Roman" w:hAnsi="Times New Roman"/>
          <w:sz w:val="24"/>
          <w:szCs w:val="24"/>
        </w:rPr>
        <w:t xml:space="preserve">order guard bases </w:t>
      </w:r>
      <w:r w:rsidR="00F56A9C">
        <w:rPr>
          <w:rFonts w:ascii="Times New Roman" w:hAnsi="Times New Roman"/>
          <w:sz w:val="24"/>
          <w:szCs w:val="24"/>
        </w:rPr>
        <w:t xml:space="preserve">have </w:t>
      </w:r>
      <w:r w:rsidR="006D5E33">
        <w:rPr>
          <w:rFonts w:ascii="Times New Roman" w:hAnsi="Times New Roman"/>
          <w:sz w:val="24"/>
          <w:szCs w:val="24"/>
        </w:rPr>
        <w:t>emerged.</w:t>
      </w:r>
      <w:r w:rsidR="006D5E33">
        <w:rPr>
          <w:rStyle w:val="FootnoteReference"/>
          <w:rFonts w:ascii="Times New Roman" w:hAnsi="Times New Roman"/>
          <w:sz w:val="24"/>
          <w:szCs w:val="24"/>
        </w:rPr>
        <w:footnoteReference w:id="397"/>
      </w:r>
      <w:r w:rsidRPr="0011545E">
        <w:rPr>
          <w:rFonts w:ascii="Times New Roman" w:hAnsi="Times New Roman"/>
          <w:sz w:val="24"/>
          <w:szCs w:val="24"/>
        </w:rPr>
        <w:t xml:space="preserve"> The Georgian authorities and the EU condemn the borderization process as </w:t>
      </w:r>
      <w:r w:rsidR="00F56A9C">
        <w:rPr>
          <w:rFonts w:ascii="Times New Roman" w:hAnsi="Times New Roman"/>
          <w:sz w:val="24"/>
          <w:szCs w:val="24"/>
        </w:rPr>
        <w:t>an illegal act under</w:t>
      </w:r>
      <w:r w:rsidRPr="0011545E">
        <w:rPr>
          <w:rFonts w:ascii="Times New Roman" w:hAnsi="Times New Roman"/>
          <w:sz w:val="24"/>
          <w:szCs w:val="24"/>
        </w:rPr>
        <w:t xml:space="preserve"> international law. The official Tbilisi recognizes the ABLs as the dividing lines between Georgian administered territories and permanently occupied regions. There were multiple cases of illegal detention and kidnapping of Georgian citizens near the ABLs, in most case</w:t>
      </w:r>
      <w:r w:rsidR="006D5E33">
        <w:rPr>
          <w:rFonts w:ascii="Times New Roman" w:hAnsi="Times New Roman"/>
          <w:sz w:val="24"/>
          <w:szCs w:val="24"/>
        </w:rPr>
        <w:t xml:space="preserve">s </w:t>
      </w:r>
      <w:r w:rsidR="006D5E33">
        <w:rPr>
          <w:rFonts w:ascii="Times New Roman" w:hAnsi="Times New Roman"/>
          <w:sz w:val="24"/>
          <w:szCs w:val="24"/>
        </w:rPr>
        <w:lastRenderedPageBreak/>
        <w:t>by the Russian border guards.</w:t>
      </w:r>
      <w:r w:rsidR="006D5E33">
        <w:rPr>
          <w:rStyle w:val="FootnoteReference"/>
          <w:rFonts w:ascii="Times New Roman" w:hAnsi="Times New Roman"/>
          <w:sz w:val="24"/>
          <w:szCs w:val="24"/>
        </w:rPr>
        <w:footnoteReference w:id="398"/>
      </w:r>
      <w:r w:rsidRPr="0011545E">
        <w:rPr>
          <w:rFonts w:ascii="Times New Roman" w:hAnsi="Times New Roman"/>
          <w:sz w:val="24"/>
          <w:szCs w:val="24"/>
        </w:rPr>
        <w:t xml:space="preserve"> The victims are abused mentally and physically and forced to pay the fine </w:t>
      </w:r>
      <w:r w:rsidR="00F56A9C">
        <w:rPr>
          <w:rFonts w:ascii="Times New Roman" w:hAnsi="Times New Roman"/>
          <w:sz w:val="24"/>
          <w:szCs w:val="24"/>
        </w:rPr>
        <w:t>of the</w:t>
      </w:r>
      <w:r w:rsidRPr="0011545E">
        <w:rPr>
          <w:rFonts w:ascii="Times New Roman" w:hAnsi="Times New Roman"/>
          <w:sz w:val="24"/>
          <w:szCs w:val="24"/>
        </w:rPr>
        <w:t xml:space="preserve"> amount of</w:t>
      </w:r>
      <w:r w:rsidR="00930887">
        <w:rPr>
          <w:rFonts w:ascii="Times New Roman" w:hAnsi="Times New Roman"/>
          <w:sz w:val="24"/>
          <w:szCs w:val="24"/>
        </w:rPr>
        <w:t xml:space="preserve"> RUB 2,000-15,000 (</w:t>
      </w:r>
      <w:r w:rsidR="00930887" w:rsidRPr="00930887">
        <w:rPr>
          <w:rFonts w:ascii="Times New Roman" w:hAnsi="Times New Roman"/>
          <w:color w:val="222222"/>
          <w:sz w:val="24"/>
          <w:szCs w:val="24"/>
          <w:shd w:val="clear" w:color="auto" w:fill="FFFFFF"/>
        </w:rPr>
        <w:t>€</w:t>
      </w:r>
      <w:r w:rsidR="006D5E33">
        <w:rPr>
          <w:rFonts w:ascii="Times New Roman" w:hAnsi="Times New Roman"/>
          <w:sz w:val="24"/>
          <w:szCs w:val="24"/>
        </w:rPr>
        <w:t>30-230).</w:t>
      </w:r>
      <w:r w:rsidR="006D5E33">
        <w:rPr>
          <w:rStyle w:val="FootnoteReference"/>
          <w:rFonts w:ascii="Times New Roman" w:hAnsi="Times New Roman"/>
          <w:sz w:val="24"/>
          <w:szCs w:val="24"/>
        </w:rPr>
        <w:footnoteReference w:id="399"/>
      </w:r>
      <w:r w:rsidRPr="0011545E">
        <w:rPr>
          <w:rFonts w:ascii="Times New Roman" w:hAnsi="Times New Roman"/>
          <w:sz w:val="24"/>
          <w:szCs w:val="24"/>
        </w:rPr>
        <w:t xml:space="preserve"> The villages near the ABLs are one of the </w:t>
      </w:r>
      <w:r w:rsidR="00F56A9C">
        <w:rPr>
          <w:rFonts w:ascii="Times New Roman" w:hAnsi="Times New Roman"/>
          <w:sz w:val="24"/>
          <w:szCs w:val="24"/>
        </w:rPr>
        <w:t>poorest</w:t>
      </w:r>
      <w:r w:rsidRPr="0011545E">
        <w:rPr>
          <w:rFonts w:ascii="Times New Roman" w:hAnsi="Times New Roman"/>
          <w:sz w:val="24"/>
          <w:szCs w:val="24"/>
        </w:rPr>
        <w:t xml:space="preserve"> and socially unprivileged settlements where people struggle to cover the basic expenses. The creeping borderization has </w:t>
      </w:r>
      <w:r w:rsidR="00F56A9C">
        <w:rPr>
          <w:rFonts w:ascii="Times New Roman" w:hAnsi="Times New Roman"/>
          <w:sz w:val="24"/>
          <w:szCs w:val="24"/>
        </w:rPr>
        <w:t xml:space="preserve">a </w:t>
      </w:r>
      <w:r w:rsidRPr="0011545E">
        <w:rPr>
          <w:rFonts w:ascii="Times New Roman" w:hAnsi="Times New Roman"/>
          <w:sz w:val="24"/>
          <w:szCs w:val="24"/>
        </w:rPr>
        <w:t>negative impact not only on human rights and socio-economic conditions of the residents in nearby villages but for Georgia as a whole, due to the unstable security environment and decreased trust and attract</w:t>
      </w:r>
      <w:r w:rsidR="0029056A">
        <w:rPr>
          <w:rFonts w:ascii="Times New Roman" w:hAnsi="Times New Roman"/>
          <w:sz w:val="24"/>
          <w:szCs w:val="24"/>
        </w:rPr>
        <w:t>iveness from foreign investors.</w:t>
      </w:r>
    </w:p>
    <w:p w:rsidR="00D57DBE" w:rsidRDefault="00D57DBE"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F6008" w:rsidRDefault="002F6008" w:rsidP="00D57DBE">
      <w:pPr>
        <w:pStyle w:val="NoSpacing"/>
      </w:pPr>
    </w:p>
    <w:p w:rsidR="002238BB" w:rsidRDefault="002238BB" w:rsidP="00D57DBE">
      <w:pPr>
        <w:pStyle w:val="NoSpacing"/>
      </w:pPr>
    </w:p>
    <w:p w:rsidR="002238BB" w:rsidRDefault="002238BB" w:rsidP="00D57DBE">
      <w:pPr>
        <w:pStyle w:val="NoSpacing"/>
      </w:pPr>
    </w:p>
    <w:p w:rsidR="002238BB" w:rsidRDefault="002238BB" w:rsidP="00D57DBE">
      <w:pPr>
        <w:pStyle w:val="NoSpacing"/>
      </w:pPr>
    </w:p>
    <w:p w:rsidR="002238BB" w:rsidRDefault="002238BB" w:rsidP="00D57DBE">
      <w:pPr>
        <w:pStyle w:val="NoSpacing"/>
      </w:pPr>
    </w:p>
    <w:p w:rsidR="002238BB" w:rsidRDefault="002238BB" w:rsidP="00D57DBE">
      <w:pPr>
        <w:pStyle w:val="NoSpacing"/>
      </w:pPr>
    </w:p>
    <w:p w:rsidR="00434913" w:rsidRDefault="00434913" w:rsidP="00D57DBE">
      <w:pPr>
        <w:pStyle w:val="NoSpacing"/>
      </w:pPr>
    </w:p>
    <w:p w:rsidR="002238BB" w:rsidRDefault="002238BB" w:rsidP="00D57DBE">
      <w:pPr>
        <w:pStyle w:val="NoSpacing"/>
      </w:pPr>
    </w:p>
    <w:p w:rsidR="00B304DA" w:rsidRPr="00D57DBE" w:rsidRDefault="00B304DA" w:rsidP="00D57DBE">
      <w:pPr>
        <w:pStyle w:val="NoSpacing"/>
      </w:pPr>
    </w:p>
    <w:p w:rsidR="007508AD" w:rsidRDefault="007508AD" w:rsidP="007508AD">
      <w:pPr>
        <w:pStyle w:val="Heading2"/>
        <w:spacing w:line="360" w:lineRule="auto"/>
        <w:jc w:val="right"/>
        <w:rPr>
          <w:rFonts w:ascii="Times New Roman" w:hAnsi="Times New Roman" w:cs="Times New Roman"/>
          <w:color w:val="auto"/>
          <w:sz w:val="22"/>
          <w:szCs w:val="22"/>
        </w:rPr>
      </w:pPr>
      <w:bookmarkStart w:id="29" w:name="_Toc46952623"/>
      <w:r w:rsidRPr="007508AD">
        <w:rPr>
          <w:rFonts w:ascii="Times New Roman" w:hAnsi="Times New Roman" w:cs="Times New Roman"/>
          <w:color w:val="auto"/>
          <w:sz w:val="22"/>
          <w:szCs w:val="22"/>
        </w:rPr>
        <w:lastRenderedPageBreak/>
        <w:t xml:space="preserve">“While I think that our response to the outbreak of war in Georgia was successful, I can not say the same four our ability to prevent the conflict in the first place. </w:t>
      </w:r>
    </w:p>
    <w:p w:rsidR="007508AD" w:rsidRPr="007508AD" w:rsidRDefault="007508AD" w:rsidP="007508AD">
      <w:pPr>
        <w:pStyle w:val="Heading2"/>
        <w:spacing w:line="360" w:lineRule="auto"/>
        <w:jc w:val="right"/>
        <w:rPr>
          <w:rFonts w:ascii="Times New Roman" w:hAnsi="Times New Roman" w:cs="Times New Roman"/>
          <w:color w:val="auto"/>
          <w:sz w:val="22"/>
          <w:szCs w:val="22"/>
        </w:rPr>
      </w:pPr>
      <w:r w:rsidRPr="007508AD">
        <w:rPr>
          <w:rFonts w:ascii="Times New Roman" w:hAnsi="Times New Roman" w:cs="Times New Roman"/>
          <w:color w:val="auto"/>
          <w:sz w:val="22"/>
          <w:szCs w:val="22"/>
        </w:rPr>
        <w:t>Having established the parameters within which the EU engages with the separatist entities in Georgia, the engagement should increase through more far-reaching measur</w:t>
      </w:r>
      <w:r w:rsidR="00E204B8">
        <w:rPr>
          <w:rFonts w:ascii="Times New Roman" w:hAnsi="Times New Roman" w:cs="Times New Roman"/>
          <w:color w:val="auto"/>
          <w:sz w:val="22"/>
          <w:szCs w:val="22"/>
        </w:rPr>
        <w:t>e</w:t>
      </w:r>
      <w:r w:rsidRPr="007508AD">
        <w:rPr>
          <w:rFonts w:ascii="Times New Roman" w:hAnsi="Times New Roman" w:cs="Times New Roman"/>
          <w:color w:val="auto"/>
          <w:sz w:val="22"/>
          <w:szCs w:val="22"/>
        </w:rPr>
        <w:t>s.”</w:t>
      </w:r>
      <w:r w:rsidR="00EB35BE">
        <w:rPr>
          <w:rStyle w:val="FootnoteReference"/>
          <w:rFonts w:ascii="Times New Roman" w:hAnsi="Times New Roman" w:cs="Times New Roman"/>
          <w:color w:val="auto"/>
          <w:sz w:val="22"/>
          <w:szCs w:val="22"/>
        </w:rPr>
        <w:footnoteReference w:id="400"/>
      </w:r>
    </w:p>
    <w:p w:rsidR="007508AD" w:rsidRPr="007508AD" w:rsidRDefault="007508AD" w:rsidP="007508AD">
      <w:pPr>
        <w:spacing w:line="360" w:lineRule="auto"/>
        <w:jc w:val="right"/>
        <w:rPr>
          <w:rFonts w:ascii="Times New Roman" w:hAnsi="Times New Roman"/>
          <w:sz w:val="22"/>
          <w:szCs w:val="22"/>
        </w:rPr>
      </w:pPr>
      <w:r w:rsidRPr="007508AD">
        <w:rPr>
          <w:rFonts w:ascii="Times New Roman" w:hAnsi="Times New Roman"/>
          <w:sz w:val="22"/>
          <w:szCs w:val="22"/>
        </w:rPr>
        <w:t>Peter Semneby</w:t>
      </w:r>
    </w:p>
    <w:p w:rsidR="007508AD" w:rsidRPr="007508AD" w:rsidRDefault="007508AD" w:rsidP="007508AD">
      <w:pPr>
        <w:pStyle w:val="NoSpacing"/>
        <w:spacing w:line="360" w:lineRule="auto"/>
        <w:jc w:val="right"/>
        <w:rPr>
          <w:rFonts w:ascii="Times New Roman" w:hAnsi="Times New Roman"/>
          <w:sz w:val="22"/>
          <w:szCs w:val="22"/>
        </w:rPr>
      </w:pPr>
      <w:r w:rsidRPr="007508AD">
        <w:rPr>
          <w:rFonts w:ascii="Times New Roman" w:hAnsi="Times New Roman"/>
          <w:sz w:val="22"/>
          <w:szCs w:val="22"/>
        </w:rPr>
        <w:t>The EU Special Representative in South Caucasus</w:t>
      </w:r>
    </w:p>
    <w:p w:rsidR="007508AD" w:rsidRPr="007508AD" w:rsidRDefault="007508AD" w:rsidP="007508AD">
      <w:pPr>
        <w:pStyle w:val="NoSpacing"/>
        <w:spacing w:line="360" w:lineRule="auto"/>
        <w:jc w:val="right"/>
        <w:rPr>
          <w:rFonts w:ascii="Times New Roman" w:hAnsi="Times New Roman"/>
          <w:sz w:val="22"/>
          <w:szCs w:val="22"/>
        </w:rPr>
      </w:pPr>
      <w:r w:rsidRPr="007508AD">
        <w:rPr>
          <w:rFonts w:ascii="Times New Roman" w:hAnsi="Times New Roman"/>
          <w:sz w:val="22"/>
          <w:szCs w:val="22"/>
        </w:rPr>
        <w:t>February 10, 2011</w:t>
      </w:r>
    </w:p>
    <w:p w:rsidR="007508AD" w:rsidRPr="007508AD" w:rsidRDefault="007508AD" w:rsidP="007508AD">
      <w:pPr>
        <w:jc w:val="center"/>
      </w:pPr>
    </w:p>
    <w:p w:rsidR="007508AD" w:rsidRPr="007508AD" w:rsidRDefault="007508AD" w:rsidP="007508AD"/>
    <w:p w:rsidR="007508AD" w:rsidRPr="007508AD" w:rsidRDefault="007508AD" w:rsidP="007508AD"/>
    <w:p w:rsidR="003C44CE" w:rsidRDefault="003C44CE" w:rsidP="007B74C4">
      <w:pPr>
        <w:pStyle w:val="Heading2"/>
        <w:rPr>
          <w:color w:val="auto"/>
          <w:sz w:val="32"/>
          <w:szCs w:val="32"/>
        </w:rPr>
      </w:pPr>
      <w:r w:rsidRPr="00D57DBE">
        <w:rPr>
          <w:color w:val="auto"/>
          <w:sz w:val="32"/>
          <w:szCs w:val="32"/>
        </w:rPr>
        <w:t>4.3 The Dynamics of the Conflict Mediation Process</w:t>
      </w:r>
      <w:bookmarkEnd w:id="29"/>
    </w:p>
    <w:p w:rsidR="00557C6B" w:rsidRDefault="00557C6B" w:rsidP="00557C6B">
      <w:pPr>
        <w:rPr>
          <w:rFonts w:ascii="Times New Roman" w:hAnsi="Times New Roman"/>
          <w:sz w:val="24"/>
          <w:szCs w:val="24"/>
        </w:rPr>
      </w:pPr>
    </w:p>
    <w:p w:rsidR="00233F22" w:rsidRPr="00233F22" w:rsidRDefault="00233F22" w:rsidP="005C400E">
      <w:pPr>
        <w:pStyle w:val="NoSpacing"/>
        <w:spacing w:line="360" w:lineRule="auto"/>
        <w:jc w:val="both"/>
        <w:rPr>
          <w:rFonts w:ascii="Times New Roman" w:hAnsi="Times New Roman"/>
          <w:sz w:val="24"/>
          <w:szCs w:val="24"/>
        </w:rPr>
      </w:pPr>
      <w:r>
        <w:rPr>
          <w:rFonts w:ascii="Times New Roman" w:hAnsi="Times New Roman"/>
          <w:sz w:val="24"/>
          <w:szCs w:val="24"/>
        </w:rPr>
        <w:t>The chapter</w:t>
      </w:r>
      <w:r w:rsidR="00E204B8">
        <w:rPr>
          <w:rFonts w:ascii="Times New Roman" w:hAnsi="Times New Roman"/>
          <w:sz w:val="24"/>
          <w:szCs w:val="24"/>
        </w:rPr>
        <w:t xml:space="preserve"> presents the analytical assessment of the EU’s</w:t>
      </w:r>
      <w:r>
        <w:rPr>
          <w:rFonts w:ascii="Times New Roman" w:hAnsi="Times New Roman"/>
          <w:sz w:val="24"/>
          <w:szCs w:val="24"/>
        </w:rPr>
        <w:t xml:space="preserve"> conflict mediation efforts from the practical perspective. It will proceed with </w:t>
      </w:r>
      <w:r w:rsidR="00E204B8">
        <w:rPr>
          <w:rFonts w:ascii="Times New Roman" w:hAnsi="Times New Roman"/>
          <w:sz w:val="24"/>
          <w:szCs w:val="24"/>
        </w:rPr>
        <w:t xml:space="preserve">a </w:t>
      </w:r>
      <w:r>
        <w:rPr>
          <w:rFonts w:ascii="Times New Roman" w:hAnsi="Times New Roman"/>
          <w:sz w:val="24"/>
          <w:szCs w:val="24"/>
        </w:rPr>
        <w:t xml:space="preserve">discussion on the political stances of the de-facto authorities concerning the EU’s </w:t>
      </w:r>
      <w:r w:rsidR="00E204B8">
        <w:rPr>
          <w:rFonts w:ascii="Times New Roman" w:hAnsi="Times New Roman"/>
          <w:sz w:val="24"/>
          <w:szCs w:val="24"/>
        </w:rPr>
        <w:t>NREP strategy and further analyz</w:t>
      </w:r>
      <w:r>
        <w:rPr>
          <w:rFonts w:ascii="Times New Roman" w:hAnsi="Times New Roman"/>
          <w:sz w:val="24"/>
          <w:szCs w:val="24"/>
        </w:rPr>
        <w:t>e the factors which limit the capacity of the EU-Georgian partnership in the context of the conflict settlement.</w:t>
      </w:r>
      <w:r w:rsidR="005C400E">
        <w:rPr>
          <w:rFonts w:ascii="Times New Roman" w:hAnsi="Times New Roman"/>
          <w:sz w:val="24"/>
          <w:szCs w:val="24"/>
        </w:rPr>
        <w:t xml:space="preserve"> </w:t>
      </w:r>
      <w:r>
        <w:rPr>
          <w:rFonts w:ascii="Times New Roman" w:hAnsi="Times New Roman"/>
          <w:sz w:val="24"/>
          <w:szCs w:val="24"/>
        </w:rPr>
        <w:t xml:space="preserve"> The chapter outlines the major</w:t>
      </w:r>
      <w:r w:rsidR="005C400E">
        <w:rPr>
          <w:rFonts w:ascii="Times New Roman" w:hAnsi="Times New Roman"/>
          <w:sz w:val="24"/>
          <w:szCs w:val="24"/>
        </w:rPr>
        <w:t xml:space="preserve"> determinants of the (in</w:t>
      </w:r>
      <w:proofErr w:type="gramStart"/>
      <w:r w:rsidR="005C400E">
        <w:rPr>
          <w:rFonts w:ascii="Times New Roman" w:hAnsi="Times New Roman"/>
          <w:sz w:val="24"/>
          <w:szCs w:val="24"/>
        </w:rPr>
        <w:t>)efficiency</w:t>
      </w:r>
      <w:proofErr w:type="gramEnd"/>
      <w:r w:rsidR="005C400E">
        <w:rPr>
          <w:rFonts w:ascii="Times New Roman" w:hAnsi="Times New Roman"/>
          <w:sz w:val="24"/>
          <w:szCs w:val="24"/>
        </w:rPr>
        <w:t xml:space="preserve"> of the EU’s conflict mediation strategy and enables to apply the main findings to the selected theoretical tools.</w:t>
      </w:r>
    </w:p>
    <w:p w:rsidR="003C44CE" w:rsidRPr="00D57DBE" w:rsidRDefault="003C44CE" w:rsidP="003C44CE">
      <w:pPr>
        <w:pStyle w:val="NoSpacing"/>
        <w:rPr>
          <w:rFonts w:ascii="Times New Roman" w:hAnsi="Times New Roman"/>
          <w:sz w:val="32"/>
          <w:szCs w:val="32"/>
        </w:rPr>
      </w:pPr>
    </w:p>
    <w:p w:rsidR="00050BA9" w:rsidRPr="00D57DBE" w:rsidRDefault="003C44CE" w:rsidP="007B74C4">
      <w:pPr>
        <w:pStyle w:val="Heading2"/>
        <w:rPr>
          <w:color w:val="auto"/>
          <w:sz w:val="32"/>
          <w:szCs w:val="32"/>
        </w:rPr>
      </w:pPr>
      <w:bookmarkStart w:id="30" w:name="_Toc46952624"/>
      <w:r w:rsidRPr="00D57DBE">
        <w:rPr>
          <w:color w:val="auto"/>
          <w:sz w:val="32"/>
          <w:szCs w:val="32"/>
        </w:rPr>
        <w:t xml:space="preserve">4.3.1 The </w:t>
      </w:r>
      <w:r w:rsidR="00716F8F">
        <w:rPr>
          <w:color w:val="auto"/>
          <w:sz w:val="32"/>
          <w:szCs w:val="32"/>
        </w:rPr>
        <w:t xml:space="preserve">Situation in </w:t>
      </w:r>
      <w:r w:rsidRPr="00D57DBE">
        <w:rPr>
          <w:color w:val="auto"/>
          <w:sz w:val="32"/>
          <w:szCs w:val="32"/>
        </w:rPr>
        <w:t>Contested Regions</w:t>
      </w:r>
      <w:bookmarkEnd w:id="30"/>
    </w:p>
    <w:p w:rsidR="00D57DBE" w:rsidRPr="00D57DBE" w:rsidRDefault="00D57DBE" w:rsidP="00D57DBE"/>
    <w:p w:rsidR="005C400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ambitions of the de-facto authorities to become i</w:t>
      </w:r>
      <w:r w:rsidR="002238BB">
        <w:rPr>
          <w:rFonts w:ascii="Times New Roman" w:hAnsi="Times New Roman"/>
          <w:sz w:val="24"/>
          <w:szCs w:val="24"/>
        </w:rPr>
        <w:t xml:space="preserve">ndependent from Georgia do not </w:t>
      </w:r>
      <w:r w:rsidRPr="0011545E">
        <w:rPr>
          <w:rFonts w:ascii="Times New Roman" w:hAnsi="Times New Roman"/>
          <w:sz w:val="24"/>
          <w:szCs w:val="24"/>
        </w:rPr>
        <w:t>automatically nullify their dependence on Russia</w:t>
      </w:r>
      <w:r w:rsidR="002238BB">
        <w:rPr>
          <w:rFonts w:ascii="Times New Roman" w:hAnsi="Times New Roman"/>
          <w:sz w:val="24"/>
          <w:szCs w:val="24"/>
        </w:rPr>
        <w:t>, which is often observed in Abkhazia</w:t>
      </w:r>
      <w:r w:rsidRPr="0011545E">
        <w:rPr>
          <w:rFonts w:ascii="Times New Roman" w:hAnsi="Times New Roman"/>
          <w:sz w:val="24"/>
          <w:szCs w:val="24"/>
        </w:rPr>
        <w:t xml:space="preserve">. </w:t>
      </w:r>
      <w:r w:rsidR="00716F8F">
        <w:rPr>
          <w:rFonts w:ascii="Times New Roman" w:hAnsi="Times New Roman"/>
          <w:sz w:val="24"/>
          <w:szCs w:val="24"/>
        </w:rPr>
        <w:t>Caspersen (2009) notes that both regions are acting</w:t>
      </w:r>
      <w:r w:rsidRPr="0011545E">
        <w:rPr>
          <w:rFonts w:ascii="Times New Roman" w:hAnsi="Times New Roman"/>
          <w:sz w:val="24"/>
          <w:szCs w:val="24"/>
        </w:rPr>
        <w:t xml:space="preserve"> as puppet states that are stron</w:t>
      </w:r>
      <w:r w:rsidR="002238BB">
        <w:rPr>
          <w:rFonts w:ascii="Times New Roman" w:hAnsi="Times New Roman"/>
          <w:sz w:val="24"/>
          <w:szCs w:val="24"/>
        </w:rPr>
        <w:t>gly linked to their patron</w:t>
      </w:r>
      <w:r w:rsidRPr="0011545E">
        <w:rPr>
          <w:rFonts w:ascii="Times New Roman" w:hAnsi="Times New Roman"/>
          <w:sz w:val="24"/>
          <w:szCs w:val="24"/>
        </w:rPr>
        <w:t xml:space="preserve"> – Russia, which recognizes their sovereignty and provides the financial, security, and technical m</w:t>
      </w:r>
      <w:r w:rsidR="006D5E33">
        <w:rPr>
          <w:rFonts w:ascii="Times New Roman" w:hAnsi="Times New Roman"/>
          <w:sz w:val="24"/>
          <w:szCs w:val="24"/>
        </w:rPr>
        <w:t>eans for state-building.</w:t>
      </w:r>
      <w:r w:rsidR="006D5E33">
        <w:rPr>
          <w:rStyle w:val="FootnoteReference"/>
          <w:rFonts w:ascii="Times New Roman" w:hAnsi="Times New Roman"/>
          <w:sz w:val="24"/>
          <w:szCs w:val="24"/>
        </w:rPr>
        <w:footnoteReference w:id="401"/>
      </w:r>
      <w:r w:rsidRPr="0011545E">
        <w:rPr>
          <w:rFonts w:ascii="Times New Roman" w:hAnsi="Times New Roman"/>
          <w:sz w:val="24"/>
          <w:szCs w:val="24"/>
        </w:rPr>
        <w:t xml:space="preserve"> For the breakaway entities, their patron state is both blessing and a curse. One the one hand, Russia plays </w:t>
      </w:r>
      <w:r w:rsidR="00F56A9C">
        <w:rPr>
          <w:rFonts w:ascii="Times New Roman" w:hAnsi="Times New Roman"/>
          <w:sz w:val="24"/>
          <w:szCs w:val="24"/>
        </w:rPr>
        <w:t xml:space="preserve">a </w:t>
      </w:r>
      <w:r w:rsidRPr="0011545E">
        <w:rPr>
          <w:rFonts w:ascii="Times New Roman" w:hAnsi="Times New Roman"/>
          <w:sz w:val="24"/>
          <w:szCs w:val="24"/>
        </w:rPr>
        <w:t xml:space="preserve">vital role in </w:t>
      </w:r>
      <w:r w:rsidR="00F56A9C">
        <w:rPr>
          <w:rFonts w:ascii="Times New Roman" w:hAnsi="Times New Roman"/>
          <w:sz w:val="24"/>
          <w:szCs w:val="24"/>
        </w:rPr>
        <w:t xml:space="preserve">the </w:t>
      </w:r>
      <w:r w:rsidRPr="0011545E">
        <w:rPr>
          <w:rFonts w:ascii="Times New Roman" w:hAnsi="Times New Roman"/>
          <w:sz w:val="24"/>
          <w:szCs w:val="24"/>
        </w:rPr>
        <w:t xml:space="preserve">securitization of Abkhazia and South Ossetia against third parties and grants their citizens with Russian passports; on the other hand, the de-facto authorities are severely limited in terms of </w:t>
      </w:r>
      <w:r w:rsidRPr="0011545E">
        <w:rPr>
          <w:rFonts w:ascii="Times New Roman" w:hAnsi="Times New Roman"/>
          <w:sz w:val="24"/>
          <w:szCs w:val="24"/>
        </w:rPr>
        <w:lastRenderedPageBreak/>
        <w:t xml:space="preserve">engagement with </w:t>
      </w:r>
      <w:r w:rsidR="00F56A9C">
        <w:rPr>
          <w:rFonts w:ascii="Times New Roman" w:hAnsi="Times New Roman"/>
          <w:sz w:val="24"/>
          <w:szCs w:val="24"/>
        </w:rPr>
        <w:t xml:space="preserve">the </w:t>
      </w:r>
      <w:r w:rsidRPr="0011545E">
        <w:rPr>
          <w:rFonts w:ascii="Times New Roman" w:hAnsi="Times New Roman"/>
          <w:sz w:val="24"/>
          <w:szCs w:val="24"/>
        </w:rPr>
        <w:t>international community and the scope of</w:t>
      </w:r>
      <w:r w:rsidR="001A263C">
        <w:rPr>
          <w:rFonts w:ascii="Times New Roman" w:hAnsi="Times New Roman"/>
          <w:sz w:val="24"/>
          <w:szCs w:val="24"/>
        </w:rPr>
        <w:t xml:space="preserve"> recognition on a global scale.</w:t>
      </w:r>
      <w:r w:rsidR="001A263C">
        <w:rPr>
          <w:rStyle w:val="FootnoteReference"/>
          <w:rFonts w:ascii="Times New Roman" w:hAnsi="Times New Roman"/>
          <w:sz w:val="24"/>
          <w:szCs w:val="24"/>
        </w:rPr>
        <w:footnoteReference w:id="402"/>
      </w:r>
      <w:r w:rsidRPr="0011545E">
        <w:rPr>
          <w:rFonts w:ascii="Times New Roman" w:hAnsi="Times New Roman"/>
          <w:sz w:val="24"/>
          <w:szCs w:val="24"/>
        </w:rPr>
        <w:t xml:space="preserve"> </w:t>
      </w:r>
    </w:p>
    <w:p w:rsidR="005C400E" w:rsidRDefault="005C400E" w:rsidP="0011545E">
      <w:pPr>
        <w:spacing w:line="360" w:lineRule="auto"/>
        <w:jc w:val="both"/>
        <w:rPr>
          <w:rFonts w:ascii="Times New Roman" w:hAnsi="Times New Roman"/>
          <w:sz w:val="24"/>
          <w:szCs w:val="24"/>
        </w:rPr>
      </w:pPr>
    </w:p>
    <w:p w:rsidR="003024E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After the war in 2008, the de-facto authorities engaged in institution-building under the supervision of the Kremlin. The Abkhazian governance bo</w:t>
      </w:r>
      <w:r w:rsidR="001F1C4A" w:rsidRPr="0011545E">
        <w:rPr>
          <w:rFonts w:ascii="Times New Roman" w:hAnsi="Times New Roman"/>
          <w:sz w:val="24"/>
          <w:szCs w:val="24"/>
        </w:rPr>
        <w:t>dies and economic system is relatively</w:t>
      </w:r>
      <w:r w:rsidRPr="0011545E">
        <w:rPr>
          <w:rFonts w:ascii="Times New Roman" w:hAnsi="Times New Roman"/>
          <w:sz w:val="24"/>
          <w:szCs w:val="24"/>
        </w:rPr>
        <w:t xml:space="preserve"> organized and diversified than South Ossetian. This is primarily reasoned by the natural resources and tourism</w:t>
      </w:r>
      <w:r w:rsidR="001A263C">
        <w:rPr>
          <w:rFonts w:ascii="Times New Roman" w:hAnsi="Times New Roman"/>
          <w:sz w:val="24"/>
          <w:szCs w:val="24"/>
        </w:rPr>
        <w:t xml:space="preserve"> potential of Abkhazia.</w:t>
      </w:r>
      <w:r w:rsidR="001A263C">
        <w:rPr>
          <w:rStyle w:val="FootnoteReference"/>
          <w:rFonts w:ascii="Times New Roman" w:hAnsi="Times New Roman"/>
          <w:sz w:val="24"/>
          <w:szCs w:val="24"/>
        </w:rPr>
        <w:footnoteReference w:id="403"/>
      </w:r>
      <w:r w:rsidRPr="0011545E">
        <w:rPr>
          <w:rFonts w:ascii="Times New Roman" w:hAnsi="Times New Roman"/>
          <w:sz w:val="24"/>
          <w:szCs w:val="24"/>
        </w:rPr>
        <w:t xml:space="preserve"> South Ossetia </w:t>
      </w:r>
      <w:r w:rsidR="00F56A9C">
        <w:rPr>
          <w:rFonts w:ascii="Times New Roman" w:hAnsi="Times New Roman"/>
          <w:sz w:val="24"/>
          <w:szCs w:val="24"/>
        </w:rPr>
        <w:t xml:space="preserve">heavily relies on </w:t>
      </w:r>
      <w:r w:rsidRPr="0011545E">
        <w:rPr>
          <w:rFonts w:ascii="Times New Roman" w:hAnsi="Times New Roman"/>
          <w:sz w:val="24"/>
          <w:szCs w:val="24"/>
        </w:rPr>
        <w:t>informal markets and illegal trade with Georgia. Both regions are severely affected by corruption, infrastructural problems, demographic iss</w:t>
      </w:r>
      <w:r w:rsidR="001A263C">
        <w:rPr>
          <w:rFonts w:ascii="Times New Roman" w:hAnsi="Times New Roman"/>
          <w:sz w:val="24"/>
          <w:szCs w:val="24"/>
        </w:rPr>
        <w:t>ues, and organized crime.</w:t>
      </w:r>
      <w:r w:rsidR="001A263C">
        <w:rPr>
          <w:rStyle w:val="FootnoteReference"/>
          <w:rFonts w:ascii="Times New Roman" w:hAnsi="Times New Roman"/>
          <w:sz w:val="24"/>
          <w:szCs w:val="24"/>
        </w:rPr>
        <w:footnoteReference w:id="404"/>
      </w:r>
      <w:r w:rsidRPr="0011545E">
        <w:rPr>
          <w:rFonts w:ascii="Times New Roman" w:hAnsi="Times New Roman"/>
          <w:sz w:val="24"/>
          <w:szCs w:val="24"/>
        </w:rPr>
        <w:t xml:space="preserve"> </w:t>
      </w:r>
      <w:r w:rsidR="001A130B">
        <w:rPr>
          <w:rFonts w:ascii="Times New Roman" w:hAnsi="Times New Roman"/>
          <w:sz w:val="24"/>
          <w:szCs w:val="24"/>
        </w:rPr>
        <w:t>According to Hammerberg and Grono (2017): ”d</w:t>
      </w:r>
      <w:r w:rsidRPr="0011545E">
        <w:rPr>
          <w:rFonts w:ascii="Times New Roman" w:hAnsi="Times New Roman"/>
          <w:sz w:val="24"/>
          <w:szCs w:val="24"/>
        </w:rPr>
        <w:t xml:space="preserve">ue to the international isolation, the European legal space </w:t>
      </w:r>
      <w:r w:rsidR="00434913">
        <w:rPr>
          <w:rFonts w:ascii="Times New Roman" w:hAnsi="Times New Roman"/>
          <w:sz w:val="24"/>
          <w:szCs w:val="24"/>
        </w:rPr>
        <w:t>does not</w:t>
      </w:r>
      <w:r w:rsidRPr="0011545E">
        <w:rPr>
          <w:rFonts w:ascii="Times New Roman" w:hAnsi="Times New Roman"/>
          <w:sz w:val="24"/>
          <w:szCs w:val="24"/>
        </w:rPr>
        <w:t xml:space="preserve"> expand to these territories as it does to other regions of Georgia based on the membership in </w:t>
      </w:r>
      <w:r w:rsidR="00F56A9C">
        <w:rPr>
          <w:rFonts w:ascii="Times New Roman" w:hAnsi="Times New Roman"/>
          <w:sz w:val="24"/>
          <w:szCs w:val="24"/>
        </w:rPr>
        <w:t xml:space="preserve">the </w:t>
      </w:r>
      <w:r w:rsidRPr="0011545E">
        <w:rPr>
          <w:rFonts w:ascii="Times New Roman" w:hAnsi="Times New Roman"/>
          <w:sz w:val="24"/>
          <w:szCs w:val="24"/>
        </w:rPr>
        <w:t>Council of Europe.</w:t>
      </w:r>
      <w:r w:rsidR="001A130B">
        <w:rPr>
          <w:rFonts w:ascii="Times New Roman" w:hAnsi="Times New Roman"/>
          <w:sz w:val="24"/>
          <w:szCs w:val="24"/>
        </w:rPr>
        <w:t>”</w:t>
      </w:r>
      <w:r w:rsidR="00D023C1">
        <w:rPr>
          <w:rStyle w:val="FootnoteReference"/>
          <w:rFonts w:ascii="Times New Roman" w:hAnsi="Times New Roman"/>
          <w:sz w:val="24"/>
          <w:szCs w:val="24"/>
        </w:rPr>
        <w:footnoteReference w:id="405"/>
      </w:r>
      <w:r w:rsidRPr="0011545E">
        <w:rPr>
          <w:rFonts w:ascii="Times New Roman" w:hAnsi="Times New Roman"/>
          <w:sz w:val="24"/>
          <w:szCs w:val="24"/>
        </w:rPr>
        <w:t xml:space="preserve"> In recent years, there were numerous cases of hate crime, kidnap</w:t>
      </w:r>
      <w:r w:rsidR="00F56A9C">
        <w:rPr>
          <w:rFonts w:ascii="Times New Roman" w:hAnsi="Times New Roman"/>
          <w:sz w:val="24"/>
          <w:szCs w:val="24"/>
        </w:rPr>
        <w:t xml:space="preserve">ping, physical and mental abuse, </w:t>
      </w:r>
      <w:r w:rsidRPr="0011545E">
        <w:rPr>
          <w:rFonts w:ascii="Times New Roman" w:hAnsi="Times New Roman"/>
          <w:sz w:val="24"/>
          <w:szCs w:val="24"/>
        </w:rPr>
        <w:t xml:space="preserve">and murder in </w:t>
      </w:r>
      <w:r w:rsidR="00F56A9C">
        <w:rPr>
          <w:rFonts w:ascii="Times New Roman" w:hAnsi="Times New Roman"/>
          <w:sz w:val="24"/>
          <w:szCs w:val="24"/>
        </w:rPr>
        <w:t xml:space="preserve">the </w:t>
      </w:r>
      <w:r w:rsidRPr="0011545E">
        <w:rPr>
          <w:rFonts w:ascii="Times New Roman" w:hAnsi="Times New Roman"/>
          <w:sz w:val="24"/>
          <w:szCs w:val="24"/>
        </w:rPr>
        <w:t>district of Gali, Abkhazia which is mainly p</w:t>
      </w:r>
      <w:r w:rsidR="0047123D">
        <w:rPr>
          <w:rFonts w:ascii="Times New Roman" w:hAnsi="Times New Roman"/>
          <w:sz w:val="24"/>
          <w:szCs w:val="24"/>
        </w:rPr>
        <w:t>opulated with ethnic Georgians.</w:t>
      </w:r>
      <w:r w:rsidR="0047123D">
        <w:rPr>
          <w:rStyle w:val="FootnoteReference"/>
          <w:rFonts w:ascii="Times New Roman" w:hAnsi="Times New Roman"/>
          <w:sz w:val="24"/>
          <w:szCs w:val="24"/>
        </w:rPr>
        <w:footnoteReference w:id="406"/>
      </w:r>
      <w:r w:rsidRPr="0011545E">
        <w:rPr>
          <w:rFonts w:ascii="Times New Roman" w:hAnsi="Times New Roman"/>
          <w:sz w:val="24"/>
          <w:szCs w:val="24"/>
        </w:rPr>
        <w:t xml:space="preserve"> </w:t>
      </w:r>
    </w:p>
    <w:p w:rsidR="003024E9" w:rsidRDefault="003024E9" w:rsidP="0011545E">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3752850" cy="285709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ussia Trust1.png"/>
                    <pic:cNvPicPr/>
                  </pic:nvPicPr>
                  <pic:blipFill>
                    <a:blip r:embed="rId23">
                      <a:extLst>
                        <a:ext uri="{28A0092B-C50C-407E-A947-70E740481C1C}">
                          <a14:useLocalDpi xmlns:a14="http://schemas.microsoft.com/office/drawing/2010/main" val="0"/>
                        </a:ext>
                      </a:extLst>
                    </a:blip>
                    <a:stretch>
                      <a:fillRect/>
                    </a:stretch>
                  </pic:blipFill>
                  <pic:spPr>
                    <a:xfrm>
                      <a:off x="0" y="0"/>
                      <a:ext cx="3774845" cy="2873842"/>
                    </a:xfrm>
                    <a:prstGeom prst="rect">
                      <a:avLst/>
                    </a:prstGeom>
                  </pic:spPr>
                </pic:pic>
              </a:graphicData>
            </a:graphic>
          </wp:inline>
        </w:drawing>
      </w:r>
    </w:p>
    <w:p w:rsidR="003024E9" w:rsidRPr="00C67B17" w:rsidRDefault="00F61F43" w:rsidP="00C67B17">
      <w:pPr>
        <w:pStyle w:val="NoSpacing"/>
        <w:rPr>
          <w:rFonts w:ascii="Times New Roman" w:hAnsi="Times New Roman"/>
          <w:b/>
          <w:sz w:val="24"/>
          <w:szCs w:val="24"/>
        </w:rPr>
      </w:pPr>
      <w:r w:rsidRPr="00F61F43">
        <w:rPr>
          <w:rFonts w:ascii="Times New Roman" w:hAnsi="Times New Roman"/>
          <w:b/>
          <w:sz w:val="24"/>
          <w:szCs w:val="24"/>
        </w:rPr>
        <w:lastRenderedPageBreak/>
        <w:t>Figure 10</w:t>
      </w:r>
      <w:r w:rsidR="003024E9" w:rsidRPr="00F61F43">
        <w:rPr>
          <w:rFonts w:ascii="Times New Roman" w:hAnsi="Times New Roman"/>
          <w:b/>
          <w:sz w:val="24"/>
          <w:szCs w:val="24"/>
        </w:rPr>
        <w:t xml:space="preserve">. </w:t>
      </w:r>
      <w:r w:rsidR="00C769E8" w:rsidRPr="00C67B17">
        <w:rPr>
          <w:rFonts w:ascii="Times New Roman" w:hAnsi="Times New Roman"/>
          <w:sz w:val="24"/>
          <w:szCs w:val="24"/>
        </w:rPr>
        <w:t xml:space="preserve">Public Survey on </w:t>
      </w:r>
      <w:r w:rsidR="003024E9" w:rsidRPr="00C67B17">
        <w:rPr>
          <w:rFonts w:ascii="Times New Roman" w:hAnsi="Times New Roman"/>
          <w:sz w:val="24"/>
          <w:szCs w:val="24"/>
        </w:rPr>
        <w:t>Support of RF in Abkhazia and South Ossetia in 2014.</w:t>
      </w:r>
      <w:r w:rsidR="003024E9" w:rsidRPr="00C67B17">
        <w:rPr>
          <w:rStyle w:val="FootnoteReference"/>
          <w:rFonts w:ascii="Times New Roman" w:hAnsi="Times New Roman"/>
          <w:sz w:val="24"/>
          <w:szCs w:val="24"/>
        </w:rPr>
        <w:footnoteReference w:id="407"/>
      </w:r>
    </w:p>
    <w:p w:rsidR="00F61F43" w:rsidRPr="00F61F43" w:rsidRDefault="00F61F43" w:rsidP="00657958">
      <w:pPr>
        <w:pStyle w:val="NoSpacing"/>
        <w:rPr>
          <w:rFonts w:ascii="Times New Roman" w:hAnsi="Times New Roman"/>
          <w:b/>
          <w:sz w:val="24"/>
          <w:szCs w:val="24"/>
        </w:rPr>
      </w:pPr>
    </w:p>
    <w:p w:rsidR="00050BA9" w:rsidRPr="00657958" w:rsidRDefault="00050BA9" w:rsidP="00867F58">
      <w:pPr>
        <w:pStyle w:val="NoSpacing"/>
        <w:spacing w:line="360" w:lineRule="auto"/>
        <w:jc w:val="both"/>
      </w:pPr>
      <w:r w:rsidRPr="0011545E">
        <w:rPr>
          <w:rFonts w:ascii="Times New Roman" w:hAnsi="Times New Roman"/>
          <w:sz w:val="24"/>
          <w:szCs w:val="24"/>
        </w:rPr>
        <w:t xml:space="preserve">Furthermore, the de-facto authorities prohibited </w:t>
      </w:r>
      <w:r w:rsidR="00F56A9C">
        <w:rPr>
          <w:rFonts w:ascii="Times New Roman" w:hAnsi="Times New Roman"/>
          <w:sz w:val="24"/>
          <w:szCs w:val="24"/>
        </w:rPr>
        <w:t xml:space="preserve">the </w:t>
      </w:r>
      <w:r w:rsidRPr="0011545E">
        <w:rPr>
          <w:rFonts w:ascii="Times New Roman" w:hAnsi="Times New Roman"/>
          <w:sz w:val="24"/>
          <w:szCs w:val="24"/>
        </w:rPr>
        <w:t xml:space="preserve">teaching of </w:t>
      </w:r>
      <w:r w:rsidR="00F56A9C">
        <w:rPr>
          <w:rFonts w:ascii="Times New Roman" w:hAnsi="Times New Roman"/>
          <w:sz w:val="24"/>
          <w:szCs w:val="24"/>
        </w:rPr>
        <w:t xml:space="preserve">the </w:t>
      </w:r>
      <w:r w:rsidRPr="0011545E">
        <w:rPr>
          <w:rFonts w:ascii="Times New Roman" w:hAnsi="Times New Roman"/>
          <w:sz w:val="24"/>
          <w:szCs w:val="24"/>
        </w:rPr>
        <w:t>Georgian language in schools of Gali and i</w:t>
      </w:r>
      <w:r w:rsidR="008E2480">
        <w:rPr>
          <w:rFonts w:ascii="Times New Roman" w:hAnsi="Times New Roman"/>
          <w:sz w:val="24"/>
          <w:szCs w:val="24"/>
        </w:rPr>
        <w:t>ntroduced the Russian language.</w:t>
      </w:r>
      <w:r w:rsidR="008E2480">
        <w:rPr>
          <w:rStyle w:val="FootnoteReference"/>
          <w:rFonts w:ascii="Times New Roman" w:hAnsi="Times New Roman"/>
          <w:sz w:val="24"/>
          <w:szCs w:val="24"/>
        </w:rPr>
        <w:footnoteReference w:id="408"/>
      </w:r>
      <w:r w:rsidRPr="0011545E">
        <w:rPr>
          <w:rFonts w:ascii="Times New Roman" w:hAnsi="Times New Roman"/>
          <w:sz w:val="24"/>
          <w:szCs w:val="24"/>
        </w:rPr>
        <w:t xml:space="preserve"> The public healthcare system is non-functional in</w:t>
      </w:r>
      <w:r w:rsidR="00F56A9C">
        <w:rPr>
          <w:rFonts w:ascii="Times New Roman" w:hAnsi="Times New Roman"/>
          <w:sz w:val="24"/>
          <w:szCs w:val="24"/>
        </w:rPr>
        <w:t xml:space="preserve"> both separatist regions and </w:t>
      </w:r>
      <w:r w:rsidRPr="0011545E">
        <w:rPr>
          <w:rFonts w:ascii="Times New Roman" w:hAnsi="Times New Roman"/>
          <w:sz w:val="24"/>
          <w:szCs w:val="24"/>
        </w:rPr>
        <w:t>most cases, the inhabitants of breakawa</w:t>
      </w:r>
      <w:r w:rsidR="00F56A9C">
        <w:rPr>
          <w:rFonts w:ascii="Times New Roman" w:hAnsi="Times New Roman"/>
          <w:sz w:val="24"/>
          <w:szCs w:val="24"/>
        </w:rPr>
        <w:t xml:space="preserve">y entities are seeking </w:t>
      </w:r>
      <w:r w:rsidRPr="0011545E">
        <w:rPr>
          <w:rFonts w:ascii="Times New Roman" w:hAnsi="Times New Roman"/>
          <w:sz w:val="24"/>
          <w:szCs w:val="24"/>
        </w:rPr>
        <w:t>me</w:t>
      </w:r>
      <w:r w:rsidR="002974BD">
        <w:rPr>
          <w:rFonts w:ascii="Times New Roman" w:hAnsi="Times New Roman"/>
          <w:sz w:val="24"/>
          <w:szCs w:val="24"/>
        </w:rPr>
        <w:t>dical help in Georgia for free.</w:t>
      </w:r>
      <w:r w:rsidR="002974BD">
        <w:rPr>
          <w:rStyle w:val="FootnoteReference"/>
          <w:rFonts w:ascii="Times New Roman" w:hAnsi="Times New Roman"/>
          <w:sz w:val="24"/>
          <w:szCs w:val="24"/>
        </w:rPr>
        <w:footnoteReference w:id="409"/>
      </w:r>
      <w:r w:rsidRPr="0011545E">
        <w:rPr>
          <w:rFonts w:ascii="Times New Roman" w:hAnsi="Times New Roman"/>
          <w:sz w:val="24"/>
          <w:szCs w:val="24"/>
        </w:rPr>
        <w:t xml:space="preserve"> The ethnic Georgians of Gali district are forced to apply for the Abkhaz and/or Russian passports which leaves them without legal rights to cross the Georgian ABL. Furthermore, ‘Passportization’ is the only valid measure to acquire private</w:t>
      </w:r>
      <w:r w:rsidR="002974BD">
        <w:rPr>
          <w:rFonts w:ascii="Times New Roman" w:hAnsi="Times New Roman"/>
          <w:sz w:val="24"/>
          <w:szCs w:val="24"/>
        </w:rPr>
        <w:t xml:space="preserve"> property in breakaway regions.</w:t>
      </w:r>
      <w:r w:rsidR="002974BD">
        <w:rPr>
          <w:rStyle w:val="FootnoteReference"/>
          <w:rFonts w:ascii="Times New Roman" w:hAnsi="Times New Roman"/>
          <w:sz w:val="24"/>
          <w:szCs w:val="24"/>
        </w:rPr>
        <w:footnoteReference w:id="410"/>
      </w:r>
      <w:r w:rsidR="00F56A9C">
        <w:rPr>
          <w:rFonts w:ascii="Times New Roman" w:hAnsi="Times New Roman"/>
          <w:sz w:val="24"/>
          <w:szCs w:val="24"/>
        </w:rPr>
        <w:t xml:space="preserve"> The media and television are</w:t>
      </w:r>
      <w:r w:rsidRPr="0011545E">
        <w:rPr>
          <w:rFonts w:ascii="Times New Roman" w:hAnsi="Times New Roman"/>
          <w:sz w:val="24"/>
          <w:szCs w:val="24"/>
        </w:rPr>
        <w:t xml:space="preserve"> completely monopolized by Russia which leaves no room for competition for local outlets. The news sources are heavily pro-Russian and serve as a propaganda mechanism for inheriti</w:t>
      </w:r>
      <w:r w:rsidR="002974BD">
        <w:rPr>
          <w:rFonts w:ascii="Times New Roman" w:hAnsi="Times New Roman"/>
          <w:sz w:val="24"/>
          <w:szCs w:val="24"/>
        </w:rPr>
        <w:t>ng of anti-Georgian sentiments.</w:t>
      </w:r>
      <w:r w:rsidR="002974BD">
        <w:rPr>
          <w:rStyle w:val="FootnoteReference"/>
          <w:rFonts w:ascii="Times New Roman" w:hAnsi="Times New Roman"/>
          <w:sz w:val="24"/>
          <w:szCs w:val="24"/>
        </w:rPr>
        <w:footnoteReference w:id="411"/>
      </w:r>
      <w:r w:rsidR="00F56A9C">
        <w:rPr>
          <w:rFonts w:ascii="Times New Roman" w:hAnsi="Times New Roman"/>
          <w:sz w:val="24"/>
          <w:szCs w:val="24"/>
        </w:rPr>
        <w:t xml:space="preserve"> C</w:t>
      </w:r>
      <w:r w:rsidRPr="0011545E">
        <w:rPr>
          <w:rFonts w:ascii="Times New Roman" w:hAnsi="Times New Roman"/>
          <w:sz w:val="24"/>
          <w:szCs w:val="24"/>
        </w:rPr>
        <w:t>ivil society and NGOs are extremely censored and controlled by the local authorities. The opposition leaders and independent activists are oft</w:t>
      </w:r>
      <w:r w:rsidR="00F56A9C">
        <w:rPr>
          <w:rFonts w:ascii="Times New Roman" w:hAnsi="Times New Roman"/>
          <w:sz w:val="24"/>
          <w:szCs w:val="24"/>
        </w:rPr>
        <w:t xml:space="preserve">en persecuted, jailed, poisoned, </w:t>
      </w:r>
      <w:r w:rsidRPr="0011545E">
        <w:rPr>
          <w:rFonts w:ascii="Times New Roman" w:hAnsi="Times New Roman"/>
          <w:sz w:val="24"/>
          <w:szCs w:val="24"/>
        </w:rPr>
        <w:t>or murdere</w:t>
      </w:r>
      <w:r w:rsidR="00A30013">
        <w:rPr>
          <w:rFonts w:ascii="Times New Roman" w:hAnsi="Times New Roman"/>
          <w:sz w:val="24"/>
          <w:szCs w:val="24"/>
        </w:rPr>
        <w:t xml:space="preserve">d </w:t>
      </w:r>
      <w:r w:rsidR="00F56A9C">
        <w:rPr>
          <w:rFonts w:ascii="Times New Roman" w:hAnsi="Times New Roman"/>
          <w:sz w:val="24"/>
          <w:szCs w:val="24"/>
        </w:rPr>
        <w:t>in suspicious circum</w:t>
      </w:r>
      <w:r w:rsidR="00A30013">
        <w:rPr>
          <w:rFonts w:ascii="Times New Roman" w:hAnsi="Times New Roman"/>
          <w:sz w:val="24"/>
          <w:szCs w:val="24"/>
        </w:rPr>
        <w:t>stances.</w:t>
      </w:r>
      <w:r w:rsidR="004525EC">
        <w:rPr>
          <w:rStyle w:val="FootnoteReference"/>
          <w:rFonts w:ascii="Times New Roman" w:hAnsi="Times New Roman"/>
          <w:sz w:val="24"/>
          <w:szCs w:val="24"/>
        </w:rPr>
        <w:footnoteReference w:id="412"/>
      </w:r>
      <w:r w:rsidR="00F56A9C">
        <w:rPr>
          <w:rFonts w:ascii="Times New Roman" w:hAnsi="Times New Roman"/>
          <w:sz w:val="24"/>
          <w:szCs w:val="24"/>
        </w:rPr>
        <w:t xml:space="preserve"> In </w:t>
      </w:r>
      <w:r w:rsidRPr="0011545E">
        <w:rPr>
          <w:rFonts w:ascii="Times New Roman" w:hAnsi="Times New Roman"/>
          <w:sz w:val="24"/>
          <w:szCs w:val="24"/>
        </w:rPr>
        <w:t>recent years, there were multiple case</w:t>
      </w:r>
      <w:r w:rsidR="00F56A9C">
        <w:rPr>
          <w:rFonts w:ascii="Times New Roman" w:hAnsi="Times New Roman"/>
          <w:sz w:val="24"/>
          <w:szCs w:val="24"/>
        </w:rPr>
        <w:t xml:space="preserve">s of illegal detaining, torture, </w:t>
      </w:r>
      <w:r w:rsidRPr="0011545E">
        <w:rPr>
          <w:rFonts w:ascii="Times New Roman" w:hAnsi="Times New Roman"/>
          <w:sz w:val="24"/>
          <w:szCs w:val="24"/>
        </w:rPr>
        <w:t>and murder of Georgian citizens by the Russian border guards. The murder of Giga Otkhozoria (on Abkhazian border) and Archil Tatunashvili (in South Ossetian prison) brought the attention of the international community which the de-facto authorities and Rus</w:t>
      </w:r>
      <w:r w:rsidR="004525EC">
        <w:rPr>
          <w:rFonts w:ascii="Times New Roman" w:hAnsi="Times New Roman"/>
          <w:sz w:val="24"/>
          <w:szCs w:val="24"/>
        </w:rPr>
        <w:t>sia for their criminal actions.</w:t>
      </w:r>
      <w:r w:rsidR="004525EC">
        <w:rPr>
          <w:rStyle w:val="FootnoteReference"/>
          <w:rFonts w:ascii="Times New Roman" w:hAnsi="Times New Roman"/>
          <w:sz w:val="24"/>
          <w:szCs w:val="24"/>
        </w:rPr>
        <w:footnoteReference w:id="413"/>
      </w:r>
    </w:p>
    <w:p w:rsidR="005C400E" w:rsidRDefault="005C400E" w:rsidP="00FC0392">
      <w:pPr>
        <w:spacing w:line="360" w:lineRule="auto"/>
        <w:jc w:val="both"/>
        <w:rPr>
          <w:rFonts w:ascii="Times New Roman" w:hAnsi="Times New Roman"/>
          <w:sz w:val="24"/>
          <w:szCs w:val="24"/>
        </w:rPr>
      </w:pPr>
    </w:p>
    <w:p w:rsidR="0011545E" w:rsidRPr="00FC0392" w:rsidRDefault="00050BA9" w:rsidP="00FC0392">
      <w:pPr>
        <w:spacing w:line="360" w:lineRule="auto"/>
        <w:jc w:val="both"/>
        <w:rPr>
          <w:rFonts w:ascii="Times New Roman" w:hAnsi="Times New Roman"/>
          <w:sz w:val="24"/>
          <w:szCs w:val="24"/>
        </w:rPr>
      </w:pPr>
      <w:r w:rsidRPr="0011545E">
        <w:rPr>
          <w:rFonts w:ascii="Times New Roman" w:hAnsi="Times New Roman"/>
          <w:sz w:val="24"/>
          <w:szCs w:val="24"/>
        </w:rPr>
        <w:t>As the Kremlin and the de-facto</w:t>
      </w:r>
      <w:r w:rsidR="00F56A9C">
        <w:rPr>
          <w:rFonts w:ascii="Times New Roman" w:hAnsi="Times New Roman"/>
          <w:sz w:val="24"/>
          <w:szCs w:val="24"/>
        </w:rPr>
        <w:t xml:space="preserve"> authorities refuse to take </w:t>
      </w:r>
      <w:r w:rsidRPr="0011545E">
        <w:rPr>
          <w:rFonts w:ascii="Times New Roman" w:hAnsi="Times New Roman"/>
          <w:sz w:val="24"/>
          <w:szCs w:val="24"/>
        </w:rPr>
        <w:t>responsibility for provoking the armed conflict in 2008, the Georgian government and the EU are limi</w:t>
      </w:r>
      <w:r w:rsidR="00F56A9C">
        <w:rPr>
          <w:rFonts w:ascii="Times New Roman" w:hAnsi="Times New Roman"/>
          <w:sz w:val="24"/>
          <w:szCs w:val="24"/>
        </w:rPr>
        <w:t xml:space="preserve">ted in measurements to seek a </w:t>
      </w:r>
      <w:r w:rsidRPr="0011545E">
        <w:rPr>
          <w:rFonts w:ascii="Times New Roman" w:hAnsi="Times New Roman"/>
          <w:sz w:val="24"/>
          <w:szCs w:val="24"/>
        </w:rPr>
        <w:t xml:space="preserve">peaceful resolution. </w:t>
      </w:r>
      <w:r w:rsidR="00E204B8">
        <w:rPr>
          <w:rFonts w:ascii="Times New Roman" w:hAnsi="Times New Roman"/>
          <w:sz w:val="24"/>
          <w:szCs w:val="24"/>
        </w:rPr>
        <w:t>With growing economic, security</w:t>
      </w:r>
      <w:r w:rsidR="00F56A9C">
        <w:rPr>
          <w:rFonts w:ascii="Times New Roman" w:hAnsi="Times New Roman"/>
          <w:sz w:val="24"/>
          <w:szCs w:val="24"/>
        </w:rPr>
        <w:t xml:space="preserve"> </w:t>
      </w:r>
      <w:r w:rsidRPr="0011545E">
        <w:rPr>
          <w:rFonts w:ascii="Times New Roman" w:hAnsi="Times New Roman"/>
          <w:sz w:val="24"/>
          <w:szCs w:val="24"/>
        </w:rPr>
        <w:t xml:space="preserve">and institutional dependence of the separatist regions on Russia, it becomes practically inevitable to avoid Russia’s involvement in </w:t>
      </w:r>
      <w:r w:rsidR="00F56A9C">
        <w:rPr>
          <w:rFonts w:ascii="Times New Roman" w:hAnsi="Times New Roman"/>
          <w:sz w:val="24"/>
          <w:szCs w:val="24"/>
        </w:rPr>
        <w:t xml:space="preserve">the </w:t>
      </w:r>
      <w:r w:rsidRPr="0011545E">
        <w:rPr>
          <w:rFonts w:ascii="Times New Roman" w:hAnsi="Times New Roman"/>
          <w:sz w:val="24"/>
          <w:szCs w:val="24"/>
        </w:rPr>
        <w:t>resolution process. The Kremlin rejects to recognize the term ‘occupation’ in regards to its actions in contested st</w:t>
      </w:r>
      <w:r w:rsidR="00434913">
        <w:rPr>
          <w:rFonts w:ascii="Times New Roman" w:hAnsi="Times New Roman"/>
          <w:sz w:val="24"/>
          <w:szCs w:val="24"/>
        </w:rPr>
        <w:t>ates and implies that it does not</w:t>
      </w:r>
      <w:r w:rsidRPr="0011545E">
        <w:rPr>
          <w:rFonts w:ascii="Times New Roman" w:hAnsi="Times New Roman"/>
          <w:sz w:val="24"/>
          <w:szCs w:val="24"/>
        </w:rPr>
        <w:t xml:space="preserve"> exercise effec</w:t>
      </w:r>
      <w:r w:rsidR="004525EC">
        <w:rPr>
          <w:rFonts w:ascii="Times New Roman" w:hAnsi="Times New Roman"/>
          <w:sz w:val="24"/>
          <w:szCs w:val="24"/>
        </w:rPr>
        <w:t xml:space="preserve">tive </w:t>
      </w:r>
      <w:r w:rsidR="004525EC">
        <w:rPr>
          <w:rFonts w:ascii="Times New Roman" w:hAnsi="Times New Roman"/>
          <w:sz w:val="24"/>
          <w:szCs w:val="24"/>
        </w:rPr>
        <w:lastRenderedPageBreak/>
        <w:t>control in these entities.</w:t>
      </w:r>
      <w:r w:rsidR="004525EC">
        <w:rPr>
          <w:rStyle w:val="FootnoteReference"/>
          <w:rFonts w:ascii="Times New Roman" w:hAnsi="Times New Roman"/>
          <w:sz w:val="24"/>
          <w:szCs w:val="24"/>
        </w:rPr>
        <w:footnoteReference w:id="414"/>
      </w:r>
      <w:r w:rsidRPr="0011545E">
        <w:rPr>
          <w:rFonts w:ascii="Times New Roman" w:hAnsi="Times New Roman"/>
          <w:sz w:val="24"/>
          <w:szCs w:val="24"/>
        </w:rPr>
        <w:t xml:space="preserve"> Interestingly, the EU refuses to use the term ‘occupation’ and explains it by legal inaccuracy in </w:t>
      </w:r>
      <w:r w:rsidR="00F56A9C">
        <w:rPr>
          <w:rFonts w:ascii="Times New Roman" w:hAnsi="Times New Roman"/>
          <w:sz w:val="24"/>
          <w:szCs w:val="24"/>
        </w:rPr>
        <w:t xml:space="preserve">the </w:t>
      </w:r>
      <w:r w:rsidRPr="0011545E">
        <w:rPr>
          <w:rFonts w:ascii="Times New Roman" w:hAnsi="Times New Roman"/>
          <w:sz w:val="24"/>
          <w:szCs w:val="24"/>
        </w:rPr>
        <w:t>description o</w:t>
      </w:r>
      <w:r w:rsidR="004525EC">
        <w:rPr>
          <w:rFonts w:ascii="Times New Roman" w:hAnsi="Times New Roman"/>
          <w:sz w:val="24"/>
          <w:szCs w:val="24"/>
        </w:rPr>
        <w:t xml:space="preserve">f </w:t>
      </w:r>
      <w:r w:rsidR="00F56A9C">
        <w:rPr>
          <w:rFonts w:ascii="Times New Roman" w:hAnsi="Times New Roman"/>
          <w:sz w:val="24"/>
          <w:szCs w:val="24"/>
        </w:rPr>
        <w:t xml:space="preserve">the </w:t>
      </w:r>
      <w:r w:rsidR="004525EC">
        <w:rPr>
          <w:rFonts w:ascii="Times New Roman" w:hAnsi="Times New Roman"/>
          <w:sz w:val="24"/>
          <w:szCs w:val="24"/>
        </w:rPr>
        <w:t>multilateral conflict.</w:t>
      </w:r>
      <w:r w:rsidR="004525EC">
        <w:rPr>
          <w:rStyle w:val="FootnoteReference"/>
          <w:rFonts w:ascii="Times New Roman" w:hAnsi="Times New Roman"/>
          <w:sz w:val="24"/>
          <w:szCs w:val="24"/>
        </w:rPr>
        <w:footnoteReference w:id="415"/>
      </w:r>
      <w:r w:rsidRPr="0011545E">
        <w:rPr>
          <w:rFonts w:ascii="Times New Roman" w:hAnsi="Times New Roman"/>
          <w:sz w:val="24"/>
          <w:szCs w:val="24"/>
        </w:rPr>
        <w:t xml:space="preserve"> The Abkhaz opposition leaders such as Irakl</w:t>
      </w:r>
      <w:r w:rsidR="00233EE1" w:rsidRPr="0011545E">
        <w:rPr>
          <w:rFonts w:ascii="Times New Roman" w:hAnsi="Times New Roman"/>
          <w:sz w:val="24"/>
          <w:szCs w:val="24"/>
        </w:rPr>
        <w:t>i</w:t>
      </w:r>
      <w:r w:rsidRPr="0011545E">
        <w:rPr>
          <w:rFonts w:ascii="Times New Roman" w:hAnsi="Times New Roman"/>
          <w:sz w:val="24"/>
          <w:szCs w:val="24"/>
        </w:rPr>
        <w:t>y Khintba</w:t>
      </w:r>
      <w:r w:rsidR="00233EE1" w:rsidRPr="0011545E">
        <w:rPr>
          <w:rFonts w:ascii="Times New Roman" w:hAnsi="Times New Roman"/>
          <w:sz w:val="24"/>
          <w:szCs w:val="24"/>
        </w:rPr>
        <w:t>a</w:t>
      </w:r>
      <w:r w:rsidRPr="0011545E">
        <w:rPr>
          <w:rFonts w:ascii="Times New Roman" w:hAnsi="Times New Roman"/>
          <w:sz w:val="24"/>
          <w:szCs w:val="24"/>
        </w:rPr>
        <w:t xml:space="preserve"> often call for more proactive involvement of Georgia and the EU in </w:t>
      </w:r>
      <w:r w:rsidR="00F56A9C">
        <w:rPr>
          <w:rFonts w:ascii="Times New Roman" w:hAnsi="Times New Roman"/>
          <w:sz w:val="24"/>
          <w:szCs w:val="24"/>
        </w:rPr>
        <w:t xml:space="preserve">the </w:t>
      </w:r>
      <w:r w:rsidRPr="0011545E">
        <w:rPr>
          <w:rFonts w:ascii="Times New Roman" w:hAnsi="Times New Roman"/>
          <w:sz w:val="24"/>
          <w:szCs w:val="24"/>
        </w:rPr>
        <w:t>internalization of the frozen conflicts and direct political co</w:t>
      </w:r>
      <w:r w:rsidR="00496B9E" w:rsidRPr="0011545E">
        <w:rPr>
          <w:rFonts w:ascii="Times New Roman" w:hAnsi="Times New Roman"/>
          <w:sz w:val="24"/>
          <w:szCs w:val="24"/>
        </w:rPr>
        <w:t xml:space="preserve">nfrontation with Russia. </w:t>
      </w:r>
      <w:r w:rsidR="005A4E5D">
        <w:rPr>
          <w:rFonts w:ascii="Times New Roman" w:hAnsi="Times New Roman"/>
          <w:sz w:val="24"/>
          <w:szCs w:val="24"/>
        </w:rPr>
        <w:t xml:space="preserve">Fischer (2010) </w:t>
      </w:r>
      <w:r w:rsidRPr="0011545E">
        <w:rPr>
          <w:rFonts w:ascii="Times New Roman" w:hAnsi="Times New Roman"/>
          <w:sz w:val="24"/>
          <w:szCs w:val="24"/>
        </w:rPr>
        <w:t>explains that the EU’s soft tools in conflict transformation must be directed towards the transformation of the Abkhaz society a</w:t>
      </w:r>
      <w:r w:rsidR="00245F1D">
        <w:rPr>
          <w:rFonts w:ascii="Times New Roman" w:hAnsi="Times New Roman"/>
          <w:sz w:val="24"/>
          <w:szCs w:val="24"/>
        </w:rPr>
        <w:t>nd institutional modernization.</w:t>
      </w:r>
      <w:r w:rsidR="00245F1D">
        <w:rPr>
          <w:rStyle w:val="FootnoteReference"/>
          <w:rFonts w:ascii="Times New Roman" w:hAnsi="Times New Roman"/>
          <w:sz w:val="24"/>
          <w:szCs w:val="24"/>
        </w:rPr>
        <w:footnoteReference w:id="416"/>
      </w:r>
      <w:r w:rsidRPr="0011545E">
        <w:rPr>
          <w:rFonts w:ascii="Times New Roman" w:hAnsi="Times New Roman"/>
          <w:sz w:val="24"/>
          <w:szCs w:val="24"/>
        </w:rPr>
        <w:t xml:space="preserve"> Furthermore, the EU must shift its focus from </w:t>
      </w:r>
      <w:r w:rsidR="00F56A9C">
        <w:rPr>
          <w:rFonts w:ascii="Times New Roman" w:hAnsi="Times New Roman"/>
          <w:sz w:val="24"/>
          <w:szCs w:val="24"/>
        </w:rPr>
        <w:t xml:space="preserve">a </w:t>
      </w:r>
      <w:r w:rsidRPr="0011545E">
        <w:rPr>
          <w:rFonts w:ascii="Times New Roman" w:hAnsi="Times New Roman"/>
          <w:sz w:val="24"/>
          <w:szCs w:val="24"/>
        </w:rPr>
        <w:t xml:space="preserve">zero-sum game with Russia towards the de-isolation of the breakaway entities. The awareness of the Abkhaz society about the EU’s engagement is extremely low and in contrast, the propaganda on Russian integration is widespread. The EU’s NREP strategy and economic incentives are portrayed as </w:t>
      </w:r>
      <w:r w:rsidR="00496B9E" w:rsidRPr="0011545E">
        <w:rPr>
          <w:rFonts w:ascii="Times New Roman" w:hAnsi="Times New Roman"/>
          <w:sz w:val="24"/>
          <w:szCs w:val="24"/>
        </w:rPr>
        <w:t xml:space="preserve">a </w:t>
      </w:r>
      <w:r w:rsidR="00E204B8">
        <w:rPr>
          <w:rFonts w:ascii="Times New Roman" w:hAnsi="Times New Roman"/>
          <w:sz w:val="24"/>
          <w:szCs w:val="24"/>
        </w:rPr>
        <w:t>‘Tro</w:t>
      </w:r>
      <w:r w:rsidRPr="0011545E">
        <w:rPr>
          <w:rFonts w:ascii="Times New Roman" w:hAnsi="Times New Roman"/>
          <w:sz w:val="24"/>
          <w:szCs w:val="24"/>
        </w:rPr>
        <w:t>j</w:t>
      </w:r>
      <w:r w:rsidR="00E204B8">
        <w:rPr>
          <w:rFonts w:ascii="Times New Roman" w:hAnsi="Times New Roman"/>
          <w:sz w:val="24"/>
          <w:szCs w:val="24"/>
        </w:rPr>
        <w:t>a</w:t>
      </w:r>
      <w:r w:rsidRPr="0011545E">
        <w:rPr>
          <w:rFonts w:ascii="Times New Roman" w:hAnsi="Times New Roman"/>
          <w:sz w:val="24"/>
          <w:szCs w:val="24"/>
        </w:rPr>
        <w:t>n Horse’ manipulated by the Georgian government. The main fears of Abkhaz people draw on ethnic assimilation, erasing of identity</w:t>
      </w:r>
      <w:r w:rsidR="00F56A9C">
        <w:rPr>
          <w:rFonts w:ascii="Times New Roman" w:hAnsi="Times New Roman"/>
          <w:sz w:val="24"/>
          <w:szCs w:val="24"/>
        </w:rPr>
        <w:t xml:space="preserve"> components, militarist revenge, </w:t>
      </w:r>
      <w:r w:rsidRPr="0011545E">
        <w:rPr>
          <w:rFonts w:ascii="Times New Roman" w:hAnsi="Times New Roman"/>
          <w:sz w:val="24"/>
          <w:szCs w:val="24"/>
        </w:rPr>
        <w:t>and similar threats to their existence as a natio</w:t>
      </w:r>
      <w:r w:rsidR="00F56A9C">
        <w:rPr>
          <w:rFonts w:ascii="Times New Roman" w:hAnsi="Times New Roman"/>
          <w:sz w:val="24"/>
          <w:szCs w:val="24"/>
        </w:rPr>
        <w:t xml:space="preserve">n. Thus, informational war is </w:t>
      </w:r>
      <w:r w:rsidRPr="0011545E">
        <w:rPr>
          <w:rFonts w:ascii="Times New Roman" w:hAnsi="Times New Roman"/>
          <w:sz w:val="24"/>
          <w:szCs w:val="24"/>
        </w:rPr>
        <w:t>one of the main flanks where both the E</w:t>
      </w:r>
      <w:r w:rsidR="00F56A9C">
        <w:rPr>
          <w:rFonts w:ascii="Times New Roman" w:hAnsi="Times New Roman"/>
          <w:sz w:val="24"/>
          <w:szCs w:val="24"/>
        </w:rPr>
        <w:t>U and Georgia fail to show much-</w:t>
      </w:r>
      <w:r w:rsidRPr="0011545E">
        <w:rPr>
          <w:rFonts w:ascii="Times New Roman" w:hAnsi="Times New Roman"/>
          <w:sz w:val="24"/>
          <w:szCs w:val="24"/>
        </w:rPr>
        <w:t>needed efficiency. Without effective communication mechanisms and re-establishment of people-to-people links, the EU’s conflict mediation act</w:t>
      </w:r>
      <w:r w:rsidR="00FC0392">
        <w:rPr>
          <w:rFonts w:ascii="Times New Roman" w:hAnsi="Times New Roman"/>
          <w:sz w:val="24"/>
          <w:szCs w:val="24"/>
        </w:rPr>
        <w:t xml:space="preserve">ress remains severely limited. </w:t>
      </w:r>
    </w:p>
    <w:p w:rsidR="0029056A" w:rsidRDefault="0029056A" w:rsidP="0029056A"/>
    <w:p w:rsidR="00F81BBD" w:rsidRPr="00F81BBD" w:rsidRDefault="00F81BBD" w:rsidP="00F81BBD">
      <w:pPr>
        <w:pStyle w:val="NoSpacing"/>
      </w:pPr>
    </w:p>
    <w:p w:rsidR="00050BA9" w:rsidRPr="00FC0392" w:rsidRDefault="00657958" w:rsidP="005C2D0A">
      <w:pPr>
        <w:pStyle w:val="Heading2"/>
        <w:rPr>
          <w:sz w:val="32"/>
          <w:szCs w:val="32"/>
        </w:rPr>
      </w:pPr>
      <w:bookmarkStart w:id="31" w:name="_Toc46952625"/>
      <w:r w:rsidRPr="00FC0392">
        <w:rPr>
          <w:color w:val="auto"/>
          <w:sz w:val="32"/>
          <w:szCs w:val="32"/>
        </w:rPr>
        <w:t xml:space="preserve">4.3.2 </w:t>
      </w:r>
      <w:r w:rsidR="00647750" w:rsidRPr="00FC0392">
        <w:rPr>
          <w:color w:val="auto"/>
          <w:sz w:val="32"/>
          <w:szCs w:val="32"/>
        </w:rPr>
        <w:t xml:space="preserve">Incoherence of the Georgian Strategy on </w:t>
      </w:r>
      <w:r w:rsidR="00F61F43" w:rsidRPr="00FC0392">
        <w:rPr>
          <w:color w:val="auto"/>
          <w:sz w:val="32"/>
          <w:szCs w:val="32"/>
        </w:rPr>
        <w:t>the Contested Regions</w:t>
      </w:r>
      <w:bookmarkEnd w:id="31"/>
    </w:p>
    <w:p w:rsidR="00647750" w:rsidRPr="00647750" w:rsidRDefault="00647750" w:rsidP="00647750">
      <w:pPr>
        <w:pStyle w:val="NoSpacing"/>
      </w:pPr>
    </w:p>
    <w:p w:rsidR="005C400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Since 2009, the Georgian government has joined the EU NREP strategy and adopted the additional document called ‘Strategy on Occupied Territories: Engag</w:t>
      </w:r>
      <w:r w:rsidR="00245F1D">
        <w:rPr>
          <w:rFonts w:ascii="Times New Roman" w:hAnsi="Times New Roman"/>
          <w:sz w:val="24"/>
          <w:szCs w:val="24"/>
        </w:rPr>
        <w:t xml:space="preserve">ement </w:t>
      </w:r>
      <w:proofErr w:type="gramStart"/>
      <w:r w:rsidR="00245F1D">
        <w:rPr>
          <w:rFonts w:ascii="Times New Roman" w:hAnsi="Times New Roman"/>
          <w:sz w:val="24"/>
          <w:szCs w:val="24"/>
        </w:rPr>
        <w:t>Through</w:t>
      </w:r>
      <w:proofErr w:type="gramEnd"/>
      <w:r w:rsidR="00245F1D">
        <w:rPr>
          <w:rFonts w:ascii="Times New Roman" w:hAnsi="Times New Roman"/>
          <w:sz w:val="24"/>
          <w:szCs w:val="24"/>
        </w:rPr>
        <w:t xml:space="preserve"> the Cooperation’.</w:t>
      </w:r>
      <w:r w:rsidR="00245F1D">
        <w:rPr>
          <w:rStyle w:val="FootnoteReference"/>
          <w:rFonts w:ascii="Times New Roman" w:hAnsi="Times New Roman"/>
          <w:sz w:val="24"/>
          <w:szCs w:val="24"/>
        </w:rPr>
        <w:footnoteReference w:id="417"/>
      </w:r>
      <w:r w:rsidRPr="0011545E">
        <w:rPr>
          <w:rFonts w:ascii="Times New Roman" w:hAnsi="Times New Roman"/>
          <w:sz w:val="24"/>
          <w:szCs w:val="24"/>
        </w:rPr>
        <w:t xml:space="preserve"> The strategies are similar in all major component</w:t>
      </w:r>
      <w:r w:rsidR="00E204B8">
        <w:rPr>
          <w:rFonts w:ascii="Times New Roman" w:hAnsi="Times New Roman"/>
          <w:sz w:val="24"/>
          <w:szCs w:val="24"/>
        </w:rPr>
        <w:t>s</w:t>
      </w:r>
      <w:r w:rsidRPr="0011545E">
        <w:rPr>
          <w:rFonts w:ascii="Times New Roman" w:hAnsi="Times New Roman"/>
          <w:sz w:val="24"/>
          <w:szCs w:val="24"/>
        </w:rPr>
        <w:t xml:space="preserve"> and share the vision of peaceful reconciliation and de-escalation of tensions, however, the Georgian government is actively using the</w:t>
      </w:r>
      <w:r w:rsidR="00434913">
        <w:rPr>
          <w:rFonts w:ascii="Times New Roman" w:hAnsi="Times New Roman"/>
          <w:sz w:val="24"/>
          <w:szCs w:val="24"/>
        </w:rPr>
        <w:t xml:space="preserve"> term ‘occupation’ which does not</w:t>
      </w:r>
      <w:r w:rsidRPr="0011545E">
        <w:rPr>
          <w:rFonts w:ascii="Times New Roman" w:hAnsi="Times New Roman"/>
          <w:sz w:val="24"/>
          <w:szCs w:val="24"/>
        </w:rPr>
        <w:t xml:space="preserve"> comply with the EU’s approach. From the legal perspective, the term underlines the fact that Georgia is dealing explicitly with Russia rather than </w:t>
      </w:r>
      <w:r w:rsidR="00F56A9C">
        <w:rPr>
          <w:rFonts w:ascii="Times New Roman" w:hAnsi="Times New Roman"/>
          <w:sz w:val="24"/>
          <w:szCs w:val="24"/>
        </w:rPr>
        <w:t xml:space="preserve">the </w:t>
      </w:r>
      <w:r w:rsidRPr="0011545E">
        <w:rPr>
          <w:rFonts w:ascii="Times New Roman" w:hAnsi="Times New Roman"/>
          <w:sz w:val="24"/>
          <w:szCs w:val="24"/>
        </w:rPr>
        <w:t xml:space="preserve">de-facto authorities of Abkhazia and South Ossetia. Such formulation </w:t>
      </w:r>
      <w:r w:rsidRPr="0011545E">
        <w:rPr>
          <w:rFonts w:ascii="Times New Roman" w:hAnsi="Times New Roman"/>
          <w:sz w:val="24"/>
          <w:szCs w:val="24"/>
        </w:rPr>
        <w:lastRenderedPageBreak/>
        <w:t xml:space="preserve">goes against </w:t>
      </w:r>
      <w:r w:rsidR="00F56A9C">
        <w:rPr>
          <w:rFonts w:ascii="Times New Roman" w:hAnsi="Times New Roman"/>
          <w:sz w:val="24"/>
          <w:szCs w:val="24"/>
        </w:rPr>
        <w:t xml:space="preserve">the </w:t>
      </w:r>
      <w:r w:rsidRPr="0011545E">
        <w:rPr>
          <w:rFonts w:ascii="Times New Roman" w:hAnsi="Times New Roman"/>
          <w:sz w:val="24"/>
          <w:szCs w:val="24"/>
        </w:rPr>
        <w:t>EU’s agenda of direct engagement with contested regions and conflict media</w:t>
      </w:r>
      <w:r w:rsidR="00245F1D">
        <w:rPr>
          <w:rFonts w:ascii="Times New Roman" w:hAnsi="Times New Roman"/>
          <w:sz w:val="24"/>
          <w:szCs w:val="24"/>
        </w:rPr>
        <w:t>tion in four consecutive steps.</w:t>
      </w:r>
      <w:r w:rsidR="00245F1D">
        <w:rPr>
          <w:rStyle w:val="FootnoteReference"/>
          <w:rFonts w:ascii="Times New Roman" w:hAnsi="Times New Roman"/>
          <w:sz w:val="24"/>
          <w:szCs w:val="24"/>
        </w:rPr>
        <w:footnoteReference w:id="418"/>
      </w:r>
      <w:r w:rsidRPr="0011545E">
        <w:rPr>
          <w:rFonts w:ascii="Times New Roman" w:hAnsi="Times New Roman"/>
          <w:sz w:val="24"/>
          <w:szCs w:val="24"/>
        </w:rPr>
        <w:t xml:space="preserve"> In recent years, the Georgian government has repeatedly refused to discuss the legal and territorial status of the separatist regions which is mainly caused by the f</w:t>
      </w:r>
      <w:r w:rsidR="0021582B">
        <w:rPr>
          <w:rFonts w:ascii="Times New Roman" w:hAnsi="Times New Roman"/>
          <w:sz w:val="24"/>
          <w:szCs w:val="24"/>
        </w:rPr>
        <w:t xml:space="preserve">ear </w:t>
      </w:r>
      <w:proofErr w:type="gramStart"/>
      <w:r w:rsidR="0021582B">
        <w:rPr>
          <w:rFonts w:ascii="Times New Roman" w:hAnsi="Times New Roman"/>
          <w:sz w:val="24"/>
          <w:szCs w:val="24"/>
        </w:rPr>
        <w:t>of  ‘creeping</w:t>
      </w:r>
      <w:proofErr w:type="gramEnd"/>
      <w:r w:rsidR="0021582B">
        <w:rPr>
          <w:rFonts w:ascii="Times New Roman" w:hAnsi="Times New Roman"/>
          <w:sz w:val="24"/>
          <w:szCs w:val="24"/>
        </w:rPr>
        <w:t xml:space="preserve"> recognition’.</w:t>
      </w:r>
      <w:r w:rsidR="0021582B">
        <w:rPr>
          <w:rStyle w:val="FootnoteReference"/>
          <w:rFonts w:ascii="Times New Roman" w:hAnsi="Times New Roman"/>
          <w:sz w:val="24"/>
          <w:szCs w:val="24"/>
        </w:rPr>
        <w:footnoteReference w:id="419"/>
      </w:r>
      <w:r w:rsidRPr="0011545E">
        <w:rPr>
          <w:rFonts w:ascii="Times New Roman" w:hAnsi="Times New Roman"/>
          <w:sz w:val="24"/>
          <w:szCs w:val="24"/>
        </w:rPr>
        <w:t xml:space="preserve"> In the context of EU-Georgian relations</w:t>
      </w:r>
      <w:r w:rsidR="00F56A9C">
        <w:rPr>
          <w:rFonts w:ascii="Times New Roman" w:hAnsi="Times New Roman"/>
          <w:sz w:val="24"/>
          <w:szCs w:val="24"/>
        </w:rPr>
        <w:t>,</w:t>
      </w:r>
      <w:r w:rsidRPr="0011545E">
        <w:rPr>
          <w:rFonts w:ascii="Times New Roman" w:hAnsi="Times New Roman"/>
          <w:sz w:val="24"/>
          <w:szCs w:val="24"/>
        </w:rPr>
        <w:t xml:space="preserve"> the term can be interpreted as </w:t>
      </w:r>
      <w:r w:rsidR="00F56A9C">
        <w:rPr>
          <w:rFonts w:ascii="Times New Roman" w:hAnsi="Times New Roman"/>
          <w:sz w:val="24"/>
          <w:szCs w:val="24"/>
        </w:rPr>
        <w:t xml:space="preserve">an </w:t>
      </w:r>
      <w:r w:rsidRPr="0011545E">
        <w:rPr>
          <w:rFonts w:ascii="Times New Roman" w:hAnsi="Times New Roman"/>
          <w:sz w:val="24"/>
          <w:szCs w:val="24"/>
        </w:rPr>
        <w:t xml:space="preserve">implementation of innovative engagement mechanisms which could lead to increased cooperation between de-facto authorities and </w:t>
      </w:r>
      <w:r w:rsidR="00F56A9C">
        <w:rPr>
          <w:rFonts w:ascii="Times New Roman" w:hAnsi="Times New Roman"/>
          <w:sz w:val="24"/>
          <w:szCs w:val="24"/>
        </w:rPr>
        <w:t xml:space="preserve">the </w:t>
      </w:r>
      <w:r w:rsidRPr="0011545E">
        <w:rPr>
          <w:rFonts w:ascii="Times New Roman" w:hAnsi="Times New Roman"/>
          <w:sz w:val="24"/>
          <w:szCs w:val="24"/>
        </w:rPr>
        <w:t>intern</w:t>
      </w:r>
      <w:r w:rsidR="00F56A9C">
        <w:rPr>
          <w:rFonts w:ascii="Times New Roman" w:hAnsi="Times New Roman"/>
          <w:sz w:val="24"/>
          <w:szCs w:val="24"/>
        </w:rPr>
        <w:t>ational community, resulting in</w:t>
      </w:r>
      <w:r w:rsidRPr="0011545E">
        <w:rPr>
          <w:rFonts w:ascii="Times New Roman" w:hAnsi="Times New Roman"/>
          <w:sz w:val="24"/>
          <w:szCs w:val="24"/>
        </w:rPr>
        <w:t xml:space="preserve"> wider recognition of </w:t>
      </w:r>
      <w:r w:rsidR="00F56A9C">
        <w:rPr>
          <w:rFonts w:ascii="Times New Roman" w:hAnsi="Times New Roman"/>
          <w:sz w:val="24"/>
          <w:szCs w:val="24"/>
        </w:rPr>
        <w:t xml:space="preserve">the </w:t>
      </w:r>
      <w:r w:rsidRPr="0011545E">
        <w:rPr>
          <w:rFonts w:ascii="Times New Roman" w:hAnsi="Times New Roman"/>
          <w:sz w:val="24"/>
          <w:szCs w:val="24"/>
        </w:rPr>
        <w:t>sov</w:t>
      </w:r>
      <w:r w:rsidR="0021582B">
        <w:rPr>
          <w:rFonts w:ascii="Times New Roman" w:hAnsi="Times New Roman"/>
          <w:sz w:val="24"/>
          <w:szCs w:val="24"/>
        </w:rPr>
        <w:t>ereignty of breakaway entities.</w:t>
      </w:r>
      <w:r w:rsidR="0021582B">
        <w:rPr>
          <w:rStyle w:val="FootnoteReference"/>
          <w:rFonts w:ascii="Times New Roman" w:hAnsi="Times New Roman"/>
          <w:sz w:val="24"/>
          <w:szCs w:val="24"/>
        </w:rPr>
        <w:footnoteReference w:id="420"/>
      </w:r>
      <w:r w:rsidRPr="0011545E">
        <w:rPr>
          <w:rFonts w:ascii="Times New Roman" w:hAnsi="Times New Roman"/>
          <w:sz w:val="24"/>
          <w:szCs w:val="24"/>
        </w:rPr>
        <w:t xml:space="preserve"> As a preventive measure, the Georgian government adopted the Law on Occupied territories which regulates the interaction of international actors and individual</w:t>
      </w:r>
      <w:r w:rsidR="0021582B">
        <w:rPr>
          <w:rFonts w:ascii="Times New Roman" w:hAnsi="Times New Roman"/>
          <w:sz w:val="24"/>
          <w:szCs w:val="24"/>
        </w:rPr>
        <w:t>s with separatist entities.</w:t>
      </w:r>
      <w:r w:rsidR="0021582B">
        <w:rPr>
          <w:rStyle w:val="FootnoteReference"/>
          <w:rFonts w:ascii="Times New Roman" w:hAnsi="Times New Roman"/>
          <w:sz w:val="24"/>
          <w:szCs w:val="24"/>
        </w:rPr>
        <w:footnoteReference w:id="421"/>
      </w:r>
      <w:r w:rsidR="005A4E5D">
        <w:rPr>
          <w:rFonts w:ascii="Times New Roman" w:hAnsi="Times New Roman"/>
          <w:sz w:val="24"/>
          <w:szCs w:val="24"/>
        </w:rPr>
        <w:t xml:space="preserve"> According to De Waal (2017): “the </w:t>
      </w:r>
      <w:r w:rsidRPr="0011545E">
        <w:rPr>
          <w:rFonts w:ascii="Times New Roman" w:hAnsi="Times New Roman"/>
          <w:sz w:val="24"/>
          <w:szCs w:val="24"/>
        </w:rPr>
        <w:t xml:space="preserve">international organizations and </w:t>
      </w:r>
      <w:r w:rsidR="00F56A9C">
        <w:rPr>
          <w:rFonts w:ascii="Times New Roman" w:hAnsi="Times New Roman"/>
          <w:sz w:val="24"/>
          <w:szCs w:val="24"/>
        </w:rPr>
        <w:t xml:space="preserve">NGOs are obliged to request </w:t>
      </w:r>
      <w:r w:rsidRPr="0011545E">
        <w:rPr>
          <w:rFonts w:ascii="Times New Roman" w:hAnsi="Times New Roman"/>
          <w:sz w:val="24"/>
          <w:szCs w:val="24"/>
        </w:rPr>
        <w:t xml:space="preserve">authorization from the Georgian government and deliver </w:t>
      </w:r>
      <w:r w:rsidR="00F56A9C">
        <w:rPr>
          <w:rFonts w:ascii="Times New Roman" w:hAnsi="Times New Roman"/>
          <w:sz w:val="24"/>
          <w:szCs w:val="24"/>
        </w:rPr>
        <w:t xml:space="preserve">a </w:t>
      </w:r>
      <w:r w:rsidRPr="0011545E">
        <w:rPr>
          <w:rFonts w:ascii="Times New Roman" w:hAnsi="Times New Roman"/>
          <w:sz w:val="24"/>
          <w:szCs w:val="24"/>
        </w:rPr>
        <w:t>detailed report on their planned a</w:t>
      </w:r>
      <w:r w:rsidR="0021582B">
        <w:rPr>
          <w:rFonts w:ascii="Times New Roman" w:hAnsi="Times New Roman"/>
          <w:sz w:val="24"/>
          <w:szCs w:val="24"/>
        </w:rPr>
        <w:t>ctivities in contested regions.</w:t>
      </w:r>
      <w:r w:rsidR="005A4E5D">
        <w:rPr>
          <w:rFonts w:ascii="Times New Roman" w:hAnsi="Times New Roman"/>
          <w:sz w:val="24"/>
          <w:szCs w:val="24"/>
        </w:rPr>
        <w:t>”</w:t>
      </w:r>
      <w:r w:rsidR="0021582B">
        <w:rPr>
          <w:rStyle w:val="FootnoteReference"/>
          <w:rFonts w:ascii="Times New Roman" w:hAnsi="Times New Roman"/>
          <w:sz w:val="24"/>
          <w:szCs w:val="24"/>
        </w:rPr>
        <w:footnoteReference w:id="422"/>
      </w:r>
      <w:r w:rsidRPr="0011545E">
        <w:rPr>
          <w:rFonts w:ascii="Times New Roman" w:hAnsi="Times New Roman"/>
          <w:sz w:val="24"/>
          <w:szCs w:val="24"/>
        </w:rPr>
        <w:t xml:space="preserve"> Consequently, out </w:t>
      </w:r>
      <w:r w:rsidR="00F56A9C">
        <w:rPr>
          <w:rFonts w:ascii="Times New Roman" w:hAnsi="Times New Roman"/>
          <w:sz w:val="24"/>
          <w:szCs w:val="24"/>
        </w:rPr>
        <w:t xml:space="preserve">of </w:t>
      </w:r>
      <w:r w:rsidRPr="0011545E">
        <w:rPr>
          <w:rFonts w:ascii="Times New Roman" w:hAnsi="Times New Roman"/>
          <w:sz w:val="24"/>
          <w:szCs w:val="24"/>
        </w:rPr>
        <w:t xml:space="preserve">the fears of </w:t>
      </w:r>
      <w:proofErr w:type="gramStart"/>
      <w:r w:rsidRPr="0011545E">
        <w:rPr>
          <w:rFonts w:ascii="Times New Roman" w:hAnsi="Times New Roman"/>
          <w:sz w:val="24"/>
          <w:szCs w:val="24"/>
        </w:rPr>
        <w:t>the  ‘creeping</w:t>
      </w:r>
      <w:proofErr w:type="gramEnd"/>
      <w:r w:rsidRPr="0011545E">
        <w:rPr>
          <w:rFonts w:ascii="Times New Roman" w:hAnsi="Times New Roman"/>
          <w:sz w:val="24"/>
          <w:szCs w:val="24"/>
        </w:rPr>
        <w:t xml:space="preserve"> recognition’, the Georgian government is limiting the efficiency EU NREP strategy, as well as its </w:t>
      </w:r>
      <w:r w:rsidR="0021582B">
        <w:rPr>
          <w:rFonts w:ascii="Times New Roman" w:hAnsi="Times New Roman"/>
          <w:sz w:val="24"/>
          <w:szCs w:val="24"/>
        </w:rPr>
        <w:t>operational capacity.</w:t>
      </w:r>
      <w:r w:rsidR="0021582B">
        <w:rPr>
          <w:rStyle w:val="FootnoteReference"/>
          <w:rFonts w:ascii="Times New Roman" w:hAnsi="Times New Roman"/>
          <w:sz w:val="24"/>
          <w:szCs w:val="24"/>
        </w:rPr>
        <w:footnoteReference w:id="423"/>
      </w:r>
      <w:r w:rsidRPr="0011545E">
        <w:rPr>
          <w:rFonts w:ascii="Times New Roman" w:hAnsi="Times New Roman"/>
          <w:sz w:val="24"/>
          <w:szCs w:val="24"/>
        </w:rPr>
        <w:t xml:space="preserve"> </w:t>
      </w:r>
    </w:p>
    <w:p w:rsidR="005C400E" w:rsidRDefault="005C400E" w:rsidP="0011545E">
      <w:pPr>
        <w:spacing w:line="360" w:lineRule="auto"/>
        <w:jc w:val="both"/>
        <w:rPr>
          <w:rFonts w:ascii="Times New Roman" w:hAnsi="Times New Roman"/>
          <w:sz w:val="24"/>
          <w:szCs w:val="24"/>
        </w:rPr>
      </w:pPr>
    </w:p>
    <w:p w:rsidR="00DD4ECB"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In 2018, the Georgian government adopted another strategy document ‘A Step to the Better Future’ which is oriented on relatively soft tools of engagement. The Georgian government aims to enhance the economic cooperation with contested regions, educational exchange programs for students, to re-establish the communication between people and support the free move</w:t>
      </w:r>
      <w:r w:rsidR="0021582B">
        <w:rPr>
          <w:rFonts w:ascii="Times New Roman" w:hAnsi="Times New Roman"/>
          <w:sz w:val="24"/>
          <w:szCs w:val="24"/>
        </w:rPr>
        <w:t>ment on both sides of the ABLs.</w:t>
      </w:r>
      <w:r w:rsidR="0021582B">
        <w:rPr>
          <w:rStyle w:val="FootnoteReference"/>
          <w:rFonts w:ascii="Times New Roman" w:hAnsi="Times New Roman"/>
          <w:sz w:val="24"/>
          <w:szCs w:val="24"/>
        </w:rPr>
        <w:footnoteReference w:id="424"/>
      </w:r>
      <w:r w:rsidRPr="0011545E">
        <w:rPr>
          <w:rFonts w:ascii="Times New Roman" w:hAnsi="Times New Roman"/>
          <w:sz w:val="24"/>
          <w:szCs w:val="24"/>
        </w:rPr>
        <w:t xml:space="preserve"> The EU positively assessed the strategy and express the readiness to facilitate </w:t>
      </w:r>
      <w:r w:rsidR="00F56A9C">
        <w:rPr>
          <w:rFonts w:ascii="Times New Roman" w:hAnsi="Times New Roman"/>
          <w:sz w:val="24"/>
          <w:szCs w:val="24"/>
        </w:rPr>
        <w:t xml:space="preserve">the </w:t>
      </w:r>
      <w:r w:rsidRPr="0011545E">
        <w:rPr>
          <w:rFonts w:ascii="Times New Roman" w:hAnsi="Times New Roman"/>
          <w:sz w:val="24"/>
          <w:szCs w:val="24"/>
        </w:rPr>
        <w:t>successful impleme</w:t>
      </w:r>
      <w:r w:rsidR="0021582B">
        <w:rPr>
          <w:rFonts w:ascii="Times New Roman" w:hAnsi="Times New Roman"/>
          <w:sz w:val="24"/>
          <w:szCs w:val="24"/>
        </w:rPr>
        <w:t>ntation of the main objectives.</w:t>
      </w:r>
      <w:r w:rsidR="0021582B">
        <w:rPr>
          <w:rStyle w:val="FootnoteReference"/>
          <w:rFonts w:ascii="Times New Roman" w:hAnsi="Times New Roman"/>
          <w:sz w:val="24"/>
          <w:szCs w:val="24"/>
        </w:rPr>
        <w:footnoteReference w:id="425"/>
      </w:r>
      <w:r w:rsidRPr="0011545E">
        <w:rPr>
          <w:rFonts w:ascii="Times New Roman" w:hAnsi="Times New Roman"/>
          <w:sz w:val="24"/>
          <w:szCs w:val="24"/>
        </w:rPr>
        <w:t xml:space="preserve"> In light of economic recession in breakaway entities, caused by decreased financial incentives from Russia, the official Tbilisi aims to strengthen its posture as </w:t>
      </w:r>
      <w:r w:rsidR="00F56A9C">
        <w:rPr>
          <w:rFonts w:ascii="Times New Roman" w:hAnsi="Times New Roman"/>
          <w:sz w:val="24"/>
          <w:szCs w:val="24"/>
        </w:rPr>
        <w:t xml:space="preserve">a </w:t>
      </w:r>
      <w:r w:rsidRPr="0011545E">
        <w:rPr>
          <w:rFonts w:ascii="Times New Roman" w:hAnsi="Times New Roman"/>
          <w:sz w:val="24"/>
          <w:szCs w:val="24"/>
        </w:rPr>
        <w:t>reliable partner in trade, however, the formalization of the illegal trade and markets poses certain threats an</w:t>
      </w:r>
      <w:r w:rsidR="007E38DB">
        <w:rPr>
          <w:rFonts w:ascii="Times New Roman" w:hAnsi="Times New Roman"/>
          <w:sz w:val="24"/>
          <w:szCs w:val="24"/>
        </w:rPr>
        <w:t xml:space="preserve">d </w:t>
      </w:r>
      <w:r w:rsidR="007E38DB">
        <w:rPr>
          <w:rFonts w:ascii="Times New Roman" w:hAnsi="Times New Roman"/>
          <w:sz w:val="24"/>
          <w:szCs w:val="24"/>
        </w:rPr>
        <w:lastRenderedPageBreak/>
        <w:t>challenges.</w:t>
      </w:r>
      <w:r w:rsidR="007E38DB">
        <w:rPr>
          <w:rStyle w:val="FootnoteReference"/>
          <w:rFonts w:ascii="Times New Roman" w:hAnsi="Times New Roman"/>
          <w:sz w:val="24"/>
          <w:szCs w:val="24"/>
        </w:rPr>
        <w:footnoteReference w:id="426"/>
      </w:r>
      <w:r w:rsidRPr="0011545E">
        <w:rPr>
          <w:rFonts w:ascii="Times New Roman" w:hAnsi="Times New Roman"/>
          <w:sz w:val="24"/>
          <w:szCs w:val="24"/>
        </w:rPr>
        <w:t xml:space="preserve"> Alternatively, the Georgian government has launched the state prog</w:t>
      </w:r>
      <w:r w:rsidR="00F56A9C">
        <w:rPr>
          <w:rFonts w:ascii="Times New Roman" w:hAnsi="Times New Roman"/>
          <w:sz w:val="24"/>
          <w:szCs w:val="24"/>
        </w:rPr>
        <w:t xml:space="preserve">rams in educational, healthcare, </w:t>
      </w:r>
      <w:r w:rsidRPr="0011545E">
        <w:rPr>
          <w:rFonts w:ascii="Times New Roman" w:hAnsi="Times New Roman"/>
          <w:sz w:val="24"/>
          <w:szCs w:val="24"/>
        </w:rPr>
        <w:t>and cultural sectors for the residents of Abkhazia and South Ossetia. The annual budget f</w:t>
      </w:r>
      <w:r w:rsidR="0029056A">
        <w:rPr>
          <w:rFonts w:ascii="Times New Roman" w:hAnsi="Times New Roman"/>
          <w:sz w:val="24"/>
          <w:szCs w:val="24"/>
        </w:rPr>
        <w:t>or medical treatment equals GEL2 million (</w:t>
      </w:r>
      <w:r w:rsidR="0029056A" w:rsidRPr="00930887">
        <w:rPr>
          <w:rFonts w:ascii="Times New Roman" w:hAnsi="Times New Roman"/>
          <w:color w:val="222222"/>
          <w:sz w:val="24"/>
          <w:szCs w:val="24"/>
          <w:shd w:val="clear" w:color="auto" w:fill="FFFFFF"/>
        </w:rPr>
        <w:t>€</w:t>
      </w:r>
      <w:r w:rsidR="0029056A">
        <w:rPr>
          <w:rFonts w:ascii="Times New Roman" w:hAnsi="Times New Roman"/>
          <w:sz w:val="24"/>
          <w:szCs w:val="24"/>
        </w:rPr>
        <w:t>600,000)</w:t>
      </w:r>
      <w:proofErr w:type="gramStart"/>
      <w:r w:rsidR="0029056A">
        <w:rPr>
          <w:rFonts w:ascii="Times New Roman" w:hAnsi="Times New Roman"/>
          <w:sz w:val="24"/>
          <w:szCs w:val="24"/>
        </w:rPr>
        <w:t>,  more</w:t>
      </w:r>
      <w:proofErr w:type="gramEnd"/>
      <w:r w:rsidR="0029056A">
        <w:rPr>
          <w:rFonts w:ascii="Times New Roman" w:hAnsi="Times New Roman"/>
          <w:sz w:val="24"/>
          <w:szCs w:val="24"/>
        </w:rPr>
        <w:t xml:space="preserve"> than GEL500,000 (</w:t>
      </w:r>
      <w:r w:rsidR="0029056A" w:rsidRPr="00930887">
        <w:rPr>
          <w:rFonts w:ascii="Times New Roman" w:hAnsi="Times New Roman"/>
          <w:color w:val="222222"/>
          <w:sz w:val="24"/>
          <w:szCs w:val="24"/>
          <w:shd w:val="clear" w:color="auto" w:fill="FFFFFF"/>
        </w:rPr>
        <w:t>€</w:t>
      </w:r>
      <w:r w:rsidR="0029056A">
        <w:rPr>
          <w:rFonts w:ascii="Times New Roman" w:hAnsi="Times New Roman"/>
          <w:sz w:val="24"/>
          <w:szCs w:val="24"/>
        </w:rPr>
        <w:t>15</w:t>
      </w:r>
      <w:r w:rsidRPr="0011545E">
        <w:rPr>
          <w:rFonts w:ascii="Times New Roman" w:hAnsi="Times New Roman"/>
          <w:sz w:val="24"/>
          <w:szCs w:val="24"/>
        </w:rPr>
        <w:t xml:space="preserve">0,000) is spent on </w:t>
      </w:r>
      <w:r w:rsidR="00E204B8">
        <w:rPr>
          <w:rFonts w:ascii="Times New Roman" w:hAnsi="Times New Roman"/>
          <w:sz w:val="24"/>
          <w:szCs w:val="24"/>
        </w:rPr>
        <w:t xml:space="preserve">the funding of </w:t>
      </w:r>
      <w:r w:rsidR="00F56A9C">
        <w:rPr>
          <w:rFonts w:ascii="Times New Roman" w:hAnsi="Times New Roman"/>
          <w:sz w:val="24"/>
          <w:szCs w:val="24"/>
        </w:rPr>
        <w:t xml:space="preserve">higher education, </w:t>
      </w:r>
      <w:r w:rsidR="0029056A">
        <w:rPr>
          <w:rFonts w:ascii="Times New Roman" w:hAnsi="Times New Roman"/>
          <w:sz w:val="24"/>
          <w:szCs w:val="24"/>
        </w:rPr>
        <w:t>and up to GEL150,000 (</w:t>
      </w:r>
      <w:r w:rsidR="0029056A" w:rsidRPr="00930887">
        <w:rPr>
          <w:rFonts w:ascii="Times New Roman" w:hAnsi="Times New Roman"/>
          <w:color w:val="222222"/>
          <w:sz w:val="24"/>
          <w:szCs w:val="24"/>
          <w:shd w:val="clear" w:color="auto" w:fill="FFFFFF"/>
        </w:rPr>
        <w:t>€</w:t>
      </w:r>
      <w:r w:rsidR="0029056A">
        <w:rPr>
          <w:rFonts w:ascii="Times New Roman" w:hAnsi="Times New Roman"/>
          <w:sz w:val="24"/>
          <w:szCs w:val="24"/>
        </w:rPr>
        <w:t>45</w:t>
      </w:r>
      <w:r w:rsidRPr="0011545E">
        <w:rPr>
          <w:rFonts w:ascii="Times New Roman" w:hAnsi="Times New Roman"/>
          <w:sz w:val="24"/>
          <w:szCs w:val="24"/>
        </w:rPr>
        <w:t xml:space="preserve">,000) is </w:t>
      </w:r>
      <w:r w:rsidR="007E38DB">
        <w:rPr>
          <w:rFonts w:ascii="Times New Roman" w:hAnsi="Times New Roman"/>
          <w:sz w:val="24"/>
          <w:szCs w:val="24"/>
        </w:rPr>
        <w:t>spent on the cultural projects.</w:t>
      </w:r>
      <w:r w:rsidR="007E38DB">
        <w:rPr>
          <w:rStyle w:val="FootnoteReference"/>
          <w:rFonts w:ascii="Times New Roman" w:hAnsi="Times New Roman"/>
          <w:sz w:val="24"/>
          <w:szCs w:val="24"/>
        </w:rPr>
        <w:footnoteReference w:id="427"/>
      </w:r>
      <w:r w:rsidRPr="0011545E">
        <w:rPr>
          <w:rFonts w:ascii="Times New Roman" w:hAnsi="Times New Roman"/>
          <w:sz w:val="24"/>
          <w:szCs w:val="24"/>
        </w:rPr>
        <w:t xml:space="preserve"> Furthermore, the Georgian government effectively contributes to the prevention of the HIV/A</w:t>
      </w:r>
      <w:r w:rsidR="007E38DB">
        <w:rPr>
          <w:rFonts w:ascii="Times New Roman" w:hAnsi="Times New Roman"/>
          <w:sz w:val="24"/>
          <w:szCs w:val="24"/>
        </w:rPr>
        <w:t>IDS epidemic in Abkhazia.</w:t>
      </w:r>
      <w:r w:rsidR="007E38DB">
        <w:rPr>
          <w:rStyle w:val="FootnoteReference"/>
          <w:rFonts w:ascii="Times New Roman" w:hAnsi="Times New Roman"/>
          <w:sz w:val="24"/>
          <w:szCs w:val="24"/>
        </w:rPr>
        <w:footnoteReference w:id="428"/>
      </w:r>
      <w:r w:rsidRPr="0011545E">
        <w:rPr>
          <w:rFonts w:ascii="Times New Roman" w:hAnsi="Times New Roman"/>
          <w:sz w:val="24"/>
          <w:szCs w:val="24"/>
        </w:rPr>
        <w:t xml:space="preserve"> </w:t>
      </w:r>
    </w:p>
    <w:p w:rsidR="00DD4ECB" w:rsidRDefault="00DD4ECB" w:rsidP="0011545E">
      <w:pPr>
        <w:spacing w:line="360" w:lineRule="auto"/>
        <w:jc w:val="both"/>
        <w:rPr>
          <w:rFonts w:ascii="Times New Roman" w:hAnsi="Times New Roman"/>
          <w:sz w:val="24"/>
          <w:szCs w:val="24"/>
        </w:rPr>
      </w:pPr>
    </w:p>
    <w:p w:rsidR="00FA76C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The energy sector is also </w:t>
      </w:r>
      <w:r w:rsidR="00F56A9C">
        <w:rPr>
          <w:rFonts w:ascii="Times New Roman" w:hAnsi="Times New Roman"/>
          <w:sz w:val="24"/>
          <w:szCs w:val="24"/>
        </w:rPr>
        <w:t xml:space="preserve">a </w:t>
      </w:r>
      <w:r w:rsidRPr="0011545E">
        <w:rPr>
          <w:rFonts w:ascii="Times New Roman" w:hAnsi="Times New Roman"/>
          <w:sz w:val="24"/>
          <w:szCs w:val="24"/>
        </w:rPr>
        <w:t>mutually interesting and profitable area for the confronting parties. The Georgian government and the Abkhaz de-facto authorities jointly utilize the Enguri Hydroelectric power station which is the major energy se</w:t>
      </w:r>
      <w:r w:rsidR="00D34A75">
        <w:rPr>
          <w:rFonts w:ascii="Times New Roman" w:hAnsi="Times New Roman"/>
          <w:sz w:val="24"/>
          <w:szCs w:val="24"/>
        </w:rPr>
        <w:t>curity provider for both sides.</w:t>
      </w:r>
      <w:r w:rsidR="00D34A75">
        <w:rPr>
          <w:rStyle w:val="FootnoteReference"/>
          <w:rFonts w:ascii="Times New Roman" w:hAnsi="Times New Roman"/>
          <w:sz w:val="24"/>
          <w:szCs w:val="24"/>
        </w:rPr>
        <w:footnoteReference w:id="429"/>
      </w:r>
      <w:r w:rsidRPr="0011545E">
        <w:rPr>
          <w:rFonts w:ascii="Times New Roman" w:hAnsi="Times New Roman"/>
          <w:sz w:val="24"/>
          <w:szCs w:val="24"/>
        </w:rPr>
        <w:t xml:space="preserve"> It must be noted that the cooperation in security and defense sector remains virtually impossible. In such circumstances, </w:t>
      </w:r>
      <w:r w:rsidR="00F56A9C">
        <w:rPr>
          <w:rFonts w:ascii="Times New Roman" w:hAnsi="Times New Roman"/>
          <w:sz w:val="24"/>
          <w:szCs w:val="24"/>
        </w:rPr>
        <w:t xml:space="preserve">a </w:t>
      </w:r>
      <w:r w:rsidRPr="0011545E">
        <w:rPr>
          <w:rFonts w:ascii="Times New Roman" w:hAnsi="Times New Roman"/>
          <w:sz w:val="24"/>
          <w:szCs w:val="24"/>
        </w:rPr>
        <w:t>closer economic partnership between Tbilisi and de-facto authorities is vital for the achievement of several components of the EU’s conflict mediation strategy. The DCFTA opens the doors for advanced EU-Georgian partnership</w:t>
      </w:r>
      <w:r w:rsidR="00F56A9C">
        <w:rPr>
          <w:rFonts w:ascii="Times New Roman" w:hAnsi="Times New Roman"/>
          <w:sz w:val="24"/>
          <w:szCs w:val="24"/>
        </w:rPr>
        <w:t>s</w:t>
      </w:r>
      <w:r w:rsidRPr="0011545E">
        <w:rPr>
          <w:rFonts w:ascii="Times New Roman" w:hAnsi="Times New Roman"/>
          <w:sz w:val="24"/>
          <w:szCs w:val="24"/>
        </w:rPr>
        <w:t xml:space="preserve"> in </w:t>
      </w:r>
      <w:r w:rsidR="00F56A9C">
        <w:rPr>
          <w:rFonts w:ascii="Times New Roman" w:hAnsi="Times New Roman"/>
          <w:sz w:val="24"/>
          <w:szCs w:val="24"/>
        </w:rPr>
        <w:t xml:space="preserve">the </w:t>
      </w:r>
      <w:r w:rsidRPr="0011545E">
        <w:rPr>
          <w:rFonts w:ascii="Times New Roman" w:hAnsi="Times New Roman"/>
          <w:sz w:val="24"/>
          <w:szCs w:val="24"/>
        </w:rPr>
        <w:t xml:space="preserve">economic sector and could play </w:t>
      </w:r>
      <w:r w:rsidR="00F56A9C">
        <w:rPr>
          <w:rFonts w:ascii="Times New Roman" w:hAnsi="Times New Roman"/>
          <w:sz w:val="24"/>
          <w:szCs w:val="24"/>
        </w:rPr>
        <w:t xml:space="preserve">a </w:t>
      </w:r>
      <w:r w:rsidRPr="0011545E">
        <w:rPr>
          <w:rFonts w:ascii="Times New Roman" w:hAnsi="Times New Roman"/>
          <w:sz w:val="24"/>
          <w:szCs w:val="24"/>
        </w:rPr>
        <w:t xml:space="preserve">crucial role in </w:t>
      </w:r>
      <w:r w:rsidR="00F56A9C">
        <w:rPr>
          <w:rFonts w:ascii="Times New Roman" w:hAnsi="Times New Roman"/>
          <w:sz w:val="24"/>
          <w:szCs w:val="24"/>
        </w:rPr>
        <w:t xml:space="preserve">the </w:t>
      </w:r>
      <w:r w:rsidRPr="0011545E">
        <w:rPr>
          <w:rFonts w:ascii="Times New Roman" w:hAnsi="Times New Roman"/>
          <w:sz w:val="24"/>
          <w:szCs w:val="24"/>
        </w:rPr>
        <w:t xml:space="preserve">conflict settlement process. The trade links can contribute to </w:t>
      </w:r>
      <w:r w:rsidR="00F56A9C">
        <w:rPr>
          <w:rFonts w:ascii="Times New Roman" w:hAnsi="Times New Roman"/>
          <w:sz w:val="24"/>
          <w:szCs w:val="24"/>
        </w:rPr>
        <w:t xml:space="preserve">the </w:t>
      </w:r>
      <w:r w:rsidRPr="0011545E">
        <w:rPr>
          <w:rFonts w:ascii="Times New Roman" w:hAnsi="Times New Roman"/>
          <w:sz w:val="24"/>
          <w:szCs w:val="24"/>
        </w:rPr>
        <w:t>normalization of dialogue between the parties and enhance the interest for</w:t>
      </w:r>
      <w:r w:rsidR="0029056A">
        <w:rPr>
          <w:rFonts w:ascii="Times New Roman" w:hAnsi="Times New Roman"/>
          <w:sz w:val="24"/>
          <w:szCs w:val="24"/>
        </w:rPr>
        <w:t xml:space="preserve"> deeper engagement with the EU.</w:t>
      </w:r>
    </w:p>
    <w:p w:rsidR="00FC0392" w:rsidRPr="00FC0392" w:rsidRDefault="00FC0392" w:rsidP="00FC0392">
      <w:pPr>
        <w:pStyle w:val="NoSpacing"/>
      </w:pPr>
    </w:p>
    <w:p w:rsidR="00050BA9" w:rsidRPr="00FC0392" w:rsidRDefault="0011545E" w:rsidP="005C2D0A">
      <w:pPr>
        <w:pStyle w:val="Heading2"/>
        <w:rPr>
          <w:sz w:val="32"/>
          <w:szCs w:val="32"/>
        </w:rPr>
      </w:pPr>
      <w:bookmarkStart w:id="32" w:name="_Toc46952626"/>
      <w:r w:rsidRPr="00FC0392">
        <w:rPr>
          <w:color w:val="auto"/>
          <w:sz w:val="32"/>
          <w:szCs w:val="32"/>
        </w:rPr>
        <w:t xml:space="preserve">4.3.3 </w:t>
      </w:r>
      <w:r w:rsidR="00F61F43" w:rsidRPr="00FC0392">
        <w:rPr>
          <w:color w:val="auto"/>
          <w:sz w:val="32"/>
          <w:szCs w:val="32"/>
        </w:rPr>
        <w:t>Low Profile of the EU in the Contested</w:t>
      </w:r>
      <w:r w:rsidR="00647750" w:rsidRPr="00FC0392">
        <w:rPr>
          <w:color w:val="auto"/>
          <w:sz w:val="32"/>
          <w:szCs w:val="32"/>
        </w:rPr>
        <w:t xml:space="preserve"> Regions</w:t>
      </w:r>
      <w:bookmarkEnd w:id="32"/>
    </w:p>
    <w:p w:rsidR="00C67B17" w:rsidRPr="00C67B17" w:rsidRDefault="00C67B17" w:rsidP="00C67B17"/>
    <w:p w:rsidR="005C400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efficiency of the EU’s conflict mediation strategy significantly depends on the perceptions of the breakaway enti</w:t>
      </w:r>
      <w:r w:rsidR="00F56A9C">
        <w:rPr>
          <w:rFonts w:ascii="Times New Roman" w:hAnsi="Times New Roman"/>
          <w:sz w:val="24"/>
          <w:szCs w:val="24"/>
        </w:rPr>
        <w:t xml:space="preserve">ties about </w:t>
      </w:r>
      <w:r w:rsidRPr="0011545E">
        <w:rPr>
          <w:rFonts w:ascii="Times New Roman" w:hAnsi="Times New Roman"/>
          <w:sz w:val="24"/>
          <w:szCs w:val="24"/>
        </w:rPr>
        <w:t xml:space="preserve">nature and the role of the Union as </w:t>
      </w:r>
      <w:r w:rsidR="00F56A9C">
        <w:rPr>
          <w:rFonts w:ascii="Times New Roman" w:hAnsi="Times New Roman"/>
          <w:sz w:val="24"/>
          <w:szCs w:val="24"/>
        </w:rPr>
        <w:t xml:space="preserve">an </w:t>
      </w:r>
      <w:r w:rsidRPr="0011545E">
        <w:rPr>
          <w:rFonts w:ascii="Times New Roman" w:hAnsi="Times New Roman"/>
          <w:sz w:val="24"/>
          <w:szCs w:val="24"/>
        </w:rPr>
        <w:t xml:space="preserve">international actor. The analysis of the attitudes of Abkhaz society makes </w:t>
      </w:r>
      <w:r w:rsidR="00F56A9C">
        <w:rPr>
          <w:rFonts w:ascii="Times New Roman" w:hAnsi="Times New Roman"/>
          <w:sz w:val="24"/>
          <w:szCs w:val="24"/>
        </w:rPr>
        <w:t xml:space="preserve">it </w:t>
      </w:r>
      <w:r w:rsidRPr="0011545E">
        <w:rPr>
          <w:rFonts w:ascii="Times New Roman" w:hAnsi="Times New Roman"/>
          <w:sz w:val="24"/>
          <w:szCs w:val="24"/>
        </w:rPr>
        <w:t>evident that there is no consensus on the EU’s image and extremely low awareness about its activities. Furthermore, for some reason, the EU is perceived as a wea</w:t>
      </w:r>
      <w:r w:rsidR="00D34A75">
        <w:rPr>
          <w:rFonts w:ascii="Times New Roman" w:hAnsi="Times New Roman"/>
          <w:sz w:val="24"/>
          <w:szCs w:val="24"/>
        </w:rPr>
        <w:t>ker regional actor than the US.</w:t>
      </w:r>
      <w:r w:rsidR="00D34A75">
        <w:rPr>
          <w:rStyle w:val="FootnoteReference"/>
          <w:rFonts w:ascii="Times New Roman" w:hAnsi="Times New Roman"/>
          <w:sz w:val="24"/>
          <w:szCs w:val="24"/>
        </w:rPr>
        <w:footnoteReference w:id="430"/>
      </w:r>
      <w:r w:rsidRPr="0011545E">
        <w:rPr>
          <w:rFonts w:ascii="Times New Roman" w:hAnsi="Times New Roman"/>
          <w:sz w:val="24"/>
          <w:szCs w:val="24"/>
        </w:rPr>
        <w:t xml:space="preserve"> Ironically, there is a contradicting popular belief that the EU is supporting Georgia with arms and weaponry for </w:t>
      </w:r>
      <w:r w:rsidR="00F56A9C">
        <w:rPr>
          <w:rFonts w:ascii="Times New Roman" w:hAnsi="Times New Roman"/>
          <w:sz w:val="24"/>
          <w:szCs w:val="24"/>
        </w:rPr>
        <w:t xml:space="preserve">the </w:t>
      </w:r>
      <w:r w:rsidRPr="0011545E">
        <w:rPr>
          <w:rFonts w:ascii="Times New Roman" w:hAnsi="Times New Roman"/>
          <w:sz w:val="24"/>
          <w:szCs w:val="24"/>
        </w:rPr>
        <w:t xml:space="preserve">renewal of hostilities, which makes </w:t>
      </w:r>
      <w:r w:rsidR="0025757C">
        <w:rPr>
          <w:rFonts w:ascii="Times New Roman" w:hAnsi="Times New Roman"/>
          <w:sz w:val="24"/>
          <w:szCs w:val="24"/>
        </w:rPr>
        <w:t>the Union side of the conflict.</w:t>
      </w:r>
      <w:r w:rsidR="0025757C">
        <w:rPr>
          <w:rStyle w:val="FootnoteReference"/>
          <w:rFonts w:ascii="Times New Roman" w:hAnsi="Times New Roman"/>
          <w:sz w:val="24"/>
          <w:szCs w:val="24"/>
        </w:rPr>
        <w:footnoteReference w:id="431"/>
      </w:r>
      <w:r w:rsidRPr="0011545E">
        <w:rPr>
          <w:rFonts w:ascii="Times New Roman" w:hAnsi="Times New Roman"/>
          <w:sz w:val="24"/>
          <w:szCs w:val="24"/>
        </w:rPr>
        <w:t xml:space="preserve"> A very small number of progressive thinkers and civil society activists support the idea that </w:t>
      </w:r>
      <w:proofErr w:type="gramStart"/>
      <w:r w:rsidR="00F56A9C">
        <w:rPr>
          <w:rFonts w:ascii="Times New Roman" w:hAnsi="Times New Roman"/>
          <w:sz w:val="24"/>
          <w:szCs w:val="24"/>
        </w:rPr>
        <w:t>te</w:t>
      </w:r>
      <w:proofErr w:type="gramEnd"/>
      <w:r w:rsidR="00F56A9C">
        <w:rPr>
          <w:rFonts w:ascii="Times New Roman" w:hAnsi="Times New Roman"/>
          <w:sz w:val="24"/>
          <w:szCs w:val="24"/>
        </w:rPr>
        <w:t xml:space="preserve"> </w:t>
      </w:r>
      <w:r w:rsidRPr="0011545E">
        <w:rPr>
          <w:rFonts w:ascii="Times New Roman" w:hAnsi="Times New Roman"/>
          <w:sz w:val="24"/>
          <w:szCs w:val="24"/>
        </w:rPr>
        <w:lastRenderedPageBreak/>
        <w:t>Europeanization a</w:t>
      </w:r>
      <w:r w:rsidR="00F56A9C">
        <w:rPr>
          <w:rFonts w:ascii="Times New Roman" w:hAnsi="Times New Roman"/>
          <w:sz w:val="24"/>
          <w:szCs w:val="24"/>
        </w:rPr>
        <w:t>nd democratization of Georgia are</w:t>
      </w:r>
      <w:r w:rsidRPr="0011545E">
        <w:rPr>
          <w:rFonts w:ascii="Times New Roman" w:hAnsi="Times New Roman"/>
          <w:sz w:val="24"/>
          <w:szCs w:val="24"/>
        </w:rPr>
        <w:t xml:space="preserve"> b</w:t>
      </w:r>
      <w:r w:rsidR="0025757C">
        <w:rPr>
          <w:rFonts w:ascii="Times New Roman" w:hAnsi="Times New Roman"/>
          <w:sz w:val="24"/>
          <w:szCs w:val="24"/>
        </w:rPr>
        <w:t>eneficial for Abkhazia as well.</w:t>
      </w:r>
      <w:r w:rsidR="0025757C">
        <w:rPr>
          <w:rStyle w:val="FootnoteReference"/>
          <w:rFonts w:ascii="Times New Roman" w:hAnsi="Times New Roman"/>
          <w:sz w:val="24"/>
          <w:szCs w:val="24"/>
        </w:rPr>
        <w:footnoteReference w:id="432"/>
      </w:r>
      <w:r w:rsidRPr="0011545E">
        <w:rPr>
          <w:rFonts w:ascii="Times New Roman" w:hAnsi="Times New Roman"/>
          <w:sz w:val="24"/>
          <w:szCs w:val="24"/>
        </w:rPr>
        <w:t xml:space="preserve"> The de-facto authorities often refer to the EU as </w:t>
      </w:r>
      <w:r w:rsidR="00F56A9C">
        <w:rPr>
          <w:rFonts w:ascii="Times New Roman" w:hAnsi="Times New Roman"/>
          <w:sz w:val="24"/>
          <w:szCs w:val="24"/>
        </w:rPr>
        <w:t xml:space="preserve">a </w:t>
      </w:r>
      <w:r w:rsidRPr="0011545E">
        <w:rPr>
          <w:rFonts w:ascii="Times New Roman" w:hAnsi="Times New Roman"/>
          <w:sz w:val="24"/>
          <w:szCs w:val="24"/>
        </w:rPr>
        <w:t>regional geopolitical competitor to Russia, due to its active cooperation with Georgia. Moreover, the Abkhaz oppositi</w:t>
      </w:r>
      <w:r w:rsidR="00F56A9C">
        <w:rPr>
          <w:rFonts w:ascii="Times New Roman" w:hAnsi="Times New Roman"/>
          <w:sz w:val="24"/>
          <w:szCs w:val="24"/>
        </w:rPr>
        <w:t>on leaders support the idea of a d</w:t>
      </w:r>
      <w:r w:rsidRPr="0011545E">
        <w:rPr>
          <w:rFonts w:ascii="Times New Roman" w:hAnsi="Times New Roman"/>
          <w:sz w:val="24"/>
          <w:szCs w:val="24"/>
        </w:rPr>
        <w:t xml:space="preserve">ifferentiated approach with multiple regional powers within the breakaway region. They see the EU as </w:t>
      </w:r>
      <w:r w:rsidR="00F56A9C">
        <w:rPr>
          <w:rFonts w:ascii="Times New Roman" w:hAnsi="Times New Roman"/>
          <w:sz w:val="24"/>
          <w:szCs w:val="24"/>
        </w:rPr>
        <w:t xml:space="preserve">a </w:t>
      </w:r>
      <w:r w:rsidRPr="0011545E">
        <w:rPr>
          <w:rFonts w:ascii="Times New Roman" w:hAnsi="Times New Roman"/>
          <w:sz w:val="24"/>
          <w:szCs w:val="24"/>
        </w:rPr>
        <w:t>reliable economic competitor and to some deg</w:t>
      </w:r>
      <w:r w:rsidR="0025757C">
        <w:rPr>
          <w:rFonts w:ascii="Times New Roman" w:hAnsi="Times New Roman"/>
          <w:sz w:val="24"/>
          <w:szCs w:val="24"/>
        </w:rPr>
        <w:t>ree alternative to the Kremlin.</w:t>
      </w:r>
      <w:r w:rsidR="0025757C">
        <w:rPr>
          <w:rStyle w:val="FootnoteReference"/>
          <w:rFonts w:ascii="Times New Roman" w:hAnsi="Times New Roman"/>
          <w:sz w:val="24"/>
          <w:szCs w:val="24"/>
        </w:rPr>
        <w:footnoteReference w:id="433"/>
      </w:r>
      <w:r w:rsidRPr="0011545E">
        <w:rPr>
          <w:rFonts w:ascii="Times New Roman" w:hAnsi="Times New Roman"/>
          <w:sz w:val="24"/>
          <w:szCs w:val="24"/>
        </w:rPr>
        <w:t xml:space="preserve"> </w:t>
      </w:r>
    </w:p>
    <w:p w:rsidR="005C400E" w:rsidRDefault="005C400E" w:rsidP="0011545E">
      <w:pPr>
        <w:spacing w:line="360" w:lineRule="auto"/>
        <w:jc w:val="both"/>
        <w:rPr>
          <w:rFonts w:ascii="Times New Roman" w:hAnsi="Times New Roman"/>
          <w:sz w:val="24"/>
          <w:szCs w:val="24"/>
        </w:rPr>
      </w:pPr>
    </w:p>
    <w:p w:rsidR="00050BA9" w:rsidRPr="0011545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One </w:t>
      </w:r>
      <w:r w:rsidR="00F56A9C">
        <w:rPr>
          <w:rFonts w:ascii="Times New Roman" w:hAnsi="Times New Roman"/>
          <w:sz w:val="24"/>
          <w:szCs w:val="24"/>
        </w:rPr>
        <w:t>of the main factors which force</w:t>
      </w:r>
      <w:r w:rsidRPr="0011545E">
        <w:rPr>
          <w:rFonts w:ascii="Times New Roman" w:hAnsi="Times New Roman"/>
          <w:sz w:val="24"/>
          <w:szCs w:val="24"/>
        </w:rPr>
        <w:t xml:space="preserve"> the de-facto authorities to turn their heads towards the West is their aspirations of sovereignty. In Sokhumi, the political elite realize</w:t>
      </w:r>
      <w:r w:rsidR="00F56A9C">
        <w:rPr>
          <w:rFonts w:ascii="Times New Roman" w:hAnsi="Times New Roman"/>
          <w:sz w:val="24"/>
          <w:szCs w:val="24"/>
        </w:rPr>
        <w:t>s</w:t>
      </w:r>
      <w:r w:rsidRPr="0011545E">
        <w:rPr>
          <w:rFonts w:ascii="Times New Roman" w:hAnsi="Times New Roman"/>
          <w:sz w:val="24"/>
          <w:szCs w:val="24"/>
        </w:rPr>
        <w:t xml:space="preserve"> that with wider cooperation with the EU it is impossible to seek legitimation of the terri</w:t>
      </w:r>
      <w:r w:rsidR="00F56A9C">
        <w:rPr>
          <w:rFonts w:ascii="Times New Roman" w:hAnsi="Times New Roman"/>
          <w:sz w:val="24"/>
          <w:szCs w:val="24"/>
        </w:rPr>
        <w:t xml:space="preserve">torial status. Furthermore, </w:t>
      </w:r>
      <w:r w:rsidRPr="0011545E">
        <w:rPr>
          <w:rFonts w:ascii="Times New Roman" w:hAnsi="Times New Roman"/>
          <w:sz w:val="24"/>
          <w:szCs w:val="24"/>
        </w:rPr>
        <w:t xml:space="preserve">globalization has its effects on </w:t>
      </w:r>
      <w:r w:rsidR="00F56A9C">
        <w:rPr>
          <w:rFonts w:ascii="Times New Roman" w:hAnsi="Times New Roman"/>
          <w:sz w:val="24"/>
          <w:szCs w:val="24"/>
        </w:rPr>
        <w:t xml:space="preserve">the </w:t>
      </w:r>
      <w:r w:rsidRPr="0011545E">
        <w:rPr>
          <w:rFonts w:ascii="Times New Roman" w:hAnsi="Times New Roman"/>
          <w:sz w:val="24"/>
          <w:szCs w:val="24"/>
        </w:rPr>
        <w:t>worldviews of Abkhaz youth which increasingly favors the Western educational spaces and c</w:t>
      </w:r>
      <w:r w:rsidR="00BE0C1F">
        <w:rPr>
          <w:rFonts w:ascii="Times New Roman" w:hAnsi="Times New Roman"/>
          <w:sz w:val="24"/>
          <w:szCs w:val="24"/>
        </w:rPr>
        <w:t>ulture rather than the Russian.</w:t>
      </w:r>
      <w:r w:rsidR="00BE0C1F">
        <w:rPr>
          <w:rStyle w:val="FootnoteReference"/>
          <w:rFonts w:ascii="Times New Roman" w:hAnsi="Times New Roman"/>
          <w:sz w:val="24"/>
          <w:szCs w:val="24"/>
        </w:rPr>
        <w:footnoteReference w:id="434"/>
      </w:r>
      <w:r w:rsidRPr="0011545E">
        <w:rPr>
          <w:rFonts w:ascii="Times New Roman" w:hAnsi="Times New Roman"/>
          <w:sz w:val="24"/>
          <w:szCs w:val="24"/>
        </w:rPr>
        <w:t xml:space="preserve"> Moreover, the NREP strategy in its essence is considered as illegitimate by the Abkhaz political</w:t>
      </w:r>
      <w:r w:rsidR="00F56A9C">
        <w:rPr>
          <w:rFonts w:ascii="Times New Roman" w:hAnsi="Times New Roman"/>
          <w:sz w:val="24"/>
          <w:szCs w:val="24"/>
        </w:rPr>
        <w:t xml:space="preserve"> leaders. They accuse the EU of</w:t>
      </w:r>
      <w:r w:rsidRPr="0011545E">
        <w:rPr>
          <w:rFonts w:ascii="Times New Roman" w:hAnsi="Times New Roman"/>
          <w:sz w:val="24"/>
          <w:szCs w:val="24"/>
        </w:rPr>
        <w:t xml:space="preserve"> double standards in their recognition policies. The legal precedent of Kosovo is often used as </w:t>
      </w:r>
      <w:r w:rsidR="00F56A9C">
        <w:rPr>
          <w:rFonts w:ascii="Times New Roman" w:hAnsi="Times New Roman"/>
          <w:sz w:val="24"/>
          <w:szCs w:val="24"/>
        </w:rPr>
        <w:t xml:space="preserve">an </w:t>
      </w:r>
      <w:r w:rsidRPr="0011545E">
        <w:rPr>
          <w:rFonts w:ascii="Times New Roman" w:hAnsi="Times New Roman"/>
          <w:sz w:val="24"/>
          <w:szCs w:val="24"/>
        </w:rPr>
        <w:t>argument to push the EU to grant the secessionist states</w:t>
      </w:r>
      <w:r w:rsidR="00BE0C1F">
        <w:rPr>
          <w:rFonts w:ascii="Times New Roman" w:hAnsi="Times New Roman"/>
          <w:sz w:val="24"/>
          <w:szCs w:val="24"/>
        </w:rPr>
        <w:t xml:space="preserve"> of Georgia the same privilege.</w:t>
      </w:r>
      <w:r w:rsidR="00BE0C1F">
        <w:rPr>
          <w:rStyle w:val="FootnoteReference"/>
          <w:rFonts w:ascii="Times New Roman" w:hAnsi="Times New Roman"/>
          <w:sz w:val="24"/>
          <w:szCs w:val="24"/>
        </w:rPr>
        <w:footnoteReference w:id="435"/>
      </w:r>
      <w:r w:rsidRPr="0011545E">
        <w:rPr>
          <w:rFonts w:ascii="Times New Roman" w:hAnsi="Times New Roman"/>
          <w:sz w:val="24"/>
          <w:szCs w:val="24"/>
        </w:rPr>
        <w:t xml:space="preserve"> International isolation intensifies the fears </w:t>
      </w:r>
      <w:proofErr w:type="gramStart"/>
      <w:r w:rsidRPr="0011545E">
        <w:rPr>
          <w:rFonts w:ascii="Times New Roman" w:hAnsi="Times New Roman"/>
          <w:sz w:val="24"/>
          <w:szCs w:val="24"/>
        </w:rPr>
        <w:t>of  Abkhaz</w:t>
      </w:r>
      <w:proofErr w:type="gramEnd"/>
      <w:r w:rsidRPr="0011545E">
        <w:rPr>
          <w:rFonts w:ascii="Times New Roman" w:hAnsi="Times New Roman"/>
          <w:sz w:val="24"/>
          <w:szCs w:val="24"/>
        </w:rPr>
        <w:t xml:space="preserve"> and South Ossetian people over their future as nations. Complete exclusion from the regional political processes and the platfo</w:t>
      </w:r>
      <w:r w:rsidR="00F56A9C">
        <w:rPr>
          <w:rFonts w:ascii="Times New Roman" w:hAnsi="Times New Roman"/>
          <w:sz w:val="24"/>
          <w:szCs w:val="24"/>
        </w:rPr>
        <w:t>rms such as the ENP and the EaP</w:t>
      </w:r>
      <w:r w:rsidRPr="0011545E">
        <w:rPr>
          <w:rFonts w:ascii="Times New Roman" w:hAnsi="Times New Roman"/>
          <w:sz w:val="24"/>
          <w:szCs w:val="24"/>
        </w:rPr>
        <w:t xml:space="preserve"> minimize their chances to withstand the recognition ambitions on a global scale. The red lines of the de-facto authorities with the EU are drawn on the negotiation of the status. From their perspective, as long as the EU remains committed to its non-recognition policy and supports Georgian territorial integrity on </w:t>
      </w:r>
      <w:r w:rsidR="00F56A9C">
        <w:rPr>
          <w:rFonts w:ascii="Times New Roman" w:hAnsi="Times New Roman"/>
          <w:sz w:val="24"/>
          <w:szCs w:val="24"/>
        </w:rPr>
        <w:t xml:space="preserve">the </w:t>
      </w:r>
      <w:r w:rsidR="00E95849">
        <w:rPr>
          <w:rFonts w:ascii="Times New Roman" w:hAnsi="Times New Roman"/>
          <w:sz w:val="24"/>
          <w:szCs w:val="24"/>
        </w:rPr>
        <w:t>international level, it can not</w:t>
      </w:r>
      <w:r w:rsidRPr="0011545E">
        <w:rPr>
          <w:rFonts w:ascii="Times New Roman" w:hAnsi="Times New Roman"/>
          <w:sz w:val="24"/>
          <w:szCs w:val="24"/>
        </w:rPr>
        <w:t xml:space="preserve"> be assumed as </w:t>
      </w:r>
      <w:r w:rsidR="00F56A9C">
        <w:rPr>
          <w:rFonts w:ascii="Times New Roman" w:hAnsi="Times New Roman"/>
          <w:sz w:val="24"/>
          <w:szCs w:val="24"/>
        </w:rPr>
        <w:t xml:space="preserve">a </w:t>
      </w:r>
      <w:r w:rsidRPr="0011545E">
        <w:rPr>
          <w:rFonts w:ascii="Times New Roman" w:hAnsi="Times New Roman"/>
          <w:sz w:val="24"/>
          <w:szCs w:val="24"/>
        </w:rPr>
        <w:t xml:space="preserve">neutral actor. Moreover, despite the debate on deeper engagement with the EU in economic and institutional sectors, the pro-Russian trend remains significantly more powerful, thus, </w:t>
      </w:r>
      <w:r w:rsidR="00F56A9C">
        <w:rPr>
          <w:rFonts w:ascii="Times New Roman" w:hAnsi="Times New Roman"/>
          <w:sz w:val="24"/>
          <w:szCs w:val="24"/>
        </w:rPr>
        <w:t xml:space="preserve">the </w:t>
      </w:r>
      <w:r w:rsidRPr="0011545E">
        <w:rPr>
          <w:rFonts w:ascii="Times New Roman" w:hAnsi="Times New Roman"/>
          <w:sz w:val="24"/>
          <w:szCs w:val="24"/>
        </w:rPr>
        <w:t xml:space="preserve">political agenda is shaped through this </w:t>
      </w:r>
      <w:r w:rsidR="00434913">
        <w:rPr>
          <w:rFonts w:ascii="Times New Roman" w:hAnsi="Times New Roman"/>
          <w:sz w:val="24"/>
          <w:szCs w:val="24"/>
        </w:rPr>
        <w:t>prism. The Abkhaz public does not</w:t>
      </w:r>
      <w:r w:rsidRPr="0011545E">
        <w:rPr>
          <w:rFonts w:ascii="Times New Roman" w:hAnsi="Times New Roman"/>
          <w:sz w:val="24"/>
          <w:szCs w:val="24"/>
        </w:rPr>
        <w:t xml:space="preserve"> seek the restoration of borders with the Georgian side and considers the EU’s effor</w:t>
      </w:r>
      <w:r w:rsidR="00BE0C1F">
        <w:rPr>
          <w:rFonts w:ascii="Times New Roman" w:hAnsi="Times New Roman"/>
          <w:sz w:val="24"/>
          <w:szCs w:val="24"/>
        </w:rPr>
        <w:t>ts in this regard as fruitless.</w:t>
      </w:r>
      <w:r w:rsidR="00BE0C1F">
        <w:rPr>
          <w:rStyle w:val="FootnoteReference"/>
          <w:rFonts w:ascii="Times New Roman" w:hAnsi="Times New Roman"/>
          <w:sz w:val="24"/>
          <w:szCs w:val="24"/>
        </w:rPr>
        <w:footnoteReference w:id="436"/>
      </w:r>
    </w:p>
    <w:p w:rsidR="005C400E" w:rsidRDefault="005C400E" w:rsidP="00FC0392">
      <w:pPr>
        <w:spacing w:line="360" w:lineRule="auto"/>
        <w:jc w:val="both"/>
        <w:rPr>
          <w:rFonts w:ascii="Times New Roman" w:hAnsi="Times New Roman"/>
          <w:sz w:val="24"/>
          <w:szCs w:val="24"/>
        </w:rPr>
      </w:pPr>
    </w:p>
    <w:p w:rsidR="0029056A" w:rsidRDefault="00050BA9" w:rsidP="00FC0392">
      <w:pPr>
        <w:spacing w:line="360" w:lineRule="auto"/>
        <w:jc w:val="both"/>
        <w:rPr>
          <w:rFonts w:ascii="Times New Roman" w:hAnsi="Times New Roman"/>
          <w:sz w:val="24"/>
          <w:szCs w:val="24"/>
        </w:rPr>
      </w:pPr>
      <w:r w:rsidRPr="0011545E">
        <w:rPr>
          <w:rFonts w:ascii="Times New Roman" w:hAnsi="Times New Roman"/>
          <w:sz w:val="24"/>
          <w:szCs w:val="24"/>
        </w:rPr>
        <w:t>The EU’s efficiency as a conflict mediator significantly relies on its financial capabilities. In response to the war in 2008, the EU allocated more than 8 million Euros in support of civili</w:t>
      </w:r>
      <w:r w:rsidR="00F56A9C">
        <w:rPr>
          <w:rFonts w:ascii="Times New Roman" w:hAnsi="Times New Roman"/>
          <w:sz w:val="24"/>
          <w:szCs w:val="24"/>
        </w:rPr>
        <w:t xml:space="preserve">an </w:t>
      </w:r>
      <w:r w:rsidR="00F56A9C">
        <w:rPr>
          <w:rFonts w:ascii="Times New Roman" w:hAnsi="Times New Roman"/>
          <w:sz w:val="24"/>
          <w:szCs w:val="24"/>
        </w:rPr>
        <w:lastRenderedPageBreak/>
        <w:t xml:space="preserve">protection, humanitarian aid, </w:t>
      </w:r>
      <w:r w:rsidRPr="0011545E">
        <w:rPr>
          <w:rFonts w:ascii="Times New Roman" w:hAnsi="Times New Roman"/>
          <w:sz w:val="24"/>
          <w:szCs w:val="24"/>
        </w:rPr>
        <w:t xml:space="preserve">and </w:t>
      </w:r>
      <w:r w:rsidR="00BE0C1F">
        <w:rPr>
          <w:rFonts w:ascii="Times New Roman" w:hAnsi="Times New Roman"/>
          <w:sz w:val="24"/>
          <w:szCs w:val="24"/>
        </w:rPr>
        <w:t>infrastructural rehabilitation.</w:t>
      </w:r>
      <w:r w:rsidR="00BE0C1F">
        <w:rPr>
          <w:rStyle w:val="FootnoteReference"/>
          <w:rFonts w:ascii="Times New Roman" w:hAnsi="Times New Roman"/>
          <w:sz w:val="24"/>
          <w:szCs w:val="24"/>
        </w:rPr>
        <w:footnoteReference w:id="437"/>
      </w:r>
      <w:r w:rsidRPr="0011545E">
        <w:rPr>
          <w:rFonts w:ascii="Times New Roman" w:hAnsi="Times New Roman"/>
          <w:sz w:val="24"/>
          <w:szCs w:val="24"/>
        </w:rPr>
        <w:t xml:space="preserve"> In total, </w:t>
      </w:r>
      <w:proofErr w:type="gramStart"/>
      <w:r w:rsidRPr="0011545E">
        <w:rPr>
          <w:rFonts w:ascii="Times New Roman" w:hAnsi="Times New Roman"/>
          <w:sz w:val="24"/>
          <w:szCs w:val="24"/>
        </w:rPr>
        <w:t>between 2005-2010,</w:t>
      </w:r>
      <w:proofErr w:type="gramEnd"/>
      <w:r w:rsidRPr="0011545E">
        <w:rPr>
          <w:rFonts w:ascii="Times New Roman" w:hAnsi="Times New Roman"/>
          <w:sz w:val="24"/>
          <w:szCs w:val="24"/>
        </w:rPr>
        <w:t xml:space="preserve"> the EU allocated more than 18 million Euros for improvement of </w:t>
      </w:r>
      <w:r w:rsidR="00F56A9C">
        <w:rPr>
          <w:rFonts w:ascii="Times New Roman" w:hAnsi="Times New Roman"/>
          <w:sz w:val="24"/>
          <w:szCs w:val="24"/>
        </w:rPr>
        <w:t xml:space="preserve">the </w:t>
      </w:r>
      <w:r w:rsidRPr="0011545E">
        <w:rPr>
          <w:rFonts w:ascii="Times New Roman" w:hAnsi="Times New Roman"/>
          <w:sz w:val="24"/>
          <w:szCs w:val="24"/>
        </w:rPr>
        <w:t>socio-economic situatio</w:t>
      </w:r>
      <w:r w:rsidR="00BE0C1F">
        <w:rPr>
          <w:rFonts w:ascii="Times New Roman" w:hAnsi="Times New Roman"/>
          <w:sz w:val="24"/>
          <w:szCs w:val="24"/>
        </w:rPr>
        <w:t>n in villages near to the ABLs.</w:t>
      </w:r>
      <w:r w:rsidR="00BE0C1F">
        <w:rPr>
          <w:rStyle w:val="FootnoteReference"/>
          <w:rFonts w:ascii="Times New Roman" w:hAnsi="Times New Roman"/>
          <w:sz w:val="24"/>
          <w:szCs w:val="24"/>
        </w:rPr>
        <w:footnoteReference w:id="438"/>
      </w:r>
      <w:r w:rsidR="00F56A9C">
        <w:rPr>
          <w:rFonts w:ascii="Times New Roman" w:hAnsi="Times New Roman"/>
          <w:sz w:val="24"/>
          <w:szCs w:val="24"/>
        </w:rPr>
        <w:t xml:space="preserve"> Besides</w:t>
      </w:r>
      <w:r w:rsidRPr="0011545E">
        <w:rPr>
          <w:rFonts w:ascii="Times New Roman" w:hAnsi="Times New Roman"/>
          <w:sz w:val="24"/>
          <w:szCs w:val="24"/>
        </w:rPr>
        <w:t>, the EU introduced specialized programs for social reintegration and economic empowerment of the IDPs which was financed with more than</w:t>
      </w:r>
      <w:r w:rsidR="00C8350A">
        <w:rPr>
          <w:rFonts w:ascii="Times New Roman" w:hAnsi="Times New Roman"/>
          <w:sz w:val="24"/>
          <w:szCs w:val="24"/>
        </w:rPr>
        <w:t xml:space="preserve"> 30 million Euros in 2008-2009.</w:t>
      </w:r>
      <w:r w:rsidR="00C8350A">
        <w:rPr>
          <w:rStyle w:val="FootnoteReference"/>
          <w:rFonts w:ascii="Times New Roman" w:hAnsi="Times New Roman"/>
          <w:sz w:val="24"/>
          <w:szCs w:val="24"/>
        </w:rPr>
        <w:footnoteReference w:id="439"/>
      </w:r>
      <w:r w:rsidRPr="0011545E">
        <w:rPr>
          <w:rFonts w:ascii="Times New Roman" w:hAnsi="Times New Roman"/>
          <w:sz w:val="24"/>
          <w:szCs w:val="24"/>
        </w:rPr>
        <w:t xml:space="preserve"> The EU was made the largest donation towards the housing and food supplies for the IDPs after the war in 2008. More than 100 million Euros have been contributed in this sphere th</w:t>
      </w:r>
      <w:r w:rsidR="00C8350A">
        <w:rPr>
          <w:rFonts w:ascii="Times New Roman" w:hAnsi="Times New Roman"/>
          <w:sz w:val="24"/>
          <w:szCs w:val="24"/>
        </w:rPr>
        <w:t>rough the ENPI in 2008-2010.</w:t>
      </w:r>
      <w:r w:rsidR="00C8350A">
        <w:rPr>
          <w:rStyle w:val="FootnoteReference"/>
          <w:rFonts w:ascii="Times New Roman" w:hAnsi="Times New Roman"/>
          <w:sz w:val="24"/>
          <w:szCs w:val="24"/>
        </w:rPr>
        <w:footnoteReference w:id="440"/>
      </w:r>
      <w:r w:rsidRPr="0011545E">
        <w:rPr>
          <w:rFonts w:ascii="Times New Roman" w:hAnsi="Times New Roman"/>
          <w:sz w:val="24"/>
          <w:szCs w:val="24"/>
        </w:rPr>
        <w:t xml:space="preserve"> The EU-World Bank economic incentive contributed 500 million Euros </w:t>
      </w:r>
      <w:r w:rsidR="00F56A9C">
        <w:rPr>
          <w:rFonts w:ascii="Times New Roman" w:hAnsi="Times New Roman"/>
          <w:sz w:val="24"/>
          <w:szCs w:val="24"/>
        </w:rPr>
        <w:t xml:space="preserve">from 2008 to </w:t>
      </w:r>
      <w:r w:rsidRPr="0011545E">
        <w:rPr>
          <w:rFonts w:ascii="Times New Roman" w:hAnsi="Times New Roman"/>
          <w:sz w:val="24"/>
          <w:szCs w:val="24"/>
        </w:rPr>
        <w:t xml:space="preserve">2012 for </w:t>
      </w:r>
      <w:r w:rsidR="00F56A9C">
        <w:rPr>
          <w:rFonts w:ascii="Times New Roman" w:hAnsi="Times New Roman"/>
          <w:sz w:val="24"/>
          <w:szCs w:val="24"/>
        </w:rPr>
        <w:t>the r</w:t>
      </w:r>
      <w:r w:rsidRPr="0011545E">
        <w:rPr>
          <w:rFonts w:ascii="Times New Roman" w:hAnsi="Times New Roman"/>
          <w:sz w:val="24"/>
          <w:szCs w:val="24"/>
        </w:rPr>
        <w:t xml:space="preserve">ehabilitation of Georgian regions </w:t>
      </w:r>
      <w:r w:rsidR="00C8350A">
        <w:rPr>
          <w:rFonts w:ascii="Times New Roman" w:hAnsi="Times New Roman"/>
          <w:sz w:val="24"/>
          <w:szCs w:val="24"/>
        </w:rPr>
        <w:t>and conflict-affected villages.</w:t>
      </w:r>
      <w:r w:rsidR="00C8350A">
        <w:rPr>
          <w:rStyle w:val="FootnoteReference"/>
          <w:rFonts w:ascii="Times New Roman" w:hAnsi="Times New Roman"/>
          <w:sz w:val="24"/>
          <w:szCs w:val="24"/>
        </w:rPr>
        <w:footnoteReference w:id="441"/>
      </w:r>
      <w:r w:rsidRPr="0011545E">
        <w:rPr>
          <w:rFonts w:ascii="Times New Roman" w:hAnsi="Times New Roman"/>
          <w:sz w:val="24"/>
          <w:szCs w:val="24"/>
        </w:rPr>
        <w:t xml:space="preserve"> The EUMM was granted the annual budget of 40 million Euros for support of the human</w:t>
      </w:r>
      <w:r w:rsidR="00200EB2">
        <w:rPr>
          <w:rFonts w:ascii="Times New Roman" w:hAnsi="Times New Roman"/>
          <w:sz w:val="24"/>
          <w:szCs w:val="24"/>
        </w:rPr>
        <w:t>itarian programs on the ground.</w:t>
      </w:r>
      <w:r w:rsidR="00200EB2">
        <w:rPr>
          <w:rStyle w:val="FootnoteReference"/>
          <w:rFonts w:ascii="Times New Roman" w:hAnsi="Times New Roman"/>
          <w:sz w:val="24"/>
          <w:szCs w:val="24"/>
        </w:rPr>
        <w:footnoteReference w:id="442"/>
      </w:r>
      <w:r w:rsidRPr="0011545E">
        <w:rPr>
          <w:rFonts w:ascii="Times New Roman" w:hAnsi="Times New Roman"/>
          <w:sz w:val="24"/>
          <w:szCs w:val="24"/>
        </w:rPr>
        <w:t xml:space="preserve">  Nevertheless, the Russian recognition of the breakaway entities significantly limited the EU’s capabilities to use the financial instruments efficiently. The separatist regions anticipate the respect for sovereignty and self-proclaimed independence from the EU. Moreover, they refuse to engage in deeper cooperation and get foo</w:t>
      </w:r>
      <w:r w:rsidR="00200EB2">
        <w:rPr>
          <w:rFonts w:ascii="Times New Roman" w:hAnsi="Times New Roman"/>
          <w:sz w:val="24"/>
          <w:szCs w:val="24"/>
        </w:rPr>
        <w:t>led by the ‘financial carrots’.</w:t>
      </w:r>
      <w:r w:rsidR="00200EB2">
        <w:rPr>
          <w:rStyle w:val="FootnoteReference"/>
          <w:rFonts w:ascii="Times New Roman" w:hAnsi="Times New Roman"/>
          <w:sz w:val="24"/>
          <w:szCs w:val="24"/>
        </w:rPr>
        <w:footnoteReference w:id="443"/>
      </w:r>
      <w:r w:rsidRPr="0011545E">
        <w:rPr>
          <w:rFonts w:ascii="Times New Roman" w:hAnsi="Times New Roman"/>
          <w:sz w:val="24"/>
          <w:szCs w:val="24"/>
        </w:rPr>
        <w:t xml:space="preserve"> In regards to general perceptions among the separatist entities, the EU’s main challenge is to reshape its image from the ‘Trojan Horse’ of Georgia to the neutral regi</w:t>
      </w:r>
      <w:r w:rsidR="00F56A9C">
        <w:rPr>
          <w:rFonts w:ascii="Times New Roman" w:hAnsi="Times New Roman"/>
          <w:sz w:val="24"/>
          <w:szCs w:val="24"/>
        </w:rPr>
        <w:t>onal actor without neglecting</w:t>
      </w:r>
      <w:r w:rsidRPr="0011545E">
        <w:rPr>
          <w:rFonts w:ascii="Times New Roman" w:hAnsi="Times New Roman"/>
          <w:sz w:val="24"/>
          <w:szCs w:val="24"/>
        </w:rPr>
        <w:t xml:space="preserve"> the values and objectives of the NREP strategy. This could enhance the interest of Abkhaz and South Ossetian society towards the soft power tools and mechanisms of the EU and create the fundament for constructive dialogue be</w:t>
      </w:r>
      <w:r w:rsidR="00FC0392">
        <w:rPr>
          <w:rFonts w:ascii="Times New Roman" w:hAnsi="Times New Roman"/>
          <w:sz w:val="24"/>
          <w:szCs w:val="24"/>
        </w:rPr>
        <w:t xml:space="preserve">tween the confronting parties. </w:t>
      </w:r>
    </w:p>
    <w:p w:rsidR="00F81BBD" w:rsidRDefault="00F81BBD" w:rsidP="00F81BBD">
      <w:pPr>
        <w:pStyle w:val="NoSpacing"/>
      </w:pPr>
    </w:p>
    <w:p w:rsidR="00F81BBD" w:rsidRDefault="00F81BBD" w:rsidP="00F81BBD">
      <w:pPr>
        <w:pStyle w:val="NoSpacing"/>
      </w:pPr>
    </w:p>
    <w:p w:rsidR="00F81BBD" w:rsidRDefault="00F81BBD" w:rsidP="00F81BBD">
      <w:pPr>
        <w:pStyle w:val="NoSpacing"/>
      </w:pPr>
    </w:p>
    <w:p w:rsidR="00F81BBD" w:rsidRDefault="00F81BBD" w:rsidP="00F81BBD">
      <w:pPr>
        <w:pStyle w:val="NoSpacing"/>
      </w:pPr>
    </w:p>
    <w:p w:rsidR="00F81BBD" w:rsidRDefault="00F81BBD" w:rsidP="00F81BBD">
      <w:pPr>
        <w:pStyle w:val="NoSpacing"/>
      </w:pPr>
    </w:p>
    <w:p w:rsidR="00F81BBD" w:rsidRDefault="00F81BBD" w:rsidP="00F81BBD">
      <w:pPr>
        <w:pStyle w:val="NoSpacing"/>
      </w:pPr>
    </w:p>
    <w:p w:rsidR="00F81BBD" w:rsidRDefault="00F81BBD" w:rsidP="00F81BBD">
      <w:pPr>
        <w:pStyle w:val="NoSpacing"/>
      </w:pPr>
    </w:p>
    <w:p w:rsidR="00E204B8" w:rsidRDefault="00E204B8" w:rsidP="005C2D0A">
      <w:pPr>
        <w:pStyle w:val="Heading2"/>
        <w:rPr>
          <w:rFonts w:ascii="MS Sans Serif" w:eastAsia="Times New Roman" w:hAnsi="MS Sans Serif" w:cs="Times New Roman"/>
          <w:color w:val="auto"/>
          <w:sz w:val="20"/>
          <w:szCs w:val="20"/>
        </w:rPr>
      </w:pPr>
      <w:bookmarkStart w:id="33" w:name="_Toc46952627"/>
    </w:p>
    <w:p w:rsidR="00DF4494" w:rsidRDefault="00DF4494" w:rsidP="00DF4494"/>
    <w:p w:rsidR="00DF4494" w:rsidRPr="00DF4494" w:rsidRDefault="00DF4494" w:rsidP="00DF4494">
      <w:pPr>
        <w:pStyle w:val="NoSpacing"/>
      </w:pPr>
    </w:p>
    <w:p w:rsidR="00E204B8" w:rsidRDefault="00E204B8" w:rsidP="005C2D0A">
      <w:pPr>
        <w:pStyle w:val="Heading2"/>
        <w:rPr>
          <w:color w:val="auto"/>
          <w:sz w:val="32"/>
          <w:szCs w:val="32"/>
        </w:rPr>
      </w:pPr>
    </w:p>
    <w:p w:rsidR="00050BA9" w:rsidRPr="00FC0392" w:rsidRDefault="00C01161" w:rsidP="005C2D0A">
      <w:pPr>
        <w:pStyle w:val="Heading2"/>
        <w:rPr>
          <w:color w:val="auto"/>
          <w:sz w:val="32"/>
          <w:szCs w:val="32"/>
        </w:rPr>
      </w:pPr>
      <w:r w:rsidRPr="00FC0392">
        <w:rPr>
          <w:color w:val="auto"/>
          <w:sz w:val="32"/>
          <w:szCs w:val="32"/>
        </w:rPr>
        <w:t>5. Discussion</w:t>
      </w:r>
      <w:r w:rsidR="00050BA9" w:rsidRPr="00FC0392">
        <w:rPr>
          <w:color w:val="auto"/>
          <w:sz w:val="32"/>
          <w:szCs w:val="32"/>
        </w:rPr>
        <w:t xml:space="preserve"> and </w:t>
      </w:r>
      <w:r w:rsidR="005C400E">
        <w:rPr>
          <w:color w:val="auto"/>
          <w:sz w:val="32"/>
          <w:szCs w:val="32"/>
        </w:rPr>
        <w:t xml:space="preserve">the </w:t>
      </w:r>
      <w:r w:rsidR="00050BA9" w:rsidRPr="00FC0392">
        <w:rPr>
          <w:color w:val="auto"/>
          <w:sz w:val="32"/>
          <w:szCs w:val="32"/>
        </w:rPr>
        <w:t>Final Remarks</w:t>
      </w:r>
      <w:bookmarkEnd w:id="33"/>
    </w:p>
    <w:p w:rsidR="0029056A" w:rsidRDefault="0029056A" w:rsidP="0029056A"/>
    <w:p w:rsidR="0029056A" w:rsidRPr="0029056A" w:rsidRDefault="0029056A" w:rsidP="0029056A">
      <w:pPr>
        <w:pStyle w:val="NoSpacing"/>
      </w:pPr>
    </w:p>
    <w:p w:rsidR="00050BA9" w:rsidRPr="0011545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In the scope of this research, the number of policy documents</w:t>
      </w:r>
      <w:r w:rsidR="00F56A9C">
        <w:rPr>
          <w:rFonts w:ascii="Times New Roman" w:hAnsi="Times New Roman"/>
          <w:sz w:val="24"/>
          <w:szCs w:val="24"/>
        </w:rPr>
        <w:t xml:space="preserve">, relevant scholarly literature, </w:t>
      </w:r>
      <w:r w:rsidRPr="0011545E">
        <w:rPr>
          <w:rFonts w:ascii="Times New Roman" w:hAnsi="Times New Roman"/>
          <w:sz w:val="24"/>
          <w:szCs w:val="24"/>
        </w:rPr>
        <w:t>and the pract</w:t>
      </w:r>
      <w:r w:rsidR="00E204B8">
        <w:rPr>
          <w:rFonts w:ascii="Times New Roman" w:hAnsi="Times New Roman"/>
          <w:sz w:val="24"/>
          <w:szCs w:val="24"/>
        </w:rPr>
        <w:t>ical insights of the experts has</w:t>
      </w:r>
      <w:r w:rsidR="00F56A9C">
        <w:rPr>
          <w:rFonts w:ascii="Times New Roman" w:hAnsi="Times New Roman"/>
          <w:sz w:val="24"/>
          <w:szCs w:val="24"/>
        </w:rPr>
        <w:t xml:space="preserve"> been presented and explored. The c</w:t>
      </w:r>
      <w:r w:rsidRPr="0011545E">
        <w:rPr>
          <w:rFonts w:ascii="Times New Roman" w:hAnsi="Times New Roman"/>
          <w:sz w:val="24"/>
          <w:szCs w:val="24"/>
        </w:rPr>
        <w:t xml:space="preserve">omprehensive analysis enabled to outline </w:t>
      </w:r>
      <w:r w:rsidR="00F56A9C">
        <w:rPr>
          <w:rFonts w:ascii="Times New Roman" w:hAnsi="Times New Roman"/>
          <w:sz w:val="24"/>
          <w:szCs w:val="24"/>
        </w:rPr>
        <w:t xml:space="preserve">of </w:t>
      </w:r>
      <w:r w:rsidRPr="0011545E">
        <w:rPr>
          <w:rFonts w:ascii="Times New Roman" w:hAnsi="Times New Roman"/>
          <w:sz w:val="24"/>
          <w:szCs w:val="24"/>
        </w:rPr>
        <w:t xml:space="preserve">the strengths and challenges of the EU’s conflict mediation strategy in contested regions which is essentially a part of the EU external governance. Furthermore, the research identified key factors </w:t>
      </w:r>
      <w:r w:rsidR="00F56A9C">
        <w:rPr>
          <w:rFonts w:ascii="Times New Roman" w:hAnsi="Times New Roman"/>
          <w:sz w:val="24"/>
          <w:szCs w:val="24"/>
        </w:rPr>
        <w:t>that</w:t>
      </w:r>
      <w:r w:rsidRPr="0011545E">
        <w:rPr>
          <w:rFonts w:ascii="Times New Roman" w:hAnsi="Times New Roman"/>
          <w:sz w:val="24"/>
          <w:szCs w:val="24"/>
        </w:rPr>
        <w:t xml:space="preserve"> directly impact the EU’s conflict mediation capacity in </w:t>
      </w:r>
      <w:r w:rsidR="00F56A9C">
        <w:rPr>
          <w:rFonts w:ascii="Times New Roman" w:hAnsi="Times New Roman"/>
          <w:sz w:val="24"/>
          <w:szCs w:val="24"/>
        </w:rPr>
        <w:t xml:space="preserve">a </w:t>
      </w:r>
      <w:r w:rsidRPr="0011545E">
        <w:rPr>
          <w:rFonts w:ascii="Times New Roman" w:hAnsi="Times New Roman"/>
          <w:sz w:val="24"/>
          <w:szCs w:val="24"/>
        </w:rPr>
        <w:t>certain way and create the barriers and limitations on multiple levels.</w:t>
      </w:r>
    </w:p>
    <w:p w:rsidR="00050BA9" w:rsidRPr="0011545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The research has established that the EU’s conflict mediation strategy in protracted conflicts has limited capacity and the Union has failed to </w:t>
      </w:r>
      <w:r w:rsidR="00F56A9C">
        <w:rPr>
          <w:rFonts w:ascii="Times New Roman" w:hAnsi="Times New Roman"/>
          <w:sz w:val="24"/>
          <w:szCs w:val="24"/>
        </w:rPr>
        <w:t>achieve significant success in the c</w:t>
      </w:r>
      <w:r w:rsidRPr="0011545E">
        <w:rPr>
          <w:rFonts w:ascii="Times New Roman" w:hAnsi="Times New Roman"/>
          <w:sz w:val="24"/>
          <w:szCs w:val="24"/>
        </w:rPr>
        <w:t>onfli</w:t>
      </w:r>
      <w:r w:rsidR="00F56A9C">
        <w:rPr>
          <w:rFonts w:ascii="Times New Roman" w:hAnsi="Times New Roman"/>
          <w:sz w:val="24"/>
          <w:szCs w:val="24"/>
        </w:rPr>
        <w:t xml:space="preserve">ct transformation process. These </w:t>
      </w:r>
      <w:r w:rsidRPr="0011545E">
        <w:rPr>
          <w:rFonts w:ascii="Times New Roman" w:hAnsi="Times New Roman"/>
          <w:sz w:val="24"/>
          <w:szCs w:val="24"/>
        </w:rPr>
        <w:t>assertions are based on the following arguments:</w:t>
      </w:r>
    </w:p>
    <w:p w:rsidR="00E204B8" w:rsidRDefault="00E204B8" w:rsidP="0011545E">
      <w:pPr>
        <w:spacing w:line="360" w:lineRule="auto"/>
        <w:jc w:val="both"/>
        <w:rPr>
          <w:rFonts w:ascii="Times New Roman" w:hAnsi="Times New Roman"/>
          <w:i/>
          <w:sz w:val="24"/>
          <w:szCs w:val="24"/>
        </w:rPr>
      </w:pPr>
    </w:p>
    <w:p w:rsidR="00050BA9" w:rsidRPr="00867F58" w:rsidRDefault="00050BA9" w:rsidP="0011545E">
      <w:pPr>
        <w:spacing w:line="360" w:lineRule="auto"/>
        <w:jc w:val="both"/>
        <w:rPr>
          <w:rFonts w:ascii="Times New Roman" w:hAnsi="Times New Roman"/>
          <w:i/>
          <w:sz w:val="24"/>
          <w:szCs w:val="24"/>
        </w:rPr>
      </w:pPr>
      <w:r w:rsidRPr="00867F58">
        <w:rPr>
          <w:rFonts w:ascii="Times New Roman" w:hAnsi="Times New Roman"/>
          <w:i/>
          <w:sz w:val="24"/>
          <w:szCs w:val="24"/>
        </w:rPr>
        <w:t xml:space="preserve">1. The de-facto authorities and the Georgian government show </w:t>
      </w:r>
      <w:r w:rsidR="00F56A9C">
        <w:rPr>
          <w:rFonts w:ascii="Times New Roman" w:hAnsi="Times New Roman"/>
          <w:i/>
          <w:sz w:val="24"/>
          <w:szCs w:val="24"/>
        </w:rPr>
        <w:t xml:space="preserve">a </w:t>
      </w:r>
      <w:r w:rsidRPr="00867F58">
        <w:rPr>
          <w:rFonts w:ascii="Times New Roman" w:hAnsi="Times New Roman"/>
          <w:i/>
          <w:sz w:val="24"/>
          <w:szCs w:val="24"/>
        </w:rPr>
        <w:t>low level of compliance and internalization (for different reasons) of the EU NREP strategy which limits its overall impact.</w:t>
      </w:r>
    </w:p>
    <w:p w:rsidR="00E204B8" w:rsidRDefault="00E204B8" w:rsidP="0011545E">
      <w:pPr>
        <w:spacing w:line="360" w:lineRule="auto"/>
        <w:jc w:val="both"/>
        <w:rPr>
          <w:rFonts w:ascii="Times New Roman" w:hAnsi="Times New Roman"/>
          <w:sz w:val="24"/>
          <w:szCs w:val="24"/>
        </w:rPr>
      </w:pPr>
    </w:p>
    <w:p w:rsidR="00DF1A92"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EU’s external governance is built on its capability to exert t</w:t>
      </w:r>
      <w:r w:rsidR="00F56A9C">
        <w:rPr>
          <w:rFonts w:ascii="Times New Roman" w:hAnsi="Times New Roman"/>
          <w:sz w:val="24"/>
          <w:szCs w:val="24"/>
        </w:rPr>
        <w:t xml:space="preserve">he norms and values through </w:t>
      </w:r>
      <w:r w:rsidRPr="0011545E">
        <w:rPr>
          <w:rFonts w:ascii="Times New Roman" w:hAnsi="Times New Roman"/>
          <w:sz w:val="24"/>
          <w:szCs w:val="24"/>
        </w:rPr>
        <w:t xml:space="preserve">soft power mechanisms. The analysis of the EU-Georgian cooperation from </w:t>
      </w:r>
      <w:r w:rsidR="00F56A9C">
        <w:rPr>
          <w:rFonts w:ascii="Times New Roman" w:hAnsi="Times New Roman"/>
          <w:sz w:val="24"/>
          <w:szCs w:val="24"/>
        </w:rPr>
        <w:t xml:space="preserve">the </w:t>
      </w:r>
      <w:r w:rsidRPr="0011545E">
        <w:rPr>
          <w:rFonts w:ascii="Times New Roman" w:hAnsi="Times New Roman"/>
          <w:sz w:val="24"/>
          <w:szCs w:val="24"/>
        </w:rPr>
        <w:t>early 1990s to the mid-2010s show</w:t>
      </w:r>
      <w:r w:rsidR="00F56A9C">
        <w:rPr>
          <w:rFonts w:ascii="Times New Roman" w:hAnsi="Times New Roman"/>
          <w:sz w:val="24"/>
          <w:szCs w:val="24"/>
        </w:rPr>
        <w:t>s</w:t>
      </w:r>
      <w:r w:rsidRPr="0011545E">
        <w:rPr>
          <w:rFonts w:ascii="Times New Roman" w:hAnsi="Times New Roman"/>
          <w:sz w:val="24"/>
          <w:szCs w:val="24"/>
        </w:rPr>
        <w:t xml:space="preserve"> that the Union has played </w:t>
      </w:r>
      <w:r w:rsidR="00F56A9C">
        <w:rPr>
          <w:rFonts w:ascii="Times New Roman" w:hAnsi="Times New Roman"/>
          <w:sz w:val="24"/>
          <w:szCs w:val="24"/>
        </w:rPr>
        <w:t xml:space="preserve">a </w:t>
      </w:r>
      <w:r w:rsidRPr="0011545E">
        <w:rPr>
          <w:rFonts w:ascii="Times New Roman" w:hAnsi="Times New Roman"/>
          <w:sz w:val="24"/>
          <w:szCs w:val="24"/>
        </w:rPr>
        <w:t>vital role in democr</w:t>
      </w:r>
      <w:r w:rsidR="00F56A9C">
        <w:rPr>
          <w:rFonts w:ascii="Times New Roman" w:hAnsi="Times New Roman"/>
          <w:sz w:val="24"/>
          <w:szCs w:val="24"/>
        </w:rPr>
        <w:t xml:space="preserve">atization, institutionalization, </w:t>
      </w:r>
      <w:r w:rsidRPr="0011545E">
        <w:rPr>
          <w:rFonts w:ascii="Times New Roman" w:hAnsi="Times New Roman"/>
          <w:sz w:val="24"/>
          <w:szCs w:val="24"/>
        </w:rPr>
        <w:t>and economic development of the country. Georgia has shown praiseworthy consistency in reforms and approximation process, in return, the EU has signed the As</w:t>
      </w:r>
      <w:r w:rsidR="00F56A9C">
        <w:rPr>
          <w:rFonts w:ascii="Times New Roman" w:hAnsi="Times New Roman"/>
          <w:sz w:val="24"/>
          <w:szCs w:val="24"/>
        </w:rPr>
        <w:t xml:space="preserve">sociation Agreements, the DCFTA, </w:t>
      </w:r>
      <w:r w:rsidRPr="0011545E">
        <w:rPr>
          <w:rFonts w:ascii="Times New Roman" w:hAnsi="Times New Roman"/>
          <w:sz w:val="24"/>
          <w:szCs w:val="24"/>
        </w:rPr>
        <w:t>and the Visa Liberalizati</w:t>
      </w:r>
      <w:r w:rsidR="00F56A9C">
        <w:rPr>
          <w:rFonts w:ascii="Times New Roman" w:hAnsi="Times New Roman"/>
          <w:sz w:val="24"/>
          <w:szCs w:val="24"/>
        </w:rPr>
        <w:t xml:space="preserve">on agreements which contribute </w:t>
      </w:r>
      <w:r w:rsidRPr="0011545E">
        <w:rPr>
          <w:rFonts w:ascii="Times New Roman" w:hAnsi="Times New Roman"/>
          <w:sz w:val="24"/>
          <w:szCs w:val="24"/>
        </w:rPr>
        <w:t xml:space="preserve">to </w:t>
      </w:r>
      <w:r w:rsidR="00F56A9C">
        <w:rPr>
          <w:rFonts w:ascii="Times New Roman" w:hAnsi="Times New Roman"/>
          <w:sz w:val="24"/>
          <w:szCs w:val="24"/>
        </w:rPr>
        <w:t xml:space="preserve">the </w:t>
      </w:r>
      <w:r w:rsidRPr="0011545E">
        <w:rPr>
          <w:rFonts w:ascii="Times New Roman" w:hAnsi="Times New Roman"/>
          <w:sz w:val="24"/>
          <w:szCs w:val="24"/>
        </w:rPr>
        <w:t>strengthening of the European course. Moreover, the reports of the European External Service and European Commission show that the EU has allocated hundreds of million Euros throughout the last decade through the economic instruments and incentives, in support of IDPs, infrastructural rehabilitation, social and educational</w:t>
      </w:r>
      <w:r w:rsidR="00F61B83">
        <w:rPr>
          <w:rFonts w:ascii="Times New Roman" w:hAnsi="Times New Roman"/>
          <w:sz w:val="24"/>
          <w:szCs w:val="24"/>
        </w:rPr>
        <w:t xml:space="preserve"> programs, food and safety.</w:t>
      </w:r>
      <w:r w:rsidRPr="0011545E">
        <w:rPr>
          <w:rFonts w:ascii="Times New Roman" w:hAnsi="Times New Roman"/>
          <w:sz w:val="24"/>
          <w:szCs w:val="24"/>
        </w:rPr>
        <w:t xml:space="preserve"> Despite various challenges, the partnership can be regarded as successful and both parties publicly imply </w:t>
      </w:r>
      <w:r w:rsidR="00F56A9C">
        <w:rPr>
          <w:rFonts w:ascii="Times New Roman" w:hAnsi="Times New Roman"/>
          <w:sz w:val="24"/>
          <w:szCs w:val="24"/>
        </w:rPr>
        <w:t xml:space="preserve">the </w:t>
      </w:r>
      <w:r w:rsidRPr="0011545E">
        <w:rPr>
          <w:rFonts w:ascii="Times New Roman" w:hAnsi="Times New Roman"/>
          <w:sz w:val="24"/>
          <w:szCs w:val="24"/>
        </w:rPr>
        <w:t xml:space="preserve">necessity for deeper and stronger cooperation. One of the rare cases where the EU and Georgia’s visions avert from one another is the legal status of contested regions during the protracted conflicts. The EU NREP is </w:t>
      </w:r>
      <w:r w:rsidR="00F56A9C">
        <w:rPr>
          <w:rFonts w:ascii="Times New Roman" w:hAnsi="Times New Roman"/>
          <w:sz w:val="24"/>
          <w:szCs w:val="24"/>
        </w:rPr>
        <w:t xml:space="preserve">a </w:t>
      </w:r>
      <w:r w:rsidRPr="0011545E">
        <w:rPr>
          <w:rFonts w:ascii="Times New Roman" w:hAnsi="Times New Roman"/>
          <w:sz w:val="24"/>
          <w:szCs w:val="24"/>
        </w:rPr>
        <w:t xml:space="preserve">multi-component strategy </w:t>
      </w:r>
      <w:r w:rsidR="00F56A9C">
        <w:rPr>
          <w:rFonts w:ascii="Times New Roman" w:hAnsi="Times New Roman"/>
          <w:sz w:val="24"/>
          <w:szCs w:val="24"/>
        </w:rPr>
        <w:t xml:space="preserve">that </w:t>
      </w:r>
      <w:r w:rsidRPr="0011545E">
        <w:rPr>
          <w:rFonts w:ascii="Times New Roman" w:hAnsi="Times New Roman"/>
          <w:sz w:val="24"/>
          <w:szCs w:val="24"/>
        </w:rPr>
        <w:t>requires the readiness of the confronting parties to follow the EU’s guidelines on conflict transformation.</w:t>
      </w:r>
    </w:p>
    <w:p w:rsidR="00DF1A92" w:rsidRDefault="00DF1A92" w:rsidP="0011545E">
      <w:pPr>
        <w:spacing w:line="360" w:lineRule="auto"/>
        <w:jc w:val="both"/>
        <w:rPr>
          <w:rFonts w:ascii="Times New Roman" w:hAnsi="Times New Roman"/>
          <w:sz w:val="24"/>
          <w:szCs w:val="24"/>
        </w:rPr>
      </w:pPr>
    </w:p>
    <w:p w:rsidR="00050BA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lastRenderedPageBreak/>
        <w:t xml:space="preserve"> The EU identifies the de-facto authorities as </w:t>
      </w:r>
      <w:r w:rsidR="00F56A9C">
        <w:rPr>
          <w:rFonts w:ascii="Times New Roman" w:hAnsi="Times New Roman"/>
          <w:sz w:val="24"/>
          <w:szCs w:val="24"/>
        </w:rPr>
        <w:t xml:space="preserve">a </w:t>
      </w:r>
      <w:r w:rsidRPr="0011545E">
        <w:rPr>
          <w:rFonts w:ascii="Times New Roman" w:hAnsi="Times New Roman"/>
          <w:sz w:val="24"/>
          <w:szCs w:val="24"/>
        </w:rPr>
        <w:t xml:space="preserve">side of </w:t>
      </w:r>
      <w:r w:rsidR="00F56A9C">
        <w:rPr>
          <w:rFonts w:ascii="Times New Roman" w:hAnsi="Times New Roman"/>
          <w:sz w:val="24"/>
          <w:szCs w:val="24"/>
        </w:rPr>
        <w:t xml:space="preserve">the </w:t>
      </w:r>
      <w:r w:rsidRPr="0011545E">
        <w:rPr>
          <w:rFonts w:ascii="Times New Roman" w:hAnsi="Times New Roman"/>
          <w:sz w:val="24"/>
          <w:szCs w:val="24"/>
        </w:rPr>
        <w:t xml:space="preserve">conflict and works towards the facilitation of dialogue between Georgia and these entities. For this purpose, the EU established the GID under the provision of the six-point cease-fire agreement of August 2008. The EU (or to be precise, old members of the Union) refuse to recognize the Russian occupation in these regions and focus on the de-escalation process. On </w:t>
      </w:r>
      <w:r w:rsidR="00F56A9C">
        <w:rPr>
          <w:rFonts w:ascii="Times New Roman" w:hAnsi="Times New Roman"/>
          <w:sz w:val="24"/>
          <w:szCs w:val="24"/>
        </w:rPr>
        <w:t xml:space="preserve">the </w:t>
      </w:r>
      <w:r w:rsidRPr="0011545E">
        <w:rPr>
          <w:rFonts w:ascii="Times New Roman" w:hAnsi="Times New Roman"/>
          <w:sz w:val="24"/>
          <w:szCs w:val="24"/>
        </w:rPr>
        <w:t xml:space="preserve">contrary, the Georgian government point the arrows toward the Kremlin and puts forward the accusations for provoking the military conflict. The expert interviews helped to establish that the incompatibility between the EU NREP and the Georgian narrative has two consequences: a) the Georgian political elites are anxious about the potential recognition of ‘de-facto sovereignty’ of the contested regions, b) the efficiency of the EU NREP is limited in practical aspect. </w:t>
      </w:r>
      <w:r w:rsidR="00F56A9C">
        <w:rPr>
          <w:rFonts w:ascii="Times New Roman" w:hAnsi="Times New Roman"/>
          <w:sz w:val="24"/>
          <w:szCs w:val="24"/>
        </w:rPr>
        <w:t>Moreover,</w:t>
      </w:r>
      <w:r w:rsidRPr="0011545E">
        <w:rPr>
          <w:rFonts w:ascii="Times New Roman" w:hAnsi="Times New Roman"/>
          <w:sz w:val="24"/>
          <w:szCs w:val="24"/>
        </w:rPr>
        <w:t xml:space="preserve"> the low-awareness about the EU in contested regions causes the division in opinion among the population and raises the skepticism among the political elites, which portray the EU as </w:t>
      </w:r>
      <w:r w:rsidR="00F56A9C">
        <w:rPr>
          <w:rFonts w:ascii="Times New Roman" w:hAnsi="Times New Roman"/>
          <w:sz w:val="24"/>
          <w:szCs w:val="24"/>
        </w:rPr>
        <w:t xml:space="preserve">the </w:t>
      </w:r>
      <w:r w:rsidRPr="0011545E">
        <w:rPr>
          <w:rFonts w:ascii="Times New Roman" w:hAnsi="Times New Roman"/>
          <w:sz w:val="24"/>
          <w:szCs w:val="24"/>
        </w:rPr>
        <w:t>‘Trojan Horse’ of Georgia. As a resul</w:t>
      </w:r>
      <w:r w:rsidR="00434913">
        <w:rPr>
          <w:rFonts w:ascii="Times New Roman" w:hAnsi="Times New Roman"/>
          <w:sz w:val="24"/>
          <w:szCs w:val="24"/>
        </w:rPr>
        <w:t xml:space="preserve">t, the EU NREP strategy does not </w:t>
      </w:r>
      <w:r w:rsidRPr="0011545E">
        <w:rPr>
          <w:rFonts w:ascii="Times New Roman" w:hAnsi="Times New Roman"/>
          <w:sz w:val="24"/>
          <w:szCs w:val="24"/>
        </w:rPr>
        <w:t xml:space="preserve">achieve the anticipated impact on </w:t>
      </w:r>
      <w:r w:rsidR="00F56A9C">
        <w:rPr>
          <w:rFonts w:ascii="Times New Roman" w:hAnsi="Times New Roman"/>
          <w:sz w:val="24"/>
          <w:szCs w:val="24"/>
        </w:rPr>
        <w:t xml:space="preserve">the </w:t>
      </w:r>
      <w:r w:rsidRPr="0011545E">
        <w:rPr>
          <w:rFonts w:ascii="Times New Roman" w:hAnsi="Times New Roman"/>
          <w:sz w:val="24"/>
          <w:szCs w:val="24"/>
        </w:rPr>
        <w:t xml:space="preserve">conflict transformation process. </w:t>
      </w:r>
    </w:p>
    <w:p w:rsidR="00DF1A92" w:rsidRDefault="00DF1A92" w:rsidP="00DF1A92">
      <w:pPr>
        <w:pStyle w:val="NoSpacing"/>
      </w:pPr>
    </w:p>
    <w:p w:rsidR="00DF1A92" w:rsidRPr="00DF1A92" w:rsidRDefault="00DF1A92" w:rsidP="00DF1A92">
      <w:pPr>
        <w:pStyle w:val="NoSpacing"/>
      </w:pPr>
    </w:p>
    <w:p w:rsidR="00050BA9" w:rsidRPr="00867F58" w:rsidRDefault="00050BA9" w:rsidP="0011545E">
      <w:pPr>
        <w:spacing w:line="360" w:lineRule="auto"/>
        <w:jc w:val="both"/>
        <w:rPr>
          <w:rFonts w:ascii="Times New Roman" w:hAnsi="Times New Roman"/>
          <w:i/>
          <w:sz w:val="24"/>
          <w:szCs w:val="24"/>
        </w:rPr>
      </w:pPr>
      <w:r w:rsidRPr="00867F58">
        <w:rPr>
          <w:rFonts w:ascii="Times New Roman" w:hAnsi="Times New Roman"/>
          <w:i/>
          <w:sz w:val="24"/>
          <w:szCs w:val="24"/>
        </w:rPr>
        <w:t xml:space="preserve">2. The EU member states are united in non-recognition of the contested regions but divided on </w:t>
      </w:r>
      <w:r w:rsidR="00F56A9C">
        <w:rPr>
          <w:rFonts w:ascii="Times New Roman" w:hAnsi="Times New Roman"/>
          <w:i/>
          <w:sz w:val="24"/>
          <w:szCs w:val="24"/>
        </w:rPr>
        <w:t xml:space="preserve">the </w:t>
      </w:r>
      <w:r w:rsidRPr="00867F58">
        <w:rPr>
          <w:rFonts w:ascii="Times New Roman" w:hAnsi="Times New Roman"/>
          <w:i/>
          <w:sz w:val="24"/>
          <w:szCs w:val="24"/>
        </w:rPr>
        <w:t>strategy of engagement and approach towards Russia.</w:t>
      </w:r>
    </w:p>
    <w:p w:rsidR="00E204B8" w:rsidRDefault="00E204B8" w:rsidP="0011545E">
      <w:pPr>
        <w:spacing w:line="360" w:lineRule="auto"/>
        <w:jc w:val="both"/>
        <w:rPr>
          <w:rFonts w:ascii="Times New Roman" w:hAnsi="Times New Roman"/>
          <w:sz w:val="24"/>
          <w:szCs w:val="24"/>
        </w:rPr>
      </w:pPr>
    </w:p>
    <w:p w:rsidR="00050BA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The analysis of empirical data shows that the EU played </w:t>
      </w:r>
      <w:r w:rsidR="00F56A9C">
        <w:rPr>
          <w:rFonts w:ascii="Times New Roman" w:hAnsi="Times New Roman"/>
          <w:sz w:val="24"/>
          <w:szCs w:val="24"/>
        </w:rPr>
        <w:t xml:space="preserve">a </w:t>
      </w:r>
      <w:r w:rsidRPr="0011545E">
        <w:rPr>
          <w:rFonts w:ascii="Times New Roman" w:hAnsi="Times New Roman"/>
          <w:sz w:val="24"/>
          <w:szCs w:val="24"/>
        </w:rPr>
        <w:t xml:space="preserve">crucial role in </w:t>
      </w:r>
      <w:r w:rsidR="00F56A9C">
        <w:rPr>
          <w:rFonts w:ascii="Times New Roman" w:hAnsi="Times New Roman"/>
          <w:sz w:val="24"/>
          <w:szCs w:val="24"/>
        </w:rPr>
        <w:t xml:space="preserve">the </w:t>
      </w:r>
      <w:r w:rsidRPr="0011545E">
        <w:rPr>
          <w:rFonts w:ascii="Times New Roman" w:hAnsi="Times New Roman"/>
          <w:sz w:val="24"/>
          <w:szCs w:val="24"/>
        </w:rPr>
        <w:t xml:space="preserve">de-escalation of tensions in 2008 and the leadership of French President Sarkozy brought the confronting parties on negotiation table to sign the cease-fire agreement. The expert interviews confirmed this opinion and further extended that if not the EU’s active measurements during the war in August, Georgia could risk </w:t>
      </w:r>
      <w:r w:rsidR="00F56A9C">
        <w:rPr>
          <w:rFonts w:ascii="Times New Roman" w:hAnsi="Times New Roman"/>
          <w:sz w:val="24"/>
          <w:szCs w:val="24"/>
        </w:rPr>
        <w:t>losing</w:t>
      </w:r>
      <w:r w:rsidRPr="0011545E">
        <w:rPr>
          <w:rFonts w:ascii="Times New Roman" w:hAnsi="Times New Roman"/>
          <w:sz w:val="24"/>
          <w:szCs w:val="24"/>
        </w:rPr>
        <w:t xml:space="preserve"> even more territories. </w:t>
      </w:r>
      <w:r w:rsidR="00F56A9C">
        <w:rPr>
          <w:rFonts w:ascii="Times New Roman" w:hAnsi="Times New Roman"/>
          <w:sz w:val="24"/>
          <w:szCs w:val="24"/>
        </w:rPr>
        <w:t xml:space="preserve">Several factors </w:t>
      </w:r>
      <w:r w:rsidRPr="0011545E">
        <w:rPr>
          <w:rFonts w:ascii="Times New Roman" w:hAnsi="Times New Roman"/>
          <w:sz w:val="24"/>
          <w:szCs w:val="24"/>
        </w:rPr>
        <w:t xml:space="preserve">contributed to </w:t>
      </w:r>
      <w:r w:rsidR="00F56A9C">
        <w:rPr>
          <w:rFonts w:ascii="Times New Roman" w:hAnsi="Times New Roman"/>
          <w:sz w:val="24"/>
          <w:szCs w:val="24"/>
        </w:rPr>
        <w:t xml:space="preserve">the </w:t>
      </w:r>
      <w:r w:rsidRPr="0011545E">
        <w:rPr>
          <w:rFonts w:ascii="Times New Roman" w:hAnsi="Times New Roman"/>
          <w:sz w:val="24"/>
          <w:szCs w:val="24"/>
        </w:rPr>
        <w:t>initial success of the EU in c</w:t>
      </w:r>
      <w:r w:rsidR="00F56A9C">
        <w:rPr>
          <w:rFonts w:ascii="Times New Roman" w:hAnsi="Times New Roman"/>
          <w:sz w:val="24"/>
          <w:szCs w:val="24"/>
        </w:rPr>
        <w:t>onflict de-escalation</w:t>
      </w:r>
      <w:r w:rsidRPr="0011545E">
        <w:rPr>
          <w:rFonts w:ascii="Times New Roman" w:hAnsi="Times New Roman"/>
          <w:sz w:val="24"/>
          <w:szCs w:val="24"/>
        </w:rPr>
        <w:t xml:space="preserve"> 1. The Presidency of France in 2008 and Sarkozy’s good relations with Russia enabled the EU to engage with Russia over the security matters and efficiently overcome the institutional formalities; 2. The EU Civcom served as a base for rapid reaction to the conflict in terms of humanitarian, food, and financial assistance in conflict-affected areas. 3. In contrast to the US, Poland, and the Baltic States, France and Germany rejected Georgia’s request for MAP at NATO Bucharest Summit but emerged as leading peacemakers after the war. Nevertheless, the EU’s diplomatic success was overshadowed after several weeks, when Russia recognized the independence of secessionist regions. The internal divergence in the Union is caused by the individual interests and concerns of the member states. As the analysis of the empirical data showed, </w:t>
      </w:r>
      <w:r w:rsidR="00F56A9C">
        <w:rPr>
          <w:rFonts w:ascii="Times New Roman" w:hAnsi="Times New Roman"/>
          <w:sz w:val="24"/>
          <w:szCs w:val="24"/>
        </w:rPr>
        <w:t xml:space="preserve">the old member </w:t>
      </w:r>
      <w:r w:rsidR="00F56A9C">
        <w:rPr>
          <w:rFonts w:ascii="Times New Roman" w:hAnsi="Times New Roman"/>
          <w:sz w:val="24"/>
          <w:szCs w:val="24"/>
        </w:rPr>
        <w:lastRenderedPageBreak/>
        <w:t>states avoid the</w:t>
      </w:r>
      <w:r w:rsidRPr="0011545E">
        <w:rPr>
          <w:rFonts w:ascii="Times New Roman" w:hAnsi="Times New Roman"/>
          <w:sz w:val="24"/>
          <w:szCs w:val="24"/>
        </w:rPr>
        <w:t xml:space="preserve"> confrontation with the Kremlin due to the energy security concerns and fragile political status-quo. New member states follow the narrative of the US and push for more aggressive and direct engagement in competition with Russia. This factor was evident in the EU’s stance on </w:t>
      </w:r>
      <w:r w:rsidR="00F56A9C">
        <w:rPr>
          <w:rFonts w:ascii="Times New Roman" w:hAnsi="Times New Roman"/>
          <w:sz w:val="24"/>
          <w:szCs w:val="24"/>
        </w:rPr>
        <w:t xml:space="preserve">the </w:t>
      </w:r>
      <w:r w:rsidRPr="0011545E">
        <w:rPr>
          <w:rFonts w:ascii="Times New Roman" w:hAnsi="Times New Roman"/>
          <w:sz w:val="24"/>
          <w:szCs w:val="24"/>
        </w:rPr>
        <w:t>territorial clause</w:t>
      </w:r>
      <w:r w:rsidR="00F56A9C">
        <w:rPr>
          <w:rFonts w:ascii="Times New Roman" w:hAnsi="Times New Roman"/>
          <w:sz w:val="24"/>
          <w:szCs w:val="24"/>
        </w:rPr>
        <w:t>s</w:t>
      </w:r>
      <w:r w:rsidRPr="0011545E">
        <w:rPr>
          <w:rFonts w:ascii="Times New Roman" w:hAnsi="Times New Roman"/>
          <w:sz w:val="24"/>
          <w:szCs w:val="24"/>
        </w:rPr>
        <w:t xml:space="preserve"> in the AA and DCFTA documents. Internal division affects not only the EU’s neighborhood policy and mechanisms such as the NREP but also its overall posture as a conflict mediator at the GID and other international platforms. Instead of engagement in political debates and actualization of complex issues, the EU stands as a neutral dialogue facilitator and projects the power and interests of the confronting parties. This fact demonstrates to succeed on</w:t>
      </w:r>
      <w:r w:rsidR="00F56A9C">
        <w:rPr>
          <w:rFonts w:ascii="Times New Roman" w:hAnsi="Times New Roman"/>
          <w:sz w:val="24"/>
          <w:szCs w:val="24"/>
        </w:rPr>
        <w:t xml:space="preserve"> the</w:t>
      </w:r>
      <w:r w:rsidRPr="0011545E">
        <w:rPr>
          <w:rFonts w:ascii="Times New Roman" w:hAnsi="Times New Roman"/>
          <w:sz w:val="24"/>
          <w:szCs w:val="24"/>
        </w:rPr>
        <w:t xml:space="preserve"> external level the EU must attain </w:t>
      </w:r>
      <w:r w:rsidR="00F56A9C">
        <w:rPr>
          <w:rFonts w:ascii="Times New Roman" w:hAnsi="Times New Roman"/>
          <w:sz w:val="24"/>
          <w:szCs w:val="24"/>
        </w:rPr>
        <w:t xml:space="preserve">the </w:t>
      </w:r>
      <w:r w:rsidRPr="0011545E">
        <w:rPr>
          <w:rFonts w:ascii="Times New Roman" w:hAnsi="Times New Roman"/>
          <w:sz w:val="24"/>
          <w:szCs w:val="24"/>
        </w:rPr>
        <w:t>capability to outweigh Russia’s influence on</w:t>
      </w:r>
      <w:r w:rsidR="00F56A9C">
        <w:rPr>
          <w:rFonts w:ascii="Times New Roman" w:hAnsi="Times New Roman"/>
          <w:sz w:val="24"/>
          <w:szCs w:val="24"/>
        </w:rPr>
        <w:t xml:space="preserve"> the</w:t>
      </w:r>
      <w:r w:rsidRPr="0011545E">
        <w:rPr>
          <w:rFonts w:ascii="Times New Roman" w:hAnsi="Times New Roman"/>
          <w:sz w:val="24"/>
          <w:szCs w:val="24"/>
        </w:rPr>
        <w:t xml:space="preserve"> regional scale. To achieve this stance, the Union requires a cohesive strategy in approach towards the Kremlin and to strengthen the legal and political frameworks on issues such as unstable security and recessing economy in the contested regions. </w:t>
      </w:r>
    </w:p>
    <w:p w:rsidR="00DF1A92" w:rsidRPr="00DF1A92" w:rsidRDefault="00DF1A92" w:rsidP="00DF1A92">
      <w:pPr>
        <w:pStyle w:val="NoSpacing"/>
      </w:pPr>
    </w:p>
    <w:p w:rsidR="00050BA9" w:rsidRPr="00867F58" w:rsidRDefault="00050BA9" w:rsidP="0011545E">
      <w:pPr>
        <w:spacing w:line="360" w:lineRule="auto"/>
        <w:jc w:val="both"/>
        <w:rPr>
          <w:rFonts w:ascii="Times New Roman" w:hAnsi="Times New Roman"/>
          <w:i/>
          <w:sz w:val="24"/>
          <w:szCs w:val="24"/>
        </w:rPr>
      </w:pPr>
      <w:r w:rsidRPr="00867F58">
        <w:rPr>
          <w:rFonts w:ascii="Times New Roman" w:hAnsi="Times New Roman"/>
          <w:i/>
          <w:sz w:val="24"/>
          <w:szCs w:val="24"/>
        </w:rPr>
        <w:t>3. Russia’s do</w:t>
      </w:r>
      <w:r w:rsidR="00F56A9C">
        <w:rPr>
          <w:rFonts w:ascii="Times New Roman" w:hAnsi="Times New Roman"/>
          <w:i/>
          <w:sz w:val="24"/>
          <w:szCs w:val="24"/>
        </w:rPr>
        <w:t xml:space="preserve">mination in political, economic, </w:t>
      </w:r>
      <w:r w:rsidRPr="00867F58">
        <w:rPr>
          <w:rFonts w:ascii="Times New Roman" w:hAnsi="Times New Roman"/>
          <w:i/>
          <w:sz w:val="24"/>
          <w:szCs w:val="24"/>
        </w:rPr>
        <w:t>and security sectors in contested regions limits the efficiency of the EU’s socio-economic and political mechanisms and incentives.</w:t>
      </w:r>
    </w:p>
    <w:p w:rsidR="00E204B8" w:rsidRDefault="00E204B8" w:rsidP="0011545E">
      <w:pPr>
        <w:spacing w:line="360" w:lineRule="auto"/>
        <w:jc w:val="both"/>
        <w:rPr>
          <w:rFonts w:ascii="Times New Roman" w:hAnsi="Times New Roman"/>
          <w:sz w:val="24"/>
          <w:szCs w:val="24"/>
        </w:rPr>
      </w:pPr>
    </w:p>
    <w:p w:rsidR="00DF1A92"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 xml:space="preserve">The analysis of the financial reports from the EEAS and the European Commission showed that the EU has been one of the main donors in Georgia and its separatist regions towards the improvement of socio-economic and humanitarian conditions. The ENPI and other financial instruments were critical for </w:t>
      </w:r>
      <w:r w:rsidR="00F56A9C">
        <w:rPr>
          <w:rFonts w:ascii="Times New Roman" w:hAnsi="Times New Roman"/>
          <w:sz w:val="24"/>
          <w:szCs w:val="24"/>
        </w:rPr>
        <w:t xml:space="preserve">the </w:t>
      </w:r>
      <w:r w:rsidRPr="0011545E">
        <w:rPr>
          <w:rFonts w:ascii="Times New Roman" w:hAnsi="Times New Roman"/>
          <w:sz w:val="24"/>
          <w:szCs w:val="24"/>
        </w:rPr>
        <w:t xml:space="preserve">provision of housing and food supplies for tens of thousands of IDPs. Financial mechanisms </w:t>
      </w:r>
      <w:r w:rsidR="00F56A9C">
        <w:rPr>
          <w:rFonts w:ascii="Times New Roman" w:hAnsi="Times New Roman"/>
          <w:sz w:val="24"/>
          <w:szCs w:val="24"/>
        </w:rPr>
        <w:t xml:space="preserve">are </w:t>
      </w:r>
      <w:r w:rsidRPr="0011545E">
        <w:rPr>
          <w:rFonts w:ascii="Times New Roman" w:hAnsi="Times New Roman"/>
          <w:sz w:val="24"/>
          <w:szCs w:val="24"/>
        </w:rPr>
        <w:t>key component</w:t>
      </w:r>
      <w:r w:rsidR="00F56A9C">
        <w:rPr>
          <w:rFonts w:ascii="Times New Roman" w:hAnsi="Times New Roman"/>
          <w:sz w:val="24"/>
          <w:szCs w:val="24"/>
        </w:rPr>
        <w:t>s</w:t>
      </w:r>
      <w:r w:rsidRPr="0011545E">
        <w:rPr>
          <w:rFonts w:ascii="Times New Roman" w:hAnsi="Times New Roman"/>
          <w:sz w:val="24"/>
          <w:szCs w:val="24"/>
        </w:rPr>
        <w:t xml:space="preserve"> of the EU’s external governance and its ‘carrots and sticks’ policy. However, the qualitative content analysis of the expert interviews indicate</w:t>
      </w:r>
      <w:r w:rsidR="00F56A9C">
        <w:rPr>
          <w:rFonts w:ascii="Times New Roman" w:hAnsi="Times New Roman"/>
          <w:sz w:val="24"/>
          <w:szCs w:val="24"/>
        </w:rPr>
        <w:t>s</w:t>
      </w:r>
      <w:r w:rsidRPr="0011545E">
        <w:rPr>
          <w:rFonts w:ascii="Times New Roman" w:hAnsi="Times New Roman"/>
          <w:sz w:val="24"/>
          <w:szCs w:val="24"/>
        </w:rPr>
        <w:t xml:space="preserve"> that residents of the breakaway regions are characterized by low-awareness about the EU’s activities and the objectives of the NREP strategy. Furthermore, the Russian-controlled media and television in breakaway entities actively pushes the anti-Western ideas and portrays the EU defender of Georgian interests and a threat to </w:t>
      </w:r>
      <w:r w:rsidR="00F56A9C">
        <w:rPr>
          <w:rFonts w:ascii="Times New Roman" w:hAnsi="Times New Roman"/>
          <w:sz w:val="24"/>
          <w:szCs w:val="24"/>
        </w:rPr>
        <w:t>domestic</w:t>
      </w:r>
      <w:r w:rsidRPr="0011545E">
        <w:rPr>
          <w:rFonts w:ascii="Times New Roman" w:hAnsi="Times New Roman"/>
          <w:sz w:val="24"/>
          <w:szCs w:val="24"/>
        </w:rPr>
        <w:t xml:space="preserve"> security. Despite the EU’s solid financial contributions towards Georgia and the contested states, the empirical analysis shows that Russia is unrivaled in terms of financial contributions towards the de-facto authorities. The Kremlin is responsible for infrastructural projects</w:t>
      </w:r>
      <w:r w:rsidR="00F56A9C">
        <w:rPr>
          <w:rFonts w:ascii="Times New Roman" w:hAnsi="Times New Roman"/>
          <w:sz w:val="24"/>
          <w:szCs w:val="24"/>
        </w:rPr>
        <w:t xml:space="preserve">, pensions, support of business, </w:t>
      </w:r>
      <w:r w:rsidRPr="0011545E">
        <w:rPr>
          <w:rFonts w:ascii="Times New Roman" w:hAnsi="Times New Roman"/>
          <w:sz w:val="24"/>
          <w:szCs w:val="24"/>
        </w:rPr>
        <w:t xml:space="preserve">and allocation of more than half of the budgetary pool in the contested regions. </w:t>
      </w:r>
      <w:r w:rsidR="00F56A9C">
        <w:rPr>
          <w:rFonts w:ascii="Times New Roman" w:hAnsi="Times New Roman"/>
          <w:sz w:val="24"/>
          <w:szCs w:val="24"/>
        </w:rPr>
        <w:t xml:space="preserve">Because </w:t>
      </w:r>
      <w:r w:rsidRPr="0011545E">
        <w:rPr>
          <w:rFonts w:ascii="Times New Roman" w:hAnsi="Times New Roman"/>
          <w:sz w:val="24"/>
          <w:szCs w:val="24"/>
        </w:rPr>
        <w:t xml:space="preserve">the EU has shown limited engagement in political aspects of the protracted conflicts, being outmaneuvered in financial dimensions makes the Union’s strategy almost obsolete. </w:t>
      </w:r>
    </w:p>
    <w:p w:rsidR="00DF1A92" w:rsidRDefault="00DF1A92" w:rsidP="0011545E">
      <w:pPr>
        <w:spacing w:line="360" w:lineRule="auto"/>
        <w:jc w:val="both"/>
        <w:rPr>
          <w:rFonts w:ascii="Times New Roman" w:hAnsi="Times New Roman"/>
          <w:sz w:val="24"/>
          <w:szCs w:val="24"/>
        </w:rPr>
      </w:pPr>
    </w:p>
    <w:p w:rsidR="00050BA9" w:rsidRPr="0011545E"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lastRenderedPageBreak/>
        <w:t>The Kremlin perceives the common neighborhood with the EU as it’s near abroad, thus, it actively exercises the financial instruments and hard power to counter the EU’s external governance mec</w:t>
      </w:r>
      <w:r w:rsidR="00F56A9C">
        <w:rPr>
          <w:rFonts w:ascii="Times New Roman" w:hAnsi="Times New Roman"/>
          <w:sz w:val="24"/>
          <w:szCs w:val="24"/>
        </w:rPr>
        <w:t xml:space="preserve">hanisms such as the EaP, the AA, </w:t>
      </w:r>
      <w:r w:rsidRPr="0011545E">
        <w:rPr>
          <w:rFonts w:ascii="Times New Roman" w:hAnsi="Times New Roman"/>
          <w:sz w:val="24"/>
          <w:szCs w:val="24"/>
        </w:rPr>
        <w:t xml:space="preserve">and the DCFTA. </w:t>
      </w:r>
      <w:r w:rsidR="00F56A9C">
        <w:rPr>
          <w:rFonts w:ascii="Times New Roman" w:hAnsi="Times New Roman"/>
          <w:sz w:val="24"/>
          <w:szCs w:val="24"/>
        </w:rPr>
        <w:t>The</w:t>
      </w:r>
      <w:r w:rsidRPr="0011545E">
        <w:rPr>
          <w:rFonts w:ascii="Times New Roman" w:hAnsi="Times New Roman"/>
          <w:sz w:val="24"/>
          <w:szCs w:val="24"/>
        </w:rPr>
        <w:t xml:space="preserve"> cur</w:t>
      </w:r>
      <w:r w:rsidR="00434913">
        <w:rPr>
          <w:rFonts w:ascii="Times New Roman" w:hAnsi="Times New Roman"/>
          <w:sz w:val="24"/>
          <w:szCs w:val="24"/>
        </w:rPr>
        <w:t>rent stance, the EU NREP does not</w:t>
      </w:r>
      <w:r w:rsidRPr="0011545E">
        <w:rPr>
          <w:rFonts w:ascii="Times New Roman" w:hAnsi="Times New Roman"/>
          <w:sz w:val="24"/>
          <w:szCs w:val="24"/>
        </w:rPr>
        <w:t xml:space="preserve"> address the Russian factor which means that </w:t>
      </w:r>
      <w:r w:rsidR="00F56A9C">
        <w:rPr>
          <w:rFonts w:ascii="Times New Roman" w:hAnsi="Times New Roman"/>
          <w:sz w:val="24"/>
          <w:szCs w:val="24"/>
        </w:rPr>
        <w:t xml:space="preserve">a </w:t>
      </w:r>
      <w:r w:rsidRPr="0011545E">
        <w:rPr>
          <w:rFonts w:ascii="Times New Roman" w:hAnsi="Times New Roman"/>
          <w:sz w:val="24"/>
          <w:szCs w:val="24"/>
        </w:rPr>
        <w:t xml:space="preserve">big piece of </w:t>
      </w:r>
      <w:r w:rsidR="00F56A9C">
        <w:rPr>
          <w:rFonts w:ascii="Times New Roman" w:hAnsi="Times New Roman"/>
          <w:sz w:val="24"/>
          <w:szCs w:val="24"/>
        </w:rPr>
        <w:t xml:space="preserve">the </w:t>
      </w:r>
      <w:r w:rsidRPr="0011545E">
        <w:rPr>
          <w:rFonts w:ascii="Times New Roman" w:hAnsi="Times New Roman"/>
          <w:sz w:val="24"/>
          <w:szCs w:val="24"/>
        </w:rPr>
        <w:t xml:space="preserve">puzzle in conflict mediation is still missing. </w:t>
      </w:r>
    </w:p>
    <w:p w:rsidR="00E204B8" w:rsidRDefault="00E204B8" w:rsidP="0011545E">
      <w:pPr>
        <w:spacing w:line="360" w:lineRule="auto"/>
        <w:jc w:val="both"/>
        <w:rPr>
          <w:rFonts w:ascii="Times New Roman" w:hAnsi="Times New Roman"/>
          <w:sz w:val="24"/>
          <w:szCs w:val="24"/>
        </w:rPr>
      </w:pPr>
    </w:p>
    <w:p w:rsidR="00050BA9" w:rsidRDefault="00050BA9" w:rsidP="0011545E">
      <w:pPr>
        <w:spacing w:line="360" w:lineRule="auto"/>
        <w:jc w:val="both"/>
        <w:rPr>
          <w:rFonts w:ascii="Times New Roman" w:hAnsi="Times New Roman"/>
          <w:sz w:val="24"/>
          <w:szCs w:val="24"/>
        </w:rPr>
      </w:pPr>
      <w:r w:rsidRPr="0011545E">
        <w:rPr>
          <w:rFonts w:ascii="Times New Roman" w:hAnsi="Times New Roman"/>
          <w:sz w:val="24"/>
          <w:szCs w:val="24"/>
        </w:rPr>
        <w:t>The NREP</w:t>
      </w:r>
      <w:r w:rsidR="00434913">
        <w:rPr>
          <w:rFonts w:ascii="Times New Roman" w:hAnsi="Times New Roman"/>
          <w:sz w:val="24"/>
          <w:szCs w:val="24"/>
        </w:rPr>
        <w:t xml:space="preserve"> strategy in its essence does not</w:t>
      </w:r>
      <w:r w:rsidRPr="0011545E">
        <w:rPr>
          <w:rFonts w:ascii="Times New Roman" w:hAnsi="Times New Roman"/>
          <w:sz w:val="24"/>
          <w:szCs w:val="24"/>
        </w:rPr>
        <w:t xml:space="preserve"> offer sufficient capacity to resolve the secessionist conflicts in Georgia but provides solid ground for engagement with de-facto authorities and facilitate</w:t>
      </w:r>
      <w:r w:rsidR="00F56A9C">
        <w:rPr>
          <w:rFonts w:ascii="Times New Roman" w:hAnsi="Times New Roman"/>
          <w:sz w:val="24"/>
          <w:szCs w:val="24"/>
        </w:rPr>
        <w:t>s</w:t>
      </w:r>
      <w:r w:rsidRPr="0011545E">
        <w:rPr>
          <w:rFonts w:ascii="Times New Roman" w:hAnsi="Times New Roman"/>
          <w:sz w:val="24"/>
          <w:szCs w:val="24"/>
        </w:rPr>
        <w:t xml:space="preserve"> multiparty dialogue. Despite Russia’s economic dominance, the EU’s financial mechanisms are more targeted and address the needs of ordinary people which can further contribute to </w:t>
      </w:r>
      <w:r w:rsidR="00F56A9C">
        <w:rPr>
          <w:rFonts w:ascii="Times New Roman" w:hAnsi="Times New Roman"/>
          <w:sz w:val="24"/>
          <w:szCs w:val="24"/>
        </w:rPr>
        <w:t xml:space="preserve">the </w:t>
      </w:r>
      <w:r w:rsidRPr="0011545E">
        <w:rPr>
          <w:rFonts w:ascii="Times New Roman" w:hAnsi="Times New Roman"/>
          <w:sz w:val="24"/>
          <w:szCs w:val="24"/>
        </w:rPr>
        <w:t>reconciliation process. The Georgian government’s concerns over the</w:t>
      </w:r>
      <w:r w:rsidR="00F56A9C">
        <w:rPr>
          <w:rFonts w:ascii="Times New Roman" w:hAnsi="Times New Roman"/>
          <w:sz w:val="24"/>
          <w:szCs w:val="24"/>
        </w:rPr>
        <w:t xml:space="preserve"> ‘creeping recognition’ remain a s</w:t>
      </w:r>
      <w:r w:rsidRPr="0011545E">
        <w:rPr>
          <w:rFonts w:ascii="Times New Roman" w:hAnsi="Times New Roman"/>
          <w:sz w:val="24"/>
          <w:szCs w:val="24"/>
        </w:rPr>
        <w:t xml:space="preserve">ubstantial issue for the EU, thus, the Union must seek for </w:t>
      </w:r>
      <w:r w:rsidR="00F56A9C">
        <w:rPr>
          <w:rFonts w:ascii="Times New Roman" w:hAnsi="Times New Roman"/>
          <w:sz w:val="24"/>
          <w:szCs w:val="24"/>
        </w:rPr>
        <w:t xml:space="preserve">the </w:t>
      </w:r>
      <w:r w:rsidRPr="0011545E">
        <w:rPr>
          <w:rFonts w:ascii="Times New Roman" w:hAnsi="Times New Roman"/>
          <w:sz w:val="24"/>
          <w:szCs w:val="24"/>
        </w:rPr>
        <w:t>reevaluation of the legal and contextual status of the confronting parties and enhance the compliance of the strategies. The comprehensive analysi</w:t>
      </w:r>
      <w:r w:rsidR="00F56A9C">
        <w:rPr>
          <w:rFonts w:ascii="Times New Roman" w:hAnsi="Times New Roman"/>
          <w:sz w:val="24"/>
          <w:szCs w:val="24"/>
        </w:rPr>
        <w:t xml:space="preserve">s of empirical data and expert </w:t>
      </w:r>
      <w:r w:rsidRPr="0011545E">
        <w:rPr>
          <w:rFonts w:ascii="Times New Roman" w:hAnsi="Times New Roman"/>
          <w:sz w:val="24"/>
          <w:szCs w:val="24"/>
        </w:rPr>
        <w:t>interviews enables the research to assess the impact of the EU’s conflict mediation s</w:t>
      </w:r>
      <w:r w:rsidR="00E204B8">
        <w:rPr>
          <w:rFonts w:ascii="Times New Roman" w:hAnsi="Times New Roman"/>
          <w:sz w:val="24"/>
          <w:szCs w:val="24"/>
        </w:rPr>
        <w:t xml:space="preserve">trategy in accordance with </w:t>
      </w:r>
      <w:r w:rsidR="00F56A9C">
        <w:rPr>
          <w:rFonts w:ascii="Times New Roman" w:hAnsi="Times New Roman"/>
          <w:sz w:val="24"/>
          <w:szCs w:val="24"/>
        </w:rPr>
        <w:t xml:space="preserve">the </w:t>
      </w:r>
      <w:r w:rsidRPr="0011545E">
        <w:rPr>
          <w:rFonts w:ascii="Times New Roman" w:hAnsi="Times New Roman"/>
          <w:sz w:val="24"/>
          <w:szCs w:val="24"/>
        </w:rPr>
        <w:t xml:space="preserve">theoretical framework developed by Begmann&amp;Niemann. </w:t>
      </w:r>
    </w:p>
    <w:p w:rsidR="00FC0392" w:rsidRPr="00FC0392" w:rsidRDefault="00FC0392" w:rsidP="00FC0392">
      <w:pPr>
        <w:pStyle w:val="NoSpacing"/>
      </w:pPr>
    </w:p>
    <w:tbl>
      <w:tblPr>
        <w:tblStyle w:val="GridTable1Light-Accent31"/>
        <w:tblW w:w="9087" w:type="dxa"/>
        <w:tblLook w:val="04A0" w:firstRow="1" w:lastRow="0" w:firstColumn="1" w:lastColumn="0" w:noHBand="0" w:noVBand="1"/>
      </w:tblPr>
      <w:tblGrid>
        <w:gridCol w:w="1018"/>
        <w:gridCol w:w="2681"/>
        <w:gridCol w:w="5388"/>
      </w:tblGrid>
      <w:tr w:rsidR="00050BA9" w:rsidRPr="00AE353D" w:rsidTr="00FC0392">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1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Level</w:t>
            </w:r>
          </w:p>
        </w:tc>
        <w:tc>
          <w:tcPr>
            <w:tcW w:w="2681" w:type="dxa"/>
          </w:tcPr>
          <w:p w:rsidR="00050BA9" w:rsidRPr="00FC0392"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Conflict Dynamics</w:t>
            </w:r>
          </w:p>
        </w:tc>
        <w:tc>
          <w:tcPr>
            <w:tcW w:w="5388" w:type="dxa"/>
          </w:tcPr>
          <w:p w:rsidR="00050BA9" w:rsidRPr="00FC0392"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Description of Behavioral Change of Confronting Parties</w:t>
            </w:r>
          </w:p>
        </w:tc>
      </w:tr>
      <w:tr w:rsidR="00050BA9" w:rsidRPr="00AE353D" w:rsidTr="00FC0392">
        <w:trPr>
          <w:trHeight w:val="545"/>
        </w:trPr>
        <w:tc>
          <w:tcPr>
            <w:cnfStyle w:val="001000000000" w:firstRow="0" w:lastRow="0" w:firstColumn="1" w:lastColumn="0" w:oddVBand="0" w:evenVBand="0" w:oddHBand="0" w:evenHBand="0" w:firstRowFirstColumn="0" w:firstRowLastColumn="0" w:lastRowFirstColumn="0" w:lastRowLastColumn="0"/>
            <w:tcW w:w="101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5</w:t>
            </w:r>
          </w:p>
        </w:tc>
        <w:tc>
          <w:tcPr>
            <w:tcW w:w="2681"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Full Settlement</w:t>
            </w:r>
          </w:p>
        </w:tc>
        <w:tc>
          <w:tcPr>
            <w:tcW w:w="5388"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Final settlement of all issues and causes of the conflict</w:t>
            </w:r>
          </w:p>
        </w:tc>
      </w:tr>
      <w:tr w:rsidR="00050BA9" w:rsidRPr="00AE353D" w:rsidTr="00FC0392">
        <w:trPr>
          <w:trHeight w:val="545"/>
        </w:trPr>
        <w:tc>
          <w:tcPr>
            <w:cnfStyle w:val="001000000000" w:firstRow="0" w:lastRow="0" w:firstColumn="1" w:lastColumn="0" w:oddVBand="0" w:evenVBand="0" w:oddHBand="0" w:evenHBand="0" w:firstRowFirstColumn="0" w:firstRowLastColumn="0" w:lastRowFirstColumn="0" w:lastRowLastColumn="0"/>
            <w:tcW w:w="101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4</w:t>
            </w:r>
          </w:p>
        </w:tc>
        <w:tc>
          <w:tcPr>
            <w:tcW w:w="2681"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Settlement of Major Issues</w:t>
            </w:r>
          </w:p>
        </w:tc>
        <w:tc>
          <w:tcPr>
            <w:tcW w:w="5388"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Partial settlement of the major issues of the conflict</w:t>
            </w:r>
          </w:p>
        </w:tc>
      </w:tr>
      <w:tr w:rsidR="00050BA9" w:rsidRPr="00AE353D" w:rsidTr="00FC0392">
        <w:trPr>
          <w:trHeight w:val="545"/>
        </w:trPr>
        <w:tc>
          <w:tcPr>
            <w:cnfStyle w:val="001000000000" w:firstRow="0" w:lastRow="0" w:firstColumn="1" w:lastColumn="0" w:oddVBand="0" w:evenVBand="0" w:oddHBand="0" w:evenHBand="0" w:firstRowFirstColumn="0" w:firstRowLastColumn="0" w:lastRowFirstColumn="0" w:lastRowLastColumn="0"/>
            <w:tcW w:w="101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3</w:t>
            </w:r>
          </w:p>
        </w:tc>
        <w:tc>
          <w:tcPr>
            <w:tcW w:w="2681"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Settlement of Minor Issues</w:t>
            </w:r>
          </w:p>
        </w:tc>
        <w:tc>
          <w:tcPr>
            <w:tcW w:w="5388"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Partial settlement of the minor issues of the conflict</w:t>
            </w:r>
          </w:p>
        </w:tc>
      </w:tr>
      <w:tr w:rsidR="00050BA9" w:rsidRPr="00AE353D" w:rsidTr="00FC0392">
        <w:trPr>
          <w:trHeight w:val="1091"/>
        </w:trPr>
        <w:tc>
          <w:tcPr>
            <w:cnfStyle w:val="001000000000" w:firstRow="0" w:lastRow="0" w:firstColumn="1" w:lastColumn="0" w:oddVBand="0" w:evenVBand="0" w:oddHBand="0" w:evenHBand="0" w:firstRowFirstColumn="0" w:firstRowLastColumn="0" w:lastRowFirstColumn="0" w:lastRowLastColumn="0"/>
            <w:tcW w:w="101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2</w:t>
            </w:r>
          </w:p>
        </w:tc>
        <w:tc>
          <w:tcPr>
            <w:tcW w:w="2681"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Process Agreement</w:t>
            </w:r>
          </w:p>
        </w:tc>
        <w:tc>
          <w:tcPr>
            <w:tcW w:w="5388" w:type="dxa"/>
          </w:tcPr>
          <w:p w:rsidR="00050BA9" w:rsidRPr="00FC0392" w:rsidRDefault="00050BA9" w:rsidP="006A40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 xml:space="preserve">No agreement on </w:t>
            </w:r>
            <w:r w:rsidR="00E204B8">
              <w:rPr>
                <w:rFonts w:ascii="Times New Roman" w:hAnsi="Times New Roman"/>
                <w:sz w:val="24"/>
                <w:szCs w:val="24"/>
              </w:rPr>
              <w:t xml:space="preserve">the </w:t>
            </w:r>
            <w:r w:rsidRPr="00FC0392">
              <w:rPr>
                <w:rFonts w:ascii="Times New Roman" w:hAnsi="Times New Roman"/>
                <w:sz w:val="24"/>
                <w:szCs w:val="24"/>
              </w:rPr>
              <w:t>dispute, consensual readiness to further the negotiation process</w:t>
            </w:r>
          </w:p>
        </w:tc>
      </w:tr>
      <w:tr w:rsidR="00050BA9" w:rsidRPr="00AE353D" w:rsidTr="00FC0392">
        <w:trPr>
          <w:trHeight w:val="1091"/>
        </w:trPr>
        <w:tc>
          <w:tcPr>
            <w:cnfStyle w:val="001000000000" w:firstRow="0" w:lastRow="0" w:firstColumn="1" w:lastColumn="0" w:oddVBand="0" w:evenVBand="0" w:oddHBand="0" w:evenHBand="0" w:firstRowFirstColumn="0" w:firstRowLastColumn="0" w:lastRowFirstColumn="0" w:lastRowLastColumn="0"/>
            <w:tcW w:w="101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1</w:t>
            </w:r>
          </w:p>
        </w:tc>
        <w:tc>
          <w:tcPr>
            <w:tcW w:w="2681"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Ceasefire Agreement</w:t>
            </w:r>
          </w:p>
        </w:tc>
        <w:tc>
          <w:tcPr>
            <w:tcW w:w="5388" w:type="dxa"/>
          </w:tcPr>
          <w:p w:rsidR="00050BA9" w:rsidRPr="00FC0392" w:rsidRDefault="00050BA9" w:rsidP="006A40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Agreement to stop the military action, consensual readiness to seek peaceful means of conflict resolution</w:t>
            </w:r>
          </w:p>
        </w:tc>
      </w:tr>
      <w:tr w:rsidR="00050BA9" w:rsidRPr="00AE353D" w:rsidTr="00FC0392">
        <w:trPr>
          <w:trHeight w:val="567"/>
        </w:trPr>
        <w:tc>
          <w:tcPr>
            <w:cnfStyle w:val="001000000000" w:firstRow="0" w:lastRow="0" w:firstColumn="1" w:lastColumn="0" w:oddVBand="0" w:evenVBand="0" w:oddHBand="0" w:evenHBand="0" w:firstRowFirstColumn="0" w:firstRowLastColumn="0" w:lastRowFirstColumn="0" w:lastRowLastColumn="0"/>
            <w:tcW w:w="101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0</w:t>
            </w:r>
          </w:p>
        </w:tc>
        <w:tc>
          <w:tcPr>
            <w:tcW w:w="2681"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No Agreement</w:t>
            </w:r>
          </w:p>
        </w:tc>
        <w:tc>
          <w:tcPr>
            <w:tcW w:w="5388" w:type="dxa"/>
          </w:tcPr>
          <w:p w:rsidR="00050BA9" w:rsidRPr="00FC0392" w:rsidRDefault="00434913"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Mediation does not</w:t>
            </w:r>
            <w:r w:rsidR="00050BA9" w:rsidRPr="00FC0392">
              <w:rPr>
                <w:rFonts w:ascii="Times New Roman" w:hAnsi="Times New Roman"/>
                <w:sz w:val="24"/>
                <w:szCs w:val="24"/>
              </w:rPr>
              <w:t xml:space="preserve"> result in any agreement</w:t>
            </w:r>
          </w:p>
        </w:tc>
      </w:tr>
    </w:tbl>
    <w:p w:rsidR="00050BA9" w:rsidRDefault="00050BA9" w:rsidP="00050BA9">
      <w:pPr>
        <w:rPr>
          <w:rFonts w:ascii="Times New Roman" w:hAnsi="Times New Roman"/>
          <w:sz w:val="24"/>
          <w:szCs w:val="24"/>
        </w:rPr>
      </w:pPr>
    </w:p>
    <w:p w:rsidR="00584A0C" w:rsidRPr="00FC0392" w:rsidRDefault="00050BA9" w:rsidP="00FC0392">
      <w:pPr>
        <w:spacing w:line="360" w:lineRule="auto"/>
        <w:jc w:val="both"/>
        <w:rPr>
          <w:rFonts w:ascii="Times New Roman" w:hAnsi="Times New Roman"/>
          <w:sz w:val="24"/>
          <w:szCs w:val="24"/>
        </w:rPr>
      </w:pPr>
      <w:r>
        <w:rPr>
          <w:rFonts w:ascii="Times New Roman" w:hAnsi="Times New Roman"/>
          <w:sz w:val="24"/>
          <w:szCs w:val="24"/>
        </w:rPr>
        <w:lastRenderedPageBreak/>
        <w:t>The EU’s conflict mediation strategy correspond</w:t>
      </w:r>
      <w:r w:rsidR="00F56A9C">
        <w:rPr>
          <w:rFonts w:ascii="Times New Roman" w:hAnsi="Times New Roman"/>
          <w:sz w:val="24"/>
          <w:szCs w:val="24"/>
        </w:rPr>
        <w:t>s</w:t>
      </w:r>
      <w:r>
        <w:rPr>
          <w:rFonts w:ascii="Times New Roman" w:hAnsi="Times New Roman"/>
          <w:sz w:val="24"/>
          <w:szCs w:val="24"/>
        </w:rPr>
        <w:t xml:space="preserve"> to four phases of </w:t>
      </w:r>
      <w:r w:rsidR="00F56A9C">
        <w:rPr>
          <w:rFonts w:ascii="Times New Roman" w:hAnsi="Times New Roman"/>
          <w:sz w:val="24"/>
          <w:szCs w:val="24"/>
        </w:rPr>
        <w:t xml:space="preserve">the </w:t>
      </w:r>
      <w:r>
        <w:rPr>
          <w:rFonts w:ascii="Times New Roman" w:hAnsi="Times New Roman"/>
          <w:sz w:val="24"/>
          <w:szCs w:val="24"/>
        </w:rPr>
        <w:t xml:space="preserve">conflict resolution process. The immediate response of the EU during the war in 2008 and initial diplomatic success which was followed by the establishment of the GID can </w:t>
      </w:r>
      <w:r w:rsidR="00F56A9C">
        <w:rPr>
          <w:rFonts w:ascii="Times New Roman" w:hAnsi="Times New Roman"/>
          <w:sz w:val="24"/>
          <w:szCs w:val="24"/>
        </w:rPr>
        <w:t>be interpreted as the EU’s high-</w:t>
      </w:r>
      <w:r>
        <w:rPr>
          <w:rFonts w:ascii="Times New Roman" w:hAnsi="Times New Roman"/>
          <w:sz w:val="24"/>
          <w:szCs w:val="24"/>
        </w:rPr>
        <w:t xml:space="preserve">level engagement in </w:t>
      </w:r>
      <w:r w:rsidR="00F56A9C">
        <w:rPr>
          <w:rFonts w:ascii="Times New Roman" w:hAnsi="Times New Roman"/>
          <w:sz w:val="24"/>
          <w:szCs w:val="24"/>
        </w:rPr>
        <w:t xml:space="preserve">the </w:t>
      </w:r>
      <w:r>
        <w:rPr>
          <w:rFonts w:ascii="Times New Roman" w:hAnsi="Times New Roman"/>
          <w:sz w:val="24"/>
          <w:szCs w:val="24"/>
        </w:rPr>
        <w:t xml:space="preserve">conflict mediation process. The EU’s financial incentives and facilitation of the dialogue through the GID in </w:t>
      </w:r>
      <w:r w:rsidR="00F56A9C">
        <w:rPr>
          <w:rFonts w:ascii="Times New Roman" w:hAnsi="Times New Roman"/>
          <w:sz w:val="24"/>
          <w:szCs w:val="24"/>
        </w:rPr>
        <w:t>the face of various challenges</w:t>
      </w:r>
      <w:r>
        <w:rPr>
          <w:rFonts w:ascii="Times New Roman" w:hAnsi="Times New Roman"/>
          <w:sz w:val="24"/>
          <w:szCs w:val="24"/>
        </w:rPr>
        <w:t xml:space="preserve"> can be attributed as a medium level efficiency in </w:t>
      </w:r>
      <w:r w:rsidR="00F56A9C">
        <w:rPr>
          <w:rFonts w:ascii="Times New Roman" w:hAnsi="Times New Roman"/>
          <w:sz w:val="24"/>
          <w:szCs w:val="24"/>
        </w:rPr>
        <w:t xml:space="preserve">the </w:t>
      </w:r>
      <w:r>
        <w:rPr>
          <w:rFonts w:ascii="Times New Roman" w:hAnsi="Times New Roman"/>
          <w:sz w:val="24"/>
          <w:szCs w:val="24"/>
        </w:rPr>
        <w:t xml:space="preserve">conflict transformation process. Considering that the EU NREP strategy </w:t>
      </w:r>
      <w:r w:rsidR="00F56A9C">
        <w:rPr>
          <w:rFonts w:ascii="Times New Roman" w:hAnsi="Times New Roman"/>
          <w:sz w:val="24"/>
          <w:szCs w:val="24"/>
        </w:rPr>
        <w:t xml:space="preserve">has achieved some of its objectives but generally </w:t>
      </w:r>
      <w:r>
        <w:rPr>
          <w:rFonts w:ascii="Times New Roman" w:hAnsi="Times New Roman"/>
          <w:sz w:val="24"/>
          <w:szCs w:val="24"/>
        </w:rPr>
        <w:t>refrain to address the political context of the conflict, struggles to achieve the desired depth of internalization in Georgian a</w:t>
      </w:r>
      <w:r w:rsidR="00434913">
        <w:rPr>
          <w:rFonts w:ascii="Times New Roman" w:hAnsi="Times New Roman"/>
          <w:sz w:val="24"/>
          <w:szCs w:val="24"/>
        </w:rPr>
        <w:t>nd contested regions and does not</w:t>
      </w:r>
      <w:r>
        <w:rPr>
          <w:rFonts w:ascii="Times New Roman" w:hAnsi="Times New Roman"/>
          <w:sz w:val="24"/>
          <w:szCs w:val="24"/>
        </w:rPr>
        <w:t xml:space="preserve"> correspond to acute demands of the confronting parties, the EU’s conflict management capacity shall be assessed at</w:t>
      </w:r>
      <w:r w:rsidR="00F56A9C">
        <w:rPr>
          <w:rFonts w:ascii="Times New Roman" w:hAnsi="Times New Roman"/>
          <w:sz w:val="24"/>
          <w:szCs w:val="24"/>
        </w:rPr>
        <w:t xml:space="preserve"> a medium </w:t>
      </w:r>
      <w:r>
        <w:rPr>
          <w:rFonts w:ascii="Times New Roman" w:hAnsi="Times New Roman"/>
          <w:sz w:val="24"/>
          <w:szCs w:val="24"/>
        </w:rPr>
        <w:t xml:space="preserve">level. In light of ‘creeping borderization’, threats of </w:t>
      </w:r>
      <w:r w:rsidR="00F56A9C">
        <w:rPr>
          <w:rFonts w:ascii="Times New Roman" w:hAnsi="Times New Roman"/>
          <w:sz w:val="24"/>
          <w:szCs w:val="24"/>
        </w:rPr>
        <w:t xml:space="preserve">the </w:t>
      </w:r>
      <w:r>
        <w:rPr>
          <w:rFonts w:ascii="Times New Roman" w:hAnsi="Times New Roman"/>
          <w:sz w:val="24"/>
          <w:szCs w:val="24"/>
        </w:rPr>
        <w:t xml:space="preserve">re-escalation of the armed hostilities, unilateral operation of the EUMM on Georgian borders, severe human rights </w:t>
      </w:r>
      <w:r w:rsidR="00F56A9C">
        <w:rPr>
          <w:rFonts w:ascii="Times New Roman" w:hAnsi="Times New Roman"/>
          <w:sz w:val="24"/>
          <w:szCs w:val="24"/>
        </w:rPr>
        <w:t xml:space="preserve">situation in breakaway entities, </w:t>
      </w:r>
      <w:r>
        <w:rPr>
          <w:rFonts w:ascii="Times New Roman" w:hAnsi="Times New Roman"/>
          <w:sz w:val="24"/>
          <w:szCs w:val="24"/>
        </w:rPr>
        <w:t>and growing influence of Russia on de-facto authorities, the EU’s conflict settlement capacity sha</w:t>
      </w:r>
      <w:r w:rsidR="00FC0392">
        <w:rPr>
          <w:rFonts w:ascii="Times New Roman" w:hAnsi="Times New Roman"/>
          <w:sz w:val="24"/>
          <w:szCs w:val="24"/>
        </w:rPr>
        <w:t>ll be assessed as a low level.</w:t>
      </w:r>
    </w:p>
    <w:p w:rsidR="00584A0C" w:rsidRPr="00584A0C" w:rsidRDefault="00584A0C" w:rsidP="00584A0C">
      <w:pPr>
        <w:pStyle w:val="NoSpacing"/>
      </w:pPr>
    </w:p>
    <w:p w:rsidR="00F56A9C" w:rsidRPr="00F56A9C" w:rsidRDefault="00F56A9C" w:rsidP="00F56A9C">
      <w:pPr>
        <w:pStyle w:val="NoSpacing"/>
      </w:pPr>
    </w:p>
    <w:tbl>
      <w:tblPr>
        <w:tblStyle w:val="GridTable1Light-Accent31"/>
        <w:tblW w:w="0" w:type="auto"/>
        <w:tblLook w:val="04A0" w:firstRow="1" w:lastRow="0" w:firstColumn="1" w:lastColumn="0" w:noHBand="0" w:noVBand="1"/>
      </w:tblPr>
      <w:tblGrid>
        <w:gridCol w:w="2773"/>
        <w:gridCol w:w="1991"/>
        <w:gridCol w:w="2208"/>
        <w:gridCol w:w="2270"/>
      </w:tblGrid>
      <w:tr w:rsidR="00050BA9" w:rsidRPr="00FC0392" w:rsidTr="0086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050BA9" w:rsidRPr="00FC0392" w:rsidRDefault="00050BA9" w:rsidP="006A4009">
            <w:pPr>
              <w:spacing w:line="360" w:lineRule="auto"/>
              <w:jc w:val="both"/>
              <w:rPr>
                <w:rFonts w:ascii="Times New Roman" w:hAnsi="Times New Roman"/>
                <w:b w:val="0"/>
                <w:sz w:val="24"/>
                <w:szCs w:val="24"/>
              </w:rPr>
            </w:pPr>
            <w:r w:rsidRPr="00FC0392">
              <w:rPr>
                <w:rFonts w:ascii="Times New Roman" w:hAnsi="Times New Roman"/>
                <w:b w:val="0"/>
                <w:sz w:val="24"/>
                <w:szCs w:val="24"/>
              </w:rPr>
              <w:t>EU NREP Component</w:t>
            </w:r>
          </w:p>
        </w:tc>
        <w:tc>
          <w:tcPr>
            <w:tcW w:w="2160" w:type="dxa"/>
          </w:tcPr>
          <w:p w:rsidR="00050BA9" w:rsidRPr="00FC0392"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C0392">
              <w:rPr>
                <w:rFonts w:ascii="Times New Roman" w:hAnsi="Times New Roman"/>
                <w:b w:val="0"/>
                <w:sz w:val="24"/>
                <w:szCs w:val="24"/>
              </w:rPr>
              <w:t xml:space="preserve">High Level </w:t>
            </w:r>
          </w:p>
        </w:tc>
        <w:tc>
          <w:tcPr>
            <w:tcW w:w="2370" w:type="dxa"/>
          </w:tcPr>
          <w:p w:rsidR="00050BA9" w:rsidRPr="00FC0392"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C0392">
              <w:rPr>
                <w:rFonts w:ascii="Times New Roman" w:hAnsi="Times New Roman"/>
                <w:b w:val="0"/>
                <w:sz w:val="24"/>
                <w:szCs w:val="24"/>
              </w:rPr>
              <w:t>Medium Level</w:t>
            </w:r>
          </w:p>
        </w:tc>
        <w:tc>
          <w:tcPr>
            <w:tcW w:w="2477" w:type="dxa"/>
          </w:tcPr>
          <w:p w:rsidR="00050BA9" w:rsidRPr="00FC0392" w:rsidRDefault="00050BA9" w:rsidP="006A400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C0392">
              <w:rPr>
                <w:rFonts w:ascii="Times New Roman" w:hAnsi="Times New Roman"/>
                <w:b w:val="0"/>
                <w:sz w:val="24"/>
                <w:szCs w:val="24"/>
              </w:rPr>
              <w:t>Low Level</w:t>
            </w:r>
          </w:p>
        </w:tc>
      </w:tr>
      <w:tr w:rsidR="00050BA9" w:rsidRPr="00FC0392" w:rsidTr="00867F58">
        <w:tc>
          <w:tcPr>
            <w:cnfStyle w:val="001000000000" w:firstRow="0" w:lastRow="0" w:firstColumn="1" w:lastColumn="0" w:oddVBand="0" w:evenVBand="0" w:oddHBand="0" w:evenHBand="0" w:firstRowFirstColumn="0" w:firstRowLastColumn="0" w:lastRowFirstColumn="0" w:lastRowLastColumn="0"/>
            <w:tcW w:w="289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Conflict Mediation</w:t>
            </w:r>
          </w:p>
        </w:tc>
        <w:tc>
          <w:tcPr>
            <w:tcW w:w="2160"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X</w:t>
            </w:r>
          </w:p>
        </w:tc>
        <w:tc>
          <w:tcPr>
            <w:tcW w:w="2370"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477"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BA9" w:rsidRPr="00FC0392" w:rsidTr="00867F58">
        <w:trPr>
          <w:trHeight w:val="405"/>
        </w:trPr>
        <w:tc>
          <w:tcPr>
            <w:cnfStyle w:val="001000000000" w:firstRow="0" w:lastRow="0" w:firstColumn="1" w:lastColumn="0" w:oddVBand="0" w:evenVBand="0" w:oddHBand="0" w:evenHBand="0" w:firstRowFirstColumn="0" w:firstRowLastColumn="0" w:lastRowFirstColumn="0" w:lastRowLastColumn="0"/>
            <w:tcW w:w="289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Conflict Transformation</w:t>
            </w:r>
          </w:p>
        </w:tc>
        <w:tc>
          <w:tcPr>
            <w:tcW w:w="2160"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370" w:type="dxa"/>
          </w:tcPr>
          <w:p w:rsidR="00050BA9" w:rsidRPr="00FC0392" w:rsidRDefault="00584A0C"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X</w:t>
            </w:r>
          </w:p>
        </w:tc>
        <w:tc>
          <w:tcPr>
            <w:tcW w:w="2477"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BA9" w:rsidRPr="00FC0392" w:rsidTr="00867F58">
        <w:trPr>
          <w:trHeight w:val="383"/>
        </w:trPr>
        <w:tc>
          <w:tcPr>
            <w:cnfStyle w:val="001000000000" w:firstRow="0" w:lastRow="0" w:firstColumn="1" w:lastColumn="0" w:oddVBand="0" w:evenVBand="0" w:oddHBand="0" w:evenHBand="0" w:firstRowFirstColumn="0" w:firstRowLastColumn="0" w:lastRowFirstColumn="0" w:lastRowLastColumn="0"/>
            <w:tcW w:w="289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Conflict Management</w:t>
            </w:r>
          </w:p>
        </w:tc>
        <w:tc>
          <w:tcPr>
            <w:tcW w:w="2160"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370" w:type="dxa"/>
          </w:tcPr>
          <w:p w:rsidR="00050BA9" w:rsidRPr="00FC0392" w:rsidRDefault="00F56A9C"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X</w:t>
            </w:r>
          </w:p>
        </w:tc>
        <w:tc>
          <w:tcPr>
            <w:tcW w:w="2477"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50BA9" w:rsidRPr="00FC0392" w:rsidTr="00867F58">
        <w:trPr>
          <w:trHeight w:val="525"/>
        </w:trPr>
        <w:tc>
          <w:tcPr>
            <w:cnfStyle w:val="001000000000" w:firstRow="0" w:lastRow="0" w:firstColumn="1" w:lastColumn="0" w:oddVBand="0" w:evenVBand="0" w:oddHBand="0" w:evenHBand="0" w:firstRowFirstColumn="0" w:firstRowLastColumn="0" w:lastRowFirstColumn="0" w:lastRowLastColumn="0"/>
            <w:tcW w:w="2898" w:type="dxa"/>
          </w:tcPr>
          <w:p w:rsidR="00050BA9" w:rsidRPr="00FC0392" w:rsidRDefault="00050BA9" w:rsidP="006A4009">
            <w:pPr>
              <w:spacing w:line="360" w:lineRule="auto"/>
              <w:jc w:val="both"/>
              <w:rPr>
                <w:rFonts w:ascii="Times New Roman" w:hAnsi="Times New Roman"/>
                <w:sz w:val="24"/>
                <w:szCs w:val="24"/>
              </w:rPr>
            </w:pPr>
            <w:r w:rsidRPr="00FC0392">
              <w:rPr>
                <w:rFonts w:ascii="Times New Roman" w:hAnsi="Times New Roman"/>
                <w:sz w:val="24"/>
                <w:szCs w:val="24"/>
              </w:rPr>
              <w:t>Conflict Settlement</w:t>
            </w:r>
          </w:p>
        </w:tc>
        <w:tc>
          <w:tcPr>
            <w:tcW w:w="2160"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370"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477" w:type="dxa"/>
          </w:tcPr>
          <w:p w:rsidR="00050BA9" w:rsidRPr="00FC0392" w:rsidRDefault="00050BA9" w:rsidP="006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C0392">
              <w:rPr>
                <w:rFonts w:ascii="Times New Roman" w:hAnsi="Times New Roman"/>
                <w:sz w:val="24"/>
                <w:szCs w:val="24"/>
              </w:rPr>
              <w:t>X</w:t>
            </w:r>
          </w:p>
        </w:tc>
      </w:tr>
    </w:tbl>
    <w:p w:rsidR="00050BA9" w:rsidRPr="00584A0C" w:rsidRDefault="00050BA9" w:rsidP="00050BA9">
      <w:pPr>
        <w:rPr>
          <w:rFonts w:ascii="Times New Roman" w:hAnsi="Times New Roman"/>
        </w:rPr>
      </w:pPr>
    </w:p>
    <w:p w:rsidR="00050BA9" w:rsidRDefault="00050BA9" w:rsidP="0011545E">
      <w:pPr>
        <w:spacing w:line="360" w:lineRule="auto"/>
        <w:jc w:val="both"/>
        <w:rPr>
          <w:rFonts w:ascii="Times New Roman" w:hAnsi="Times New Roman"/>
          <w:sz w:val="24"/>
          <w:szCs w:val="24"/>
        </w:rPr>
      </w:pPr>
      <w:r>
        <w:rPr>
          <w:rFonts w:ascii="Times New Roman" w:hAnsi="Times New Roman"/>
          <w:sz w:val="24"/>
          <w:szCs w:val="24"/>
        </w:rPr>
        <w:t xml:space="preserve">The political elites in Brussels and Tbilisi agree that in current terms, </w:t>
      </w:r>
      <w:r w:rsidR="00F56A9C">
        <w:rPr>
          <w:rFonts w:ascii="Times New Roman" w:hAnsi="Times New Roman"/>
          <w:sz w:val="24"/>
          <w:szCs w:val="24"/>
        </w:rPr>
        <w:t xml:space="preserve">the </w:t>
      </w:r>
      <w:r>
        <w:rPr>
          <w:rFonts w:ascii="Times New Roman" w:hAnsi="Times New Roman"/>
          <w:sz w:val="24"/>
          <w:szCs w:val="24"/>
        </w:rPr>
        <w:t>partnership has no alternative and despite shortcoming</w:t>
      </w:r>
      <w:r w:rsidR="00F56A9C">
        <w:rPr>
          <w:rFonts w:ascii="Times New Roman" w:hAnsi="Times New Roman"/>
          <w:sz w:val="24"/>
          <w:szCs w:val="24"/>
        </w:rPr>
        <w:t>,</w:t>
      </w:r>
      <w:r>
        <w:rPr>
          <w:rFonts w:ascii="Times New Roman" w:hAnsi="Times New Roman"/>
          <w:sz w:val="24"/>
          <w:szCs w:val="24"/>
        </w:rPr>
        <w:t xml:space="preserve"> the NREP strategy ensures the international recognition of Georgia’s territorial integrity, as well as limitation of aspirations of con</w:t>
      </w:r>
      <w:r w:rsidR="00F56A9C">
        <w:rPr>
          <w:rFonts w:ascii="Times New Roman" w:hAnsi="Times New Roman"/>
          <w:sz w:val="24"/>
          <w:szCs w:val="24"/>
        </w:rPr>
        <w:t>tested regions. The ongoing geo</w:t>
      </w:r>
      <w:r>
        <w:rPr>
          <w:rFonts w:ascii="Times New Roman" w:hAnsi="Times New Roman"/>
          <w:sz w:val="24"/>
          <w:szCs w:val="24"/>
        </w:rPr>
        <w:t xml:space="preserve">political trends in the region imply on </w:t>
      </w:r>
      <w:r w:rsidR="00F56A9C">
        <w:rPr>
          <w:rFonts w:ascii="Times New Roman" w:hAnsi="Times New Roman"/>
          <w:sz w:val="24"/>
          <w:szCs w:val="24"/>
        </w:rPr>
        <w:t xml:space="preserve">the </w:t>
      </w:r>
      <w:r>
        <w:rPr>
          <w:rFonts w:ascii="Times New Roman" w:hAnsi="Times New Roman"/>
          <w:sz w:val="24"/>
          <w:szCs w:val="24"/>
        </w:rPr>
        <w:t xml:space="preserve">difficulty to expect significant changes in foreseeable future, however, once the de-facto authorities show more interest in deeper engagement with Georgia through the DCFTA and AA opportunities, the EU will be more flexible to exercise the NREP to higher extent which might eventually lead to progress in conflict transformation and full settlement. </w:t>
      </w:r>
    </w:p>
    <w:p w:rsidR="00DF4494" w:rsidRDefault="00DF4494" w:rsidP="00DF4494">
      <w:pPr>
        <w:pStyle w:val="NoSpacing"/>
      </w:pPr>
    </w:p>
    <w:p w:rsidR="00DF4494" w:rsidRDefault="00DF4494" w:rsidP="00DF4494">
      <w:pPr>
        <w:pStyle w:val="NoSpacing"/>
      </w:pPr>
    </w:p>
    <w:p w:rsidR="00DF4494" w:rsidRDefault="00DF4494" w:rsidP="00DF4494">
      <w:pPr>
        <w:pStyle w:val="NoSpacing"/>
      </w:pPr>
    </w:p>
    <w:p w:rsidR="00DF4494" w:rsidRDefault="00DF4494" w:rsidP="00DF4494">
      <w:pPr>
        <w:pStyle w:val="NoSpacing"/>
      </w:pPr>
    </w:p>
    <w:p w:rsidR="00DF4494" w:rsidRPr="00DF4494" w:rsidRDefault="00DF4494" w:rsidP="00DF4494">
      <w:pPr>
        <w:pStyle w:val="NoSpacing"/>
      </w:pPr>
      <w:bookmarkStart w:id="34" w:name="_GoBack"/>
      <w:bookmarkEnd w:id="34"/>
    </w:p>
    <w:p w:rsidR="00DF1A92" w:rsidRPr="00F56A9C" w:rsidRDefault="00DF1A92" w:rsidP="00F56A9C">
      <w:pPr>
        <w:pStyle w:val="NoSpacing"/>
      </w:pPr>
    </w:p>
    <w:p w:rsidR="00017A6D" w:rsidRPr="00FC0392" w:rsidRDefault="00017A6D" w:rsidP="005C2D0A">
      <w:pPr>
        <w:pStyle w:val="Heading2"/>
        <w:rPr>
          <w:color w:val="auto"/>
          <w:sz w:val="32"/>
          <w:szCs w:val="32"/>
        </w:rPr>
      </w:pPr>
      <w:bookmarkStart w:id="35" w:name="_Toc46952628"/>
      <w:r w:rsidRPr="00FC0392">
        <w:rPr>
          <w:color w:val="auto"/>
          <w:sz w:val="32"/>
          <w:szCs w:val="32"/>
        </w:rPr>
        <w:lastRenderedPageBreak/>
        <w:t>Bibliography</w:t>
      </w:r>
      <w:bookmarkEnd w:id="35"/>
    </w:p>
    <w:p w:rsidR="00017A6D" w:rsidRDefault="00017A6D" w:rsidP="005C2D0A">
      <w:pPr>
        <w:pStyle w:val="Heading2"/>
        <w:rPr>
          <w:sz w:val="24"/>
          <w:szCs w:val="24"/>
        </w:rPr>
      </w:pPr>
    </w:p>
    <w:p w:rsidR="00017A6D" w:rsidRDefault="003C7311" w:rsidP="00017A6D">
      <w:pPr>
        <w:rPr>
          <w:rFonts w:ascii="Times New Roman" w:hAnsi="Times New Roman"/>
          <w:b/>
          <w:sz w:val="24"/>
          <w:szCs w:val="24"/>
        </w:rPr>
      </w:pPr>
      <w:r>
        <w:rPr>
          <w:rFonts w:ascii="Times New Roman" w:hAnsi="Times New Roman"/>
          <w:b/>
          <w:sz w:val="24"/>
          <w:szCs w:val="24"/>
        </w:rPr>
        <w:t>Primary Sources</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Council of the European Union. “European Security Strategy: A Secure Europe Better World.” European Communities, January 2009. </w:t>
      </w:r>
      <w:r w:rsidR="003C7311">
        <w:rPr>
          <w:rFonts w:ascii="Times New Roman" w:hAnsi="Times New Roman"/>
          <w:sz w:val="24"/>
          <w:szCs w:val="24"/>
        </w:rPr>
        <w:t xml:space="preserve">Accessed on July 28, 2020. </w:t>
      </w:r>
      <w:hyperlink r:id="rId24" w:history="1">
        <w:r w:rsidRPr="00D400D6">
          <w:rPr>
            <w:rStyle w:val="Hyperlink"/>
            <w:rFonts w:ascii="Times New Roman" w:hAnsi="Times New Roman"/>
            <w:sz w:val="24"/>
            <w:szCs w:val="24"/>
          </w:rPr>
          <w:t>https://www.consilium.europa.eu/media/30823/qc7809568enc.pdf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Council of the European Union. “COPENHAGEN EUROPEAN COUNCIL 12 AND 13 DECEMBER 2002.” Council of the European Union, January 29, 2003. </w:t>
      </w:r>
      <w:r w:rsidR="003C7311">
        <w:rPr>
          <w:rFonts w:ascii="Times New Roman" w:hAnsi="Times New Roman"/>
          <w:sz w:val="24"/>
          <w:szCs w:val="24"/>
        </w:rPr>
        <w:t>Accessed on July 28, 2020.</w:t>
      </w:r>
      <w:hyperlink r:id="rId25" w:history="1">
        <w:r w:rsidRPr="00D400D6">
          <w:rPr>
            <w:rStyle w:val="Hyperlink"/>
            <w:rFonts w:ascii="Times New Roman" w:hAnsi="Times New Roman"/>
            <w:sz w:val="24"/>
            <w:szCs w:val="24"/>
          </w:rPr>
          <w:t>https://www.consilium.europa.eu/media/20906/73842.pdf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Council of the European Union. “Council Joint Action 2008/736/CFSP of 15 September 2008 on the European Union Monitoring Mission in Georgia, EUMM Georgia.” EUR-Lex Publications Office of the European Union, September 25, 2008. </w:t>
      </w:r>
      <w:r w:rsidR="003C7311">
        <w:rPr>
          <w:rFonts w:ascii="Times New Roman" w:hAnsi="Times New Roman"/>
          <w:sz w:val="24"/>
          <w:szCs w:val="24"/>
        </w:rPr>
        <w:t xml:space="preserve">Accessed on July 28, 2020. </w:t>
      </w:r>
      <w:hyperlink r:id="rId26" w:history="1">
        <w:r w:rsidRPr="00D400D6">
          <w:rPr>
            <w:rStyle w:val="Hyperlink"/>
            <w:rFonts w:ascii="Times New Roman" w:hAnsi="Times New Roman"/>
            <w:sz w:val="24"/>
            <w:szCs w:val="24"/>
          </w:rPr>
          <w:t>https://op.europa.eu/en/publication-detail/-/publication/0babfe13-406a-4fa3-b3a9-3b7aa0fe5236/language-en</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Council of the European Union. “Joint Press Release Following the 4th Association Council Meeting between the European Union and Georgia.” European Council, February 5, 2018. </w:t>
      </w:r>
      <w:r w:rsidR="003C7311">
        <w:rPr>
          <w:rFonts w:ascii="Times New Roman" w:hAnsi="Times New Roman"/>
          <w:sz w:val="24"/>
          <w:szCs w:val="24"/>
        </w:rPr>
        <w:t xml:space="preserve">Accessed on July 28, 2020. </w:t>
      </w:r>
      <w:hyperlink r:id="rId27" w:history="1">
        <w:r w:rsidRPr="00D400D6">
          <w:rPr>
            <w:rStyle w:val="Hyperlink"/>
            <w:rFonts w:ascii="Times New Roman" w:hAnsi="Times New Roman"/>
            <w:sz w:val="24"/>
            <w:szCs w:val="24"/>
          </w:rPr>
          <w:t>https://www.consilium.europa.eu/en/press/press-releases/2018/02/05/joint-press-release-following-the-4th-association-council-meeting-between-the-european-union-and-georgia/</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Council of the European Union. “EU Cooperation on Security and Defence.” European Council, June 17, 2020.</w:t>
      </w:r>
      <w:r w:rsidR="003C7311">
        <w:rPr>
          <w:rFonts w:ascii="Times New Roman" w:hAnsi="Times New Roman"/>
        </w:rPr>
        <w:t xml:space="preserve"> Accessed on July 28, 2020. </w:t>
      </w:r>
      <w:r w:rsidRPr="00D400D6">
        <w:rPr>
          <w:rFonts w:ascii="Times New Roman" w:hAnsi="Times New Roman"/>
        </w:rPr>
        <w:t xml:space="preserve"> </w:t>
      </w:r>
      <w:hyperlink r:id="rId28" w:history="1">
        <w:r w:rsidRPr="00D400D6">
          <w:rPr>
            <w:rStyle w:val="Hyperlink"/>
            <w:rFonts w:ascii="Times New Roman" w:hAnsi="Times New Roman"/>
          </w:rPr>
          <w:t>https://www.consilium.europa.eu/en/policies/defence-security/</w:t>
        </w:r>
      </w:hyperlink>
      <w:r w:rsidRPr="00D400D6">
        <w:rPr>
          <w:rFonts w:ascii="Times New Roman" w:hAnsi="Times New Roman"/>
        </w:rPr>
        <w:t>.</w:t>
      </w:r>
    </w:p>
    <w:p w:rsidR="003C7311" w:rsidRDefault="00017A6D" w:rsidP="00017A6D">
      <w:pPr>
        <w:pStyle w:val="NormalWeb"/>
        <w:spacing w:line="360" w:lineRule="auto"/>
        <w:rPr>
          <w:rFonts w:ascii="Times New Roman" w:hAnsi="Times New Roman"/>
        </w:rPr>
      </w:pPr>
      <w:r w:rsidRPr="00D400D6">
        <w:rPr>
          <w:rFonts w:ascii="Times New Roman" w:hAnsi="Times New Roman"/>
        </w:rPr>
        <w:t xml:space="preserve">Council of Europe Parliamentary Assembly. “Resolution 1683 (2009) </w:t>
      </w:r>
      <w:proofErr w:type="gramStart"/>
      <w:r w:rsidRPr="00D400D6">
        <w:rPr>
          <w:rFonts w:ascii="Times New Roman" w:hAnsi="Times New Roman"/>
        </w:rPr>
        <w:t>The</w:t>
      </w:r>
      <w:proofErr w:type="gramEnd"/>
      <w:r w:rsidRPr="00D400D6">
        <w:rPr>
          <w:rFonts w:ascii="Times New Roman" w:hAnsi="Times New Roman"/>
        </w:rPr>
        <w:t xml:space="preserve"> War between Georgia and Russia: One Year After.” CoE Assembly, September 29, 2009. </w:t>
      </w:r>
      <w:r w:rsidR="003C7311">
        <w:rPr>
          <w:rFonts w:ascii="Times New Roman" w:hAnsi="Times New Roman"/>
        </w:rPr>
        <w:t xml:space="preserve">Accessed on July 28, 2020. </w:t>
      </w:r>
      <w:hyperlink r:id="rId29" w:history="1">
        <w:r w:rsidR="003C7311" w:rsidRPr="005C3269">
          <w:rPr>
            <w:rStyle w:val="Hyperlink"/>
            <w:rFonts w:ascii="Times New Roman" w:hAnsi="Times New Roman"/>
          </w:rPr>
          <w:t>https://assembly.coe.int/nw/xml/XRef/Xref-XML2HTML-en.asp?fileid=17774&amp;lang=en</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Council of Europe. “Georgia Joins the Council of Europe.” ReliefWeb, April 27, 1999. </w:t>
      </w:r>
      <w:r w:rsidR="003C7311">
        <w:rPr>
          <w:rFonts w:ascii="Times New Roman" w:hAnsi="Times New Roman"/>
          <w:sz w:val="24"/>
          <w:szCs w:val="24"/>
        </w:rPr>
        <w:t xml:space="preserve">Accessed on July 28, 2020. </w:t>
      </w:r>
      <w:hyperlink r:id="rId30" w:history="1">
        <w:r w:rsidRPr="00D400D6">
          <w:rPr>
            <w:rStyle w:val="Hyperlink"/>
            <w:rFonts w:ascii="Times New Roman" w:hAnsi="Times New Roman"/>
            <w:sz w:val="24"/>
            <w:szCs w:val="24"/>
          </w:rPr>
          <w:t>https://reliefweb.int/report/georgia/georgia-joins-council-europe-0</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 xml:space="preserve">Commission of the European Communities. “Wider Europe — Neighbourhood: A New Framework for Relations with Our Eastern and Southern Neighbours.” European External Service - EEAS, March 11, 2003. </w:t>
      </w:r>
      <w:r w:rsidR="003C7311">
        <w:rPr>
          <w:rFonts w:ascii="Times New Roman" w:hAnsi="Times New Roman"/>
          <w:sz w:val="24"/>
          <w:szCs w:val="24"/>
        </w:rPr>
        <w:t xml:space="preserve">Accessed on July 28, 2020. </w:t>
      </w:r>
      <w:hyperlink r:id="rId31" w:history="1">
        <w:r w:rsidRPr="00D400D6">
          <w:rPr>
            <w:rStyle w:val="Hyperlink"/>
            <w:rFonts w:ascii="Times New Roman" w:hAnsi="Times New Roman"/>
            <w:sz w:val="24"/>
            <w:szCs w:val="24"/>
          </w:rPr>
          <w:t>http://eeas.europa.eu/archives/docs/enp/pdf/pdf/com03_104_en.pdf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Commission of the European Communities. “Implementation of the European Neighbourhood Policy in 2008 Progress Report Georgia.” Commission of the European Communities, April 2009. </w:t>
      </w:r>
      <w:r w:rsidR="003C7311">
        <w:rPr>
          <w:rFonts w:ascii="Times New Roman" w:hAnsi="Times New Roman"/>
          <w:sz w:val="24"/>
          <w:szCs w:val="24"/>
        </w:rPr>
        <w:t xml:space="preserve">Accessed on July 28, 2020. </w:t>
      </w:r>
      <w:hyperlink r:id="rId32" w:history="1">
        <w:r w:rsidRPr="00D400D6">
          <w:rPr>
            <w:rStyle w:val="Hyperlink"/>
            <w:rFonts w:ascii="Times New Roman" w:hAnsi="Times New Roman"/>
            <w:sz w:val="24"/>
            <w:szCs w:val="24"/>
          </w:rPr>
          <w:t>http://eeas.europa.eu/archives/docs/enp/pdf/pdf/progress2009/sec09_513_en.pdf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Commission of the European Communities. “European Neighbourhood Policy STRATEGY PAPER.” European External Service - EEAS, May 12, 2004. </w:t>
      </w:r>
      <w:r w:rsidR="003C7311">
        <w:rPr>
          <w:rFonts w:ascii="Times New Roman" w:hAnsi="Times New Roman"/>
          <w:sz w:val="24"/>
          <w:szCs w:val="24"/>
        </w:rPr>
        <w:t xml:space="preserve">Accessed on July 28, 2020. </w:t>
      </w:r>
      <w:hyperlink r:id="rId33" w:history="1">
        <w:r w:rsidRPr="00D400D6">
          <w:rPr>
            <w:rStyle w:val="Hyperlink"/>
            <w:rFonts w:ascii="Times New Roman" w:hAnsi="Times New Roman"/>
            <w:sz w:val="24"/>
            <w:szCs w:val="24"/>
          </w:rPr>
          <w:t>https://ec.europa.eu/neighbourhood-enlargement/sites/near/files/2004_communication_from_the_commission_-_european_neighbourhood_policy_-_strategy_paper.pdf</w:t>
        </w:r>
      </w:hyperlink>
      <w:r w:rsidRPr="00D400D6">
        <w:rPr>
          <w:rFonts w:ascii="Times New Roman" w:hAnsi="Times New Roman"/>
          <w:sz w:val="24"/>
          <w:szCs w:val="24"/>
        </w:rPr>
        <w:t>.</w:t>
      </w:r>
    </w:p>
    <w:p w:rsidR="00451175" w:rsidRPr="00451175" w:rsidRDefault="00017A6D" w:rsidP="00451175">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Commission of the European Communities. “ON STRENGTHENING THE EUROPEAN NEIGHBOURHOOD </w:t>
      </w:r>
      <w:proofErr w:type="gramStart"/>
      <w:r w:rsidRPr="00D400D6">
        <w:rPr>
          <w:rFonts w:ascii="Times New Roman" w:hAnsi="Times New Roman"/>
          <w:sz w:val="24"/>
          <w:szCs w:val="24"/>
        </w:rPr>
        <w:t>POLICY .”</w:t>
      </w:r>
      <w:proofErr w:type="gramEnd"/>
      <w:r w:rsidRPr="00D400D6">
        <w:rPr>
          <w:rFonts w:ascii="Times New Roman" w:hAnsi="Times New Roman"/>
          <w:sz w:val="24"/>
          <w:szCs w:val="24"/>
        </w:rPr>
        <w:t xml:space="preserve"> EUR-Lex, December 4, 2006.</w:t>
      </w:r>
      <w:r w:rsidR="00451175">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34" w:history="1">
        <w:r w:rsidR="00451175" w:rsidRPr="005C3269">
          <w:rPr>
            <w:rStyle w:val="Hyperlink"/>
            <w:rFonts w:ascii="Times New Roman" w:hAnsi="Times New Roman"/>
            <w:sz w:val="24"/>
            <w:szCs w:val="24"/>
          </w:rPr>
          <w:t>https://eur-lex.europa.eu/LexUriServ/LexUriServ.do?uri=COM:2006:0726:FIN:EN:PDF</w:t>
        </w:r>
      </w:hyperlink>
      <w:r w:rsidRPr="00D400D6">
        <w:rPr>
          <w:rFonts w:ascii="Times New Roman" w:hAnsi="Times New Roman"/>
          <w:sz w:val="24"/>
          <w:szCs w:val="24"/>
        </w:rPr>
        <w:t>.</w:t>
      </w:r>
    </w:p>
    <w:p w:rsidR="00451175" w:rsidRDefault="00017A6D" w:rsidP="00451175">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Delegation of the European Union in Georgia. “Statement by the Spokesperson on the ''A Step to a Better Future’ Peace Initiative by the Georgian Government.” European External Area Service - EEAS, April 4, 2018. </w:t>
      </w:r>
      <w:r w:rsidR="00451175">
        <w:rPr>
          <w:rFonts w:ascii="Times New Roman" w:hAnsi="Times New Roman"/>
          <w:sz w:val="24"/>
          <w:szCs w:val="24"/>
        </w:rPr>
        <w:t xml:space="preserve">Accessed on July 28, 2020. </w:t>
      </w:r>
      <w:hyperlink r:id="rId35" w:history="1">
        <w:r w:rsidR="00451175" w:rsidRPr="005C3269">
          <w:rPr>
            <w:rStyle w:val="Hyperlink"/>
            <w:rFonts w:ascii="Times New Roman" w:hAnsi="Times New Roman"/>
            <w:sz w:val="24"/>
            <w:szCs w:val="24"/>
          </w:rPr>
          <w:t>https://eeas.europa.eu/delegations/georgia/42446/node/42446_fi</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European Commission. “EU-Georgia Association Agreement Fully Enters into Force,” July 2016.</w:t>
      </w:r>
      <w:r w:rsidR="00451175">
        <w:rPr>
          <w:rFonts w:ascii="Times New Roman" w:hAnsi="Times New Roman"/>
        </w:rPr>
        <w:t xml:space="preserve"> Accessed on July 28, 2020. </w:t>
      </w:r>
      <w:r w:rsidRPr="00D400D6">
        <w:rPr>
          <w:rFonts w:ascii="Times New Roman" w:hAnsi="Times New Roman"/>
        </w:rPr>
        <w:t xml:space="preserve"> </w:t>
      </w:r>
      <w:hyperlink r:id="rId36" w:history="1">
        <w:r w:rsidRPr="00D400D6">
          <w:rPr>
            <w:rStyle w:val="Hyperlink"/>
            <w:rFonts w:ascii="Times New Roman" w:hAnsi="Times New Roman"/>
          </w:rPr>
          <w:t>https://ec.europa.eu/commission/presscorner/detail/en/IP_16_2369</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Commission. “EU Assistance Fact Sheet: Georgia.” ReliefWeb, October 22, 2008. </w:t>
      </w:r>
      <w:r w:rsidR="00451175">
        <w:rPr>
          <w:rFonts w:ascii="Times New Roman" w:hAnsi="Times New Roman"/>
          <w:sz w:val="24"/>
          <w:szCs w:val="24"/>
        </w:rPr>
        <w:t xml:space="preserve">Accessed on July 28, 2020. </w:t>
      </w:r>
      <w:hyperlink r:id="rId37" w:history="1">
        <w:r w:rsidRPr="00D400D6">
          <w:rPr>
            <w:rStyle w:val="Hyperlink"/>
            <w:rFonts w:ascii="Times New Roman" w:hAnsi="Times New Roman"/>
            <w:sz w:val="24"/>
            <w:szCs w:val="24"/>
          </w:rPr>
          <w:t>https://reliefweb.int/report/georgia/eu-assistance-fact-sheet-georgia</w:t>
        </w:r>
      </w:hyperlink>
      <w:r w:rsidRPr="00D400D6">
        <w:rPr>
          <w:rFonts w:ascii="Times New Roman" w:hAnsi="Times New Roman"/>
          <w:sz w:val="24"/>
          <w:szCs w:val="24"/>
        </w:rPr>
        <w:t>.</w:t>
      </w:r>
    </w:p>
    <w:p w:rsidR="00017A6D" w:rsidRDefault="00017A6D" w:rsidP="00017A6D">
      <w:pPr>
        <w:pStyle w:val="NormalWeb"/>
        <w:spacing w:line="360" w:lineRule="auto"/>
        <w:rPr>
          <w:rFonts w:ascii="Times New Roman" w:hAnsi="Times New Roman"/>
        </w:rPr>
      </w:pPr>
      <w:r w:rsidRPr="00D400D6">
        <w:rPr>
          <w:rFonts w:ascii="Times New Roman" w:hAnsi="Times New Roman"/>
        </w:rPr>
        <w:t xml:space="preserve">European Commission. “European Union, Trade in Goods with Georgia.” European Commission, May 8, 2020. </w:t>
      </w:r>
      <w:r w:rsidR="00451175">
        <w:rPr>
          <w:rFonts w:ascii="Times New Roman" w:hAnsi="Times New Roman"/>
        </w:rPr>
        <w:t xml:space="preserve">Accessed on July 28, 2020. </w:t>
      </w:r>
      <w:hyperlink r:id="rId38" w:history="1">
        <w:r w:rsidRPr="00D400D6">
          <w:rPr>
            <w:rStyle w:val="Hyperlink"/>
            <w:rFonts w:ascii="Times New Roman" w:hAnsi="Times New Roman"/>
          </w:rPr>
          <w:t>https://webgate.ec.europa.eu/isdb_results/factsheets/country/details_georgia_en.pdf</w:t>
        </w:r>
      </w:hyperlink>
      <w:r w:rsidRPr="00D400D6">
        <w:rPr>
          <w:rFonts w:ascii="Times New Roman" w:hAnsi="Times New Roman"/>
        </w:rPr>
        <w:t>.</w:t>
      </w:r>
    </w:p>
    <w:p w:rsidR="00123939" w:rsidRDefault="00123939" w:rsidP="00123939">
      <w:pPr>
        <w:spacing w:before="100" w:beforeAutospacing="1" w:after="100" w:afterAutospacing="1"/>
        <w:rPr>
          <w:rFonts w:ascii="Times New Roman" w:hAnsi="Times New Roman"/>
          <w:sz w:val="24"/>
          <w:szCs w:val="24"/>
        </w:rPr>
      </w:pPr>
      <w:r w:rsidRPr="00123939">
        <w:rPr>
          <w:rFonts w:ascii="Times New Roman" w:hAnsi="Times New Roman"/>
          <w:sz w:val="24"/>
          <w:szCs w:val="24"/>
        </w:rPr>
        <w:lastRenderedPageBreak/>
        <w:t xml:space="preserve">European Commission. “IP/95/532 - TOWARDS A EUROPEAN UNION STRATEGY FOR RELATIONS WITH THE TRANSCAUCASIANREPUBLICS.” European Commission, May 31, 1995. </w:t>
      </w:r>
      <w:r w:rsidR="00451175">
        <w:rPr>
          <w:rFonts w:ascii="Times New Roman" w:hAnsi="Times New Roman"/>
          <w:sz w:val="24"/>
          <w:szCs w:val="24"/>
        </w:rPr>
        <w:t xml:space="preserve">Accessed on July 28, 2020. </w:t>
      </w:r>
      <w:hyperlink r:id="rId39" w:history="1">
        <w:r w:rsidR="00451175" w:rsidRPr="005C3269">
          <w:rPr>
            <w:rStyle w:val="Hyperlink"/>
            <w:rFonts w:ascii="Times New Roman" w:hAnsi="Times New Roman"/>
            <w:sz w:val="24"/>
            <w:szCs w:val="24"/>
          </w:rPr>
          <w:t>https://ec.europa.eu/commission/presscorner/detail/en/IP_95_532</w:t>
        </w:r>
      </w:hyperlink>
      <w:r w:rsidRPr="00123939">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Commission. “Visa Liberalisation with Moldova, Ukraine and Georgia.” Migration and Home Affairs - European </w:t>
      </w:r>
      <w:proofErr w:type="gramStart"/>
      <w:r w:rsidRPr="00D400D6">
        <w:rPr>
          <w:rFonts w:ascii="Times New Roman" w:hAnsi="Times New Roman"/>
          <w:sz w:val="24"/>
          <w:szCs w:val="24"/>
        </w:rPr>
        <w:t>Commission ,</w:t>
      </w:r>
      <w:proofErr w:type="gramEnd"/>
      <w:r w:rsidRPr="00D400D6">
        <w:rPr>
          <w:rFonts w:ascii="Times New Roman" w:hAnsi="Times New Roman"/>
          <w:sz w:val="24"/>
          <w:szCs w:val="24"/>
        </w:rPr>
        <w:t xml:space="preserve"> June 2020. </w:t>
      </w:r>
      <w:r w:rsidR="00451175">
        <w:rPr>
          <w:rFonts w:ascii="Times New Roman" w:hAnsi="Times New Roman"/>
          <w:sz w:val="24"/>
          <w:szCs w:val="24"/>
        </w:rPr>
        <w:t xml:space="preserve">Accessed on July 28, 2020. </w:t>
      </w:r>
      <w:hyperlink r:id="rId40" w:history="1">
        <w:r w:rsidRPr="00D400D6">
          <w:rPr>
            <w:rStyle w:val="Hyperlink"/>
            <w:rFonts w:ascii="Times New Roman" w:hAnsi="Times New Roman"/>
            <w:sz w:val="24"/>
            <w:szCs w:val="24"/>
          </w:rPr>
          <w:t>https://ec.europa.eu/home-affairs/what-we-do/policies/international-affairs/eastern-partnership/visa-liberalisation-moldova-ukraine-and-georgia_en</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External Action Service. “Military and Civilian Missions and Operations.” EEAS, March 5, 2019. </w:t>
      </w:r>
      <w:r w:rsidR="00451175">
        <w:rPr>
          <w:rFonts w:ascii="Times New Roman" w:hAnsi="Times New Roman"/>
          <w:sz w:val="24"/>
          <w:szCs w:val="24"/>
        </w:rPr>
        <w:t xml:space="preserve">Accessed on July 28, 2020. </w:t>
      </w:r>
      <w:hyperlink r:id="rId41" w:history="1">
        <w:r w:rsidRPr="00D400D6">
          <w:rPr>
            <w:rStyle w:val="Hyperlink"/>
            <w:rFonts w:ascii="Times New Roman" w:hAnsi="Times New Roman"/>
            <w:sz w:val="24"/>
            <w:szCs w:val="24"/>
          </w:rPr>
          <w:t>https://eeas.europa.eu/topics/military-and-civilian-missions-and-operations/430/military-and-civilian-missions-and-operations_en</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European External Action Service. “EU-Georgia Relations - Factsheet.” EEAS, June 10, 2020.</w:t>
      </w:r>
      <w:r w:rsidR="00451175" w:rsidRPr="00451175">
        <w:rPr>
          <w:rFonts w:ascii="Times New Roman" w:hAnsi="Times New Roman"/>
          <w:sz w:val="24"/>
          <w:szCs w:val="24"/>
        </w:rPr>
        <w:t xml:space="preserve"> </w:t>
      </w:r>
      <w:r w:rsidR="00451175">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42" w:history="1">
        <w:r w:rsidR="00451175" w:rsidRPr="005C3269">
          <w:rPr>
            <w:rStyle w:val="Hyperlink"/>
            <w:rFonts w:ascii="Times New Roman" w:hAnsi="Times New Roman"/>
            <w:sz w:val="24"/>
            <w:szCs w:val="24"/>
          </w:rPr>
          <w:t>https://eeas.europa.eu/sites/eeas/files/eap_factsheet_georgia_en.pdf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European External Actions Service. “European Neighbourhood Policy (ENP).” European External Service - EEAS, July 2020.</w:t>
      </w:r>
      <w:r w:rsidR="00451175">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43" w:history="1">
        <w:r w:rsidRPr="00D400D6">
          <w:rPr>
            <w:rStyle w:val="Hyperlink"/>
            <w:rFonts w:ascii="Times New Roman" w:hAnsi="Times New Roman"/>
            <w:sz w:val="24"/>
            <w:szCs w:val="24"/>
          </w:rPr>
          <w:t>https://eeas.europa.eu/diplomatic-network/european-neighbourhood-policy-enp_en</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External Action Service. “European Instrument for Democracy and Human Rights (EIDHR).” EEAS, January 25, 2017. </w:t>
      </w:r>
      <w:r w:rsidR="00451175">
        <w:rPr>
          <w:rFonts w:ascii="Times New Roman" w:hAnsi="Times New Roman"/>
          <w:sz w:val="24"/>
          <w:szCs w:val="24"/>
        </w:rPr>
        <w:t xml:space="preserve">Accessed on July 28, 2020. </w:t>
      </w:r>
      <w:hyperlink r:id="rId44" w:history="1">
        <w:r w:rsidRPr="00D400D6">
          <w:rPr>
            <w:rStyle w:val="Hyperlink"/>
            <w:rFonts w:ascii="Times New Roman" w:hAnsi="Times New Roman"/>
            <w:sz w:val="24"/>
            <w:szCs w:val="24"/>
          </w:rPr>
          <w:t>https://eeas.europa.eu/delegations/israel_en/19192/European%20Instrument%20for%20Democracy%20and%20Human%20Rights%20(EIDHR)%20ISRAEL%202016-2017</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External Action Service. “EU Special Representatives.” EEAS, November 2019. </w:t>
      </w:r>
      <w:r w:rsidR="00451175">
        <w:rPr>
          <w:rFonts w:ascii="Times New Roman" w:hAnsi="Times New Roman"/>
          <w:sz w:val="24"/>
          <w:szCs w:val="24"/>
        </w:rPr>
        <w:t xml:space="preserve">Accessed on July 28, 2020. </w:t>
      </w:r>
      <w:hyperlink r:id="rId45" w:history="1">
        <w:r w:rsidRPr="00D400D6">
          <w:rPr>
            <w:rStyle w:val="Hyperlink"/>
            <w:rFonts w:ascii="Times New Roman" w:hAnsi="Times New Roman"/>
            <w:sz w:val="24"/>
            <w:szCs w:val="24"/>
          </w:rPr>
          <w:t>https://eeas.europa.eu/headquarters/headquarters</w:t>
        </w:r>
        <w:r w:rsidRPr="00D400D6">
          <w:rPr>
            <w:rStyle w:val="Hyperlink"/>
            <w:rFonts w:ascii="Times New Roman" w:hAnsi="Times New Roman"/>
            <w:sz w:val="24"/>
            <w:szCs w:val="24"/>
          </w:rPr>
          <w:softHyphen/>
          <w:t>homepage_en/3606/EU%20Special%20Representatives</w:t>
        </w:r>
      </w:hyperlink>
      <w:r w:rsidRPr="00D400D6">
        <w:rPr>
          <w:rFonts w:ascii="Times New Roman" w:hAnsi="Times New Roman"/>
          <w:sz w:val="24"/>
          <w:szCs w:val="24"/>
        </w:rPr>
        <w:t>.</w:t>
      </w:r>
    </w:p>
    <w:p w:rsidR="00451175" w:rsidRDefault="00017A6D" w:rsidP="00451175">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European External Action Service. “The European Union in a Changing Global Environment A More Connected, Contested and Complex W</w:t>
      </w:r>
      <w:r w:rsidR="00451175">
        <w:rPr>
          <w:rFonts w:ascii="Times New Roman" w:hAnsi="Times New Roman"/>
          <w:sz w:val="24"/>
          <w:szCs w:val="24"/>
        </w:rPr>
        <w:t xml:space="preserve">orld.” EEAS, November 2016. Accessed on July 28, 2020. </w:t>
      </w:r>
      <w:hyperlink r:id="rId46" w:history="1">
        <w:r w:rsidR="00451175" w:rsidRPr="005C3269">
          <w:rPr>
            <w:rStyle w:val="Hyperlink"/>
            <w:rFonts w:ascii="Times New Roman" w:hAnsi="Times New Roman"/>
            <w:sz w:val="24"/>
            <w:szCs w:val="24"/>
          </w:rPr>
          <w:t>http://eeas.europa.eu/archives/docs/docs/strategic_review/eu-strategic-review_executive_summary_en.pdf</w:t>
        </w:r>
      </w:hyperlink>
      <w:r w:rsidRPr="00D400D6">
        <w:rPr>
          <w:rFonts w:ascii="Times New Roman" w:hAnsi="Times New Roman"/>
          <w:sz w:val="24"/>
          <w:szCs w:val="24"/>
        </w:rPr>
        <w:t>.</w:t>
      </w:r>
    </w:p>
    <w:p w:rsidR="00451175" w:rsidRPr="00451175" w:rsidRDefault="00451175" w:rsidP="00451175">
      <w:pPr>
        <w:pStyle w:val="NoSpacing"/>
      </w:pP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 xml:space="preserve">European Union External Action Service. “Shared Vision, Common Action: A Stronger Europe.” EEAS, June 2016. </w:t>
      </w:r>
      <w:r w:rsidR="00451175">
        <w:rPr>
          <w:rFonts w:ascii="Times New Roman" w:hAnsi="Times New Roman"/>
          <w:sz w:val="24"/>
          <w:szCs w:val="24"/>
        </w:rPr>
        <w:t xml:space="preserve">Accessed on July 28, 2020. </w:t>
      </w:r>
      <w:hyperlink r:id="rId47" w:history="1">
        <w:r w:rsidRPr="00D400D6">
          <w:rPr>
            <w:rStyle w:val="Hyperlink"/>
            <w:rFonts w:ascii="Times New Roman" w:hAnsi="Times New Roman"/>
            <w:sz w:val="24"/>
            <w:szCs w:val="24"/>
          </w:rPr>
          <w:t>https://eeas.europa.eu/archives/docs/top_stories/pdf/eugs_review_web.pdf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European External Actions Service. “Facts and Figures about EU-Georgia Relations.” EEAS - EU Neighbors East, June 2020.</w:t>
      </w:r>
      <w:r w:rsidR="00451175" w:rsidRPr="00451175">
        <w:rPr>
          <w:rFonts w:ascii="Times New Roman" w:hAnsi="Times New Roman"/>
          <w:sz w:val="24"/>
          <w:szCs w:val="24"/>
        </w:rPr>
        <w:t xml:space="preserve"> </w:t>
      </w:r>
      <w:r w:rsidR="00451175">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48" w:history="1">
        <w:r w:rsidRPr="00D400D6">
          <w:rPr>
            <w:rStyle w:val="Hyperlink"/>
            <w:rFonts w:ascii="Times New Roman" w:hAnsi="Times New Roman"/>
            <w:sz w:val="24"/>
            <w:szCs w:val="24"/>
          </w:rPr>
          <w:t>https://www.euneighbours.eu/en/east/stay-informed/publications/facts-and-figures-about-eu-georgia-relations-0</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EUR-Lex. “Consolidated Version of the Treaty on European Union Article 49.” European Union Law, July 2016. </w:t>
      </w:r>
      <w:r w:rsidR="00451175">
        <w:rPr>
          <w:rFonts w:ascii="Times New Roman" w:hAnsi="Times New Roman"/>
          <w:sz w:val="24"/>
          <w:szCs w:val="24"/>
        </w:rPr>
        <w:t xml:space="preserve">Accessed on July 28, 2020. </w:t>
      </w:r>
      <w:hyperlink r:id="rId49" w:history="1">
        <w:r w:rsidRPr="00D400D6">
          <w:rPr>
            <w:rStyle w:val="Hyperlink"/>
            <w:rFonts w:ascii="Times New Roman" w:hAnsi="Times New Roman"/>
            <w:sz w:val="24"/>
            <w:szCs w:val="24"/>
          </w:rPr>
          <w:t>https://eur-lex.europa.eu/legal-content/EN/TXT/?uri=CELEX%3A12016M049</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EUR-Lex. “ASSOCIATION AGREEMENT between the European Union and the European Atomic Energy Community and Their Member States, of the One Part, and Georgia, of the Other Part.” Eur-Lex, August 30, 2014. </w:t>
      </w:r>
      <w:r w:rsidR="00451175">
        <w:rPr>
          <w:rFonts w:ascii="Times New Roman" w:hAnsi="Times New Roman"/>
        </w:rPr>
        <w:t xml:space="preserve">Accessed on July 28, 2020. </w:t>
      </w:r>
      <w:hyperlink r:id="rId50" w:history="1">
        <w:r w:rsidRPr="00D400D6">
          <w:rPr>
            <w:rStyle w:val="Hyperlink"/>
            <w:rFonts w:ascii="Times New Roman" w:hAnsi="Times New Roman"/>
          </w:rPr>
          <w:t>https://eur-lex.europa.eu/legal-content/en/TXT/PDF/?uri=CELEX:22014A0830(02)</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EUR-Lex. “European Foreign and Security Policy.” European Union, August 6, 2019. </w:t>
      </w:r>
      <w:r w:rsidR="00451175">
        <w:rPr>
          <w:rFonts w:ascii="Times New Roman" w:hAnsi="Times New Roman"/>
          <w:sz w:val="24"/>
          <w:szCs w:val="24"/>
        </w:rPr>
        <w:t xml:space="preserve">Accessed on July 28, 2020. </w:t>
      </w:r>
      <w:hyperlink r:id="rId51" w:history="1">
        <w:r w:rsidRPr="00D400D6">
          <w:rPr>
            <w:rStyle w:val="Hyperlink"/>
            <w:rFonts w:ascii="Times New Roman" w:hAnsi="Times New Roman"/>
            <w:sz w:val="24"/>
            <w:szCs w:val="24"/>
          </w:rPr>
          <w:t>https://europa.eu/european-union/topics/foreign-security-policy_en</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EUR-Lex. “Council Joint Action 2004/523/CFSP of 28 June 2004 on the European Union Rule of Law Mission in Georgia, EUJUST THEMIS.” EUR-</w:t>
      </w:r>
      <w:proofErr w:type="gramStart"/>
      <w:r w:rsidRPr="00D400D6">
        <w:rPr>
          <w:rFonts w:ascii="Times New Roman" w:hAnsi="Times New Roman"/>
          <w:sz w:val="24"/>
          <w:szCs w:val="24"/>
        </w:rPr>
        <w:t>Lex ,</w:t>
      </w:r>
      <w:proofErr w:type="gramEnd"/>
      <w:r w:rsidRPr="00D400D6">
        <w:rPr>
          <w:rFonts w:ascii="Times New Roman" w:hAnsi="Times New Roman"/>
          <w:sz w:val="24"/>
          <w:szCs w:val="24"/>
        </w:rPr>
        <w:t xml:space="preserve"> July 2005.</w:t>
      </w:r>
      <w:r w:rsidR="00451175" w:rsidRPr="00451175">
        <w:rPr>
          <w:rFonts w:ascii="Times New Roman" w:hAnsi="Times New Roman"/>
          <w:sz w:val="24"/>
          <w:szCs w:val="24"/>
        </w:rPr>
        <w:t xml:space="preserve"> </w:t>
      </w:r>
      <w:r w:rsidR="00451175">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52" w:history="1">
        <w:r w:rsidRPr="00D400D6">
          <w:rPr>
            <w:rStyle w:val="Hyperlink"/>
            <w:rFonts w:ascii="Times New Roman" w:hAnsi="Times New Roman"/>
            <w:sz w:val="24"/>
            <w:szCs w:val="24"/>
          </w:rPr>
          <w:t>https://eur-lex.europa.eu/legal-content/EN/TXT/?uri=CELEX%3A32004E0523</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EUR-Lex. “COUNCIL DECISION 2011/518/CFSP of 25 August 2011 Appointing the European Union Special Representative for the South Caucasus and the Crisis in Georgia.” Journal of the European Union, August 27, 2011.</w:t>
      </w:r>
      <w:r w:rsidR="00451175" w:rsidRPr="00451175">
        <w:rPr>
          <w:rFonts w:ascii="Times New Roman" w:hAnsi="Times New Roman"/>
        </w:rPr>
        <w:t xml:space="preserve"> </w:t>
      </w:r>
      <w:r w:rsidR="00451175">
        <w:rPr>
          <w:rFonts w:ascii="Times New Roman" w:hAnsi="Times New Roman"/>
        </w:rPr>
        <w:t>Accessed on July 28, 2020.</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EUR-Lex. “COUNCIL JOINT ACTION 2008/760/CFSP of 25 September 2008 Appointing the European Union Special Representative for the Crisis in Georgia.” Journal of the European Union, September 27, 2008.</w:t>
      </w:r>
      <w:r w:rsidR="00451175">
        <w:rPr>
          <w:rFonts w:ascii="Times New Roman" w:hAnsi="Times New Roman"/>
        </w:rPr>
        <w:t xml:space="preserve"> Accessed on July 28, 2020. </w:t>
      </w:r>
      <w:r w:rsidRPr="00D400D6">
        <w:rPr>
          <w:rFonts w:ascii="Times New Roman" w:hAnsi="Times New Roman"/>
        </w:rPr>
        <w:t xml:space="preserve"> </w:t>
      </w:r>
      <w:hyperlink r:id="rId53" w:history="1">
        <w:r w:rsidRPr="00D400D6">
          <w:rPr>
            <w:rStyle w:val="Hyperlink"/>
            <w:rFonts w:ascii="Times New Roman" w:hAnsi="Times New Roman"/>
          </w:rPr>
          <w:t>https://eur-lex.europa.eu/LexUriServ/LexUriServ.do?uri=OJ:L:2008:259:0016:0018:EN:PDF</w:t>
        </w:r>
      </w:hyperlink>
      <w:r w:rsidRPr="00D400D6">
        <w:rPr>
          <w:rFonts w:ascii="Times New Roman" w:hAnsi="Times New Roman"/>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 xml:space="preserve">EUR-Lex. “European Foreign and Security Policy.” European Union, August 6, 2019. </w:t>
      </w:r>
      <w:r w:rsidR="00451175">
        <w:rPr>
          <w:rFonts w:ascii="Times New Roman" w:hAnsi="Times New Roman"/>
          <w:sz w:val="24"/>
          <w:szCs w:val="24"/>
        </w:rPr>
        <w:t xml:space="preserve">Accessed on July 28, 2020. </w:t>
      </w:r>
      <w:hyperlink r:id="rId54" w:history="1">
        <w:r w:rsidR="00451175" w:rsidRPr="005C3269">
          <w:rPr>
            <w:rStyle w:val="Hyperlink"/>
            <w:rFonts w:ascii="Times New Roman" w:hAnsi="Times New Roman"/>
            <w:sz w:val="24"/>
            <w:szCs w:val="24"/>
          </w:rPr>
          <w:t>https://europa.eu/european-union/topics/foreign-security-policy_en</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European Union Delegation to Georgia. “EU ASSISTANCE TO PEOPLE AFFECTED BY CONFLICT IN GEORGIA – </w:t>
      </w:r>
      <w:proofErr w:type="gramStart"/>
      <w:r w:rsidRPr="00D400D6">
        <w:rPr>
          <w:rFonts w:ascii="Times New Roman" w:hAnsi="Times New Roman"/>
        </w:rPr>
        <w:t>Overview.,</w:t>
      </w:r>
      <w:proofErr w:type="gramEnd"/>
      <w:r w:rsidRPr="00D400D6">
        <w:rPr>
          <w:rFonts w:ascii="Times New Roman" w:hAnsi="Times New Roman"/>
        </w:rPr>
        <w:t xml:space="preserve">” October 2011. </w:t>
      </w:r>
      <w:r w:rsidR="00451175">
        <w:rPr>
          <w:rFonts w:ascii="Times New Roman" w:hAnsi="Times New Roman"/>
        </w:rPr>
        <w:t xml:space="preserve">Accessed on July 28, 2020. </w:t>
      </w:r>
      <w:hyperlink r:id="rId55" w:history="1">
        <w:r w:rsidRPr="00D400D6">
          <w:rPr>
            <w:rStyle w:val="Hyperlink"/>
            <w:rFonts w:ascii="Times New Roman" w:hAnsi="Times New Roman"/>
          </w:rPr>
          <w:t>http://www.eeas.europa.eu/archives/delegations/georgia/documents/projects/conflictassistance_2011overview_en.pdf</w:t>
        </w:r>
      </w:hyperlink>
      <w:r w:rsidRPr="00D400D6">
        <w:rPr>
          <w:rFonts w:ascii="Times New Roman" w:hAnsi="Times New Roman"/>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Union Monitoring Mission in Georgia. “The EUMM Monitor Issue #7.” The EUMM, October 2018. </w:t>
      </w:r>
      <w:r w:rsidR="00451175">
        <w:rPr>
          <w:rFonts w:ascii="Times New Roman" w:hAnsi="Times New Roman"/>
          <w:sz w:val="24"/>
          <w:szCs w:val="24"/>
        </w:rPr>
        <w:t xml:space="preserve">Accessed on July 28, 2020. Accessed on July 28, 2020. </w:t>
      </w:r>
      <w:hyperlink r:id="rId56" w:history="1">
        <w:r w:rsidR="00451175" w:rsidRPr="005C3269">
          <w:rPr>
            <w:rStyle w:val="Hyperlink"/>
            <w:rFonts w:ascii="Times New Roman" w:hAnsi="Times New Roman"/>
            <w:sz w:val="24"/>
            <w:szCs w:val="24"/>
          </w:rPr>
          <w:t>https://eumm.eu/data/file/6486/The_EUMM_Monitor_issue_7_ENG.pdf</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Centre for Disease Prevention and Control. “HIV/AIDS Surveillance in Europe 2019 - 2018 Data.” ECDC, November 28, 2019. </w:t>
      </w:r>
      <w:r w:rsidR="00451175">
        <w:rPr>
          <w:rFonts w:ascii="Times New Roman" w:hAnsi="Times New Roman"/>
          <w:sz w:val="24"/>
          <w:szCs w:val="24"/>
        </w:rPr>
        <w:t xml:space="preserve">Accessed on July 28, 2020. </w:t>
      </w:r>
      <w:hyperlink r:id="rId57" w:history="1">
        <w:r w:rsidR="00451175" w:rsidRPr="005C3269">
          <w:rPr>
            <w:rStyle w:val="Hyperlink"/>
            <w:rFonts w:ascii="Times New Roman" w:hAnsi="Times New Roman"/>
            <w:sz w:val="24"/>
            <w:szCs w:val="24"/>
          </w:rPr>
          <w:t>https://www.ecdc.europa.eu/en/publications-data/hivaids-surveillance-europe-2019-2018-data</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 Foundation. “Georgian Public's Knowledge of and Attitudes towards the EU in Georgia 2019 Survey Report.” Europe Foundation Georgia, March 2019. </w:t>
      </w:r>
      <w:r w:rsidR="00451175">
        <w:rPr>
          <w:rFonts w:ascii="Times New Roman" w:hAnsi="Times New Roman"/>
          <w:sz w:val="24"/>
          <w:szCs w:val="24"/>
        </w:rPr>
        <w:t xml:space="preserve">Accessed on July 28, 2020. </w:t>
      </w:r>
      <w:hyperlink r:id="rId58" w:history="1">
        <w:r w:rsidRPr="00D400D6">
          <w:rPr>
            <w:rStyle w:val="Hyperlink"/>
            <w:rFonts w:ascii="Times New Roman" w:hAnsi="Times New Roman"/>
            <w:sz w:val="24"/>
            <w:szCs w:val="24"/>
          </w:rPr>
          <w:t>http://www.epfound.ge/wp-content/uploads/2019/09/EU-2019-Final-ENG.pdf</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EU Neighbours East. “Statistics for the Eastern Partnership (STEP).” EU Neighbours. EU Neighbours East, June 2019.</w:t>
      </w:r>
      <w:r w:rsidR="00451175" w:rsidRPr="00451175">
        <w:rPr>
          <w:rFonts w:ascii="Times New Roman" w:hAnsi="Times New Roman"/>
        </w:rPr>
        <w:t xml:space="preserve"> </w:t>
      </w:r>
      <w:r w:rsidR="00451175">
        <w:rPr>
          <w:rFonts w:ascii="Times New Roman" w:hAnsi="Times New Roman"/>
        </w:rPr>
        <w:t xml:space="preserve">Accessed on July 28, 2020. </w:t>
      </w:r>
      <w:r w:rsidRPr="00D400D6">
        <w:rPr>
          <w:rFonts w:ascii="Times New Roman" w:hAnsi="Times New Roman"/>
        </w:rPr>
        <w:t xml:space="preserve"> </w:t>
      </w:r>
      <w:hyperlink r:id="rId59" w:history="1">
        <w:r w:rsidRPr="00D400D6">
          <w:rPr>
            <w:rStyle w:val="Hyperlink"/>
            <w:rFonts w:ascii="Times New Roman" w:hAnsi="Times New Roman"/>
          </w:rPr>
          <w:t>https://www.euneighbours.eu/en/east/stay-informed/projects/statistics-eastern-partnership-step</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Parliament. </w:t>
      </w:r>
      <w:proofErr w:type="gramStart"/>
      <w:r w:rsidRPr="00D400D6">
        <w:rPr>
          <w:rFonts w:ascii="Times New Roman" w:hAnsi="Times New Roman"/>
          <w:sz w:val="24"/>
          <w:szCs w:val="24"/>
        </w:rPr>
        <w:t>“ European</w:t>
      </w:r>
      <w:proofErr w:type="gramEnd"/>
      <w:r w:rsidRPr="00D400D6">
        <w:rPr>
          <w:rFonts w:ascii="Times New Roman" w:hAnsi="Times New Roman"/>
          <w:sz w:val="24"/>
          <w:szCs w:val="24"/>
        </w:rPr>
        <w:t xml:space="preserve"> Parliament Resolution of 20 January 2011 on an EU Strategy for the Black Se.” European Parliament, January 20, 2011. </w:t>
      </w:r>
      <w:r w:rsidR="00451175">
        <w:rPr>
          <w:rFonts w:ascii="Times New Roman" w:hAnsi="Times New Roman"/>
          <w:sz w:val="24"/>
          <w:szCs w:val="24"/>
        </w:rPr>
        <w:t xml:space="preserve">Accessed on July 28, 2020. </w:t>
      </w:r>
      <w:hyperlink r:id="rId60" w:history="1">
        <w:r w:rsidRPr="00D400D6">
          <w:rPr>
            <w:rStyle w:val="Hyperlink"/>
            <w:rFonts w:ascii="Times New Roman" w:hAnsi="Times New Roman"/>
            <w:sz w:val="24"/>
            <w:szCs w:val="24"/>
          </w:rPr>
          <w:t>https://www.europarl.europa.eu/sides/getDoc.do?reference=P7-TA-2011-0025&amp;type=TA&amp;language=EN&amp;redirect</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European Parliament. “European Parliament Resolution of 14 June 2018 on Georgian Occupied Territories 10 Years after the Russian Invasion (2018/2741(RSP)).” European Parliament, June 14, 2018. </w:t>
      </w:r>
      <w:r w:rsidR="00451175">
        <w:rPr>
          <w:rFonts w:ascii="Times New Roman" w:hAnsi="Times New Roman"/>
          <w:sz w:val="24"/>
          <w:szCs w:val="24"/>
        </w:rPr>
        <w:t xml:space="preserve">Accessed on July 28, 2020. </w:t>
      </w:r>
      <w:hyperlink r:id="rId61" w:history="1">
        <w:r w:rsidR="00451175" w:rsidRPr="005C3269">
          <w:rPr>
            <w:rStyle w:val="Hyperlink"/>
            <w:rFonts w:ascii="Times New Roman" w:hAnsi="Times New Roman"/>
            <w:sz w:val="24"/>
            <w:szCs w:val="24"/>
          </w:rPr>
          <w:t>https://www.europarl.europa.eu/doceo/document/TA-8-2018-0266_EN.html</w:t>
        </w:r>
      </w:hyperlink>
      <w:r w:rsidRPr="00D400D6">
        <w:rPr>
          <w:rFonts w:ascii="Times New Roman" w:hAnsi="Times New Roman"/>
          <w:sz w:val="24"/>
          <w:szCs w:val="24"/>
        </w:rPr>
        <w:t>.</w:t>
      </w:r>
    </w:p>
    <w:p w:rsidR="00017A6D" w:rsidRPr="00D400D6" w:rsidRDefault="00017A6D" w:rsidP="00017A6D">
      <w:pPr>
        <w:spacing w:line="360" w:lineRule="auto"/>
        <w:rPr>
          <w:rStyle w:val="Hyperlink"/>
          <w:rFonts w:ascii="Times New Roman" w:hAnsi="Times New Roman"/>
          <w:sz w:val="24"/>
          <w:szCs w:val="24"/>
        </w:rPr>
      </w:pPr>
      <w:r w:rsidRPr="00D400D6">
        <w:rPr>
          <w:rFonts w:ascii="Times New Roman" w:hAnsi="Times New Roman"/>
          <w:sz w:val="24"/>
          <w:szCs w:val="24"/>
        </w:rPr>
        <w:lastRenderedPageBreak/>
        <w:t xml:space="preserve">Human Rights Watch. “Violations of Humanitarian Law and Human Rights in the Georgia-South Ossetia Conflict.” HRW International, April 1992. </w:t>
      </w:r>
      <w:r w:rsidR="00451175">
        <w:rPr>
          <w:rFonts w:ascii="Times New Roman" w:hAnsi="Times New Roman"/>
          <w:sz w:val="24"/>
          <w:szCs w:val="24"/>
        </w:rPr>
        <w:t xml:space="preserve">Accessed on July 28, 2020. </w:t>
      </w:r>
      <w:hyperlink r:id="rId62" w:history="1">
        <w:r w:rsidRPr="00D400D6">
          <w:rPr>
            <w:rStyle w:val="Hyperlink"/>
            <w:rFonts w:ascii="Times New Roman" w:hAnsi="Times New Roman"/>
            <w:sz w:val="24"/>
            <w:szCs w:val="24"/>
          </w:rPr>
          <w:t>https://www.hrw.org/report/1992/04/01/bloodshed-caucasus/violations-humanitarian-law-and-human-rights-georgia-south</w:t>
        </w:r>
      </w:hyperlink>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Human Rights Watch. “Living in Limbo Rights of Ethnic Georgians Returnees to the Gali District of Abkhazia.” HRW, July 15, 2011.</w:t>
      </w:r>
      <w:r w:rsidR="00451175">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63" w:history="1">
        <w:r w:rsidR="00451175" w:rsidRPr="005C3269">
          <w:rPr>
            <w:rStyle w:val="Hyperlink"/>
            <w:rFonts w:ascii="Times New Roman" w:hAnsi="Times New Roman"/>
            <w:sz w:val="24"/>
            <w:szCs w:val="24"/>
          </w:rPr>
          <w:t>https://www.hrw.org/report/2011/07/15/living-limbo/rights-ethnic-georgians-returnees-gali-district-abkhazia</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International Crisis Group. “Georgia: Avoiding War in South Ossetia.” ICG, November 26, 2004. </w:t>
      </w:r>
      <w:r w:rsidR="00451175">
        <w:rPr>
          <w:rFonts w:ascii="Times New Roman" w:hAnsi="Times New Roman"/>
          <w:sz w:val="24"/>
          <w:szCs w:val="24"/>
        </w:rPr>
        <w:t xml:space="preserve">Accessed on July 28, 2020. </w:t>
      </w:r>
      <w:hyperlink r:id="rId64" w:history="1">
        <w:r w:rsidRPr="00D400D6">
          <w:rPr>
            <w:rStyle w:val="Hyperlink"/>
            <w:rFonts w:ascii="Times New Roman" w:hAnsi="Times New Roman"/>
            <w:sz w:val="24"/>
            <w:szCs w:val="24"/>
          </w:rPr>
          <w:t>https://www.crisisgroup.org/europe-central-asia/caucasus/georgia/georgia-avoiding-war-south-ossetia</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International Crisis Group. “South Ossetia: The Burden of Recognition.” ICG, June 7, 2010. </w:t>
      </w:r>
      <w:r w:rsidR="00451175">
        <w:rPr>
          <w:rFonts w:ascii="Times New Roman" w:hAnsi="Times New Roman"/>
          <w:sz w:val="24"/>
          <w:szCs w:val="24"/>
        </w:rPr>
        <w:t xml:space="preserve">Accessed on July 28, 2020. </w:t>
      </w:r>
      <w:hyperlink r:id="rId65" w:history="1">
        <w:r w:rsidR="00451175" w:rsidRPr="005C3269">
          <w:rPr>
            <w:rStyle w:val="Hyperlink"/>
            <w:rFonts w:ascii="Times New Roman" w:hAnsi="Times New Roman"/>
            <w:sz w:val="24"/>
            <w:szCs w:val="24"/>
          </w:rPr>
          <w:t>https://www.crisisgroup.org/europe-central-asia/caucasus/south-ossetia-burden-recognition</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Style w:val="Hyperlink"/>
          <w:rFonts w:ascii="Times New Roman" w:hAnsi="Times New Roman"/>
          <w:sz w:val="24"/>
          <w:szCs w:val="24"/>
        </w:rPr>
      </w:pPr>
      <w:r w:rsidRPr="00D400D6">
        <w:rPr>
          <w:rFonts w:ascii="Times New Roman" w:hAnsi="Times New Roman"/>
          <w:sz w:val="24"/>
          <w:szCs w:val="24"/>
        </w:rPr>
        <w:t xml:space="preserve">International Crisis Group. “Georgia's South Ossetia Conflict: Make Haste Slowly.” ICG, June 7, 2007. </w:t>
      </w:r>
      <w:r w:rsidR="00451175">
        <w:rPr>
          <w:rFonts w:ascii="Times New Roman" w:hAnsi="Times New Roman"/>
          <w:sz w:val="24"/>
          <w:szCs w:val="24"/>
        </w:rPr>
        <w:t xml:space="preserve">Accessed on July 28, 2020. </w:t>
      </w:r>
      <w:hyperlink r:id="rId66" w:history="1">
        <w:r w:rsidRPr="00D400D6">
          <w:rPr>
            <w:rStyle w:val="Hyperlink"/>
            <w:rFonts w:ascii="Times New Roman" w:hAnsi="Times New Roman"/>
            <w:sz w:val="24"/>
            <w:szCs w:val="24"/>
          </w:rPr>
          <w:t>https://www.crisisgroup.org/europe-central-asia/caucasus/georgia/georgia-s-south-ossetia-conflict-make-haste-slowly</w:t>
        </w:r>
      </w:hyperlink>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International Crisis Group. “Georgia: Sliding towards Authoritarianism?” ICG, December 20, 2007.</w:t>
      </w:r>
      <w:r w:rsidR="00451175" w:rsidRPr="00451175">
        <w:rPr>
          <w:rFonts w:ascii="Times New Roman" w:hAnsi="Times New Roman"/>
          <w:sz w:val="24"/>
          <w:szCs w:val="24"/>
        </w:rPr>
        <w:t xml:space="preserve"> </w:t>
      </w:r>
      <w:r w:rsidR="00451175">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67" w:history="1">
        <w:r w:rsidRPr="00D400D6">
          <w:rPr>
            <w:rStyle w:val="Hyperlink"/>
            <w:rFonts w:ascii="Times New Roman" w:hAnsi="Times New Roman"/>
            <w:sz w:val="24"/>
            <w:szCs w:val="24"/>
          </w:rPr>
          <w:t>https://www.crisisgroup.org/europe-central-asia/caucasus/georgia/georgia-sliding-towards-authoritarianism</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International Crisis Group. “Abkhazia and South Ossetia: Time to Talk Trade.” ICG, May 2018.</w:t>
      </w:r>
      <w:r w:rsidR="00451175">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68" w:history="1">
        <w:r w:rsidRPr="00D400D6">
          <w:rPr>
            <w:rStyle w:val="Hyperlink"/>
            <w:rFonts w:ascii="Times New Roman" w:hAnsi="Times New Roman"/>
            <w:sz w:val="24"/>
            <w:szCs w:val="24"/>
          </w:rPr>
          <w:t>https://www.crisisgroup.org/europe-central-asia/caucasus/georgia/249-abkhazia-and-south-ossetia-time-talk-trade</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Independent International Fact-Finding Mission on the Conflict in Georgia. “Conflict in Georgia 2008.” Council of Europe, September 2009. </w:t>
      </w:r>
      <w:r w:rsidR="00451175">
        <w:rPr>
          <w:rFonts w:ascii="Times New Roman" w:hAnsi="Times New Roman"/>
          <w:sz w:val="24"/>
          <w:szCs w:val="24"/>
        </w:rPr>
        <w:t xml:space="preserve">Accessed on July 28, 2020. </w:t>
      </w:r>
      <w:hyperlink r:id="rId69" w:history="1">
        <w:r w:rsidRPr="00D400D6">
          <w:rPr>
            <w:rStyle w:val="Hyperlink"/>
            <w:rFonts w:ascii="Times New Roman" w:hAnsi="Times New Roman"/>
            <w:sz w:val="24"/>
            <w:szCs w:val="24"/>
          </w:rPr>
          <w:t>https://www.echr.coe.int/Documents/HUDOC_38263_08_Annexes_ENG.pdf</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 xml:space="preserve">Immigration and Refugee Board of Canada. “Georgia: Information on the Mhedriony (Mkhedrioni) and Their Activities.” Refworld, March 1994. </w:t>
      </w:r>
      <w:r w:rsidR="00451175">
        <w:rPr>
          <w:rFonts w:ascii="Times New Roman" w:hAnsi="Times New Roman"/>
          <w:sz w:val="24"/>
          <w:szCs w:val="24"/>
        </w:rPr>
        <w:t xml:space="preserve">Accessed on July 28, 2020. </w:t>
      </w:r>
      <w:hyperlink r:id="rId70" w:history="1">
        <w:r w:rsidR="00451175" w:rsidRPr="005C3269">
          <w:rPr>
            <w:rStyle w:val="Hyperlink"/>
            <w:rFonts w:ascii="Times New Roman" w:hAnsi="Times New Roman"/>
            <w:sz w:val="24"/>
            <w:szCs w:val="24"/>
          </w:rPr>
          <w:t>https://www.refworld.org/docid/3ae6ac6a14.html</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NATO. “Statement by President of Georgia Eduard Shevardnadze at the EAPC Summit.” NATO Prague Summit 2002, November 22, 2002. </w:t>
      </w:r>
      <w:r w:rsidR="00451175">
        <w:rPr>
          <w:rFonts w:ascii="Times New Roman" w:hAnsi="Times New Roman"/>
          <w:sz w:val="24"/>
          <w:szCs w:val="24"/>
        </w:rPr>
        <w:t xml:space="preserve">Accessed on July 28, 2020. </w:t>
      </w:r>
      <w:hyperlink r:id="rId71" w:history="1">
        <w:r w:rsidR="00451175" w:rsidRPr="005C3269">
          <w:rPr>
            <w:rStyle w:val="Hyperlink"/>
            <w:rFonts w:ascii="Times New Roman" w:hAnsi="Times New Roman"/>
            <w:sz w:val="24"/>
            <w:szCs w:val="24"/>
          </w:rPr>
          <w:t>https://www.nato.int/docu/speech/2002/s021122h.htm</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Office of the State Minister of Georgia for Reconciliation and Civic Equality. “A Step to a Better Future - Peace Initiative.” Office of the State Minister of Georgia for Reconciliation and Civic </w:t>
      </w:r>
      <w:proofErr w:type="gramStart"/>
      <w:r w:rsidRPr="00D400D6">
        <w:rPr>
          <w:rFonts w:ascii="Times New Roman" w:hAnsi="Times New Roman"/>
        </w:rPr>
        <w:t>Equality ,</w:t>
      </w:r>
      <w:proofErr w:type="gramEnd"/>
      <w:r w:rsidRPr="00D400D6">
        <w:rPr>
          <w:rFonts w:ascii="Times New Roman" w:hAnsi="Times New Roman"/>
        </w:rPr>
        <w:t xml:space="preserve"> February 2018. </w:t>
      </w:r>
      <w:r w:rsidR="00451175">
        <w:rPr>
          <w:rFonts w:ascii="Times New Roman" w:hAnsi="Times New Roman"/>
        </w:rPr>
        <w:t xml:space="preserve">Accessed on July 28, 2020. </w:t>
      </w:r>
      <w:hyperlink r:id="rId72" w:history="1">
        <w:r w:rsidRPr="00D400D6">
          <w:rPr>
            <w:rStyle w:val="Hyperlink"/>
            <w:rFonts w:ascii="Times New Roman" w:hAnsi="Times New Roman"/>
          </w:rPr>
          <w:t>https://smr.gov.ge/uploads/prev/Concept_EN_0eaaac2e.pdf</w:t>
        </w:r>
      </w:hyperlink>
      <w:r w:rsidRPr="00D400D6">
        <w:rPr>
          <w:rFonts w:ascii="Times New Roman" w:hAnsi="Times New Roman"/>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Office of the State Minister of Georgia for Reconciliation and Civic Equality. “Geneva International Discussions.” https://smr.gov.ge/en/page/26/geneva-international-discussions, July 2020.</w:t>
      </w:r>
      <w:r w:rsidR="00841FB8">
        <w:rPr>
          <w:rFonts w:ascii="Times New Roman" w:hAnsi="Times New Roman"/>
        </w:rPr>
        <w:t xml:space="preserve"> Accessed on July 28, 2020. </w:t>
      </w:r>
      <w:r w:rsidRPr="00D400D6">
        <w:rPr>
          <w:rFonts w:ascii="Times New Roman" w:hAnsi="Times New Roman"/>
        </w:rPr>
        <w:t xml:space="preserve"> </w:t>
      </w:r>
      <w:hyperlink r:id="rId73" w:history="1">
        <w:r w:rsidRPr="00D400D6">
          <w:rPr>
            <w:rStyle w:val="Hyperlink"/>
            <w:rFonts w:ascii="Times New Roman" w:hAnsi="Times New Roman"/>
          </w:rPr>
          <w:t>https://smr.gov.ge/en/page/26/geneva-international-discussions</w:t>
        </w:r>
      </w:hyperlink>
      <w:r w:rsidRPr="00D400D6">
        <w:rPr>
          <w:rFonts w:ascii="Times New Roman" w:hAnsi="Times New Roman"/>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Office of the State Minister of Georgia for Reconciliation and Civic Equality. “THE 50TH ROUND OF THE GENEVA INTERNATIONAL DISCUSSIONS WAS HELD ON DECEMBER 10-11.” SMR.Gov.Ge, December 13, 2019. </w:t>
      </w:r>
      <w:r w:rsidR="00841FB8">
        <w:rPr>
          <w:rFonts w:ascii="Times New Roman" w:hAnsi="Times New Roman"/>
        </w:rPr>
        <w:t xml:space="preserve">Accessed on July 28, 2020. </w:t>
      </w:r>
      <w:hyperlink r:id="rId74" w:history="1">
        <w:r w:rsidRPr="00D400D6">
          <w:rPr>
            <w:rStyle w:val="Hyperlink"/>
            <w:rFonts w:ascii="Times New Roman" w:hAnsi="Times New Roman"/>
          </w:rPr>
          <w:t>https://smr.gov.ge/en/news/read/1764/the-50th-round-of-the-geneva-international-discussions-was-held-on-december-10-11</w:t>
        </w:r>
      </w:hyperlink>
      <w:r w:rsidRPr="00D400D6">
        <w:rPr>
          <w:rFonts w:ascii="Times New Roman" w:hAnsi="Times New Roman"/>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OECD. “Concepts and Dilemmas of State Building in Fragile Situations </w:t>
      </w:r>
      <w:proofErr w:type="gramStart"/>
      <w:r w:rsidRPr="00D400D6">
        <w:rPr>
          <w:rFonts w:ascii="Times New Roman" w:hAnsi="Times New Roman"/>
          <w:sz w:val="24"/>
          <w:szCs w:val="24"/>
        </w:rPr>
        <w:t>From</w:t>
      </w:r>
      <w:proofErr w:type="gramEnd"/>
      <w:r w:rsidRPr="00D400D6">
        <w:rPr>
          <w:rFonts w:ascii="Times New Roman" w:hAnsi="Times New Roman"/>
          <w:sz w:val="24"/>
          <w:szCs w:val="24"/>
        </w:rPr>
        <w:t xml:space="preserve"> Fragility to Resilience.” OECD iLibrary, April 17, 2009.</w:t>
      </w:r>
      <w:r w:rsidR="00841FB8" w:rsidRPr="00841FB8">
        <w:rPr>
          <w:rFonts w:ascii="Times New Roman" w:hAnsi="Times New Roman"/>
          <w:sz w:val="24"/>
          <w:szCs w:val="24"/>
        </w:rPr>
        <w:t xml:space="preserve"> </w:t>
      </w:r>
      <w:r w:rsidR="00841FB8">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75" w:history="1">
        <w:r w:rsidR="00841FB8" w:rsidRPr="005C3269">
          <w:rPr>
            <w:rStyle w:val="Hyperlink"/>
            <w:rFonts w:ascii="Times New Roman" w:hAnsi="Times New Roman"/>
            <w:sz w:val="24"/>
            <w:szCs w:val="24"/>
          </w:rPr>
          <w:t>https://www.oecd-ilibrary.org/development/concepts-and-dilemmas-of-state-building-in-fragile-situations_journal_dev-v9-art27-en</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President of the Republic of Abkhazia.” Economy of the Republic of Abkhazia. Presidential Administration of the Republic of Abkhazia”, June 2020. </w:t>
      </w:r>
      <w:r w:rsidR="00841FB8">
        <w:rPr>
          <w:rFonts w:ascii="Times New Roman" w:hAnsi="Times New Roman"/>
          <w:sz w:val="24"/>
          <w:szCs w:val="24"/>
        </w:rPr>
        <w:t xml:space="preserve">Accessed on July 28, 2020. </w:t>
      </w:r>
      <w:hyperlink r:id="rId76" w:history="1">
        <w:r w:rsidR="00841FB8" w:rsidRPr="005C3269">
          <w:rPr>
            <w:rStyle w:val="Hyperlink"/>
            <w:rFonts w:ascii="Times New Roman" w:hAnsi="Times New Roman"/>
            <w:sz w:val="24"/>
            <w:szCs w:val="24"/>
          </w:rPr>
          <w:t>http://presidentofabkhazia.org/en/respublika_abkhazia/economy/</w:t>
        </w:r>
      </w:hyperlink>
      <w:r w:rsidRPr="00D400D6">
        <w:rPr>
          <w:rFonts w:ascii="Times New Roman" w:hAnsi="Times New Roman"/>
          <w:sz w:val="24"/>
          <w:szCs w:val="24"/>
        </w:rPr>
        <w:t>.</w:t>
      </w:r>
    </w:p>
    <w:p w:rsidR="00841FB8" w:rsidRDefault="00017A6D" w:rsidP="00841FB8">
      <w:pPr>
        <w:pStyle w:val="NormalWeb"/>
        <w:spacing w:line="360" w:lineRule="auto"/>
        <w:rPr>
          <w:rFonts w:ascii="Times New Roman" w:hAnsi="Times New Roman"/>
        </w:rPr>
      </w:pPr>
      <w:r w:rsidRPr="00D400D6">
        <w:rPr>
          <w:rFonts w:ascii="Times New Roman" w:hAnsi="Times New Roman"/>
        </w:rPr>
        <w:t xml:space="preserve">Peace Agreements Database. “Protocol on Agreement (The Medvedev-Sarkozy-Saakashvili Plan).” PA-X Peace Agreements Database, August 12, 2008. </w:t>
      </w:r>
      <w:r w:rsidR="00841FB8">
        <w:rPr>
          <w:rFonts w:ascii="Times New Roman" w:hAnsi="Times New Roman"/>
        </w:rPr>
        <w:t xml:space="preserve">Accessed on July 28, 2020. </w:t>
      </w:r>
      <w:hyperlink r:id="rId77" w:history="1">
        <w:r w:rsidR="00841FB8" w:rsidRPr="005C3269">
          <w:rPr>
            <w:rStyle w:val="Hyperlink"/>
            <w:rFonts w:ascii="Times New Roman" w:hAnsi="Times New Roman"/>
          </w:rPr>
          <w:t>https://www.peaceagreements.org/view/724</w:t>
        </w:r>
      </w:hyperlink>
      <w:r w:rsidRPr="00D400D6">
        <w:rPr>
          <w:rFonts w:ascii="Times New Roman" w:hAnsi="Times New Roman"/>
        </w:rPr>
        <w:t>.</w:t>
      </w:r>
    </w:p>
    <w:p w:rsidR="00017A6D" w:rsidRDefault="00017A6D" w:rsidP="00841FB8">
      <w:pPr>
        <w:pStyle w:val="NormalWeb"/>
        <w:spacing w:line="360" w:lineRule="auto"/>
        <w:rPr>
          <w:rFonts w:ascii="Times New Roman" w:hAnsi="Times New Roman"/>
        </w:rPr>
      </w:pPr>
      <w:r w:rsidRPr="00D400D6">
        <w:rPr>
          <w:rFonts w:ascii="Times New Roman" w:hAnsi="Times New Roman"/>
        </w:rPr>
        <w:lastRenderedPageBreak/>
        <w:t xml:space="preserve">Russian Federal Agency for CIS Affairs. “Support for Compatriots Abroad.” Russian Federal Agency for CIS </w:t>
      </w:r>
      <w:proofErr w:type="gramStart"/>
      <w:r w:rsidRPr="00D400D6">
        <w:rPr>
          <w:rFonts w:ascii="Times New Roman" w:hAnsi="Times New Roman"/>
        </w:rPr>
        <w:t>Affairs ,</w:t>
      </w:r>
      <w:proofErr w:type="gramEnd"/>
      <w:r w:rsidRPr="00D400D6">
        <w:rPr>
          <w:rFonts w:ascii="Times New Roman" w:hAnsi="Times New Roman"/>
        </w:rPr>
        <w:t xml:space="preserve"> June 2020.</w:t>
      </w:r>
      <w:r w:rsidR="00841FB8" w:rsidRPr="00841FB8">
        <w:rPr>
          <w:rFonts w:ascii="Times New Roman" w:hAnsi="Times New Roman"/>
        </w:rPr>
        <w:t xml:space="preserve"> </w:t>
      </w:r>
      <w:r w:rsidR="00841FB8">
        <w:rPr>
          <w:rFonts w:ascii="Times New Roman" w:hAnsi="Times New Roman"/>
        </w:rPr>
        <w:t xml:space="preserve">Accessed on July 28, 2020. </w:t>
      </w:r>
      <w:r w:rsidRPr="00D400D6">
        <w:rPr>
          <w:rFonts w:ascii="Times New Roman" w:hAnsi="Times New Roman"/>
        </w:rPr>
        <w:t xml:space="preserve"> </w:t>
      </w:r>
      <w:hyperlink r:id="rId78" w:history="1">
        <w:r w:rsidR="00841FB8" w:rsidRPr="005C3269">
          <w:rPr>
            <w:rStyle w:val="Hyperlink"/>
            <w:rFonts w:ascii="Times New Roman" w:hAnsi="Times New Roman"/>
          </w:rPr>
          <w:t>http://rs.gov.ru/en/activities/5</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Supreme Council of the Republic of Georgia. “Legislative Order on Annulment of the Autonomous Status of the South Ossetia Region.” Parliament of Georgia, December 1990. </w:t>
      </w:r>
      <w:r w:rsidR="00841FB8">
        <w:rPr>
          <w:rFonts w:ascii="Times New Roman" w:hAnsi="Times New Roman"/>
          <w:sz w:val="24"/>
          <w:szCs w:val="24"/>
        </w:rPr>
        <w:t xml:space="preserve">Accessed on July 28, 2020. </w:t>
      </w:r>
      <w:hyperlink r:id="rId79" w:history="1">
        <w:r w:rsidRPr="00D400D6">
          <w:rPr>
            <w:rStyle w:val="Hyperlink"/>
            <w:rFonts w:ascii="Times New Roman" w:hAnsi="Times New Roman"/>
            <w:sz w:val="24"/>
            <w:szCs w:val="24"/>
          </w:rPr>
          <w:t>https://matsne.gov.ge/ka/document/view/1079618</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Supreme Council of the Republic of Georgia. “Act of Restoration of State Independence of Georgia.” Legislative Herald of Georgia, April 9, 1991. </w:t>
      </w:r>
      <w:r w:rsidR="00841FB8">
        <w:rPr>
          <w:rFonts w:ascii="Times New Roman" w:hAnsi="Times New Roman"/>
          <w:sz w:val="24"/>
          <w:szCs w:val="24"/>
        </w:rPr>
        <w:t xml:space="preserve">Accessed on July 28, 2020. </w:t>
      </w:r>
      <w:hyperlink r:id="rId80" w:history="1">
        <w:r w:rsidRPr="00D400D6">
          <w:rPr>
            <w:rStyle w:val="Hyperlink"/>
            <w:rFonts w:ascii="Times New Roman" w:hAnsi="Times New Roman"/>
            <w:sz w:val="24"/>
            <w:szCs w:val="24"/>
          </w:rPr>
          <w:t>https://matsne.gov.ge/en/document/view/32362?publication=0</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The Organization for Security and Co-Operation in Europe (OSCE). “The OSCE Original Mandate in Georgia.” OSCE, November 2016. </w:t>
      </w:r>
      <w:r w:rsidR="00841FB8">
        <w:rPr>
          <w:rFonts w:ascii="Times New Roman" w:hAnsi="Times New Roman"/>
          <w:sz w:val="24"/>
          <w:szCs w:val="24"/>
        </w:rPr>
        <w:t xml:space="preserve">Accessed on July 28, 2020. </w:t>
      </w:r>
      <w:hyperlink r:id="rId81" w:history="1">
        <w:r w:rsidRPr="00D400D6">
          <w:rPr>
            <w:rStyle w:val="Hyperlink"/>
            <w:rFonts w:ascii="Times New Roman" w:hAnsi="Times New Roman"/>
            <w:sz w:val="24"/>
            <w:szCs w:val="24"/>
          </w:rPr>
          <w:t>https://www.osce.org/georgia-closed/43386</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The Kremlin. “Press Conference for Russian and Foreign Press Officials.” The Kremlin, January31, 2006.</w:t>
      </w:r>
      <w:r w:rsidR="00841FB8" w:rsidRPr="00841FB8">
        <w:rPr>
          <w:rFonts w:ascii="Times New Roman" w:hAnsi="Times New Roman"/>
          <w:sz w:val="24"/>
          <w:szCs w:val="24"/>
        </w:rPr>
        <w:t xml:space="preserve"> </w:t>
      </w:r>
      <w:r w:rsidR="00841FB8">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82" w:history="1">
        <w:r w:rsidRPr="00D400D6">
          <w:rPr>
            <w:rStyle w:val="Hyperlink"/>
            <w:rFonts w:ascii="Times New Roman" w:hAnsi="Times New Roman"/>
            <w:sz w:val="24"/>
            <w:szCs w:val="24"/>
          </w:rPr>
          <w:t>http://kremlin.ru/events/president/transcripts/23412</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The Kremlin. “Statement by President of Russia Dimitry Medvedev on Recognition of Abkhazia and South Ossetia.” The Kremlin, August 26, 2008. </w:t>
      </w:r>
      <w:r w:rsidR="00841FB8">
        <w:rPr>
          <w:rFonts w:ascii="Times New Roman" w:hAnsi="Times New Roman"/>
          <w:sz w:val="24"/>
          <w:szCs w:val="24"/>
        </w:rPr>
        <w:t xml:space="preserve">Accessed on July 28, 2020. </w:t>
      </w:r>
      <w:hyperlink r:id="rId83" w:history="1">
        <w:r w:rsidRPr="00D400D6">
          <w:rPr>
            <w:rStyle w:val="Hyperlink"/>
            <w:rFonts w:ascii="Times New Roman" w:hAnsi="Times New Roman"/>
            <w:sz w:val="24"/>
            <w:szCs w:val="24"/>
          </w:rPr>
          <w:t>http://en.kremlin.ru/events/president/transcripts/1222</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The Kremlin. “Interview given by Dmitry Medvedev to Television Channels Channel One, Rossia, NTV.” The Kremlin, August 31, 2008. </w:t>
      </w:r>
      <w:r w:rsidR="00841FB8">
        <w:rPr>
          <w:rFonts w:ascii="Times New Roman" w:hAnsi="Times New Roman"/>
          <w:sz w:val="24"/>
          <w:szCs w:val="24"/>
        </w:rPr>
        <w:t xml:space="preserve">Accessed on July 28, 2020. </w:t>
      </w:r>
      <w:hyperlink r:id="rId84" w:history="1">
        <w:r w:rsidR="00841FB8" w:rsidRPr="005C3269">
          <w:rPr>
            <w:rStyle w:val="Hyperlink"/>
            <w:rFonts w:ascii="Times New Roman" w:hAnsi="Times New Roman"/>
            <w:sz w:val="24"/>
            <w:szCs w:val="24"/>
          </w:rPr>
          <w:t>http://en.kremlin.ru/events/president/transcripts/48301</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The Kremlin. “Russian Presidential Decree 1260 and 1261 on Recognition of Abkhazia and South Ossetia.” Wikimedia, August 26, 2008. </w:t>
      </w:r>
      <w:r w:rsidR="00841FB8">
        <w:rPr>
          <w:rFonts w:ascii="Times New Roman" w:hAnsi="Times New Roman"/>
          <w:sz w:val="24"/>
          <w:szCs w:val="24"/>
        </w:rPr>
        <w:t xml:space="preserve">Accessed on July 28, 2020. </w:t>
      </w:r>
      <w:hyperlink r:id="rId85" w:history="1">
        <w:r w:rsidRPr="00D400D6">
          <w:rPr>
            <w:rStyle w:val="Hyperlink"/>
            <w:rFonts w:ascii="Times New Roman" w:hAnsi="Times New Roman"/>
            <w:sz w:val="24"/>
            <w:szCs w:val="24"/>
          </w:rPr>
          <w:t>https://commons.wikimedia.org/wiki/File:Decree_recognising_Abkhazian_independence.png</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The Kremlin. “Transcript of the Press Conference of President Vladimir Putin for the Russian and Foreign Media.” The Kremlin Press Center, January 2006. </w:t>
      </w:r>
      <w:r w:rsidR="00841FB8">
        <w:rPr>
          <w:rFonts w:ascii="Times New Roman" w:hAnsi="Times New Roman"/>
          <w:sz w:val="24"/>
          <w:szCs w:val="24"/>
        </w:rPr>
        <w:t xml:space="preserve">Accessed on July 28, 2020. </w:t>
      </w:r>
      <w:hyperlink r:id="rId86" w:history="1">
        <w:r w:rsidRPr="00D400D6">
          <w:rPr>
            <w:rStyle w:val="Hyperlink"/>
            <w:rFonts w:ascii="Times New Roman" w:hAnsi="Times New Roman"/>
            <w:sz w:val="24"/>
            <w:szCs w:val="24"/>
          </w:rPr>
          <w:t>http://en.kremlin.ru/events/president/transcripts/page/345</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 xml:space="preserve">The Embassy of Georgia in the United States of America. “Chronology of Major Events of Georgia- EU Cooperation,” June 2018. </w:t>
      </w:r>
      <w:r w:rsidR="00841FB8">
        <w:rPr>
          <w:rFonts w:ascii="Times New Roman" w:hAnsi="Times New Roman"/>
          <w:sz w:val="24"/>
          <w:szCs w:val="24"/>
        </w:rPr>
        <w:t xml:space="preserve">Accessed on July 28, 2020. </w:t>
      </w:r>
      <w:hyperlink r:id="rId87" w:history="1">
        <w:r w:rsidRPr="00D400D6">
          <w:rPr>
            <w:rStyle w:val="Hyperlink"/>
            <w:rFonts w:ascii="Times New Roman" w:hAnsi="Times New Roman"/>
            <w:sz w:val="24"/>
            <w:szCs w:val="24"/>
          </w:rPr>
          <w:t>https://georgiaembassyusa.org/wp-content/uploads/2018/01/Chronology-of-Major-Events-in-Georgia-EU-Cooperation.pdf</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The Government of Georgia. “Six Point Peace Plan.” The Government of Georgia, August 12, 2008.</w:t>
      </w:r>
      <w:r w:rsidR="00841FB8" w:rsidRPr="00841FB8">
        <w:rPr>
          <w:rFonts w:ascii="Times New Roman" w:hAnsi="Times New Roman"/>
        </w:rPr>
        <w:t xml:space="preserve"> </w:t>
      </w:r>
      <w:r w:rsidR="00841FB8">
        <w:rPr>
          <w:rFonts w:ascii="Times New Roman" w:hAnsi="Times New Roman"/>
        </w:rPr>
        <w:t xml:space="preserve">Accessed on July 28, 2020. </w:t>
      </w:r>
      <w:r w:rsidRPr="00D400D6">
        <w:rPr>
          <w:rFonts w:ascii="Times New Roman" w:hAnsi="Times New Roman"/>
        </w:rPr>
        <w:t xml:space="preserve"> </w:t>
      </w:r>
      <w:hyperlink r:id="rId88" w:history="1">
        <w:r w:rsidRPr="00D400D6">
          <w:rPr>
            <w:rStyle w:val="Hyperlink"/>
            <w:rFonts w:ascii="Times New Roman" w:hAnsi="Times New Roman"/>
          </w:rPr>
          <w:t>https://smr.gov.ge/uploads/prev/9bbbc7.pdf</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The Ministry of Foreign Affairs of Republic of Abkhazia. “Structure of the Ministry.” MFA Apsny, June 2020. </w:t>
      </w:r>
      <w:r w:rsidR="00841FB8">
        <w:rPr>
          <w:rFonts w:ascii="Times New Roman" w:hAnsi="Times New Roman"/>
          <w:sz w:val="24"/>
          <w:szCs w:val="24"/>
        </w:rPr>
        <w:t xml:space="preserve">Accessed on July 28, 2020. </w:t>
      </w:r>
      <w:hyperlink r:id="rId89" w:history="1">
        <w:r w:rsidRPr="00D400D6">
          <w:rPr>
            <w:rStyle w:val="Hyperlink"/>
            <w:rFonts w:ascii="Times New Roman" w:hAnsi="Times New Roman"/>
            <w:sz w:val="24"/>
            <w:szCs w:val="24"/>
          </w:rPr>
          <w:t>http://mfaapsny.org/en/about/</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The Ministry of Defense of Georgia. “National Security Concept of Georgia.” Ministry of Defense of Georgia, April 2018.</w:t>
      </w:r>
      <w:r w:rsidR="00841FB8" w:rsidRPr="00841FB8">
        <w:rPr>
          <w:rFonts w:ascii="Times New Roman" w:hAnsi="Times New Roman"/>
          <w:sz w:val="24"/>
          <w:szCs w:val="24"/>
        </w:rPr>
        <w:t xml:space="preserve"> </w:t>
      </w:r>
      <w:r w:rsidR="00841FB8">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90" w:history="1">
        <w:r w:rsidRPr="00D400D6">
          <w:rPr>
            <w:rStyle w:val="Hyperlink"/>
            <w:rFonts w:ascii="Times New Roman" w:hAnsi="Times New Roman"/>
            <w:sz w:val="24"/>
            <w:szCs w:val="24"/>
          </w:rPr>
          <w:t>https://mod.gov.ge/ge/page/70/saqartvelos-erovnuli-usafrtxoebis-koncefcia</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“The Constitution of the USSR 1924 - Organic Law.” MSU, February 1987. </w:t>
      </w:r>
      <w:r w:rsidR="00841FB8">
        <w:rPr>
          <w:rFonts w:ascii="Times New Roman" w:hAnsi="Times New Roman"/>
          <w:sz w:val="24"/>
          <w:szCs w:val="24"/>
        </w:rPr>
        <w:t xml:space="preserve">Accessed on July 28, 2020. </w:t>
      </w:r>
      <w:hyperlink r:id="rId91" w:history="1">
        <w:r w:rsidRPr="00D400D6">
          <w:rPr>
            <w:rStyle w:val="Hyperlink"/>
            <w:rFonts w:ascii="Times New Roman" w:hAnsi="Times New Roman"/>
            <w:sz w:val="24"/>
            <w:szCs w:val="24"/>
          </w:rPr>
          <w:t>http://www.hist.msu.ru/ER/Etext/cnst1924.htm</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United Nations High Commissioner for Refugees, Refworld. “Chronology for Abkhazians in Georgia.” Refworld. The UNHCR, April 2004. </w:t>
      </w:r>
      <w:r w:rsidR="00841FB8">
        <w:rPr>
          <w:rFonts w:ascii="Times New Roman" w:hAnsi="Times New Roman"/>
          <w:sz w:val="24"/>
          <w:szCs w:val="24"/>
        </w:rPr>
        <w:t xml:space="preserve">Accessed on July 28, 2020. </w:t>
      </w:r>
      <w:hyperlink r:id="rId92" w:history="1">
        <w:r w:rsidRPr="00D400D6">
          <w:rPr>
            <w:rStyle w:val="Hyperlink"/>
            <w:rFonts w:ascii="Times New Roman" w:hAnsi="Times New Roman"/>
            <w:sz w:val="24"/>
            <w:szCs w:val="24"/>
          </w:rPr>
          <w:t>https://www.refworld.org/docid/469f388ca.html</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United Nations High Commissioner for Refugees. “Report of the Secretary-General on the Situation in Abkhazia, Georgia.” Refworld. UN Security Council, June 26, 2006. </w:t>
      </w:r>
      <w:r w:rsidR="00841FB8">
        <w:rPr>
          <w:rFonts w:ascii="Times New Roman" w:hAnsi="Times New Roman"/>
          <w:sz w:val="24"/>
          <w:szCs w:val="24"/>
        </w:rPr>
        <w:t xml:space="preserve">Accessed on July 28, 2020. </w:t>
      </w:r>
      <w:hyperlink r:id="rId93" w:history="1">
        <w:r w:rsidRPr="00D400D6">
          <w:rPr>
            <w:rStyle w:val="Hyperlink"/>
            <w:rFonts w:ascii="Times New Roman" w:hAnsi="Times New Roman"/>
            <w:sz w:val="24"/>
            <w:szCs w:val="24"/>
          </w:rPr>
          <w:t>https://www.refworld.org/docid/453785670.html</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United Nations Security Council. “SC/9681 - Security Council Fails to Adopt Resolution Extending Mandate of Georgia Mission for 2 Weeks, as Russian Federation Votes against Text.” United Nations, June 15, 2009. </w:t>
      </w:r>
      <w:r w:rsidR="00841FB8">
        <w:rPr>
          <w:rFonts w:ascii="Times New Roman" w:hAnsi="Times New Roman"/>
          <w:sz w:val="24"/>
          <w:szCs w:val="24"/>
        </w:rPr>
        <w:t xml:space="preserve">Accessed on July 28, 2020. </w:t>
      </w:r>
      <w:hyperlink r:id="rId94" w:history="1">
        <w:r w:rsidR="00841FB8" w:rsidRPr="005C3269">
          <w:rPr>
            <w:rStyle w:val="Hyperlink"/>
            <w:rFonts w:ascii="Times New Roman" w:hAnsi="Times New Roman"/>
            <w:sz w:val="24"/>
            <w:szCs w:val="24"/>
          </w:rPr>
          <w:t>https://www.un.org/press/en/2009/sc9681.doc.htm</w:t>
        </w:r>
      </w:hyperlink>
      <w:r w:rsidRPr="00D400D6">
        <w:rPr>
          <w:rFonts w:ascii="Times New Roman" w:hAnsi="Times New Roman"/>
          <w:sz w:val="24"/>
          <w:szCs w:val="24"/>
        </w:rPr>
        <w:t>.</w:t>
      </w:r>
    </w:p>
    <w:p w:rsidR="00D400D6" w:rsidRPr="00D400D6" w:rsidRDefault="00017A6D" w:rsidP="00D400D6">
      <w:pPr>
        <w:pStyle w:val="NormalWeb"/>
        <w:spacing w:line="360" w:lineRule="auto"/>
        <w:rPr>
          <w:rFonts w:ascii="Times New Roman" w:hAnsi="Times New Roman"/>
        </w:rPr>
      </w:pPr>
      <w:r w:rsidRPr="00D400D6">
        <w:rPr>
          <w:rFonts w:ascii="Times New Roman" w:hAnsi="Times New Roman"/>
        </w:rPr>
        <w:t xml:space="preserve">United Nations Development Program in Georgia. “Action Plan of the Parliament of Georgia for the Implementation of the EU-Georgia Association Agreement 2019-2020 Action Plan of the Parliament of Georgia for the Implementation of the EU-Georgia Association Agreement 2019-2020.” UNDP Georgia, April 30, 2019. </w:t>
      </w:r>
      <w:r w:rsidR="00841FB8">
        <w:rPr>
          <w:rFonts w:ascii="Times New Roman" w:hAnsi="Times New Roman"/>
        </w:rPr>
        <w:t xml:space="preserve">Accessed on July 28, 2020. </w:t>
      </w:r>
      <w:hyperlink r:id="rId95" w:history="1">
        <w:r w:rsidRPr="00D400D6">
          <w:rPr>
            <w:rStyle w:val="Hyperlink"/>
            <w:rFonts w:ascii="Times New Roman" w:hAnsi="Times New Roman"/>
          </w:rPr>
          <w:t>https://www.ge.undp.org/content/dam/georgia/docs/publications/DG/UNDP_GE_DG_Parliament%20action%20plan%202019-20_implementation%20of%20EU-GEO%20AA_eng.pdf</w:t>
        </w:r>
      </w:hyperlink>
      <w:r w:rsidR="00D400D6">
        <w:rPr>
          <w:rFonts w:ascii="Times New Roman" w:hAnsi="Times New Roman"/>
        </w:rPr>
        <w:t>.</w:t>
      </w:r>
    </w:p>
    <w:p w:rsidR="00017A6D" w:rsidRPr="00D400D6" w:rsidRDefault="00017A6D" w:rsidP="00017A6D">
      <w:pPr>
        <w:pStyle w:val="NormalWeb"/>
        <w:rPr>
          <w:rFonts w:ascii="Times New Roman" w:hAnsi="Times New Roman"/>
          <w:b/>
          <w:sz w:val="28"/>
          <w:szCs w:val="28"/>
        </w:rPr>
      </w:pPr>
      <w:r w:rsidRPr="00D400D6">
        <w:rPr>
          <w:rFonts w:ascii="Times New Roman" w:hAnsi="Times New Roman"/>
          <w:b/>
          <w:sz w:val="28"/>
          <w:szCs w:val="28"/>
        </w:rPr>
        <w:t>Books</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Asmus, Ronald D. </w:t>
      </w:r>
      <w:r w:rsidRPr="00D400D6">
        <w:rPr>
          <w:rFonts w:ascii="Times New Roman" w:hAnsi="Times New Roman"/>
          <w:i/>
          <w:iCs/>
          <w:sz w:val="24"/>
          <w:szCs w:val="24"/>
        </w:rPr>
        <w:t>A Little War That Shook the World: Georgia, Russia, and the Future of the West</w:t>
      </w:r>
      <w:r w:rsidRPr="00D400D6">
        <w:rPr>
          <w:rFonts w:ascii="Times New Roman" w:hAnsi="Times New Roman"/>
          <w:sz w:val="24"/>
          <w:szCs w:val="24"/>
        </w:rPr>
        <w:t>. New York: Palgrave Macmillan, 2010.</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Beradze, Tamaz. </w:t>
      </w:r>
      <w:r w:rsidRPr="00D400D6">
        <w:rPr>
          <w:rFonts w:ascii="Times New Roman" w:hAnsi="Times New Roman"/>
          <w:i/>
          <w:iCs/>
        </w:rPr>
        <w:t>A Historical-Geographic Review of Modern Abkhazia</w:t>
      </w:r>
      <w:r w:rsidRPr="00D400D6">
        <w:rPr>
          <w:rFonts w:ascii="Times New Roman" w:hAnsi="Times New Roman"/>
        </w:rPr>
        <w:t xml:space="preserve">. Kondrad Adenauer Stiftung, 2011. </w:t>
      </w:r>
      <w:r w:rsidR="00841FB8">
        <w:rPr>
          <w:rFonts w:ascii="Times New Roman" w:hAnsi="Times New Roman"/>
        </w:rPr>
        <w:t xml:space="preserve">Accessed on July 28, 2020. </w:t>
      </w:r>
      <w:hyperlink r:id="rId96" w:history="1">
        <w:r w:rsidRPr="00D400D6">
          <w:rPr>
            <w:rStyle w:val="Hyperlink"/>
            <w:rFonts w:ascii="Times New Roman" w:hAnsi="Times New Roman"/>
          </w:rPr>
          <w:t>https://www.kas.de/c/document_library/get_file?uuid=9a93a8fa-c31b-f8de-82f4-b0442b45cacb&amp;groupId=252038</w:t>
        </w:r>
      </w:hyperlink>
      <w:r w:rsidRPr="00D400D6">
        <w:rPr>
          <w:rFonts w:ascii="Times New Roman" w:hAnsi="Times New Roman"/>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Bercovitch, Jacob, and Richard Jackson. </w:t>
      </w:r>
      <w:r w:rsidRPr="00D400D6">
        <w:rPr>
          <w:rFonts w:ascii="Times New Roman" w:hAnsi="Times New Roman"/>
          <w:i/>
          <w:iCs/>
        </w:rPr>
        <w:t>Conflict Resolution in the Twenty-First Century: Principles, Methods, and Approaches</w:t>
      </w:r>
      <w:r w:rsidRPr="00D400D6">
        <w:rPr>
          <w:rFonts w:ascii="Times New Roman" w:hAnsi="Times New Roman"/>
        </w:rPr>
        <w:t>. Ann Arbor: University of Michigan Press, 2009.</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Bryman, Alan. </w:t>
      </w:r>
      <w:r w:rsidRPr="00D400D6">
        <w:rPr>
          <w:rFonts w:ascii="Times New Roman" w:hAnsi="Times New Roman"/>
          <w:i/>
          <w:iCs/>
        </w:rPr>
        <w:t>Social Research Methods - 5th Edition</w:t>
      </w:r>
      <w:r w:rsidRPr="00D400D6">
        <w:rPr>
          <w:rFonts w:ascii="Times New Roman" w:hAnsi="Times New Roman"/>
        </w:rPr>
        <w:t xml:space="preserve">. Oxford: OXFORD University Press, 2015. </w:t>
      </w:r>
      <w:r w:rsidR="00841FB8">
        <w:rPr>
          <w:rFonts w:ascii="Times New Roman" w:hAnsi="Times New Roman"/>
        </w:rPr>
        <w:t xml:space="preserve">Accessed on July 28, 2020. </w:t>
      </w:r>
      <w:hyperlink r:id="rId97" w:history="1">
        <w:r w:rsidRPr="00D400D6">
          <w:rPr>
            <w:rStyle w:val="Hyperlink"/>
            <w:rFonts w:ascii="Times New Roman" w:hAnsi="Times New Roman"/>
          </w:rPr>
          <w:t>https://global.oup.com/ukhe/product/social-research-methods-9780199689453?cc=ge&amp;lang=en&amp;</w:t>
        </w:r>
      </w:hyperlink>
      <w:r w:rsidRPr="00D400D6">
        <w:rPr>
          <w:rFonts w:ascii="Times New Roman" w:hAnsi="Times New Roman"/>
        </w:rPr>
        <w:t>.</w:t>
      </w: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 xml:space="preserve">Bretherton, Charlotte; Vogler, John, </w:t>
      </w:r>
      <w:proofErr w:type="gramStart"/>
      <w:r w:rsidRPr="00D400D6">
        <w:rPr>
          <w:rFonts w:ascii="Times New Roman" w:hAnsi="Times New Roman"/>
          <w:i/>
          <w:iCs/>
          <w:sz w:val="24"/>
          <w:szCs w:val="24"/>
        </w:rPr>
        <w:t>The</w:t>
      </w:r>
      <w:proofErr w:type="gramEnd"/>
      <w:r w:rsidRPr="00D400D6">
        <w:rPr>
          <w:rFonts w:ascii="Times New Roman" w:hAnsi="Times New Roman"/>
          <w:i/>
          <w:iCs/>
          <w:sz w:val="24"/>
          <w:szCs w:val="24"/>
        </w:rPr>
        <w:t xml:space="preserve"> European Union as a Global Actor</w:t>
      </w:r>
      <w:r w:rsidRPr="00D400D6">
        <w:rPr>
          <w:rFonts w:ascii="Times New Roman" w:hAnsi="Times New Roman"/>
          <w:sz w:val="24"/>
          <w:szCs w:val="24"/>
        </w:rPr>
        <w:t xml:space="preserve">. (London: Routledge, 2007) [2nd </w:t>
      </w:r>
      <w:proofErr w:type="gramStart"/>
      <w:r w:rsidRPr="00D400D6">
        <w:rPr>
          <w:rFonts w:ascii="Times New Roman" w:hAnsi="Times New Roman"/>
          <w:sz w:val="24"/>
          <w:szCs w:val="24"/>
        </w:rPr>
        <w:t>ed</w:t>
      </w:r>
      <w:proofErr w:type="gramEnd"/>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sz w:val="24"/>
          <w:szCs w:val="24"/>
        </w:rPr>
      </w:pPr>
    </w:p>
    <w:p w:rsidR="00017A6D" w:rsidRPr="00D400D6" w:rsidRDefault="00017A6D" w:rsidP="00017A6D">
      <w:pPr>
        <w:autoSpaceDE w:val="0"/>
        <w:autoSpaceDN w:val="0"/>
        <w:adjustRightInd w:val="0"/>
        <w:spacing w:line="360" w:lineRule="auto"/>
        <w:rPr>
          <w:rFonts w:ascii="Times New Roman" w:hAnsi="Times New Roman"/>
          <w:i/>
          <w:iCs/>
          <w:sz w:val="24"/>
          <w:szCs w:val="24"/>
        </w:rPr>
      </w:pPr>
      <w:r w:rsidRPr="00D400D6">
        <w:rPr>
          <w:rFonts w:ascii="Times New Roman" w:hAnsi="Times New Roman"/>
          <w:sz w:val="24"/>
          <w:szCs w:val="24"/>
        </w:rPr>
        <w:t xml:space="preserve">Caspersen, Nina. (2012), </w:t>
      </w:r>
      <w:r w:rsidRPr="00D400D6">
        <w:rPr>
          <w:rFonts w:ascii="Times New Roman" w:hAnsi="Times New Roman"/>
          <w:i/>
          <w:iCs/>
          <w:sz w:val="24"/>
          <w:szCs w:val="24"/>
        </w:rPr>
        <w:t>Unrecognized States. The struggle for sovereignty in the modern</w:t>
      </w:r>
    </w:p>
    <w:p w:rsidR="00017A6D" w:rsidRPr="00D400D6" w:rsidRDefault="00017A6D" w:rsidP="00017A6D">
      <w:pPr>
        <w:spacing w:line="360" w:lineRule="auto"/>
        <w:rPr>
          <w:rFonts w:ascii="Times New Roman" w:hAnsi="Times New Roman"/>
          <w:sz w:val="24"/>
          <w:szCs w:val="24"/>
        </w:rPr>
      </w:pPr>
      <w:proofErr w:type="gramStart"/>
      <w:r w:rsidRPr="00D400D6">
        <w:rPr>
          <w:rFonts w:ascii="Times New Roman" w:hAnsi="Times New Roman"/>
          <w:i/>
          <w:iCs/>
          <w:sz w:val="24"/>
          <w:szCs w:val="24"/>
        </w:rPr>
        <w:t>international</w:t>
      </w:r>
      <w:proofErr w:type="gramEnd"/>
      <w:r w:rsidRPr="00D400D6">
        <w:rPr>
          <w:rFonts w:ascii="Times New Roman" w:hAnsi="Times New Roman"/>
          <w:i/>
          <w:iCs/>
          <w:sz w:val="24"/>
          <w:szCs w:val="24"/>
        </w:rPr>
        <w:t xml:space="preserve"> system</w:t>
      </w:r>
      <w:r w:rsidRPr="00D400D6">
        <w:rPr>
          <w:rFonts w:ascii="Times New Roman" w:hAnsi="Times New Roman"/>
          <w:sz w:val="24"/>
          <w:szCs w:val="24"/>
        </w:rPr>
        <w:t>, Cambridge, Polity Press.</w:t>
      </w:r>
    </w:p>
    <w:p w:rsidR="00841FB8" w:rsidRDefault="00841FB8" w:rsidP="00017A6D">
      <w:pPr>
        <w:spacing w:line="360" w:lineRule="auto"/>
        <w:rPr>
          <w:rFonts w:ascii="Times New Roman" w:hAnsi="Times New Roman"/>
          <w:color w:val="000000"/>
          <w:sz w:val="24"/>
          <w:szCs w:val="24"/>
        </w:rPr>
      </w:pPr>
    </w:p>
    <w:p w:rsidR="00017A6D" w:rsidRPr="00D400D6" w:rsidRDefault="00017A6D" w:rsidP="00017A6D">
      <w:pPr>
        <w:spacing w:line="360" w:lineRule="auto"/>
        <w:rPr>
          <w:rFonts w:ascii="Times New Roman" w:hAnsi="Times New Roman"/>
          <w:color w:val="000000"/>
          <w:sz w:val="24"/>
          <w:szCs w:val="24"/>
        </w:rPr>
      </w:pPr>
      <w:r w:rsidRPr="00D400D6">
        <w:rPr>
          <w:rFonts w:ascii="Times New Roman" w:hAnsi="Times New Roman"/>
          <w:color w:val="000000"/>
          <w:sz w:val="24"/>
          <w:szCs w:val="24"/>
        </w:rPr>
        <w:t>Coggins, B. (2014) Power politics and state formation in the twentieth century: The dynamics of recognition. Cambridge: Cambridge University Press.</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Coene, Frederik. </w:t>
      </w:r>
      <w:r w:rsidRPr="00D400D6">
        <w:rPr>
          <w:rFonts w:ascii="Times New Roman" w:hAnsi="Times New Roman"/>
          <w:i/>
          <w:iCs/>
        </w:rPr>
        <w:t>Caucasus: an Introduction</w:t>
      </w:r>
      <w:r w:rsidRPr="00D400D6">
        <w:rPr>
          <w:rFonts w:ascii="Times New Roman" w:hAnsi="Times New Roman"/>
        </w:rPr>
        <w:t>. London: Taylor &amp; Francis, 2011.</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Cornell, Svante E. </w:t>
      </w:r>
      <w:r w:rsidRPr="00D400D6">
        <w:rPr>
          <w:rFonts w:ascii="Times New Roman" w:hAnsi="Times New Roman"/>
          <w:i/>
          <w:iCs/>
        </w:rPr>
        <w:t>Small Nations and Great Powers: a Study of Ethnopolitical Conflict in the Caucasus</w:t>
      </w:r>
      <w:r w:rsidRPr="00D400D6">
        <w:rPr>
          <w:rFonts w:ascii="Times New Roman" w:hAnsi="Times New Roman"/>
        </w:rPr>
        <w:t xml:space="preserve">. London: Routledge Curzon, 2005. </w:t>
      </w:r>
      <w:r w:rsidR="00841FB8">
        <w:rPr>
          <w:rFonts w:ascii="Times New Roman" w:hAnsi="Times New Roman"/>
        </w:rPr>
        <w:t xml:space="preserve">Accessed on July 28, 2020. </w:t>
      </w:r>
      <w:hyperlink r:id="rId98" w:history="1">
        <w:r w:rsidRPr="00D400D6">
          <w:rPr>
            <w:rStyle w:val="Hyperlink"/>
            <w:rFonts w:ascii="Times New Roman" w:hAnsi="Times New Roman"/>
          </w:rPr>
          <w:t>https://is.muni.cz/el/1423/podzim2012/MVZ208/um/35586974/Small_Nations_and_Great_Powers__A_Study_of_Ethnopolitical_Conflict_in_the_Caucasus__.pdf</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 xml:space="preserve">Cornell, Svante E, Johanna Popjanevski, and Niklas Nilsson. </w:t>
      </w:r>
      <w:r w:rsidRPr="00D400D6">
        <w:rPr>
          <w:rFonts w:ascii="Times New Roman" w:hAnsi="Times New Roman"/>
          <w:i/>
          <w:iCs/>
          <w:sz w:val="24"/>
          <w:szCs w:val="24"/>
        </w:rPr>
        <w:t xml:space="preserve">Russia’s War in Georgia: Causes and Implications for Georgia and the </w:t>
      </w:r>
      <w:proofErr w:type="gramStart"/>
      <w:r w:rsidRPr="00D400D6">
        <w:rPr>
          <w:rFonts w:ascii="Times New Roman" w:hAnsi="Times New Roman"/>
          <w:i/>
          <w:iCs/>
          <w:sz w:val="24"/>
          <w:szCs w:val="24"/>
        </w:rPr>
        <w:t xml:space="preserve">World </w:t>
      </w:r>
      <w:r w:rsidRPr="00D400D6">
        <w:rPr>
          <w:rFonts w:ascii="Times New Roman" w:hAnsi="Times New Roman"/>
          <w:sz w:val="24"/>
          <w:szCs w:val="24"/>
        </w:rPr>
        <w:t>,</w:t>
      </w:r>
      <w:proofErr w:type="gramEnd"/>
      <w:r w:rsidRPr="00D400D6">
        <w:rPr>
          <w:rFonts w:ascii="Times New Roman" w:hAnsi="Times New Roman"/>
          <w:sz w:val="24"/>
          <w:szCs w:val="24"/>
        </w:rPr>
        <w:t xml:space="preserve"> 2008</w:t>
      </w:r>
      <w:r w:rsidR="00841FB8">
        <w:rPr>
          <w:rFonts w:ascii="Times New Roman" w:hAnsi="Times New Roman"/>
          <w:sz w:val="24"/>
          <w:szCs w:val="24"/>
        </w:rPr>
        <w:t>.</w:t>
      </w:r>
      <w:r w:rsidRPr="00D400D6">
        <w:rPr>
          <w:rFonts w:ascii="Times New Roman" w:hAnsi="Times New Roman"/>
          <w:sz w:val="24"/>
          <w:szCs w:val="24"/>
        </w:rPr>
        <w:t xml:space="preserve"> </w:t>
      </w:r>
      <w:r w:rsidR="00841FB8">
        <w:rPr>
          <w:rFonts w:ascii="Times New Roman" w:hAnsi="Times New Roman"/>
          <w:sz w:val="24"/>
          <w:szCs w:val="24"/>
        </w:rPr>
        <w:t xml:space="preserve">Accessed on July 28, 2020. </w:t>
      </w:r>
      <w:hyperlink r:id="rId99" w:history="1">
        <w:r w:rsidRPr="00D400D6">
          <w:rPr>
            <w:rStyle w:val="Hyperlink"/>
            <w:rFonts w:ascii="Times New Roman" w:hAnsi="Times New Roman"/>
            <w:sz w:val="24"/>
            <w:szCs w:val="24"/>
          </w:rPr>
          <w:t>https://www.silkroadstudies.org/resources/pdf/SilkRoadPapers/2008_08_PP_CornellPopjanevskiNillson_Russia-Georgia.pdf</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Cornell, Svante E., and S. Frederick Starr. “The Guns of August 2008.” </w:t>
      </w:r>
      <w:r w:rsidRPr="00D400D6">
        <w:rPr>
          <w:rFonts w:ascii="Times New Roman" w:hAnsi="Times New Roman"/>
          <w:i/>
          <w:iCs/>
        </w:rPr>
        <w:t>Studies of Central Asia and the Caucasus</w:t>
      </w:r>
      <w:r w:rsidR="00841FB8">
        <w:rPr>
          <w:rFonts w:ascii="Times New Roman" w:hAnsi="Times New Roman"/>
        </w:rPr>
        <w:t xml:space="preserve">, 2015. Accessed on July 28, 2020. </w:t>
      </w:r>
      <w:r w:rsidRPr="00D400D6">
        <w:rPr>
          <w:rFonts w:ascii="Times New Roman" w:hAnsi="Times New Roman"/>
        </w:rPr>
        <w:t xml:space="preserve"> </w:t>
      </w:r>
      <w:hyperlink r:id="rId100" w:history="1">
        <w:r w:rsidRPr="00D400D6">
          <w:rPr>
            <w:rStyle w:val="Hyperlink"/>
            <w:rFonts w:ascii="Times New Roman" w:hAnsi="Times New Roman"/>
          </w:rPr>
          <w:t>https://doi.org/10.4324/9781315699660</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De Waal, Thomas. </w:t>
      </w:r>
      <w:r w:rsidRPr="00D400D6">
        <w:rPr>
          <w:rFonts w:ascii="Times New Roman" w:hAnsi="Times New Roman"/>
          <w:i/>
          <w:iCs/>
          <w:sz w:val="24"/>
          <w:szCs w:val="24"/>
        </w:rPr>
        <w:t>The Caucasus: an Introduction</w:t>
      </w:r>
      <w:r w:rsidRPr="00D400D6">
        <w:rPr>
          <w:rFonts w:ascii="Times New Roman" w:hAnsi="Times New Roman"/>
          <w:sz w:val="24"/>
          <w:szCs w:val="24"/>
        </w:rPr>
        <w:t>. New York: Oxford University Press, 2019.</w:t>
      </w:r>
    </w:p>
    <w:p w:rsidR="00017A6D" w:rsidRDefault="00017A6D" w:rsidP="00017A6D">
      <w:pPr>
        <w:pStyle w:val="NormalWeb"/>
        <w:spacing w:line="360" w:lineRule="auto"/>
        <w:rPr>
          <w:rFonts w:ascii="Times New Roman" w:hAnsi="Times New Roman"/>
        </w:rPr>
      </w:pPr>
      <w:r w:rsidRPr="00D400D6">
        <w:rPr>
          <w:rFonts w:ascii="Times New Roman" w:hAnsi="Times New Roman"/>
        </w:rPr>
        <w:t xml:space="preserve">Devlin, Matthew. “SEIZING THE REFORM MOMENT: REBUILDING GEORGIA’S POLICE, 2004-2006.” Princeton University Press, October 2010. </w:t>
      </w:r>
      <w:r w:rsidR="00841FB8">
        <w:rPr>
          <w:rFonts w:ascii="Times New Roman" w:hAnsi="Times New Roman"/>
        </w:rPr>
        <w:t xml:space="preserve">Accessed on July 28, 2020. </w:t>
      </w:r>
      <w:hyperlink r:id="rId101" w:history="1">
        <w:r w:rsidR="00841FB8" w:rsidRPr="005C3269">
          <w:rPr>
            <w:rStyle w:val="Hyperlink"/>
            <w:rFonts w:ascii="Times New Roman" w:hAnsi="Times New Roman"/>
          </w:rPr>
          <w:t>https://successfulsocieties.princeton.edu/sites/successfulsocieties/files/Policy_Note_ID126.pdf</w:t>
        </w:r>
      </w:hyperlink>
      <w:r w:rsidRPr="00D400D6">
        <w:rPr>
          <w:rFonts w:ascii="Times New Roman" w:hAnsi="Times New Roman"/>
        </w:rPr>
        <w:t>.</w:t>
      </w: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Deutsch, Karl; Burrell, Sidney A.; Kann, Robert A.; Lee Jr, Maurice; Lichterman,</w:t>
      </w: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Martin; E. Lindgren, Raymond; Loewenheim, Francis L.; Van Wagenen, Richard</w:t>
      </w:r>
    </w:p>
    <w:p w:rsidR="00017A6D" w:rsidRPr="00D400D6" w:rsidRDefault="00017A6D" w:rsidP="00017A6D">
      <w:pPr>
        <w:autoSpaceDE w:val="0"/>
        <w:autoSpaceDN w:val="0"/>
        <w:adjustRightInd w:val="0"/>
        <w:spacing w:line="360" w:lineRule="auto"/>
        <w:rPr>
          <w:rFonts w:ascii="Times New Roman" w:hAnsi="Times New Roman"/>
          <w:i/>
          <w:iCs/>
          <w:sz w:val="24"/>
          <w:szCs w:val="24"/>
        </w:rPr>
      </w:pPr>
      <w:proofErr w:type="gramStart"/>
      <w:r w:rsidRPr="00D400D6">
        <w:rPr>
          <w:rFonts w:ascii="Times New Roman" w:hAnsi="Times New Roman"/>
          <w:sz w:val="24"/>
          <w:szCs w:val="24"/>
        </w:rPr>
        <w:t>W. ,</w:t>
      </w:r>
      <w:proofErr w:type="gramEnd"/>
      <w:r w:rsidRPr="00D400D6">
        <w:rPr>
          <w:rFonts w:ascii="Times New Roman" w:hAnsi="Times New Roman"/>
          <w:sz w:val="24"/>
          <w:szCs w:val="24"/>
        </w:rPr>
        <w:t xml:space="preserve"> </w:t>
      </w:r>
      <w:r w:rsidRPr="00D400D6">
        <w:rPr>
          <w:rFonts w:ascii="Times New Roman" w:hAnsi="Times New Roman"/>
          <w:i/>
          <w:iCs/>
          <w:sz w:val="24"/>
          <w:szCs w:val="24"/>
        </w:rPr>
        <w:t>Political Community and the North Atlantic Area. International</w:t>
      </w: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i/>
          <w:iCs/>
          <w:sz w:val="24"/>
          <w:szCs w:val="24"/>
        </w:rPr>
        <w:t>Organization in the Light of Historical Experience</w:t>
      </w:r>
      <w:r w:rsidRPr="00D400D6">
        <w:rPr>
          <w:rFonts w:ascii="Times New Roman" w:hAnsi="Times New Roman"/>
          <w:sz w:val="24"/>
          <w:szCs w:val="24"/>
        </w:rPr>
        <w:t>. (New York: Greenwood Press., 1957)</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Diez, Thomas, and Nathalie Tocci. </w:t>
      </w:r>
      <w:r w:rsidRPr="00D400D6">
        <w:rPr>
          <w:rFonts w:ascii="Times New Roman" w:hAnsi="Times New Roman"/>
          <w:i/>
          <w:iCs/>
        </w:rPr>
        <w:t>EU, Promoting Regional Integration, and Conflict Resolution</w:t>
      </w:r>
      <w:r w:rsidRPr="00D400D6">
        <w:rPr>
          <w:rFonts w:ascii="Times New Roman" w:hAnsi="Times New Roman"/>
        </w:rPr>
        <w:t>. Place of publication not identified: SPRINGER INTERNATIONAL PU, 2017.</w:t>
      </w:r>
    </w:p>
    <w:p w:rsidR="00841FB8" w:rsidRDefault="00017A6D" w:rsidP="00017A6D">
      <w:pPr>
        <w:pStyle w:val="NormalWeb"/>
        <w:spacing w:line="360" w:lineRule="auto"/>
        <w:rPr>
          <w:rFonts w:ascii="Times New Roman" w:hAnsi="Times New Roman"/>
        </w:rPr>
      </w:pPr>
      <w:r w:rsidRPr="00D400D6">
        <w:rPr>
          <w:rFonts w:ascii="Times New Roman" w:hAnsi="Times New Roman"/>
        </w:rPr>
        <w:t xml:space="preserve">Emerson, Michael, and Tamara Kovziridze. </w:t>
      </w:r>
      <w:r w:rsidRPr="00D400D6">
        <w:rPr>
          <w:rFonts w:ascii="Times New Roman" w:hAnsi="Times New Roman"/>
          <w:i/>
          <w:iCs/>
        </w:rPr>
        <w:t>Deepening EU-Georgian Relations: What, Why, and How?</w:t>
      </w:r>
      <w:r w:rsidRPr="00D400D6">
        <w:rPr>
          <w:rFonts w:ascii="Times New Roman" w:hAnsi="Times New Roman"/>
        </w:rPr>
        <w:t xml:space="preserve"> London: Rowman&amp;Littlefield International, 2018. </w:t>
      </w:r>
      <w:r w:rsidR="00841FB8">
        <w:rPr>
          <w:rFonts w:ascii="Times New Roman" w:hAnsi="Times New Roman"/>
        </w:rPr>
        <w:t xml:space="preserve">Accessed on July 28, 2020. </w:t>
      </w:r>
      <w:hyperlink r:id="rId102" w:history="1">
        <w:r w:rsidR="00841FB8" w:rsidRPr="005C3269">
          <w:rPr>
            <w:rStyle w:val="Hyperlink"/>
            <w:rFonts w:ascii="Times New Roman" w:hAnsi="Times New Roman"/>
          </w:rPr>
          <w:t>http://www.dcfta.gov.ge/public/filemanager/publications/Georgia_Hanbook_2nd%20ed.pdf</w:t>
        </w:r>
      </w:hyperlink>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Feichtinger, Walter. </w:t>
      </w:r>
      <w:r w:rsidRPr="00D400D6">
        <w:rPr>
          <w:rFonts w:ascii="Times New Roman" w:hAnsi="Times New Roman"/>
          <w:i/>
          <w:iCs/>
          <w:sz w:val="24"/>
          <w:szCs w:val="24"/>
        </w:rPr>
        <w:t>Failed Prevention - The Case of Georgia</w:t>
      </w:r>
      <w:r w:rsidRPr="00D400D6">
        <w:rPr>
          <w:rFonts w:ascii="Times New Roman" w:hAnsi="Times New Roman"/>
          <w:sz w:val="24"/>
          <w:szCs w:val="24"/>
        </w:rPr>
        <w:t xml:space="preserve">. Vienna: Austriani National Defense Academy - Bundesheer, 2011. </w:t>
      </w:r>
      <w:r w:rsidR="00841FB8">
        <w:rPr>
          <w:rFonts w:ascii="Times New Roman" w:hAnsi="Times New Roman"/>
          <w:sz w:val="24"/>
          <w:szCs w:val="24"/>
        </w:rPr>
        <w:t xml:space="preserve">Accessed on July 28, 2020. </w:t>
      </w:r>
      <w:hyperlink r:id="rId103" w:history="1">
        <w:r w:rsidRPr="00D400D6">
          <w:rPr>
            <w:rStyle w:val="Hyperlink"/>
            <w:rFonts w:ascii="Times New Roman" w:hAnsi="Times New Roman"/>
            <w:sz w:val="24"/>
            <w:szCs w:val="24"/>
          </w:rPr>
          <w:t>https://www.bundesheer.at/pdf_pool/publikationen/pfp_rssc_georgia_prevention.pdf</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Gamakharia, Djemal. </w:t>
      </w:r>
      <w:r w:rsidRPr="00D400D6">
        <w:rPr>
          <w:rFonts w:ascii="Times New Roman" w:hAnsi="Times New Roman"/>
          <w:i/>
          <w:iCs/>
        </w:rPr>
        <w:t xml:space="preserve">Assays from the History of Georgia ABKHAZIA from Ancient Times till the Present </w:t>
      </w:r>
      <w:proofErr w:type="gramStart"/>
      <w:r w:rsidRPr="00D400D6">
        <w:rPr>
          <w:rFonts w:ascii="Times New Roman" w:hAnsi="Times New Roman"/>
          <w:i/>
          <w:iCs/>
        </w:rPr>
        <w:t xml:space="preserve">Days </w:t>
      </w:r>
      <w:r w:rsidRPr="00D400D6">
        <w:rPr>
          <w:rFonts w:ascii="Times New Roman" w:hAnsi="Times New Roman"/>
        </w:rPr>
        <w:t>.</w:t>
      </w:r>
      <w:proofErr w:type="gramEnd"/>
      <w:r w:rsidRPr="00D400D6">
        <w:rPr>
          <w:rFonts w:ascii="Times New Roman" w:hAnsi="Times New Roman"/>
        </w:rPr>
        <w:t xml:space="preserve"> Tbilisi: Ministry of Education and Culture of Abkhazia, 2011. </w:t>
      </w:r>
      <w:r w:rsidR="00841FB8">
        <w:rPr>
          <w:rFonts w:ascii="Times New Roman" w:hAnsi="Times New Roman"/>
        </w:rPr>
        <w:t xml:space="preserve">Accessed on July 28, 2020. </w:t>
      </w:r>
      <w:hyperlink r:id="rId104" w:history="1">
        <w:r w:rsidRPr="00D400D6">
          <w:rPr>
            <w:rStyle w:val="Hyperlink"/>
            <w:rFonts w:ascii="Times New Roman" w:hAnsi="Times New Roman"/>
          </w:rPr>
          <w:t>http://dspace.nplg.gov.ge/bitstream/1234/10253/1/Abxazia.pdf</w:t>
        </w:r>
      </w:hyperlink>
      <w:r w:rsidRPr="00D400D6">
        <w:rPr>
          <w:rFonts w:ascii="Times New Roman" w:hAnsi="Times New Roman"/>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lastRenderedPageBreak/>
        <w:t xml:space="preserve">George, Julie J. </w:t>
      </w:r>
      <w:r w:rsidRPr="00D400D6">
        <w:rPr>
          <w:rFonts w:ascii="Times New Roman" w:hAnsi="Times New Roman"/>
          <w:i/>
          <w:iCs/>
        </w:rPr>
        <w:t>Politics of Ethnic Separatism in Russia and Georgia</w:t>
      </w:r>
      <w:r w:rsidRPr="00D400D6">
        <w:rPr>
          <w:rFonts w:ascii="Times New Roman" w:hAnsi="Times New Roman"/>
        </w:rPr>
        <w:t>. Place of publication not identified: Palgrave Macmilan, 2016.</w:t>
      </w:r>
      <w:r w:rsidR="00841FB8" w:rsidRPr="00841FB8">
        <w:rPr>
          <w:rFonts w:ascii="Times New Roman" w:hAnsi="Times New Roman"/>
        </w:rPr>
        <w:t xml:space="preserve"> </w:t>
      </w:r>
      <w:r w:rsidR="00841FB8">
        <w:rPr>
          <w:rFonts w:ascii="Times New Roman" w:hAnsi="Times New Roman"/>
        </w:rPr>
        <w:t xml:space="preserve">Accessed on July 28, 2020. </w:t>
      </w:r>
      <w:r w:rsidRPr="00D400D6">
        <w:rPr>
          <w:rFonts w:ascii="Times New Roman" w:hAnsi="Times New Roman"/>
        </w:rPr>
        <w:t xml:space="preserve"> </w:t>
      </w:r>
      <w:hyperlink r:id="rId105" w:history="1">
        <w:r w:rsidRPr="00D400D6">
          <w:rPr>
            <w:rStyle w:val="Hyperlink"/>
            <w:rFonts w:ascii="Times New Roman" w:hAnsi="Times New Roman"/>
          </w:rPr>
          <w:t>https://pestuge.iliauni.edu.ge/wp-content/uploads/2017/12/George-Julie-A.-The-Politics-of-Ethnic-Separatism-in-Russia-and-Georgia.pdf</w:t>
        </w:r>
      </w:hyperlink>
      <w:r w:rsidRPr="00D400D6">
        <w:rPr>
          <w:rFonts w:ascii="Times New Roman" w:hAnsi="Times New Roman"/>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Gross, Eva, and Ana E. Juncos. </w:t>
      </w:r>
      <w:r w:rsidRPr="00D400D6">
        <w:rPr>
          <w:rFonts w:ascii="Times New Roman" w:hAnsi="Times New Roman"/>
          <w:i/>
          <w:iCs/>
        </w:rPr>
        <w:t xml:space="preserve">EU Conflict Prevention and Crisis </w:t>
      </w:r>
      <w:proofErr w:type="gramStart"/>
      <w:r w:rsidRPr="00D400D6">
        <w:rPr>
          <w:rFonts w:ascii="Times New Roman" w:hAnsi="Times New Roman"/>
          <w:i/>
          <w:iCs/>
        </w:rPr>
        <w:t>Management :</w:t>
      </w:r>
      <w:proofErr w:type="gramEnd"/>
      <w:r w:rsidRPr="00D400D6">
        <w:rPr>
          <w:rFonts w:ascii="Times New Roman" w:hAnsi="Times New Roman"/>
          <w:i/>
          <w:iCs/>
        </w:rPr>
        <w:t xml:space="preserve"> Roles, Institutions, and Policies</w:t>
      </w:r>
      <w:r w:rsidRPr="00D400D6">
        <w:rPr>
          <w:rFonts w:ascii="Times New Roman" w:hAnsi="Times New Roman"/>
        </w:rPr>
        <w:t>. London: Routledge/UACES Contemporary European Studies, 2011.</w:t>
      </w:r>
    </w:p>
    <w:p w:rsidR="00017A6D" w:rsidRPr="00D400D6" w:rsidRDefault="00017A6D" w:rsidP="00017A6D">
      <w:pPr>
        <w:autoSpaceDE w:val="0"/>
        <w:autoSpaceDN w:val="0"/>
        <w:adjustRightInd w:val="0"/>
        <w:spacing w:line="360" w:lineRule="auto"/>
        <w:rPr>
          <w:rFonts w:ascii="Times New Roman" w:hAnsi="Times New Roman"/>
          <w:i/>
          <w:iCs/>
          <w:sz w:val="24"/>
          <w:szCs w:val="24"/>
        </w:rPr>
      </w:pPr>
      <w:r w:rsidRPr="00D400D6">
        <w:rPr>
          <w:rFonts w:ascii="Times New Roman" w:hAnsi="Times New Roman"/>
          <w:sz w:val="24"/>
          <w:szCs w:val="24"/>
        </w:rPr>
        <w:t xml:space="preserve">Haas, Ernest B., </w:t>
      </w:r>
      <w:r w:rsidRPr="00D400D6">
        <w:rPr>
          <w:rFonts w:ascii="Times New Roman" w:hAnsi="Times New Roman"/>
          <w:i/>
          <w:iCs/>
          <w:sz w:val="24"/>
          <w:szCs w:val="24"/>
        </w:rPr>
        <w:t>Beyond the Nation-State: Functionalism and International</w:t>
      </w: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i/>
          <w:iCs/>
          <w:sz w:val="24"/>
          <w:szCs w:val="24"/>
        </w:rPr>
        <w:t>Organization</w:t>
      </w:r>
      <w:r w:rsidRPr="00D400D6">
        <w:rPr>
          <w:rFonts w:ascii="Times New Roman" w:hAnsi="Times New Roman"/>
          <w:sz w:val="24"/>
          <w:szCs w:val="24"/>
        </w:rPr>
        <w:t>. (Stanford: Stanford University Press.</w:t>
      </w:r>
      <w:proofErr w:type="gramStart"/>
      <w:r w:rsidRPr="00D400D6">
        <w:rPr>
          <w:rFonts w:ascii="Times New Roman" w:hAnsi="Times New Roman"/>
          <w:sz w:val="24"/>
          <w:szCs w:val="24"/>
        </w:rPr>
        <w:t>,1964</w:t>
      </w:r>
      <w:proofErr w:type="gramEnd"/>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Harzl, Benedikt. </w:t>
      </w:r>
      <w:r w:rsidRPr="00D400D6">
        <w:rPr>
          <w:rFonts w:ascii="Times New Roman" w:hAnsi="Times New Roman"/>
          <w:i/>
          <w:iCs/>
        </w:rPr>
        <w:t>The Georgian-Abkhazian Conflict: Political Analysis</w:t>
      </w:r>
      <w:r w:rsidRPr="00D400D6">
        <w:rPr>
          <w:rFonts w:ascii="Times New Roman" w:hAnsi="Times New Roman"/>
        </w:rPr>
        <w:t>. Baden-Baden: Nomos, 2016.</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Hamilton, Daniel, and Stefan Meister. </w:t>
      </w:r>
      <w:r w:rsidRPr="00D400D6">
        <w:rPr>
          <w:rFonts w:ascii="Times New Roman" w:hAnsi="Times New Roman"/>
          <w:i/>
          <w:iCs/>
          <w:sz w:val="24"/>
          <w:szCs w:val="24"/>
        </w:rPr>
        <w:t>The Eastern Question Russia, the West, and Europe’s Grey Zone</w:t>
      </w:r>
      <w:r w:rsidRPr="00D400D6">
        <w:rPr>
          <w:rFonts w:ascii="Times New Roman" w:hAnsi="Times New Roman"/>
          <w:sz w:val="24"/>
          <w:szCs w:val="24"/>
        </w:rPr>
        <w:t>. German Council on Foreign Relations, 2016.</w:t>
      </w:r>
      <w:r w:rsidR="00841FB8" w:rsidRPr="00841FB8">
        <w:rPr>
          <w:rFonts w:ascii="Times New Roman" w:hAnsi="Times New Roman"/>
          <w:sz w:val="24"/>
          <w:szCs w:val="24"/>
        </w:rPr>
        <w:t xml:space="preserve"> </w:t>
      </w:r>
      <w:r w:rsidR="00841FB8">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06" w:history="1">
        <w:r w:rsidR="00841FB8" w:rsidRPr="005C3269">
          <w:rPr>
            <w:rStyle w:val="Hyperlink"/>
            <w:rFonts w:ascii="Times New Roman" w:hAnsi="Times New Roman"/>
            <w:sz w:val="24"/>
            <w:szCs w:val="24"/>
          </w:rPr>
          <w:t>https://www.bosch-stiftung.de/sites/default/files/publications/pdf_import/The_Eastern_Question.pdf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eastAsiaTheme="minorHAnsi" w:hAnsi="Times New Roman"/>
          <w:sz w:val="24"/>
          <w:szCs w:val="24"/>
        </w:rPr>
      </w:pPr>
      <w:r w:rsidRPr="00D400D6">
        <w:rPr>
          <w:rFonts w:ascii="Times New Roman" w:hAnsi="Times New Roman"/>
          <w:sz w:val="24"/>
          <w:szCs w:val="24"/>
        </w:rPr>
        <w:t xml:space="preserve">Hewitt, George. </w:t>
      </w:r>
      <w:r w:rsidRPr="00D400D6">
        <w:rPr>
          <w:rFonts w:ascii="Times New Roman" w:hAnsi="Times New Roman"/>
          <w:i/>
          <w:iCs/>
          <w:sz w:val="24"/>
          <w:szCs w:val="24"/>
        </w:rPr>
        <w:t>Abkhazians</w:t>
      </w:r>
      <w:r w:rsidRPr="00D400D6">
        <w:rPr>
          <w:rFonts w:ascii="Times New Roman" w:hAnsi="Times New Roman"/>
          <w:sz w:val="24"/>
          <w:szCs w:val="24"/>
        </w:rPr>
        <w:t>. New York: Routledge, 2015.</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King, Charles. </w:t>
      </w:r>
      <w:r w:rsidRPr="00D400D6">
        <w:rPr>
          <w:rFonts w:ascii="Times New Roman" w:hAnsi="Times New Roman"/>
          <w:i/>
          <w:iCs/>
        </w:rPr>
        <w:t>The Ghost of Freedom: a History of the Caucasus</w:t>
      </w:r>
      <w:r w:rsidRPr="00D400D6">
        <w:rPr>
          <w:rFonts w:ascii="Times New Roman" w:hAnsi="Times New Roman"/>
        </w:rPr>
        <w:t xml:space="preserve">. New York: Oxford University Press, 2012. </w:t>
      </w:r>
      <w:r w:rsidR="00841FB8">
        <w:rPr>
          <w:rFonts w:ascii="Times New Roman" w:hAnsi="Times New Roman"/>
        </w:rPr>
        <w:t xml:space="preserve">Accessed on July 28, 2020. </w:t>
      </w:r>
      <w:hyperlink r:id="rId107" w:history="1">
        <w:r w:rsidRPr="00D400D6">
          <w:rPr>
            <w:rStyle w:val="Hyperlink"/>
            <w:rFonts w:ascii="Times New Roman" w:hAnsi="Times New Roman"/>
          </w:rPr>
          <w:t>http://georgica.tsu.edu.ge/files/06-History/Nationalism%20&amp;%20Identity/King-2008.pdf</w:t>
        </w:r>
      </w:hyperlink>
      <w:r w:rsidRPr="00D400D6">
        <w:rPr>
          <w:rFonts w:ascii="Times New Roman" w:hAnsi="Times New Roman"/>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Leedy, Paul D. </w:t>
      </w:r>
      <w:r w:rsidRPr="00D400D6">
        <w:rPr>
          <w:rFonts w:ascii="Times New Roman" w:hAnsi="Times New Roman"/>
          <w:i/>
          <w:iCs/>
        </w:rPr>
        <w:t>Practical Research: Planning and Design, 9th Edition</w:t>
      </w:r>
      <w:r w:rsidRPr="00D400D6">
        <w:rPr>
          <w:rFonts w:ascii="Times New Roman" w:hAnsi="Times New Roman"/>
        </w:rPr>
        <w:t xml:space="preserve">. Bellevue, </w:t>
      </w:r>
      <w:proofErr w:type="gramStart"/>
      <w:r w:rsidRPr="00D400D6">
        <w:rPr>
          <w:rFonts w:ascii="Times New Roman" w:hAnsi="Times New Roman"/>
        </w:rPr>
        <w:t>WA.:</w:t>
      </w:r>
      <w:proofErr w:type="gramEnd"/>
      <w:r w:rsidRPr="00D400D6">
        <w:rPr>
          <w:rFonts w:ascii="Times New Roman" w:hAnsi="Times New Roman"/>
        </w:rPr>
        <w:t xml:space="preserve"> Content Technologies Inc., 2011.</w:t>
      </w:r>
      <w:r w:rsidR="00841FB8">
        <w:rPr>
          <w:rFonts w:ascii="Times New Roman" w:hAnsi="Times New Roman"/>
        </w:rPr>
        <w:t xml:space="preserve"> Accessed on July 28, 2020. </w:t>
      </w:r>
      <w:r w:rsidRPr="00D400D6">
        <w:rPr>
          <w:rFonts w:ascii="Times New Roman" w:hAnsi="Times New Roman"/>
        </w:rPr>
        <w:t xml:space="preserve"> </w:t>
      </w:r>
      <w:hyperlink r:id="rId108" w:history="1">
        <w:r w:rsidRPr="00D400D6">
          <w:rPr>
            <w:rStyle w:val="Hyperlink"/>
            <w:rFonts w:ascii="Times New Roman" w:hAnsi="Times New Roman"/>
          </w:rPr>
          <w:t>https://www.pearson.com/us/higher-education/product/Leedy-Practical-Research-Planning-and-Design-9th-Edition/9780137152421.html</w:t>
        </w:r>
      </w:hyperlink>
      <w:r w:rsidRPr="00D400D6">
        <w:rPr>
          <w:rFonts w:ascii="Times New Roman" w:hAnsi="Times New Roman"/>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Nebieridze, Petre. “Georgia from National Awakening to Rose Revolution: Delayed Transition in the Former Soviet Union.” Central European University Press, May 2012. </w:t>
      </w:r>
      <w:r w:rsidR="00841FB8">
        <w:rPr>
          <w:rFonts w:ascii="Times New Roman" w:hAnsi="Times New Roman"/>
          <w:sz w:val="24"/>
          <w:szCs w:val="24"/>
        </w:rPr>
        <w:t xml:space="preserve">Accessed on July 28, 2020. </w:t>
      </w:r>
      <w:hyperlink r:id="rId109" w:history="1">
        <w:r w:rsidR="00841FB8" w:rsidRPr="005C3269">
          <w:rPr>
            <w:rStyle w:val="Hyperlink"/>
            <w:rFonts w:ascii="Times New Roman" w:hAnsi="Times New Roman"/>
            <w:sz w:val="24"/>
            <w:szCs w:val="24"/>
          </w:rPr>
          <w:t>http://www.etd.ceu.edu/2010/nebieridze_petre.pdf</w:t>
        </w:r>
      </w:hyperlink>
      <w:r w:rsidRPr="00D400D6">
        <w:rPr>
          <w:rFonts w:ascii="Times New Roman" w:hAnsi="Times New Roman"/>
          <w:sz w:val="24"/>
          <w:szCs w:val="24"/>
        </w:rPr>
        <w:t>.</w:t>
      </w: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color w:val="000000"/>
          <w:sz w:val="24"/>
          <w:szCs w:val="24"/>
        </w:rPr>
        <w:t>Pegg, Scott. (</w:t>
      </w:r>
      <w:r w:rsidRPr="00D400D6">
        <w:rPr>
          <w:rFonts w:ascii="Times New Roman" w:hAnsi="Times New Roman"/>
          <w:sz w:val="24"/>
          <w:szCs w:val="24"/>
        </w:rPr>
        <w:t>1999)</w:t>
      </w:r>
      <w:r w:rsidRPr="00D400D6">
        <w:rPr>
          <w:rFonts w:ascii="Times New Roman" w:hAnsi="Times New Roman"/>
          <w:color w:val="000000"/>
          <w:sz w:val="24"/>
          <w:szCs w:val="24"/>
        </w:rPr>
        <w:t>. International society and the de facto state. Aldershot: Ashgate.</w:t>
      </w:r>
    </w:p>
    <w:p w:rsidR="00017A6D" w:rsidRDefault="00017A6D" w:rsidP="00017A6D">
      <w:pPr>
        <w:spacing w:line="360" w:lineRule="auto"/>
        <w:rPr>
          <w:rFonts w:ascii="Times New Roman" w:hAnsi="Times New Roman"/>
          <w:sz w:val="24"/>
          <w:szCs w:val="24"/>
        </w:rPr>
      </w:pPr>
      <w:r w:rsidRPr="00D400D6">
        <w:rPr>
          <w:rFonts w:ascii="Times New Roman" w:hAnsi="Times New Roman"/>
          <w:sz w:val="24"/>
          <w:szCs w:val="24"/>
        </w:rPr>
        <w:lastRenderedPageBreak/>
        <w:t xml:space="preserve">Peters, Guy. (2009). Governance approaches. In A. Wiener &amp; T. Diez (Eds.), </w:t>
      </w:r>
      <w:r w:rsidRPr="00D400D6">
        <w:rPr>
          <w:rFonts w:ascii="Times New Roman" w:hAnsi="Times New Roman"/>
          <w:i/>
          <w:iCs/>
          <w:sz w:val="24"/>
          <w:szCs w:val="24"/>
        </w:rPr>
        <w:t xml:space="preserve">European integration theory </w:t>
      </w:r>
      <w:r w:rsidRPr="00D400D6">
        <w:rPr>
          <w:rFonts w:ascii="Times New Roman" w:hAnsi="Times New Roman"/>
          <w:sz w:val="24"/>
          <w:szCs w:val="24"/>
        </w:rPr>
        <w:t>(pp. 91-104)</w:t>
      </w:r>
      <w:r w:rsidRPr="00D400D6">
        <w:rPr>
          <w:rFonts w:ascii="Times New Roman" w:hAnsi="Times New Roman"/>
          <w:i/>
          <w:iCs/>
          <w:sz w:val="24"/>
          <w:szCs w:val="24"/>
        </w:rPr>
        <w:t xml:space="preserve">. </w:t>
      </w:r>
      <w:r w:rsidRPr="00D400D6">
        <w:rPr>
          <w:rFonts w:ascii="Times New Roman" w:hAnsi="Times New Roman"/>
          <w:sz w:val="24"/>
          <w:szCs w:val="24"/>
        </w:rPr>
        <w:t>Oxford University Press.</w:t>
      </w:r>
    </w:p>
    <w:p w:rsidR="00841FB8" w:rsidRPr="00841FB8" w:rsidRDefault="00841FB8" w:rsidP="00841FB8">
      <w:pPr>
        <w:pStyle w:val="NoSpacing"/>
      </w:pPr>
    </w:p>
    <w:p w:rsidR="00841FB8" w:rsidRDefault="00017A6D" w:rsidP="00017A6D">
      <w:pPr>
        <w:spacing w:line="360" w:lineRule="auto"/>
        <w:rPr>
          <w:rFonts w:ascii="Times New Roman" w:hAnsi="Times New Roman"/>
          <w:sz w:val="24"/>
          <w:szCs w:val="24"/>
        </w:rPr>
      </w:pPr>
      <w:r w:rsidRPr="00D400D6">
        <w:rPr>
          <w:rFonts w:ascii="Times New Roman" w:hAnsi="Times New Roman"/>
          <w:sz w:val="24"/>
          <w:szCs w:val="24"/>
        </w:rPr>
        <w:t>Rosamond, Ben. (2009). New Theories of European Integration. In M. B. Cini, Nieves Pérez-</w:t>
      </w:r>
    </w:p>
    <w:p w:rsidR="00841FB8" w:rsidRDefault="00841FB8" w:rsidP="00017A6D">
      <w:pPr>
        <w:spacing w:line="360" w:lineRule="auto"/>
        <w:rPr>
          <w:rFonts w:ascii="Times New Roman" w:hAnsi="Times New Roman"/>
          <w:sz w:val="24"/>
          <w:szCs w:val="24"/>
        </w:rPr>
      </w:pP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sz w:val="24"/>
          <w:szCs w:val="24"/>
        </w:rPr>
        <w:t xml:space="preserve">Solórzano (Ed.), </w:t>
      </w:r>
      <w:r w:rsidRPr="00D400D6">
        <w:rPr>
          <w:rFonts w:ascii="Times New Roman" w:hAnsi="Times New Roman"/>
          <w:i/>
          <w:iCs/>
          <w:sz w:val="24"/>
          <w:szCs w:val="24"/>
        </w:rPr>
        <w:t xml:space="preserve">European Union Politics </w:t>
      </w:r>
      <w:r w:rsidRPr="00D400D6">
        <w:rPr>
          <w:rFonts w:ascii="Times New Roman" w:hAnsi="Times New Roman"/>
          <w:sz w:val="24"/>
          <w:szCs w:val="24"/>
        </w:rPr>
        <w:t>(3rd ed., pp. 104-122). New York: Oxford Univesity Press.</w:t>
      </w:r>
    </w:p>
    <w:p w:rsidR="00841FB8" w:rsidRDefault="00841FB8" w:rsidP="00017A6D">
      <w:pPr>
        <w:autoSpaceDE w:val="0"/>
        <w:autoSpaceDN w:val="0"/>
        <w:adjustRightInd w:val="0"/>
        <w:spacing w:line="360" w:lineRule="auto"/>
        <w:rPr>
          <w:rFonts w:ascii="Times New Roman" w:hAnsi="Times New Roman"/>
          <w:color w:val="000000"/>
          <w:sz w:val="24"/>
          <w:szCs w:val="24"/>
        </w:rPr>
      </w:pPr>
    </w:p>
    <w:p w:rsidR="00017A6D" w:rsidRPr="00D400D6" w:rsidRDefault="00017A6D" w:rsidP="00017A6D">
      <w:pPr>
        <w:autoSpaceDE w:val="0"/>
        <w:autoSpaceDN w:val="0"/>
        <w:adjustRightInd w:val="0"/>
        <w:spacing w:line="360" w:lineRule="auto"/>
        <w:rPr>
          <w:rFonts w:ascii="Times New Roman" w:hAnsi="Times New Roman"/>
          <w:color w:val="000000"/>
          <w:sz w:val="24"/>
          <w:szCs w:val="24"/>
        </w:rPr>
      </w:pPr>
      <w:r w:rsidRPr="00D400D6">
        <w:rPr>
          <w:rFonts w:ascii="Times New Roman" w:hAnsi="Times New Roman"/>
          <w:color w:val="000000"/>
          <w:sz w:val="24"/>
          <w:szCs w:val="24"/>
        </w:rPr>
        <w:t>Relitz, Sebastian. (20</w:t>
      </w:r>
      <w:r w:rsidRPr="00D400D6">
        <w:rPr>
          <w:rFonts w:ascii="Times New Roman" w:hAnsi="Times New Roman"/>
          <w:sz w:val="24"/>
          <w:szCs w:val="24"/>
        </w:rPr>
        <w:t>16).</w:t>
      </w:r>
      <w:r w:rsidRPr="00D400D6">
        <w:rPr>
          <w:rFonts w:ascii="Times New Roman" w:hAnsi="Times New Roman"/>
          <w:color w:val="000000"/>
          <w:sz w:val="24"/>
          <w:szCs w:val="24"/>
        </w:rPr>
        <w:t xml:space="preserve"> De facto states in the European neighbourhood: Between Russian domination and European (dis) engagement. The Case of Abkhazia. EURINT Proceedings, 2016.</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Simao, Licina, and Remi Piet. </w:t>
      </w:r>
      <w:r w:rsidRPr="00D400D6">
        <w:rPr>
          <w:rFonts w:ascii="Times New Roman" w:hAnsi="Times New Roman"/>
          <w:i/>
          <w:iCs/>
        </w:rPr>
        <w:t>Security in Shared Neighbourhoods Foreign Policy of Russia, Turkey and the EU</w:t>
      </w:r>
      <w:r w:rsidRPr="00D400D6">
        <w:rPr>
          <w:rFonts w:ascii="Times New Roman" w:hAnsi="Times New Roman"/>
        </w:rPr>
        <w:t>. New York: Palgreve Macmillan, 2016.</w:t>
      </w:r>
      <w:r w:rsidRPr="00D400D6">
        <w:rPr>
          <w:rFonts w:ascii="Times New Roman" w:hAnsi="Times New Roman"/>
          <w:color w:val="000000"/>
        </w:rPr>
        <w:t xml:space="preserve"> </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Souleimanov, Emil. </w:t>
      </w:r>
      <w:r w:rsidRPr="00D400D6">
        <w:rPr>
          <w:rFonts w:ascii="Times New Roman" w:hAnsi="Times New Roman"/>
          <w:i/>
          <w:iCs/>
        </w:rPr>
        <w:t>Understanding Ethnopolitical Conflict: Karabakh, South Ossetia, and Abkhazia Wars Reconsidered</w:t>
      </w:r>
      <w:r w:rsidRPr="00D400D6">
        <w:rPr>
          <w:rFonts w:ascii="Times New Roman" w:hAnsi="Times New Roman"/>
        </w:rPr>
        <w:t>. Houndmills, Basingstoke, Hampshire: Palgrave Macmillan, 2013.</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Shevchuk, Zinaida. “Understanding Armed Conflicts: Evolving Nature of Conflicts in the South Caucasus.” University of Brno Press, July 20, 2014. </w:t>
      </w:r>
      <w:r w:rsidR="00841FB8">
        <w:rPr>
          <w:rFonts w:ascii="Times New Roman" w:hAnsi="Times New Roman"/>
          <w:sz w:val="24"/>
          <w:szCs w:val="24"/>
        </w:rPr>
        <w:t xml:space="preserve">Accessed on July 28, 2020. </w:t>
      </w:r>
      <w:hyperlink r:id="rId110" w:history="1">
        <w:r w:rsidR="00841FB8" w:rsidRPr="005C3269">
          <w:rPr>
            <w:rStyle w:val="Hyperlink"/>
            <w:rFonts w:ascii="Times New Roman" w:hAnsi="Times New Roman"/>
            <w:sz w:val="24"/>
            <w:szCs w:val="24"/>
          </w:rPr>
          <w:t>https://theses.cz/id/nafgi7/?lang=en</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Simao, Licina, and Maria Raquel Freire. “South Caucasus and the ENP.” Tbilisi State University Press, June 2008. </w:t>
      </w:r>
      <w:r w:rsidR="00841FB8">
        <w:rPr>
          <w:rFonts w:ascii="Times New Roman" w:hAnsi="Times New Roman"/>
          <w:sz w:val="24"/>
          <w:szCs w:val="24"/>
        </w:rPr>
        <w:t xml:space="preserve">Accessed on July 28, 2020. </w:t>
      </w:r>
      <w:hyperlink r:id="rId111" w:history="1">
        <w:r w:rsidRPr="00D400D6">
          <w:rPr>
            <w:rStyle w:val="Hyperlink"/>
            <w:rFonts w:ascii="Times New Roman" w:hAnsi="Times New Roman"/>
            <w:sz w:val="24"/>
            <w:szCs w:val="24"/>
          </w:rPr>
          <w:t>http://georgica.tsu.edu.ge/files/04-Foreign%20Affairs/Simao%20&amp;%20Freire-2008.pdf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Smolnik, Franziska. </w:t>
      </w:r>
      <w:r w:rsidRPr="00D400D6">
        <w:rPr>
          <w:rFonts w:ascii="Times New Roman" w:hAnsi="Times New Roman"/>
          <w:i/>
          <w:iCs/>
          <w:sz w:val="24"/>
          <w:szCs w:val="24"/>
        </w:rPr>
        <w:t>Secessionist Rule PROTRACTED CONFLICT AND CONFIGURATIONS OF NON-STATE AUTHORITY</w:t>
      </w:r>
      <w:r w:rsidRPr="00D400D6">
        <w:rPr>
          <w:rFonts w:ascii="Times New Roman" w:hAnsi="Times New Roman"/>
          <w:sz w:val="24"/>
          <w:szCs w:val="24"/>
        </w:rPr>
        <w:t>. The University of Chicago press, 2016.</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Simao, Licina, and Maria Raquel Freire. </w:t>
      </w:r>
      <w:r w:rsidRPr="00D400D6">
        <w:rPr>
          <w:rFonts w:ascii="Times New Roman" w:hAnsi="Times New Roman"/>
          <w:i/>
          <w:iCs/>
          <w:sz w:val="24"/>
          <w:szCs w:val="24"/>
        </w:rPr>
        <w:t>The EU in Georgia: Building the Security?</w:t>
      </w:r>
      <w:r w:rsidRPr="00D400D6">
        <w:rPr>
          <w:rFonts w:ascii="Times New Roman" w:hAnsi="Times New Roman"/>
          <w:sz w:val="24"/>
          <w:szCs w:val="24"/>
        </w:rPr>
        <w:t xml:space="preserve"> Tbilisi: Tbilisi State University Press, 2013.</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Toal, Gerard. </w:t>
      </w:r>
      <w:r w:rsidRPr="00D400D6">
        <w:rPr>
          <w:rFonts w:ascii="Times New Roman" w:hAnsi="Times New Roman"/>
          <w:i/>
          <w:iCs/>
          <w:sz w:val="24"/>
          <w:szCs w:val="24"/>
        </w:rPr>
        <w:t xml:space="preserve">Near Abroad: Putin, the West and the Contest over Ukraine and the </w:t>
      </w:r>
      <w:proofErr w:type="gramStart"/>
      <w:r w:rsidRPr="00D400D6">
        <w:rPr>
          <w:rFonts w:ascii="Times New Roman" w:hAnsi="Times New Roman"/>
          <w:i/>
          <w:iCs/>
          <w:sz w:val="24"/>
          <w:szCs w:val="24"/>
        </w:rPr>
        <w:t xml:space="preserve">Caucasus </w:t>
      </w:r>
      <w:r w:rsidRPr="00D400D6">
        <w:rPr>
          <w:rFonts w:ascii="Times New Roman" w:hAnsi="Times New Roman"/>
          <w:sz w:val="24"/>
          <w:szCs w:val="24"/>
        </w:rPr>
        <w:t>.</w:t>
      </w:r>
      <w:proofErr w:type="gramEnd"/>
      <w:r w:rsidRPr="00D400D6">
        <w:rPr>
          <w:rFonts w:ascii="Times New Roman" w:hAnsi="Times New Roman"/>
          <w:sz w:val="24"/>
          <w:szCs w:val="24"/>
        </w:rPr>
        <w:t xml:space="preserve"> 1st ed. London: Palgreve Macmillan, 2017.</w:t>
      </w: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sz w:val="24"/>
          <w:szCs w:val="24"/>
        </w:rPr>
        <w:lastRenderedPageBreak/>
        <w:t xml:space="preserve">Thomas, Daniel, </w:t>
      </w:r>
      <w:r w:rsidRPr="00D400D6">
        <w:rPr>
          <w:rFonts w:ascii="Times New Roman" w:hAnsi="Times New Roman"/>
          <w:i/>
          <w:iCs/>
          <w:sz w:val="24"/>
          <w:szCs w:val="24"/>
        </w:rPr>
        <w:t>Making EU Foreign Policy – National Preferences, European</w:t>
      </w:r>
      <w:r w:rsidRPr="00D400D6">
        <w:rPr>
          <w:rFonts w:ascii="Times New Roman" w:hAnsi="Times New Roman"/>
          <w:color w:val="FF0000"/>
          <w:sz w:val="24"/>
          <w:szCs w:val="24"/>
        </w:rPr>
        <w:t xml:space="preserve"> </w:t>
      </w:r>
      <w:r w:rsidRPr="00D400D6">
        <w:rPr>
          <w:rFonts w:ascii="Times New Roman" w:hAnsi="Times New Roman"/>
          <w:i/>
          <w:iCs/>
          <w:sz w:val="24"/>
          <w:szCs w:val="24"/>
        </w:rPr>
        <w:t>Norms and Common Policies</w:t>
      </w:r>
      <w:r w:rsidRPr="00D400D6">
        <w:rPr>
          <w:rFonts w:ascii="Times New Roman" w:hAnsi="Times New Roman"/>
          <w:sz w:val="24"/>
          <w:szCs w:val="24"/>
        </w:rPr>
        <w:t>. (Basingstoke: Palgrave Macmillan., 2011).</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Tardy, Thierry. </w:t>
      </w:r>
      <w:r w:rsidRPr="00D400D6">
        <w:rPr>
          <w:rFonts w:ascii="Times New Roman" w:hAnsi="Times New Roman"/>
          <w:i/>
          <w:iCs/>
          <w:sz w:val="24"/>
          <w:szCs w:val="24"/>
        </w:rPr>
        <w:t>CSDP in Action: What Contribution to International Security?</w:t>
      </w:r>
      <w:r w:rsidRPr="00D400D6">
        <w:rPr>
          <w:rFonts w:ascii="Times New Roman" w:hAnsi="Times New Roman"/>
          <w:sz w:val="24"/>
          <w:szCs w:val="24"/>
        </w:rPr>
        <w:t xml:space="preserve"> Paris: EUISS, 2015.</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Tocci, Nathalie. </w:t>
      </w:r>
      <w:r w:rsidRPr="00D400D6">
        <w:rPr>
          <w:rFonts w:ascii="Times New Roman" w:hAnsi="Times New Roman"/>
          <w:i/>
          <w:iCs/>
          <w:sz w:val="24"/>
          <w:szCs w:val="24"/>
        </w:rPr>
        <w:t>The EU and Conflict Resolution: Promoting Peace in the Backyard</w:t>
      </w:r>
      <w:r w:rsidRPr="00D400D6">
        <w:rPr>
          <w:rFonts w:ascii="Times New Roman" w:hAnsi="Times New Roman"/>
          <w:sz w:val="24"/>
          <w:szCs w:val="24"/>
        </w:rPr>
        <w:t>. London: Routledge, 2008.</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Van Harpen, Marcel H. </w:t>
      </w:r>
      <w:r w:rsidRPr="00D400D6">
        <w:rPr>
          <w:rFonts w:ascii="Times New Roman" w:hAnsi="Times New Roman"/>
          <w:i/>
          <w:iCs/>
        </w:rPr>
        <w:t>Putin's Propaganda Machine: Soft Power and Russian Foreign Policy</w:t>
      </w:r>
      <w:r w:rsidRPr="00D400D6">
        <w:rPr>
          <w:rFonts w:ascii="Times New Roman" w:hAnsi="Times New Roman"/>
        </w:rPr>
        <w:t>. London: Rowman&amp;Littlefield International, 2016.</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Wolff, Steffan, and Richard Whitman. “CONFLICT RESOLUTION AS A POLICY GOAL UNDER ENP IN THE SOUTHERN </w:t>
      </w:r>
      <w:proofErr w:type="gramStart"/>
      <w:r w:rsidRPr="00D400D6">
        <w:rPr>
          <w:rFonts w:ascii="Times New Roman" w:hAnsi="Times New Roman"/>
          <w:sz w:val="24"/>
          <w:szCs w:val="24"/>
        </w:rPr>
        <w:t>NEIGHBOURHOOD .”</w:t>
      </w:r>
      <w:proofErr w:type="gramEnd"/>
      <w:r w:rsidRPr="00D400D6">
        <w:rPr>
          <w:rFonts w:ascii="Times New Roman" w:hAnsi="Times New Roman"/>
          <w:sz w:val="24"/>
          <w:szCs w:val="24"/>
        </w:rPr>
        <w:t xml:space="preserve"> University of Notingham, November 2008.</w:t>
      </w:r>
      <w:r w:rsidR="00841FB8" w:rsidRPr="00841FB8">
        <w:rPr>
          <w:rFonts w:ascii="Times New Roman" w:hAnsi="Times New Roman"/>
          <w:sz w:val="24"/>
          <w:szCs w:val="24"/>
        </w:rPr>
        <w:t xml:space="preserve"> </w:t>
      </w:r>
      <w:r w:rsidR="00841FB8">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12" w:history="1">
        <w:r w:rsidR="00841FB8" w:rsidRPr="005C3269">
          <w:rPr>
            <w:rStyle w:val="Hyperlink"/>
            <w:rFonts w:ascii="Times New Roman" w:hAnsi="Times New Roman"/>
            <w:sz w:val="24"/>
            <w:szCs w:val="24"/>
          </w:rPr>
          <w:t>http://www.stefanwolff.com/files/ENP.pdf</w:t>
        </w:r>
      </w:hyperlink>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i/>
          <w:iCs/>
          <w:sz w:val="24"/>
          <w:szCs w:val="24"/>
        </w:rPr>
      </w:pPr>
      <w:r w:rsidRPr="00D400D6">
        <w:rPr>
          <w:rFonts w:ascii="Times New Roman" w:hAnsi="Times New Roman"/>
          <w:sz w:val="24"/>
          <w:szCs w:val="24"/>
        </w:rPr>
        <w:t xml:space="preserve">Whitman, R. &amp; Wolff, S., </w:t>
      </w:r>
      <w:r w:rsidRPr="00D400D6">
        <w:rPr>
          <w:rFonts w:ascii="Times New Roman" w:hAnsi="Times New Roman"/>
          <w:i/>
          <w:iCs/>
          <w:sz w:val="24"/>
          <w:szCs w:val="24"/>
        </w:rPr>
        <w:t xml:space="preserve">The European Neighborhood Policy in Perspective: Context, Implementation and </w:t>
      </w:r>
      <w:proofErr w:type="gramStart"/>
      <w:r w:rsidRPr="00D400D6">
        <w:rPr>
          <w:rFonts w:ascii="Times New Roman" w:hAnsi="Times New Roman"/>
          <w:i/>
          <w:iCs/>
          <w:sz w:val="24"/>
          <w:szCs w:val="24"/>
        </w:rPr>
        <w:t xml:space="preserve">Impact </w:t>
      </w:r>
      <w:r w:rsidRPr="00D400D6">
        <w:rPr>
          <w:rFonts w:ascii="Times New Roman" w:hAnsi="Times New Roman"/>
          <w:sz w:val="24"/>
          <w:szCs w:val="24"/>
        </w:rPr>
        <w:t>.</w:t>
      </w:r>
      <w:proofErr w:type="gramEnd"/>
      <w:r w:rsidRPr="00D400D6">
        <w:rPr>
          <w:rFonts w:ascii="Times New Roman" w:hAnsi="Times New Roman"/>
          <w:sz w:val="24"/>
          <w:szCs w:val="24"/>
        </w:rPr>
        <w:t xml:space="preserve"> (Basingstoke: Palgrave Macmillan.</w:t>
      </w:r>
      <w:proofErr w:type="gramStart"/>
      <w:r w:rsidRPr="00D400D6">
        <w:rPr>
          <w:rFonts w:ascii="Times New Roman" w:hAnsi="Times New Roman"/>
          <w:sz w:val="24"/>
          <w:szCs w:val="24"/>
        </w:rPr>
        <w:t>,2012</w:t>
      </w:r>
      <w:proofErr w:type="gramEnd"/>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sz w:val="24"/>
          <w:szCs w:val="24"/>
        </w:rPr>
      </w:pP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Wæver, Ole (2000), “The EU as a Security Actor: Reflections from a Pessimistic</w:t>
      </w: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Constructivist on Post-Sovereign Security Orders”</w:t>
      </w:r>
      <w:proofErr w:type="gramStart"/>
      <w:r w:rsidRPr="00D400D6">
        <w:rPr>
          <w:rFonts w:ascii="Times New Roman" w:hAnsi="Times New Roman"/>
          <w:sz w:val="24"/>
          <w:szCs w:val="24"/>
        </w:rPr>
        <w:t>,  (</w:t>
      </w:r>
      <w:proofErr w:type="gramEnd"/>
      <w:r w:rsidRPr="00D400D6">
        <w:rPr>
          <w:rFonts w:ascii="Times New Roman" w:hAnsi="Times New Roman"/>
          <w:sz w:val="24"/>
          <w:szCs w:val="24"/>
        </w:rPr>
        <w:t>London and New York: Routledge, 2000), 250-294.</w:t>
      </w:r>
    </w:p>
    <w:p w:rsidR="0025399B" w:rsidRDefault="0025399B" w:rsidP="00017A6D">
      <w:pPr>
        <w:spacing w:line="360" w:lineRule="auto"/>
        <w:rPr>
          <w:rFonts w:ascii="Times New Roman" w:hAnsi="Times New Roman"/>
          <w:sz w:val="24"/>
          <w:szCs w:val="24"/>
        </w:rPr>
      </w:pP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sz w:val="24"/>
          <w:szCs w:val="24"/>
        </w:rPr>
        <w:t xml:space="preserve">Yin, Robert K. </w:t>
      </w:r>
      <w:r w:rsidRPr="00D400D6">
        <w:rPr>
          <w:rFonts w:ascii="Times New Roman" w:hAnsi="Times New Roman"/>
          <w:i/>
          <w:iCs/>
          <w:sz w:val="24"/>
          <w:szCs w:val="24"/>
        </w:rPr>
        <w:t>Applications of Case Study Research</w:t>
      </w:r>
      <w:r w:rsidRPr="00D400D6">
        <w:rPr>
          <w:rFonts w:ascii="Times New Roman" w:hAnsi="Times New Roman"/>
          <w:sz w:val="24"/>
          <w:szCs w:val="24"/>
        </w:rPr>
        <w:t>. London: SAGE, 2003.</w:t>
      </w:r>
    </w:p>
    <w:p w:rsidR="00017A6D" w:rsidRPr="00D400D6" w:rsidRDefault="00017A6D" w:rsidP="00017A6D">
      <w:pPr>
        <w:pStyle w:val="NormalWeb"/>
        <w:spacing w:line="360" w:lineRule="auto"/>
        <w:ind w:left="567" w:hanging="567"/>
        <w:rPr>
          <w:rFonts w:ascii="Times New Roman" w:hAnsi="Times New Roman"/>
        </w:rPr>
      </w:pPr>
      <w:r w:rsidRPr="00D400D6">
        <w:rPr>
          <w:rFonts w:ascii="Times New Roman" w:hAnsi="Times New Roman"/>
        </w:rPr>
        <w:t xml:space="preserve">Yin, Robert K. </w:t>
      </w:r>
      <w:r w:rsidRPr="00D400D6">
        <w:rPr>
          <w:rFonts w:ascii="Times New Roman" w:hAnsi="Times New Roman"/>
          <w:i/>
          <w:iCs/>
        </w:rPr>
        <w:t>Case Study Research: Design and Methods</w:t>
      </w:r>
      <w:r w:rsidRPr="00D400D6">
        <w:rPr>
          <w:rFonts w:ascii="Times New Roman" w:hAnsi="Times New Roman"/>
        </w:rPr>
        <w:t>. Thousand Oaks: Sage, 2009.</w:t>
      </w:r>
    </w:p>
    <w:p w:rsidR="00017A6D" w:rsidRPr="00D400D6" w:rsidRDefault="00017A6D" w:rsidP="00017A6D">
      <w:pPr>
        <w:rPr>
          <w:rFonts w:ascii="Times New Roman" w:hAnsi="Times New Roman"/>
          <w:b/>
          <w:sz w:val="28"/>
          <w:szCs w:val="28"/>
        </w:rPr>
      </w:pPr>
      <w:r w:rsidRPr="00D400D6">
        <w:rPr>
          <w:rFonts w:ascii="Times New Roman" w:hAnsi="Times New Roman"/>
          <w:b/>
          <w:sz w:val="28"/>
          <w:szCs w:val="28"/>
        </w:rPr>
        <w:t>Journals and Articles</w:t>
      </w:r>
    </w:p>
    <w:p w:rsidR="00017A6D" w:rsidRDefault="00017A6D" w:rsidP="00017A6D">
      <w:pPr>
        <w:pStyle w:val="NormalWeb"/>
        <w:spacing w:line="360" w:lineRule="auto"/>
        <w:rPr>
          <w:rFonts w:ascii="Times New Roman" w:hAnsi="Times New Roman"/>
        </w:rPr>
      </w:pPr>
      <w:r w:rsidRPr="00D400D6">
        <w:rPr>
          <w:rFonts w:ascii="Times New Roman" w:hAnsi="Times New Roman"/>
        </w:rPr>
        <w:t xml:space="preserve">Adarov, Amat, and Peter Havlik. “Benefits and Costs of DCFTA: Evaluation of the Impact on Georgia, Moldova and </w:t>
      </w:r>
      <w:proofErr w:type="gramStart"/>
      <w:r w:rsidRPr="00D400D6">
        <w:rPr>
          <w:rFonts w:ascii="Times New Roman" w:hAnsi="Times New Roman"/>
        </w:rPr>
        <w:t>Ukraine .”</w:t>
      </w:r>
      <w:proofErr w:type="gramEnd"/>
      <w:r w:rsidRPr="00D400D6">
        <w:rPr>
          <w:rFonts w:ascii="Times New Roman" w:hAnsi="Times New Roman"/>
        </w:rPr>
        <w:t xml:space="preserve"> Bertelsmann </w:t>
      </w:r>
      <w:proofErr w:type="gramStart"/>
      <w:r w:rsidRPr="00D400D6">
        <w:rPr>
          <w:rFonts w:ascii="Times New Roman" w:hAnsi="Times New Roman"/>
        </w:rPr>
        <w:t>Stiftung ,</w:t>
      </w:r>
      <w:proofErr w:type="gramEnd"/>
      <w:r w:rsidRPr="00D400D6">
        <w:rPr>
          <w:rFonts w:ascii="Times New Roman" w:hAnsi="Times New Roman"/>
        </w:rPr>
        <w:t xml:space="preserve"> December 2016. </w:t>
      </w:r>
      <w:r w:rsidR="0025399B">
        <w:rPr>
          <w:rFonts w:ascii="Times New Roman" w:hAnsi="Times New Roman"/>
        </w:rPr>
        <w:t xml:space="preserve">Accessed on July 28, 2020. </w:t>
      </w:r>
      <w:hyperlink r:id="rId113" w:history="1">
        <w:r w:rsidR="0025399B" w:rsidRPr="005C3269">
          <w:rPr>
            <w:rStyle w:val="Hyperlink"/>
            <w:rFonts w:ascii="Times New Roman" w:hAnsi="Times New Roman"/>
          </w:rPr>
          <w:t>https://wiiw.ac.at/benefits-and-costs-of-dcfta-evaluation-of-the-impact-on-georgia-moldova-and-ukraine-dlp-4111.pdf</w:t>
        </w:r>
      </w:hyperlink>
      <w:r w:rsidRPr="00D400D6">
        <w:rPr>
          <w:rFonts w:ascii="Times New Roman" w:hAnsi="Times New Roman"/>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Ambrosio, Thomas, and William A. Lange. “The Architecture of Annexation? Russia's Bilateral Agreements with South Ossetia and Abkhazia.” </w:t>
      </w:r>
      <w:r w:rsidRPr="00D400D6">
        <w:rPr>
          <w:rFonts w:ascii="Times New Roman" w:hAnsi="Times New Roman"/>
          <w:i/>
          <w:iCs/>
          <w:sz w:val="24"/>
          <w:szCs w:val="24"/>
        </w:rPr>
        <w:t>Nationalities Papers</w:t>
      </w:r>
      <w:r w:rsidRPr="00D400D6">
        <w:rPr>
          <w:rFonts w:ascii="Times New Roman" w:hAnsi="Times New Roman"/>
          <w:sz w:val="24"/>
          <w:szCs w:val="24"/>
        </w:rPr>
        <w:t xml:space="preserve"> 44, no. 5 </w:t>
      </w:r>
      <w:r w:rsidRPr="00D400D6">
        <w:rPr>
          <w:rFonts w:ascii="Times New Roman" w:hAnsi="Times New Roman"/>
          <w:sz w:val="24"/>
          <w:szCs w:val="24"/>
        </w:rPr>
        <w:lastRenderedPageBreak/>
        <w:t xml:space="preserve">(September 2016): 673–93. </w:t>
      </w:r>
      <w:r w:rsidR="0025399B">
        <w:rPr>
          <w:rFonts w:ascii="Times New Roman" w:hAnsi="Times New Roman"/>
          <w:sz w:val="24"/>
          <w:szCs w:val="24"/>
        </w:rPr>
        <w:t xml:space="preserve">Accessed on July 28, 2020. </w:t>
      </w:r>
      <w:hyperlink r:id="rId114" w:history="1">
        <w:r w:rsidR="0025399B" w:rsidRPr="005C3269">
          <w:rPr>
            <w:rStyle w:val="Hyperlink"/>
            <w:rFonts w:ascii="Times New Roman" w:hAnsi="Times New Roman"/>
            <w:sz w:val="24"/>
            <w:szCs w:val="24"/>
          </w:rPr>
          <w:t>https://doi.org/https://doi.org/10.1080/00905992.2016.1203300</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Aspinwall, Mark D, and Gerald Schneider. “Same Menu, Seperate Tables: The Institutionalist Turn in Political Science and the Study of European Integration.” European Journal of Political Research, 38, 2, May 2000. </w:t>
      </w:r>
      <w:r w:rsidR="0025399B">
        <w:rPr>
          <w:rFonts w:ascii="Times New Roman" w:hAnsi="Times New Roman"/>
          <w:sz w:val="24"/>
          <w:szCs w:val="24"/>
        </w:rPr>
        <w:t xml:space="preserve">Accessed on July 28, 2020. </w:t>
      </w:r>
      <w:hyperlink r:id="rId115" w:history="1">
        <w:r w:rsidRPr="00D400D6">
          <w:rPr>
            <w:rStyle w:val="Hyperlink"/>
            <w:rFonts w:ascii="Times New Roman" w:hAnsi="Times New Roman"/>
            <w:sz w:val="24"/>
            <w:szCs w:val="24"/>
          </w:rPr>
          <w:t>https://kops.uni-konstanz.de/bitstream/handle/123456789/4020/aspinwall_schneider_ejpr_2000.pdf?sequence=1</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Blackwill, Robert D, Rodric Braithwaite, and Akihiko Tanaka. “Engaging Russia.” The Trilateral Commission, January 1995.</w:t>
      </w:r>
      <w:r w:rsidR="0025399B">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16" w:history="1">
        <w:r w:rsidR="0025399B" w:rsidRPr="005C3269">
          <w:rPr>
            <w:rStyle w:val="Hyperlink"/>
            <w:rFonts w:ascii="Times New Roman" w:hAnsi="Times New Roman"/>
            <w:sz w:val="24"/>
            <w:szCs w:val="24"/>
          </w:rPr>
          <w:t>http://trilateral.org/file/46</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Beehner, Lionel, Liam Collins, Steve Ferenzi, Robert Person, and Aaron Brantly. “Analyzing the Russian Way of War: Evidence from the 2008 Conflict with Georgia.” Modern War Institute, March 19, 2018.</w:t>
      </w:r>
      <w:r w:rsidR="0025399B" w:rsidRPr="0025399B">
        <w:rPr>
          <w:rFonts w:ascii="Times New Roman" w:hAnsi="Times New Roman"/>
          <w:sz w:val="24"/>
          <w:szCs w:val="24"/>
        </w:rPr>
        <w:t xml:space="preserve"> </w:t>
      </w:r>
      <w:r w:rsidR="0025399B">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17" w:history="1">
        <w:r w:rsidR="0025399B" w:rsidRPr="005C3269">
          <w:rPr>
            <w:rStyle w:val="Hyperlink"/>
            <w:rFonts w:ascii="Times New Roman" w:hAnsi="Times New Roman"/>
            <w:sz w:val="24"/>
            <w:szCs w:val="24"/>
          </w:rPr>
          <w:t>https://mwi.usma.edu/analyzing-russian-way-war-evidence-2008-conflict-georgia/</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Boonstra, Jos, and Neil Melvin. “Challenging South Caucasus Security Deficit.” FRIDE, April 2011.</w:t>
      </w:r>
      <w:r w:rsidR="0025399B" w:rsidRPr="0025399B">
        <w:rPr>
          <w:rFonts w:ascii="Times New Roman" w:hAnsi="Times New Roman"/>
          <w:sz w:val="24"/>
          <w:szCs w:val="24"/>
        </w:rPr>
        <w:t xml:space="preserve"> </w:t>
      </w:r>
      <w:r w:rsidR="0025399B">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18" w:history="1">
        <w:r w:rsidRPr="00D400D6">
          <w:rPr>
            <w:rStyle w:val="Hyperlink"/>
            <w:rFonts w:ascii="Times New Roman" w:hAnsi="Times New Roman"/>
            <w:sz w:val="24"/>
            <w:szCs w:val="24"/>
          </w:rPr>
          <w:t>https://www.files.ethz.ch/isn/131015/WP108_South_Caucasus_Eng.pdf</w:t>
        </w:r>
      </w:hyperlink>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 xml:space="preserve">Bercovitch, </w:t>
      </w:r>
      <w:proofErr w:type="gramStart"/>
      <w:r w:rsidRPr="00D400D6">
        <w:rPr>
          <w:rFonts w:ascii="Times New Roman" w:hAnsi="Times New Roman"/>
          <w:sz w:val="24"/>
          <w:szCs w:val="24"/>
        </w:rPr>
        <w:t>Jacob.,</w:t>
      </w:r>
      <w:proofErr w:type="gramEnd"/>
      <w:r w:rsidRPr="00D400D6">
        <w:rPr>
          <w:rFonts w:ascii="Times New Roman" w:hAnsi="Times New Roman"/>
          <w:sz w:val="24"/>
          <w:szCs w:val="24"/>
        </w:rPr>
        <w:t xml:space="preserve"> Mediation Success or Failure: A Search For the Elusive Criteria.</w:t>
      </w: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i/>
          <w:iCs/>
          <w:sz w:val="24"/>
          <w:szCs w:val="24"/>
        </w:rPr>
        <w:t xml:space="preserve">Cardozo Journal of Conflict </w:t>
      </w:r>
      <w:proofErr w:type="gramStart"/>
      <w:r w:rsidRPr="00D400D6">
        <w:rPr>
          <w:rFonts w:ascii="Times New Roman" w:hAnsi="Times New Roman"/>
          <w:i/>
          <w:iCs/>
          <w:sz w:val="24"/>
          <w:szCs w:val="24"/>
        </w:rPr>
        <w:t xml:space="preserve">Resolution </w:t>
      </w:r>
      <w:r w:rsidRPr="00D400D6">
        <w:rPr>
          <w:rFonts w:ascii="Times New Roman" w:hAnsi="Times New Roman"/>
          <w:sz w:val="24"/>
          <w:szCs w:val="24"/>
        </w:rPr>
        <w:t>,</w:t>
      </w:r>
      <w:proofErr w:type="gramEnd"/>
      <w:r w:rsidRPr="00D400D6">
        <w:rPr>
          <w:rFonts w:ascii="Times New Roman" w:hAnsi="Times New Roman"/>
          <w:sz w:val="24"/>
          <w:szCs w:val="24"/>
        </w:rPr>
        <w:t xml:space="preserve"> 7, (2006), pp. 289-302.</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Baev, Pavel. “The Kosovo Precedent in Russia's Georgia Policy.” PONARS Eurasia, March 2008. </w:t>
      </w:r>
      <w:r w:rsidR="0025399B">
        <w:rPr>
          <w:rFonts w:ascii="Times New Roman" w:hAnsi="Times New Roman"/>
          <w:sz w:val="24"/>
          <w:szCs w:val="24"/>
        </w:rPr>
        <w:t xml:space="preserve">Accessed on July 28, 2020. </w:t>
      </w:r>
      <w:hyperlink r:id="rId119" w:history="1">
        <w:r w:rsidR="0025399B" w:rsidRPr="005C3269">
          <w:rPr>
            <w:rStyle w:val="Hyperlink"/>
            <w:rFonts w:ascii="Times New Roman" w:hAnsi="Times New Roman"/>
            <w:sz w:val="24"/>
            <w:szCs w:val="24"/>
          </w:rPr>
          <w:t>https://www.ponarseurasia.org/sites/default/files/policy-memos-pdf/pepm_005.pdf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Bercovitch, Jacob, and Karl Derouen. “Mediation in Internationalized Ethnic Conflicts: Assessing the Determinants of a Successful Process.” </w:t>
      </w:r>
      <w:r w:rsidRPr="00D400D6">
        <w:rPr>
          <w:rFonts w:ascii="Times New Roman" w:hAnsi="Times New Roman"/>
          <w:i/>
          <w:iCs/>
          <w:sz w:val="24"/>
          <w:szCs w:val="24"/>
        </w:rPr>
        <w:t>Armed Forces &amp; Society</w:t>
      </w:r>
      <w:r w:rsidRPr="00D400D6">
        <w:rPr>
          <w:rFonts w:ascii="Times New Roman" w:hAnsi="Times New Roman"/>
          <w:sz w:val="24"/>
          <w:szCs w:val="24"/>
        </w:rPr>
        <w:t xml:space="preserve"> 30, no. 2 (2004): 147–70.</w:t>
      </w:r>
      <w:r w:rsidR="0025399B" w:rsidRPr="0025399B">
        <w:rPr>
          <w:rFonts w:ascii="Times New Roman" w:hAnsi="Times New Roman"/>
          <w:sz w:val="24"/>
          <w:szCs w:val="24"/>
        </w:rPr>
        <w:t xml:space="preserve"> </w:t>
      </w:r>
      <w:r w:rsidR="0025399B">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20" w:history="1">
        <w:r w:rsidRPr="00D400D6">
          <w:rPr>
            <w:rStyle w:val="Hyperlink"/>
            <w:rFonts w:ascii="Times New Roman" w:hAnsi="Times New Roman"/>
            <w:sz w:val="24"/>
            <w:szCs w:val="24"/>
          </w:rPr>
          <w:t>https://doi.org/10.1177/0095327x0403000202</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Bercovitch, Jacob, and Patrick M Regan. “THE STRUCTURE OF INTERNATIONAL CONFLICT MANAGEMENT: AN ANALYSIS OF THE EFFECTS OF INTRACTABILITY AND MEDIATION.” </w:t>
      </w:r>
      <w:r w:rsidRPr="00D400D6">
        <w:rPr>
          <w:rFonts w:ascii="Times New Roman" w:hAnsi="Times New Roman"/>
          <w:i/>
          <w:iCs/>
        </w:rPr>
        <w:t>International Journal of Peace Studies</w:t>
      </w:r>
      <w:r w:rsidRPr="00D400D6">
        <w:rPr>
          <w:rFonts w:ascii="Times New Roman" w:hAnsi="Times New Roman"/>
        </w:rPr>
        <w:t xml:space="preserve"> 4, no. 1 (1999): 1–19.</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lastRenderedPageBreak/>
        <w:t xml:space="preserve">Bergmann, Julian, and Arne Niemann. “Mediating International Conflicts: The European Union as an Effective Peacemaker?” </w:t>
      </w:r>
      <w:r w:rsidRPr="00D400D6">
        <w:rPr>
          <w:rFonts w:ascii="Times New Roman" w:hAnsi="Times New Roman"/>
          <w:i/>
          <w:iCs/>
        </w:rPr>
        <w:t>JCMS: Journal of Common Market Studies</w:t>
      </w:r>
      <w:r w:rsidRPr="00D400D6">
        <w:rPr>
          <w:rFonts w:ascii="Times New Roman" w:hAnsi="Times New Roman"/>
        </w:rPr>
        <w:t xml:space="preserve"> 53, no. 5 (2015): 957–75. </w:t>
      </w:r>
      <w:r w:rsidR="0025399B">
        <w:rPr>
          <w:rFonts w:ascii="Times New Roman" w:hAnsi="Times New Roman"/>
        </w:rPr>
        <w:t xml:space="preserve">Accessed on July 28, 2020.  </w:t>
      </w:r>
      <w:hyperlink r:id="rId121" w:history="1">
        <w:r w:rsidRPr="00D400D6">
          <w:rPr>
            <w:rStyle w:val="Hyperlink"/>
            <w:rFonts w:ascii="Times New Roman" w:hAnsi="Times New Roman"/>
          </w:rPr>
          <w:t>https://doi.org/10.1111/jcms.12254</w:t>
        </w:r>
      </w:hyperlink>
      <w:r w:rsidRPr="00D400D6">
        <w:rPr>
          <w:rFonts w:ascii="Times New Roman" w:hAnsi="Times New Roman"/>
        </w:rPr>
        <w:t>.</w:t>
      </w:r>
    </w:p>
    <w:p w:rsidR="00017A6D" w:rsidRPr="00D400D6" w:rsidRDefault="00017A6D" w:rsidP="00017A6D">
      <w:pPr>
        <w:autoSpaceDE w:val="0"/>
        <w:autoSpaceDN w:val="0"/>
        <w:adjustRightInd w:val="0"/>
        <w:spacing w:line="360" w:lineRule="auto"/>
        <w:rPr>
          <w:rFonts w:ascii="Times New Roman" w:hAnsi="Times New Roman"/>
          <w:color w:val="000000"/>
          <w:sz w:val="24"/>
          <w:szCs w:val="24"/>
        </w:rPr>
      </w:pPr>
      <w:r w:rsidRPr="00D400D6">
        <w:rPr>
          <w:rFonts w:ascii="Times New Roman" w:hAnsi="Times New Roman"/>
          <w:color w:val="000000"/>
          <w:sz w:val="24"/>
          <w:szCs w:val="24"/>
        </w:rPr>
        <w:t>Berg, E., &amp; Toomla, R. (</w:t>
      </w:r>
      <w:r w:rsidRPr="00D400D6">
        <w:rPr>
          <w:rFonts w:ascii="Times New Roman" w:hAnsi="Times New Roman"/>
          <w:color w:val="000085"/>
          <w:sz w:val="24"/>
          <w:szCs w:val="24"/>
        </w:rPr>
        <w:t>2009</w:t>
      </w:r>
      <w:r w:rsidRPr="00D400D6">
        <w:rPr>
          <w:rFonts w:ascii="Times New Roman" w:hAnsi="Times New Roman"/>
          <w:color w:val="000000"/>
          <w:sz w:val="24"/>
          <w:szCs w:val="24"/>
        </w:rPr>
        <w:t>). Forms of normalisation in the quest for de facto statehood. The International Spectator, 44(4), 27–45.</w:t>
      </w:r>
    </w:p>
    <w:p w:rsidR="00017A6D" w:rsidRPr="00D400D6" w:rsidRDefault="00017A6D" w:rsidP="00017A6D">
      <w:pPr>
        <w:autoSpaceDE w:val="0"/>
        <w:autoSpaceDN w:val="0"/>
        <w:adjustRightInd w:val="0"/>
        <w:spacing w:line="360" w:lineRule="auto"/>
        <w:rPr>
          <w:rFonts w:ascii="Times New Roman" w:hAnsi="Times New Roman"/>
          <w:color w:val="000000"/>
          <w:sz w:val="24"/>
          <w:szCs w:val="24"/>
        </w:rPr>
      </w:pPr>
    </w:p>
    <w:p w:rsidR="00017A6D" w:rsidRPr="00D400D6" w:rsidRDefault="00017A6D" w:rsidP="00017A6D">
      <w:pPr>
        <w:autoSpaceDE w:val="0"/>
        <w:autoSpaceDN w:val="0"/>
        <w:adjustRightInd w:val="0"/>
        <w:spacing w:line="360" w:lineRule="auto"/>
        <w:rPr>
          <w:rFonts w:ascii="Times New Roman" w:hAnsi="Times New Roman"/>
          <w:color w:val="000000"/>
          <w:sz w:val="24"/>
          <w:szCs w:val="24"/>
        </w:rPr>
      </w:pPr>
      <w:r w:rsidRPr="00D400D6">
        <w:rPr>
          <w:rFonts w:ascii="Times New Roman" w:hAnsi="Times New Roman"/>
          <w:color w:val="000000"/>
          <w:sz w:val="24"/>
          <w:szCs w:val="24"/>
        </w:rPr>
        <w:t>Berg, E., &amp; Pegg, S. (2018). Scrutinizing a policy of “engagement without recognition”: US requests for diplomatic actions with de facto states. Foreign Policy Analysis, 14(3), 399–407.</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Bonstra, Jaan, and Laure Delcour. “A Broken Region: Evaluating EU Policies in the South Caucasus.” </w:t>
      </w:r>
      <w:r w:rsidRPr="00D400D6">
        <w:rPr>
          <w:rFonts w:ascii="Times New Roman" w:hAnsi="Times New Roman"/>
          <w:i/>
          <w:iCs/>
        </w:rPr>
        <w:t>FRIDE</w:t>
      </w:r>
      <w:r w:rsidRPr="00D400D6">
        <w:rPr>
          <w:rFonts w:ascii="Times New Roman" w:hAnsi="Times New Roman"/>
        </w:rPr>
        <w:t xml:space="preserve">, no. 193 (January 2015): 2–3. </w:t>
      </w:r>
      <w:r w:rsidR="0025399B">
        <w:rPr>
          <w:rFonts w:ascii="Times New Roman" w:hAnsi="Times New Roman"/>
        </w:rPr>
        <w:t xml:space="preserve">Accessed on July 28, 2020. </w:t>
      </w:r>
      <w:hyperlink r:id="rId122" w:history="1">
        <w:r w:rsidRPr="00D400D6">
          <w:rPr>
            <w:rStyle w:val="Hyperlink"/>
            <w:rFonts w:ascii="Times New Roman" w:hAnsi="Times New Roman"/>
          </w:rPr>
          <w:t>https://doi.org/1989-2667</w:t>
        </w:r>
      </w:hyperlink>
      <w:r w:rsidRPr="00D400D6">
        <w:rPr>
          <w:rFonts w:ascii="Times New Roman" w:hAnsi="Times New Roman"/>
        </w:rPr>
        <w:t>.</w:t>
      </w:r>
    </w:p>
    <w:p w:rsidR="00017A6D" w:rsidRPr="00D400D6" w:rsidRDefault="00017A6D" w:rsidP="00017A6D">
      <w:pPr>
        <w:autoSpaceDE w:val="0"/>
        <w:autoSpaceDN w:val="0"/>
        <w:adjustRightInd w:val="0"/>
        <w:spacing w:line="360" w:lineRule="auto"/>
        <w:rPr>
          <w:rFonts w:ascii="Times New Roman" w:hAnsi="Times New Roman"/>
          <w:color w:val="00000A"/>
          <w:sz w:val="24"/>
          <w:szCs w:val="24"/>
        </w:rPr>
      </w:pPr>
      <w:r w:rsidRPr="00D400D6">
        <w:rPr>
          <w:rFonts w:ascii="Times New Roman" w:hAnsi="Times New Roman"/>
          <w:color w:val="00000A"/>
          <w:sz w:val="24"/>
          <w:szCs w:val="24"/>
        </w:rPr>
        <w:t>Bono, Giovanna, “Introduction: The Role of the EU in External Crisis Management”, (</w:t>
      </w:r>
      <w:r w:rsidRPr="00D400D6">
        <w:rPr>
          <w:rFonts w:ascii="Times New Roman" w:hAnsi="Times New Roman"/>
          <w:i/>
          <w:iCs/>
          <w:color w:val="00000A"/>
          <w:sz w:val="24"/>
          <w:szCs w:val="24"/>
        </w:rPr>
        <w:t>International Peacekeeping</w:t>
      </w:r>
      <w:r w:rsidRPr="00D400D6">
        <w:rPr>
          <w:rFonts w:ascii="Times New Roman" w:hAnsi="Times New Roman"/>
          <w:color w:val="00000A"/>
          <w:sz w:val="24"/>
          <w:szCs w:val="24"/>
        </w:rPr>
        <w:t>, 11(3), 2004) 395-403.</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Broers, Laurence. “Recognising Politics in Unrecognised States: 20 Years of Enquiry into the De Facto States of the South Caucasus.” </w:t>
      </w:r>
      <w:r w:rsidRPr="00D400D6">
        <w:rPr>
          <w:rFonts w:ascii="Times New Roman" w:hAnsi="Times New Roman"/>
          <w:i/>
          <w:iCs/>
          <w:sz w:val="24"/>
          <w:szCs w:val="24"/>
        </w:rPr>
        <w:t>Caucasus Survey</w:t>
      </w:r>
      <w:r w:rsidRPr="00D400D6">
        <w:rPr>
          <w:rFonts w:ascii="Times New Roman" w:hAnsi="Times New Roman"/>
          <w:sz w:val="24"/>
          <w:szCs w:val="24"/>
        </w:rPr>
        <w:t xml:space="preserve"> 1, no. 1 (April 13, 2015): 59–74. </w:t>
      </w:r>
      <w:r w:rsidR="0025399B">
        <w:rPr>
          <w:rFonts w:ascii="Times New Roman" w:hAnsi="Times New Roman"/>
          <w:sz w:val="24"/>
          <w:szCs w:val="24"/>
        </w:rPr>
        <w:t xml:space="preserve">Accessed on July 28, 2020. </w:t>
      </w:r>
      <w:hyperlink r:id="rId123" w:history="1">
        <w:r w:rsidR="0025399B" w:rsidRPr="005C3269">
          <w:rPr>
            <w:rStyle w:val="Hyperlink"/>
            <w:rFonts w:ascii="Times New Roman" w:hAnsi="Times New Roman"/>
            <w:sz w:val="24"/>
            <w:szCs w:val="24"/>
          </w:rPr>
          <w:t>https://doi.org/10.1080/23761199.2013.11417283</w:t>
        </w:r>
      </w:hyperlink>
      <w:r w:rsidRPr="00D400D6">
        <w:rPr>
          <w:rFonts w:ascii="Times New Roman" w:hAnsi="Times New Roman"/>
          <w:sz w:val="24"/>
          <w:szCs w:val="24"/>
        </w:rPr>
        <w:t>.</w:t>
      </w:r>
    </w:p>
    <w:p w:rsidR="00017A6D" w:rsidRPr="00D400D6" w:rsidRDefault="00017A6D" w:rsidP="00017A6D">
      <w:pPr>
        <w:spacing w:line="360" w:lineRule="auto"/>
        <w:rPr>
          <w:rFonts w:ascii="Times New Roman" w:hAnsi="Times New Roman"/>
          <w:color w:val="000000"/>
          <w:sz w:val="24"/>
          <w:szCs w:val="24"/>
        </w:rPr>
      </w:pPr>
      <w:r w:rsidRPr="00D400D6">
        <w:rPr>
          <w:rFonts w:ascii="Times New Roman" w:hAnsi="Times New Roman"/>
          <w:color w:val="000000"/>
          <w:sz w:val="24"/>
          <w:szCs w:val="24"/>
        </w:rPr>
        <w:t>Caspersen, Nina</w:t>
      </w:r>
      <w:proofErr w:type="gramStart"/>
      <w:r w:rsidRPr="00D400D6">
        <w:rPr>
          <w:rFonts w:ascii="Times New Roman" w:hAnsi="Times New Roman"/>
          <w:color w:val="000000"/>
          <w:sz w:val="24"/>
          <w:szCs w:val="24"/>
        </w:rPr>
        <w:t>.(</w:t>
      </w:r>
      <w:proofErr w:type="gramEnd"/>
      <w:r w:rsidRPr="00D400D6">
        <w:rPr>
          <w:rFonts w:ascii="Times New Roman" w:hAnsi="Times New Roman"/>
          <w:color w:val="000000"/>
          <w:sz w:val="24"/>
          <w:szCs w:val="24"/>
        </w:rPr>
        <w:t>2015). The pursuit of international recognition after Kosovo. Global Governance: A Review of Multilateralism and International Organizations, 21(3), 393–412.</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Companjen Françoise, Marácz László </w:t>
      </w:r>
      <w:proofErr w:type="gramStart"/>
      <w:r w:rsidRPr="00D400D6">
        <w:rPr>
          <w:rFonts w:ascii="Times New Roman" w:hAnsi="Times New Roman"/>
        </w:rPr>
        <w:t>Károly.,</w:t>
      </w:r>
      <w:proofErr w:type="gramEnd"/>
      <w:r w:rsidRPr="00D400D6">
        <w:rPr>
          <w:rFonts w:ascii="Times New Roman" w:hAnsi="Times New Roman"/>
        </w:rPr>
        <w:t xml:space="preserve"> and Lia Versteegh. </w:t>
      </w:r>
      <w:r w:rsidRPr="00D400D6">
        <w:rPr>
          <w:rFonts w:ascii="Times New Roman" w:hAnsi="Times New Roman"/>
          <w:i/>
          <w:iCs/>
        </w:rPr>
        <w:t>Exploring the Caucasus in the 21st Century: Essays on Culture, History and Politics in a Dynamic Context</w:t>
      </w:r>
      <w:r w:rsidRPr="00D400D6">
        <w:rPr>
          <w:rFonts w:ascii="Times New Roman" w:hAnsi="Times New Roman"/>
        </w:rPr>
        <w:t>. Amsterdam: Pallas Publications, 2010.</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Cornell, Svante E., and S. Frederick Starr. “The Guns of August 2008.” </w:t>
      </w:r>
      <w:r w:rsidRPr="00D400D6">
        <w:rPr>
          <w:rFonts w:ascii="Times New Roman" w:hAnsi="Times New Roman"/>
          <w:i/>
          <w:iCs/>
          <w:sz w:val="24"/>
          <w:szCs w:val="24"/>
        </w:rPr>
        <w:t>Studies of Central Asia and the Caucasus</w:t>
      </w:r>
      <w:r w:rsidRPr="00D400D6">
        <w:rPr>
          <w:rFonts w:ascii="Times New Roman" w:hAnsi="Times New Roman"/>
          <w:sz w:val="24"/>
          <w:szCs w:val="24"/>
        </w:rPr>
        <w:t xml:space="preserve">, 2015, 3–4. </w:t>
      </w:r>
      <w:r w:rsidR="0025399B">
        <w:rPr>
          <w:rFonts w:ascii="Times New Roman" w:hAnsi="Times New Roman"/>
          <w:sz w:val="24"/>
          <w:szCs w:val="24"/>
        </w:rPr>
        <w:t xml:space="preserve">Accessed on July 28, 2020. </w:t>
      </w:r>
      <w:hyperlink r:id="rId124" w:history="1">
        <w:r w:rsidRPr="00D400D6">
          <w:rPr>
            <w:rStyle w:val="Hyperlink"/>
            <w:rFonts w:ascii="Times New Roman" w:hAnsi="Times New Roman"/>
            <w:sz w:val="24"/>
            <w:szCs w:val="24"/>
          </w:rPr>
          <w:t>https://doi.org/10.4324/9781315699660</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Crombois, Jean F. “European Consortium for Political Research Standing Group on the European Union Fourth Pan-European Conference on EU Politics.” </w:t>
      </w:r>
      <w:r w:rsidRPr="00D400D6">
        <w:rPr>
          <w:rFonts w:ascii="Times New Roman" w:hAnsi="Times New Roman"/>
          <w:i/>
          <w:iCs/>
          <w:sz w:val="24"/>
          <w:szCs w:val="24"/>
        </w:rPr>
        <w:t>EU Eastern Partnership and Geopolitics</w:t>
      </w:r>
      <w:r w:rsidRPr="00D400D6">
        <w:rPr>
          <w:rFonts w:ascii="Times New Roman" w:hAnsi="Times New Roman"/>
          <w:sz w:val="24"/>
          <w:szCs w:val="24"/>
        </w:rPr>
        <w:t xml:space="preserve">, May 2008. </w:t>
      </w:r>
      <w:r w:rsidR="0025399B">
        <w:rPr>
          <w:rFonts w:ascii="Times New Roman" w:hAnsi="Times New Roman"/>
          <w:sz w:val="24"/>
          <w:szCs w:val="24"/>
        </w:rPr>
        <w:t xml:space="preserve">Accessed on July 28, 2020. </w:t>
      </w:r>
      <w:hyperlink r:id="rId125" w:history="1">
        <w:r w:rsidRPr="00D400D6">
          <w:rPr>
            <w:rStyle w:val="Hyperlink"/>
            <w:rFonts w:ascii="Times New Roman" w:hAnsi="Times New Roman"/>
            <w:sz w:val="24"/>
            <w:szCs w:val="24"/>
          </w:rPr>
          <w:t>https://www.researchgate.net/publication/239533669_European_Consortium_for_Political_R</w:t>
        </w:r>
        <w:r w:rsidRPr="00D400D6">
          <w:rPr>
            <w:rStyle w:val="Hyperlink"/>
            <w:rFonts w:ascii="Times New Roman" w:hAnsi="Times New Roman"/>
            <w:sz w:val="24"/>
            <w:szCs w:val="24"/>
          </w:rPr>
          <w:lastRenderedPageBreak/>
          <w:t>esearch_Standing_Group_on_the_European_Union_Fourth_Pan-European_Conference_on_EU_Politics</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Cooley, Alexander, and Lincoln A. Mitchell. “Engagement without Recognition: A New Strategy toward Abkhazia and Eurasia's Unrecognized States.” </w:t>
      </w:r>
      <w:r w:rsidRPr="00D400D6">
        <w:rPr>
          <w:rFonts w:ascii="Times New Roman" w:hAnsi="Times New Roman"/>
          <w:i/>
          <w:iCs/>
          <w:sz w:val="24"/>
          <w:szCs w:val="24"/>
        </w:rPr>
        <w:t>The Washington Quarterly</w:t>
      </w:r>
      <w:r w:rsidRPr="00D400D6">
        <w:rPr>
          <w:rFonts w:ascii="Times New Roman" w:hAnsi="Times New Roman"/>
          <w:sz w:val="24"/>
          <w:szCs w:val="24"/>
        </w:rPr>
        <w:t xml:space="preserve"> 33, no. 4 (May 2010): 59–73.</w:t>
      </w:r>
      <w:r w:rsidR="0025399B" w:rsidRPr="0025399B">
        <w:rPr>
          <w:rFonts w:ascii="Times New Roman" w:hAnsi="Times New Roman"/>
          <w:sz w:val="24"/>
          <w:szCs w:val="24"/>
        </w:rPr>
        <w:t xml:space="preserve"> </w:t>
      </w:r>
      <w:r w:rsidR="0025399B">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26" w:history="1">
        <w:r w:rsidR="0025399B" w:rsidRPr="005C3269">
          <w:rPr>
            <w:rStyle w:val="Hyperlink"/>
            <w:rFonts w:ascii="Times New Roman" w:hAnsi="Times New Roman"/>
            <w:sz w:val="24"/>
            <w:szCs w:val="24"/>
          </w:rPr>
          <w:t>https://doi.org/https://doi.org/10.1080/0163660X.2010.516183</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Caspersen, Nina. “Playing the Recognition Game: External Actors and De Facto States.” </w:t>
      </w:r>
      <w:r w:rsidRPr="00D400D6">
        <w:rPr>
          <w:rFonts w:ascii="Times New Roman" w:hAnsi="Times New Roman"/>
          <w:i/>
          <w:iCs/>
          <w:sz w:val="24"/>
          <w:szCs w:val="24"/>
        </w:rPr>
        <w:t>International Speactator</w:t>
      </w:r>
      <w:r w:rsidRPr="00D400D6">
        <w:rPr>
          <w:rFonts w:ascii="Times New Roman" w:hAnsi="Times New Roman"/>
          <w:sz w:val="24"/>
          <w:szCs w:val="24"/>
        </w:rPr>
        <w:t xml:space="preserve"> 44, no. 4 (November 2009): 47–60. </w:t>
      </w:r>
      <w:r w:rsidR="0025399B">
        <w:rPr>
          <w:rFonts w:ascii="Times New Roman" w:hAnsi="Times New Roman"/>
          <w:sz w:val="24"/>
          <w:szCs w:val="24"/>
        </w:rPr>
        <w:t xml:space="preserve">Accessed on July 28, 2020. </w:t>
      </w:r>
      <w:hyperlink r:id="rId127" w:history="1">
        <w:r w:rsidR="0025399B" w:rsidRPr="005C3269">
          <w:rPr>
            <w:rStyle w:val="Hyperlink"/>
            <w:rFonts w:ascii="Times New Roman" w:hAnsi="Times New Roman"/>
            <w:sz w:val="24"/>
            <w:szCs w:val="24"/>
          </w:rPr>
          <w:t>https://doi.org/10.1080/03932720903351146</w:t>
        </w:r>
      </w:hyperlink>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color w:val="000000"/>
          <w:sz w:val="24"/>
          <w:szCs w:val="24"/>
        </w:rPr>
      </w:pPr>
      <w:r w:rsidRPr="00D400D6">
        <w:rPr>
          <w:rFonts w:ascii="Times New Roman" w:hAnsi="Times New Roman"/>
          <w:color w:val="000000"/>
          <w:sz w:val="24"/>
          <w:szCs w:val="24"/>
        </w:rPr>
        <w:t>Comai, Greg. The external relations of de facto states in the South Caucasus. Caucasus Analytical Digest, 2017.94, 8–14.</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Coppieters, Bruno. “Https://Www.iss.europa.eu/Content/Eu-and-Georgia-Time-Perspectives-Conflict-Resolution.” ISS Europe, December 1, 2007. </w:t>
      </w:r>
      <w:r w:rsidR="0025399B">
        <w:rPr>
          <w:rFonts w:ascii="Times New Roman" w:hAnsi="Times New Roman"/>
        </w:rPr>
        <w:t xml:space="preserve">Accessed on July 28, 2020. </w:t>
      </w:r>
      <w:hyperlink r:id="rId128" w:history="1">
        <w:r w:rsidRPr="00D400D6">
          <w:rPr>
            <w:rStyle w:val="Hyperlink"/>
            <w:rFonts w:ascii="Times New Roman" w:hAnsi="Times New Roman"/>
          </w:rPr>
          <w:t>https://www.iss.europa.eu/sites/default/files/EUISSFiles/occ70.pdf</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color w:val="FF0000"/>
          <w:sz w:val="24"/>
          <w:szCs w:val="24"/>
        </w:rPr>
      </w:pPr>
      <w:r w:rsidRPr="00D400D6">
        <w:rPr>
          <w:rFonts w:ascii="Times New Roman" w:hAnsi="Times New Roman"/>
          <w:sz w:val="24"/>
          <w:szCs w:val="24"/>
        </w:rPr>
        <w:t xml:space="preserve">Davies, Cara M. “'Backseat Driving': European Institutions and Crisis Management in Moldova.” </w:t>
      </w:r>
      <w:r w:rsidRPr="00D400D6">
        <w:rPr>
          <w:rFonts w:ascii="Times New Roman" w:hAnsi="Times New Roman"/>
          <w:i/>
          <w:iCs/>
          <w:sz w:val="24"/>
          <w:szCs w:val="24"/>
        </w:rPr>
        <w:t>Romanian Journal of Political Science</w:t>
      </w:r>
      <w:r w:rsidRPr="00D400D6">
        <w:rPr>
          <w:rFonts w:ascii="Times New Roman" w:hAnsi="Times New Roman"/>
          <w:sz w:val="24"/>
          <w:szCs w:val="24"/>
        </w:rPr>
        <w:t xml:space="preserve"> 34, no. 2 (February 2011): 130–53</w:t>
      </w:r>
      <w:r w:rsidRPr="00D400D6">
        <w:rPr>
          <w:rFonts w:ascii="Times New Roman" w:hAnsi="Times New Roman"/>
          <w:color w:val="FF0000"/>
          <w:sz w:val="24"/>
          <w:szCs w:val="24"/>
        </w:rPr>
        <w:t>.</w:t>
      </w:r>
    </w:p>
    <w:p w:rsidR="0025399B" w:rsidRDefault="00017A6D" w:rsidP="0025399B">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De Waal, Thomas. “Georgia's Choices: Charting a Future in Uncertain Times.” Carnegie Endowment for International Peace, </w:t>
      </w:r>
      <w:r w:rsidR="0025399B">
        <w:rPr>
          <w:rFonts w:ascii="Times New Roman" w:hAnsi="Times New Roman"/>
          <w:sz w:val="24"/>
          <w:szCs w:val="24"/>
        </w:rPr>
        <w:t xml:space="preserve">Accessed on July 28, 2020. </w:t>
      </w:r>
      <w:r w:rsidRPr="00D400D6">
        <w:rPr>
          <w:rFonts w:ascii="Times New Roman" w:hAnsi="Times New Roman"/>
          <w:sz w:val="24"/>
          <w:szCs w:val="24"/>
        </w:rPr>
        <w:t>2011.</w:t>
      </w:r>
      <w:r w:rsidR="0025399B">
        <w:rPr>
          <w:rFonts w:ascii="Times New Roman" w:hAnsi="Times New Roman"/>
          <w:sz w:val="24"/>
          <w:szCs w:val="24"/>
        </w:rPr>
        <w:t xml:space="preserve"> </w:t>
      </w:r>
      <w:hyperlink r:id="rId129" w:history="1">
        <w:r w:rsidR="0025399B" w:rsidRPr="005C3269">
          <w:rPr>
            <w:rStyle w:val="Hyperlink"/>
            <w:rFonts w:ascii="Times New Roman" w:hAnsi="Times New Roman"/>
            <w:sz w:val="24"/>
            <w:szCs w:val="24"/>
          </w:rPr>
          <w:t>https://carnegieendowment.org/files/georgias_choices.pdf</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De Waal, Thomas. “Enhancing the EU’s Engagement </w:t>
      </w:r>
      <w:proofErr w:type="gramStart"/>
      <w:r w:rsidRPr="00D400D6">
        <w:rPr>
          <w:rFonts w:ascii="Times New Roman" w:hAnsi="Times New Roman"/>
        </w:rPr>
        <w:t>With</w:t>
      </w:r>
      <w:proofErr w:type="gramEnd"/>
      <w:r w:rsidRPr="00D400D6">
        <w:rPr>
          <w:rFonts w:ascii="Times New Roman" w:hAnsi="Times New Roman"/>
        </w:rPr>
        <w:t xml:space="preserve"> Separatist Territories.” Carnegie Europe, January 17, 2017. </w:t>
      </w:r>
      <w:r w:rsidR="0025399B">
        <w:rPr>
          <w:rFonts w:ascii="Times New Roman" w:hAnsi="Times New Roman"/>
        </w:rPr>
        <w:t xml:space="preserve">Accessed on July 28, 2020. </w:t>
      </w:r>
      <w:hyperlink r:id="rId130" w:history="1">
        <w:r w:rsidRPr="00D400D6">
          <w:rPr>
            <w:rStyle w:val="Hyperlink"/>
            <w:rFonts w:ascii="Times New Roman" w:hAnsi="Times New Roman"/>
          </w:rPr>
          <w:t>https://carnegieendowment.org/files/DeWaal_EU_Engagement_with_Seperatist_Territories.pdf</w:t>
        </w:r>
      </w:hyperlink>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Devdariani, Jaba. “Georgia: Coping With Success.” Open Government Partnership, April 4, 2017. </w:t>
      </w:r>
      <w:r w:rsidR="0025399B">
        <w:rPr>
          <w:rFonts w:ascii="Times New Roman" w:hAnsi="Times New Roman"/>
          <w:sz w:val="24"/>
          <w:szCs w:val="24"/>
        </w:rPr>
        <w:t xml:space="preserve">Accessed on July 28, 2020.  </w:t>
      </w:r>
      <w:hyperlink r:id="rId131" w:history="1">
        <w:r w:rsidRPr="00D400D6">
          <w:rPr>
            <w:rStyle w:val="Hyperlink"/>
            <w:rFonts w:ascii="Times New Roman" w:hAnsi="Times New Roman"/>
            <w:sz w:val="24"/>
            <w:szCs w:val="24"/>
          </w:rPr>
          <w:t>https://www.opengovpartnership.org/stories/georgia-coping-with-success/</w:t>
        </w:r>
      </w:hyperlink>
      <w:r w:rsidRPr="00D400D6">
        <w:rPr>
          <w:rFonts w:ascii="Times New Roman" w:hAnsi="Times New Roman"/>
          <w:sz w:val="24"/>
          <w:szCs w:val="24"/>
        </w:rPr>
        <w:t>.</w:t>
      </w:r>
    </w:p>
    <w:p w:rsidR="00017A6D" w:rsidRDefault="00017A6D" w:rsidP="00017A6D">
      <w:pPr>
        <w:pStyle w:val="NormalWeb"/>
        <w:spacing w:line="360" w:lineRule="auto"/>
        <w:rPr>
          <w:rFonts w:ascii="Times New Roman" w:hAnsi="Times New Roman"/>
        </w:rPr>
      </w:pPr>
      <w:r w:rsidRPr="00D400D6">
        <w:rPr>
          <w:rFonts w:ascii="Times New Roman" w:hAnsi="Times New Roman"/>
        </w:rPr>
        <w:lastRenderedPageBreak/>
        <w:t>Devdariani, Jaba. “Conflicting Realities in Russia and the EU’s Shared Neighborhood.” Carnegie Europe, March 15, 2018.</w:t>
      </w:r>
      <w:r w:rsidR="0025399B" w:rsidRPr="0025399B">
        <w:rPr>
          <w:rFonts w:ascii="Times New Roman" w:hAnsi="Times New Roman"/>
        </w:rPr>
        <w:t xml:space="preserve"> </w:t>
      </w:r>
      <w:r w:rsidR="0025399B">
        <w:rPr>
          <w:rFonts w:ascii="Times New Roman" w:hAnsi="Times New Roman"/>
        </w:rPr>
        <w:t xml:space="preserve">Accessed on July 28, 2020.  </w:t>
      </w:r>
      <w:r w:rsidRPr="00D400D6">
        <w:rPr>
          <w:rFonts w:ascii="Times New Roman" w:hAnsi="Times New Roman"/>
        </w:rPr>
        <w:t xml:space="preserve"> </w:t>
      </w:r>
      <w:hyperlink r:id="rId132" w:history="1">
        <w:r w:rsidR="0025399B" w:rsidRPr="005C3269">
          <w:rPr>
            <w:rStyle w:val="Hyperlink"/>
            <w:rFonts w:ascii="Times New Roman" w:hAnsi="Times New Roman"/>
          </w:rPr>
          <w:t>https://carnegie.ru/commentary/75800</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Dordevic, Vladimir. “Regional Conflicts in the Western Balkans and the Caucasus Revisited: Comparison of Kosovo to South Ossetia and Abkhazia.” </w:t>
      </w:r>
      <w:r w:rsidRPr="00D400D6">
        <w:rPr>
          <w:rFonts w:ascii="Times New Roman" w:hAnsi="Times New Roman"/>
          <w:i/>
          <w:iCs/>
          <w:sz w:val="24"/>
          <w:szCs w:val="24"/>
        </w:rPr>
        <w:t>Regional Conflicts in the Western Balkans and Caucasus</w:t>
      </w:r>
      <w:r w:rsidRPr="00D400D6">
        <w:rPr>
          <w:rFonts w:ascii="Times New Roman" w:hAnsi="Times New Roman"/>
          <w:sz w:val="24"/>
          <w:szCs w:val="24"/>
        </w:rPr>
        <w:t xml:space="preserve"> 12, no. 19 (April 2010): 22–44. </w:t>
      </w:r>
      <w:r w:rsidR="0025399B">
        <w:rPr>
          <w:rFonts w:ascii="Times New Roman" w:hAnsi="Times New Roman"/>
          <w:sz w:val="24"/>
          <w:szCs w:val="24"/>
        </w:rPr>
        <w:t xml:space="preserve">Accessed on July 28, 2020. </w:t>
      </w:r>
      <w:hyperlink r:id="rId133" w:history="1">
        <w:r w:rsidRPr="00D400D6">
          <w:rPr>
            <w:rStyle w:val="Hyperlink"/>
            <w:rFonts w:ascii="Times New Roman" w:hAnsi="Times New Roman"/>
            <w:sz w:val="24"/>
            <w:szCs w:val="24"/>
          </w:rPr>
          <w:t>https://journals.muni.cz/cepsr/article/view/4466/3529</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Dobrescu, Madalina, and Tobias Schumacher. “The Politics of Flexibility: Exploring the Contested Statehood–EU Actorness Nexus in Georgia.” </w:t>
      </w:r>
      <w:r w:rsidRPr="00D400D6">
        <w:rPr>
          <w:rFonts w:ascii="Times New Roman" w:hAnsi="Times New Roman"/>
          <w:i/>
          <w:iCs/>
          <w:sz w:val="24"/>
          <w:szCs w:val="24"/>
        </w:rPr>
        <w:t>Geopolitics</w:t>
      </w:r>
      <w:r w:rsidRPr="00D400D6">
        <w:rPr>
          <w:rFonts w:ascii="Times New Roman" w:hAnsi="Times New Roman"/>
          <w:sz w:val="24"/>
          <w:szCs w:val="24"/>
        </w:rPr>
        <w:t xml:space="preserve"> 25, no. 2 (2018): 407–27.</w:t>
      </w:r>
      <w:r w:rsidR="0025399B">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34" w:history="1">
        <w:r w:rsidR="0025399B" w:rsidRPr="005C3269">
          <w:rPr>
            <w:rStyle w:val="Hyperlink"/>
            <w:rFonts w:ascii="Times New Roman" w:hAnsi="Times New Roman"/>
            <w:sz w:val="24"/>
            <w:szCs w:val="24"/>
          </w:rPr>
          <w:t>https://doi.org/10.1080/14650045.2018.1552944</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Diez, Thomas. “Normative Power Europe and Conflict </w:t>
      </w:r>
      <w:proofErr w:type="gramStart"/>
      <w:r w:rsidRPr="00D400D6">
        <w:rPr>
          <w:rFonts w:ascii="Times New Roman" w:hAnsi="Times New Roman"/>
          <w:sz w:val="24"/>
          <w:szCs w:val="24"/>
        </w:rPr>
        <w:t>Transformation .”</w:t>
      </w:r>
      <w:proofErr w:type="gramEnd"/>
      <w:r w:rsidRPr="00D400D6">
        <w:rPr>
          <w:rFonts w:ascii="Times New Roman" w:hAnsi="Times New Roman"/>
          <w:sz w:val="24"/>
          <w:szCs w:val="24"/>
        </w:rPr>
        <w:t xml:space="preserve"> </w:t>
      </w:r>
      <w:r w:rsidRPr="00D400D6">
        <w:rPr>
          <w:rFonts w:ascii="Times New Roman" w:hAnsi="Times New Roman"/>
          <w:i/>
          <w:iCs/>
          <w:sz w:val="24"/>
          <w:szCs w:val="24"/>
        </w:rPr>
        <w:t xml:space="preserve">Paper for Presentation at the 2007 EUSA Conference, Montreal, 17-19 May </w:t>
      </w:r>
      <w:proofErr w:type="gramStart"/>
      <w:r w:rsidRPr="00D400D6">
        <w:rPr>
          <w:rFonts w:ascii="Times New Roman" w:hAnsi="Times New Roman"/>
          <w:i/>
          <w:iCs/>
          <w:sz w:val="24"/>
          <w:szCs w:val="24"/>
        </w:rPr>
        <w:t xml:space="preserve">2007 </w:t>
      </w:r>
      <w:r w:rsidRPr="00D400D6">
        <w:rPr>
          <w:rFonts w:ascii="Times New Roman" w:hAnsi="Times New Roman"/>
          <w:sz w:val="24"/>
          <w:szCs w:val="24"/>
        </w:rPr>
        <w:t>,</w:t>
      </w:r>
      <w:proofErr w:type="gramEnd"/>
      <w:r w:rsidRPr="00D400D6">
        <w:rPr>
          <w:rFonts w:ascii="Times New Roman" w:hAnsi="Times New Roman"/>
          <w:sz w:val="24"/>
          <w:szCs w:val="24"/>
        </w:rPr>
        <w:t xml:space="preserve"> May 2017. </w:t>
      </w:r>
      <w:r w:rsidR="0025399B">
        <w:rPr>
          <w:rFonts w:ascii="Times New Roman" w:hAnsi="Times New Roman"/>
          <w:sz w:val="24"/>
          <w:szCs w:val="24"/>
        </w:rPr>
        <w:t xml:space="preserve">Accessed on July 28, 2020. </w:t>
      </w:r>
      <w:hyperlink r:id="rId135" w:history="1">
        <w:r w:rsidRPr="00D400D6">
          <w:rPr>
            <w:rStyle w:val="Hyperlink"/>
            <w:rFonts w:ascii="Times New Roman" w:hAnsi="Times New Roman"/>
            <w:sz w:val="24"/>
            <w:szCs w:val="24"/>
          </w:rPr>
          <w:t>http://aei.pitt.edu/7798/1/diez-t-01a.pdf</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Duffield, Mark. “Challenging Environments: Danger, Resilience and the Aid Industry.” </w:t>
      </w:r>
      <w:r w:rsidRPr="00D400D6">
        <w:rPr>
          <w:rFonts w:ascii="Times New Roman" w:hAnsi="Times New Roman"/>
          <w:i/>
          <w:iCs/>
          <w:sz w:val="24"/>
          <w:szCs w:val="24"/>
        </w:rPr>
        <w:t>Security Dialogue</w:t>
      </w:r>
      <w:r w:rsidRPr="00D400D6">
        <w:rPr>
          <w:rFonts w:ascii="Times New Roman" w:hAnsi="Times New Roman"/>
          <w:sz w:val="24"/>
          <w:szCs w:val="24"/>
        </w:rPr>
        <w:t xml:space="preserve"> 43, no. 5 (October 2012): 475–92. </w:t>
      </w:r>
      <w:r w:rsidR="0025399B">
        <w:rPr>
          <w:rFonts w:ascii="Times New Roman" w:hAnsi="Times New Roman"/>
          <w:sz w:val="24"/>
          <w:szCs w:val="24"/>
        </w:rPr>
        <w:t xml:space="preserve">Accessed on July 28, 2020. </w:t>
      </w:r>
      <w:hyperlink r:id="rId136" w:history="1">
        <w:r w:rsidR="0025399B" w:rsidRPr="005C3269">
          <w:rPr>
            <w:rStyle w:val="Hyperlink"/>
            <w:rFonts w:ascii="Times New Roman" w:hAnsi="Times New Roman"/>
            <w:sz w:val="24"/>
            <w:szCs w:val="24"/>
          </w:rPr>
          <w:t>https://www.jstor.org/stable/26301932?seq=1</w:t>
        </w:r>
      </w:hyperlink>
      <w:r w:rsidRPr="00D400D6">
        <w:rPr>
          <w:rFonts w:ascii="Times New Roman" w:hAnsi="Times New Roman"/>
          <w:sz w:val="24"/>
          <w:szCs w:val="24"/>
        </w:rPr>
        <w:t>.</w:t>
      </w:r>
    </w:p>
    <w:p w:rsidR="00017A6D" w:rsidRDefault="00017A6D" w:rsidP="00017A6D">
      <w:pPr>
        <w:pStyle w:val="NormalWeb"/>
        <w:spacing w:line="360" w:lineRule="auto"/>
        <w:rPr>
          <w:rFonts w:ascii="Times New Roman" w:hAnsi="Times New Roman"/>
        </w:rPr>
      </w:pPr>
      <w:r w:rsidRPr="00D400D6">
        <w:rPr>
          <w:rFonts w:ascii="Times New Roman" w:hAnsi="Times New Roman"/>
        </w:rPr>
        <w:t xml:space="preserve">De Waal, </w:t>
      </w:r>
      <w:proofErr w:type="gramStart"/>
      <w:r w:rsidRPr="00D400D6">
        <w:rPr>
          <w:rFonts w:ascii="Times New Roman" w:hAnsi="Times New Roman"/>
        </w:rPr>
        <w:t>Thomas .</w:t>
      </w:r>
      <w:proofErr w:type="gramEnd"/>
      <w:r w:rsidRPr="00D400D6">
        <w:rPr>
          <w:rFonts w:ascii="Times New Roman" w:hAnsi="Times New Roman"/>
        </w:rPr>
        <w:t xml:space="preserve"> “A Crucial Election in Georgia.” Carnegie Europe, September 2012. </w:t>
      </w:r>
      <w:r w:rsidR="0025399B">
        <w:rPr>
          <w:rFonts w:ascii="Times New Roman" w:hAnsi="Times New Roman"/>
        </w:rPr>
        <w:t xml:space="preserve">Accessed on July 28, 2020. </w:t>
      </w:r>
      <w:hyperlink r:id="rId137" w:history="1">
        <w:r w:rsidR="0025399B" w:rsidRPr="005C3269">
          <w:rPr>
            <w:rStyle w:val="Hyperlink"/>
            <w:rFonts w:ascii="Times New Roman" w:hAnsi="Times New Roman"/>
          </w:rPr>
          <w:t>https://carnegieeurope.eu/2012/09/11/crucial-election-in-georgia-pub-49281</w:t>
        </w:r>
      </w:hyperlink>
      <w:r w:rsidRPr="00D400D6">
        <w:rPr>
          <w:rFonts w:ascii="Times New Roman" w:hAnsi="Times New Roman"/>
        </w:rPr>
        <w:t>.</w:t>
      </w:r>
    </w:p>
    <w:p w:rsidR="00017A6D" w:rsidRDefault="00017A6D" w:rsidP="00017A6D">
      <w:pPr>
        <w:pStyle w:val="NormalWeb"/>
        <w:spacing w:line="360" w:lineRule="auto"/>
        <w:rPr>
          <w:rFonts w:ascii="Times New Roman" w:hAnsi="Times New Roman"/>
        </w:rPr>
      </w:pPr>
      <w:r w:rsidRPr="00D400D6">
        <w:rPr>
          <w:rFonts w:ascii="Times New Roman" w:hAnsi="Times New Roman"/>
        </w:rPr>
        <w:t xml:space="preserve">Emerson, Robert M. “Introduction.” </w:t>
      </w:r>
      <w:r w:rsidRPr="00D400D6">
        <w:rPr>
          <w:rFonts w:ascii="Times New Roman" w:hAnsi="Times New Roman"/>
          <w:i/>
          <w:iCs/>
        </w:rPr>
        <w:t>The American Academy of Political and Social Science</w:t>
      </w:r>
      <w:r w:rsidRPr="00D400D6">
        <w:rPr>
          <w:rFonts w:ascii="Times New Roman" w:hAnsi="Times New Roman"/>
        </w:rPr>
        <w:t xml:space="preserve"> 595, no. 1 (2004): 8–13. </w:t>
      </w:r>
      <w:r w:rsidR="0025399B">
        <w:rPr>
          <w:rFonts w:ascii="Times New Roman" w:hAnsi="Times New Roman"/>
        </w:rPr>
        <w:t xml:space="preserve">Accessed on July 28, 2020.  </w:t>
      </w:r>
      <w:hyperlink r:id="rId138" w:history="1">
        <w:r w:rsidR="0025399B" w:rsidRPr="005C3269">
          <w:rPr>
            <w:rStyle w:val="Hyperlink"/>
            <w:rFonts w:ascii="Times New Roman" w:hAnsi="Times New Roman"/>
          </w:rPr>
          <w:t>https://doi.org/10.1177/0002716204268031</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Emerson, Robert M. “Introduction.” </w:t>
      </w:r>
      <w:r w:rsidRPr="00D400D6">
        <w:rPr>
          <w:rFonts w:ascii="Times New Roman" w:hAnsi="Times New Roman"/>
          <w:i/>
          <w:iCs/>
          <w:sz w:val="24"/>
          <w:szCs w:val="24"/>
        </w:rPr>
        <w:t>The American Academy of Political and Social Science</w:t>
      </w:r>
      <w:r w:rsidRPr="00D400D6">
        <w:rPr>
          <w:rFonts w:ascii="Times New Roman" w:hAnsi="Times New Roman"/>
          <w:sz w:val="24"/>
          <w:szCs w:val="24"/>
        </w:rPr>
        <w:t xml:space="preserve"> 595, no. 1 (2004): 8–13.</w:t>
      </w:r>
      <w:r w:rsidR="0025399B" w:rsidRPr="0025399B">
        <w:rPr>
          <w:rFonts w:ascii="Times New Roman" w:hAnsi="Times New Roman"/>
          <w:sz w:val="24"/>
          <w:szCs w:val="24"/>
        </w:rPr>
        <w:t xml:space="preserve"> </w:t>
      </w:r>
      <w:r w:rsidR="0025399B">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39" w:history="1">
        <w:r w:rsidRPr="00D400D6">
          <w:rPr>
            <w:rStyle w:val="Hyperlink"/>
            <w:rFonts w:ascii="Times New Roman" w:hAnsi="Times New Roman"/>
            <w:sz w:val="24"/>
            <w:szCs w:val="24"/>
          </w:rPr>
          <w:t>https://doi.org/10.1177/0002716204268031</w:t>
        </w:r>
      </w:hyperlink>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Frazier, Derrick.</w:t>
      </w:r>
      <w:proofErr w:type="gramStart"/>
      <w:r w:rsidRPr="00D400D6">
        <w:rPr>
          <w:rFonts w:ascii="Times New Roman" w:hAnsi="Times New Roman"/>
          <w:sz w:val="24"/>
          <w:szCs w:val="24"/>
        </w:rPr>
        <w:t>,“</w:t>
      </w:r>
      <w:proofErr w:type="gramEnd"/>
      <w:r w:rsidRPr="00D400D6">
        <w:rPr>
          <w:rFonts w:ascii="Times New Roman" w:hAnsi="Times New Roman"/>
          <w:sz w:val="24"/>
          <w:szCs w:val="24"/>
        </w:rPr>
        <w:t>Third-party intermediaries and negotiated settlements:</w:t>
      </w: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 xml:space="preserve">1946-2000”. </w:t>
      </w:r>
      <w:proofErr w:type="gramStart"/>
      <w:r w:rsidRPr="00D400D6">
        <w:rPr>
          <w:rFonts w:ascii="Times New Roman" w:hAnsi="Times New Roman"/>
          <w:sz w:val="24"/>
          <w:szCs w:val="24"/>
        </w:rPr>
        <w:t>,</w:t>
      </w:r>
      <w:r w:rsidRPr="00D400D6">
        <w:rPr>
          <w:rFonts w:ascii="Times New Roman" w:hAnsi="Times New Roman"/>
          <w:i/>
          <w:iCs/>
          <w:sz w:val="24"/>
          <w:szCs w:val="24"/>
        </w:rPr>
        <w:t>International</w:t>
      </w:r>
      <w:proofErr w:type="gramEnd"/>
      <w:r w:rsidRPr="00D400D6">
        <w:rPr>
          <w:rFonts w:ascii="Times New Roman" w:hAnsi="Times New Roman"/>
          <w:i/>
          <w:iCs/>
          <w:sz w:val="24"/>
          <w:szCs w:val="24"/>
        </w:rPr>
        <w:t xml:space="preserve"> Conflict Mediation: New Approaches and Findings </w:t>
      </w:r>
      <w:r w:rsidRPr="00D400D6">
        <w:rPr>
          <w:rFonts w:ascii="Times New Roman" w:hAnsi="Times New Roman"/>
          <w:sz w:val="24"/>
          <w:szCs w:val="24"/>
        </w:rPr>
        <w:t>. (NYC: Routledge.</w:t>
      </w:r>
      <w:proofErr w:type="gramStart"/>
      <w:r w:rsidRPr="00D400D6">
        <w:rPr>
          <w:rFonts w:ascii="Times New Roman" w:hAnsi="Times New Roman"/>
          <w:sz w:val="24"/>
          <w:szCs w:val="24"/>
        </w:rPr>
        <w:t>,2009</w:t>
      </w:r>
      <w:proofErr w:type="gramEnd"/>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sz w:val="24"/>
          <w:szCs w:val="24"/>
        </w:rPr>
      </w:pP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Fischer, Sabine. “The EU’s Non-Recognition and Engagement Policy towards Abkhazia and South Ossetia - Seminar Reports.” Institute for Security Studies, December 2, 2010. </w:t>
      </w:r>
      <w:r w:rsidR="00C34F71">
        <w:rPr>
          <w:rFonts w:ascii="Times New Roman" w:hAnsi="Times New Roman"/>
          <w:sz w:val="24"/>
          <w:szCs w:val="24"/>
        </w:rPr>
        <w:t xml:space="preserve">Accessed on July 28, 2020. </w:t>
      </w:r>
      <w:hyperlink r:id="rId140" w:history="1">
        <w:r w:rsidR="003030E2" w:rsidRPr="00D400D6">
          <w:rPr>
            <w:rStyle w:val="Hyperlink"/>
            <w:rFonts w:ascii="Times New Roman" w:hAnsi="Times New Roman"/>
            <w:sz w:val="24"/>
            <w:szCs w:val="24"/>
          </w:rPr>
          <w:t>https://www.iss.europa.eu/sites/default/files/EUISSFiles/NREP_report.pdf</w:t>
        </w:r>
      </w:hyperlink>
      <w:r w:rsidRPr="00D400D6">
        <w:rPr>
          <w:rFonts w:ascii="Times New Roman" w:hAnsi="Times New Roman"/>
          <w:sz w:val="24"/>
          <w:szCs w:val="24"/>
        </w:rPr>
        <w:t>.</w:t>
      </w:r>
    </w:p>
    <w:p w:rsidR="003030E2" w:rsidRDefault="003030E2" w:rsidP="003030E2">
      <w:pPr>
        <w:pStyle w:val="NormalWeb"/>
        <w:spacing w:line="360" w:lineRule="auto"/>
        <w:rPr>
          <w:rFonts w:ascii="Times New Roman" w:hAnsi="Times New Roman"/>
        </w:rPr>
      </w:pPr>
      <w:r w:rsidRPr="00D400D6">
        <w:rPr>
          <w:rFonts w:ascii="Times New Roman" w:hAnsi="Times New Roman"/>
        </w:rPr>
        <w:t xml:space="preserve">Fischer, Sabine, and Giovanni Grevi. </w:t>
      </w:r>
      <w:r w:rsidRPr="00D400D6">
        <w:rPr>
          <w:rFonts w:ascii="Times New Roman" w:hAnsi="Times New Roman"/>
          <w:i/>
          <w:iCs/>
        </w:rPr>
        <w:t>‘EUMM Georgia’ in European Security and Defence Policy: The First Ten Years 1999-2009</w:t>
      </w:r>
      <w:r w:rsidRPr="00D400D6">
        <w:rPr>
          <w:rFonts w:ascii="Times New Roman" w:hAnsi="Times New Roman"/>
        </w:rPr>
        <w:t xml:space="preserve">. Brussels: ISS, 2009. </w:t>
      </w:r>
      <w:r w:rsidR="00C34F71">
        <w:rPr>
          <w:rFonts w:ascii="Times New Roman" w:hAnsi="Times New Roman"/>
        </w:rPr>
        <w:t xml:space="preserve">Accessed on July 28, 2020. </w:t>
      </w:r>
      <w:hyperlink r:id="rId141" w:history="1">
        <w:r w:rsidR="00C34F71" w:rsidRPr="005C3269">
          <w:rPr>
            <w:rStyle w:val="Hyperlink"/>
            <w:rFonts w:ascii="Times New Roman" w:hAnsi="Times New Roman"/>
          </w:rPr>
          <w:t>https://www.iss.europa.eu/sites/default/files/EUISSFiles/ESDP_10-web_0.pdf</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Frichova, Magdalena. “Transitional Justice and Georgia’s Conflicts: Breaking the Silence.” International Center for Transitional Justice, May 2009. </w:t>
      </w:r>
      <w:r w:rsidR="00C34F71">
        <w:rPr>
          <w:rFonts w:ascii="Times New Roman" w:hAnsi="Times New Roman"/>
          <w:sz w:val="24"/>
          <w:szCs w:val="24"/>
        </w:rPr>
        <w:t xml:space="preserve">Accessed on July 28, 2020. </w:t>
      </w:r>
      <w:hyperlink r:id="rId142" w:history="1">
        <w:r w:rsidRPr="00D400D6">
          <w:rPr>
            <w:rStyle w:val="Hyperlink"/>
            <w:rFonts w:ascii="Times New Roman" w:hAnsi="Times New Roman"/>
            <w:sz w:val="24"/>
            <w:szCs w:val="24"/>
          </w:rPr>
          <w:t>https://www.ictj.org/sites/default/files/ICTJ-Georgia-Breaking-Silence-2009-English.pdf</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Giuashvili, Teona. “Geneva International Discussions – Negotiating the Possible.” </w:t>
      </w:r>
      <w:r w:rsidRPr="00D400D6">
        <w:rPr>
          <w:rFonts w:ascii="Times New Roman" w:hAnsi="Times New Roman"/>
          <w:i/>
          <w:iCs/>
          <w:sz w:val="24"/>
          <w:szCs w:val="24"/>
        </w:rPr>
        <w:t>Security and Human Rights</w:t>
      </w:r>
      <w:r w:rsidRPr="00D400D6">
        <w:rPr>
          <w:rFonts w:ascii="Times New Roman" w:hAnsi="Times New Roman"/>
          <w:sz w:val="24"/>
          <w:szCs w:val="24"/>
        </w:rPr>
        <w:t xml:space="preserve"> 27, no. 2 (May 2016): 380–402. </w:t>
      </w:r>
      <w:r w:rsidR="00C34F71">
        <w:rPr>
          <w:rFonts w:ascii="Times New Roman" w:hAnsi="Times New Roman"/>
          <w:sz w:val="24"/>
          <w:szCs w:val="24"/>
        </w:rPr>
        <w:t xml:space="preserve">Accessed on July 28, 2020. </w:t>
      </w:r>
      <w:hyperlink r:id="rId143" w:history="1">
        <w:r w:rsidR="00C34F71" w:rsidRPr="005C3269">
          <w:rPr>
            <w:rStyle w:val="Hyperlink"/>
            <w:rFonts w:ascii="Times New Roman" w:hAnsi="Times New Roman"/>
            <w:sz w:val="24"/>
            <w:szCs w:val="24"/>
          </w:rPr>
          <w:t>https://brill.com/downloadpdf/journals/shrs/27/3-4/article-p381_381.pdf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Grevi, Giovanni. “PIONEERING FOREIGN POLICY: THE EU SPECIAL REPRESENTATIVES.” European Union Institute for Security Studies, October 1, 2007. </w:t>
      </w:r>
      <w:r w:rsidR="00C34F71">
        <w:rPr>
          <w:rFonts w:ascii="Times New Roman" w:hAnsi="Times New Roman"/>
          <w:sz w:val="24"/>
          <w:szCs w:val="24"/>
        </w:rPr>
        <w:t xml:space="preserve">Accessed on July 28, 2020. </w:t>
      </w:r>
      <w:hyperlink r:id="rId144" w:history="1">
        <w:r w:rsidRPr="00D400D6">
          <w:rPr>
            <w:rStyle w:val="Hyperlink"/>
            <w:rFonts w:ascii="Times New Roman" w:hAnsi="Times New Roman"/>
            <w:sz w:val="24"/>
            <w:szCs w:val="24"/>
          </w:rPr>
          <w:t>https://www.iss.europa.eu/sites/default/files/EUISSFiles/chai106.pdf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Grevi, Giovanni, Damien Helly, and Daniel Keohane. “European Security and Defense Policy: The First 10 Years.” European Union Institute for Security Studies - EU ISS, December 2009.</w:t>
      </w:r>
      <w:r w:rsidR="00C34F71">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45" w:history="1">
        <w:r w:rsidRPr="00D400D6">
          <w:rPr>
            <w:rStyle w:val="Hyperlink"/>
            <w:rFonts w:ascii="Times New Roman" w:hAnsi="Times New Roman"/>
            <w:sz w:val="24"/>
            <w:szCs w:val="24"/>
          </w:rPr>
          <w:t>https://www.iss.europa.eu/sites/default/files/EUISSFiles/ESDP_10-web_0.pdf</w:t>
        </w:r>
      </w:hyperlink>
      <w:r w:rsidRPr="00D400D6">
        <w:rPr>
          <w:rFonts w:ascii="Times New Roman" w:hAnsi="Times New Roman"/>
          <w:sz w:val="24"/>
          <w:szCs w:val="24"/>
        </w:rPr>
        <w:t>.</w:t>
      </w:r>
    </w:p>
    <w:p w:rsidR="00017A6D" w:rsidRPr="00D400D6" w:rsidRDefault="00017A6D" w:rsidP="00017A6D">
      <w:pPr>
        <w:pStyle w:val="NormalWeb"/>
        <w:spacing w:line="360" w:lineRule="auto"/>
        <w:rPr>
          <w:rStyle w:val="Hyperlink"/>
          <w:rFonts w:ascii="Times New Roman" w:hAnsi="Times New Roman"/>
        </w:rPr>
      </w:pPr>
      <w:r w:rsidRPr="00D400D6">
        <w:rPr>
          <w:rFonts w:ascii="Times New Roman" w:hAnsi="Times New Roman"/>
        </w:rPr>
        <w:t xml:space="preserve">Grieg, Michael J, and Paul F Diehl. “International Mediation.” </w:t>
      </w:r>
      <w:r w:rsidRPr="00D400D6">
        <w:rPr>
          <w:rFonts w:ascii="Times New Roman" w:hAnsi="Times New Roman"/>
          <w:i/>
          <w:iCs/>
        </w:rPr>
        <w:t>Political Studies Review</w:t>
      </w:r>
      <w:r w:rsidRPr="00D400D6">
        <w:rPr>
          <w:rFonts w:ascii="Times New Roman" w:hAnsi="Times New Roman"/>
        </w:rPr>
        <w:t xml:space="preserve"> 12, no. 3 (2012): 402–21.</w:t>
      </w:r>
      <w:r w:rsidR="00C34F71" w:rsidRPr="00C34F71">
        <w:rPr>
          <w:rFonts w:ascii="Times New Roman" w:hAnsi="Times New Roman"/>
        </w:rPr>
        <w:t xml:space="preserve"> </w:t>
      </w:r>
      <w:r w:rsidR="00C34F71">
        <w:rPr>
          <w:rFonts w:ascii="Times New Roman" w:hAnsi="Times New Roman"/>
        </w:rPr>
        <w:t xml:space="preserve">Accessed on July 28, 2020. </w:t>
      </w:r>
      <w:r w:rsidRPr="00D400D6">
        <w:rPr>
          <w:rFonts w:ascii="Times New Roman" w:hAnsi="Times New Roman"/>
        </w:rPr>
        <w:t xml:space="preserve"> </w:t>
      </w:r>
      <w:hyperlink r:id="rId146" w:history="1">
        <w:r w:rsidRPr="00D400D6">
          <w:rPr>
            <w:rStyle w:val="Hyperlink"/>
            <w:rFonts w:ascii="Times New Roman" w:hAnsi="Times New Roman"/>
          </w:rPr>
          <w:t>https://doi.org/10.1111/1478-9302.12067_46</w:t>
        </w:r>
      </w:hyperlink>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Gerrits, Andre W., and Max Bader. “Russian Patronage over Abkhazia and South Ossetia: Implications for Conflict Resolution.” </w:t>
      </w:r>
      <w:r w:rsidRPr="00D400D6">
        <w:rPr>
          <w:rFonts w:ascii="Times New Roman" w:hAnsi="Times New Roman"/>
          <w:i/>
          <w:iCs/>
          <w:sz w:val="24"/>
          <w:szCs w:val="24"/>
        </w:rPr>
        <w:t>East European Politics</w:t>
      </w:r>
      <w:r w:rsidRPr="00D400D6">
        <w:rPr>
          <w:rFonts w:ascii="Times New Roman" w:hAnsi="Times New Roman"/>
          <w:sz w:val="24"/>
          <w:szCs w:val="24"/>
        </w:rPr>
        <w:t xml:space="preserve"> 32, no. 3 (July 19, 2016): 297–313.</w:t>
      </w:r>
      <w:r w:rsidR="00C34F71" w:rsidRPr="00C34F71">
        <w:rPr>
          <w:rFonts w:ascii="Times New Roman" w:hAnsi="Times New Roman"/>
          <w:sz w:val="24"/>
          <w:szCs w:val="24"/>
        </w:rPr>
        <w:t xml:space="preserve"> </w:t>
      </w:r>
      <w:r w:rsidR="00C34F71">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47" w:history="1">
        <w:r w:rsidR="00C34F71" w:rsidRPr="005C3269">
          <w:rPr>
            <w:rStyle w:val="Hyperlink"/>
            <w:rFonts w:ascii="Times New Roman" w:hAnsi="Times New Roman"/>
            <w:sz w:val="24"/>
            <w:szCs w:val="24"/>
          </w:rPr>
          <w:t>https://doi.org/https://doi.org/10.1080/21599165.2016.1166104</w:t>
        </w:r>
      </w:hyperlink>
      <w:r w:rsidRPr="00D400D6">
        <w:rPr>
          <w:rFonts w:ascii="Times New Roman" w:hAnsi="Times New Roman"/>
          <w:sz w:val="24"/>
          <w:szCs w:val="24"/>
        </w:rPr>
        <w:t>.</w:t>
      </w:r>
    </w:p>
    <w:p w:rsidR="00C34F71" w:rsidRPr="00C34F71" w:rsidRDefault="00C34F71" w:rsidP="00C34F71">
      <w:pPr>
        <w:pStyle w:val="NoSpacing"/>
      </w:pP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Hopman, P. T., “Principles of Conflict Management for Conflict Management</w:t>
      </w: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t>Institutions: Best Practices and Lessons Learnt”.</w:t>
      </w:r>
      <w:proofErr w:type="gramStart"/>
      <w:r w:rsidRPr="00D400D6">
        <w:rPr>
          <w:rFonts w:ascii="Times New Roman" w:hAnsi="Times New Roman"/>
          <w:sz w:val="24"/>
          <w:szCs w:val="24"/>
        </w:rPr>
        <w:t>,</w:t>
      </w:r>
      <w:r w:rsidRPr="00D400D6">
        <w:rPr>
          <w:rFonts w:ascii="Times New Roman" w:hAnsi="Times New Roman"/>
          <w:i/>
          <w:iCs/>
          <w:sz w:val="24"/>
          <w:szCs w:val="24"/>
        </w:rPr>
        <w:t>International</w:t>
      </w:r>
      <w:proofErr w:type="gramEnd"/>
      <w:r w:rsidRPr="00D400D6">
        <w:rPr>
          <w:rFonts w:ascii="Times New Roman" w:hAnsi="Times New Roman"/>
          <w:i/>
          <w:iCs/>
          <w:sz w:val="24"/>
          <w:szCs w:val="24"/>
        </w:rPr>
        <w:t xml:space="preserve"> Crisis Management: NATO, EU, OSCE and Civil Society, (</w:t>
      </w:r>
      <w:r w:rsidRPr="00D400D6">
        <w:rPr>
          <w:rFonts w:ascii="Times New Roman" w:hAnsi="Times New Roman"/>
          <w:sz w:val="24"/>
          <w:szCs w:val="24"/>
        </w:rPr>
        <w:t>Amsterdam: IOS Press,2006), pp. 1-13.</w:t>
      </w:r>
    </w:p>
    <w:p w:rsidR="00017A6D" w:rsidRPr="00D400D6" w:rsidRDefault="00017A6D" w:rsidP="00017A6D">
      <w:pPr>
        <w:spacing w:line="360" w:lineRule="auto"/>
        <w:rPr>
          <w:rFonts w:ascii="Times New Roman" w:hAnsi="Times New Roman"/>
          <w:sz w:val="24"/>
          <w:szCs w:val="24"/>
        </w:rPr>
      </w:pP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sz w:val="24"/>
          <w:szCs w:val="24"/>
        </w:rPr>
        <w:t>Hyde-Price, Adrian, “European Security, Strategic Culture, and the Use of Force”, (</w:t>
      </w:r>
      <w:r w:rsidRPr="00D400D6">
        <w:rPr>
          <w:rFonts w:ascii="Times New Roman" w:hAnsi="Times New Roman"/>
          <w:i/>
          <w:iCs/>
          <w:sz w:val="24"/>
          <w:szCs w:val="24"/>
        </w:rPr>
        <w:t>European Security</w:t>
      </w:r>
      <w:r w:rsidRPr="00D400D6">
        <w:rPr>
          <w:rFonts w:ascii="Times New Roman" w:hAnsi="Times New Roman"/>
          <w:sz w:val="24"/>
          <w:szCs w:val="24"/>
        </w:rPr>
        <w:t>, 13(4), 2004), 323-343</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Hammarberg, Thomas, and Magdalena Grono. “Human Rights in Abkhazia Today.” Olof Palme Center, July 2017.</w:t>
      </w:r>
      <w:r w:rsidR="00C34F71" w:rsidRPr="00C34F71">
        <w:rPr>
          <w:rFonts w:ascii="Times New Roman" w:hAnsi="Times New Roman"/>
          <w:sz w:val="24"/>
          <w:szCs w:val="24"/>
        </w:rPr>
        <w:t xml:space="preserve"> </w:t>
      </w:r>
      <w:r w:rsidR="00C34F71">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48" w:history="1">
        <w:r w:rsidR="00C34F71" w:rsidRPr="005C3269">
          <w:rPr>
            <w:rStyle w:val="Hyperlink"/>
            <w:rFonts w:ascii="Times New Roman" w:hAnsi="Times New Roman"/>
            <w:sz w:val="24"/>
            <w:szCs w:val="24"/>
          </w:rPr>
          <w:t>https://www.palmecenter.se/wp-content/uploads/2017/07/Human-Rights-in-Abkhazia-Today-report-by-Thomas-Hammarberg-and-Magdalena-Grono.pdf</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Julia Gurganus, Eugene Rumer. “Russia's Global Ambitions in Perspective.” Carnegie Endowment for International Peace, February 2019. </w:t>
      </w:r>
      <w:r w:rsidR="00C34F71">
        <w:rPr>
          <w:rFonts w:ascii="Times New Roman" w:hAnsi="Times New Roman"/>
        </w:rPr>
        <w:t xml:space="preserve">Accessed on July 28, 2020. </w:t>
      </w:r>
      <w:hyperlink r:id="rId149" w:history="1">
        <w:r w:rsidRPr="00D400D6">
          <w:rPr>
            <w:rStyle w:val="Hyperlink"/>
            <w:rFonts w:ascii="Times New Roman" w:hAnsi="Times New Roman"/>
          </w:rPr>
          <w:t>https://carnegieendowment.org/2019/02/20/russia-s-global-ambitions-in-perspective-pub-78067</w:t>
        </w:r>
      </w:hyperlink>
      <w:r w:rsidRPr="00D400D6">
        <w:rPr>
          <w:rFonts w:ascii="Times New Roman" w:hAnsi="Times New Roman"/>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Kandelaki, George. “Georgia’s Rose Revolution: A Participant’s Perspective.” United States Institute for Peace - USIP, July 2006. </w:t>
      </w:r>
      <w:r w:rsidR="00C34F71">
        <w:rPr>
          <w:rFonts w:ascii="Times New Roman" w:hAnsi="Times New Roman"/>
        </w:rPr>
        <w:t xml:space="preserve">Accessed on July 28, 2020. </w:t>
      </w:r>
      <w:hyperlink r:id="rId150" w:history="1">
        <w:r w:rsidRPr="00D400D6">
          <w:rPr>
            <w:rStyle w:val="Hyperlink"/>
            <w:rFonts w:ascii="Times New Roman" w:hAnsi="Times New Roman"/>
          </w:rPr>
          <w:t>https://www.usip.org/sites/default/files/sr167.pdf</w:t>
        </w:r>
      </w:hyperlink>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Kelley, Judith. “New Wine in Old Wineskins: Promoting Political Reforms through the New European Neighbourhood Policy.” </w:t>
      </w:r>
      <w:r w:rsidRPr="00D400D6">
        <w:rPr>
          <w:rFonts w:ascii="Times New Roman" w:hAnsi="Times New Roman"/>
          <w:i/>
          <w:iCs/>
          <w:sz w:val="24"/>
          <w:szCs w:val="24"/>
        </w:rPr>
        <w:t xml:space="preserve">Journal of Common Market Studies </w:t>
      </w:r>
      <w:r w:rsidRPr="00D400D6">
        <w:rPr>
          <w:rFonts w:ascii="Times New Roman" w:hAnsi="Times New Roman"/>
          <w:sz w:val="24"/>
          <w:szCs w:val="24"/>
        </w:rPr>
        <w:t>44, no. 1 (March 2006): 29–55.</w:t>
      </w:r>
      <w:r w:rsidR="00C34F71">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51" w:history="1">
        <w:r w:rsidRPr="00D400D6">
          <w:rPr>
            <w:rStyle w:val="Hyperlink"/>
            <w:rFonts w:ascii="Times New Roman" w:hAnsi="Times New Roman"/>
            <w:sz w:val="24"/>
            <w:szCs w:val="24"/>
          </w:rPr>
          <w:t>https://doi.org/https://doi.org/10.1111/j.1468-5965.2006.00613.x</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Kakachia, Kornely, and Joseph Larsen. “Mitigating Russia's Borderization of Georgia.” </w:t>
      </w:r>
      <w:r w:rsidRPr="00D400D6">
        <w:rPr>
          <w:rFonts w:ascii="Times New Roman" w:hAnsi="Times New Roman"/>
          <w:i/>
          <w:iCs/>
        </w:rPr>
        <w:t>GIP Policy Papers</w:t>
      </w:r>
      <w:r w:rsidRPr="00D400D6">
        <w:rPr>
          <w:rFonts w:ascii="Times New Roman" w:hAnsi="Times New Roman"/>
        </w:rPr>
        <w:t>, December 2017, 10–12.</w:t>
      </w:r>
      <w:r w:rsidR="00C34F71">
        <w:rPr>
          <w:rFonts w:ascii="Times New Roman" w:hAnsi="Times New Roman"/>
        </w:rPr>
        <w:t xml:space="preserve"> Accessed on July 28, 2020. </w:t>
      </w:r>
      <w:r w:rsidRPr="00D400D6">
        <w:rPr>
          <w:rFonts w:ascii="Times New Roman" w:hAnsi="Times New Roman"/>
        </w:rPr>
        <w:t xml:space="preserve"> </w:t>
      </w:r>
      <w:hyperlink r:id="rId152" w:history="1">
        <w:r w:rsidRPr="00D400D6">
          <w:rPr>
            <w:rStyle w:val="Hyperlink"/>
            <w:rFonts w:ascii="Times New Roman" w:hAnsi="Times New Roman"/>
          </w:rPr>
          <w:t>https://doi.org/978-9941-449-94-9</w:t>
        </w:r>
      </w:hyperlink>
      <w:r w:rsidRPr="00D400D6">
        <w:rPr>
          <w:rFonts w:ascii="Times New Roman" w:hAnsi="Times New Roman"/>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Kvarchelia, Liana. “Conflicts and External Relations in Abkhazia.” Caucasus </w:t>
      </w:r>
      <w:proofErr w:type="gramStart"/>
      <w:r w:rsidRPr="00D400D6">
        <w:rPr>
          <w:rFonts w:ascii="Times New Roman" w:hAnsi="Times New Roman"/>
          <w:sz w:val="24"/>
          <w:szCs w:val="24"/>
        </w:rPr>
        <w:t>Dialogues ,</w:t>
      </w:r>
      <w:proofErr w:type="gramEnd"/>
      <w:r w:rsidRPr="00D400D6">
        <w:rPr>
          <w:rFonts w:ascii="Times New Roman" w:hAnsi="Times New Roman"/>
          <w:sz w:val="24"/>
          <w:szCs w:val="24"/>
        </w:rPr>
        <w:t xml:space="preserve"> September 2019. </w:t>
      </w:r>
      <w:r w:rsidR="00C34F71">
        <w:rPr>
          <w:rFonts w:ascii="Times New Roman" w:hAnsi="Times New Roman"/>
          <w:sz w:val="24"/>
          <w:szCs w:val="24"/>
        </w:rPr>
        <w:t xml:space="preserve">Accessed on July 28, 2020. </w:t>
      </w:r>
      <w:hyperlink r:id="rId153" w:history="1">
        <w:r w:rsidR="00C34F71" w:rsidRPr="005C3269">
          <w:rPr>
            <w:rStyle w:val="Hyperlink"/>
            <w:rFonts w:ascii="Times New Roman" w:hAnsi="Times New Roman"/>
            <w:sz w:val="24"/>
            <w:szCs w:val="24"/>
          </w:rPr>
          <w:t>https://www.international-alert.org/ar/blog/conflicts-and-external-relations-english-1</w:t>
        </w:r>
      </w:hyperlink>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eastAsia="TimesNewRomanPSMT" w:hAnsi="Times New Roman"/>
          <w:i/>
          <w:iCs/>
          <w:sz w:val="24"/>
          <w:szCs w:val="24"/>
        </w:rPr>
      </w:pPr>
      <w:r w:rsidRPr="00D400D6">
        <w:rPr>
          <w:rFonts w:ascii="Times New Roman" w:eastAsia="TimesNewRomanPSMT" w:hAnsi="Times New Roman"/>
          <w:sz w:val="24"/>
          <w:szCs w:val="24"/>
        </w:rPr>
        <w:t xml:space="preserve">Kolstø, Pal. (2006), “The sustainability and Future of Unrecognized Quasi-States”, </w:t>
      </w:r>
      <w:r w:rsidRPr="00D400D6">
        <w:rPr>
          <w:rFonts w:ascii="Times New Roman" w:eastAsia="TimesNewRomanPSMT" w:hAnsi="Times New Roman"/>
          <w:i/>
          <w:iCs/>
          <w:sz w:val="24"/>
          <w:szCs w:val="24"/>
        </w:rPr>
        <w:t>Journal of</w:t>
      </w:r>
    </w:p>
    <w:p w:rsidR="00017A6D" w:rsidRPr="00D400D6" w:rsidRDefault="00017A6D" w:rsidP="00017A6D">
      <w:pPr>
        <w:spacing w:line="360" w:lineRule="auto"/>
        <w:rPr>
          <w:rFonts w:ascii="Times New Roman" w:eastAsia="TimesNewRomanPSMT" w:hAnsi="Times New Roman"/>
          <w:sz w:val="24"/>
          <w:szCs w:val="24"/>
        </w:rPr>
      </w:pPr>
      <w:r w:rsidRPr="00D400D6">
        <w:rPr>
          <w:rFonts w:ascii="Times New Roman" w:eastAsia="TimesNewRomanPSMT" w:hAnsi="Times New Roman"/>
          <w:i/>
          <w:iCs/>
          <w:sz w:val="24"/>
          <w:szCs w:val="24"/>
        </w:rPr>
        <w:lastRenderedPageBreak/>
        <w:t>Peace and Research</w:t>
      </w:r>
      <w:r w:rsidRPr="00D400D6">
        <w:rPr>
          <w:rFonts w:ascii="Times New Roman" w:eastAsia="TimesNewRomanPSMT" w:hAnsi="Times New Roman"/>
          <w:sz w:val="24"/>
          <w:szCs w:val="24"/>
        </w:rPr>
        <w:t>, Vol 43, No. 6, pp. 726-727.</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Khintba, Irakliy. “The EU and the Conflicts in the Eastern Neighborhood: The Case of Abkhazia.” Heinrich Boell Foundation, September 23, 2010. </w:t>
      </w:r>
      <w:r w:rsidR="00C34F71">
        <w:rPr>
          <w:rFonts w:ascii="Times New Roman" w:hAnsi="Times New Roman"/>
          <w:sz w:val="24"/>
          <w:szCs w:val="24"/>
        </w:rPr>
        <w:t xml:space="preserve">Accessed on July 28, 2020. </w:t>
      </w:r>
      <w:hyperlink r:id="rId154" w:history="1">
        <w:r w:rsidR="00C34F71" w:rsidRPr="005C3269">
          <w:rPr>
            <w:rStyle w:val="Hyperlink"/>
            <w:rFonts w:ascii="Times New Roman" w:hAnsi="Times New Roman"/>
            <w:sz w:val="24"/>
            <w:szCs w:val="24"/>
          </w:rPr>
          <w:t>https://www.boell.de/en/navigation/europe-transatlantic-eu-conflicts-abkhazia-10215.html</w:t>
        </w:r>
      </w:hyperlink>
      <w:r w:rsidRPr="00D400D6">
        <w:rPr>
          <w:rFonts w:ascii="Times New Roman" w:hAnsi="Times New Roman"/>
          <w:sz w:val="24"/>
          <w:szCs w:val="24"/>
        </w:rPr>
        <w:t>.</w:t>
      </w: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sz w:val="24"/>
          <w:szCs w:val="24"/>
        </w:rPr>
        <w:t xml:space="preserve">Lavenex, Sandra. (2004). EU external governance in 'wider Europe'. </w:t>
      </w:r>
      <w:r w:rsidRPr="00D400D6">
        <w:rPr>
          <w:rFonts w:ascii="Times New Roman" w:hAnsi="Times New Roman"/>
          <w:i/>
          <w:iCs/>
          <w:sz w:val="24"/>
          <w:szCs w:val="24"/>
        </w:rPr>
        <w:t>Journal of European Public Policy, 11</w:t>
      </w:r>
      <w:r w:rsidRPr="00D400D6">
        <w:rPr>
          <w:rFonts w:ascii="Times New Roman" w:hAnsi="Times New Roman"/>
          <w:sz w:val="24"/>
          <w:szCs w:val="24"/>
        </w:rPr>
        <w:t xml:space="preserve">(4), 680-700. </w:t>
      </w:r>
      <w:proofErr w:type="gramStart"/>
      <w:r w:rsidRPr="00D400D6">
        <w:rPr>
          <w:rFonts w:ascii="Times New Roman" w:hAnsi="Times New Roman"/>
          <w:sz w:val="24"/>
          <w:szCs w:val="24"/>
        </w:rPr>
        <w:t>doi</w:t>
      </w:r>
      <w:proofErr w:type="gramEnd"/>
      <w:r w:rsidRPr="00D400D6">
        <w:rPr>
          <w:rFonts w:ascii="Times New Roman" w:hAnsi="Times New Roman"/>
          <w:sz w:val="24"/>
          <w:szCs w:val="24"/>
        </w:rPr>
        <w:t>: 10.1080/1350176042000248098,p.684.</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Lavenex, Sandra, and Frank Schimmelfennig. “EU Rules beyond EU Borders: Theorizing External Governance in European Politics.” </w:t>
      </w:r>
      <w:r w:rsidRPr="00D400D6">
        <w:rPr>
          <w:rFonts w:ascii="Times New Roman" w:hAnsi="Times New Roman"/>
          <w:i/>
          <w:iCs/>
          <w:sz w:val="24"/>
          <w:szCs w:val="24"/>
        </w:rPr>
        <w:t>Journal of European Public Policy</w:t>
      </w:r>
      <w:r w:rsidRPr="00D400D6">
        <w:rPr>
          <w:rFonts w:ascii="Times New Roman" w:hAnsi="Times New Roman"/>
          <w:sz w:val="24"/>
          <w:szCs w:val="24"/>
        </w:rPr>
        <w:t xml:space="preserve"> 16, no. 6 (2009): 791–812.</w:t>
      </w:r>
      <w:r w:rsidR="00C34F71">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55" w:history="1">
        <w:r w:rsidRPr="00D400D6">
          <w:rPr>
            <w:rStyle w:val="Hyperlink"/>
            <w:rFonts w:ascii="Times New Roman" w:hAnsi="Times New Roman"/>
            <w:sz w:val="24"/>
            <w:szCs w:val="24"/>
          </w:rPr>
          <w:t>https://doi.org/10.1080/13501760903087696</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Lynch, Dov. “European Union Institute for Security Studies.” European Union Institute for Security Studies - EU ISS, February 1, 2006. </w:t>
      </w:r>
      <w:r w:rsidR="00C34F71">
        <w:rPr>
          <w:rFonts w:ascii="Times New Roman" w:hAnsi="Times New Roman"/>
          <w:sz w:val="24"/>
          <w:szCs w:val="24"/>
        </w:rPr>
        <w:t xml:space="preserve">Accessed on July 28, 2020. </w:t>
      </w:r>
      <w:hyperlink r:id="rId156" w:history="1">
        <w:r w:rsidRPr="00D400D6">
          <w:rPr>
            <w:rStyle w:val="Hyperlink"/>
            <w:rFonts w:ascii="Times New Roman" w:hAnsi="Times New Roman"/>
            <w:sz w:val="24"/>
            <w:szCs w:val="24"/>
          </w:rPr>
          <w:t>https://www.iss.europa.eu/sites/default/files/EUISSFiles/cp086.pdf</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Nowak, Agniezska. “Civilian Crisis Management: The EU Way.” European Union Institute for Security Studies - Chaillot Paper, June 2006. </w:t>
      </w:r>
      <w:r w:rsidR="00C34F71">
        <w:rPr>
          <w:rFonts w:ascii="Times New Roman" w:hAnsi="Times New Roman"/>
          <w:sz w:val="24"/>
          <w:szCs w:val="24"/>
        </w:rPr>
        <w:t xml:space="preserve">Accessed on July 28, 2020. </w:t>
      </w:r>
      <w:hyperlink r:id="rId157" w:history="1">
        <w:r w:rsidR="00C34F71" w:rsidRPr="005C3269">
          <w:rPr>
            <w:rStyle w:val="Hyperlink"/>
            <w:rFonts w:ascii="Times New Roman" w:hAnsi="Times New Roman"/>
            <w:sz w:val="24"/>
            <w:szCs w:val="24"/>
          </w:rPr>
          <w:t>https://www.iss.europa.eu/sites/default/files/EUISSFiles/cp090_0.pdf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Nichol, Jim. “Russia-Georgia Conflict in August 2008: Context and Implications for the U.S. Interests.” Congressional Research Service, March 3, 2009. </w:t>
      </w:r>
      <w:r w:rsidR="00C34F71">
        <w:rPr>
          <w:rFonts w:ascii="Times New Roman" w:hAnsi="Times New Roman"/>
          <w:sz w:val="24"/>
          <w:szCs w:val="24"/>
        </w:rPr>
        <w:t xml:space="preserve">Accessed on July 28, 2020. </w:t>
      </w:r>
      <w:hyperlink r:id="rId158" w:history="1">
        <w:r w:rsidRPr="00D400D6">
          <w:rPr>
            <w:rStyle w:val="Hyperlink"/>
            <w:rFonts w:ascii="Times New Roman" w:hAnsi="Times New Roman"/>
            <w:sz w:val="24"/>
            <w:szCs w:val="24"/>
          </w:rPr>
          <w:t>https://fas.org/sgp/crs/row/RL34618.pdf</w:t>
        </w:r>
      </w:hyperlink>
      <w:r w:rsidRPr="00D400D6">
        <w:rPr>
          <w:rFonts w:ascii="Times New Roman" w:hAnsi="Times New Roman"/>
          <w:sz w:val="24"/>
          <w:szCs w:val="24"/>
        </w:rPr>
        <w:t>.</w:t>
      </w:r>
    </w:p>
    <w:p w:rsidR="00017A6D" w:rsidRPr="00D400D6" w:rsidRDefault="00017A6D" w:rsidP="00017A6D">
      <w:pPr>
        <w:spacing w:line="360" w:lineRule="auto"/>
        <w:rPr>
          <w:rStyle w:val="Hyperlink"/>
          <w:rFonts w:ascii="Times New Roman" w:hAnsi="Times New Roman"/>
          <w:sz w:val="24"/>
          <w:szCs w:val="24"/>
        </w:rPr>
      </w:pPr>
      <w:r w:rsidRPr="00D400D6">
        <w:rPr>
          <w:rFonts w:ascii="Times New Roman" w:hAnsi="Times New Roman"/>
          <w:sz w:val="24"/>
          <w:szCs w:val="24"/>
        </w:rPr>
        <w:t xml:space="preserve">Nodia, Ghia. (2004), </w:t>
      </w:r>
      <w:r w:rsidRPr="00D400D6">
        <w:rPr>
          <w:rFonts w:ascii="Times New Roman" w:eastAsia="TimesNewRomanPSMT" w:hAnsi="Times New Roman"/>
          <w:sz w:val="24"/>
          <w:szCs w:val="24"/>
        </w:rPr>
        <w:t>“</w:t>
      </w:r>
      <w:r w:rsidRPr="00D400D6">
        <w:rPr>
          <w:rFonts w:ascii="Times New Roman" w:hAnsi="Times New Roman"/>
          <w:sz w:val="24"/>
          <w:szCs w:val="24"/>
        </w:rPr>
        <w:t>Europeanization and (not) Re</w:t>
      </w:r>
      <w:r w:rsidRPr="00D400D6">
        <w:rPr>
          <w:rFonts w:ascii="Times New Roman" w:eastAsia="TimesNewRomanPSMT" w:hAnsi="Times New Roman"/>
          <w:sz w:val="24"/>
          <w:szCs w:val="24"/>
        </w:rPr>
        <w:t xml:space="preserve">solving Secessionist Conflicts”, </w:t>
      </w:r>
      <w:r w:rsidRPr="00D400D6">
        <w:rPr>
          <w:rFonts w:ascii="Times New Roman" w:hAnsi="Times New Roman"/>
          <w:i/>
          <w:iCs/>
          <w:sz w:val="24"/>
          <w:szCs w:val="24"/>
        </w:rPr>
        <w:t>Journal on Ethnopolitics and Minority Issues in Europe</w:t>
      </w:r>
      <w:r w:rsidRPr="00D400D6">
        <w:rPr>
          <w:rFonts w:ascii="Times New Roman" w:hAnsi="Times New Roman"/>
          <w:sz w:val="24"/>
          <w:szCs w:val="24"/>
        </w:rPr>
        <w:t xml:space="preserve">, Vol. 1, </w:t>
      </w:r>
      <w:r w:rsidR="00C34F71">
        <w:rPr>
          <w:rFonts w:ascii="Times New Roman" w:hAnsi="Times New Roman"/>
          <w:sz w:val="24"/>
          <w:szCs w:val="24"/>
        </w:rPr>
        <w:t xml:space="preserve">Accessed on July 28, 2020. </w:t>
      </w:r>
      <w:proofErr w:type="gramStart"/>
      <w:r w:rsidRPr="00D400D6">
        <w:rPr>
          <w:rFonts w:ascii="Times New Roman" w:hAnsi="Times New Roman"/>
          <w:sz w:val="24"/>
          <w:szCs w:val="24"/>
        </w:rPr>
        <w:t>available</w:t>
      </w:r>
      <w:proofErr w:type="gramEnd"/>
      <w:r w:rsidRPr="00D400D6">
        <w:rPr>
          <w:rFonts w:ascii="Times New Roman" w:hAnsi="Times New Roman"/>
          <w:sz w:val="24"/>
          <w:szCs w:val="24"/>
        </w:rPr>
        <w:t xml:space="preserve"> at:</w:t>
      </w:r>
      <w:r w:rsidRPr="00D400D6">
        <w:rPr>
          <w:rFonts w:ascii="Times New Roman" w:hAnsi="Times New Roman"/>
          <w:i/>
          <w:iCs/>
          <w:sz w:val="24"/>
          <w:szCs w:val="24"/>
        </w:rPr>
        <w:t xml:space="preserve"> </w:t>
      </w:r>
      <w:hyperlink r:id="rId159" w:history="1">
        <w:r w:rsidRPr="00D400D6">
          <w:rPr>
            <w:rStyle w:val="Hyperlink"/>
            <w:rFonts w:ascii="Times New Roman" w:hAnsi="Times New Roman"/>
            <w:sz w:val="24"/>
            <w:szCs w:val="24"/>
          </w:rPr>
          <w:t>http://www.ecmi.de/jemie/download/1-2004Comment01.pdf</w:t>
        </w:r>
      </w:hyperlink>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Nodia, Ghia. “The Conflict in Abkhazia: National Projects and Political Circumstances.” Vrije </w:t>
      </w:r>
      <w:proofErr w:type="gramStart"/>
      <w:r w:rsidRPr="00D400D6">
        <w:rPr>
          <w:rFonts w:ascii="Times New Roman" w:hAnsi="Times New Roman"/>
          <w:sz w:val="24"/>
          <w:szCs w:val="24"/>
        </w:rPr>
        <w:t>University ,</w:t>
      </w:r>
      <w:proofErr w:type="gramEnd"/>
      <w:r w:rsidRPr="00D400D6">
        <w:rPr>
          <w:rFonts w:ascii="Times New Roman" w:hAnsi="Times New Roman"/>
          <w:sz w:val="24"/>
          <w:szCs w:val="24"/>
        </w:rPr>
        <w:t xml:space="preserve"> 1998. </w:t>
      </w:r>
      <w:r w:rsidR="00C34F71">
        <w:rPr>
          <w:rFonts w:ascii="Times New Roman" w:hAnsi="Times New Roman"/>
          <w:sz w:val="24"/>
          <w:szCs w:val="24"/>
        </w:rPr>
        <w:t xml:space="preserve">Accessed on July 28, 2020. </w:t>
      </w:r>
      <w:hyperlink r:id="rId160" w:history="1">
        <w:r w:rsidRPr="00D400D6">
          <w:rPr>
            <w:rStyle w:val="Hyperlink"/>
            <w:rFonts w:ascii="Times New Roman" w:hAnsi="Times New Roman"/>
            <w:sz w:val="24"/>
            <w:szCs w:val="24"/>
          </w:rPr>
          <w:t>http://poli.vub.ac.be/publi/Georgians/chp0201.html</w:t>
        </w:r>
      </w:hyperlink>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color w:val="000000"/>
          <w:sz w:val="24"/>
          <w:szCs w:val="24"/>
        </w:rPr>
      </w:pPr>
      <w:r w:rsidRPr="00D400D6">
        <w:rPr>
          <w:rFonts w:ascii="Times New Roman" w:hAnsi="Times New Roman"/>
          <w:color w:val="000000"/>
          <w:sz w:val="24"/>
          <w:szCs w:val="24"/>
        </w:rPr>
        <w:t>Newman, E., &amp; Visoka, G. (2018). The foreign policy of state recognition: Kosov’s diplomatic strategy to join international society. Foreign Policy Analysis, 14(3), 367–387.</w:t>
      </w:r>
    </w:p>
    <w:p w:rsidR="00017A6D" w:rsidRPr="00D400D6" w:rsidRDefault="00017A6D" w:rsidP="00017A6D">
      <w:pPr>
        <w:spacing w:line="360" w:lineRule="auto"/>
        <w:rPr>
          <w:rFonts w:ascii="Times New Roman" w:hAnsi="Times New Roman"/>
          <w:sz w:val="24"/>
          <w:szCs w:val="24"/>
        </w:rPr>
      </w:pPr>
    </w:p>
    <w:p w:rsidR="00017A6D" w:rsidRPr="00D400D6" w:rsidRDefault="00017A6D" w:rsidP="00017A6D">
      <w:pPr>
        <w:autoSpaceDE w:val="0"/>
        <w:autoSpaceDN w:val="0"/>
        <w:adjustRightInd w:val="0"/>
        <w:spacing w:line="360" w:lineRule="auto"/>
        <w:rPr>
          <w:rFonts w:ascii="Times New Roman" w:hAnsi="Times New Roman"/>
          <w:sz w:val="24"/>
          <w:szCs w:val="24"/>
        </w:rPr>
      </w:pPr>
      <w:r w:rsidRPr="00D400D6">
        <w:rPr>
          <w:rFonts w:ascii="Times New Roman" w:hAnsi="Times New Roman"/>
          <w:sz w:val="24"/>
          <w:szCs w:val="24"/>
        </w:rPr>
        <w:lastRenderedPageBreak/>
        <w:t>Manners, Ian, “European Union ‘Normative Power’ and the Security</w:t>
      </w:r>
    </w:p>
    <w:p w:rsidR="00017A6D" w:rsidRPr="00D400D6" w:rsidRDefault="00017A6D" w:rsidP="00017A6D">
      <w:pPr>
        <w:spacing w:line="360" w:lineRule="auto"/>
        <w:rPr>
          <w:rFonts w:ascii="Times New Roman" w:hAnsi="Times New Roman"/>
          <w:sz w:val="24"/>
          <w:szCs w:val="24"/>
        </w:rPr>
      </w:pPr>
      <w:r w:rsidRPr="00D400D6">
        <w:rPr>
          <w:rFonts w:ascii="Times New Roman" w:hAnsi="Times New Roman"/>
          <w:sz w:val="24"/>
          <w:szCs w:val="24"/>
        </w:rPr>
        <w:t>Challenge”, (</w:t>
      </w:r>
      <w:r w:rsidRPr="00D400D6">
        <w:rPr>
          <w:rFonts w:ascii="Times New Roman" w:hAnsi="Times New Roman"/>
          <w:i/>
          <w:iCs/>
          <w:sz w:val="24"/>
          <w:szCs w:val="24"/>
        </w:rPr>
        <w:t>European Security</w:t>
      </w:r>
      <w:r w:rsidRPr="00D400D6">
        <w:rPr>
          <w:rFonts w:ascii="Times New Roman" w:hAnsi="Times New Roman"/>
          <w:sz w:val="24"/>
          <w:szCs w:val="24"/>
        </w:rPr>
        <w:t>, 15(4), 2006), 405-421.</w:t>
      </w:r>
    </w:p>
    <w:p w:rsidR="00C34F71" w:rsidRDefault="00C34F71" w:rsidP="00017A6D">
      <w:pPr>
        <w:autoSpaceDE w:val="0"/>
        <w:autoSpaceDN w:val="0"/>
        <w:adjustRightInd w:val="0"/>
        <w:spacing w:line="360" w:lineRule="auto"/>
        <w:rPr>
          <w:rFonts w:ascii="Times New Roman" w:hAnsi="Times New Roman"/>
          <w:sz w:val="24"/>
          <w:szCs w:val="24"/>
        </w:rPr>
      </w:pPr>
    </w:p>
    <w:p w:rsidR="00017A6D" w:rsidRPr="00D400D6" w:rsidRDefault="00017A6D" w:rsidP="00017A6D">
      <w:pPr>
        <w:autoSpaceDE w:val="0"/>
        <w:autoSpaceDN w:val="0"/>
        <w:adjustRightInd w:val="0"/>
        <w:spacing w:line="360" w:lineRule="auto"/>
        <w:rPr>
          <w:rFonts w:ascii="Times New Roman" w:hAnsi="Times New Roman"/>
          <w:i/>
          <w:iCs/>
          <w:sz w:val="24"/>
          <w:szCs w:val="24"/>
        </w:rPr>
      </w:pPr>
      <w:r w:rsidRPr="00D400D6">
        <w:rPr>
          <w:rFonts w:ascii="Times New Roman" w:hAnsi="Times New Roman"/>
          <w:sz w:val="24"/>
          <w:szCs w:val="24"/>
        </w:rPr>
        <w:t>Menon, Anand, “Empowering Paradise? The ESDP at ten”, (</w:t>
      </w:r>
      <w:r w:rsidRPr="00D400D6">
        <w:rPr>
          <w:rFonts w:ascii="Times New Roman" w:hAnsi="Times New Roman"/>
          <w:i/>
          <w:iCs/>
          <w:sz w:val="24"/>
          <w:szCs w:val="24"/>
        </w:rPr>
        <w:t>International Affairs</w:t>
      </w:r>
      <w:r w:rsidRPr="00D400D6">
        <w:rPr>
          <w:rFonts w:ascii="Times New Roman" w:hAnsi="Times New Roman"/>
          <w:sz w:val="24"/>
          <w:szCs w:val="24"/>
        </w:rPr>
        <w:t>, 85(2), 2009), 227-246.</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Moses, Jonathon W. &amp; Torbjørn L. Knutsen, 2007. Ways of Knowing: Competing Methodologies in Social and Political Research.” </w:t>
      </w:r>
      <w:r w:rsidRPr="00D400D6">
        <w:rPr>
          <w:rFonts w:ascii="Times New Roman" w:hAnsi="Times New Roman"/>
          <w:i/>
          <w:iCs/>
        </w:rPr>
        <w:t>Journal of Peace Research</w:t>
      </w:r>
      <w:r w:rsidRPr="00D400D6">
        <w:rPr>
          <w:rFonts w:ascii="Times New Roman" w:hAnsi="Times New Roman"/>
        </w:rPr>
        <w:t xml:space="preserve"> 46, no. 2 (2009): 288–89.</w:t>
      </w:r>
      <w:r w:rsidR="00C34F71" w:rsidRPr="00C34F71">
        <w:rPr>
          <w:rFonts w:ascii="Times New Roman" w:hAnsi="Times New Roman"/>
        </w:rPr>
        <w:t xml:space="preserve"> </w:t>
      </w:r>
      <w:r w:rsidR="00C34F71">
        <w:rPr>
          <w:rFonts w:ascii="Times New Roman" w:hAnsi="Times New Roman"/>
        </w:rPr>
        <w:t xml:space="preserve">Accessed on July 28, 2020. </w:t>
      </w:r>
      <w:r w:rsidRPr="00D400D6">
        <w:rPr>
          <w:rFonts w:ascii="Times New Roman" w:hAnsi="Times New Roman"/>
        </w:rPr>
        <w:t xml:space="preserve"> </w:t>
      </w:r>
      <w:hyperlink r:id="rId161" w:history="1">
        <w:r w:rsidRPr="00D400D6">
          <w:rPr>
            <w:rStyle w:val="Hyperlink"/>
            <w:rFonts w:ascii="Times New Roman" w:hAnsi="Times New Roman"/>
          </w:rPr>
          <w:t>https://doi.org/10.1177/00223433090460020810</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Matsaberidze, David. “The Confederation of the Mountain Peoples of the Caucasus and the Conflict </w:t>
      </w:r>
      <w:proofErr w:type="gramStart"/>
      <w:r w:rsidRPr="00D400D6">
        <w:rPr>
          <w:rFonts w:ascii="Times New Roman" w:hAnsi="Times New Roman"/>
          <w:sz w:val="24"/>
          <w:szCs w:val="24"/>
        </w:rPr>
        <w:t>Over</w:t>
      </w:r>
      <w:proofErr w:type="gramEnd"/>
      <w:r w:rsidRPr="00D400D6">
        <w:rPr>
          <w:rFonts w:ascii="Times New Roman" w:hAnsi="Times New Roman"/>
          <w:sz w:val="24"/>
          <w:szCs w:val="24"/>
        </w:rPr>
        <w:t xml:space="preserve"> Abkhazia.” </w:t>
      </w:r>
      <w:r w:rsidRPr="00D400D6">
        <w:rPr>
          <w:rFonts w:ascii="Times New Roman" w:hAnsi="Times New Roman"/>
          <w:i/>
          <w:iCs/>
          <w:sz w:val="24"/>
          <w:szCs w:val="24"/>
        </w:rPr>
        <w:t>The Caucasus and Globalization</w:t>
      </w:r>
      <w:r w:rsidRPr="00D400D6">
        <w:rPr>
          <w:rFonts w:ascii="Times New Roman" w:hAnsi="Times New Roman"/>
          <w:sz w:val="24"/>
          <w:szCs w:val="24"/>
        </w:rPr>
        <w:t xml:space="preserve"> 6, no. 2 (March 2012): 1–9.</w:t>
      </w:r>
    </w:p>
    <w:p w:rsidR="00017A6D" w:rsidRDefault="00017A6D" w:rsidP="00017A6D">
      <w:pPr>
        <w:pStyle w:val="NormalWeb"/>
        <w:spacing w:line="360" w:lineRule="auto"/>
        <w:rPr>
          <w:rFonts w:ascii="Times New Roman" w:hAnsi="Times New Roman"/>
        </w:rPr>
      </w:pPr>
      <w:r w:rsidRPr="00D400D6">
        <w:rPr>
          <w:rFonts w:ascii="Times New Roman" w:hAnsi="Times New Roman"/>
        </w:rPr>
        <w:t xml:space="preserve">Merlingen, Michael, and Rasa Ostrauskaitė. “EU PEACEBUILDING IN GEORGIA: LIMITS AND ACHIEVEMENTS.” </w:t>
      </w:r>
      <w:r w:rsidRPr="00D400D6">
        <w:rPr>
          <w:rFonts w:ascii="Times New Roman" w:hAnsi="Times New Roman"/>
          <w:i/>
          <w:iCs/>
        </w:rPr>
        <w:t>CLEER</w:t>
      </w:r>
      <w:r w:rsidRPr="00D400D6">
        <w:rPr>
          <w:rFonts w:ascii="Times New Roman" w:hAnsi="Times New Roman"/>
        </w:rPr>
        <w:t xml:space="preserve">, no. 35 (December 2009): 1–32. </w:t>
      </w:r>
      <w:r w:rsidR="00C34F71">
        <w:rPr>
          <w:rFonts w:ascii="Times New Roman" w:hAnsi="Times New Roman"/>
        </w:rPr>
        <w:t xml:space="preserve">Accessed on July 28, 2020. </w:t>
      </w:r>
      <w:hyperlink r:id="rId162" w:history="1">
        <w:r w:rsidR="00C34F71" w:rsidRPr="005C3269">
          <w:rPr>
            <w:rStyle w:val="Hyperlink"/>
            <w:rFonts w:ascii="Times New Roman" w:hAnsi="Times New Roman"/>
          </w:rPr>
          <w:t>https://ghum.kuleuven.be/ggs/publications/working_papers/2009/35MerlingenOstrauskaite</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Merlingen, Michael, and Rasa Ostrauskaite. </w:t>
      </w:r>
      <w:r w:rsidRPr="00D400D6">
        <w:rPr>
          <w:rFonts w:ascii="Times New Roman" w:hAnsi="Times New Roman"/>
          <w:i/>
          <w:iCs/>
          <w:sz w:val="24"/>
          <w:szCs w:val="24"/>
        </w:rPr>
        <w:t>EU Peacebuilding in Georgia: Limits and Achievements</w:t>
      </w:r>
      <w:r w:rsidRPr="00D400D6">
        <w:rPr>
          <w:rFonts w:ascii="Times New Roman" w:hAnsi="Times New Roman"/>
          <w:sz w:val="24"/>
          <w:szCs w:val="24"/>
        </w:rPr>
        <w:t xml:space="preserve">. Brussels: Centre for the Law of the EU External Relations, 2009. </w:t>
      </w:r>
      <w:r w:rsidR="00C34F71">
        <w:rPr>
          <w:rFonts w:ascii="Times New Roman" w:hAnsi="Times New Roman"/>
          <w:sz w:val="24"/>
          <w:szCs w:val="24"/>
        </w:rPr>
        <w:t xml:space="preserve">Accessed on July 28, 2020. </w:t>
      </w:r>
      <w:hyperlink r:id="rId163" w:history="1">
        <w:r w:rsidRPr="00D400D6">
          <w:rPr>
            <w:rStyle w:val="Hyperlink"/>
            <w:rFonts w:ascii="Times New Roman" w:hAnsi="Times New Roman"/>
            <w:sz w:val="24"/>
            <w:szCs w:val="24"/>
          </w:rPr>
          <w:t>https://www.peacepalacelibrary.nl/ebooks/files/335882102.pdf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Mkrtchyan, Tigran, and Vahram </w:t>
      </w:r>
      <w:proofErr w:type="gramStart"/>
      <w:r w:rsidRPr="00D400D6">
        <w:rPr>
          <w:rFonts w:ascii="Times New Roman" w:hAnsi="Times New Roman"/>
          <w:sz w:val="24"/>
          <w:szCs w:val="24"/>
        </w:rPr>
        <w:t>Petrosyan .</w:t>
      </w:r>
      <w:proofErr w:type="gramEnd"/>
      <w:r w:rsidRPr="00D400D6">
        <w:rPr>
          <w:rFonts w:ascii="Times New Roman" w:hAnsi="Times New Roman"/>
          <w:sz w:val="24"/>
          <w:szCs w:val="24"/>
        </w:rPr>
        <w:t xml:space="preserve"> “INTEGRATION OF TRANSCAUCASIA: CONTINUED FAILURE AND HOPE.” European Stability Initiative, 2015. </w:t>
      </w:r>
      <w:r w:rsidR="00C34F71">
        <w:rPr>
          <w:rFonts w:ascii="Times New Roman" w:hAnsi="Times New Roman"/>
          <w:sz w:val="24"/>
          <w:szCs w:val="24"/>
        </w:rPr>
        <w:t xml:space="preserve">Accessed on July 28, 2020. </w:t>
      </w:r>
      <w:hyperlink r:id="rId164" w:history="1">
        <w:r w:rsidRPr="00D400D6">
          <w:rPr>
            <w:rStyle w:val="Hyperlink"/>
            <w:rFonts w:ascii="Times New Roman" w:hAnsi="Times New Roman"/>
            <w:sz w:val="24"/>
            <w:szCs w:val="24"/>
          </w:rPr>
          <w:t>https://esiweb.org/pdf/esi_turkey_tpq_vol8_no1_mkrtchyan_petrosyan.pdf</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Panchulidze, Elene. </w:t>
      </w:r>
      <w:r w:rsidRPr="00D400D6">
        <w:rPr>
          <w:rFonts w:ascii="Times New Roman" w:hAnsi="Times New Roman"/>
          <w:i/>
          <w:iCs/>
        </w:rPr>
        <w:t>Limits of Co-Mediation: The EU’s Effectiveness in the Geneva International Discussions.</w:t>
      </w:r>
      <w:r w:rsidRPr="00D400D6">
        <w:rPr>
          <w:rFonts w:ascii="Times New Roman" w:hAnsi="Times New Roman"/>
        </w:rPr>
        <w:t xml:space="preserve"> College of Europe Diplomacy Papers. Bruge: College of Europe, 2020.</w:t>
      </w:r>
      <w:r w:rsidR="00C34F71" w:rsidRPr="00C34F71">
        <w:rPr>
          <w:rFonts w:ascii="Times New Roman" w:hAnsi="Times New Roman"/>
        </w:rPr>
        <w:t xml:space="preserve"> </w:t>
      </w:r>
      <w:r w:rsidR="00C34F71">
        <w:rPr>
          <w:rFonts w:ascii="Times New Roman" w:hAnsi="Times New Roman"/>
        </w:rPr>
        <w:t xml:space="preserve">Accessed on July 28, 2020. </w:t>
      </w:r>
      <w:r w:rsidRPr="00D400D6">
        <w:rPr>
          <w:rFonts w:ascii="Times New Roman" w:hAnsi="Times New Roman"/>
        </w:rPr>
        <w:t xml:space="preserve"> </w:t>
      </w:r>
      <w:hyperlink r:id="rId165" w:history="1">
        <w:r w:rsidRPr="00D400D6">
          <w:rPr>
            <w:rStyle w:val="Hyperlink"/>
            <w:rFonts w:ascii="Times New Roman" w:hAnsi="Times New Roman"/>
          </w:rPr>
          <w:t>http://aei.pitt.edu/102659/1/edp_3_2020_panchulidze.pdf</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Popescu, Nicu, and Andrew Wilson. “The Limits of Enlargement-Lite: European and Russian Power in the Troubled Neighbourhood.” European Council on Foreign Relations, June 2009. </w:t>
      </w:r>
      <w:r w:rsidR="00C34F71">
        <w:rPr>
          <w:rFonts w:ascii="Times New Roman" w:hAnsi="Times New Roman"/>
          <w:sz w:val="24"/>
          <w:szCs w:val="24"/>
        </w:rPr>
        <w:t xml:space="preserve">Accessed on July 28, 2020. </w:t>
      </w:r>
      <w:hyperlink r:id="rId166" w:history="1">
        <w:r w:rsidRPr="00D400D6">
          <w:rPr>
            <w:rStyle w:val="Hyperlink"/>
            <w:rFonts w:ascii="Times New Roman" w:hAnsi="Times New Roman"/>
            <w:sz w:val="24"/>
            <w:szCs w:val="24"/>
          </w:rPr>
          <w:t>https://www.ecfr.eu/page/-/ECFR14_The_Limits_of_Enlargement-Lite._European_and_Russian_Power_in_the_Troubled_Neighbourhood.pdf</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lastRenderedPageBreak/>
        <w:t xml:space="preserve">Popescu, Nicu. “EU's Borders and Neighbours.” ECFR, October 1, 1970. </w:t>
      </w:r>
      <w:r w:rsidR="00C34F71">
        <w:rPr>
          <w:rFonts w:ascii="Times New Roman" w:hAnsi="Times New Roman"/>
        </w:rPr>
        <w:t xml:space="preserve">Accessed on July 28, 2020. </w:t>
      </w:r>
      <w:hyperlink r:id="rId167" w:history="1">
        <w:r w:rsidRPr="00D400D6">
          <w:rPr>
            <w:rStyle w:val="Hyperlink"/>
            <w:rFonts w:ascii="Times New Roman" w:hAnsi="Times New Roman"/>
          </w:rPr>
          <w:t>https://www.ecfr.eu/article/commentary_eus_borders_and_neighbours</w:t>
        </w:r>
      </w:hyperlink>
      <w:r w:rsidRPr="00D400D6">
        <w:rPr>
          <w:rFonts w:ascii="Times New Roman" w:hAnsi="Times New Roman"/>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Siroky, David S. “Understanding Secessionist Conflict in the South Caucasus.” JSTOR, September 2, 2009. </w:t>
      </w:r>
      <w:r w:rsidR="00C34F71">
        <w:rPr>
          <w:rFonts w:ascii="Times New Roman" w:hAnsi="Times New Roman"/>
        </w:rPr>
        <w:t xml:space="preserve">Accessed on July 28, 2020. </w:t>
      </w:r>
      <w:hyperlink r:id="rId168" w:history="1">
        <w:r w:rsidRPr="00D400D6">
          <w:rPr>
            <w:rStyle w:val="Hyperlink"/>
            <w:rFonts w:ascii="Times New Roman" w:hAnsi="Times New Roman"/>
          </w:rPr>
          <w:t>https://www.researchgate.net/publication/228215515_Understanding_Secessionist_Conflict_in_the_South_Caucasus</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Shakryl, Asida. “Perceptions of the EU in Abkhazia and Prospects for the EU–Abkhazia Engagement.” Coincilation Resources, August 2012.</w:t>
      </w:r>
      <w:r w:rsidR="00C34F71" w:rsidRPr="00C34F71">
        <w:rPr>
          <w:rFonts w:ascii="Times New Roman" w:hAnsi="Times New Roman"/>
          <w:sz w:val="24"/>
          <w:szCs w:val="24"/>
        </w:rPr>
        <w:t xml:space="preserve"> </w:t>
      </w:r>
      <w:r w:rsidR="00C34F71">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69" w:history="1">
        <w:r w:rsidRPr="00D400D6">
          <w:rPr>
            <w:rStyle w:val="Hyperlink"/>
            <w:rFonts w:ascii="Times New Roman" w:hAnsi="Times New Roman"/>
            <w:sz w:val="24"/>
            <w:szCs w:val="24"/>
          </w:rPr>
          <w:t>https://rc-services-assets.s3.eu-west-1.amazonaws.com/s3fs-public/PPP_2012analysis1_EN_0.pdf</w:t>
        </w:r>
      </w:hyperlink>
      <w:r w:rsidRPr="00D400D6">
        <w:rPr>
          <w:rFonts w:ascii="Times New Roman" w:hAnsi="Times New Roman"/>
          <w:sz w:val="24"/>
          <w:szCs w:val="24"/>
        </w:rPr>
        <w:t>.</w:t>
      </w:r>
    </w:p>
    <w:p w:rsidR="00C34F71" w:rsidRPr="00C34F71" w:rsidRDefault="00017A6D" w:rsidP="00C34F71">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Schimmelfennig, F., &amp; Sedelmeier, U. (2004). Governance by conditionality: EU rule transfer to the candidate countries of Central and Eastern Europe. </w:t>
      </w:r>
      <w:r w:rsidRPr="00D400D6">
        <w:rPr>
          <w:rFonts w:ascii="Times New Roman" w:hAnsi="Times New Roman"/>
          <w:i/>
          <w:iCs/>
          <w:sz w:val="24"/>
          <w:szCs w:val="24"/>
        </w:rPr>
        <w:t>Journal of European Public Policy, 11</w:t>
      </w:r>
      <w:r w:rsidRPr="00D400D6">
        <w:rPr>
          <w:rFonts w:ascii="Times New Roman" w:hAnsi="Times New Roman"/>
          <w:sz w:val="24"/>
          <w:szCs w:val="24"/>
        </w:rPr>
        <w:t xml:space="preserve">(4), 661-679. </w:t>
      </w:r>
      <w:proofErr w:type="gramStart"/>
      <w:r w:rsidRPr="00D400D6">
        <w:rPr>
          <w:rFonts w:ascii="Times New Roman" w:hAnsi="Times New Roman"/>
          <w:sz w:val="24"/>
          <w:szCs w:val="24"/>
        </w:rPr>
        <w:t>doi</w:t>
      </w:r>
      <w:proofErr w:type="gramEnd"/>
      <w:r w:rsidRPr="00D400D6">
        <w:rPr>
          <w:rFonts w:ascii="Times New Roman" w:hAnsi="Times New Roman"/>
          <w:sz w:val="24"/>
          <w:szCs w:val="24"/>
        </w:rPr>
        <w:t>: 10.1080/1350176042000248089</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Saparov, Arsene. “From Conflict to Autonomy: The Making of the South Ossetian Autonomous Region 1918-1922.” </w:t>
      </w:r>
      <w:r w:rsidRPr="00D400D6">
        <w:rPr>
          <w:rFonts w:ascii="Times New Roman" w:hAnsi="Times New Roman"/>
          <w:i/>
          <w:iCs/>
          <w:sz w:val="24"/>
          <w:szCs w:val="24"/>
        </w:rPr>
        <w:t>Europe-Asia Studies</w:t>
      </w:r>
      <w:r w:rsidRPr="00D400D6">
        <w:rPr>
          <w:rFonts w:ascii="Times New Roman" w:hAnsi="Times New Roman"/>
          <w:sz w:val="24"/>
          <w:szCs w:val="24"/>
        </w:rPr>
        <w:t xml:space="preserve"> 62, no. 2 (January 2010): 99–123. </w:t>
      </w:r>
      <w:r w:rsidR="00C34F71">
        <w:rPr>
          <w:rFonts w:ascii="Times New Roman" w:hAnsi="Times New Roman"/>
          <w:sz w:val="24"/>
          <w:szCs w:val="24"/>
        </w:rPr>
        <w:t xml:space="preserve">Accessed on July 28, 2020. </w:t>
      </w:r>
      <w:hyperlink r:id="rId170" w:history="1">
        <w:r w:rsidRPr="00D400D6">
          <w:rPr>
            <w:rStyle w:val="Hyperlink"/>
            <w:rFonts w:ascii="Times New Roman" w:hAnsi="Times New Roman"/>
            <w:sz w:val="24"/>
            <w:szCs w:val="24"/>
          </w:rPr>
          <w:t>https://www.jstor.org/stable/27752421</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Schimmelfennig, Frank, and Ulrich Sedelmeier. “Governance by Conditionality: EU Rule Transfer to the Candidate Countries of Central and Eastern Europe.” </w:t>
      </w:r>
      <w:r w:rsidRPr="00D400D6">
        <w:rPr>
          <w:rFonts w:ascii="Times New Roman" w:hAnsi="Times New Roman"/>
          <w:i/>
          <w:iCs/>
          <w:sz w:val="24"/>
          <w:szCs w:val="24"/>
        </w:rPr>
        <w:t>Journal of European Public Policy</w:t>
      </w:r>
      <w:r w:rsidRPr="00D400D6">
        <w:rPr>
          <w:rFonts w:ascii="Times New Roman" w:hAnsi="Times New Roman"/>
          <w:sz w:val="24"/>
          <w:szCs w:val="24"/>
        </w:rPr>
        <w:t xml:space="preserve"> 11, no. 4 (2004): 661–79.</w:t>
      </w:r>
      <w:r w:rsidR="00C34F71" w:rsidRPr="00C34F71">
        <w:rPr>
          <w:rFonts w:ascii="Times New Roman" w:hAnsi="Times New Roman"/>
          <w:sz w:val="24"/>
          <w:szCs w:val="24"/>
        </w:rPr>
        <w:t xml:space="preserve"> </w:t>
      </w:r>
      <w:r w:rsidR="00C34F71">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71" w:history="1">
        <w:r w:rsidRPr="00D400D6">
          <w:rPr>
            <w:rStyle w:val="Hyperlink"/>
            <w:rFonts w:ascii="Times New Roman" w:hAnsi="Times New Roman"/>
            <w:sz w:val="24"/>
            <w:szCs w:val="24"/>
          </w:rPr>
          <w:t>https://doi.org/10.1080/1350176042000248089</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Shevel, Oxana. “The Politics of Citizenship Policy in Post-Soviet Russia.” </w:t>
      </w:r>
      <w:r w:rsidRPr="00D400D6">
        <w:rPr>
          <w:rFonts w:ascii="Times New Roman" w:hAnsi="Times New Roman"/>
          <w:i/>
          <w:iCs/>
          <w:sz w:val="24"/>
          <w:szCs w:val="24"/>
        </w:rPr>
        <w:t>Post-Soviet Affairs</w:t>
      </w:r>
      <w:r w:rsidRPr="00D400D6">
        <w:rPr>
          <w:rFonts w:ascii="Times New Roman" w:hAnsi="Times New Roman"/>
          <w:sz w:val="24"/>
          <w:szCs w:val="24"/>
        </w:rPr>
        <w:t xml:space="preserve"> 28, no. 1 (May 16, 2013): 111–47. </w:t>
      </w:r>
      <w:r w:rsidR="00C34F71">
        <w:rPr>
          <w:rFonts w:ascii="Times New Roman" w:hAnsi="Times New Roman"/>
          <w:sz w:val="24"/>
          <w:szCs w:val="24"/>
        </w:rPr>
        <w:t xml:space="preserve">Accessed on July 28, 2020.  </w:t>
      </w:r>
      <w:hyperlink r:id="rId172" w:history="1">
        <w:r w:rsidRPr="00D400D6">
          <w:rPr>
            <w:rStyle w:val="Hyperlink"/>
            <w:rFonts w:ascii="Times New Roman" w:hAnsi="Times New Roman"/>
            <w:sz w:val="24"/>
            <w:szCs w:val="24"/>
          </w:rPr>
          <w:t>https://doi.org/https://doi.org/10.2747/1060-586X.28.1.111</w:t>
        </w:r>
      </w:hyperlink>
      <w:r w:rsidRPr="00D400D6">
        <w:rPr>
          <w:rFonts w:ascii="Times New Roman" w:hAnsi="Times New Roman"/>
          <w:sz w:val="24"/>
          <w:szCs w:val="24"/>
        </w:rPr>
        <w:t>.</w:t>
      </w:r>
    </w:p>
    <w:p w:rsidR="00017A6D" w:rsidRPr="00D400D6" w:rsidRDefault="00017A6D" w:rsidP="00017A6D">
      <w:pPr>
        <w:autoSpaceDE w:val="0"/>
        <w:autoSpaceDN w:val="0"/>
        <w:adjustRightInd w:val="0"/>
        <w:spacing w:line="360" w:lineRule="auto"/>
        <w:rPr>
          <w:rFonts w:ascii="Times New Roman" w:hAnsi="Times New Roman"/>
          <w:color w:val="000000"/>
          <w:sz w:val="24"/>
          <w:szCs w:val="24"/>
        </w:rPr>
      </w:pPr>
      <w:r w:rsidRPr="00D400D6">
        <w:rPr>
          <w:rFonts w:ascii="Times New Roman" w:hAnsi="Times New Roman"/>
          <w:color w:val="000000"/>
          <w:sz w:val="24"/>
          <w:szCs w:val="24"/>
        </w:rPr>
        <w:t>Toomla, Raul. (20</w:t>
      </w:r>
      <w:r w:rsidRPr="00D400D6">
        <w:rPr>
          <w:rFonts w:ascii="Times New Roman" w:hAnsi="Times New Roman"/>
          <w:sz w:val="24"/>
          <w:szCs w:val="24"/>
        </w:rPr>
        <w:t>16).</w:t>
      </w:r>
      <w:r w:rsidRPr="00D400D6">
        <w:rPr>
          <w:rFonts w:ascii="Times New Roman" w:hAnsi="Times New Roman"/>
          <w:color w:val="000000"/>
          <w:sz w:val="24"/>
          <w:szCs w:val="24"/>
        </w:rPr>
        <w:t xml:space="preserve"> </w:t>
      </w:r>
      <w:proofErr w:type="gramStart"/>
      <w:r w:rsidRPr="00D400D6">
        <w:rPr>
          <w:rFonts w:ascii="Times New Roman" w:hAnsi="Times New Roman"/>
          <w:color w:val="000000"/>
          <w:sz w:val="24"/>
          <w:szCs w:val="24"/>
        </w:rPr>
        <w:t>Charting</w:t>
      </w:r>
      <w:proofErr w:type="gramEnd"/>
      <w:r w:rsidRPr="00D400D6">
        <w:rPr>
          <w:rFonts w:ascii="Times New Roman" w:hAnsi="Times New Roman"/>
          <w:color w:val="000000"/>
          <w:sz w:val="24"/>
          <w:szCs w:val="24"/>
        </w:rPr>
        <w:t xml:space="preserve"> informal engagement between de facto states: A quantitative analysis. Space and Polity, 20(3), 330–345.</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Tocci, Nathalie. “Conflict Resolution in the European Neighbourhood: The Role of the EU as a Framework and as an Actor.” </w:t>
      </w:r>
      <w:r w:rsidRPr="00D400D6">
        <w:rPr>
          <w:rFonts w:ascii="Times New Roman" w:hAnsi="Times New Roman"/>
          <w:i/>
          <w:iCs/>
          <w:sz w:val="24"/>
          <w:szCs w:val="24"/>
        </w:rPr>
        <w:t>European University Institute Press</w:t>
      </w:r>
      <w:r w:rsidRPr="00D400D6">
        <w:rPr>
          <w:rFonts w:ascii="Times New Roman" w:hAnsi="Times New Roman"/>
          <w:sz w:val="24"/>
          <w:szCs w:val="24"/>
        </w:rPr>
        <w:t xml:space="preserve"> 29 (December 2004).</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Transperacy International Georgia. “GEORGIA’S POWER SECTOR: ENERGY CROSSROADS IN UNCERTAIN TRANSITION.” Transperacy International Georgia, 2012.</w:t>
      </w:r>
      <w:r w:rsidR="00C34F71" w:rsidRPr="00C34F71">
        <w:rPr>
          <w:rFonts w:ascii="Times New Roman" w:hAnsi="Times New Roman"/>
          <w:sz w:val="24"/>
          <w:szCs w:val="24"/>
        </w:rPr>
        <w:t xml:space="preserve"> </w:t>
      </w:r>
      <w:r w:rsidR="00C34F71">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73" w:history="1">
        <w:r w:rsidRPr="00D400D6">
          <w:rPr>
            <w:rStyle w:val="Hyperlink"/>
            <w:rFonts w:ascii="Times New Roman" w:hAnsi="Times New Roman"/>
            <w:sz w:val="24"/>
            <w:szCs w:val="24"/>
          </w:rPr>
          <w:t>https://www.transparency.ge/sites/default/files/GEORGIA%27S%20POWER%20SECTOR%20-%20ENG.pdf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Vasilyan, Syuzanna. “‘Moral Power’ as Objectification of the ‘Civilian’/‘Normative’ ‘EUlogy’: the European Union as a Conflict-Dealer in the South Caucasus.” </w:t>
      </w:r>
      <w:r w:rsidRPr="00D400D6">
        <w:rPr>
          <w:rFonts w:ascii="Times New Roman" w:hAnsi="Times New Roman"/>
          <w:i/>
          <w:iCs/>
          <w:sz w:val="24"/>
          <w:szCs w:val="24"/>
        </w:rPr>
        <w:t>Journal of International Relations and Development</w:t>
      </w:r>
      <w:r w:rsidRPr="00D400D6">
        <w:rPr>
          <w:rFonts w:ascii="Times New Roman" w:hAnsi="Times New Roman"/>
          <w:sz w:val="24"/>
          <w:szCs w:val="24"/>
        </w:rPr>
        <w:t xml:space="preserve"> 17, no. 3 (2013): 397–424. </w:t>
      </w:r>
      <w:r w:rsidR="00C34F71">
        <w:rPr>
          <w:rFonts w:ascii="Times New Roman" w:hAnsi="Times New Roman"/>
          <w:sz w:val="24"/>
          <w:szCs w:val="24"/>
        </w:rPr>
        <w:t xml:space="preserve">Accessed on July 28, 2020. </w:t>
      </w:r>
      <w:hyperlink r:id="rId174" w:history="1">
        <w:r w:rsidRPr="00D400D6">
          <w:rPr>
            <w:rStyle w:val="Hyperlink"/>
            <w:rFonts w:ascii="Times New Roman" w:hAnsi="Times New Roman"/>
            <w:sz w:val="24"/>
            <w:szCs w:val="24"/>
          </w:rPr>
          <w:t>https://doi.org/10.1057/jird.2013.10</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Zaryckyj, Walter. “Why the Bucharest Summit Still Matters Ten Years On.” Atlantic Council, May 4, 2018. </w:t>
      </w:r>
      <w:r w:rsidR="00C34F71">
        <w:rPr>
          <w:rFonts w:ascii="Times New Roman" w:hAnsi="Times New Roman"/>
          <w:sz w:val="24"/>
          <w:szCs w:val="24"/>
        </w:rPr>
        <w:t xml:space="preserve">Accessed on July 28, 2020. </w:t>
      </w:r>
      <w:hyperlink r:id="rId175" w:history="1">
        <w:r w:rsidRPr="00D400D6">
          <w:rPr>
            <w:rStyle w:val="Hyperlink"/>
            <w:rFonts w:ascii="Times New Roman" w:hAnsi="Times New Roman"/>
            <w:sz w:val="24"/>
            <w:szCs w:val="24"/>
          </w:rPr>
          <w:t>https://www.atlanticcouncil.org/blogs/ukrainealert/why-the-bucharest-summit-still-matters-ten-years-on/</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b/>
          <w:sz w:val="24"/>
          <w:szCs w:val="24"/>
        </w:rPr>
        <w:t>News &amp; Media Resources</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Akhmeteli, Nina. “Eduard Shevardnadze: Controversial Legacy to Georgia.” BBC Europe, July 8, 2014.</w:t>
      </w:r>
      <w:r w:rsidR="00E51150" w:rsidRPr="00E51150">
        <w:rPr>
          <w:rFonts w:ascii="Times New Roman" w:hAnsi="Times New Roman"/>
          <w:sz w:val="24"/>
          <w:szCs w:val="24"/>
        </w:rPr>
        <w:t xml:space="preserve"> </w:t>
      </w:r>
      <w:r w:rsidR="00E51150">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76" w:history="1">
        <w:r w:rsidRPr="00D400D6">
          <w:rPr>
            <w:rStyle w:val="Hyperlink"/>
            <w:rFonts w:ascii="Times New Roman" w:hAnsi="Times New Roman"/>
            <w:sz w:val="24"/>
            <w:szCs w:val="24"/>
          </w:rPr>
          <w:t>https://www.bbc.com/news/world-europe-28205380</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Chochiev, Alan. “Adamon Nikhas - People's Council.” Aranzeld.com. Araenzeld, March 1989.</w:t>
      </w:r>
      <w:r w:rsidR="00E51150">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77" w:history="1">
        <w:r w:rsidRPr="00D400D6">
          <w:rPr>
            <w:rStyle w:val="Hyperlink"/>
            <w:rFonts w:ascii="Times New Roman" w:hAnsi="Times New Roman"/>
            <w:sz w:val="24"/>
            <w:szCs w:val="24"/>
          </w:rPr>
          <w:t>http://aranzeld.com/chtivo/page,1,5,161-samoe-znamenitoe-pismo-kogda-libo-napisannoe-osetinami-ili-istoricheskij-dokument-pokazyvayushhij-propast-mezhdu-nami-i-nimi.html</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Dawar, Anil. “Putin Warns Nato over Expansion.” The Guardian, April 4, 2008. </w:t>
      </w:r>
      <w:r w:rsidR="00E51150">
        <w:rPr>
          <w:rFonts w:ascii="Times New Roman" w:hAnsi="Times New Roman"/>
          <w:sz w:val="24"/>
          <w:szCs w:val="24"/>
        </w:rPr>
        <w:t xml:space="preserve">Accessed on July 28, 2020. </w:t>
      </w:r>
      <w:hyperlink r:id="rId178" w:history="1">
        <w:r w:rsidRPr="00D400D6">
          <w:rPr>
            <w:rStyle w:val="Hyperlink"/>
            <w:rFonts w:ascii="Times New Roman" w:hAnsi="Times New Roman"/>
            <w:sz w:val="24"/>
            <w:szCs w:val="24"/>
          </w:rPr>
          <w:t>https://www.theguardian.com/world/2008/apr/04/nato.russia</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Freese, Theresa. “Russia's Troop Withdrawal from Georgia: The Start of a New Friendship?” Refworld. EurasiaNet, August 10, 2005.</w:t>
      </w:r>
      <w:r w:rsidR="00E51150">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79" w:history="1">
        <w:r w:rsidRPr="00D400D6">
          <w:rPr>
            <w:rStyle w:val="Hyperlink"/>
            <w:rFonts w:ascii="Times New Roman" w:hAnsi="Times New Roman"/>
            <w:sz w:val="24"/>
            <w:szCs w:val="24"/>
          </w:rPr>
          <w:t>https://www.refworld.org/docid/46a4851c1e.html</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Gavrilov, Artem. “The Kremlin Supports the Unification of the North and South Ossetia.” Kavkazskiy Uzel, August 14, 2007.</w:t>
      </w:r>
      <w:r w:rsidR="00E51150">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80" w:history="1">
        <w:r w:rsidRPr="00D400D6">
          <w:rPr>
            <w:rStyle w:val="Hyperlink"/>
            <w:rFonts w:ascii="Times New Roman" w:hAnsi="Times New Roman"/>
            <w:sz w:val="24"/>
            <w:szCs w:val="24"/>
          </w:rPr>
          <w:t>https://www.kavkaz-uzel.eu/articles/121062/</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Guledani, Irma. “Saakashvili: Georgia's Reunification Plan Is in Force.” Civil.Ge, December 12, 2008.</w:t>
      </w:r>
      <w:r w:rsidR="00E51150">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81" w:history="1">
        <w:r w:rsidRPr="00D400D6">
          <w:rPr>
            <w:rStyle w:val="Hyperlink"/>
            <w:rFonts w:ascii="Times New Roman" w:hAnsi="Times New Roman"/>
            <w:sz w:val="24"/>
            <w:szCs w:val="24"/>
          </w:rPr>
          <w:t>https://old.civil.ge/eng/article.php?id=20121</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Jakeli, Mariam. “Putin Offers Alternative ‘Historic Facts’ on How Georgia ‘Occupied’ Tskhinvali, Abkhazia Regions.” Agenda.Ge, July 10, 2019. </w:t>
      </w:r>
      <w:r w:rsidR="00E51150">
        <w:rPr>
          <w:rFonts w:ascii="Times New Roman" w:hAnsi="Times New Roman"/>
          <w:sz w:val="24"/>
          <w:szCs w:val="24"/>
        </w:rPr>
        <w:t xml:space="preserve">Accessed on July 28, 2020. </w:t>
      </w:r>
      <w:hyperlink r:id="rId182" w:history="1">
        <w:r w:rsidRPr="00D400D6">
          <w:rPr>
            <w:rStyle w:val="Hyperlink"/>
            <w:rFonts w:ascii="Times New Roman" w:hAnsi="Times New Roman"/>
            <w:sz w:val="24"/>
            <w:szCs w:val="24"/>
          </w:rPr>
          <w:t>https://agenda.ge/en/news/2019/1860</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Kartvelishvili, Mariam. “'Tbilisi Fails to Put Blame on Moscow over Drone' – Russian MFA.” Civil.Ge, May 2008.</w:t>
      </w:r>
      <w:r w:rsidR="00E51150" w:rsidRPr="00E51150">
        <w:rPr>
          <w:rFonts w:ascii="Times New Roman" w:hAnsi="Times New Roman"/>
          <w:sz w:val="24"/>
          <w:szCs w:val="24"/>
        </w:rPr>
        <w:t xml:space="preserve"> </w:t>
      </w:r>
      <w:r w:rsidR="00E51150">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83" w:history="1">
        <w:r w:rsidRPr="00D400D6">
          <w:rPr>
            <w:rStyle w:val="Hyperlink"/>
            <w:rFonts w:ascii="Times New Roman" w:hAnsi="Times New Roman"/>
            <w:sz w:val="24"/>
            <w:szCs w:val="24"/>
          </w:rPr>
          <w:t>https://civil.ge/archives/116459</w:t>
        </w:r>
      </w:hyperlink>
      <w:r w:rsidRPr="00D400D6">
        <w:rPr>
          <w:rFonts w:ascii="Times New Roman" w:hAnsi="Times New Roman"/>
          <w:sz w:val="24"/>
          <w:szCs w:val="24"/>
        </w:rPr>
        <w:t>.</w:t>
      </w:r>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Kiguradze, Mikheil. “Russia Stops Issuing Visas to Georgian Citizens.” Civil.Ge, February 20, 2006. </w:t>
      </w:r>
      <w:r w:rsidR="00E51150">
        <w:rPr>
          <w:rFonts w:ascii="Times New Roman" w:hAnsi="Times New Roman"/>
          <w:sz w:val="24"/>
          <w:szCs w:val="24"/>
        </w:rPr>
        <w:t xml:space="preserve">Accessed on July 28, 2020. </w:t>
      </w:r>
      <w:hyperlink r:id="rId184" w:history="1">
        <w:r w:rsidR="00E51150" w:rsidRPr="005C3269">
          <w:rPr>
            <w:rStyle w:val="Hyperlink"/>
            <w:rFonts w:ascii="Times New Roman" w:hAnsi="Times New Roman"/>
            <w:sz w:val="24"/>
            <w:szCs w:val="24"/>
          </w:rPr>
          <w:t>https://civil.ge/archives/109932</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Khelashvili, Mamuka. “South Ossetian De-Facto Authorities Detain EUMM </w:t>
      </w:r>
      <w:proofErr w:type="gramStart"/>
      <w:r w:rsidRPr="00D400D6">
        <w:rPr>
          <w:rFonts w:ascii="Times New Roman" w:hAnsi="Times New Roman"/>
          <w:sz w:val="24"/>
          <w:szCs w:val="24"/>
        </w:rPr>
        <w:t>Monitors .”</w:t>
      </w:r>
      <w:proofErr w:type="gramEnd"/>
      <w:r w:rsidRPr="00D400D6">
        <w:rPr>
          <w:rFonts w:ascii="Times New Roman" w:hAnsi="Times New Roman"/>
          <w:sz w:val="24"/>
          <w:szCs w:val="24"/>
        </w:rPr>
        <w:t xml:space="preserve"> Qartli Info, October 2019.</w:t>
      </w:r>
      <w:r w:rsidR="00E51150" w:rsidRPr="00E51150">
        <w:rPr>
          <w:rFonts w:ascii="Times New Roman" w:hAnsi="Times New Roman"/>
          <w:sz w:val="24"/>
          <w:szCs w:val="24"/>
        </w:rPr>
        <w:t xml:space="preserve"> </w:t>
      </w:r>
      <w:r w:rsidR="00E51150">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85" w:history="1">
        <w:r w:rsidRPr="00D400D6">
          <w:rPr>
            <w:rStyle w:val="Hyperlink"/>
            <w:rFonts w:ascii="Times New Roman" w:hAnsi="Times New Roman"/>
            <w:sz w:val="24"/>
            <w:szCs w:val="24"/>
          </w:rPr>
          <w:t>https://www.qartli.ge/ge/akhali-ambebi/article/13013-de-faqto-samkhreth-osethis-kgb-m-evrokavshiris-misiis-tsevrebi-mcire-khnith-daakava</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Kintsurashvili, Tamar. “Anti-Western Propaganda in Georgia.” Myth Detector Georgia, September 2016.</w:t>
      </w:r>
      <w:r w:rsidR="00E51150" w:rsidRPr="00E51150">
        <w:rPr>
          <w:rFonts w:ascii="Times New Roman" w:hAnsi="Times New Roman"/>
          <w:sz w:val="24"/>
          <w:szCs w:val="24"/>
        </w:rPr>
        <w:t xml:space="preserve"> </w:t>
      </w:r>
      <w:r w:rsidR="00E51150">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86" w:history="1">
        <w:r w:rsidRPr="00D400D6">
          <w:rPr>
            <w:rStyle w:val="Hyperlink"/>
            <w:rFonts w:ascii="Times New Roman" w:hAnsi="Times New Roman"/>
            <w:sz w:val="24"/>
            <w:szCs w:val="24"/>
          </w:rPr>
          <w:t>http://www.mythdetector.ge/sites/default/files/2017-07/Antidasavluri-ENG-web_%282%29.pdf</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Mainville, Michael. “Georgia Arrests Russian Officers for Spying and Surrounds Army HQ.” The Guardian. Guardian News and Media, September 27, 2006. </w:t>
      </w:r>
      <w:r w:rsidR="00E51150">
        <w:rPr>
          <w:rFonts w:ascii="Times New Roman" w:hAnsi="Times New Roman"/>
          <w:sz w:val="24"/>
          <w:szCs w:val="24"/>
        </w:rPr>
        <w:t xml:space="preserve">Accessed on July 28, 2020. </w:t>
      </w:r>
      <w:hyperlink r:id="rId187" w:history="1">
        <w:r w:rsidRPr="00D400D6">
          <w:rPr>
            <w:rStyle w:val="Hyperlink"/>
            <w:rFonts w:ascii="Times New Roman" w:hAnsi="Times New Roman"/>
            <w:sz w:val="24"/>
            <w:szCs w:val="24"/>
          </w:rPr>
          <w:t>https://www.theguardian.com/world/2006/sep/28/russia.georgia</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Melkadze, Lika. “EU Officials Praise Georgia as Frontrunner of Eastern Partnership.” Agenda, January 30, 2017.</w:t>
      </w:r>
      <w:r w:rsidR="00E51150" w:rsidRPr="00E51150">
        <w:rPr>
          <w:rFonts w:ascii="Times New Roman" w:hAnsi="Times New Roman"/>
          <w:sz w:val="24"/>
          <w:szCs w:val="24"/>
        </w:rPr>
        <w:t xml:space="preserve"> </w:t>
      </w:r>
      <w:r w:rsidR="00E51150">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88" w:history="1">
        <w:r w:rsidRPr="00D400D6">
          <w:rPr>
            <w:rStyle w:val="Hyperlink"/>
            <w:rFonts w:ascii="Times New Roman" w:hAnsi="Times New Roman"/>
            <w:sz w:val="24"/>
            <w:szCs w:val="24"/>
          </w:rPr>
          <w:t>https://agenda.ge/en/news/2017/183</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Morrison, Thea. “A Chronology of Russian Embargoes on Georgia.” Georgia Today, June 24, 2019.</w:t>
      </w:r>
      <w:r w:rsidR="00E51150">
        <w:rPr>
          <w:rFonts w:ascii="Times New Roman" w:hAnsi="Times New Roman"/>
          <w:sz w:val="24"/>
          <w:szCs w:val="24"/>
        </w:rPr>
        <w:t xml:space="preserve"> Accessed on July 28, 2020. </w:t>
      </w:r>
      <w:r w:rsidRPr="00D400D6">
        <w:rPr>
          <w:rFonts w:ascii="Times New Roman" w:hAnsi="Times New Roman"/>
          <w:sz w:val="24"/>
          <w:szCs w:val="24"/>
        </w:rPr>
        <w:t xml:space="preserve"> </w:t>
      </w:r>
      <w:hyperlink r:id="rId189" w:history="1">
        <w:r w:rsidRPr="00D400D6">
          <w:rPr>
            <w:rStyle w:val="Hyperlink"/>
            <w:rFonts w:ascii="Times New Roman" w:hAnsi="Times New Roman"/>
            <w:sz w:val="24"/>
            <w:szCs w:val="24"/>
          </w:rPr>
          <w:t>http://georgiatoday.ge/news/16199/A-Chronology-of-Russian-Embargoes-on-Georgia</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OC Media. “Georgia Takes Russia to ECHR over ‘Rights Violations on Occupied Territories.’” OC MEDIA, August 24, 2018.</w:t>
      </w:r>
      <w:r w:rsidR="00E51150" w:rsidRPr="00E51150">
        <w:rPr>
          <w:rFonts w:ascii="Times New Roman" w:hAnsi="Times New Roman"/>
          <w:sz w:val="24"/>
          <w:szCs w:val="24"/>
        </w:rPr>
        <w:t xml:space="preserve"> </w:t>
      </w:r>
      <w:r w:rsidR="00E51150">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90" w:history="1">
        <w:r w:rsidRPr="00D400D6">
          <w:rPr>
            <w:rStyle w:val="Hyperlink"/>
            <w:rFonts w:ascii="Times New Roman" w:hAnsi="Times New Roman"/>
            <w:sz w:val="24"/>
            <w:szCs w:val="24"/>
          </w:rPr>
          <w:t>https://oc-media.org/georgia-takes-russia-to-echr-over-rights-violations-on-occupied-territories/</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Peuch, Jean-Christophe. “Georgia: Saakashvili Offers To Open Reunification Talks With Abkhazia, South Ossetia.” RadioFreeEurope/RadioLiberty. Radio Free Europe / Radio Liberty, May 26, 2004. </w:t>
      </w:r>
      <w:r w:rsidR="00E51150">
        <w:rPr>
          <w:rFonts w:ascii="Times New Roman" w:hAnsi="Times New Roman"/>
        </w:rPr>
        <w:t xml:space="preserve">Accessed on July 28, 2020. </w:t>
      </w:r>
      <w:hyperlink r:id="rId191" w:history="1">
        <w:r w:rsidRPr="00D400D6">
          <w:rPr>
            <w:rStyle w:val="Hyperlink"/>
            <w:rFonts w:ascii="Times New Roman" w:hAnsi="Times New Roman"/>
          </w:rPr>
          <w:t>https://www.rferl.org/a/1052980.html</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Pike, John. “Railroad Troops / Railway Forces (Zheleznodorozhniki).” Railroad Troops / Railway Forces. Global Security Org, May 2004. </w:t>
      </w:r>
      <w:r w:rsidR="00E51150">
        <w:rPr>
          <w:rFonts w:ascii="Times New Roman" w:hAnsi="Times New Roman"/>
          <w:sz w:val="24"/>
          <w:szCs w:val="24"/>
        </w:rPr>
        <w:t xml:space="preserve">Accessed on July 28, 2020. </w:t>
      </w:r>
      <w:hyperlink r:id="rId192" w:history="1">
        <w:r w:rsidRPr="00D400D6">
          <w:rPr>
            <w:rStyle w:val="Hyperlink"/>
            <w:rFonts w:ascii="Times New Roman" w:hAnsi="Times New Roman"/>
            <w:sz w:val="24"/>
            <w:szCs w:val="24"/>
          </w:rPr>
          <w:t>https://www.globalsecurity.org/military/world/russia/railroad-troops.htm</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Peters, Ingo, and Jan Bittner. “EU-US Risk Policy in the European Neighborhood: The Cases of Moldova and Georgia.” Center for Transnational Relations at Free University of Berlin, March 28, 2008. </w:t>
      </w:r>
      <w:r w:rsidR="00E51150">
        <w:rPr>
          <w:rFonts w:ascii="Times New Roman" w:hAnsi="Times New Roman"/>
          <w:sz w:val="24"/>
          <w:szCs w:val="24"/>
        </w:rPr>
        <w:t xml:space="preserve">Accessed on July 28, 2020. </w:t>
      </w:r>
      <w:hyperlink r:id="rId193" w:history="1">
        <w:r w:rsidRPr="00D400D6">
          <w:rPr>
            <w:rStyle w:val="Hyperlink"/>
            <w:rFonts w:ascii="Times New Roman" w:hAnsi="Times New Roman"/>
            <w:sz w:val="24"/>
            <w:szCs w:val="24"/>
          </w:rPr>
          <w:t>https://www.polsoz.fu-berlin.de/en/polwiss/forschung/international/atasp/publikationen/4_artikel_papiere/8/index.html</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eastAsiaTheme="minorHAnsi" w:hAnsi="Times New Roman"/>
          <w:sz w:val="24"/>
          <w:szCs w:val="24"/>
        </w:rPr>
      </w:pPr>
      <w:r w:rsidRPr="00D400D6">
        <w:rPr>
          <w:rFonts w:ascii="Times New Roman" w:hAnsi="Times New Roman"/>
          <w:sz w:val="24"/>
          <w:szCs w:val="24"/>
        </w:rPr>
        <w:t>Sever, Anna. “Russia Doesn't Recommend the EU to Recognize the Kosovan Independence.” DW- Deutsche Welle, February 10, 2008.</w:t>
      </w:r>
      <w:r w:rsidR="00E51150" w:rsidRPr="00E51150">
        <w:rPr>
          <w:rFonts w:ascii="Times New Roman" w:hAnsi="Times New Roman"/>
          <w:sz w:val="24"/>
          <w:szCs w:val="24"/>
        </w:rPr>
        <w:t xml:space="preserve"> </w:t>
      </w:r>
      <w:r w:rsidR="00E51150">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94" w:history="1">
        <w:r w:rsidRPr="00D400D6">
          <w:rPr>
            <w:rStyle w:val="Hyperlink"/>
            <w:rFonts w:ascii="Times New Roman" w:hAnsi="Times New Roman"/>
            <w:sz w:val="24"/>
            <w:szCs w:val="24"/>
          </w:rPr>
          <w:t>https://cutt.ly/Yp8dJFx</w:t>
        </w:r>
      </w:hyperlink>
    </w:p>
    <w:p w:rsidR="00017A6D"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Shatalov, Andrey. “'Occupied Territories' Term Inapplicable to Abkhazia, South Ossetia - Foreign Ministry.” International Information Group, June 9, 2012. </w:t>
      </w:r>
      <w:r w:rsidR="00E51150">
        <w:rPr>
          <w:rFonts w:ascii="Times New Roman" w:hAnsi="Times New Roman"/>
          <w:sz w:val="24"/>
          <w:szCs w:val="24"/>
        </w:rPr>
        <w:t xml:space="preserve">Accessed on July 28, 2020. </w:t>
      </w:r>
      <w:hyperlink r:id="rId195" w:history="1">
        <w:r w:rsidR="00E51150" w:rsidRPr="005C3269">
          <w:rPr>
            <w:rStyle w:val="Hyperlink"/>
            <w:rFonts w:ascii="Times New Roman" w:hAnsi="Times New Roman"/>
            <w:sz w:val="24"/>
            <w:szCs w:val="24"/>
          </w:rPr>
          <w:t>https://interfax.com/newsroom/top-stories/56085/</w:t>
        </w:r>
      </w:hyperlink>
      <w:r w:rsidRPr="00D400D6">
        <w:rPr>
          <w:rFonts w:ascii="Times New Roman" w:hAnsi="Times New Roman"/>
          <w:sz w:val="24"/>
          <w:szCs w:val="24"/>
        </w:rPr>
        <w:t>.</w:t>
      </w:r>
    </w:p>
    <w:p w:rsidR="00017A6D" w:rsidRPr="00D400D6" w:rsidRDefault="00017A6D" w:rsidP="00017A6D">
      <w:pPr>
        <w:pStyle w:val="NormalWeb"/>
        <w:spacing w:line="360" w:lineRule="auto"/>
        <w:rPr>
          <w:rFonts w:ascii="Times New Roman" w:hAnsi="Times New Roman"/>
        </w:rPr>
      </w:pPr>
      <w:r w:rsidRPr="00D400D6">
        <w:rPr>
          <w:rFonts w:ascii="Times New Roman" w:hAnsi="Times New Roman"/>
        </w:rPr>
        <w:t xml:space="preserve">Sideri, Eleni. “'The Land of the Golden Fleece': Conflict and Heritage in </w:t>
      </w:r>
      <w:proofErr w:type="gramStart"/>
      <w:r w:rsidRPr="00D400D6">
        <w:rPr>
          <w:rFonts w:ascii="Times New Roman" w:hAnsi="Times New Roman"/>
        </w:rPr>
        <w:t>Abkhazia .”</w:t>
      </w:r>
      <w:proofErr w:type="gramEnd"/>
      <w:r w:rsidRPr="00D400D6">
        <w:rPr>
          <w:rFonts w:ascii="Times New Roman" w:hAnsi="Times New Roman"/>
        </w:rPr>
        <w:t xml:space="preserve"> Abkhaz World | History, Culture &amp; Politics of Abkhazia. Abkhaz World, December 9, 2017. </w:t>
      </w:r>
      <w:r w:rsidR="00E51150">
        <w:rPr>
          <w:rFonts w:ascii="Times New Roman" w:hAnsi="Times New Roman"/>
        </w:rPr>
        <w:t xml:space="preserve">Accessed on July 28, 2020. </w:t>
      </w:r>
      <w:hyperlink r:id="rId196" w:history="1">
        <w:r w:rsidRPr="00D400D6">
          <w:rPr>
            <w:rStyle w:val="Hyperlink"/>
            <w:rFonts w:ascii="Times New Roman" w:hAnsi="Times New Roman"/>
          </w:rPr>
          <w:t>https://abkhazworld.com/aw/Pdf/The_Land_of_the_Golden_Fleece_Conflict.pdf</w:t>
        </w:r>
      </w:hyperlink>
      <w:r w:rsidRPr="00D400D6">
        <w:rPr>
          <w:rFonts w:ascii="Times New Roman" w:hAnsi="Times New Roman"/>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lastRenderedPageBreak/>
        <w:t xml:space="preserve">Sikharulidze, Manana. “Archive: Georgia Becomes the CIS Member.” Georgian Journal, January 2012. </w:t>
      </w:r>
      <w:r w:rsidR="00E51150">
        <w:rPr>
          <w:rFonts w:ascii="Times New Roman" w:hAnsi="Times New Roman"/>
          <w:sz w:val="24"/>
          <w:szCs w:val="24"/>
        </w:rPr>
        <w:t xml:space="preserve">Accessed on July 28, 2020. </w:t>
      </w:r>
      <w:hyperlink r:id="rId197" w:history="1">
        <w:r w:rsidRPr="00D400D6">
          <w:rPr>
            <w:rStyle w:val="Hyperlink"/>
            <w:rFonts w:ascii="Times New Roman" w:hAnsi="Times New Roman"/>
            <w:sz w:val="24"/>
            <w:szCs w:val="24"/>
          </w:rPr>
          <w:t>https://www.georgianjournal.ge/society/7560-georgia-becomes-the-cis-member.html</w:t>
        </w:r>
      </w:hyperlink>
      <w:r w:rsidRPr="00D400D6">
        <w:rPr>
          <w:rFonts w:ascii="Times New Roman" w:hAnsi="Times New Roman"/>
          <w:sz w:val="24"/>
          <w:szCs w:val="24"/>
        </w:rPr>
        <w:t>.</w:t>
      </w:r>
    </w:p>
    <w:p w:rsidR="00017A6D" w:rsidRPr="00D400D6" w:rsidRDefault="00017A6D" w:rsidP="00017A6D">
      <w:pPr>
        <w:spacing w:before="100" w:beforeAutospacing="1" w:after="100" w:afterAutospacing="1" w:line="360" w:lineRule="auto"/>
        <w:rPr>
          <w:rFonts w:ascii="Times New Roman" w:hAnsi="Times New Roman"/>
          <w:sz w:val="24"/>
          <w:szCs w:val="24"/>
        </w:rPr>
      </w:pPr>
      <w:r w:rsidRPr="00D400D6">
        <w:rPr>
          <w:rFonts w:ascii="Times New Roman" w:hAnsi="Times New Roman"/>
          <w:sz w:val="24"/>
          <w:szCs w:val="24"/>
        </w:rPr>
        <w:t xml:space="preserve">Turmanidze, Levan. “Russia Suspends Participation In CFE Treaty.” Radio Free </w:t>
      </w:r>
      <w:proofErr w:type="gramStart"/>
      <w:r w:rsidRPr="00D400D6">
        <w:rPr>
          <w:rFonts w:ascii="Times New Roman" w:hAnsi="Times New Roman"/>
          <w:sz w:val="24"/>
          <w:szCs w:val="24"/>
        </w:rPr>
        <w:t>Europe ,</w:t>
      </w:r>
      <w:proofErr w:type="gramEnd"/>
      <w:r w:rsidRPr="00D400D6">
        <w:rPr>
          <w:rFonts w:ascii="Times New Roman" w:hAnsi="Times New Roman"/>
          <w:sz w:val="24"/>
          <w:szCs w:val="24"/>
        </w:rPr>
        <w:t xml:space="preserve"> December 2007.</w:t>
      </w:r>
      <w:r w:rsidR="000B1406" w:rsidRPr="000B1406">
        <w:rPr>
          <w:rFonts w:ascii="Times New Roman" w:hAnsi="Times New Roman"/>
          <w:sz w:val="24"/>
          <w:szCs w:val="24"/>
        </w:rPr>
        <w:t xml:space="preserve"> </w:t>
      </w:r>
      <w:r w:rsidR="000B1406">
        <w:rPr>
          <w:rFonts w:ascii="Times New Roman" w:hAnsi="Times New Roman"/>
          <w:sz w:val="24"/>
          <w:szCs w:val="24"/>
        </w:rPr>
        <w:t xml:space="preserve">Accessed on July 28, 2020. </w:t>
      </w:r>
      <w:r w:rsidRPr="00D400D6">
        <w:rPr>
          <w:rFonts w:ascii="Times New Roman" w:hAnsi="Times New Roman"/>
          <w:sz w:val="24"/>
          <w:szCs w:val="24"/>
        </w:rPr>
        <w:t xml:space="preserve"> </w:t>
      </w:r>
      <w:hyperlink r:id="rId198" w:history="1">
        <w:r w:rsidRPr="00D400D6">
          <w:rPr>
            <w:rStyle w:val="Hyperlink"/>
            <w:rFonts w:ascii="Times New Roman" w:hAnsi="Times New Roman"/>
            <w:sz w:val="24"/>
            <w:szCs w:val="24"/>
          </w:rPr>
          <w:t>https://www.rferl.org/a/1079256.html</w:t>
        </w:r>
      </w:hyperlink>
      <w:r w:rsidRPr="00D400D6">
        <w:rPr>
          <w:rFonts w:ascii="Times New Roman" w:hAnsi="Times New Roman"/>
          <w:sz w:val="24"/>
          <w:szCs w:val="24"/>
        </w:rPr>
        <w:t>.</w:t>
      </w:r>
    </w:p>
    <w:p w:rsidR="00017A6D" w:rsidRDefault="00017A6D" w:rsidP="00017A6D">
      <w:pPr>
        <w:pStyle w:val="NormalWeb"/>
        <w:spacing w:line="360" w:lineRule="auto"/>
      </w:pPr>
      <w:r w:rsidRPr="00D400D6">
        <w:rPr>
          <w:rFonts w:ascii="Times New Roman" w:hAnsi="Times New Roman"/>
        </w:rPr>
        <w:t xml:space="preserve">Voice of America. “Georgians Contemplate Future Five Years After Rose Revolution.” VOA, October 27, 2009. </w:t>
      </w:r>
      <w:r w:rsidR="000B1406">
        <w:rPr>
          <w:rFonts w:ascii="Times New Roman" w:hAnsi="Times New Roman"/>
        </w:rPr>
        <w:t xml:space="preserve">Accessed on July 28, 2020. </w:t>
      </w:r>
      <w:hyperlink r:id="rId199" w:history="1">
        <w:r w:rsidRPr="00D400D6">
          <w:rPr>
            <w:rStyle w:val="Hyperlink"/>
            <w:rFonts w:ascii="Times New Roman" w:hAnsi="Times New Roman"/>
          </w:rPr>
          <w:t>https://www.voanews.com/archive/georgians-contemplate-future-five-years-after-rose-revolution</w:t>
        </w:r>
      </w:hyperlink>
      <w:r w:rsidRPr="00D9458A">
        <w:t>.</w:t>
      </w:r>
    </w:p>
    <w:p w:rsidR="00F66484" w:rsidRPr="00D400D6" w:rsidRDefault="00F61F43" w:rsidP="00017A6D">
      <w:pPr>
        <w:pStyle w:val="NormalWeb"/>
        <w:spacing w:line="360" w:lineRule="auto"/>
        <w:rPr>
          <w:rFonts w:ascii="Times New Roman" w:hAnsi="Times New Roman"/>
          <w:b/>
          <w:sz w:val="28"/>
          <w:szCs w:val="28"/>
        </w:rPr>
      </w:pPr>
      <w:r w:rsidRPr="00D400D6">
        <w:rPr>
          <w:rFonts w:ascii="Times New Roman" w:hAnsi="Times New Roman"/>
          <w:b/>
          <w:sz w:val="28"/>
          <w:szCs w:val="28"/>
        </w:rPr>
        <w:t>Maps and Figures</w:t>
      </w:r>
    </w:p>
    <w:p w:rsidR="00F66484" w:rsidRPr="00D400D6" w:rsidRDefault="00F61F43"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Map 1. </w:t>
      </w:r>
      <w:r w:rsidR="00F66484" w:rsidRPr="00D400D6">
        <w:rPr>
          <w:rFonts w:ascii="Times New Roman" w:hAnsi="Times New Roman"/>
          <w:sz w:val="24"/>
          <w:szCs w:val="24"/>
        </w:rPr>
        <w:t xml:space="preserve">Andersen, Andrew. “The Kingdom of Colchis,” 2004. </w:t>
      </w:r>
      <w:r w:rsidR="000B1406">
        <w:rPr>
          <w:rFonts w:ascii="Times New Roman" w:hAnsi="Times New Roman"/>
          <w:sz w:val="24"/>
          <w:szCs w:val="24"/>
        </w:rPr>
        <w:t xml:space="preserve">Accessed on July 28, 2020. </w:t>
      </w:r>
      <w:hyperlink r:id="rId200" w:history="1">
        <w:r w:rsidR="00280D46" w:rsidRPr="00D400D6">
          <w:rPr>
            <w:rStyle w:val="Hyperlink"/>
            <w:rFonts w:ascii="Times New Roman" w:hAnsi="Times New Roman"/>
            <w:sz w:val="24"/>
            <w:szCs w:val="24"/>
          </w:rPr>
          <w:t>https://sites.google.com/site/georgiaconfliqt/home/thekingdomofcolchis</w:t>
        </w:r>
      </w:hyperlink>
      <w:r w:rsidR="00F66484" w:rsidRPr="00D400D6">
        <w:rPr>
          <w:rFonts w:ascii="Times New Roman" w:hAnsi="Times New Roman"/>
          <w:sz w:val="24"/>
          <w:szCs w:val="24"/>
        </w:rPr>
        <w:t>.</w:t>
      </w:r>
    </w:p>
    <w:p w:rsidR="00280D46" w:rsidRPr="00D400D6" w:rsidRDefault="00F61F43"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Map 2. </w:t>
      </w:r>
      <w:r w:rsidR="00280D46" w:rsidRPr="00D400D6">
        <w:rPr>
          <w:rFonts w:ascii="Times New Roman" w:hAnsi="Times New Roman"/>
          <w:sz w:val="24"/>
          <w:szCs w:val="24"/>
        </w:rPr>
        <w:t xml:space="preserve">Andersen, Andrew. “Territorial Losses of Georgia during Sovietization,” 2004. </w:t>
      </w:r>
      <w:r w:rsidR="000B1406">
        <w:rPr>
          <w:rFonts w:ascii="Times New Roman" w:hAnsi="Times New Roman"/>
          <w:sz w:val="24"/>
          <w:szCs w:val="24"/>
        </w:rPr>
        <w:t xml:space="preserve">Accessed on July 28, 2020. </w:t>
      </w:r>
      <w:hyperlink r:id="rId201" w:history="1">
        <w:r w:rsidR="00B35F93" w:rsidRPr="00D400D6">
          <w:rPr>
            <w:rStyle w:val="Hyperlink"/>
            <w:rFonts w:ascii="Times New Roman" w:hAnsi="Times New Roman"/>
            <w:sz w:val="24"/>
            <w:szCs w:val="24"/>
          </w:rPr>
          <w:t>http://www.conflicts.rem33.com/images/Georgia/Lang_11.htm</w:t>
        </w:r>
      </w:hyperlink>
      <w:r w:rsidR="00280D46" w:rsidRPr="00D400D6">
        <w:rPr>
          <w:rFonts w:ascii="Times New Roman" w:hAnsi="Times New Roman"/>
          <w:sz w:val="24"/>
          <w:szCs w:val="24"/>
        </w:rPr>
        <w:t>.</w:t>
      </w:r>
    </w:p>
    <w:p w:rsidR="00B35F93" w:rsidRPr="00D400D6" w:rsidRDefault="00F61F43"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Map 3. </w:t>
      </w:r>
      <w:r w:rsidR="00B35F93" w:rsidRPr="00D400D6">
        <w:rPr>
          <w:rFonts w:ascii="Times New Roman" w:hAnsi="Times New Roman"/>
          <w:sz w:val="24"/>
          <w:szCs w:val="24"/>
        </w:rPr>
        <w:t xml:space="preserve">WikiMaps. “Navigation of Russian Troops in August 2008,” 2008. </w:t>
      </w:r>
      <w:r w:rsidR="000B1406">
        <w:rPr>
          <w:rFonts w:ascii="Times New Roman" w:hAnsi="Times New Roman"/>
          <w:sz w:val="24"/>
          <w:szCs w:val="24"/>
        </w:rPr>
        <w:t xml:space="preserve">Accessed on July 28, 2020. </w:t>
      </w:r>
      <w:hyperlink r:id="rId202" w:history="1">
        <w:r w:rsidR="00A44962" w:rsidRPr="00D400D6">
          <w:rPr>
            <w:rStyle w:val="Hyperlink"/>
            <w:rFonts w:ascii="Times New Roman" w:hAnsi="Times New Roman"/>
            <w:sz w:val="24"/>
            <w:szCs w:val="24"/>
          </w:rPr>
          <w:t>https://en.wikipedia.org/wiki/File:2008_South_Ossetia_war_en.svg</w:t>
        </w:r>
      </w:hyperlink>
      <w:r w:rsidR="00B35F93" w:rsidRPr="00D400D6">
        <w:rPr>
          <w:rFonts w:ascii="Times New Roman" w:hAnsi="Times New Roman"/>
          <w:sz w:val="24"/>
          <w:szCs w:val="24"/>
        </w:rPr>
        <w:t>.</w:t>
      </w:r>
    </w:p>
    <w:p w:rsidR="00A44962" w:rsidRPr="00D400D6" w:rsidRDefault="00F61F43" w:rsidP="00F61F43">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Figure 1. </w:t>
      </w:r>
      <w:r w:rsidR="00A44962" w:rsidRPr="00D400D6">
        <w:rPr>
          <w:rFonts w:ascii="Times New Roman" w:hAnsi="Times New Roman"/>
          <w:sz w:val="24"/>
          <w:szCs w:val="24"/>
        </w:rPr>
        <w:t>Chivvis, Christopher S. “EU Civilian Conflict Management: The Record So Far.” Rand Corporation, March 2010.</w:t>
      </w:r>
      <w:r w:rsidR="000B1406">
        <w:rPr>
          <w:rFonts w:ascii="Times New Roman" w:hAnsi="Times New Roman"/>
          <w:sz w:val="24"/>
          <w:szCs w:val="24"/>
        </w:rPr>
        <w:t xml:space="preserve"> Accessed on July 28, 2020. </w:t>
      </w:r>
      <w:r w:rsidR="00A44962" w:rsidRPr="00D400D6">
        <w:rPr>
          <w:rFonts w:ascii="Times New Roman" w:hAnsi="Times New Roman"/>
          <w:sz w:val="24"/>
          <w:szCs w:val="24"/>
        </w:rPr>
        <w:t xml:space="preserve"> </w:t>
      </w:r>
      <w:hyperlink r:id="rId203" w:history="1">
        <w:r w:rsidR="00C00E69" w:rsidRPr="00D400D6">
          <w:rPr>
            <w:rStyle w:val="Hyperlink"/>
            <w:rFonts w:ascii="Times New Roman" w:hAnsi="Times New Roman"/>
            <w:sz w:val="24"/>
            <w:szCs w:val="24"/>
          </w:rPr>
          <w:t>https://www.jstor.org/stable/10.7249/mg945osd</w:t>
        </w:r>
      </w:hyperlink>
      <w:r w:rsidR="00A44962" w:rsidRPr="00D400D6">
        <w:rPr>
          <w:rFonts w:ascii="Times New Roman" w:hAnsi="Times New Roman"/>
          <w:sz w:val="24"/>
          <w:szCs w:val="24"/>
        </w:rPr>
        <w:t>.</w:t>
      </w:r>
    </w:p>
    <w:p w:rsidR="00C00E69" w:rsidRPr="00D400D6" w:rsidRDefault="00F61F43" w:rsidP="00F61F43">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Map 4. </w:t>
      </w:r>
      <w:r w:rsidR="00C00E69" w:rsidRPr="00D400D6">
        <w:rPr>
          <w:rFonts w:ascii="Times New Roman" w:hAnsi="Times New Roman"/>
          <w:sz w:val="24"/>
          <w:szCs w:val="24"/>
        </w:rPr>
        <w:t>Misteli, Valentin. “EU FOREIGN POLICY: STILL IN THE MAKING.” CSS Analysis in Security Policy, June 2011.</w:t>
      </w:r>
      <w:r w:rsidR="000B1406" w:rsidRPr="000B1406">
        <w:rPr>
          <w:rFonts w:ascii="Times New Roman" w:hAnsi="Times New Roman"/>
          <w:sz w:val="24"/>
          <w:szCs w:val="24"/>
        </w:rPr>
        <w:t xml:space="preserve"> </w:t>
      </w:r>
      <w:r w:rsidR="000B1406">
        <w:rPr>
          <w:rFonts w:ascii="Times New Roman" w:hAnsi="Times New Roman"/>
          <w:sz w:val="24"/>
          <w:szCs w:val="24"/>
        </w:rPr>
        <w:t xml:space="preserve">Accessed on July 28, 2020. </w:t>
      </w:r>
      <w:r w:rsidR="00C00E69" w:rsidRPr="00D400D6">
        <w:rPr>
          <w:rFonts w:ascii="Times New Roman" w:hAnsi="Times New Roman"/>
          <w:sz w:val="24"/>
          <w:szCs w:val="24"/>
        </w:rPr>
        <w:t xml:space="preserve"> </w:t>
      </w:r>
      <w:hyperlink r:id="rId204" w:history="1">
        <w:r w:rsidR="004919BC" w:rsidRPr="00D400D6">
          <w:rPr>
            <w:rStyle w:val="Hyperlink"/>
            <w:rFonts w:ascii="Times New Roman" w:hAnsi="Times New Roman"/>
            <w:sz w:val="24"/>
            <w:szCs w:val="24"/>
          </w:rPr>
          <w:t>https://ethz.ch/content/dam/ethz/special-interest/gess/cis/center-for-securities-studies/pdfs/CSS-Analysis-96-EN.pdf</w:t>
        </w:r>
      </w:hyperlink>
      <w:r w:rsidR="00C00E69" w:rsidRPr="00D400D6">
        <w:rPr>
          <w:rFonts w:ascii="Times New Roman" w:hAnsi="Times New Roman"/>
          <w:sz w:val="24"/>
          <w:szCs w:val="24"/>
        </w:rPr>
        <w:t>.</w:t>
      </w:r>
    </w:p>
    <w:p w:rsidR="004919BC" w:rsidRPr="00D400D6" w:rsidRDefault="00F61F43" w:rsidP="00F61F43">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Map 5. </w:t>
      </w:r>
      <w:r w:rsidR="004919BC" w:rsidRPr="00D400D6">
        <w:rPr>
          <w:rFonts w:ascii="Times New Roman" w:hAnsi="Times New Roman"/>
          <w:sz w:val="24"/>
          <w:szCs w:val="24"/>
        </w:rPr>
        <w:t xml:space="preserve">Amnesty International. “GEORGIA: BEHIND BARBED WIRE: HUMAN RIGHTS TOLL OF ‘BORDERIZATION’ IN GEORGIA.” Amnesty Org, July 3, 2019. </w:t>
      </w:r>
      <w:r w:rsidR="000B1406">
        <w:rPr>
          <w:rFonts w:ascii="Times New Roman" w:hAnsi="Times New Roman"/>
          <w:sz w:val="24"/>
          <w:szCs w:val="24"/>
        </w:rPr>
        <w:t xml:space="preserve">Accessed on July 28, 2020. </w:t>
      </w:r>
      <w:hyperlink r:id="rId205" w:history="1">
        <w:r w:rsidR="00EE6593" w:rsidRPr="00D400D6">
          <w:rPr>
            <w:rStyle w:val="Hyperlink"/>
            <w:rFonts w:ascii="Times New Roman" w:hAnsi="Times New Roman"/>
            <w:sz w:val="24"/>
            <w:szCs w:val="24"/>
          </w:rPr>
          <w:t>https://www.amnesty.org/en/documents/eur56/0581/2019/en/</w:t>
        </w:r>
      </w:hyperlink>
      <w:r w:rsidR="004919BC" w:rsidRPr="00D400D6">
        <w:rPr>
          <w:rFonts w:ascii="Times New Roman" w:hAnsi="Times New Roman"/>
          <w:sz w:val="24"/>
          <w:szCs w:val="24"/>
        </w:rPr>
        <w:t>.</w:t>
      </w:r>
    </w:p>
    <w:p w:rsidR="006C762C" w:rsidRPr="00D400D6" w:rsidRDefault="006C762C"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Figure 2. </w:t>
      </w:r>
      <w:r w:rsidR="00EE6593" w:rsidRPr="00D400D6">
        <w:rPr>
          <w:rFonts w:ascii="Times New Roman" w:hAnsi="Times New Roman"/>
          <w:sz w:val="24"/>
          <w:szCs w:val="24"/>
        </w:rPr>
        <w:t>Banks, Martin. “EPP Calls for More Engagement with Eastern Partnership Countries.” EU Political Report, June 2020.</w:t>
      </w:r>
      <w:r w:rsidR="000B1406" w:rsidRPr="000B1406">
        <w:rPr>
          <w:rFonts w:ascii="Times New Roman" w:hAnsi="Times New Roman"/>
          <w:sz w:val="24"/>
          <w:szCs w:val="24"/>
        </w:rPr>
        <w:t xml:space="preserve"> </w:t>
      </w:r>
      <w:r w:rsidR="000B1406">
        <w:rPr>
          <w:rFonts w:ascii="Times New Roman" w:hAnsi="Times New Roman"/>
          <w:sz w:val="24"/>
          <w:szCs w:val="24"/>
        </w:rPr>
        <w:t xml:space="preserve">Accessed on July 28, 2020. </w:t>
      </w:r>
      <w:r w:rsidR="00EE6593" w:rsidRPr="00D400D6">
        <w:rPr>
          <w:rFonts w:ascii="Times New Roman" w:hAnsi="Times New Roman"/>
          <w:sz w:val="24"/>
          <w:szCs w:val="24"/>
        </w:rPr>
        <w:t xml:space="preserve"> </w:t>
      </w:r>
      <w:hyperlink r:id="rId206" w:history="1">
        <w:r w:rsidR="00567399" w:rsidRPr="00D400D6">
          <w:rPr>
            <w:rStyle w:val="Hyperlink"/>
            <w:rFonts w:ascii="Times New Roman" w:hAnsi="Times New Roman"/>
            <w:sz w:val="24"/>
            <w:szCs w:val="24"/>
          </w:rPr>
          <w:t>https://www.eupoliticalreport.eu/epp-calls-for-more-engagement-with-eastern-partnership-countries/</w:t>
        </w:r>
      </w:hyperlink>
      <w:r w:rsidR="00EE6593" w:rsidRPr="00D400D6">
        <w:rPr>
          <w:rFonts w:ascii="Times New Roman" w:hAnsi="Times New Roman"/>
          <w:sz w:val="24"/>
          <w:szCs w:val="24"/>
        </w:rPr>
        <w:t>.</w:t>
      </w:r>
    </w:p>
    <w:p w:rsidR="00567399" w:rsidRPr="00D400D6" w:rsidRDefault="006C762C"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Figure 3.  </w:t>
      </w:r>
      <w:r w:rsidR="00567399" w:rsidRPr="00D400D6">
        <w:rPr>
          <w:rFonts w:ascii="Times New Roman" w:hAnsi="Times New Roman"/>
          <w:sz w:val="24"/>
          <w:szCs w:val="24"/>
        </w:rPr>
        <w:t>EU Neighbours East. “ANNUAL SURVEY REPORT: REGIONAL OVERVIEW.” EU Neighbours East, June 2019.</w:t>
      </w:r>
      <w:r w:rsidR="000B1406" w:rsidRPr="000B1406">
        <w:rPr>
          <w:rFonts w:ascii="Times New Roman" w:hAnsi="Times New Roman"/>
          <w:sz w:val="24"/>
          <w:szCs w:val="24"/>
        </w:rPr>
        <w:t xml:space="preserve"> </w:t>
      </w:r>
      <w:r w:rsidR="000B1406">
        <w:rPr>
          <w:rFonts w:ascii="Times New Roman" w:hAnsi="Times New Roman"/>
          <w:sz w:val="24"/>
          <w:szCs w:val="24"/>
        </w:rPr>
        <w:t>Accessed on July 28, 2020.</w:t>
      </w:r>
    </w:p>
    <w:p w:rsidR="00982A25" w:rsidRPr="00D400D6" w:rsidRDefault="006C762C"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lastRenderedPageBreak/>
        <w:t xml:space="preserve">Map 6. </w:t>
      </w:r>
      <w:r w:rsidR="00982A25" w:rsidRPr="00D400D6">
        <w:rPr>
          <w:rFonts w:ascii="Times New Roman" w:hAnsi="Times New Roman"/>
          <w:sz w:val="24"/>
          <w:szCs w:val="24"/>
        </w:rPr>
        <w:t xml:space="preserve">Gandhi, Ricky. “The October Revolution: 100 Years Later.” American Security Project, October 13, 2017. </w:t>
      </w:r>
      <w:r w:rsidR="000B1406">
        <w:rPr>
          <w:rFonts w:ascii="Times New Roman" w:hAnsi="Times New Roman"/>
          <w:sz w:val="24"/>
          <w:szCs w:val="24"/>
        </w:rPr>
        <w:t xml:space="preserve">Accessed on July 28, 2020. </w:t>
      </w:r>
      <w:hyperlink r:id="rId207" w:history="1">
        <w:r w:rsidR="005C53D7" w:rsidRPr="00D400D6">
          <w:rPr>
            <w:rStyle w:val="Hyperlink"/>
            <w:rFonts w:ascii="Times New Roman" w:hAnsi="Times New Roman"/>
            <w:sz w:val="24"/>
            <w:szCs w:val="24"/>
          </w:rPr>
          <w:t>https://www.americansecurityproject.org/the-october-revolution-100-years-later/</w:t>
        </w:r>
      </w:hyperlink>
      <w:r w:rsidR="00982A25" w:rsidRPr="00D400D6">
        <w:rPr>
          <w:rFonts w:ascii="Times New Roman" w:hAnsi="Times New Roman"/>
          <w:sz w:val="24"/>
          <w:szCs w:val="24"/>
        </w:rPr>
        <w:t>.</w:t>
      </w:r>
    </w:p>
    <w:p w:rsidR="005C53D7" w:rsidRPr="00D400D6" w:rsidRDefault="006C762C"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Figure 4. </w:t>
      </w:r>
      <w:r w:rsidR="005C53D7" w:rsidRPr="00D400D6">
        <w:rPr>
          <w:rFonts w:ascii="Times New Roman" w:hAnsi="Times New Roman"/>
          <w:sz w:val="24"/>
          <w:szCs w:val="24"/>
        </w:rPr>
        <w:t xml:space="preserve">Kakulia, Nino. “Great Expectations: Does the DCFTA Really Boost Georgia’s Economic &amp; Export Potential?” Georgia Today, July 9, 2018. </w:t>
      </w:r>
      <w:r w:rsidR="000B1406">
        <w:rPr>
          <w:rFonts w:ascii="Times New Roman" w:hAnsi="Times New Roman"/>
          <w:sz w:val="24"/>
          <w:szCs w:val="24"/>
        </w:rPr>
        <w:t xml:space="preserve">Accessed on July 28, 2020. </w:t>
      </w:r>
      <w:hyperlink r:id="rId208" w:history="1">
        <w:r w:rsidR="0061443E" w:rsidRPr="00D400D6">
          <w:rPr>
            <w:rStyle w:val="Hyperlink"/>
            <w:rFonts w:ascii="Times New Roman" w:hAnsi="Times New Roman"/>
            <w:sz w:val="24"/>
            <w:szCs w:val="24"/>
          </w:rPr>
          <w:t>http://georgiatoday.ge/news/11191/Great-Expectations%3A-Does-the-DCFTA-Really-Boost-Georgia%E2%80%99s-Economic-%26-Export-Potential%3F-</w:t>
        </w:r>
      </w:hyperlink>
      <w:r w:rsidR="005C53D7" w:rsidRPr="00D400D6">
        <w:rPr>
          <w:rFonts w:ascii="Times New Roman" w:hAnsi="Times New Roman"/>
          <w:sz w:val="24"/>
          <w:szCs w:val="24"/>
        </w:rPr>
        <w:t>.</w:t>
      </w:r>
    </w:p>
    <w:p w:rsidR="0061443E" w:rsidRPr="00D400D6" w:rsidRDefault="006C762C"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Figure 5. </w:t>
      </w:r>
      <w:r w:rsidR="0061443E" w:rsidRPr="00D400D6">
        <w:rPr>
          <w:rFonts w:ascii="Times New Roman" w:hAnsi="Times New Roman"/>
          <w:sz w:val="24"/>
          <w:szCs w:val="24"/>
        </w:rPr>
        <w:t>Kamushadze, Lasha. “GDP and Monetary Policy in 2017 - GEOSTAT.” Civil.Ge, February 7, 2020.</w:t>
      </w:r>
      <w:r w:rsidR="000B1406" w:rsidRPr="000B1406">
        <w:rPr>
          <w:rFonts w:ascii="Times New Roman" w:hAnsi="Times New Roman"/>
          <w:sz w:val="24"/>
          <w:szCs w:val="24"/>
        </w:rPr>
        <w:t xml:space="preserve"> </w:t>
      </w:r>
      <w:r w:rsidR="000B1406">
        <w:rPr>
          <w:rFonts w:ascii="Times New Roman" w:hAnsi="Times New Roman"/>
          <w:sz w:val="24"/>
          <w:szCs w:val="24"/>
        </w:rPr>
        <w:t xml:space="preserve">Accessed on July 28, 2020. </w:t>
      </w:r>
      <w:r w:rsidR="0061443E" w:rsidRPr="00D400D6">
        <w:rPr>
          <w:rFonts w:ascii="Times New Roman" w:hAnsi="Times New Roman"/>
          <w:sz w:val="24"/>
          <w:szCs w:val="24"/>
        </w:rPr>
        <w:t xml:space="preserve"> </w:t>
      </w:r>
      <w:hyperlink r:id="rId209" w:history="1">
        <w:r w:rsidR="0078448F" w:rsidRPr="00D400D6">
          <w:rPr>
            <w:rStyle w:val="Hyperlink"/>
            <w:rFonts w:ascii="Times New Roman" w:hAnsi="Times New Roman"/>
            <w:sz w:val="24"/>
            <w:szCs w:val="24"/>
          </w:rPr>
          <w:t>https://civil.ge/archives/337512</w:t>
        </w:r>
      </w:hyperlink>
      <w:r w:rsidR="0061443E" w:rsidRPr="00D400D6">
        <w:rPr>
          <w:rFonts w:ascii="Times New Roman" w:hAnsi="Times New Roman"/>
          <w:sz w:val="24"/>
          <w:szCs w:val="24"/>
        </w:rPr>
        <w:t>.</w:t>
      </w:r>
    </w:p>
    <w:p w:rsidR="0078448F" w:rsidRDefault="006C762C" w:rsidP="006C762C">
      <w:pPr>
        <w:spacing w:before="100" w:beforeAutospacing="1" w:after="100" w:afterAutospacing="1"/>
        <w:rPr>
          <w:rFonts w:ascii="Times New Roman" w:hAnsi="Times New Roman"/>
          <w:sz w:val="24"/>
          <w:szCs w:val="24"/>
        </w:rPr>
      </w:pPr>
      <w:r w:rsidRPr="00D400D6">
        <w:rPr>
          <w:rFonts w:ascii="Times New Roman" w:hAnsi="Times New Roman"/>
          <w:sz w:val="24"/>
          <w:szCs w:val="24"/>
        </w:rPr>
        <w:t xml:space="preserve">Figure 6. </w:t>
      </w:r>
      <w:r w:rsidR="0078448F" w:rsidRPr="00D400D6">
        <w:rPr>
          <w:rFonts w:ascii="Times New Roman" w:hAnsi="Times New Roman"/>
          <w:sz w:val="24"/>
          <w:szCs w:val="24"/>
        </w:rPr>
        <w:t xml:space="preserve">Toal, Gerard. “How People in South Ossetia, Abkhazia and Transnistria Feel about Annexation by Russia.” Washington Post, March 20, 2014. </w:t>
      </w:r>
      <w:r w:rsidR="000B1406">
        <w:rPr>
          <w:rFonts w:ascii="Times New Roman" w:hAnsi="Times New Roman"/>
          <w:sz w:val="24"/>
          <w:szCs w:val="24"/>
        </w:rPr>
        <w:t xml:space="preserve">Accessed on July 28, 2020. </w:t>
      </w:r>
      <w:hyperlink r:id="rId210" w:history="1">
        <w:r w:rsidR="000B1406" w:rsidRPr="005C3269">
          <w:rPr>
            <w:rStyle w:val="Hyperlink"/>
            <w:rFonts w:ascii="Times New Roman" w:hAnsi="Times New Roman"/>
            <w:sz w:val="24"/>
            <w:szCs w:val="24"/>
          </w:rPr>
          <w:t>https://www.washingtonpost.com/news/monkey-cage/wp/2014/03/20/how-people-in-south-ossetia-abkhazia-and-transnistria-feel-about-annexation-by-russia/</w:t>
        </w:r>
      </w:hyperlink>
      <w:r w:rsidR="0078448F" w:rsidRPr="00D400D6">
        <w:rPr>
          <w:rFonts w:ascii="Times New Roman" w:hAnsi="Times New Roman"/>
          <w:sz w:val="24"/>
          <w:szCs w:val="24"/>
        </w:rPr>
        <w:t>.</w:t>
      </w:r>
    </w:p>
    <w:p w:rsidR="000B1406" w:rsidRPr="000B1406" w:rsidRDefault="000B1406" w:rsidP="000B1406">
      <w:pPr>
        <w:pStyle w:val="NoSpacing"/>
      </w:pPr>
    </w:p>
    <w:p w:rsidR="00050BA9" w:rsidRPr="00D400D6" w:rsidRDefault="00050BA9" w:rsidP="00774BBE">
      <w:pPr>
        <w:rPr>
          <w:rFonts w:ascii="Times New Roman" w:hAnsi="Times New Roman"/>
          <w:b/>
          <w:sz w:val="24"/>
          <w:szCs w:val="24"/>
        </w:rPr>
      </w:pPr>
    </w:p>
    <w:sectPr w:rsidR="00050BA9" w:rsidRPr="00D400D6" w:rsidSect="00217A06">
      <w:footerReference w:type="default" r:id="rId2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CF5" w:rsidRDefault="003D4CF5" w:rsidP="00050BA9">
      <w:r>
        <w:separator/>
      </w:r>
    </w:p>
  </w:endnote>
  <w:endnote w:type="continuationSeparator" w:id="0">
    <w:p w:rsidR="003D4CF5" w:rsidRDefault="003D4CF5" w:rsidP="00050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Arial"/>
    <w:panose1 w:val="00000000000000000000"/>
    <w:charset w:val="4D"/>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549040"/>
      <w:docPartObj>
        <w:docPartGallery w:val="Page Numbers (Bottom of Page)"/>
        <w:docPartUnique/>
      </w:docPartObj>
    </w:sdtPr>
    <w:sdtEndPr>
      <w:rPr>
        <w:noProof/>
      </w:rPr>
    </w:sdtEndPr>
    <w:sdtContent>
      <w:p w:rsidR="00952E3B" w:rsidRDefault="00952E3B">
        <w:pPr>
          <w:pStyle w:val="Footer"/>
          <w:jc w:val="right"/>
        </w:pPr>
        <w:r>
          <w:fldChar w:fldCharType="begin"/>
        </w:r>
        <w:r>
          <w:instrText xml:space="preserve"> PAGE   \* MERGEFORMAT </w:instrText>
        </w:r>
        <w:r>
          <w:fldChar w:fldCharType="separate"/>
        </w:r>
        <w:r w:rsidR="002B641B">
          <w:rPr>
            <w:noProof/>
          </w:rPr>
          <w:t>125</w:t>
        </w:r>
        <w:r>
          <w:rPr>
            <w:noProof/>
          </w:rPr>
          <w:fldChar w:fldCharType="end"/>
        </w:r>
      </w:p>
    </w:sdtContent>
  </w:sdt>
  <w:p w:rsidR="00952E3B" w:rsidRDefault="00952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CF5" w:rsidRDefault="003D4CF5" w:rsidP="00050BA9">
      <w:r>
        <w:separator/>
      </w:r>
    </w:p>
  </w:footnote>
  <w:footnote w:type="continuationSeparator" w:id="0">
    <w:p w:rsidR="003D4CF5" w:rsidRDefault="003D4CF5" w:rsidP="00050BA9">
      <w:r>
        <w:continuationSeparator/>
      </w:r>
    </w:p>
  </w:footnote>
  <w:footnote w:id="1">
    <w:p w:rsidR="00952E3B" w:rsidRDefault="00952E3B">
      <w:pPr>
        <w:pStyle w:val="FootnoteText"/>
      </w:pPr>
      <w:r>
        <w:rPr>
          <w:rStyle w:val="FootnoteReference"/>
        </w:rPr>
        <w:footnoteRef/>
      </w:r>
      <w:r>
        <w:t xml:space="preserve"> Maria Pimenova, “Putin Tells </w:t>
      </w:r>
      <w:proofErr w:type="gramStart"/>
      <w:r>
        <w:t>About</w:t>
      </w:r>
      <w:proofErr w:type="gramEnd"/>
      <w:r>
        <w:t xml:space="preserve"> the Preparation for the War Against Georgia” (Lenta, August 8, 2012), https://lenta.ru/news/2012/08/08/putin/.</w:t>
      </w:r>
    </w:p>
  </w:footnote>
  <w:footnote w:id="2">
    <w:p w:rsidR="00952E3B" w:rsidRPr="002F3FEA" w:rsidRDefault="00952E3B" w:rsidP="00050BA9">
      <w:pPr>
        <w:pStyle w:val="FootnoteText"/>
        <w:rPr>
          <w:rFonts w:cs="Times New Roman"/>
        </w:rPr>
      </w:pPr>
      <w:r w:rsidRPr="002F3FEA">
        <w:rPr>
          <w:rStyle w:val="FootnoteReference"/>
          <w:rFonts w:cs="Times New Roman"/>
        </w:rPr>
        <w:footnoteRef/>
      </w:r>
      <w:r w:rsidRPr="002F3FEA">
        <w:rPr>
          <w:rFonts w:cs="Times New Roman"/>
        </w:rPr>
        <w:t xml:space="preserve"> David S. Siroky, “Understanding Secessionist Conflict in the South Caucasus,” ResearchGate, September 2, 2009, p.23, </w:t>
      </w:r>
      <w:hyperlink r:id="rId1" w:history="1">
        <w:r w:rsidRPr="002F3FEA">
          <w:rPr>
            <w:rStyle w:val="Hyperlink"/>
            <w:rFonts w:cs="Times New Roman"/>
          </w:rPr>
          <w:t>https://www.researchgate.net/publication/228215515_Understanding_Secessionist_Conflict_in_the_South_Caucasus</w:t>
        </w:r>
      </w:hyperlink>
      <w:r w:rsidRPr="002F3FEA">
        <w:rPr>
          <w:rFonts w:cs="Times New Roman"/>
        </w:rPr>
        <w:t>.</w:t>
      </w:r>
    </w:p>
  </w:footnote>
  <w:footnote w:id="3">
    <w:p w:rsidR="00952E3B" w:rsidRPr="002F3FEA" w:rsidRDefault="00952E3B" w:rsidP="00050BA9">
      <w:pPr>
        <w:rPr>
          <w:rFonts w:ascii="Times New Roman" w:hAnsi="Times New Roman"/>
        </w:rPr>
      </w:pPr>
      <w:r w:rsidRPr="002F3FEA">
        <w:rPr>
          <w:rStyle w:val="FootnoteReference"/>
          <w:rFonts w:ascii="Times New Roman" w:hAnsi="Times New Roman"/>
        </w:rPr>
        <w:footnoteRef/>
      </w:r>
      <w:r w:rsidRPr="002F3FEA">
        <w:rPr>
          <w:rFonts w:ascii="Times New Roman" w:hAnsi="Times New Roman"/>
        </w:rPr>
        <w:t xml:space="preserve"> George Kandelaki, “Georgia’s Rose Revolution: A Participant’s Perspective” (United States Institute for Peace - USIP, July 2006), https://www.usip.org/sites/default/files/sr167.pdf, 6.</w:t>
      </w:r>
    </w:p>
  </w:footnote>
  <w:footnote w:id="4">
    <w:p w:rsidR="00952E3B" w:rsidRPr="002F3FEA" w:rsidRDefault="00952E3B" w:rsidP="00050BA9">
      <w:pPr>
        <w:pStyle w:val="FootnoteText"/>
        <w:rPr>
          <w:rFonts w:cs="Times New Roman"/>
        </w:rPr>
      </w:pPr>
      <w:r w:rsidRPr="002F3FEA">
        <w:rPr>
          <w:rStyle w:val="FootnoteReference"/>
          <w:rFonts w:cs="Times New Roman"/>
        </w:rPr>
        <w:footnoteRef/>
      </w:r>
      <w:r w:rsidRPr="002F3FEA">
        <w:rPr>
          <w:rFonts w:cs="Times New Roman"/>
        </w:rPr>
        <w:t xml:space="preserve"> Svante E Cornell, “Russia’s War in Georgia: Causes and Implications for Georgia and </w:t>
      </w:r>
      <w:r>
        <w:rPr>
          <w:rFonts w:cs="Times New Roman"/>
        </w:rPr>
        <w:t xml:space="preserve">the </w:t>
      </w:r>
      <w:proofErr w:type="gramStart"/>
      <w:r>
        <w:rPr>
          <w:rFonts w:cs="Times New Roman"/>
        </w:rPr>
        <w:t>World ”</w:t>
      </w:r>
      <w:proofErr w:type="gramEnd"/>
      <w:r>
        <w:rPr>
          <w:rFonts w:cs="Times New Roman"/>
        </w:rPr>
        <w:t xml:space="preserve">(ISDP, August 2008), </w:t>
      </w:r>
      <w:r w:rsidRPr="002F3FEA">
        <w:rPr>
          <w:rFonts w:cs="Times New Roman"/>
        </w:rPr>
        <w:t>https://www.silkroadstudies.org/resources/pdf/SilkRoadPapers/2008_08_PP_CornellPopjanevskiNillson_Russia-Georgia.pdf, 25.</w:t>
      </w:r>
    </w:p>
  </w:footnote>
  <w:footnote w:id="5">
    <w:p w:rsidR="00952E3B" w:rsidRPr="002F3FEA" w:rsidRDefault="00952E3B" w:rsidP="00050BA9">
      <w:pPr>
        <w:rPr>
          <w:rFonts w:ascii="Times New Roman" w:hAnsi="Times New Roman"/>
        </w:rPr>
      </w:pPr>
      <w:r w:rsidRPr="002F3FEA">
        <w:rPr>
          <w:rStyle w:val="FootnoteReference"/>
          <w:rFonts w:ascii="Times New Roman" w:hAnsi="Times New Roman"/>
        </w:rPr>
        <w:footnoteRef/>
      </w:r>
      <w:r w:rsidRPr="002F3FEA">
        <w:rPr>
          <w:rFonts w:ascii="Times New Roman" w:hAnsi="Times New Roman"/>
        </w:rPr>
        <w:t xml:space="preserve"> Svante E. Cornell and S. Frederick Starr, “The Guns of August 2008,” </w:t>
      </w:r>
      <w:r w:rsidRPr="002F3FEA">
        <w:rPr>
          <w:rFonts w:ascii="Times New Roman" w:hAnsi="Times New Roman"/>
          <w:i/>
          <w:iCs/>
        </w:rPr>
        <w:t>Studies of Central Asia and the Caucasus</w:t>
      </w:r>
      <w:r w:rsidRPr="002F3FEA">
        <w:rPr>
          <w:rFonts w:ascii="Times New Roman" w:hAnsi="Times New Roman"/>
        </w:rPr>
        <w:t xml:space="preserve">, 2015, pp. 3-4, </w:t>
      </w:r>
      <w:hyperlink r:id="rId2" w:history="1">
        <w:r w:rsidRPr="002F3FEA">
          <w:rPr>
            <w:rStyle w:val="Hyperlink"/>
            <w:rFonts w:ascii="Times New Roman" w:hAnsi="Times New Roman"/>
          </w:rPr>
          <w:t>https://doi.org/10.4324/9781315699660</w:t>
        </w:r>
      </w:hyperlink>
      <w:r w:rsidRPr="002F3FEA">
        <w:rPr>
          <w:rFonts w:ascii="Times New Roman" w:hAnsi="Times New Roman"/>
        </w:rPr>
        <w:t>.</w:t>
      </w:r>
    </w:p>
  </w:footnote>
  <w:footnote w:id="6">
    <w:p w:rsidR="00952E3B" w:rsidRPr="002F3FEA" w:rsidRDefault="00952E3B" w:rsidP="00050BA9">
      <w:pPr>
        <w:pStyle w:val="FootnoteText"/>
        <w:rPr>
          <w:rFonts w:cs="Times New Roman"/>
        </w:rPr>
      </w:pPr>
      <w:r w:rsidRPr="002F3FEA">
        <w:rPr>
          <w:rStyle w:val="FootnoteReference"/>
          <w:rFonts w:cs="Times New Roman"/>
        </w:rPr>
        <w:footnoteRef/>
      </w:r>
      <w:r w:rsidRPr="002F3FEA">
        <w:rPr>
          <w:rFonts w:cs="Times New Roman"/>
        </w:rPr>
        <w:t xml:space="preserve"> Jaan Bonstra and Laure Delcour, “A Broken Region: Evaluating EU Policies in the South Caucasus,” </w:t>
      </w:r>
      <w:r w:rsidRPr="002F3FEA">
        <w:rPr>
          <w:rFonts w:cs="Times New Roman"/>
          <w:i/>
          <w:iCs/>
        </w:rPr>
        <w:t>FRIDE</w:t>
      </w:r>
      <w:r w:rsidRPr="002F3FEA">
        <w:rPr>
          <w:rFonts w:cs="Times New Roman"/>
        </w:rPr>
        <w:t>, no. 193 (January 2015): pp. 2-3, https://doi.org/1989-2667.</w:t>
      </w:r>
    </w:p>
  </w:footnote>
  <w:footnote w:id="7">
    <w:p w:rsidR="00952E3B" w:rsidRPr="008B3AED" w:rsidRDefault="00952E3B" w:rsidP="00050BA9">
      <w:pPr>
        <w:pStyle w:val="FootnoteText"/>
        <w:rPr>
          <w:rFonts w:cs="Times New Roman"/>
        </w:rPr>
      </w:pPr>
      <w:r w:rsidRPr="002F3FEA">
        <w:rPr>
          <w:rStyle w:val="FootnoteReference"/>
          <w:rFonts w:cs="Times New Roman"/>
        </w:rPr>
        <w:footnoteRef/>
      </w:r>
      <w:r w:rsidRPr="002F3FEA">
        <w:rPr>
          <w:rFonts w:cs="Times New Roman"/>
        </w:rPr>
        <w:t xml:space="preserve"> </w:t>
      </w:r>
      <w:r w:rsidRPr="008B3AED">
        <w:rPr>
          <w:rFonts w:cs="Times New Roman"/>
        </w:rPr>
        <w:t xml:space="preserve">European Union Delegation to Georgia, “EU ASSISTANCE TO PEOPLE AFFECTED BY CONFLICT IN GEORGIA – </w:t>
      </w:r>
      <w:proofErr w:type="gramStart"/>
      <w:r w:rsidRPr="008B3AED">
        <w:rPr>
          <w:rFonts w:cs="Times New Roman"/>
        </w:rPr>
        <w:t>Overview.,</w:t>
      </w:r>
      <w:proofErr w:type="gramEnd"/>
      <w:r w:rsidRPr="008B3AED">
        <w:rPr>
          <w:rFonts w:cs="Times New Roman"/>
        </w:rPr>
        <w:t>” October 2011, http://www.eeas.europa.eu/archives/delegations/georgia/documents/projects/conflictassistance_2011overview_en.pdf, 5-6.</w:t>
      </w:r>
    </w:p>
  </w:footnote>
  <w:footnote w:id="8">
    <w:p w:rsidR="00952E3B" w:rsidRPr="008B3AED" w:rsidRDefault="00952E3B" w:rsidP="00050BA9">
      <w:pPr>
        <w:rPr>
          <w:rFonts w:ascii="Times New Roman" w:hAnsi="Times New Roman"/>
        </w:rPr>
      </w:pPr>
      <w:r w:rsidRPr="008B3AED">
        <w:rPr>
          <w:rStyle w:val="FootnoteReference"/>
          <w:rFonts w:ascii="Times New Roman" w:hAnsi="Times New Roman"/>
        </w:rPr>
        <w:footnoteRef/>
      </w:r>
      <w:r w:rsidRPr="008B3AED">
        <w:rPr>
          <w:rFonts w:ascii="Times New Roman" w:hAnsi="Times New Roman"/>
        </w:rPr>
        <w:t xml:space="preserve"> Kornely Kakachia and Joseph Larsen, “Mitigating Russia's Borderization of Georgia,” </w:t>
      </w:r>
      <w:r w:rsidRPr="008B3AED">
        <w:rPr>
          <w:rFonts w:ascii="Times New Roman" w:hAnsi="Times New Roman"/>
          <w:i/>
          <w:iCs/>
        </w:rPr>
        <w:t>GIP Policy Papers</w:t>
      </w:r>
      <w:r w:rsidRPr="008B3AED">
        <w:rPr>
          <w:rFonts w:ascii="Times New Roman" w:hAnsi="Times New Roman"/>
        </w:rPr>
        <w:t xml:space="preserve">, December 2017, pp. 10-12, </w:t>
      </w:r>
      <w:hyperlink r:id="rId3" w:history="1">
        <w:r w:rsidRPr="008B3AED">
          <w:rPr>
            <w:rStyle w:val="Hyperlink"/>
            <w:rFonts w:ascii="Times New Roman" w:hAnsi="Times New Roman"/>
          </w:rPr>
          <w:t>https://doi.org/978-9941-449-94-9</w:t>
        </w:r>
      </w:hyperlink>
      <w:r w:rsidRPr="008B3AED">
        <w:rPr>
          <w:rFonts w:ascii="Times New Roman" w:hAnsi="Times New Roman"/>
        </w:rPr>
        <w:t>.</w:t>
      </w:r>
    </w:p>
  </w:footnote>
  <w:footnote w:id="9">
    <w:p w:rsidR="00952E3B" w:rsidRPr="008B3AED" w:rsidRDefault="00952E3B" w:rsidP="00050BA9">
      <w:pPr>
        <w:pStyle w:val="FootnoteText"/>
        <w:rPr>
          <w:rFonts w:cs="Times New Roman"/>
        </w:rPr>
      </w:pPr>
      <w:r w:rsidRPr="008B3AED">
        <w:rPr>
          <w:rStyle w:val="FootnoteReference"/>
          <w:rFonts w:cs="Times New Roman"/>
        </w:rPr>
        <w:footnoteRef/>
      </w:r>
      <w:r w:rsidRPr="008B3AED">
        <w:rPr>
          <w:rFonts w:cs="Times New Roman"/>
        </w:rPr>
        <w:t xml:space="preserve"> Eugene Rumer Julia Gurganus, “Russia's Global Ambitions in Perspective” (Carnegie Endowment for International Peace, February 2019), </w:t>
      </w:r>
      <w:hyperlink r:id="rId4" w:history="1">
        <w:r w:rsidRPr="008B3AED">
          <w:rPr>
            <w:rStyle w:val="Hyperlink"/>
            <w:rFonts w:cs="Times New Roman"/>
          </w:rPr>
          <w:t>https://carnegieendowment.org/2019/02/20/russia-s-global-ambitions-in-perspective-pub-78067</w:t>
        </w:r>
      </w:hyperlink>
      <w:r w:rsidRPr="008B3AED">
        <w:rPr>
          <w:rFonts w:cs="Times New Roman"/>
        </w:rPr>
        <w:t>.</w:t>
      </w:r>
    </w:p>
  </w:footnote>
  <w:footnote w:id="10">
    <w:p w:rsidR="00952E3B" w:rsidRPr="008B3AED" w:rsidRDefault="00952E3B" w:rsidP="00050BA9">
      <w:pPr>
        <w:pStyle w:val="FootnoteText"/>
        <w:rPr>
          <w:rFonts w:cs="Times New Roman"/>
        </w:rPr>
      </w:pPr>
      <w:r w:rsidRPr="008B3AED">
        <w:rPr>
          <w:rStyle w:val="FootnoteReference"/>
          <w:rFonts w:cs="Times New Roman"/>
        </w:rPr>
        <w:footnoteRef/>
      </w:r>
      <w:r w:rsidRPr="008B3AED">
        <w:rPr>
          <w:rFonts w:cs="Times New Roman"/>
        </w:rPr>
        <w:t xml:space="preserve"> Bruno Coppieters, “Https://Www.iss.europa.eu/Content/Eu-and-Georgia-Time-Perspectives-Conflict-Resolution” (ISS Europe, December 1, 2007), https://www.iss.europa.eu/sites/default/files/EUISSFiles/occ70.pdf, 7-9.</w:t>
      </w:r>
    </w:p>
  </w:footnote>
  <w:footnote w:id="11">
    <w:p w:rsidR="00952E3B" w:rsidRPr="008B3AED" w:rsidRDefault="00952E3B" w:rsidP="00050BA9">
      <w:pPr>
        <w:pStyle w:val="FootnoteText"/>
        <w:rPr>
          <w:rFonts w:cs="Times New Roman"/>
        </w:rPr>
      </w:pPr>
      <w:r w:rsidRPr="008B3AED">
        <w:rPr>
          <w:rStyle w:val="FootnoteReference"/>
          <w:rFonts w:cs="Times New Roman"/>
        </w:rPr>
        <w:footnoteRef/>
      </w:r>
      <w:r w:rsidRPr="008B3AED">
        <w:rPr>
          <w:rFonts w:cs="Times New Roman"/>
        </w:rPr>
        <w:t xml:space="preserve"> Thomas de Waal, “A Crucial Election in Georgia” (Carnegie Europe, September 2012), </w:t>
      </w:r>
      <w:hyperlink r:id="rId5" w:history="1">
        <w:r w:rsidRPr="008B3AED">
          <w:rPr>
            <w:rStyle w:val="Hyperlink"/>
            <w:rFonts w:cs="Times New Roman"/>
          </w:rPr>
          <w:t>https://carnegieeurope.eu/2012/09/11/crucial-election-in-georgia-pub-49281</w:t>
        </w:r>
      </w:hyperlink>
      <w:r w:rsidRPr="008B3AED">
        <w:rPr>
          <w:rFonts w:cs="Times New Roman"/>
        </w:rPr>
        <w:t>.</w:t>
      </w:r>
    </w:p>
  </w:footnote>
  <w:footnote w:id="12">
    <w:p w:rsidR="00952E3B" w:rsidRPr="008B3AED" w:rsidRDefault="00952E3B" w:rsidP="00050BA9">
      <w:pPr>
        <w:rPr>
          <w:rFonts w:ascii="Times New Roman" w:hAnsi="Times New Roman"/>
        </w:rPr>
      </w:pPr>
      <w:r w:rsidRPr="008B3AED">
        <w:rPr>
          <w:rStyle w:val="FootnoteReference"/>
          <w:rFonts w:ascii="Times New Roman" w:hAnsi="Times New Roman"/>
        </w:rPr>
        <w:footnoteRef/>
      </w:r>
      <w:r w:rsidRPr="008B3AED">
        <w:rPr>
          <w:rFonts w:ascii="Times New Roman" w:hAnsi="Times New Roman"/>
        </w:rPr>
        <w:t xml:space="preserve"> European Commission, “EU-Georgia Association Agreement Fully Enters into Force,” July 2016, </w:t>
      </w:r>
      <w:hyperlink r:id="rId6" w:history="1">
        <w:r w:rsidRPr="008B3AED">
          <w:rPr>
            <w:rStyle w:val="Hyperlink"/>
            <w:rFonts w:ascii="Times New Roman" w:hAnsi="Times New Roman"/>
          </w:rPr>
          <w:t>https://ec.europa.eu/commission/presscorner/detail/en/IP_16_2369</w:t>
        </w:r>
      </w:hyperlink>
      <w:r w:rsidRPr="008B3AED">
        <w:rPr>
          <w:rFonts w:ascii="Times New Roman" w:hAnsi="Times New Roman"/>
        </w:rPr>
        <w:t>.</w:t>
      </w:r>
    </w:p>
  </w:footnote>
  <w:footnote w:id="13">
    <w:p w:rsidR="00952E3B" w:rsidRPr="008B3AED" w:rsidRDefault="00952E3B" w:rsidP="00050BA9">
      <w:pPr>
        <w:pStyle w:val="FootnoteText"/>
        <w:rPr>
          <w:rFonts w:cs="Times New Roman"/>
        </w:rPr>
      </w:pPr>
      <w:r w:rsidRPr="008B3AED">
        <w:rPr>
          <w:rStyle w:val="FootnoteReference"/>
          <w:rFonts w:cs="Times New Roman"/>
        </w:rPr>
        <w:footnoteRef/>
      </w:r>
      <w:r w:rsidRPr="008B3AED">
        <w:rPr>
          <w:rFonts w:cs="Times New Roman"/>
        </w:rPr>
        <w:t xml:space="preserve"> Sabine Fischer, “The EU’s Non-Recognition and Engagement Policy towards Abkhazia and South Ossetia” (ISS Europe, December 2010), https://www.iss.europa.eu/sites/default/files/EUISSFiles/NREP_report.pdf, 5-7.</w:t>
      </w:r>
    </w:p>
  </w:footnote>
  <w:footnote w:id="14">
    <w:p w:rsidR="00952E3B" w:rsidRPr="008B3AED" w:rsidRDefault="00952E3B" w:rsidP="00050BA9">
      <w:pPr>
        <w:pStyle w:val="FootnoteText"/>
        <w:rPr>
          <w:rFonts w:cs="Times New Roman"/>
        </w:rPr>
      </w:pPr>
      <w:r w:rsidRPr="008B3AED">
        <w:rPr>
          <w:rStyle w:val="FootnoteReference"/>
          <w:rFonts w:cs="Times New Roman"/>
        </w:rPr>
        <w:footnoteRef/>
      </w:r>
      <w:r w:rsidRPr="008B3AED">
        <w:rPr>
          <w:rFonts w:cs="Times New Roman"/>
        </w:rPr>
        <w:t xml:space="preserve"> Svante E. Cornell and S. Frederick Starr, “The Guns of August 2008,” </w:t>
      </w:r>
      <w:r w:rsidRPr="008B3AED">
        <w:rPr>
          <w:rFonts w:cs="Times New Roman"/>
          <w:i/>
          <w:iCs/>
        </w:rPr>
        <w:t>Studies of Central Asia and the Caucasus</w:t>
      </w:r>
      <w:r w:rsidRPr="008B3AED">
        <w:rPr>
          <w:rFonts w:cs="Times New Roman"/>
        </w:rPr>
        <w:t xml:space="preserve">, 2015, pp. 61, </w:t>
      </w:r>
      <w:hyperlink r:id="rId7" w:history="1">
        <w:r w:rsidRPr="008B3AED">
          <w:rPr>
            <w:rStyle w:val="Hyperlink"/>
            <w:rFonts w:cs="Times New Roman"/>
          </w:rPr>
          <w:t>https://doi.org/10.4324/9781315699660</w:t>
        </w:r>
      </w:hyperlink>
      <w:r w:rsidRPr="008B3AED">
        <w:rPr>
          <w:rFonts w:cs="Times New Roman"/>
        </w:rPr>
        <w:t>.</w:t>
      </w:r>
    </w:p>
  </w:footnote>
  <w:footnote w:id="15">
    <w:p w:rsidR="00952E3B" w:rsidRPr="00510E16" w:rsidRDefault="00952E3B" w:rsidP="00050BA9">
      <w:pPr>
        <w:pStyle w:val="FootnoteText"/>
        <w:rPr>
          <w:rFonts w:cs="Times New Roman"/>
        </w:rPr>
      </w:pPr>
      <w:r>
        <w:rPr>
          <w:rStyle w:val="FootnoteReference"/>
        </w:rPr>
        <w:footnoteRef/>
      </w:r>
      <w:r>
        <w:t xml:space="preserve"> </w:t>
      </w:r>
      <w:r w:rsidRPr="00510E16">
        <w:rPr>
          <w:rFonts w:cs="Times New Roman"/>
        </w:rPr>
        <w:t>Sabine Fischer, “The EU’s Non-Recognition and Engagement Policy towards Abkhazia and South Ossetia” (ISS Europe, December 2010), https://www.iss.europa.eu/sites/default/files/EUISSFiles/NREP_report.pdf, 8-9.</w:t>
      </w:r>
    </w:p>
  </w:footnote>
  <w:footnote w:id="16">
    <w:p w:rsidR="00952E3B" w:rsidRPr="00510E16" w:rsidRDefault="00952E3B" w:rsidP="00050BA9">
      <w:pPr>
        <w:rPr>
          <w:rFonts w:ascii="Times New Roman" w:hAnsi="Times New Roman"/>
        </w:rPr>
      </w:pPr>
      <w:r w:rsidRPr="00510E16">
        <w:rPr>
          <w:rStyle w:val="FootnoteReference"/>
          <w:rFonts w:ascii="Times New Roman" w:hAnsi="Times New Roman"/>
        </w:rPr>
        <w:footnoteRef/>
      </w:r>
      <w:r w:rsidRPr="00510E16">
        <w:rPr>
          <w:rFonts w:ascii="Times New Roman" w:hAnsi="Times New Roman"/>
        </w:rPr>
        <w:t xml:space="preserve"> </w:t>
      </w:r>
      <w:r>
        <w:rPr>
          <w:rFonts w:ascii="Times New Roman" w:hAnsi="Times New Roman"/>
        </w:rPr>
        <w:t>Ibid.</w:t>
      </w:r>
    </w:p>
  </w:footnote>
  <w:footnote w:id="17">
    <w:p w:rsidR="00952E3B" w:rsidRPr="0075282E" w:rsidRDefault="00952E3B" w:rsidP="00050BA9">
      <w:pPr>
        <w:rPr>
          <w:rFonts w:ascii="Times New Roman" w:hAnsi="Times New Roman"/>
        </w:rPr>
      </w:pPr>
      <w:r w:rsidRPr="0075282E">
        <w:rPr>
          <w:rStyle w:val="FootnoteReference"/>
          <w:rFonts w:ascii="Times New Roman" w:hAnsi="Times New Roman"/>
        </w:rPr>
        <w:footnoteRef/>
      </w:r>
      <w:r w:rsidRPr="0075282E">
        <w:rPr>
          <w:rFonts w:ascii="Times New Roman" w:hAnsi="Times New Roman"/>
        </w:rPr>
        <w:t xml:space="preserve"> Paul D. Leedy, </w:t>
      </w:r>
      <w:r w:rsidRPr="0075282E">
        <w:rPr>
          <w:rFonts w:ascii="Times New Roman" w:hAnsi="Times New Roman"/>
          <w:i/>
          <w:iCs/>
        </w:rPr>
        <w:t>Practical Research: Planning and Design, 9th Edition</w:t>
      </w:r>
      <w:r w:rsidRPr="0075282E">
        <w:rPr>
          <w:rFonts w:ascii="Times New Roman" w:hAnsi="Times New Roman"/>
        </w:rPr>
        <w:t xml:space="preserve"> (Bellevue, </w:t>
      </w:r>
      <w:proofErr w:type="gramStart"/>
      <w:r w:rsidRPr="0075282E">
        <w:rPr>
          <w:rFonts w:ascii="Times New Roman" w:hAnsi="Times New Roman"/>
        </w:rPr>
        <w:t>WA.:</w:t>
      </w:r>
      <w:proofErr w:type="gramEnd"/>
      <w:r w:rsidRPr="0075282E">
        <w:rPr>
          <w:rFonts w:ascii="Times New Roman" w:hAnsi="Times New Roman"/>
        </w:rPr>
        <w:t xml:space="preserve"> Content Technologies Inc., 2011), https://www.pearson.com/us/higher-education/product/Leedy-Practical-Research-Planning-and-Design-9th-Edition/9780137152421.html, 27-29.</w:t>
      </w:r>
    </w:p>
  </w:footnote>
  <w:footnote w:id="18">
    <w:p w:rsidR="00952E3B" w:rsidRPr="0075282E" w:rsidRDefault="00952E3B" w:rsidP="00050BA9">
      <w:pPr>
        <w:pStyle w:val="FootnoteText"/>
        <w:rPr>
          <w:rFonts w:cs="Times New Roman"/>
        </w:rPr>
      </w:pPr>
      <w:r w:rsidRPr="0075282E">
        <w:rPr>
          <w:rStyle w:val="FootnoteReference"/>
          <w:rFonts w:cs="Times New Roman"/>
        </w:rPr>
        <w:footnoteRef/>
      </w:r>
      <w:r w:rsidRPr="0075282E">
        <w:rPr>
          <w:rFonts w:cs="Times New Roman"/>
        </w:rPr>
        <w:t xml:space="preserve"> Julian Bergmann and Arne Niemann, “Mediating International Conflicts: The European Union as an Effective Peacemaker</w:t>
      </w:r>
      <w:proofErr w:type="gramStart"/>
      <w:r w:rsidRPr="0075282E">
        <w:rPr>
          <w:rFonts w:cs="Times New Roman"/>
        </w:rPr>
        <w:t>?,</w:t>
      </w:r>
      <w:proofErr w:type="gramEnd"/>
      <w:r w:rsidRPr="0075282E">
        <w:rPr>
          <w:rFonts w:cs="Times New Roman"/>
        </w:rPr>
        <w:t xml:space="preserve">” </w:t>
      </w:r>
      <w:r w:rsidRPr="0075282E">
        <w:rPr>
          <w:rFonts w:cs="Times New Roman"/>
          <w:i/>
          <w:iCs/>
        </w:rPr>
        <w:t>JCMS: Journal of Common Market Studies</w:t>
      </w:r>
      <w:r w:rsidRPr="0075282E">
        <w:rPr>
          <w:rFonts w:cs="Times New Roman"/>
        </w:rPr>
        <w:t xml:space="preserve"> 53, no. 5 (December 2015): pp. 957-975, https://doi.org/10.1111/jcms.12254, 961.</w:t>
      </w:r>
    </w:p>
  </w:footnote>
  <w:footnote w:id="19">
    <w:p w:rsidR="00952E3B" w:rsidRPr="00FD6F58" w:rsidRDefault="00952E3B" w:rsidP="00050BA9">
      <w:pPr>
        <w:pStyle w:val="FootnoteText"/>
        <w:rPr>
          <w:rFonts w:cs="Times New Roman"/>
        </w:rPr>
      </w:pPr>
      <w:r w:rsidRPr="00FD6F58">
        <w:rPr>
          <w:rStyle w:val="FootnoteReference"/>
          <w:rFonts w:cs="Times New Roman"/>
        </w:rPr>
        <w:footnoteRef/>
      </w:r>
      <w:r w:rsidRPr="00FD6F58">
        <w:rPr>
          <w:rFonts w:cs="Times New Roman"/>
        </w:rPr>
        <w:t xml:space="preserve"> Alan Bryman, </w:t>
      </w:r>
      <w:r w:rsidRPr="00FD6F58">
        <w:rPr>
          <w:rFonts w:cs="Times New Roman"/>
          <w:i/>
          <w:iCs/>
        </w:rPr>
        <w:t>Social Research Methods - 5th Edition</w:t>
      </w:r>
      <w:r w:rsidRPr="00FD6F58">
        <w:rPr>
          <w:rFonts w:cs="Times New Roman"/>
        </w:rPr>
        <w:t xml:space="preserve"> (Oxford: OXFORD University Press, 2015), https://global.oup.com/ukhe/product/social-research-methods-9780199689453?cc=ge&amp;lang=en&amp;, p.32.</w:t>
      </w:r>
    </w:p>
  </w:footnote>
  <w:footnote w:id="20">
    <w:p w:rsidR="00952E3B" w:rsidRPr="00FD6F58" w:rsidRDefault="00952E3B" w:rsidP="00050BA9">
      <w:pPr>
        <w:pStyle w:val="FootnoteText"/>
        <w:rPr>
          <w:rFonts w:cs="Times New Roman"/>
        </w:rPr>
      </w:pPr>
      <w:r w:rsidRPr="00FD6F58">
        <w:rPr>
          <w:rStyle w:val="FootnoteReference"/>
          <w:rFonts w:cs="Times New Roman"/>
        </w:rPr>
        <w:footnoteRef/>
      </w:r>
      <w:r w:rsidRPr="00FD6F58">
        <w:rPr>
          <w:rFonts w:cs="Times New Roman"/>
        </w:rPr>
        <w:t xml:space="preserve"> Moses, Jonathon W. &amp; Torbjørn L. Knutsen, 2007. Ways of Knowing: Competing Methodologies in Social and Political Research.,” </w:t>
      </w:r>
      <w:r w:rsidRPr="00FD6F58">
        <w:rPr>
          <w:rFonts w:cs="Times New Roman"/>
          <w:i/>
          <w:iCs/>
        </w:rPr>
        <w:t>Journal of Peace Research</w:t>
      </w:r>
      <w:r w:rsidRPr="00FD6F58">
        <w:rPr>
          <w:rFonts w:cs="Times New Roman"/>
        </w:rPr>
        <w:t xml:space="preserve"> 46, no. 2 (2009): pp. 288-289, https://doi.org/10.1177/00223433090460020810, 24.</w:t>
      </w:r>
    </w:p>
  </w:footnote>
  <w:footnote w:id="21">
    <w:p w:rsidR="00952E3B" w:rsidRPr="00FD6F58" w:rsidRDefault="00952E3B" w:rsidP="00050BA9">
      <w:pPr>
        <w:pStyle w:val="FootnoteText"/>
        <w:rPr>
          <w:rFonts w:cs="Times New Roman"/>
        </w:rPr>
      </w:pPr>
      <w:r w:rsidRPr="00FD6F58">
        <w:rPr>
          <w:rStyle w:val="FootnoteReference"/>
          <w:rFonts w:cs="Times New Roman"/>
        </w:rPr>
        <w:footnoteRef/>
      </w:r>
      <w:r w:rsidRPr="00FD6F58">
        <w:rPr>
          <w:rFonts w:cs="Times New Roman"/>
        </w:rPr>
        <w:t xml:space="preserve"> Alan Bryman, </w:t>
      </w:r>
      <w:r w:rsidRPr="00FD6F58">
        <w:rPr>
          <w:rFonts w:cs="Times New Roman"/>
          <w:i/>
          <w:iCs/>
        </w:rPr>
        <w:t>Social Research Methods - 5th Edition</w:t>
      </w:r>
      <w:r w:rsidRPr="00FD6F58">
        <w:rPr>
          <w:rFonts w:cs="Times New Roman"/>
        </w:rPr>
        <w:t xml:space="preserve"> (Oxford: OXFORD University Press, 2015), https://global.oup.com/ukhe/product/social-research-methods-9780199689453?cc=ge&amp;lang=en&amp;, p.34.</w:t>
      </w:r>
    </w:p>
  </w:footnote>
  <w:footnote w:id="22">
    <w:p w:rsidR="00952E3B" w:rsidRPr="00FD6F58" w:rsidRDefault="00952E3B" w:rsidP="00050BA9">
      <w:pPr>
        <w:rPr>
          <w:rFonts w:ascii="Times New Roman" w:hAnsi="Times New Roman"/>
        </w:rPr>
      </w:pPr>
      <w:r w:rsidRPr="00FD6F58">
        <w:rPr>
          <w:rStyle w:val="FootnoteReference"/>
          <w:rFonts w:ascii="Times New Roman" w:hAnsi="Times New Roman"/>
        </w:rPr>
        <w:footnoteRef/>
      </w:r>
      <w:r w:rsidRPr="00FD6F58">
        <w:rPr>
          <w:rFonts w:ascii="Times New Roman" w:hAnsi="Times New Roman"/>
        </w:rPr>
        <w:t xml:space="preserve"> Robert K. Yin, </w:t>
      </w:r>
      <w:r w:rsidRPr="00FD6F58">
        <w:rPr>
          <w:rFonts w:ascii="Times New Roman" w:hAnsi="Times New Roman"/>
          <w:i/>
          <w:iCs/>
        </w:rPr>
        <w:t>Case Study Research: Design and Methods</w:t>
      </w:r>
      <w:r w:rsidRPr="00FD6F58">
        <w:rPr>
          <w:rFonts w:ascii="Times New Roman" w:hAnsi="Times New Roman"/>
        </w:rPr>
        <w:t xml:space="preserve"> (Thousand Oaks: Sage, 2009), 17.</w:t>
      </w:r>
    </w:p>
  </w:footnote>
  <w:footnote w:id="23">
    <w:p w:rsidR="00952E3B" w:rsidRPr="00FD6F58" w:rsidRDefault="00952E3B" w:rsidP="00050BA9">
      <w:pPr>
        <w:pStyle w:val="FootnoteText"/>
        <w:rPr>
          <w:rFonts w:cs="Times New Roman"/>
        </w:rPr>
      </w:pPr>
      <w:r w:rsidRPr="00FD6F58">
        <w:rPr>
          <w:rStyle w:val="FootnoteReference"/>
          <w:rFonts w:cs="Times New Roman"/>
        </w:rPr>
        <w:footnoteRef/>
      </w:r>
      <w:r w:rsidRPr="00FD6F58">
        <w:rPr>
          <w:rFonts w:cs="Times New Roman"/>
        </w:rPr>
        <w:t xml:space="preserve"> Alan Bryman, </w:t>
      </w:r>
      <w:r w:rsidRPr="00FD6F58">
        <w:rPr>
          <w:rFonts w:cs="Times New Roman"/>
          <w:i/>
          <w:iCs/>
        </w:rPr>
        <w:t>Social Research Methods - 5th Edition</w:t>
      </w:r>
      <w:r w:rsidRPr="00FD6F58">
        <w:rPr>
          <w:rFonts w:cs="Times New Roman"/>
        </w:rPr>
        <w:t xml:space="preserve"> (Oxford: OXFORD University Press, 2015), https://global.oup.com/ukhe/product/social-research-methods-9780199689453?cc=ge&amp;lang=en&amp;, p.66.</w:t>
      </w:r>
    </w:p>
  </w:footnote>
  <w:footnote w:id="24">
    <w:p w:rsidR="00952E3B" w:rsidRDefault="00952E3B" w:rsidP="00050BA9">
      <w:pPr>
        <w:pStyle w:val="FootnoteText"/>
      </w:pPr>
      <w:r w:rsidRPr="00FD6F58">
        <w:rPr>
          <w:rStyle w:val="FootnoteReference"/>
          <w:rFonts w:cs="Times New Roman"/>
        </w:rPr>
        <w:footnoteRef/>
      </w:r>
      <w:r w:rsidRPr="00FD6F58">
        <w:rPr>
          <w:rFonts w:cs="Times New Roman"/>
        </w:rPr>
        <w:t xml:space="preserve"> Robert K. Yin, </w:t>
      </w:r>
      <w:r w:rsidRPr="00FD6F58">
        <w:rPr>
          <w:rFonts w:cs="Times New Roman"/>
          <w:i/>
          <w:iCs/>
        </w:rPr>
        <w:t>Case Study Research: Design and Methods</w:t>
      </w:r>
      <w:r w:rsidRPr="00FD6F58">
        <w:rPr>
          <w:rFonts w:cs="Times New Roman"/>
        </w:rPr>
        <w:t xml:space="preserve"> (Thousand Oaks: Sage, 2009), 12.</w:t>
      </w:r>
    </w:p>
  </w:footnote>
  <w:footnote w:id="25">
    <w:p w:rsidR="00952E3B" w:rsidRPr="00FD6F58" w:rsidRDefault="00952E3B" w:rsidP="00050BA9">
      <w:pPr>
        <w:rPr>
          <w:rFonts w:ascii="Times New Roman" w:hAnsi="Times New Roman"/>
        </w:rPr>
      </w:pPr>
      <w:r>
        <w:rPr>
          <w:rStyle w:val="FootnoteReference"/>
        </w:rPr>
        <w:footnoteRef/>
      </w:r>
      <w:r>
        <w:t xml:space="preserve"> </w:t>
      </w:r>
      <w:r w:rsidRPr="00FD6F58">
        <w:rPr>
          <w:rFonts w:ascii="Times New Roman" w:hAnsi="Times New Roman"/>
        </w:rPr>
        <w:t xml:space="preserve">Robert K. Yin, </w:t>
      </w:r>
      <w:r w:rsidRPr="00FD6F58">
        <w:rPr>
          <w:rFonts w:ascii="Times New Roman" w:hAnsi="Times New Roman"/>
          <w:i/>
          <w:iCs/>
        </w:rPr>
        <w:t>Applications of Case Study Research</w:t>
      </w:r>
      <w:r w:rsidRPr="00FD6F58">
        <w:rPr>
          <w:rFonts w:ascii="Times New Roman" w:hAnsi="Times New Roman"/>
        </w:rPr>
        <w:t xml:space="preserve"> (London: SAGE, 2003), 11-12.</w:t>
      </w:r>
    </w:p>
  </w:footnote>
  <w:footnote w:id="26">
    <w:p w:rsidR="00952E3B" w:rsidRDefault="00952E3B" w:rsidP="00050BA9">
      <w:pPr>
        <w:pStyle w:val="FootnoteText"/>
      </w:pPr>
      <w:r w:rsidRPr="00FD6F58">
        <w:rPr>
          <w:rStyle w:val="FootnoteReference"/>
        </w:rPr>
        <w:footnoteRef/>
      </w:r>
      <w:r w:rsidRPr="00FD6F58">
        <w:t xml:space="preserve"> </w:t>
      </w:r>
      <w:r w:rsidRPr="00FD6F58">
        <w:rPr>
          <w:rFonts w:cs="Times New Roman"/>
        </w:rPr>
        <w:t xml:space="preserve">Alan Bryman, </w:t>
      </w:r>
      <w:r w:rsidRPr="00FD6F58">
        <w:rPr>
          <w:rFonts w:cs="Times New Roman"/>
          <w:i/>
          <w:iCs/>
        </w:rPr>
        <w:t>Social Research Methods - 5th Edition</w:t>
      </w:r>
      <w:r w:rsidRPr="00FD6F58">
        <w:rPr>
          <w:rFonts w:cs="Times New Roman"/>
        </w:rPr>
        <w:t xml:space="preserve"> (Oxford: OXFORD University Press, 2015), https://global.oup.com/ukhe/product/social-research-methods-9780199689453?cc=ge&amp;lang=en&amp;, 35.</w:t>
      </w:r>
    </w:p>
  </w:footnote>
  <w:footnote w:id="27">
    <w:p w:rsidR="00952E3B" w:rsidRPr="00FD6F58" w:rsidRDefault="00952E3B" w:rsidP="00050BA9">
      <w:pPr>
        <w:pStyle w:val="FootnoteText"/>
      </w:pPr>
      <w:r>
        <w:rPr>
          <w:rStyle w:val="FootnoteReference"/>
        </w:rPr>
        <w:footnoteRef/>
      </w:r>
      <w:r>
        <w:t xml:space="preserve"> </w:t>
      </w:r>
      <w:r w:rsidRPr="00FD6F58">
        <w:rPr>
          <w:rFonts w:cs="Times New Roman"/>
        </w:rPr>
        <w:t xml:space="preserve">Council of the European Union, “EU Cooperation on Security and Defence” (European Council, June 17, 2020), </w:t>
      </w:r>
      <w:hyperlink r:id="rId8" w:history="1">
        <w:r w:rsidRPr="00FD6F58">
          <w:rPr>
            <w:rStyle w:val="Hyperlink"/>
            <w:rFonts w:cs="Times New Roman"/>
          </w:rPr>
          <w:t>https://www.consilium.europa.eu/en/policies/defence-security/</w:t>
        </w:r>
      </w:hyperlink>
      <w:r w:rsidRPr="00FD6F58">
        <w:rPr>
          <w:rFonts w:cs="Times New Roman"/>
        </w:rPr>
        <w:t>.</w:t>
      </w:r>
    </w:p>
  </w:footnote>
  <w:footnote w:id="28">
    <w:p w:rsidR="00952E3B" w:rsidRPr="00FD6F58" w:rsidRDefault="00952E3B" w:rsidP="00050BA9">
      <w:pPr>
        <w:pStyle w:val="FootnoteText"/>
        <w:rPr>
          <w:rFonts w:cs="Times New Roman"/>
        </w:rPr>
      </w:pPr>
      <w:r w:rsidRPr="00FD6F58">
        <w:rPr>
          <w:rStyle w:val="FootnoteReference"/>
        </w:rPr>
        <w:footnoteRef/>
      </w:r>
      <w:r w:rsidRPr="00FD6F58">
        <w:t xml:space="preserve"> </w:t>
      </w:r>
      <w:r w:rsidRPr="00FD6F58">
        <w:rPr>
          <w:rFonts w:cs="Times New Roman"/>
        </w:rPr>
        <w:t xml:space="preserve">Jacob Bercovitch and Patrick M Regan, “THE STRUCTURE OF INTERNATIONAL CONFLICT MANAGEMENT: AN ANALYSIS OF THE EFFECTS OF INTRACTABILITY AND MEDIATION,” </w:t>
      </w:r>
      <w:r w:rsidRPr="00FD6F58">
        <w:rPr>
          <w:rFonts w:cs="Times New Roman"/>
          <w:i/>
          <w:iCs/>
        </w:rPr>
        <w:t>International Journal of Peace Studies</w:t>
      </w:r>
      <w:r w:rsidRPr="00FD6F58">
        <w:rPr>
          <w:rFonts w:cs="Times New Roman"/>
        </w:rPr>
        <w:t xml:space="preserve"> 4, no. 1 (1999): pp. 1-19, 3-4.</w:t>
      </w:r>
    </w:p>
  </w:footnote>
  <w:footnote w:id="29">
    <w:p w:rsidR="00952E3B" w:rsidRPr="00FD6F58" w:rsidRDefault="00952E3B" w:rsidP="00B865C6">
      <w:pPr>
        <w:rPr>
          <w:rFonts w:ascii="Times New Roman" w:hAnsi="Times New Roman"/>
        </w:rPr>
      </w:pPr>
      <w:r w:rsidRPr="00FD6F58">
        <w:rPr>
          <w:rStyle w:val="FootnoteReference"/>
          <w:rFonts w:ascii="Times New Roman" w:hAnsi="Times New Roman"/>
        </w:rPr>
        <w:footnoteRef/>
      </w:r>
      <w:r w:rsidRPr="00FD6F58">
        <w:rPr>
          <w:rFonts w:ascii="Times New Roman" w:hAnsi="Times New Roman"/>
        </w:rPr>
        <w:t xml:space="preserve"> </w:t>
      </w:r>
      <w:r>
        <w:rPr>
          <w:rFonts w:ascii="Times New Roman" w:hAnsi="Times New Roman"/>
        </w:rPr>
        <w:t xml:space="preserve">Jacob, </w:t>
      </w:r>
      <w:proofErr w:type="gramStart"/>
      <w:r>
        <w:rPr>
          <w:rFonts w:ascii="Times New Roman" w:hAnsi="Times New Roman"/>
        </w:rPr>
        <w:t>Bercovitch</w:t>
      </w:r>
      <w:r w:rsidRPr="00FD6F58">
        <w:rPr>
          <w:rFonts w:ascii="Times New Roman" w:hAnsi="Times New Roman"/>
        </w:rPr>
        <w:t>.,</w:t>
      </w:r>
      <w:proofErr w:type="gramEnd"/>
      <w:r w:rsidRPr="00FD6F58">
        <w:rPr>
          <w:rFonts w:ascii="Times New Roman" w:hAnsi="Times New Roman"/>
        </w:rPr>
        <w:t xml:space="preserve"> Mediation Success or Failure: A Search For the Elusive Criteria. </w:t>
      </w:r>
      <w:r w:rsidRPr="00FD6F58">
        <w:rPr>
          <w:rFonts w:ascii="Times New Roman" w:hAnsi="Times New Roman"/>
          <w:i/>
          <w:iCs/>
        </w:rPr>
        <w:t xml:space="preserve">Cardozo Journal of Conflict </w:t>
      </w:r>
      <w:proofErr w:type="gramStart"/>
      <w:r w:rsidRPr="00FD6F58">
        <w:rPr>
          <w:rFonts w:ascii="Times New Roman" w:hAnsi="Times New Roman"/>
          <w:i/>
          <w:iCs/>
        </w:rPr>
        <w:t xml:space="preserve">Resolution </w:t>
      </w:r>
      <w:r w:rsidRPr="00FD6F58">
        <w:rPr>
          <w:rFonts w:ascii="Times New Roman" w:hAnsi="Times New Roman"/>
        </w:rPr>
        <w:t>,</w:t>
      </w:r>
      <w:proofErr w:type="gramEnd"/>
      <w:r w:rsidRPr="00FD6F58">
        <w:rPr>
          <w:rFonts w:ascii="Times New Roman" w:hAnsi="Times New Roman"/>
        </w:rPr>
        <w:t xml:space="preserve"> 7, (2006), pp. 289-302.</w:t>
      </w:r>
    </w:p>
  </w:footnote>
  <w:footnote w:id="30">
    <w:p w:rsidR="00952E3B" w:rsidRPr="00E00E7C" w:rsidRDefault="00952E3B" w:rsidP="00B865C6">
      <w:pPr>
        <w:rPr>
          <w:rFonts w:ascii="Times New Roman" w:hAnsi="Times New Roman"/>
          <w:sz w:val="16"/>
          <w:szCs w:val="16"/>
        </w:rPr>
      </w:pPr>
      <w:r w:rsidRPr="00FD6F58">
        <w:rPr>
          <w:rStyle w:val="FootnoteReference"/>
          <w:rFonts w:ascii="Times New Roman" w:hAnsi="Times New Roman"/>
        </w:rPr>
        <w:footnoteRef/>
      </w:r>
      <w:r w:rsidRPr="00FD6F58">
        <w:rPr>
          <w:rFonts w:ascii="Times New Roman" w:hAnsi="Times New Roman"/>
        </w:rPr>
        <w:t xml:space="preserve"> Daniel C. Thomas., Making EU Foreign Policy – National Preferences, European Norms and Common Policies. (Basingstoke: Palgrave Macmillan., 2011), p.40</w:t>
      </w:r>
    </w:p>
  </w:footnote>
  <w:footnote w:id="31">
    <w:p w:rsidR="00952E3B" w:rsidRPr="004F7722" w:rsidRDefault="00952E3B" w:rsidP="00050BA9">
      <w:pPr>
        <w:pStyle w:val="FootnoteText"/>
        <w:rPr>
          <w:rFonts w:cs="Times New Roman"/>
        </w:rPr>
      </w:pPr>
      <w:r w:rsidRPr="004F7722">
        <w:rPr>
          <w:rStyle w:val="FootnoteReference"/>
          <w:rFonts w:cs="Times New Roman"/>
        </w:rPr>
        <w:footnoteRef/>
      </w:r>
      <w:r w:rsidRPr="004F7722">
        <w:rPr>
          <w:rFonts w:cs="Times New Roman"/>
        </w:rPr>
        <w:t xml:space="preserve"> Whitman, R. &amp; Wolff, S., </w:t>
      </w:r>
      <w:r w:rsidRPr="004F7722">
        <w:rPr>
          <w:rFonts w:cs="Times New Roman"/>
          <w:i/>
          <w:iCs/>
        </w:rPr>
        <w:t xml:space="preserve">The European Neighborhood Policy in Perspective: Context, Implementation and </w:t>
      </w:r>
      <w:proofErr w:type="gramStart"/>
      <w:r w:rsidRPr="004F7722">
        <w:rPr>
          <w:rFonts w:cs="Times New Roman"/>
          <w:i/>
          <w:iCs/>
        </w:rPr>
        <w:t xml:space="preserve">Impact </w:t>
      </w:r>
      <w:r w:rsidRPr="004F7722">
        <w:rPr>
          <w:rFonts w:cs="Times New Roman"/>
        </w:rPr>
        <w:t>.</w:t>
      </w:r>
      <w:proofErr w:type="gramEnd"/>
      <w:r w:rsidRPr="004F7722">
        <w:rPr>
          <w:rFonts w:cs="Times New Roman"/>
        </w:rPr>
        <w:t xml:space="preserve"> (Basingstoke: Palgrave Macmillan.,2012), p.37</w:t>
      </w:r>
    </w:p>
  </w:footnote>
  <w:footnote w:id="32">
    <w:p w:rsidR="00952E3B" w:rsidRPr="004F7722" w:rsidRDefault="00952E3B" w:rsidP="00050BA9">
      <w:pPr>
        <w:rPr>
          <w:rFonts w:ascii="Times New Roman" w:hAnsi="Times New Roman"/>
        </w:rPr>
      </w:pPr>
      <w:r w:rsidRPr="004F7722">
        <w:rPr>
          <w:rStyle w:val="FootnoteReference"/>
          <w:rFonts w:ascii="Times New Roman" w:hAnsi="Times New Roman"/>
        </w:rPr>
        <w:footnoteRef/>
      </w:r>
      <w:r w:rsidRPr="004F7722">
        <w:rPr>
          <w:rFonts w:ascii="Times New Roman" w:hAnsi="Times New Roman"/>
        </w:rPr>
        <w:t xml:space="preserve"> Bercovitch, </w:t>
      </w:r>
      <w:proofErr w:type="gramStart"/>
      <w:r w:rsidRPr="004F7722">
        <w:rPr>
          <w:rFonts w:ascii="Times New Roman" w:hAnsi="Times New Roman"/>
        </w:rPr>
        <w:t>Jacob.,</w:t>
      </w:r>
      <w:proofErr w:type="gramEnd"/>
      <w:r w:rsidRPr="004F7722">
        <w:rPr>
          <w:rFonts w:ascii="Times New Roman" w:hAnsi="Times New Roman"/>
        </w:rPr>
        <w:t xml:space="preserve"> Mediation Success or Failure: A Search For the Elusive Criteria.</w:t>
      </w:r>
      <w:r w:rsidRPr="004F7722">
        <w:rPr>
          <w:rFonts w:ascii="Times New Roman" w:hAnsi="Times New Roman"/>
          <w:i/>
          <w:iCs/>
        </w:rPr>
        <w:t xml:space="preserve">Cardozo Journal of Conflict Resolution </w:t>
      </w:r>
      <w:r w:rsidRPr="004F7722">
        <w:rPr>
          <w:rFonts w:ascii="Times New Roman" w:hAnsi="Times New Roman"/>
        </w:rPr>
        <w:t>, 7, (2006), pp.289-302.</w:t>
      </w:r>
    </w:p>
  </w:footnote>
  <w:footnote w:id="33">
    <w:p w:rsidR="00952E3B" w:rsidRPr="004F7722" w:rsidRDefault="00952E3B" w:rsidP="00050BA9">
      <w:pPr>
        <w:pStyle w:val="FootnoteText"/>
        <w:rPr>
          <w:rFonts w:cs="Times New Roman"/>
        </w:rPr>
      </w:pPr>
      <w:r w:rsidRPr="004F7722">
        <w:rPr>
          <w:rStyle w:val="FootnoteReference"/>
          <w:rFonts w:cs="Times New Roman"/>
        </w:rPr>
        <w:footnoteRef/>
      </w:r>
      <w:r w:rsidRPr="004F7722">
        <w:rPr>
          <w:rFonts w:cs="Times New Roman"/>
        </w:rPr>
        <w:t xml:space="preserve"> </w:t>
      </w:r>
      <w:r>
        <w:rPr>
          <w:rFonts w:cs="Times New Roman"/>
        </w:rPr>
        <w:t>Ibid.</w:t>
      </w:r>
    </w:p>
  </w:footnote>
  <w:footnote w:id="34">
    <w:p w:rsidR="00952E3B" w:rsidRPr="004F7722" w:rsidRDefault="00952E3B" w:rsidP="00050BA9">
      <w:pPr>
        <w:pStyle w:val="FootnoteText"/>
        <w:rPr>
          <w:rFonts w:cs="Times New Roman"/>
        </w:rPr>
      </w:pPr>
      <w:r w:rsidRPr="004F7722">
        <w:rPr>
          <w:rStyle w:val="FootnoteReference"/>
        </w:rPr>
        <w:footnoteRef/>
      </w:r>
      <w:r w:rsidRPr="004F7722">
        <w:t xml:space="preserve"> </w:t>
      </w:r>
      <w:r>
        <w:rPr>
          <w:rFonts w:cs="Times New Roman"/>
        </w:rPr>
        <w:t>Ibid.</w:t>
      </w:r>
    </w:p>
  </w:footnote>
  <w:footnote w:id="35">
    <w:p w:rsidR="00952E3B" w:rsidRPr="004F7722" w:rsidRDefault="00952E3B" w:rsidP="00050BA9">
      <w:pPr>
        <w:pStyle w:val="FootnoteText"/>
        <w:rPr>
          <w:rFonts w:cs="Times New Roman"/>
        </w:rPr>
      </w:pPr>
      <w:r w:rsidRPr="004F7722">
        <w:rPr>
          <w:rStyle w:val="FootnoteReference"/>
          <w:rFonts w:cs="Times New Roman"/>
        </w:rPr>
        <w:footnoteRef/>
      </w:r>
      <w:r w:rsidRPr="004F7722">
        <w:rPr>
          <w:rFonts w:cs="Times New Roman"/>
        </w:rPr>
        <w:t xml:space="preserve"> </w:t>
      </w:r>
      <w:r>
        <w:rPr>
          <w:rFonts w:cs="Times New Roman"/>
        </w:rPr>
        <w:t>Ibid.</w:t>
      </w:r>
    </w:p>
  </w:footnote>
  <w:footnote w:id="36">
    <w:p w:rsidR="00952E3B" w:rsidRPr="004F7722" w:rsidRDefault="00952E3B" w:rsidP="00050BA9">
      <w:pPr>
        <w:pStyle w:val="FootnoteText"/>
        <w:rPr>
          <w:rFonts w:cs="Times New Roman"/>
        </w:rPr>
      </w:pPr>
      <w:r w:rsidRPr="004F7722">
        <w:rPr>
          <w:rStyle w:val="FootnoteReference"/>
          <w:rFonts w:cs="Times New Roman"/>
        </w:rPr>
        <w:footnoteRef/>
      </w:r>
      <w:r w:rsidRPr="004F7722">
        <w:rPr>
          <w:rFonts w:cs="Times New Roman"/>
        </w:rPr>
        <w:t xml:space="preserve"> </w:t>
      </w:r>
      <w:r>
        <w:rPr>
          <w:rFonts w:cs="Times New Roman"/>
        </w:rPr>
        <w:t>Ibid.</w:t>
      </w:r>
    </w:p>
  </w:footnote>
  <w:footnote w:id="37">
    <w:p w:rsidR="00952E3B" w:rsidRPr="00112D65" w:rsidRDefault="00952E3B" w:rsidP="00112D65">
      <w:pPr>
        <w:rPr>
          <w:rFonts w:ascii="Times New Roman" w:hAnsi="Times New Roman"/>
          <w:sz w:val="16"/>
          <w:szCs w:val="16"/>
        </w:rPr>
      </w:pPr>
      <w:r w:rsidRPr="004F7722">
        <w:rPr>
          <w:rStyle w:val="FootnoteReference"/>
          <w:rFonts w:ascii="Times New Roman" w:hAnsi="Times New Roman"/>
        </w:rPr>
        <w:footnoteRef/>
      </w:r>
      <w:r w:rsidRPr="004F7722">
        <w:rPr>
          <w:rFonts w:ascii="Times New Roman" w:hAnsi="Times New Roman"/>
        </w:rPr>
        <w:t xml:space="preserve"> Derrick V. Frazier, “Third-party intermediaries and negotiated settlements: 1946-2000”. </w:t>
      </w:r>
      <w:proofErr w:type="gramStart"/>
      <w:r w:rsidRPr="004F7722">
        <w:rPr>
          <w:rFonts w:ascii="Times New Roman" w:hAnsi="Times New Roman"/>
        </w:rPr>
        <w:t>,</w:t>
      </w:r>
      <w:r w:rsidRPr="004F7722">
        <w:rPr>
          <w:rFonts w:ascii="Times New Roman" w:hAnsi="Times New Roman"/>
          <w:i/>
          <w:iCs/>
        </w:rPr>
        <w:t>International</w:t>
      </w:r>
      <w:proofErr w:type="gramEnd"/>
      <w:r w:rsidRPr="004F7722">
        <w:rPr>
          <w:rFonts w:ascii="Times New Roman" w:hAnsi="Times New Roman"/>
          <w:i/>
          <w:iCs/>
        </w:rPr>
        <w:t xml:space="preserve"> Conflict Mediation: New Approaches and Findings </w:t>
      </w:r>
      <w:r w:rsidRPr="004F7722">
        <w:rPr>
          <w:rFonts w:ascii="Times New Roman" w:hAnsi="Times New Roman"/>
        </w:rPr>
        <w:t>. (NYC: Routledge.,2009),p.52</w:t>
      </w:r>
    </w:p>
  </w:footnote>
  <w:footnote w:id="38">
    <w:p w:rsidR="00952E3B" w:rsidRPr="003F5A67" w:rsidRDefault="00952E3B" w:rsidP="00112D65">
      <w:pPr>
        <w:rPr>
          <w:rFonts w:ascii="Times New Roman" w:hAnsi="Times New Roman"/>
          <w:i/>
          <w:iCs/>
        </w:rPr>
      </w:pPr>
      <w:r w:rsidRPr="003F5A67">
        <w:rPr>
          <w:rStyle w:val="FootnoteReference"/>
          <w:rFonts w:ascii="Times New Roman" w:hAnsi="Times New Roman"/>
        </w:rPr>
        <w:footnoteRef/>
      </w:r>
      <w:r w:rsidRPr="003F5A67">
        <w:rPr>
          <w:rFonts w:ascii="Times New Roman" w:hAnsi="Times New Roman"/>
        </w:rPr>
        <w:t xml:space="preserve"> Caspersen, Nina. (2012), </w:t>
      </w:r>
      <w:r w:rsidRPr="003F5A67">
        <w:rPr>
          <w:rFonts w:ascii="Times New Roman" w:hAnsi="Times New Roman"/>
          <w:i/>
          <w:iCs/>
        </w:rPr>
        <w:t>Unrecognized States. The struggle for sovereignty in the modern international system</w:t>
      </w:r>
      <w:r w:rsidRPr="003F5A67">
        <w:rPr>
          <w:rFonts w:ascii="Times New Roman" w:hAnsi="Times New Roman"/>
        </w:rPr>
        <w:t>, Cambridge, Polity Press., p.3.</w:t>
      </w:r>
    </w:p>
  </w:footnote>
  <w:footnote w:id="39">
    <w:p w:rsidR="00952E3B" w:rsidRPr="003F5A67" w:rsidRDefault="00952E3B" w:rsidP="00050BA9">
      <w:pPr>
        <w:pStyle w:val="FootnoteText"/>
        <w:rPr>
          <w:rFonts w:cs="Times New Roman"/>
        </w:rPr>
      </w:pPr>
      <w:r w:rsidRPr="003F5A67">
        <w:rPr>
          <w:rStyle w:val="FootnoteReference"/>
          <w:rFonts w:cs="Times New Roman"/>
        </w:rPr>
        <w:footnoteRef/>
      </w:r>
      <w:r w:rsidRPr="003F5A67">
        <w:rPr>
          <w:rFonts w:cs="Times New Roman"/>
        </w:rPr>
        <w:t xml:space="preserve"> </w:t>
      </w:r>
      <w:r>
        <w:rPr>
          <w:rFonts w:cs="Times New Roman"/>
        </w:rPr>
        <w:t>Ibid.5.</w:t>
      </w:r>
    </w:p>
  </w:footnote>
  <w:footnote w:id="40">
    <w:p w:rsidR="00952E3B" w:rsidRPr="003F5A67" w:rsidRDefault="00952E3B" w:rsidP="00050BA9">
      <w:pPr>
        <w:autoSpaceDE w:val="0"/>
        <w:autoSpaceDN w:val="0"/>
        <w:adjustRightInd w:val="0"/>
        <w:rPr>
          <w:rFonts w:ascii="Times New Roman" w:eastAsia="TimesNewRomanPSMT" w:hAnsi="Times New Roman"/>
          <w:i/>
          <w:iCs/>
        </w:rPr>
      </w:pPr>
      <w:r w:rsidRPr="003F5A67">
        <w:rPr>
          <w:rStyle w:val="FootnoteReference"/>
          <w:rFonts w:ascii="Times New Roman" w:hAnsi="Times New Roman"/>
        </w:rPr>
        <w:footnoteRef/>
      </w:r>
      <w:r w:rsidRPr="003F5A67">
        <w:rPr>
          <w:rFonts w:ascii="Times New Roman" w:hAnsi="Times New Roman"/>
        </w:rPr>
        <w:t xml:space="preserve"> </w:t>
      </w:r>
      <w:r w:rsidRPr="003F5A67">
        <w:rPr>
          <w:rFonts w:ascii="Times New Roman" w:eastAsia="TimesNewRomanPSMT" w:hAnsi="Times New Roman"/>
        </w:rPr>
        <w:t xml:space="preserve">Kolstø, Pal. (2006), “The sustainability and Future of Unrecognized Quasi-States”, </w:t>
      </w:r>
      <w:r w:rsidRPr="003F5A67">
        <w:rPr>
          <w:rFonts w:ascii="Times New Roman" w:eastAsia="TimesNewRomanPSMT" w:hAnsi="Times New Roman"/>
          <w:i/>
          <w:iCs/>
        </w:rPr>
        <w:t>Journal of Peace and Research</w:t>
      </w:r>
      <w:r w:rsidRPr="003F5A67">
        <w:rPr>
          <w:rFonts w:ascii="Times New Roman" w:eastAsia="TimesNewRomanPSMT" w:hAnsi="Times New Roman"/>
        </w:rPr>
        <w:t>, Vol 43, No. 6, pp. 726-727.</w:t>
      </w:r>
    </w:p>
  </w:footnote>
  <w:footnote w:id="41">
    <w:p w:rsidR="00952E3B" w:rsidRPr="003F5A67" w:rsidRDefault="00952E3B" w:rsidP="00050BA9">
      <w:pPr>
        <w:rPr>
          <w:rFonts w:ascii="Times New Roman" w:hAnsi="Times New Roman"/>
        </w:rPr>
      </w:pPr>
      <w:r w:rsidRPr="003F5A67">
        <w:rPr>
          <w:rStyle w:val="FootnoteReference"/>
          <w:rFonts w:ascii="Times New Roman" w:hAnsi="Times New Roman"/>
        </w:rPr>
        <w:footnoteRef/>
      </w:r>
      <w:r w:rsidRPr="003F5A67">
        <w:rPr>
          <w:rFonts w:ascii="Times New Roman" w:hAnsi="Times New Roman"/>
        </w:rPr>
        <w:t xml:space="preserve"> </w:t>
      </w:r>
      <w:r w:rsidRPr="003F5A67">
        <w:rPr>
          <w:rFonts w:ascii="Times New Roman" w:hAnsi="Times New Roman"/>
          <w:color w:val="000000"/>
        </w:rPr>
        <w:t>Pegg, Scott. (</w:t>
      </w:r>
      <w:r w:rsidRPr="003F5A67">
        <w:rPr>
          <w:rFonts w:ascii="Times New Roman" w:hAnsi="Times New Roman"/>
          <w:color w:val="000085"/>
        </w:rPr>
        <w:t>1999</w:t>
      </w:r>
      <w:r w:rsidRPr="003F5A67">
        <w:rPr>
          <w:rFonts w:ascii="Times New Roman" w:hAnsi="Times New Roman"/>
          <w:color w:val="000000"/>
        </w:rPr>
        <w:t>). International society and the de facto state. Aldershot: Ashgate.p.23</w:t>
      </w:r>
    </w:p>
  </w:footnote>
  <w:footnote w:id="42">
    <w:p w:rsidR="00952E3B" w:rsidRPr="003F5A67" w:rsidRDefault="00952E3B" w:rsidP="00012D4C">
      <w:pPr>
        <w:autoSpaceDE w:val="0"/>
        <w:autoSpaceDN w:val="0"/>
        <w:adjustRightInd w:val="0"/>
        <w:rPr>
          <w:rFonts w:ascii="Times New Roman" w:hAnsi="Times New Roman"/>
          <w:i/>
          <w:iCs/>
        </w:rPr>
      </w:pPr>
      <w:r w:rsidRPr="003F5A67">
        <w:rPr>
          <w:rStyle w:val="FootnoteReference"/>
          <w:rFonts w:ascii="Times New Roman" w:hAnsi="Times New Roman"/>
        </w:rPr>
        <w:footnoteRef/>
      </w:r>
      <w:r w:rsidRPr="003F5A67">
        <w:rPr>
          <w:rFonts w:ascii="Times New Roman" w:hAnsi="Times New Roman"/>
        </w:rPr>
        <w:t xml:space="preserve"> </w:t>
      </w:r>
      <w:r>
        <w:rPr>
          <w:rFonts w:ascii="Times New Roman" w:hAnsi="Times New Roman"/>
        </w:rPr>
        <w:t>Nodia, Ghia.</w:t>
      </w:r>
      <w:r w:rsidRPr="003F5A67">
        <w:rPr>
          <w:rFonts w:ascii="Times New Roman" w:hAnsi="Times New Roman"/>
        </w:rPr>
        <w:t xml:space="preserve"> (2004), </w:t>
      </w:r>
      <w:r w:rsidRPr="003F5A67">
        <w:rPr>
          <w:rFonts w:ascii="Times New Roman" w:eastAsia="TimesNewRomanPSMT" w:hAnsi="Times New Roman"/>
        </w:rPr>
        <w:t>“</w:t>
      </w:r>
      <w:r w:rsidRPr="003F5A67">
        <w:rPr>
          <w:rFonts w:ascii="Times New Roman" w:hAnsi="Times New Roman"/>
        </w:rPr>
        <w:t>Europeanization and (not) Re</w:t>
      </w:r>
      <w:r w:rsidRPr="003F5A67">
        <w:rPr>
          <w:rFonts w:ascii="Times New Roman" w:eastAsia="TimesNewRomanPSMT" w:hAnsi="Times New Roman"/>
        </w:rPr>
        <w:t xml:space="preserve">solving Secessionist Conflicts”, </w:t>
      </w:r>
      <w:r w:rsidRPr="003F5A67">
        <w:rPr>
          <w:rFonts w:ascii="Times New Roman" w:hAnsi="Times New Roman"/>
          <w:i/>
          <w:iCs/>
        </w:rPr>
        <w:t>Journal on Ethnopolitics and Minority Issues in Europe</w:t>
      </w:r>
      <w:r w:rsidRPr="003F5A67">
        <w:rPr>
          <w:rFonts w:ascii="Times New Roman" w:hAnsi="Times New Roman"/>
        </w:rPr>
        <w:t>, Vol. 1, available at:</w:t>
      </w:r>
      <w:r w:rsidRPr="003F5A67">
        <w:rPr>
          <w:rFonts w:ascii="Times New Roman" w:hAnsi="Times New Roman"/>
          <w:i/>
          <w:iCs/>
        </w:rPr>
        <w:t xml:space="preserve"> </w:t>
      </w:r>
      <w:hyperlink r:id="rId9" w:history="1">
        <w:r w:rsidRPr="003F5A67">
          <w:rPr>
            <w:rStyle w:val="Hyperlink"/>
            <w:rFonts w:ascii="Times New Roman" w:hAnsi="Times New Roman"/>
          </w:rPr>
          <w:t>http://www.ecmi.de/jemie/download/1-2004Comment01.pdf</w:t>
        </w:r>
      </w:hyperlink>
      <w:r w:rsidRPr="003F5A67">
        <w:rPr>
          <w:rFonts w:ascii="Times New Roman" w:hAnsi="Times New Roman"/>
        </w:rPr>
        <w:t>, p.33</w:t>
      </w:r>
    </w:p>
  </w:footnote>
  <w:footnote w:id="43">
    <w:p w:rsidR="00952E3B" w:rsidRPr="003F5A67" w:rsidRDefault="00952E3B" w:rsidP="00050BA9">
      <w:pPr>
        <w:pStyle w:val="FootnoteText"/>
        <w:rPr>
          <w:rFonts w:cs="Times New Roman"/>
        </w:rPr>
      </w:pPr>
      <w:r w:rsidRPr="003F5A67">
        <w:rPr>
          <w:rStyle w:val="FootnoteReference"/>
          <w:rFonts w:cs="Times New Roman"/>
        </w:rPr>
        <w:footnoteRef/>
      </w:r>
      <w:r w:rsidRPr="003F5A67">
        <w:rPr>
          <w:rFonts w:cs="Times New Roman"/>
        </w:rPr>
        <w:t xml:space="preserve"> </w:t>
      </w:r>
      <w:r>
        <w:rPr>
          <w:rFonts w:cs="Times New Roman"/>
        </w:rPr>
        <w:t>Ibid.35.</w:t>
      </w:r>
    </w:p>
  </w:footnote>
  <w:footnote w:id="44">
    <w:p w:rsidR="00952E3B" w:rsidRDefault="00952E3B" w:rsidP="00050BA9">
      <w:pPr>
        <w:pStyle w:val="FootnoteText"/>
      </w:pPr>
      <w:r w:rsidRPr="003F5A67">
        <w:rPr>
          <w:rStyle w:val="FootnoteReference"/>
          <w:rFonts w:cs="Times New Roman"/>
        </w:rPr>
        <w:footnoteRef/>
      </w:r>
      <w:r w:rsidRPr="003F5A67">
        <w:rPr>
          <w:rFonts w:cs="Times New Roman"/>
        </w:rPr>
        <w:t xml:space="preserve"> </w:t>
      </w:r>
      <w:r>
        <w:rPr>
          <w:rFonts w:cs="Times New Roman"/>
        </w:rPr>
        <w:t>Ibid.36</w:t>
      </w:r>
    </w:p>
  </w:footnote>
  <w:footnote w:id="45">
    <w:p w:rsidR="00952E3B" w:rsidRPr="007626AC" w:rsidRDefault="00952E3B" w:rsidP="00050BA9">
      <w:pPr>
        <w:pStyle w:val="FootnoteText"/>
        <w:rPr>
          <w:rFonts w:cs="Times New Roman"/>
        </w:rPr>
      </w:pPr>
      <w:r w:rsidRPr="007626AC">
        <w:rPr>
          <w:rStyle w:val="FootnoteReference"/>
          <w:rFonts w:cs="Times New Roman"/>
        </w:rPr>
        <w:footnoteRef/>
      </w:r>
      <w:r w:rsidRPr="007626AC">
        <w:rPr>
          <w:rFonts w:cs="Times New Roman"/>
        </w:rPr>
        <w:t xml:space="preserve"> Peters, Guy. (2009). Governance approaches. In A. Wiener &amp; T. Diez (Eds.), </w:t>
      </w:r>
      <w:r w:rsidRPr="007626AC">
        <w:rPr>
          <w:rFonts w:cs="Times New Roman"/>
          <w:i/>
          <w:iCs/>
        </w:rPr>
        <w:t xml:space="preserve">European integration theory </w:t>
      </w:r>
      <w:r w:rsidRPr="007626AC">
        <w:rPr>
          <w:rFonts w:cs="Times New Roman"/>
        </w:rPr>
        <w:t>(pp. 91-104)</w:t>
      </w:r>
      <w:r w:rsidRPr="007626AC">
        <w:rPr>
          <w:rFonts w:cs="Times New Roman"/>
          <w:i/>
          <w:iCs/>
        </w:rPr>
        <w:t xml:space="preserve">. </w:t>
      </w:r>
      <w:r w:rsidRPr="007626AC">
        <w:rPr>
          <w:rFonts w:cs="Times New Roman"/>
        </w:rPr>
        <w:t>Oxford University Press.,p.91</w:t>
      </w:r>
    </w:p>
  </w:footnote>
  <w:footnote w:id="46">
    <w:p w:rsidR="00952E3B" w:rsidRPr="007626AC" w:rsidRDefault="00952E3B" w:rsidP="00050BA9">
      <w:pPr>
        <w:pStyle w:val="FootnoteText"/>
        <w:rPr>
          <w:rFonts w:cs="Times New Roman"/>
        </w:rPr>
      </w:pPr>
      <w:r w:rsidRPr="007626AC">
        <w:rPr>
          <w:rStyle w:val="FootnoteReference"/>
          <w:rFonts w:cs="Times New Roman"/>
        </w:rPr>
        <w:footnoteRef/>
      </w:r>
      <w:r w:rsidRPr="007626AC">
        <w:rPr>
          <w:rFonts w:cs="Times New Roman"/>
        </w:rPr>
        <w:t xml:space="preserve"> Lavenex, Sandra (2004). EU external governance in 'wider Europe'. </w:t>
      </w:r>
      <w:r w:rsidRPr="007626AC">
        <w:rPr>
          <w:rFonts w:cs="Times New Roman"/>
          <w:i/>
          <w:iCs/>
        </w:rPr>
        <w:t>Journal of European Public Policy, 11</w:t>
      </w:r>
      <w:r w:rsidRPr="007626AC">
        <w:rPr>
          <w:rFonts w:cs="Times New Roman"/>
        </w:rPr>
        <w:t xml:space="preserve">(4), 680-700. </w:t>
      </w:r>
      <w:proofErr w:type="gramStart"/>
      <w:r w:rsidRPr="007626AC">
        <w:rPr>
          <w:rFonts w:cs="Times New Roman"/>
        </w:rPr>
        <w:t>doi</w:t>
      </w:r>
      <w:proofErr w:type="gramEnd"/>
      <w:r w:rsidRPr="007626AC">
        <w:rPr>
          <w:rFonts w:cs="Times New Roman"/>
        </w:rPr>
        <w:t>: 10.1080/1350176042000248098,p.682.</w:t>
      </w:r>
    </w:p>
  </w:footnote>
  <w:footnote w:id="47">
    <w:p w:rsidR="00952E3B" w:rsidRPr="007626AC" w:rsidRDefault="00952E3B" w:rsidP="00050BA9">
      <w:pPr>
        <w:rPr>
          <w:rFonts w:ascii="Times New Roman" w:hAnsi="Times New Roman"/>
        </w:rPr>
      </w:pPr>
      <w:r w:rsidRPr="007626AC">
        <w:rPr>
          <w:rStyle w:val="FootnoteReference"/>
          <w:rFonts w:ascii="Times New Roman" w:hAnsi="Times New Roman"/>
        </w:rPr>
        <w:footnoteRef/>
      </w:r>
      <w:r w:rsidRPr="007626AC">
        <w:rPr>
          <w:rFonts w:ascii="Times New Roman" w:hAnsi="Times New Roman"/>
        </w:rPr>
        <w:t xml:space="preserve"> Peters, Guy. (2009). Governance approaches. In A. Wiener &amp; T. Diez (Eds.), </w:t>
      </w:r>
      <w:r w:rsidRPr="007626AC">
        <w:rPr>
          <w:rFonts w:ascii="Times New Roman" w:hAnsi="Times New Roman"/>
          <w:i/>
          <w:iCs/>
        </w:rPr>
        <w:t xml:space="preserve">European integration theory </w:t>
      </w:r>
      <w:r w:rsidRPr="007626AC">
        <w:rPr>
          <w:rFonts w:ascii="Times New Roman" w:hAnsi="Times New Roman"/>
        </w:rPr>
        <w:t>(pp. 91-104)</w:t>
      </w:r>
      <w:r w:rsidRPr="007626AC">
        <w:rPr>
          <w:rFonts w:ascii="Times New Roman" w:hAnsi="Times New Roman"/>
          <w:i/>
          <w:iCs/>
        </w:rPr>
        <w:t xml:space="preserve">. </w:t>
      </w:r>
      <w:r w:rsidRPr="007626AC">
        <w:rPr>
          <w:rFonts w:ascii="Times New Roman" w:hAnsi="Times New Roman"/>
        </w:rPr>
        <w:t>Oxford University Press.</w:t>
      </w:r>
      <w:proofErr w:type="gramStart"/>
      <w:r w:rsidRPr="007626AC">
        <w:rPr>
          <w:rFonts w:ascii="Times New Roman" w:hAnsi="Times New Roman"/>
        </w:rPr>
        <w:t>,p.94</w:t>
      </w:r>
      <w:proofErr w:type="gramEnd"/>
      <w:r w:rsidRPr="007626AC">
        <w:rPr>
          <w:rFonts w:ascii="Times New Roman" w:hAnsi="Times New Roman"/>
        </w:rPr>
        <w:t>.</w:t>
      </w:r>
    </w:p>
  </w:footnote>
  <w:footnote w:id="48">
    <w:p w:rsidR="00952E3B" w:rsidRPr="007626AC" w:rsidRDefault="00952E3B" w:rsidP="00050BA9">
      <w:pPr>
        <w:pStyle w:val="FootnoteText"/>
        <w:rPr>
          <w:rFonts w:cs="Times New Roman"/>
        </w:rPr>
      </w:pPr>
      <w:r w:rsidRPr="007626AC">
        <w:rPr>
          <w:rStyle w:val="FootnoteReference"/>
          <w:rFonts w:cs="Times New Roman"/>
        </w:rPr>
        <w:footnoteRef/>
      </w:r>
      <w:r w:rsidRPr="007626AC">
        <w:rPr>
          <w:rFonts w:cs="Times New Roman"/>
        </w:rPr>
        <w:t xml:space="preserve"> Rosamond, Ben. (2009). New Theories of European Integration. In M. B. Cini, Nieves Pérez-Solórzano (Ed.), </w:t>
      </w:r>
      <w:r w:rsidRPr="007626AC">
        <w:rPr>
          <w:rFonts w:cs="Times New Roman"/>
          <w:i/>
          <w:iCs/>
        </w:rPr>
        <w:t xml:space="preserve">European Union Politics </w:t>
      </w:r>
      <w:r w:rsidRPr="007626AC">
        <w:rPr>
          <w:rFonts w:cs="Times New Roman"/>
        </w:rPr>
        <w:t>(3rd ed., pp. 104-122). New York: Oxford Univesity Press.</w:t>
      </w:r>
      <w:proofErr w:type="gramStart"/>
      <w:r w:rsidRPr="007626AC">
        <w:rPr>
          <w:rFonts w:cs="Times New Roman"/>
        </w:rPr>
        <w:t>,p.108</w:t>
      </w:r>
      <w:proofErr w:type="gramEnd"/>
      <w:r w:rsidRPr="007626AC">
        <w:rPr>
          <w:rFonts w:cs="Times New Roman"/>
        </w:rPr>
        <w:t>.</w:t>
      </w:r>
    </w:p>
  </w:footnote>
  <w:footnote w:id="49">
    <w:p w:rsidR="00952E3B" w:rsidRDefault="00952E3B" w:rsidP="00050BA9">
      <w:pPr>
        <w:pStyle w:val="FootnoteText"/>
      </w:pPr>
      <w:r w:rsidRPr="007626AC">
        <w:rPr>
          <w:rStyle w:val="FootnoteReference"/>
          <w:rFonts w:cs="Times New Roman"/>
        </w:rPr>
        <w:footnoteRef/>
      </w:r>
      <w:r w:rsidRPr="007626AC">
        <w:rPr>
          <w:rFonts w:cs="Times New Roman"/>
        </w:rPr>
        <w:t xml:space="preserve"> Peters, Guy</w:t>
      </w:r>
      <w:proofErr w:type="gramStart"/>
      <w:r w:rsidRPr="007626AC">
        <w:rPr>
          <w:rFonts w:cs="Times New Roman"/>
        </w:rPr>
        <w:t>.(</w:t>
      </w:r>
      <w:proofErr w:type="gramEnd"/>
      <w:r w:rsidRPr="007626AC">
        <w:rPr>
          <w:rFonts w:cs="Times New Roman"/>
        </w:rPr>
        <w:t xml:space="preserve">2009) Governance approaches. In A. Wiener &amp; T. Diez (Eds.), </w:t>
      </w:r>
      <w:r w:rsidRPr="007626AC">
        <w:rPr>
          <w:rFonts w:cs="Times New Roman"/>
          <w:i/>
          <w:iCs/>
        </w:rPr>
        <w:t xml:space="preserve">European integration theory </w:t>
      </w:r>
      <w:r w:rsidRPr="007626AC">
        <w:rPr>
          <w:rFonts w:cs="Times New Roman"/>
        </w:rPr>
        <w:t>(pp. 91-104)</w:t>
      </w:r>
      <w:r w:rsidRPr="007626AC">
        <w:rPr>
          <w:rFonts w:cs="Times New Roman"/>
          <w:i/>
          <w:iCs/>
        </w:rPr>
        <w:t xml:space="preserve">. </w:t>
      </w:r>
      <w:r w:rsidRPr="007626AC">
        <w:rPr>
          <w:rFonts w:cs="Times New Roman"/>
        </w:rPr>
        <w:t>Oxford University Press.</w:t>
      </w:r>
      <w:proofErr w:type="gramStart"/>
      <w:r w:rsidRPr="007626AC">
        <w:rPr>
          <w:rFonts w:cs="Times New Roman"/>
        </w:rPr>
        <w:t>,p.96</w:t>
      </w:r>
      <w:proofErr w:type="gramEnd"/>
      <w:r w:rsidRPr="007626AC">
        <w:rPr>
          <w:rFonts w:cs="Times New Roman"/>
        </w:rPr>
        <w:t>.</w:t>
      </w:r>
    </w:p>
  </w:footnote>
  <w:footnote w:id="50">
    <w:p w:rsidR="00952E3B" w:rsidRPr="007626AC" w:rsidRDefault="00952E3B" w:rsidP="00050BA9">
      <w:pPr>
        <w:pStyle w:val="FootnoteText"/>
      </w:pPr>
      <w:r w:rsidRPr="007626AC">
        <w:rPr>
          <w:rStyle w:val="FootnoteReference"/>
        </w:rPr>
        <w:footnoteRef/>
      </w:r>
      <w:r w:rsidRPr="007626AC">
        <w:t xml:space="preserve"> </w:t>
      </w:r>
      <w:r w:rsidRPr="007626AC">
        <w:rPr>
          <w:rFonts w:cs="Times New Roman"/>
        </w:rPr>
        <w:t xml:space="preserve">Lavenex, Sandra. (2004). EU external governance in 'wider Europe'. </w:t>
      </w:r>
      <w:r w:rsidRPr="007626AC">
        <w:rPr>
          <w:rFonts w:cs="Times New Roman"/>
          <w:i/>
          <w:iCs/>
        </w:rPr>
        <w:t>Journal of European Public Policy, 11</w:t>
      </w:r>
      <w:r w:rsidRPr="007626AC">
        <w:rPr>
          <w:rFonts w:cs="Times New Roman"/>
        </w:rPr>
        <w:t>(4), 680-700. doi: 10.1080/1350176042000248098,p.683</w:t>
      </w:r>
    </w:p>
  </w:footnote>
  <w:footnote w:id="51">
    <w:p w:rsidR="00952E3B" w:rsidRPr="007626AC" w:rsidRDefault="00952E3B" w:rsidP="00050BA9">
      <w:pPr>
        <w:pStyle w:val="FootnoteText"/>
      </w:pPr>
      <w:r w:rsidRPr="007626AC">
        <w:rPr>
          <w:rStyle w:val="FootnoteReference"/>
        </w:rPr>
        <w:footnoteRef/>
      </w:r>
      <w:r w:rsidRPr="007626AC">
        <w:t xml:space="preserve"> </w:t>
      </w:r>
      <w:r>
        <w:rPr>
          <w:rFonts w:cs="Times New Roman"/>
        </w:rPr>
        <w:t>Ibid.684.</w:t>
      </w:r>
    </w:p>
  </w:footnote>
  <w:footnote w:id="52">
    <w:p w:rsidR="00952E3B" w:rsidRPr="007626AC" w:rsidRDefault="00952E3B" w:rsidP="00050BA9">
      <w:pPr>
        <w:pStyle w:val="FootnoteText"/>
      </w:pPr>
      <w:r w:rsidRPr="007626AC">
        <w:rPr>
          <w:rStyle w:val="FootnoteReference"/>
        </w:rPr>
        <w:footnoteRef/>
      </w:r>
      <w:r w:rsidRPr="007626AC">
        <w:t xml:space="preserve"> </w:t>
      </w:r>
      <w:r>
        <w:rPr>
          <w:rFonts w:cs="Times New Roman"/>
        </w:rPr>
        <w:t>Ibid.685.</w:t>
      </w:r>
    </w:p>
  </w:footnote>
  <w:footnote w:id="53">
    <w:p w:rsidR="00952E3B" w:rsidRPr="007626AC" w:rsidRDefault="00952E3B" w:rsidP="00050BA9">
      <w:pPr>
        <w:pStyle w:val="FootnoteText"/>
      </w:pPr>
      <w:r w:rsidRPr="007626AC">
        <w:rPr>
          <w:rStyle w:val="FootnoteReference"/>
        </w:rPr>
        <w:footnoteRef/>
      </w:r>
      <w:r w:rsidRPr="007626AC">
        <w:t xml:space="preserve"> </w:t>
      </w:r>
      <w:r w:rsidRPr="007626AC">
        <w:rPr>
          <w:rFonts w:cs="Times New Roman"/>
        </w:rPr>
        <w:t xml:space="preserve">EUR-Lex, “Consolidated Version of the Treaty on European Union Article 49” (European Union Law, July 2016), </w:t>
      </w:r>
      <w:hyperlink r:id="rId10" w:history="1">
        <w:r w:rsidRPr="007626AC">
          <w:rPr>
            <w:rStyle w:val="Hyperlink"/>
            <w:rFonts w:cs="Times New Roman"/>
          </w:rPr>
          <w:t>https://eur-lex.europa.eu/legal-content/EN/TXT/?uri=CELEX%3A12016M049</w:t>
        </w:r>
      </w:hyperlink>
      <w:r w:rsidRPr="007626AC">
        <w:rPr>
          <w:rFonts w:cs="Times New Roman"/>
        </w:rPr>
        <w:t>.</w:t>
      </w:r>
    </w:p>
  </w:footnote>
  <w:footnote w:id="54">
    <w:p w:rsidR="00952E3B" w:rsidRPr="007626AC" w:rsidRDefault="00952E3B" w:rsidP="00050BA9">
      <w:pPr>
        <w:pStyle w:val="FootnoteText"/>
      </w:pPr>
      <w:r w:rsidRPr="007626AC">
        <w:rPr>
          <w:rStyle w:val="FootnoteReference"/>
        </w:rPr>
        <w:footnoteRef/>
      </w:r>
      <w:r w:rsidRPr="007626AC">
        <w:t xml:space="preserve"> </w:t>
      </w:r>
      <w:r w:rsidRPr="007626AC">
        <w:rPr>
          <w:rFonts w:cs="Times New Roman"/>
        </w:rPr>
        <w:t xml:space="preserve">Sandra Lavenex and Frank Schimmelfennig, “EU Rules beyond EU Borders: Theorizing External Governance in European Politics,” </w:t>
      </w:r>
      <w:r w:rsidRPr="007626AC">
        <w:rPr>
          <w:rFonts w:cs="Times New Roman"/>
          <w:i/>
          <w:iCs/>
        </w:rPr>
        <w:t>Journal of European Public Policy</w:t>
      </w:r>
      <w:r w:rsidRPr="007626AC">
        <w:rPr>
          <w:rFonts w:cs="Times New Roman"/>
        </w:rPr>
        <w:t xml:space="preserve"> 16, no. 6 (2009): pp. 791-812, https://doi.org/10.1080/13501760903087696, 791.</w:t>
      </w:r>
    </w:p>
  </w:footnote>
  <w:footnote w:id="55">
    <w:p w:rsidR="00952E3B" w:rsidRPr="007626AC" w:rsidRDefault="00952E3B" w:rsidP="00050BA9">
      <w:pPr>
        <w:pStyle w:val="FootnoteText"/>
      </w:pPr>
      <w:r w:rsidRPr="007626AC">
        <w:rPr>
          <w:rStyle w:val="FootnoteReference"/>
        </w:rPr>
        <w:footnoteRef/>
      </w:r>
      <w:r w:rsidRPr="007626AC">
        <w:t xml:space="preserve"> </w:t>
      </w:r>
      <w:r>
        <w:rPr>
          <w:rFonts w:cs="Times New Roman"/>
        </w:rPr>
        <w:t>Ibid.794</w:t>
      </w:r>
    </w:p>
  </w:footnote>
  <w:footnote w:id="56">
    <w:p w:rsidR="00952E3B" w:rsidRPr="007626AC" w:rsidRDefault="00952E3B" w:rsidP="00050BA9">
      <w:pPr>
        <w:pStyle w:val="FootnoteText"/>
      </w:pPr>
      <w:r w:rsidRPr="007626AC">
        <w:rPr>
          <w:rStyle w:val="FootnoteReference"/>
        </w:rPr>
        <w:footnoteRef/>
      </w:r>
      <w:r w:rsidRPr="007626AC">
        <w:t xml:space="preserve"> </w:t>
      </w:r>
      <w:r w:rsidRPr="007626AC">
        <w:rPr>
          <w:rFonts w:cs="Times New Roman"/>
        </w:rPr>
        <w:t xml:space="preserve">Schimmelfennig, Frank, &amp; Sedelmeier, Ulrich (2004). Governance by conditionality: EU rule transfer to the candidate countries of Central and Eastern Europe. </w:t>
      </w:r>
      <w:r w:rsidRPr="007626AC">
        <w:rPr>
          <w:rFonts w:cs="Times New Roman"/>
          <w:i/>
          <w:iCs/>
        </w:rPr>
        <w:t>Journal of European Public Policy, 11</w:t>
      </w:r>
      <w:r w:rsidRPr="007626AC">
        <w:rPr>
          <w:rFonts w:cs="Times New Roman"/>
        </w:rPr>
        <w:t xml:space="preserve">(4), 661-679. </w:t>
      </w:r>
      <w:proofErr w:type="gramStart"/>
      <w:r w:rsidRPr="007626AC">
        <w:rPr>
          <w:rFonts w:cs="Times New Roman"/>
        </w:rPr>
        <w:t>doi</w:t>
      </w:r>
      <w:proofErr w:type="gramEnd"/>
      <w:r w:rsidRPr="007626AC">
        <w:rPr>
          <w:rFonts w:cs="Times New Roman"/>
        </w:rPr>
        <w:t>: 10.1080/1350176042000248089,p.663.</w:t>
      </w:r>
    </w:p>
  </w:footnote>
  <w:footnote w:id="57">
    <w:p w:rsidR="00952E3B" w:rsidRPr="007626AC" w:rsidRDefault="00952E3B" w:rsidP="00050BA9">
      <w:pPr>
        <w:pStyle w:val="FootnoteText"/>
      </w:pPr>
      <w:r w:rsidRPr="007626AC">
        <w:rPr>
          <w:rStyle w:val="FootnoteReference"/>
        </w:rPr>
        <w:footnoteRef/>
      </w:r>
      <w:r w:rsidRPr="007626AC">
        <w:t xml:space="preserve"> </w:t>
      </w:r>
      <w:r w:rsidRPr="007626AC">
        <w:rPr>
          <w:rFonts w:cs="Times New Roman"/>
        </w:rPr>
        <w:t>Ibid.</w:t>
      </w:r>
    </w:p>
  </w:footnote>
  <w:footnote w:id="58">
    <w:p w:rsidR="00952E3B" w:rsidRPr="007626AC" w:rsidRDefault="00952E3B" w:rsidP="00050BA9">
      <w:pPr>
        <w:pStyle w:val="FootnoteText"/>
      </w:pPr>
      <w:r w:rsidRPr="007626AC">
        <w:rPr>
          <w:rStyle w:val="FootnoteReference"/>
        </w:rPr>
        <w:footnoteRef/>
      </w:r>
      <w:r w:rsidRPr="007626AC">
        <w:t xml:space="preserve"> </w:t>
      </w:r>
      <w:r w:rsidRPr="007626AC">
        <w:rPr>
          <w:rFonts w:cs="Times New Roman"/>
        </w:rPr>
        <w:t>Ibid.665.</w:t>
      </w:r>
    </w:p>
  </w:footnote>
  <w:footnote w:id="59">
    <w:p w:rsidR="00952E3B" w:rsidRPr="00360AEB" w:rsidRDefault="00952E3B" w:rsidP="00050BA9">
      <w:pPr>
        <w:pStyle w:val="FootnoteText"/>
      </w:pPr>
      <w:r w:rsidRPr="00360AEB">
        <w:rPr>
          <w:rStyle w:val="FootnoteReference"/>
        </w:rPr>
        <w:footnoteRef/>
      </w:r>
      <w:r w:rsidRPr="00360AEB">
        <w:t xml:space="preserve"> </w:t>
      </w:r>
      <w:r w:rsidRPr="00360AEB">
        <w:rPr>
          <w:rFonts w:cs="Times New Roman"/>
        </w:rPr>
        <w:t xml:space="preserve">Thomas Diez, “Normative Power Europe and Conflict Transformation ,” </w:t>
      </w:r>
      <w:r w:rsidRPr="00360AEB">
        <w:rPr>
          <w:rFonts w:cs="Times New Roman"/>
          <w:i/>
          <w:iCs/>
        </w:rPr>
        <w:t xml:space="preserve">Paper for Presentation at the 2007 EUSA Conference, Montreal, 17-19 May 2007 </w:t>
      </w:r>
      <w:r w:rsidRPr="00360AEB">
        <w:rPr>
          <w:rFonts w:cs="Times New Roman"/>
        </w:rPr>
        <w:t>, May 2017, http://aei.pitt.edu/7798/1/diez-t-01a.pdf, 3.</w:t>
      </w:r>
    </w:p>
  </w:footnote>
  <w:footnote w:id="60">
    <w:p w:rsidR="00952E3B" w:rsidRPr="00360AEB" w:rsidRDefault="00952E3B" w:rsidP="00050BA9">
      <w:pPr>
        <w:pStyle w:val="FootnoteText"/>
      </w:pPr>
      <w:r w:rsidRPr="00360AEB">
        <w:rPr>
          <w:rStyle w:val="FootnoteReference"/>
        </w:rPr>
        <w:footnoteRef/>
      </w:r>
      <w:r w:rsidRPr="00360AEB">
        <w:t xml:space="preserve"> </w:t>
      </w:r>
      <w:r>
        <w:rPr>
          <w:rFonts w:cs="Times New Roman"/>
        </w:rPr>
        <w:t>Ibid.</w:t>
      </w:r>
    </w:p>
  </w:footnote>
  <w:footnote w:id="61">
    <w:p w:rsidR="00952E3B" w:rsidRPr="00360AEB" w:rsidRDefault="00952E3B" w:rsidP="00050BA9">
      <w:pPr>
        <w:pStyle w:val="FootnoteText"/>
      </w:pPr>
      <w:r w:rsidRPr="00360AEB">
        <w:rPr>
          <w:rStyle w:val="FootnoteReference"/>
        </w:rPr>
        <w:footnoteRef/>
      </w:r>
      <w:r w:rsidRPr="00360AEB">
        <w:t xml:space="preserve"> </w:t>
      </w:r>
      <w:r w:rsidRPr="00360AEB">
        <w:rPr>
          <w:rFonts w:cs="Times New Roman"/>
        </w:rPr>
        <w:t>Julian Bergmann and Arne Niemann, “Mediating International Conflicts: The European Union as an Effective Peacemaker</w:t>
      </w:r>
      <w:proofErr w:type="gramStart"/>
      <w:r w:rsidRPr="00360AEB">
        <w:rPr>
          <w:rFonts w:cs="Times New Roman"/>
        </w:rPr>
        <w:t>?,</w:t>
      </w:r>
      <w:proofErr w:type="gramEnd"/>
      <w:r w:rsidRPr="00360AEB">
        <w:rPr>
          <w:rFonts w:cs="Times New Roman"/>
        </w:rPr>
        <w:t xml:space="preserve">” </w:t>
      </w:r>
      <w:r w:rsidRPr="00360AEB">
        <w:rPr>
          <w:rFonts w:cs="Times New Roman"/>
          <w:i/>
          <w:iCs/>
        </w:rPr>
        <w:t>JCMS: Journal of Common Market Studies</w:t>
      </w:r>
      <w:r w:rsidRPr="00360AEB">
        <w:rPr>
          <w:rFonts w:cs="Times New Roman"/>
        </w:rPr>
        <w:t xml:space="preserve"> 53, no. 5 (December 2015): pp. 957-975, https://doi.org/10.1111/jcms.12254, 961.</w:t>
      </w:r>
    </w:p>
  </w:footnote>
  <w:footnote w:id="62">
    <w:p w:rsidR="00952E3B" w:rsidRDefault="00952E3B" w:rsidP="00050BA9">
      <w:pPr>
        <w:pStyle w:val="FootnoteText"/>
      </w:pPr>
      <w:r w:rsidRPr="00360AEB">
        <w:rPr>
          <w:rStyle w:val="FootnoteReference"/>
        </w:rPr>
        <w:footnoteRef/>
      </w:r>
      <w:r w:rsidRPr="00360AEB">
        <w:t xml:space="preserve"> </w:t>
      </w:r>
      <w:r>
        <w:rPr>
          <w:rFonts w:cs="Times New Roman"/>
        </w:rPr>
        <w:t>Ibid.</w:t>
      </w:r>
    </w:p>
  </w:footnote>
  <w:footnote w:id="63">
    <w:p w:rsidR="00952E3B" w:rsidRPr="001940CA" w:rsidRDefault="00952E3B" w:rsidP="00050BA9">
      <w:pPr>
        <w:pStyle w:val="FootnoteText"/>
      </w:pPr>
      <w:r w:rsidRPr="001940CA">
        <w:rPr>
          <w:rStyle w:val="FootnoteReference"/>
        </w:rPr>
        <w:footnoteRef/>
      </w:r>
      <w:r w:rsidRPr="001940CA">
        <w:t xml:space="preserve"> </w:t>
      </w:r>
      <w:r>
        <w:rPr>
          <w:rFonts w:cs="Times New Roman"/>
        </w:rPr>
        <w:t>Ibid.</w:t>
      </w:r>
    </w:p>
  </w:footnote>
  <w:footnote w:id="64">
    <w:p w:rsidR="00952E3B" w:rsidRDefault="00952E3B">
      <w:pPr>
        <w:pStyle w:val="FootnoteText"/>
      </w:pPr>
      <w:r>
        <w:rPr>
          <w:rStyle w:val="FootnoteReference"/>
        </w:rPr>
        <w:footnoteRef/>
      </w:r>
      <w:r>
        <w:t xml:space="preserve"> Ibid.</w:t>
      </w:r>
    </w:p>
  </w:footnote>
  <w:footnote w:id="65">
    <w:p w:rsidR="00952E3B" w:rsidRPr="00C63F2A" w:rsidRDefault="00952E3B" w:rsidP="00E8794E">
      <w:pPr>
        <w:pStyle w:val="FootnoteText"/>
        <w:rPr>
          <w:rFonts w:cs="Times New Roman"/>
        </w:rPr>
      </w:pPr>
      <w:r w:rsidRPr="00C63F2A">
        <w:rPr>
          <w:rStyle w:val="FootnoteReference"/>
          <w:rFonts w:cs="Times New Roman"/>
        </w:rPr>
        <w:footnoteRef/>
      </w:r>
      <w:r w:rsidRPr="00C63F2A">
        <w:rPr>
          <w:rFonts w:cs="Times New Roman"/>
        </w:rPr>
        <w:t xml:space="preserve"> Nathalie Tocci, </w:t>
      </w:r>
      <w:proofErr w:type="gramStart"/>
      <w:r w:rsidRPr="00C63F2A">
        <w:rPr>
          <w:rFonts w:cs="Times New Roman"/>
          <w:i/>
          <w:iCs/>
        </w:rPr>
        <w:t>The</w:t>
      </w:r>
      <w:proofErr w:type="gramEnd"/>
      <w:r w:rsidRPr="00C63F2A">
        <w:rPr>
          <w:rFonts w:cs="Times New Roman"/>
          <w:i/>
          <w:iCs/>
        </w:rPr>
        <w:t xml:space="preserve"> EU and Conflict Resolution: Promoting Peace in the Backyard</w:t>
      </w:r>
      <w:r w:rsidRPr="00C63F2A">
        <w:rPr>
          <w:rFonts w:cs="Times New Roman"/>
        </w:rPr>
        <w:t xml:space="preserve"> (London: Routledge, 2008), 7-8.</w:t>
      </w:r>
    </w:p>
  </w:footnote>
  <w:footnote w:id="66">
    <w:p w:rsidR="00952E3B" w:rsidRPr="00C63F2A" w:rsidRDefault="00952E3B" w:rsidP="00E8794E">
      <w:pPr>
        <w:pStyle w:val="FootnoteText"/>
        <w:rPr>
          <w:rFonts w:cs="Times New Roman"/>
        </w:rPr>
      </w:pPr>
      <w:r w:rsidRPr="00C63F2A">
        <w:rPr>
          <w:rStyle w:val="FootnoteReference"/>
          <w:rFonts w:cs="Times New Roman"/>
        </w:rPr>
        <w:footnoteRef/>
      </w:r>
      <w:r w:rsidRPr="00C63F2A">
        <w:rPr>
          <w:rFonts w:cs="Times New Roman"/>
        </w:rPr>
        <w:t xml:space="preserve"> Thierry Tardy, </w:t>
      </w:r>
      <w:r w:rsidRPr="00C63F2A">
        <w:rPr>
          <w:rFonts w:cs="Times New Roman"/>
          <w:i/>
          <w:iCs/>
        </w:rPr>
        <w:t>CSDP in Action: What Contribution to International Security?</w:t>
      </w:r>
      <w:r w:rsidRPr="00C63F2A">
        <w:rPr>
          <w:rFonts w:cs="Times New Roman"/>
        </w:rPr>
        <w:t xml:space="preserve"> (Paris: EUISS, 2015), 40.</w:t>
      </w:r>
    </w:p>
  </w:footnote>
  <w:footnote w:id="67">
    <w:p w:rsidR="00952E3B" w:rsidRPr="00C63F2A" w:rsidRDefault="00952E3B" w:rsidP="00E8794E">
      <w:pPr>
        <w:pStyle w:val="FootnoteText"/>
        <w:rPr>
          <w:rFonts w:cs="Times New Roman"/>
        </w:rPr>
      </w:pPr>
      <w:r w:rsidRPr="00C63F2A">
        <w:rPr>
          <w:rStyle w:val="FootnoteReference"/>
          <w:rFonts w:cs="Times New Roman"/>
        </w:rPr>
        <w:footnoteRef/>
      </w:r>
      <w:r w:rsidRPr="00C63F2A">
        <w:rPr>
          <w:rFonts w:cs="Times New Roman"/>
        </w:rPr>
        <w:t xml:space="preserve"> EUR-Lex, “European Foreign and Security Policy” (European Union, August 6, 2019), </w:t>
      </w:r>
      <w:hyperlink r:id="rId11" w:history="1">
        <w:r w:rsidRPr="00C63F2A">
          <w:rPr>
            <w:rStyle w:val="Hyperlink"/>
            <w:rFonts w:cs="Times New Roman"/>
          </w:rPr>
          <w:t>https://europa.eu/european-union/topics/foreign-security-policy_en</w:t>
        </w:r>
      </w:hyperlink>
      <w:r w:rsidRPr="00C63F2A">
        <w:rPr>
          <w:rFonts w:cs="Times New Roman"/>
        </w:rPr>
        <w:t>.</w:t>
      </w:r>
    </w:p>
  </w:footnote>
  <w:footnote w:id="68">
    <w:p w:rsidR="00952E3B" w:rsidRDefault="00952E3B" w:rsidP="00E8794E">
      <w:pPr>
        <w:pStyle w:val="FootnoteText"/>
      </w:pPr>
      <w:r w:rsidRPr="00C63F2A">
        <w:rPr>
          <w:rStyle w:val="FootnoteReference"/>
          <w:rFonts w:cs="Times New Roman"/>
        </w:rPr>
        <w:footnoteRef/>
      </w:r>
      <w:r w:rsidRPr="00C63F2A">
        <w:rPr>
          <w:rFonts w:cs="Times New Roman"/>
        </w:rPr>
        <w:t xml:space="preserve"> </w:t>
      </w:r>
      <w:r>
        <w:rPr>
          <w:rFonts w:cs="Times New Roman"/>
        </w:rPr>
        <w:t>Ibid.</w:t>
      </w:r>
    </w:p>
  </w:footnote>
  <w:footnote w:id="69">
    <w:p w:rsidR="00952E3B" w:rsidRPr="00715EBA" w:rsidRDefault="00952E3B" w:rsidP="00E8794E">
      <w:pPr>
        <w:pStyle w:val="FootnoteText"/>
      </w:pPr>
      <w:r w:rsidRPr="00715EBA">
        <w:rPr>
          <w:rStyle w:val="FootnoteReference"/>
        </w:rPr>
        <w:footnoteRef/>
      </w:r>
      <w:r w:rsidRPr="00715EBA">
        <w:t xml:space="preserve"> </w:t>
      </w:r>
      <w:r w:rsidRPr="00715EBA">
        <w:rPr>
          <w:rFonts w:cs="Times New Roman"/>
        </w:rPr>
        <w:t xml:space="preserve">Cara M Davies, “'Backseat Driving': European Institutions and Crisis Management in Moldova,” </w:t>
      </w:r>
      <w:r w:rsidRPr="00715EBA">
        <w:rPr>
          <w:rFonts w:cs="Times New Roman"/>
          <w:i/>
          <w:iCs/>
        </w:rPr>
        <w:t>Romanian Journal of Political Science</w:t>
      </w:r>
      <w:r w:rsidRPr="00715EBA">
        <w:rPr>
          <w:rFonts w:cs="Times New Roman"/>
        </w:rPr>
        <w:t xml:space="preserve"> 34, no. 2 (February 2011): pp. 130-153, 145-146.</w:t>
      </w:r>
    </w:p>
  </w:footnote>
  <w:footnote w:id="70">
    <w:p w:rsidR="00952E3B" w:rsidRPr="00715EBA" w:rsidRDefault="00952E3B" w:rsidP="00E8794E">
      <w:pPr>
        <w:pStyle w:val="FootnoteText"/>
      </w:pPr>
      <w:r w:rsidRPr="00715EBA">
        <w:rPr>
          <w:rStyle w:val="FootnoteReference"/>
        </w:rPr>
        <w:footnoteRef/>
      </w:r>
      <w:r w:rsidRPr="00715EBA">
        <w:t xml:space="preserve"> </w:t>
      </w:r>
      <w:r w:rsidRPr="00715EBA">
        <w:rPr>
          <w:rFonts w:cs="Times New Roman"/>
        </w:rPr>
        <w:t xml:space="preserve">European External Actions Service, “Military and Civilian Missions and Operations” (EEAS, March 5, 2019), </w:t>
      </w:r>
      <w:hyperlink r:id="rId12" w:history="1">
        <w:r w:rsidRPr="00715EBA">
          <w:rPr>
            <w:rStyle w:val="Hyperlink"/>
            <w:rFonts w:cs="Times New Roman"/>
          </w:rPr>
          <w:t>https://eeas.europa.eu/topics/military-and-civilian-missions-and-operations/430/military-and-civilian-missions-and-operations_en</w:t>
        </w:r>
      </w:hyperlink>
      <w:r w:rsidRPr="00715EBA">
        <w:rPr>
          <w:rFonts w:cs="Times New Roman"/>
        </w:rPr>
        <w:t>.</w:t>
      </w:r>
    </w:p>
  </w:footnote>
  <w:footnote w:id="71">
    <w:p w:rsidR="00952E3B" w:rsidRPr="00715EBA" w:rsidRDefault="00952E3B" w:rsidP="00E8794E">
      <w:pPr>
        <w:pStyle w:val="FootnoteText"/>
      </w:pPr>
      <w:r w:rsidRPr="00715EBA">
        <w:rPr>
          <w:rStyle w:val="FootnoteReference"/>
        </w:rPr>
        <w:footnoteRef/>
      </w:r>
      <w:r w:rsidRPr="00715EBA">
        <w:t xml:space="preserve"> </w:t>
      </w:r>
      <w:r w:rsidRPr="00715EBA">
        <w:rPr>
          <w:rFonts w:cs="Times New Roman"/>
        </w:rPr>
        <w:t>Council of the European Union, “European Security Strategy: A Secure Europe Better World” (European Communities, January 2009), https://www.consilium.europa.eu/media/30823/qc7809568enc.pdf, 20-22.</w:t>
      </w:r>
    </w:p>
  </w:footnote>
  <w:footnote w:id="72">
    <w:p w:rsidR="00952E3B" w:rsidRPr="00715EBA" w:rsidRDefault="00952E3B" w:rsidP="00E8794E">
      <w:pPr>
        <w:pStyle w:val="FootnoteText"/>
      </w:pPr>
      <w:r w:rsidRPr="00715EBA">
        <w:rPr>
          <w:rStyle w:val="FootnoteReference"/>
        </w:rPr>
        <w:footnoteRef/>
      </w:r>
      <w:r w:rsidRPr="00715EBA">
        <w:t xml:space="preserve"> </w:t>
      </w:r>
      <w:r w:rsidRPr="00715EBA">
        <w:rPr>
          <w:rFonts w:cs="Times New Roman"/>
        </w:rPr>
        <w:t xml:space="preserve">EUR-Lex, “European Foreign and Security Policy” (European Union, August 6, 2019), </w:t>
      </w:r>
      <w:hyperlink r:id="rId13" w:history="1">
        <w:r w:rsidRPr="00715EBA">
          <w:rPr>
            <w:rStyle w:val="Hyperlink"/>
            <w:rFonts w:cs="Times New Roman"/>
          </w:rPr>
          <w:t>https://europa.eu/european-union/topics/foreign-security-policy_en</w:t>
        </w:r>
      </w:hyperlink>
      <w:r w:rsidRPr="00715EBA">
        <w:rPr>
          <w:rFonts w:cs="Times New Roman"/>
        </w:rPr>
        <w:t>.</w:t>
      </w:r>
    </w:p>
  </w:footnote>
  <w:footnote w:id="73">
    <w:p w:rsidR="00952E3B" w:rsidRPr="00715EBA" w:rsidRDefault="00952E3B" w:rsidP="00E8794E">
      <w:pPr>
        <w:pStyle w:val="FootnoteText"/>
      </w:pPr>
      <w:r w:rsidRPr="00715EBA">
        <w:rPr>
          <w:rStyle w:val="FootnoteReference"/>
        </w:rPr>
        <w:footnoteRef/>
      </w:r>
      <w:r w:rsidRPr="00715EBA">
        <w:t xml:space="preserve"> </w:t>
      </w:r>
      <w:r w:rsidRPr="00715EBA">
        <w:rPr>
          <w:rFonts w:cs="Times New Roman"/>
        </w:rPr>
        <w:t xml:space="preserve">Nathalie Tocci, </w:t>
      </w:r>
      <w:proofErr w:type="gramStart"/>
      <w:r w:rsidRPr="00715EBA">
        <w:rPr>
          <w:rFonts w:cs="Times New Roman"/>
          <w:i/>
          <w:iCs/>
        </w:rPr>
        <w:t>The</w:t>
      </w:r>
      <w:proofErr w:type="gramEnd"/>
      <w:r w:rsidRPr="00715EBA">
        <w:rPr>
          <w:rFonts w:cs="Times New Roman"/>
          <w:i/>
          <w:iCs/>
        </w:rPr>
        <w:t xml:space="preserve"> EU and Conflict Resolution: Promoting Peace in the Backyard</w:t>
      </w:r>
      <w:r w:rsidRPr="00715EBA">
        <w:rPr>
          <w:rFonts w:cs="Times New Roman"/>
        </w:rPr>
        <w:t xml:space="preserve"> (London: Routledge, 2008), 9.</w:t>
      </w:r>
    </w:p>
  </w:footnote>
  <w:footnote w:id="74">
    <w:p w:rsidR="00952E3B" w:rsidRPr="00715EBA" w:rsidRDefault="00952E3B" w:rsidP="00E8794E">
      <w:pPr>
        <w:pStyle w:val="FootnoteText"/>
      </w:pPr>
      <w:r w:rsidRPr="00715EBA">
        <w:rPr>
          <w:rStyle w:val="FootnoteReference"/>
        </w:rPr>
        <w:footnoteRef/>
      </w:r>
      <w:r w:rsidRPr="00715EBA">
        <w:t xml:space="preserve"> </w:t>
      </w:r>
      <w:r w:rsidRPr="00715EBA">
        <w:rPr>
          <w:rFonts w:cs="Times New Roman"/>
        </w:rPr>
        <w:t xml:space="preserve">European Parliament, </w:t>
      </w:r>
      <w:proofErr w:type="gramStart"/>
      <w:r w:rsidRPr="00715EBA">
        <w:rPr>
          <w:rFonts w:cs="Times New Roman"/>
        </w:rPr>
        <w:t>“ European</w:t>
      </w:r>
      <w:proofErr w:type="gramEnd"/>
      <w:r w:rsidRPr="00715EBA">
        <w:rPr>
          <w:rFonts w:cs="Times New Roman"/>
        </w:rPr>
        <w:t xml:space="preserve"> Parliament Resolution of 20 January 2011 on an EU Strategy for the Black Se” (European Parliament, January 20, 2011), </w:t>
      </w:r>
      <w:hyperlink r:id="rId14" w:history="1">
        <w:r w:rsidRPr="00715EBA">
          <w:rPr>
            <w:rStyle w:val="Hyperlink"/>
            <w:rFonts w:cs="Times New Roman"/>
          </w:rPr>
          <w:t>https://www.europarl.europa.eu/sides/getDoc.do?reference=P7-TA-2011-0025&amp;type=TA&amp;language=EN&amp;redirect</w:t>
        </w:r>
      </w:hyperlink>
      <w:r w:rsidRPr="00715EBA">
        <w:rPr>
          <w:rFonts w:cs="Times New Roman"/>
        </w:rPr>
        <w:t>.</w:t>
      </w:r>
    </w:p>
  </w:footnote>
  <w:footnote w:id="75">
    <w:p w:rsidR="00952E3B" w:rsidRPr="00715EBA" w:rsidRDefault="00952E3B" w:rsidP="00E8794E">
      <w:pPr>
        <w:pStyle w:val="FootnoteText"/>
      </w:pPr>
      <w:r w:rsidRPr="00715EBA">
        <w:rPr>
          <w:rStyle w:val="FootnoteReference"/>
        </w:rPr>
        <w:footnoteRef/>
      </w:r>
      <w:r w:rsidRPr="00715EBA">
        <w:t xml:space="preserve"> </w:t>
      </w:r>
      <w:r w:rsidRPr="00715EBA">
        <w:rPr>
          <w:rFonts w:cs="Times New Roman"/>
        </w:rPr>
        <w:t xml:space="preserve">European External Actions Service, “European Instrument for Democracy and Human Rights (EIDHR)” (EEAS, January 25, 2017), </w:t>
      </w:r>
      <w:hyperlink r:id="rId15" w:history="1">
        <w:r w:rsidRPr="00715EBA">
          <w:rPr>
            <w:rStyle w:val="Hyperlink"/>
            <w:rFonts w:cs="Times New Roman"/>
          </w:rPr>
          <w:t>https://eeas.europa.eu/delegations/israel_en/19192/European%20Instrument%20for%20Democracy%20and%20Human%20Rights%20(EIDHR)%20ISRAEL%202016-2017</w:t>
        </w:r>
      </w:hyperlink>
      <w:r w:rsidRPr="00715EBA">
        <w:rPr>
          <w:rFonts w:cs="Times New Roman"/>
        </w:rPr>
        <w:t>.</w:t>
      </w:r>
    </w:p>
  </w:footnote>
  <w:footnote w:id="76">
    <w:p w:rsidR="00952E3B" w:rsidRPr="00A402BC" w:rsidRDefault="00952E3B" w:rsidP="00E8794E">
      <w:pPr>
        <w:pStyle w:val="FootnoteText"/>
        <w:rPr>
          <w:rFonts w:cs="Times New Roman"/>
        </w:rPr>
      </w:pPr>
      <w:r w:rsidRPr="00A402BC">
        <w:rPr>
          <w:rStyle w:val="FootnoteReference"/>
          <w:rFonts w:cs="Times New Roman"/>
        </w:rPr>
        <w:footnoteRef/>
      </w:r>
      <w:r w:rsidRPr="00A402BC">
        <w:rPr>
          <w:rFonts w:cs="Times New Roman"/>
        </w:rPr>
        <w:t xml:space="preserve"> </w:t>
      </w:r>
      <w:r>
        <w:rPr>
          <w:rFonts w:cs="Times New Roman"/>
        </w:rPr>
        <w:t>Ibid.</w:t>
      </w:r>
    </w:p>
  </w:footnote>
  <w:footnote w:id="77">
    <w:p w:rsidR="00952E3B" w:rsidRPr="00A402BC" w:rsidRDefault="00952E3B" w:rsidP="00E8794E">
      <w:pPr>
        <w:pStyle w:val="FootnoteText"/>
        <w:rPr>
          <w:rFonts w:cs="Times New Roman"/>
        </w:rPr>
      </w:pPr>
      <w:r w:rsidRPr="00A402BC">
        <w:rPr>
          <w:rStyle w:val="FootnoteReference"/>
          <w:rFonts w:cs="Times New Roman"/>
        </w:rPr>
        <w:footnoteRef/>
      </w:r>
      <w:r w:rsidRPr="00A402BC">
        <w:rPr>
          <w:rFonts w:cs="Times New Roman"/>
        </w:rPr>
        <w:t xml:space="preserve"> </w:t>
      </w:r>
      <w:r>
        <w:rPr>
          <w:rFonts w:cs="Times New Roman"/>
        </w:rPr>
        <w:t>Ibid.</w:t>
      </w:r>
    </w:p>
  </w:footnote>
  <w:footnote w:id="78">
    <w:p w:rsidR="00952E3B" w:rsidRPr="00A402BC" w:rsidRDefault="00952E3B" w:rsidP="00E8794E">
      <w:pPr>
        <w:pStyle w:val="FootnoteText"/>
        <w:rPr>
          <w:rFonts w:cs="Times New Roman"/>
        </w:rPr>
      </w:pPr>
      <w:r w:rsidRPr="00A402BC">
        <w:rPr>
          <w:rStyle w:val="FootnoteReference"/>
          <w:rFonts w:cs="Times New Roman"/>
        </w:rPr>
        <w:footnoteRef/>
      </w:r>
      <w:r w:rsidRPr="00A402BC">
        <w:rPr>
          <w:rFonts w:cs="Times New Roman"/>
        </w:rPr>
        <w:t xml:space="preserve"> </w:t>
      </w:r>
      <w:r>
        <w:rPr>
          <w:rFonts w:cs="Times New Roman"/>
        </w:rPr>
        <w:t>Ibid.</w:t>
      </w:r>
    </w:p>
  </w:footnote>
  <w:footnote w:id="79">
    <w:p w:rsidR="00952E3B" w:rsidRDefault="00952E3B" w:rsidP="00E8794E">
      <w:pPr>
        <w:pStyle w:val="FootnoteText"/>
      </w:pPr>
      <w:r>
        <w:rPr>
          <w:rStyle w:val="FootnoteReference"/>
        </w:rPr>
        <w:footnoteRef/>
      </w:r>
      <w:r>
        <w:t xml:space="preserve"> Christopher S. Chivvis, “EU Civilian Conflict Management: The Record So Far” (Rand Corporation, March 2010), https://www.jstor.org/stable/10.7249/mg945osd, 8.</w:t>
      </w:r>
    </w:p>
  </w:footnote>
  <w:footnote w:id="80">
    <w:p w:rsidR="00952E3B" w:rsidRPr="00A402BC" w:rsidRDefault="00952E3B" w:rsidP="00E8794E">
      <w:pPr>
        <w:pStyle w:val="FootnoteText"/>
        <w:rPr>
          <w:rFonts w:cs="Times New Roman"/>
        </w:rPr>
      </w:pPr>
      <w:r w:rsidRPr="00A402BC">
        <w:rPr>
          <w:rStyle w:val="FootnoteReference"/>
          <w:rFonts w:cs="Times New Roman"/>
        </w:rPr>
        <w:footnoteRef/>
      </w:r>
      <w:r w:rsidRPr="00A402BC">
        <w:rPr>
          <w:rFonts w:cs="Times New Roman"/>
        </w:rPr>
        <w:t xml:space="preserve"> Frank Schimmelfennig and Ulrich Sedelmeier, “Governance by Conditionality: EU Rule Transfer to the Candidate Countries of Central and Eastern Europe,” </w:t>
      </w:r>
      <w:r w:rsidRPr="00A402BC">
        <w:rPr>
          <w:rFonts w:cs="Times New Roman"/>
          <w:i/>
          <w:iCs/>
        </w:rPr>
        <w:t>Journal of European Public Policy</w:t>
      </w:r>
      <w:r w:rsidRPr="00A402BC">
        <w:rPr>
          <w:rFonts w:cs="Times New Roman"/>
        </w:rPr>
        <w:t xml:space="preserve"> 11, no. 4 (2004): pp. 661-679, https://doi.org/10.1080/1350176042000248089, 664-665.</w:t>
      </w:r>
    </w:p>
  </w:footnote>
  <w:footnote w:id="81">
    <w:p w:rsidR="00952E3B" w:rsidRPr="00A402BC" w:rsidRDefault="00952E3B" w:rsidP="00E8794E">
      <w:pPr>
        <w:pStyle w:val="FootnoteText"/>
        <w:rPr>
          <w:rFonts w:cs="Times New Roman"/>
        </w:rPr>
      </w:pPr>
      <w:r w:rsidRPr="00A402BC">
        <w:rPr>
          <w:rStyle w:val="FootnoteReference"/>
          <w:rFonts w:cs="Times New Roman"/>
        </w:rPr>
        <w:footnoteRef/>
      </w:r>
      <w:r w:rsidRPr="00A402BC">
        <w:rPr>
          <w:rFonts w:cs="Times New Roman"/>
        </w:rPr>
        <w:t xml:space="preserve"> Nathalie Tocci, “Conflict Resolution in the European Neighbourhood: The Role of the EU as a Framework and as an Actor,” </w:t>
      </w:r>
      <w:r w:rsidRPr="00A402BC">
        <w:rPr>
          <w:rFonts w:cs="Times New Roman"/>
          <w:i/>
          <w:iCs/>
        </w:rPr>
        <w:t>European University Institute Press</w:t>
      </w:r>
      <w:r w:rsidRPr="00A402BC">
        <w:rPr>
          <w:rFonts w:cs="Times New Roman"/>
        </w:rPr>
        <w:t xml:space="preserve"> 29 (December 2004), 4-5.</w:t>
      </w:r>
    </w:p>
  </w:footnote>
  <w:footnote w:id="82">
    <w:p w:rsidR="00952E3B" w:rsidRPr="00A402BC" w:rsidRDefault="00952E3B" w:rsidP="00E8794E">
      <w:pPr>
        <w:pStyle w:val="FootnoteText"/>
        <w:rPr>
          <w:rFonts w:cs="Times New Roman"/>
        </w:rPr>
      </w:pPr>
      <w:r w:rsidRPr="00A402BC">
        <w:rPr>
          <w:rStyle w:val="FootnoteReference"/>
          <w:rFonts w:cs="Times New Roman"/>
        </w:rPr>
        <w:footnoteRef/>
      </w:r>
      <w:r w:rsidRPr="00A402BC">
        <w:rPr>
          <w:rFonts w:cs="Times New Roman"/>
        </w:rPr>
        <w:t xml:space="preserve"> </w:t>
      </w:r>
      <w:r>
        <w:rPr>
          <w:rFonts w:cs="Times New Roman"/>
        </w:rPr>
        <w:t>Ibid.9</w:t>
      </w:r>
    </w:p>
  </w:footnote>
  <w:footnote w:id="83">
    <w:p w:rsidR="00952E3B" w:rsidRPr="00A402BC" w:rsidRDefault="00952E3B" w:rsidP="00E8794E">
      <w:pPr>
        <w:rPr>
          <w:rFonts w:ascii="Times New Roman" w:hAnsi="Times New Roman"/>
        </w:rPr>
      </w:pPr>
      <w:r w:rsidRPr="00A402BC">
        <w:rPr>
          <w:rStyle w:val="FootnoteReference"/>
          <w:rFonts w:ascii="Times New Roman" w:hAnsi="Times New Roman"/>
        </w:rPr>
        <w:footnoteRef/>
      </w:r>
      <w:r w:rsidRPr="00A402BC">
        <w:rPr>
          <w:rFonts w:ascii="Times New Roman" w:hAnsi="Times New Roman"/>
        </w:rPr>
        <w:t xml:space="preserve"> Robert M. Emerson, “Introduction,” </w:t>
      </w:r>
      <w:r w:rsidRPr="00A402BC">
        <w:rPr>
          <w:rFonts w:ascii="Times New Roman" w:hAnsi="Times New Roman"/>
          <w:i/>
          <w:iCs/>
        </w:rPr>
        <w:t>The American Academy of Political and Social Science</w:t>
      </w:r>
      <w:r w:rsidRPr="00A402BC">
        <w:rPr>
          <w:rFonts w:ascii="Times New Roman" w:hAnsi="Times New Roman"/>
        </w:rPr>
        <w:t xml:space="preserve"> 595, no. 1 (2004): pp. 8-13, https://doi.org/10.1177/0002716204268031, 12-13.</w:t>
      </w:r>
    </w:p>
  </w:footnote>
  <w:footnote w:id="84">
    <w:p w:rsidR="00952E3B" w:rsidRDefault="00952E3B" w:rsidP="00E8794E">
      <w:pPr>
        <w:pStyle w:val="FootnoteText"/>
      </w:pPr>
      <w:r w:rsidRPr="00A402BC">
        <w:rPr>
          <w:rStyle w:val="FootnoteReference"/>
          <w:rFonts w:cs="Times New Roman"/>
        </w:rPr>
        <w:footnoteRef/>
      </w:r>
      <w:r w:rsidRPr="00A402BC">
        <w:rPr>
          <w:rFonts w:cs="Times New Roman"/>
        </w:rPr>
        <w:t xml:space="preserve"> </w:t>
      </w:r>
      <w:r>
        <w:rPr>
          <w:rFonts w:cs="Times New Roman"/>
        </w:rPr>
        <w:t>Ibid.5-6</w:t>
      </w:r>
    </w:p>
  </w:footnote>
  <w:footnote w:id="85">
    <w:p w:rsidR="00952E3B" w:rsidRPr="00FE74B3" w:rsidRDefault="00952E3B" w:rsidP="00050BA9">
      <w:pPr>
        <w:pStyle w:val="FootnoteText"/>
        <w:rPr>
          <w:rFonts w:cs="Times New Roman"/>
        </w:rPr>
      </w:pPr>
      <w:r w:rsidRPr="00FE74B3">
        <w:rPr>
          <w:rStyle w:val="FootnoteReference"/>
          <w:rFonts w:cs="Times New Roman"/>
        </w:rPr>
        <w:footnoteRef/>
      </w:r>
      <w:r w:rsidRPr="00FE74B3">
        <w:rPr>
          <w:rFonts w:cs="Times New Roman"/>
        </w:rPr>
        <w:t xml:space="preserve"> Benedikt Harzl, </w:t>
      </w:r>
      <w:proofErr w:type="gramStart"/>
      <w:r w:rsidRPr="00FE74B3">
        <w:rPr>
          <w:rFonts w:cs="Times New Roman"/>
          <w:i/>
          <w:iCs/>
        </w:rPr>
        <w:t>The</w:t>
      </w:r>
      <w:proofErr w:type="gramEnd"/>
      <w:r w:rsidRPr="00FE74B3">
        <w:rPr>
          <w:rFonts w:cs="Times New Roman"/>
          <w:i/>
          <w:iCs/>
        </w:rPr>
        <w:t xml:space="preserve"> Georgian-Abkhazian Conflict: Political Analysis</w:t>
      </w:r>
      <w:r w:rsidRPr="00FE74B3">
        <w:rPr>
          <w:rFonts w:cs="Times New Roman"/>
        </w:rPr>
        <w:t xml:space="preserve"> (Baden-Baden: Nomos, 2016), 43-44.</w:t>
      </w:r>
    </w:p>
  </w:footnote>
  <w:footnote w:id="86">
    <w:p w:rsidR="00952E3B" w:rsidRDefault="00952E3B" w:rsidP="00050BA9">
      <w:pPr>
        <w:pStyle w:val="FootnoteText"/>
      </w:pPr>
      <w:r w:rsidRPr="00FE74B3">
        <w:rPr>
          <w:rStyle w:val="FootnoteReference"/>
          <w:rFonts w:cs="Times New Roman"/>
        </w:rPr>
        <w:footnoteRef/>
      </w:r>
      <w:r>
        <w:rPr>
          <w:rFonts w:cs="Times New Roman"/>
        </w:rPr>
        <w:t xml:space="preserve"> Ibid</w:t>
      </w:r>
      <w:r w:rsidRPr="00FE74B3">
        <w:rPr>
          <w:rFonts w:cs="Times New Roman"/>
        </w:rPr>
        <w:t>.</w:t>
      </w:r>
      <w:r>
        <w:rPr>
          <w:rFonts w:cs="Times New Roman"/>
        </w:rPr>
        <w:t>46.</w:t>
      </w:r>
    </w:p>
  </w:footnote>
  <w:footnote w:id="87">
    <w:p w:rsidR="00952E3B" w:rsidRDefault="00952E3B">
      <w:pPr>
        <w:pStyle w:val="FootnoteText"/>
      </w:pPr>
      <w:r>
        <w:rPr>
          <w:rStyle w:val="FootnoteReference"/>
        </w:rPr>
        <w:footnoteRef/>
      </w:r>
      <w:r>
        <w:t xml:space="preserve"> Andrew Andersen, “Territorial Losses of Georgia during Sovietization,” 2004, http://www.conflicts.rem33.com/images/Georgia/Lang_11.htm.</w:t>
      </w:r>
    </w:p>
  </w:footnote>
  <w:footnote w:id="88">
    <w:p w:rsidR="00952E3B" w:rsidRPr="006E1173" w:rsidRDefault="00952E3B" w:rsidP="00050BA9">
      <w:pPr>
        <w:pStyle w:val="FootnoteText"/>
        <w:rPr>
          <w:rFonts w:cs="Times New Roman"/>
        </w:rPr>
      </w:pPr>
      <w:r w:rsidRPr="006E1173">
        <w:rPr>
          <w:rStyle w:val="FootnoteReference"/>
          <w:rFonts w:cs="Times New Roman"/>
        </w:rPr>
        <w:footnoteRef/>
      </w:r>
      <w:r w:rsidRPr="006E1173">
        <w:rPr>
          <w:rFonts w:cs="Times New Roman"/>
        </w:rPr>
        <w:t xml:space="preserve"> Emil Souleimanov, </w:t>
      </w:r>
      <w:r w:rsidRPr="006E1173">
        <w:rPr>
          <w:rFonts w:cs="Times New Roman"/>
          <w:i/>
          <w:iCs/>
        </w:rPr>
        <w:t>Understanding Ethnopolitical Conflict: Karabakh, South Ossetia, and Abkhazia Wars Reconsidered</w:t>
      </w:r>
      <w:r w:rsidRPr="006E1173">
        <w:rPr>
          <w:rFonts w:cs="Times New Roman"/>
        </w:rPr>
        <w:t xml:space="preserve"> (Houndmills, Basingstoke, Hampshire: Palgrave Macmillan, 2013), 114.</w:t>
      </w:r>
    </w:p>
  </w:footnote>
  <w:footnote w:id="89">
    <w:p w:rsidR="00952E3B" w:rsidRPr="006E1173" w:rsidRDefault="00952E3B" w:rsidP="00050BA9">
      <w:pPr>
        <w:pStyle w:val="FootnoteText"/>
        <w:rPr>
          <w:rFonts w:cs="Times New Roman"/>
        </w:rPr>
      </w:pPr>
      <w:r w:rsidRPr="006E1173">
        <w:rPr>
          <w:rStyle w:val="FootnoteReference"/>
          <w:rFonts w:cs="Times New Roman"/>
        </w:rPr>
        <w:footnoteRef/>
      </w:r>
      <w:r w:rsidRPr="006E1173">
        <w:rPr>
          <w:rFonts w:cs="Times New Roman"/>
        </w:rPr>
        <w:t xml:space="preserve"> Companjen Françoise, Marácz László </w:t>
      </w:r>
      <w:proofErr w:type="gramStart"/>
      <w:r w:rsidRPr="006E1173">
        <w:rPr>
          <w:rFonts w:cs="Times New Roman"/>
        </w:rPr>
        <w:t>Károly.,</w:t>
      </w:r>
      <w:proofErr w:type="gramEnd"/>
      <w:r w:rsidRPr="006E1173">
        <w:rPr>
          <w:rFonts w:cs="Times New Roman"/>
        </w:rPr>
        <w:t xml:space="preserve"> and Lia Versteegh, </w:t>
      </w:r>
      <w:r w:rsidRPr="006E1173">
        <w:rPr>
          <w:rFonts w:cs="Times New Roman"/>
          <w:i/>
          <w:iCs/>
        </w:rPr>
        <w:t>Exploring the Caucasus in the 21st Century: Essays on Culture, History and Politics in a Dynamic Context</w:t>
      </w:r>
      <w:r w:rsidRPr="006E1173">
        <w:rPr>
          <w:rFonts w:cs="Times New Roman"/>
        </w:rPr>
        <w:t xml:space="preserve"> (Amsterdam: </w:t>
      </w:r>
      <w:r>
        <w:rPr>
          <w:rFonts w:cs="Times New Roman"/>
        </w:rPr>
        <w:t xml:space="preserve">Pallas Publications, 2010), </w:t>
      </w:r>
      <w:r w:rsidRPr="006E1173">
        <w:rPr>
          <w:rFonts w:cs="Times New Roman"/>
        </w:rPr>
        <w:t>190.</w:t>
      </w:r>
    </w:p>
  </w:footnote>
  <w:footnote w:id="90">
    <w:p w:rsidR="00952E3B" w:rsidRPr="006E1173" w:rsidRDefault="00952E3B" w:rsidP="00050BA9">
      <w:pPr>
        <w:pStyle w:val="FootnoteText"/>
        <w:rPr>
          <w:rFonts w:cs="Times New Roman"/>
        </w:rPr>
      </w:pPr>
      <w:r w:rsidRPr="006E1173">
        <w:rPr>
          <w:rStyle w:val="FootnoteReference"/>
          <w:rFonts w:cs="Times New Roman"/>
        </w:rPr>
        <w:footnoteRef/>
      </w:r>
      <w:r w:rsidRPr="006E1173">
        <w:rPr>
          <w:rFonts w:cs="Times New Roman"/>
        </w:rPr>
        <w:t xml:space="preserve"> Charles King, </w:t>
      </w:r>
      <w:r w:rsidRPr="006E1173">
        <w:rPr>
          <w:rFonts w:cs="Times New Roman"/>
          <w:i/>
          <w:iCs/>
        </w:rPr>
        <w:t>The Ghost of Freedom: a History of the Caucasus</w:t>
      </w:r>
      <w:r w:rsidRPr="006E1173">
        <w:rPr>
          <w:rFonts w:cs="Times New Roman"/>
        </w:rPr>
        <w:t xml:space="preserve"> (New York: Oxford University Press, 2012), http://georgica.tsu.edu.ge/files/06-History/Nationalism%20&amp;%20Identity/King-2008.pdf, 188.</w:t>
      </w:r>
    </w:p>
  </w:footnote>
  <w:footnote w:id="91">
    <w:p w:rsidR="00952E3B" w:rsidRPr="006E1173" w:rsidRDefault="00952E3B" w:rsidP="00050BA9">
      <w:pPr>
        <w:pStyle w:val="FootnoteText"/>
        <w:rPr>
          <w:rFonts w:cs="Times New Roman"/>
        </w:rPr>
      </w:pPr>
      <w:r w:rsidRPr="006E1173">
        <w:rPr>
          <w:rStyle w:val="FootnoteReference"/>
          <w:rFonts w:cs="Times New Roman"/>
        </w:rPr>
        <w:footnoteRef/>
      </w:r>
      <w:r w:rsidRPr="006E1173">
        <w:rPr>
          <w:rFonts w:cs="Times New Roman"/>
        </w:rPr>
        <w:t xml:space="preserve"> </w:t>
      </w:r>
      <w:r>
        <w:rPr>
          <w:rFonts w:cs="Times New Roman"/>
        </w:rPr>
        <w:t>Ibid.189-190.</w:t>
      </w:r>
    </w:p>
  </w:footnote>
  <w:footnote w:id="92">
    <w:p w:rsidR="00952E3B" w:rsidRPr="006E1173" w:rsidRDefault="00952E3B" w:rsidP="00050BA9">
      <w:pPr>
        <w:rPr>
          <w:rFonts w:ascii="Times New Roman" w:hAnsi="Times New Roman"/>
        </w:rPr>
      </w:pPr>
      <w:r w:rsidRPr="006E1173">
        <w:rPr>
          <w:rStyle w:val="FootnoteReference"/>
          <w:rFonts w:ascii="Times New Roman" w:hAnsi="Times New Roman"/>
        </w:rPr>
        <w:footnoteRef/>
      </w:r>
      <w:r w:rsidRPr="006E1173">
        <w:rPr>
          <w:rFonts w:ascii="Times New Roman" w:hAnsi="Times New Roman"/>
        </w:rPr>
        <w:t xml:space="preserve"> Frederik Coene, </w:t>
      </w:r>
      <w:r w:rsidRPr="006E1173">
        <w:rPr>
          <w:rFonts w:ascii="Times New Roman" w:hAnsi="Times New Roman"/>
          <w:i/>
          <w:iCs/>
        </w:rPr>
        <w:t>Caucasus: an Introduction</w:t>
      </w:r>
      <w:r w:rsidRPr="006E1173">
        <w:rPr>
          <w:rFonts w:ascii="Times New Roman" w:hAnsi="Times New Roman"/>
        </w:rPr>
        <w:t xml:space="preserve"> (London: Taylor &amp; Francis, 2011), 149</w:t>
      </w:r>
    </w:p>
  </w:footnote>
  <w:footnote w:id="93">
    <w:p w:rsidR="00952E3B" w:rsidRPr="004C7C75" w:rsidRDefault="00952E3B" w:rsidP="00050BA9">
      <w:pPr>
        <w:pStyle w:val="FootnoteText"/>
        <w:rPr>
          <w:rFonts w:cs="Times New Roman"/>
        </w:rPr>
      </w:pPr>
      <w:r w:rsidRPr="004C7C75">
        <w:rPr>
          <w:rStyle w:val="FootnoteReference"/>
          <w:rFonts w:cs="Times New Roman"/>
        </w:rPr>
        <w:footnoteRef/>
      </w:r>
      <w:r w:rsidRPr="004C7C75">
        <w:rPr>
          <w:rFonts w:cs="Times New Roman"/>
        </w:rPr>
        <w:t xml:space="preserve"> Companjen Françoise, Marácz László </w:t>
      </w:r>
      <w:proofErr w:type="gramStart"/>
      <w:r w:rsidRPr="004C7C75">
        <w:rPr>
          <w:rFonts w:cs="Times New Roman"/>
        </w:rPr>
        <w:t>Károly.,</w:t>
      </w:r>
      <w:proofErr w:type="gramEnd"/>
      <w:r w:rsidRPr="004C7C75">
        <w:rPr>
          <w:rFonts w:cs="Times New Roman"/>
        </w:rPr>
        <w:t xml:space="preserve"> and Lia Versteegh, </w:t>
      </w:r>
      <w:r w:rsidRPr="004C7C75">
        <w:rPr>
          <w:rFonts w:cs="Times New Roman"/>
          <w:i/>
          <w:iCs/>
        </w:rPr>
        <w:t>Exploring the Caucasus in the 21st Century: Essays on Culture, History and Politics in a Dynamic Context</w:t>
      </w:r>
      <w:r w:rsidRPr="004C7C75">
        <w:rPr>
          <w:rFonts w:cs="Times New Roman"/>
        </w:rPr>
        <w:t xml:space="preserve"> (Amsterdam: Pallas Publications, 2010), 190.</w:t>
      </w:r>
    </w:p>
  </w:footnote>
  <w:footnote w:id="94">
    <w:p w:rsidR="00952E3B" w:rsidRPr="004C7C75" w:rsidRDefault="00952E3B" w:rsidP="00050BA9">
      <w:pPr>
        <w:rPr>
          <w:rFonts w:ascii="Times New Roman" w:hAnsi="Times New Roman"/>
        </w:rPr>
      </w:pPr>
      <w:r w:rsidRPr="004C7C75">
        <w:rPr>
          <w:rStyle w:val="FootnoteReference"/>
          <w:rFonts w:ascii="Times New Roman" w:hAnsi="Times New Roman"/>
        </w:rPr>
        <w:footnoteRef/>
      </w:r>
      <w:r w:rsidRPr="004C7C75">
        <w:rPr>
          <w:rFonts w:ascii="Times New Roman" w:hAnsi="Times New Roman"/>
        </w:rPr>
        <w:t xml:space="preserve"> Emil Souleimanov, </w:t>
      </w:r>
      <w:r w:rsidRPr="004C7C75">
        <w:rPr>
          <w:rFonts w:ascii="Times New Roman" w:hAnsi="Times New Roman"/>
          <w:i/>
          <w:iCs/>
        </w:rPr>
        <w:t>Understanding Ethnopolitical Conflict: Karabakh, South Ossetia, and Abkhazia Wars Reconsidered</w:t>
      </w:r>
      <w:r w:rsidRPr="004C7C75">
        <w:rPr>
          <w:rFonts w:ascii="Times New Roman" w:hAnsi="Times New Roman"/>
        </w:rPr>
        <w:t xml:space="preserve"> (Houndmills, Basingstoke, Hampshire: Palgrave Macmillan, 2013), 116.</w:t>
      </w:r>
    </w:p>
  </w:footnote>
  <w:footnote w:id="95">
    <w:p w:rsidR="00952E3B" w:rsidRPr="004C7C75" w:rsidRDefault="00952E3B" w:rsidP="00050BA9">
      <w:pPr>
        <w:pStyle w:val="FootnoteText"/>
        <w:rPr>
          <w:rFonts w:cs="Times New Roman"/>
        </w:rPr>
      </w:pPr>
      <w:r w:rsidRPr="004C7C75">
        <w:rPr>
          <w:rStyle w:val="FootnoteReference"/>
          <w:rFonts w:cs="Times New Roman"/>
        </w:rPr>
        <w:footnoteRef/>
      </w:r>
      <w:r w:rsidRPr="004C7C75">
        <w:rPr>
          <w:rFonts w:cs="Times New Roman"/>
        </w:rPr>
        <w:t xml:space="preserve"> </w:t>
      </w:r>
      <w:r>
        <w:rPr>
          <w:rFonts w:cs="Times New Roman"/>
        </w:rPr>
        <w:t>Ibid.122</w:t>
      </w:r>
    </w:p>
  </w:footnote>
  <w:footnote w:id="96">
    <w:p w:rsidR="00952E3B" w:rsidRPr="004C7C75" w:rsidRDefault="00952E3B" w:rsidP="00050BA9">
      <w:pPr>
        <w:rPr>
          <w:rFonts w:ascii="Times New Roman" w:hAnsi="Times New Roman"/>
        </w:rPr>
      </w:pPr>
      <w:r w:rsidRPr="004C7C75">
        <w:rPr>
          <w:rStyle w:val="FootnoteReference"/>
          <w:rFonts w:ascii="Times New Roman" w:hAnsi="Times New Roman"/>
        </w:rPr>
        <w:footnoteRef/>
      </w:r>
      <w:r w:rsidRPr="004C7C75">
        <w:rPr>
          <w:rFonts w:ascii="Times New Roman" w:hAnsi="Times New Roman"/>
        </w:rPr>
        <w:t xml:space="preserve"> </w:t>
      </w:r>
      <w:r>
        <w:rPr>
          <w:rFonts w:ascii="Times New Roman" w:hAnsi="Times New Roman"/>
        </w:rPr>
        <w:t>Ibid.129-130</w:t>
      </w:r>
    </w:p>
  </w:footnote>
  <w:footnote w:id="97">
    <w:p w:rsidR="00952E3B" w:rsidRPr="004C7C75" w:rsidRDefault="00952E3B" w:rsidP="00050BA9">
      <w:pPr>
        <w:pStyle w:val="FootnoteText"/>
        <w:rPr>
          <w:rFonts w:cs="Times New Roman"/>
        </w:rPr>
      </w:pPr>
      <w:r w:rsidRPr="004C7C75">
        <w:rPr>
          <w:rStyle w:val="FootnoteReference"/>
          <w:rFonts w:cs="Times New Roman"/>
        </w:rPr>
        <w:footnoteRef/>
      </w:r>
      <w:r w:rsidRPr="004C7C75">
        <w:rPr>
          <w:rFonts w:cs="Times New Roman"/>
        </w:rPr>
        <w:t xml:space="preserve"> George Hewitt, </w:t>
      </w:r>
      <w:r w:rsidRPr="004C7C75">
        <w:rPr>
          <w:rFonts w:cs="Times New Roman"/>
          <w:i/>
          <w:iCs/>
        </w:rPr>
        <w:t>Abkhazians</w:t>
      </w:r>
      <w:r w:rsidRPr="004C7C75">
        <w:rPr>
          <w:rFonts w:cs="Times New Roman"/>
        </w:rPr>
        <w:t xml:space="preserve"> (New York: Routledge, 2015), 233-235.</w:t>
      </w:r>
    </w:p>
  </w:footnote>
  <w:footnote w:id="98">
    <w:p w:rsidR="00952E3B" w:rsidRDefault="00952E3B" w:rsidP="00050BA9">
      <w:pPr>
        <w:pStyle w:val="FootnoteText"/>
      </w:pPr>
      <w:r w:rsidRPr="004C7C75">
        <w:rPr>
          <w:rStyle w:val="FootnoteReference"/>
          <w:rFonts w:cs="Times New Roman"/>
        </w:rPr>
        <w:footnoteRef/>
      </w:r>
      <w:r w:rsidRPr="004C7C75">
        <w:rPr>
          <w:rFonts w:cs="Times New Roman"/>
        </w:rPr>
        <w:t xml:space="preserve"> </w:t>
      </w:r>
      <w:r>
        <w:rPr>
          <w:rFonts w:cs="Times New Roman"/>
        </w:rPr>
        <w:t>Ibid.</w:t>
      </w:r>
    </w:p>
  </w:footnote>
  <w:footnote w:id="99">
    <w:p w:rsidR="00952E3B" w:rsidRDefault="00952E3B" w:rsidP="00050BA9">
      <w:pPr>
        <w:pStyle w:val="FootnoteText"/>
        <w:rPr>
          <w:rFonts w:cs="Times New Roman"/>
          <w:i/>
          <w:iCs/>
        </w:rPr>
      </w:pPr>
      <w:r w:rsidRPr="00A845A2">
        <w:rPr>
          <w:rStyle w:val="FootnoteReference"/>
          <w:rFonts w:cs="Times New Roman"/>
        </w:rPr>
        <w:footnoteRef/>
      </w:r>
      <w:r w:rsidRPr="00A845A2">
        <w:rPr>
          <w:rFonts w:cs="Times New Roman"/>
        </w:rPr>
        <w:t xml:space="preserve"> Emil Souleimanov, </w:t>
      </w:r>
      <w:r w:rsidRPr="00A845A2">
        <w:rPr>
          <w:rFonts w:cs="Times New Roman"/>
          <w:i/>
          <w:iCs/>
        </w:rPr>
        <w:t>Understanding Ethnopolitical Conflict: Karabakh, South Ossetia, and Abkhazia Wars Reconsi</w:t>
      </w:r>
    </w:p>
    <w:p w:rsidR="00952E3B" w:rsidRPr="00A845A2" w:rsidRDefault="00952E3B" w:rsidP="00050BA9">
      <w:pPr>
        <w:pStyle w:val="FootnoteText"/>
        <w:rPr>
          <w:rFonts w:cs="Times New Roman"/>
        </w:rPr>
      </w:pPr>
      <w:r w:rsidRPr="00A845A2">
        <w:rPr>
          <w:rFonts w:cs="Times New Roman"/>
          <w:i/>
          <w:iCs/>
        </w:rPr>
        <w:t>dered</w:t>
      </w:r>
      <w:r w:rsidRPr="00A845A2">
        <w:rPr>
          <w:rFonts w:cs="Times New Roman"/>
        </w:rPr>
        <w:t xml:space="preserve"> (Houndmills, Basingstoke, Hampshire: Palgrave Macmillan, 2013), 129-130</w:t>
      </w:r>
    </w:p>
  </w:footnote>
  <w:footnote w:id="100">
    <w:p w:rsidR="00952E3B" w:rsidRDefault="00952E3B">
      <w:pPr>
        <w:pStyle w:val="FootnoteText"/>
      </w:pPr>
      <w:r>
        <w:rPr>
          <w:rStyle w:val="FootnoteReference"/>
        </w:rPr>
        <w:footnoteRef/>
      </w:r>
      <w:r>
        <w:t xml:space="preserve"> Zviad Gamsakhurdia Public Address</w:t>
      </w:r>
      <w:r w:rsidR="004D67B8">
        <w:t>, April 1989</w:t>
      </w:r>
      <w:r>
        <w:rPr>
          <w:i/>
          <w:iCs/>
        </w:rPr>
        <w:t>: The Abkhaz Nation Doesn't Exist</w:t>
      </w:r>
      <w:r>
        <w:t>, 2017, https://www.youtube.com/watch?v=Pe4QP3_u3WY.</w:t>
      </w:r>
    </w:p>
  </w:footnote>
  <w:footnote w:id="101">
    <w:p w:rsidR="00952E3B" w:rsidRPr="00A845A2" w:rsidRDefault="00952E3B" w:rsidP="00012D4C">
      <w:pPr>
        <w:rPr>
          <w:rFonts w:ascii="Times New Roman" w:hAnsi="Times New Roman"/>
        </w:rPr>
      </w:pPr>
      <w:r w:rsidRPr="00A845A2">
        <w:rPr>
          <w:rStyle w:val="FootnoteReference"/>
          <w:rFonts w:ascii="Times New Roman" w:hAnsi="Times New Roman"/>
        </w:rPr>
        <w:footnoteRef/>
      </w:r>
      <w:r w:rsidRPr="00A845A2">
        <w:rPr>
          <w:rFonts w:ascii="Times New Roman" w:hAnsi="Times New Roman"/>
        </w:rPr>
        <w:t xml:space="preserve"> </w:t>
      </w:r>
      <w:r>
        <w:rPr>
          <w:rFonts w:ascii="Times New Roman" w:hAnsi="Times New Roman"/>
        </w:rPr>
        <w:t>Ibid.</w:t>
      </w:r>
    </w:p>
  </w:footnote>
  <w:footnote w:id="102">
    <w:p w:rsidR="00952E3B" w:rsidRPr="00A845A2" w:rsidRDefault="00952E3B" w:rsidP="00012D4C">
      <w:pPr>
        <w:rPr>
          <w:rFonts w:ascii="Times New Roman" w:hAnsi="Times New Roman"/>
          <w:b/>
        </w:rPr>
      </w:pPr>
      <w:r w:rsidRPr="00A845A2">
        <w:rPr>
          <w:rStyle w:val="FootnoteReference"/>
          <w:rFonts w:ascii="Times New Roman" w:hAnsi="Times New Roman"/>
        </w:rPr>
        <w:footnoteRef/>
      </w:r>
      <w:r w:rsidRPr="00A845A2">
        <w:rPr>
          <w:rFonts w:ascii="Times New Roman" w:hAnsi="Times New Roman"/>
        </w:rPr>
        <w:t xml:space="preserve"> George Hewitt, </w:t>
      </w:r>
      <w:r w:rsidRPr="00A845A2">
        <w:rPr>
          <w:rFonts w:ascii="Times New Roman" w:hAnsi="Times New Roman"/>
          <w:i/>
          <w:iCs/>
        </w:rPr>
        <w:t>Abkhazians</w:t>
      </w:r>
      <w:r w:rsidRPr="00A845A2">
        <w:rPr>
          <w:rFonts w:ascii="Times New Roman" w:hAnsi="Times New Roman"/>
        </w:rPr>
        <w:t xml:space="preserve"> (New York: Routledge, 2015), 234.</w:t>
      </w:r>
    </w:p>
  </w:footnote>
  <w:footnote w:id="103">
    <w:p w:rsidR="00952E3B" w:rsidRPr="00A845A2" w:rsidRDefault="00952E3B" w:rsidP="00012D4C">
      <w:pPr>
        <w:pStyle w:val="NormalWeb"/>
        <w:rPr>
          <w:rFonts w:ascii="Times New Roman" w:hAnsi="Times New Roman"/>
          <w:b/>
          <w:sz w:val="20"/>
          <w:szCs w:val="20"/>
        </w:rPr>
      </w:pPr>
      <w:r w:rsidRPr="00A845A2">
        <w:rPr>
          <w:rStyle w:val="FootnoteReference"/>
          <w:rFonts w:ascii="Times New Roman" w:hAnsi="Times New Roman"/>
          <w:sz w:val="20"/>
          <w:szCs w:val="20"/>
        </w:rPr>
        <w:footnoteRef/>
      </w:r>
      <w:r w:rsidRPr="00A845A2">
        <w:rPr>
          <w:rFonts w:ascii="Times New Roman" w:hAnsi="Times New Roman"/>
          <w:sz w:val="20"/>
          <w:szCs w:val="20"/>
        </w:rPr>
        <w:t xml:space="preserve"> </w:t>
      </w:r>
      <w:r>
        <w:rPr>
          <w:rFonts w:ascii="Times New Roman" w:hAnsi="Times New Roman"/>
          <w:sz w:val="20"/>
          <w:szCs w:val="20"/>
        </w:rPr>
        <w:t>Ibid.</w:t>
      </w:r>
    </w:p>
  </w:footnote>
  <w:footnote w:id="104">
    <w:p w:rsidR="00952E3B" w:rsidRPr="00A845A2" w:rsidRDefault="00952E3B" w:rsidP="00012D4C">
      <w:pPr>
        <w:pStyle w:val="NormalWeb"/>
        <w:rPr>
          <w:rFonts w:ascii="Times New Roman" w:hAnsi="Times New Roman"/>
          <w:sz w:val="20"/>
          <w:szCs w:val="20"/>
        </w:rPr>
      </w:pPr>
      <w:r w:rsidRPr="00A845A2">
        <w:rPr>
          <w:rStyle w:val="FootnoteReference"/>
          <w:rFonts w:ascii="Times New Roman" w:hAnsi="Times New Roman"/>
          <w:sz w:val="20"/>
          <w:szCs w:val="20"/>
        </w:rPr>
        <w:footnoteRef/>
      </w:r>
      <w:r w:rsidRPr="00A845A2">
        <w:rPr>
          <w:rFonts w:ascii="Times New Roman" w:hAnsi="Times New Roman"/>
          <w:sz w:val="20"/>
          <w:szCs w:val="20"/>
        </w:rPr>
        <w:t xml:space="preserve"> Ghia Nodia, “The Conflict in Abkhazia: National Projects and Political Circumstances” (Vrije </w:t>
      </w:r>
      <w:proofErr w:type="gramStart"/>
      <w:r w:rsidRPr="00A845A2">
        <w:rPr>
          <w:rFonts w:ascii="Times New Roman" w:hAnsi="Times New Roman"/>
          <w:sz w:val="20"/>
          <w:szCs w:val="20"/>
        </w:rPr>
        <w:t>University ,</w:t>
      </w:r>
      <w:proofErr w:type="gramEnd"/>
      <w:r w:rsidRPr="00A845A2">
        <w:rPr>
          <w:rFonts w:ascii="Times New Roman" w:hAnsi="Times New Roman"/>
          <w:sz w:val="20"/>
          <w:szCs w:val="20"/>
        </w:rPr>
        <w:t xml:space="preserve"> 1998), </w:t>
      </w:r>
      <w:hyperlink r:id="rId16" w:history="1">
        <w:r w:rsidRPr="00A845A2">
          <w:rPr>
            <w:rStyle w:val="Hyperlink"/>
            <w:rFonts w:ascii="Times New Roman" w:hAnsi="Times New Roman"/>
            <w:sz w:val="20"/>
            <w:szCs w:val="20"/>
          </w:rPr>
          <w:t>http://poli.vub.ac.be/publi/Georgians/chp0201.html</w:t>
        </w:r>
      </w:hyperlink>
      <w:r w:rsidRPr="00A845A2">
        <w:rPr>
          <w:rFonts w:ascii="Times New Roman" w:hAnsi="Times New Roman"/>
          <w:sz w:val="20"/>
          <w:szCs w:val="20"/>
        </w:rPr>
        <w:t>.</w:t>
      </w:r>
    </w:p>
  </w:footnote>
  <w:footnote w:id="105">
    <w:p w:rsidR="00952E3B" w:rsidRPr="00A845A2" w:rsidRDefault="00952E3B" w:rsidP="00012D4C">
      <w:pPr>
        <w:pStyle w:val="NormalWeb"/>
        <w:rPr>
          <w:rFonts w:ascii="Times New Roman" w:hAnsi="Times New Roman"/>
          <w:sz w:val="20"/>
          <w:szCs w:val="20"/>
        </w:rPr>
      </w:pPr>
      <w:r w:rsidRPr="00A845A2">
        <w:rPr>
          <w:rStyle w:val="FootnoteReference"/>
          <w:rFonts w:ascii="Times New Roman" w:hAnsi="Times New Roman"/>
          <w:sz w:val="20"/>
          <w:szCs w:val="20"/>
        </w:rPr>
        <w:footnoteRef/>
      </w:r>
      <w:r w:rsidRPr="00A845A2">
        <w:rPr>
          <w:rFonts w:ascii="Times New Roman" w:hAnsi="Times New Roman"/>
          <w:sz w:val="20"/>
          <w:szCs w:val="20"/>
        </w:rPr>
        <w:t xml:space="preserve"> </w:t>
      </w:r>
      <w:r>
        <w:rPr>
          <w:rFonts w:ascii="Times New Roman" w:hAnsi="Times New Roman"/>
          <w:sz w:val="20"/>
          <w:szCs w:val="20"/>
        </w:rPr>
        <w:t>Ibid.</w:t>
      </w:r>
    </w:p>
  </w:footnote>
  <w:footnote w:id="106">
    <w:p w:rsidR="00952E3B" w:rsidRPr="00A845A2" w:rsidRDefault="00952E3B" w:rsidP="00050BA9">
      <w:pPr>
        <w:pStyle w:val="FootnoteText"/>
        <w:rPr>
          <w:rFonts w:cs="Times New Roman"/>
        </w:rPr>
      </w:pPr>
      <w:r w:rsidRPr="00A845A2">
        <w:rPr>
          <w:rStyle w:val="FootnoteReference"/>
          <w:rFonts w:cs="Times New Roman"/>
        </w:rPr>
        <w:footnoteRef/>
      </w:r>
      <w:r w:rsidRPr="00A845A2">
        <w:rPr>
          <w:rFonts w:cs="Times New Roman"/>
        </w:rPr>
        <w:t xml:space="preserve"> Frederik Coene, </w:t>
      </w:r>
      <w:r w:rsidRPr="00A845A2">
        <w:rPr>
          <w:rFonts w:cs="Times New Roman"/>
          <w:i/>
          <w:iCs/>
        </w:rPr>
        <w:t>Caucasus: an Introduction</w:t>
      </w:r>
      <w:r w:rsidRPr="00A845A2">
        <w:rPr>
          <w:rFonts w:cs="Times New Roman"/>
        </w:rPr>
        <w:t xml:space="preserve"> (London: Taylor &amp; Francis, 2011), 150.</w:t>
      </w:r>
    </w:p>
  </w:footnote>
  <w:footnote w:id="107">
    <w:p w:rsidR="00952E3B" w:rsidRDefault="00952E3B" w:rsidP="00050BA9">
      <w:pPr>
        <w:pStyle w:val="FootnoteText"/>
      </w:pPr>
      <w:r w:rsidRPr="00A845A2">
        <w:rPr>
          <w:rStyle w:val="FootnoteReference"/>
          <w:rFonts w:cs="Times New Roman"/>
        </w:rPr>
        <w:footnoteRef/>
      </w:r>
      <w:r w:rsidRPr="00A845A2">
        <w:rPr>
          <w:rFonts w:cs="Times New Roman"/>
        </w:rPr>
        <w:t xml:space="preserve"> Svante E. Cornell, </w:t>
      </w:r>
      <w:r w:rsidRPr="00A845A2">
        <w:rPr>
          <w:rFonts w:cs="Times New Roman"/>
          <w:i/>
          <w:iCs/>
        </w:rPr>
        <w:t>Small Nations and Great Powers: a Study of Ethnopolitical Conflict in the Caucasus</w:t>
      </w:r>
      <w:r w:rsidRPr="00A845A2">
        <w:rPr>
          <w:rFonts w:cs="Times New Roman"/>
        </w:rPr>
        <w:t xml:space="preserve"> (London: Routledge Curzon, 2005),</w:t>
      </w:r>
      <w:r w:rsidRPr="0062083C">
        <w:rPr>
          <w:rFonts w:cs="Times New Roman"/>
          <w:sz w:val="16"/>
          <w:szCs w:val="16"/>
        </w:rPr>
        <w:t xml:space="preserve"> https://is.muni.cz/el/1423/podzim2012/MVZ208/um/35586974/Small_Nations_and_Great_Powers__A_Study_of_Ethnopolitical_Conflict_in_the_Caucasus__.pdf, 162.</w:t>
      </w:r>
    </w:p>
  </w:footnote>
  <w:footnote w:id="108">
    <w:p w:rsidR="00952E3B" w:rsidRPr="006809FF" w:rsidRDefault="00952E3B" w:rsidP="00050BA9">
      <w:pPr>
        <w:pStyle w:val="FootnoteText"/>
      </w:pPr>
      <w:r w:rsidRPr="006809FF">
        <w:rPr>
          <w:rStyle w:val="FootnoteReference"/>
        </w:rPr>
        <w:footnoteRef/>
      </w:r>
      <w:r w:rsidRPr="006809FF">
        <w:t xml:space="preserve"> </w:t>
      </w:r>
      <w:r>
        <w:rPr>
          <w:rFonts w:cs="Times New Roman"/>
        </w:rPr>
        <w:t>Ibid.162</w:t>
      </w:r>
    </w:p>
  </w:footnote>
  <w:footnote w:id="109">
    <w:p w:rsidR="00952E3B" w:rsidRPr="006809FF" w:rsidRDefault="00952E3B" w:rsidP="00050BA9">
      <w:pPr>
        <w:pStyle w:val="FootnoteText"/>
      </w:pPr>
      <w:r w:rsidRPr="006809FF">
        <w:rPr>
          <w:rStyle w:val="FootnoteReference"/>
        </w:rPr>
        <w:footnoteRef/>
      </w:r>
      <w:r w:rsidRPr="006809FF">
        <w:t xml:space="preserve"> </w:t>
      </w:r>
      <w:r w:rsidRPr="006809FF">
        <w:rPr>
          <w:rFonts w:cs="Times New Roman"/>
        </w:rPr>
        <w:t>Magdalena Frichova, “Transitional Justice and Georgia’s Conflicts: Breaking the Silence” (International Center for Transitional Justice, May 2009), https://www.ictj.org/sites/default/files/ICTJ-Georgia-Breaking-Silence-2009-English.pdf, 11-12.</w:t>
      </w:r>
    </w:p>
  </w:footnote>
  <w:footnote w:id="110">
    <w:p w:rsidR="00952E3B" w:rsidRPr="006809FF" w:rsidRDefault="00952E3B" w:rsidP="00050BA9">
      <w:pPr>
        <w:pStyle w:val="FootnoteText"/>
      </w:pPr>
      <w:r w:rsidRPr="006809FF">
        <w:rPr>
          <w:rStyle w:val="FootnoteReference"/>
        </w:rPr>
        <w:footnoteRef/>
      </w:r>
      <w:r w:rsidRPr="006809FF">
        <w:t xml:space="preserve"> </w:t>
      </w:r>
      <w:r w:rsidRPr="006809FF">
        <w:rPr>
          <w:rFonts w:cs="Times New Roman"/>
        </w:rPr>
        <w:t xml:space="preserve">Svante E. Cornell, </w:t>
      </w:r>
      <w:r w:rsidRPr="006809FF">
        <w:rPr>
          <w:rFonts w:cs="Times New Roman"/>
          <w:i/>
          <w:iCs/>
        </w:rPr>
        <w:t>Small Nations and Great Powers: a Study of Ethnopolitical Conflict in the Caucasus</w:t>
      </w:r>
      <w:r w:rsidRPr="006809FF">
        <w:rPr>
          <w:rFonts w:cs="Times New Roman"/>
        </w:rPr>
        <w:t xml:space="preserve"> (London: Routledge Curzon, 2005), https://is.muni.cz/el/1423/podzim2012/MVZ208/um/35586974/Small_Nations_and_Great_Powers__A_Study_of_Ethnopolitical_Conflict_in_the_Caucasus__.pdf, 163.</w:t>
      </w:r>
    </w:p>
  </w:footnote>
  <w:footnote w:id="111">
    <w:p w:rsidR="00952E3B" w:rsidRPr="006809FF" w:rsidRDefault="00952E3B" w:rsidP="00050BA9">
      <w:pPr>
        <w:pStyle w:val="FootnoteText"/>
      </w:pPr>
      <w:r w:rsidRPr="006809FF">
        <w:rPr>
          <w:rStyle w:val="FootnoteReference"/>
        </w:rPr>
        <w:footnoteRef/>
      </w:r>
      <w:r w:rsidRPr="006809FF">
        <w:t xml:space="preserve"> </w:t>
      </w:r>
      <w:r w:rsidRPr="006809FF">
        <w:rPr>
          <w:rFonts w:cs="Times New Roman"/>
        </w:rPr>
        <w:t xml:space="preserve">Emil Souleimanov, </w:t>
      </w:r>
      <w:r w:rsidRPr="006809FF">
        <w:rPr>
          <w:rFonts w:cs="Times New Roman"/>
          <w:i/>
          <w:iCs/>
        </w:rPr>
        <w:t>Understanding Ethnopolitical Conflict: Karabakh, South Ossetia, and Abkhazia Wars Reconsidered</w:t>
      </w:r>
      <w:r w:rsidRPr="006809FF">
        <w:rPr>
          <w:rFonts w:cs="Times New Roman"/>
        </w:rPr>
        <w:t xml:space="preserve"> (Houndmills, Basingstoke, Hampshire: Palgrave Macmillan, 2013), 176</w:t>
      </w:r>
    </w:p>
  </w:footnote>
  <w:footnote w:id="112">
    <w:p w:rsidR="00952E3B" w:rsidRPr="006809FF" w:rsidRDefault="00952E3B" w:rsidP="00050BA9">
      <w:pPr>
        <w:pStyle w:val="FootnoteText"/>
      </w:pPr>
      <w:r w:rsidRPr="006809FF">
        <w:rPr>
          <w:rStyle w:val="FootnoteReference"/>
        </w:rPr>
        <w:footnoteRef/>
      </w:r>
      <w:r w:rsidRPr="006809FF">
        <w:t xml:space="preserve"> </w:t>
      </w:r>
      <w:r w:rsidRPr="006809FF">
        <w:rPr>
          <w:rFonts w:cs="Times New Roman"/>
        </w:rPr>
        <w:t xml:space="preserve">Svante E. Cornell, </w:t>
      </w:r>
      <w:r w:rsidRPr="006809FF">
        <w:rPr>
          <w:rFonts w:cs="Times New Roman"/>
          <w:i/>
          <w:iCs/>
        </w:rPr>
        <w:t>Small Nations and Great Powers: a Study of Ethnopolitical Conflict in the Caucasus</w:t>
      </w:r>
      <w:r w:rsidRPr="006809FF">
        <w:rPr>
          <w:rFonts w:cs="Times New Roman"/>
        </w:rPr>
        <w:t xml:space="preserve"> (London: Routledge Curzon, 2005), https://is.muni.cz/el/1423/podzim2012/MVZ208/um/35586974/Small_Nations_and_Great_Powers__A_Study_of_Ethnopolitical_Conflict_in_the_Caucasus__.pdf, 164.</w:t>
      </w:r>
    </w:p>
  </w:footnote>
  <w:footnote w:id="113">
    <w:p w:rsidR="00952E3B" w:rsidRPr="006809FF" w:rsidRDefault="00952E3B" w:rsidP="00050BA9">
      <w:pPr>
        <w:pStyle w:val="FootnoteText"/>
      </w:pPr>
      <w:r w:rsidRPr="006809FF">
        <w:rPr>
          <w:rStyle w:val="FootnoteReference"/>
        </w:rPr>
        <w:footnoteRef/>
      </w:r>
      <w:r w:rsidRPr="006809FF">
        <w:t xml:space="preserve"> </w:t>
      </w:r>
      <w:r w:rsidRPr="006809FF">
        <w:rPr>
          <w:rFonts w:cs="Times New Roman"/>
        </w:rPr>
        <w:t xml:space="preserve">Tamaz Beradze, </w:t>
      </w:r>
      <w:r w:rsidRPr="006809FF">
        <w:rPr>
          <w:rFonts w:cs="Times New Roman"/>
          <w:i/>
          <w:iCs/>
        </w:rPr>
        <w:t>A Historical-Geographic Review of Modern Abkhazia</w:t>
      </w:r>
      <w:r w:rsidRPr="006809FF">
        <w:rPr>
          <w:rFonts w:cs="Times New Roman"/>
        </w:rPr>
        <w:t xml:space="preserve"> (Kondrad Adenauer Stiftung, n.d.), https://www.kas.de/c/document_library/get_file?uuid=9a93a8fa-c31b-f8de-82f4-b0442b45cacb&amp;groupId=252038, 49-50.</w:t>
      </w:r>
    </w:p>
  </w:footnote>
  <w:footnote w:id="114">
    <w:p w:rsidR="00952E3B" w:rsidRDefault="00952E3B" w:rsidP="00050BA9">
      <w:pPr>
        <w:pStyle w:val="FootnoteText"/>
      </w:pPr>
      <w:r w:rsidRPr="006809FF">
        <w:rPr>
          <w:rStyle w:val="FootnoteReference"/>
        </w:rPr>
        <w:footnoteRef/>
      </w:r>
      <w:r w:rsidRPr="006809FF">
        <w:t xml:space="preserve"> </w:t>
      </w:r>
      <w:r w:rsidRPr="006809FF">
        <w:rPr>
          <w:rFonts w:cs="Times New Roman"/>
        </w:rPr>
        <w:t xml:space="preserve">Emil Souleimanov, </w:t>
      </w:r>
      <w:r w:rsidRPr="006809FF">
        <w:rPr>
          <w:rFonts w:cs="Times New Roman"/>
          <w:i/>
          <w:iCs/>
        </w:rPr>
        <w:t>Understanding Ethnopolitical Conflict: Karabakh, South Ossetia, and Abkhazia Wars Reconsidered</w:t>
      </w:r>
      <w:r w:rsidRPr="006809FF">
        <w:rPr>
          <w:rFonts w:cs="Times New Roman"/>
        </w:rPr>
        <w:t xml:space="preserve"> (Houndmills, Basingstoke, Hampshire: Palgrave Macmillan, 2013), 177</w:t>
      </w:r>
    </w:p>
  </w:footnote>
  <w:footnote w:id="115">
    <w:p w:rsidR="00952E3B" w:rsidRPr="006809FF" w:rsidRDefault="00952E3B" w:rsidP="00050BA9">
      <w:pPr>
        <w:pStyle w:val="FootnoteText"/>
        <w:rPr>
          <w:rFonts w:cs="Times New Roman"/>
        </w:rPr>
      </w:pPr>
      <w:r w:rsidRPr="006809FF">
        <w:rPr>
          <w:rStyle w:val="FootnoteReference"/>
          <w:rFonts w:cs="Times New Roman"/>
        </w:rPr>
        <w:footnoteRef/>
      </w:r>
      <w:r w:rsidRPr="006809FF">
        <w:rPr>
          <w:rFonts w:cs="Times New Roman"/>
        </w:rPr>
        <w:t xml:space="preserve"> </w:t>
      </w:r>
      <w:r>
        <w:rPr>
          <w:rFonts w:cs="Times New Roman"/>
        </w:rPr>
        <w:t>Ibid.26</w:t>
      </w:r>
    </w:p>
  </w:footnote>
  <w:footnote w:id="116">
    <w:p w:rsidR="00952E3B" w:rsidRPr="006809FF" w:rsidRDefault="00952E3B" w:rsidP="00050BA9">
      <w:pPr>
        <w:pStyle w:val="FootnoteText"/>
        <w:rPr>
          <w:rFonts w:cs="Times New Roman"/>
        </w:rPr>
      </w:pPr>
      <w:r w:rsidRPr="006809FF">
        <w:rPr>
          <w:rStyle w:val="FootnoteReference"/>
          <w:rFonts w:cs="Times New Roman"/>
        </w:rPr>
        <w:footnoteRef/>
      </w:r>
      <w:r w:rsidRPr="006809FF">
        <w:rPr>
          <w:rFonts w:cs="Times New Roman"/>
        </w:rPr>
        <w:t xml:space="preserve"> Julie J George, </w:t>
      </w:r>
      <w:r w:rsidRPr="006809FF">
        <w:rPr>
          <w:rFonts w:cs="Times New Roman"/>
          <w:i/>
          <w:iCs/>
        </w:rPr>
        <w:t>Politics of Ethnic Separatism in Russia and Georgia</w:t>
      </w:r>
      <w:r w:rsidRPr="006809FF">
        <w:rPr>
          <w:rFonts w:cs="Times New Roman"/>
        </w:rPr>
        <w:t xml:space="preserve"> (Place of publication not identified: Palgrave Macmilan, 2016), https://pestuge.iliauni.edu.ge/wp-content/uploads/2017/12/George-Julie-A.-The-Politics-of-Ethnic-Separatism-in-Russia-and-Georgia.pdf, 139-140.</w:t>
      </w:r>
    </w:p>
  </w:footnote>
  <w:footnote w:id="117">
    <w:p w:rsidR="00952E3B" w:rsidRPr="006809FF" w:rsidRDefault="00952E3B" w:rsidP="00050BA9">
      <w:pPr>
        <w:pStyle w:val="FootnoteText"/>
        <w:rPr>
          <w:rFonts w:cs="Times New Roman"/>
        </w:rPr>
      </w:pPr>
      <w:r w:rsidRPr="006809FF">
        <w:rPr>
          <w:rStyle w:val="FootnoteReference"/>
          <w:rFonts w:cs="Times New Roman"/>
        </w:rPr>
        <w:footnoteRef/>
      </w:r>
      <w:r w:rsidRPr="006809FF">
        <w:rPr>
          <w:rFonts w:cs="Times New Roman"/>
        </w:rPr>
        <w:t xml:space="preserve"> George Hewitt, </w:t>
      </w:r>
      <w:r w:rsidRPr="006809FF">
        <w:rPr>
          <w:rFonts w:cs="Times New Roman"/>
          <w:i/>
          <w:iCs/>
        </w:rPr>
        <w:t>Abkhazians</w:t>
      </w:r>
      <w:r w:rsidRPr="006809FF">
        <w:rPr>
          <w:rFonts w:cs="Times New Roman"/>
        </w:rPr>
        <w:t xml:space="preserve"> (New York: Routledge, 2015), 135-136</w:t>
      </w:r>
    </w:p>
  </w:footnote>
  <w:footnote w:id="118">
    <w:p w:rsidR="00952E3B" w:rsidRPr="006809FF" w:rsidRDefault="00952E3B" w:rsidP="00050BA9">
      <w:pPr>
        <w:pStyle w:val="FootnoteText"/>
        <w:rPr>
          <w:rFonts w:cs="Times New Roman"/>
        </w:rPr>
      </w:pPr>
      <w:r w:rsidRPr="006809FF">
        <w:rPr>
          <w:rStyle w:val="FootnoteReference"/>
          <w:rFonts w:cs="Times New Roman"/>
        </w:rPr>
        <w:footnoteRef/>
      </w:r>
      <w:r w:rsidRPr="006809FF">
        <w:rPr>
          <w:rFonts w:cs="Times New Roman"/>
        </w:rPr>
        <w:t xml:space="preserve"> </w:t>
      </w:r>
      <w:r>
        <w:rPr>
          <w:rFonts w:cs="Times New Roman"/>
        </w:rPr>
        <w:t>Ibid.</w:t>
      </w:r>
    </w:p>
  </w:footnote>
  <w:footnote w:id="119">
    <w:p w:rsidR="00952E3B" w:rsidRPr="006809FF" w:rsidRDefault="00952E3B" w:rsidP="00050BA9">
      <w:pPr>
        <w:pStyle w:val="FootnoteText"/>
        <w:rPr>
          <w:rFonts w:cs="Times New Roman"/>
        </w:rPr>
      </w:pPr>
      <w:r w:rsidRPr="006809FF">
        <w:rPr>
          <w:rStyle w:val="FootnoteReference"/>
          <w:rFonts w:cs="Times New Roman"/>
        </w:rPr>
        <w:footnoteRef/>
      </w:r>
      <w:r w:rsidRPr="006809FF">
        <w:rPr>
          <w:rFonts w:cs="Times New Roman"/>
        </w:rPr>
        <w:t xml:space="preserve"> Refworld United Nations High Commissioner for Refugees, “Chronology for Abkhazians in Georgia,” Refworld (The UNHCR, April 2004), </w:t>
      </w:r>
      <w:hyperlink r:id="rId17" w:history="1">
        <w:r w:rsidRPr="006809FF">
          <w:rPr>
            <w:rStyle w:val="Hyperlink"/>
            <w:rFonts w:cs="Times New Roman"/>
          </w:rPr>
          <w:t>https://www.refworld.org/docid/469f388ca.html</w:t>
        </w:r>
      </w:hyperlink>
      <w:r w:rsidRPr="006809FF">
        <w:rPr>
          <w:rFonts w:cs="Times New Roman"/>
        </w:rPr>
        <w:t>.</w:t>
      </w:r>
    </w:p>
  </w:footnote>
  <w:footnote w:id="120">
    <w:p w:rsidR="00952E3B" w:rsidRPr="006809FF" w:rsidRDefault="00952E3B" w:rsidP="00050BA9">
      <w:pPr>
        <w:pStyle w:val="FootnoteText"/>
        <w:rPr>
          <w:rFonts w:cs="Times New Roman"/>
        </w:rPr>
      </w:pPr>
      <w:r w:rsidRPr="006809FF">
        <w:rPr>
          <w:rStyle w:val="FootnoteReference"/>
          <w:rFonts w:cs="Times New Roman"/>
        </w:rPr>
        <w:footnoteRef/>
      </w:r>
      <w:r w:rsidRPr="006809FF">
        <w:rPr>
          <w:rFonts w:cs="Times New Roman"/>
        </w:rPr>
        <w:t xml:space="preserve"> </w:t>
      </w:r>
      <w:r>
        <w:rPr>
          <w:rFonts w:cs="Times New Roman"/>
          <w:color w:val="000000" w:themeColor="text1"/>
        </w:rPr>
        <w:t>Ibid.</w:t>
      </w:r>
    </w:p>
  </w:footnote>
  <w:footnote w:id="121">
    <w:p w:rsidR="00952E3B" w:rsidRPr="006809FF" w:rsidRDefault="00952E3B" w:rsidP="00050BA9">
      <w:pPr>
        <w:pStyle w:val="FootnoteText"/>
        <w:rPr>
          <w:rFonts w:cs="Times New Roman"/>
        </w:rPr>
      </w:pPr>
      <w:r w:rsidRPr="006809FF">
        <w:rPr>
          <w:rStyle w:val="FootnoteReference"/>
          <w:rFonts w:cs="Times New Roman"/>
        </w:rPr>
        <w:footnoteRef/>
      </w:r>
      <w:r w:rsidRPr="006809FF">
        <w:rPr>
          <w:rFonts w:cs="Times New Roman"/>
        </w:rPr>
        <w:t xml:space="preserve"> George Hewitt, </w:t>
      </w:r>
      <w:r w:rsidRPr="006809FF">
        <w:rPr>
          <w:rFonts w:cs="Times New Roman"/>
          <w:i/>
          <w:iCs/>
        </w:rPr>
        <w:t>Abkhazians</w:t>
      </w:r>
      <w:r w:rsidRPr="006809FF">
        <w:rPr>
          <w:rFonts w:cs="Times New Roman"/>
        </w:rPr>
        <w:t xml:space="preserve"> (New York: Routledge, 2015), 139.</w:t>
      </w:r>
    </w:p>
  </w:footnote>
  <w:footnote w:id="122">
    <w:p w:rsidR="00952E3B" w:rsidRPr="006809FF" w:rsidRDefault="00952E3B" w:rsidP="00050BA9">
      <w:pPr>
        <w:rPr>
          <w:rFonts w:ascii="Times New Roman" w:hAnsi="Times New Roman"/>
        </w:rPr>
      </w:pPr>
      <w:r w:rsidRPr="006809FF">
        <w:rPr>
          <w:rStyle w:val="FootnoteReference"/>
          <w:rFonts w:ascii="Times New Roman" w:hAnsi="Times New Roman"/>
        </w:rPr>
        <w:footnoteRef/>
      </w:r>
      <w:r w:rsidRPr="006809FF">
        <w:rPr>
          <w:rFonts w:ascii="Times New Roman" w:hAnsi="Times New Roman"/>
        </w:rPr>
        <w:t xml:space="preserve"> David Matsaberidze, “The Confederation of the Mountain Peoples of the Caucasus and the Conflict </w:t>
      </w:r>
      <w:proofErr w:type="gramStart"/>
      <w:r w:rsidRPr="006809FF">
        <w:rPr>
          <w:rFonts w:ascii="Times New Roman" w:hAnsi="Times New Roman"/>
        </w:rPr>
        <w:t>Over</w:t>
      </w:r>
      <w:proofErr w:type="gramEnd"/>
      <w:r w:rsidRPr="006809FF">
        <w:rPr>
          <w:rFonts w:ascii="Times New Roman" w:hAnsi="Times New Roman"/>
        </w:rPr>
        <w:t xml:space="preserve"> Abkhazia,” </w:t>
      </w:r>
      <w:r w:rsidRPr="006809FF">
        <w:rPr>
          <w:rFonts w:ascii="Times New Roman" w:hAnsi="Times New Roman"/>
          <w:i/>
          <w:iCs/>
        </w:rPr>
        <w:t>The Caucasus and Globalization</w:t>
      </w:r>
      <w:r w:rsidRPr="006809FF">
        <w:rPr>
          <w:rFonts w:ascii="Times New Roman" w:hAnsi="Times New Roman"/>
        </w:rPr>
        <w:t xml:space="preserve"> 6, no. 2 (March 2012): pp. 1-9, 5.</w:t>
      </w:r>
    </w:p>
  </w:footnote>
  <w:footnote w:id="123">
    <w:p w:rsidR="00952E3B" w:rsidRDefault="00952E3B" w:rsidP="00050BA9">
      <w:pPr>
        <w:pStyle w:val="FootnoteText"/>
      </w:pPr>
      <w:r w:rsidRPr="006809FF">
        <w:rPr>
          <w:rStyle w:val="FootnoteReference"/>
          <w:rFonts w:cs="Times New Roman"/>
        </w:rPr>
        <w:footnoteRef/>
      </w:r>
      <w:r w:rsidRPr="006809FF">
        <w:rPr>
          <w:rFonts w:cs="Times New Roman"/>
        </w:rPr>
        <w:t xml:space="preserve"> </w:t>
      </w:r>
      <w:r>
        <w:rPr>
          <w:rFonts w:cs="Times New Roman"/>
        </w:rPr>
        <w:t>Ibid.6-7</w:t>
      </w:r>
    </w:p>
  </w:footnote>
  <w:footnote w:id="124">
    <w:p w:rsidR="00952E3B" w:rsidRPr="00503440" w:rsidRDefault="00952E3B" w:rsidP="00050BA9">
      <w:pPr>
        <w:pStyle w:val="FootnoteText"/>
        <w:rPr>
          <w:rFonts w:cs="Times New Roman"/>
        </w:rPr>
      </w:pPr>
      <w:r w:rsidRPr="00503440">
        <w:rPr>
          <w:rStyle w:val="FootnoteReference"/>
          <w:rFonts w:cs="Times New Roman"/>
        </w:rPr>
        <w:footnoteRef/>
      </w:r>
      <w:r w:rsidRPr="00503440">
        <w:rPr>
          <w:rFonts w:cs="Times New Roman"/>
        </w:rPr>
        <w:t xml:space="preserve"> </w:t>
      </w:r>
      <w:r>
        <w:rPr>
          <w:rFonts w:cs="Times New Roman"/>
        </w:rPr>
        <w:t>Ibid.8</w:t>
      </w:r>
    </w:p>
  </w:footnote>
  <w:footnote w:id="125">
    <w:p w:rsidR="00952E3B" w:rsidRPr="00503440" w:rsidRDefault="00952E3B" w:rsidP="00050BA9">
      <w:pPr>
        <w:pStyle w:val="FootnoteText"/>
        <w:rPr>
          <w:rFonts w:cs="Times New Roman"/>
        </w:rPr>
      </w:pPr>
      <w:r w:rsidRPr="00503440">
        <w:rPr>
          <w:rStyle w:val="FootnoteReference"/>
          <w:rFonts w:cs="Times New Roman"/>
        </w:rPr>
        <w:footnoteRef/>
      </w:r>
      <w:r w:rsidRPr="00503440">
        <w:rPr>
          <w:rFonts w:cs="Times New Roman"/>
        </w:rPr>
        <w:t xml:space="preserve"> Serge Schmemann, “In Crushing Blow to Georgia, City Falls to Secessionists” (The New York Times, September 28, 1993), </w:t>
      </w:r>
      <w:hyperlink r:id="rId18" w:history="1">
        <w:r w:rsidRPr="00503440">
          <w:rPr>
            <w:rStyle w:val="Hyperlink"/>
            <w:rFonts w:cs="Times New Roman"/>
          </w:rPr>
          <w:t>https://www.nytimes.com/1993/09/28/world/in-crushing-blow-to-georgia-city-falls-to-secessionists.html</w:t>
        </w:r>
      </w:hyperlink>
      <w:r w:rsidRPr="00503440">
        <w:rPr>
          <w:rFonts w:cs="Times New Roman"/>
        </w:rPr>
        <w:t>.</w:t>
      </w:r>
    </w:p>
  </w:footnote>
  <w:footnote w:id="126">
    <w:p w:rsidR="00952E3B" w:rsidRPr="00503440" w:rsidRDefault="00952E3B" w:rsidP="00050BA9">
      <w:pPr>
        <w:pStyle w:val="FootnoteText"/>
        <w:rPr>
          <w:rFonts w:cs="Times New Roman"/>
        </w:rPr>
      </w:pPr>
      <w:r w:rsidRPr="00503440">
        <w:rPr>
          <w:rStyle w:val="FootnoteReference"/>
          <w:rFonts w:cs="Times New Roman"/>
        </w:rPr>
        <w:footnoteRef/>
      </w:r>
      <w:r w:rsidRPr="00503440">
        <w:rPr>
          <w:rFonts w:cs="Times New Roman"/>
        </w:rPr>
        <w:t xml:space="preserve"> Emil Souleimanov, </w:t>
      </w:r>
      <w:r w:rsidRPr="00503440">
        <w:rPr>
          <w:rFonts w:cs="Times New Roman"/>
          <w:i/>
          <w:iCs/>
        </w:rPr>
        <w:t>Understanding Ethnopolitical Conflict: Karabakh, South Ossetia, and Abkhazia Wars Reconsidered</w:t>
      </w:r>
      <w:r w:rsidRPr="00503440">
        <w:rPr>
          <w:rFonts w:cs="Times New Roman"/>
        </w:rPr>
        <w:t xml:space="preserve"> (Houndmills, Basingstoke, Hampshire: Palgrave Macmillan, 2013), 159-160</w:t>
      </w:r>
    </w:p>
  </w:footnote>
  <w:footnote w:id="127">
    <w:p w:rsidR="00952E3B" w:rsidRPr="00503440" w:rsidRDefault="00952E3B" w:rsidP="00050BA9">
      <w:pPr>
        <w:rPr>
          <w:rFonts w:ascii="Times New Roman" w:hAnsi="Times New Roman"/>
        </w:rPr>
      </w:pPr>
      <w:r w:rsidRPr="00503440">
        <w:rPr>
          <w:rStyle w:val="FootnoteReference"/>
          <w:rFonts w:ascii="Times New Roman" w:hAnsi="Times New Roman"/>
        </w:rPr>
        <w:footnoteRef/>
      </w:r>
      <w:r w:rsidRPr="00503440">
        <w:rPr>
          <w:rFonts w:ascii="Times New Roman" w:hAnsi="Times New Roman"/>
        </w:rPr>
        <w:t xml:space="preserve"> Nina Akhmeteli, “Eduard Shevardnadze: Controversial Legacy to Georgia” (BBC Europe, July 8, 2014), </w:t>
      </w:r>
      <w:hyperlink r:id="rId19" w:history="1">
        <w:r w:rsidRPr="00503440">
          <w:rPr>
            <w:rStyle w:val="Hyperlink"/>
            <w:rFonts w:ascii="Times New Roman" w:hAnsi="Times New Roman"/>
          </w:rPr>
          <w:t>https://www.bbc.com/news/world-europe-28205380</w:t>
        </w:r>
      </w:hyperlink>
      <w:r w:rsidRPr="00503440">
        <w:rPr>
          <w:rFonts w:ascii="Times New Roman" w:hAnsi="Times New Roman"/>
        </w:rPr>
        <w:t>.</w:t>
      </w:r>
    </w:p>
  </w:footnote>
  <w:footnote w:id="128">
    <w:p w:rsidR="00952E3B" w:rsidRPr="00503440" w:rsidRDefault="00952E3B" w:rsidP="00050BA9">
      <w:pPr>
        <w:rPr>
          <w:rFonts w:ascii="Times New Roman" w:hAnsi="Times New Roman"/>
        </w:rPr>
      </w:pPr>
      <w:r w:rsidRPr="00503440">
        <w:rPr>
          <w:rStyle w:val="FootnoteReference"/>
          <w:rFonts w:ascii="Times New Roman" w:hAnsi="Times New Roman"/>
        </w:rPr>
        <w:footnoteRef/>
      </w:r>
      <w:r w:rsidRPr="00503440">
        <w:rPr>
          <w:rFonts w:ascii="Times New Roman" w:hAnsi="Times New Roman"/>
        </w:rPr>
        <w:t xml:space="preserve"> George Kandelaki, “Georgia’s Rose Revolution: A Participant’s Perspective” (United States Institute for Peace - USIP, July 2006), </w:t>
      </w:r>
      <w:hyperlink r:id="rId20" w:history="1">
        <w:r w:rsidRPr="00503440">
          <w:rPr>
            <w:rStyle w:val="Hyperlink"/>
            <w:rFonts w:ascii="Times New Roman" w:hAnsi="Times New Roman"/>
          </w:rPr>
          <w:t>https://www.usip.org/sites/default/files/sr167.pdf</w:t>
        </w:r>
      </w:hyperlink>
      <w:r w:rsidRPr="00503440">
        <w:rPr>
          <w:rFonts w:ascii="Times New Roman" w:hAnsi="Times New Roman"/>
        </w:rPr>
        <w:t>.</w:t>
      </w:r>
    </w:p>
  </w:footnote>
  <w:footnote w:id="129">
    <w:p w:rsidR="00952E3B" w:rsidRDefault="00952E3B" w:rsidP="00050BA9">
      <w:pPr>
        <w:pStyle w:val="FootnoteText"/>
      </w:pPr>
      <w:r w:rsidRPr="00503440">
        <w:rPr>
          <w:rStyle w:val="FootnoteReference"/>
          <w:rFonts w:cs="Times New Roman"/>
        </w:rPr>
        <w:footnoteRef/>
      </w:r>
      <w:r w:rsidRPr="00503440">
        <w:rPr>
          <w:rFonts w:cs="Times New Roman"/>
        </w:rPr>
        <w:t xml:space="preserve"> </w:t>
      </w:r>
      <w:r>
        <w:rPr>
          <w:rFonts w:cs="Times New Roman"/>
        </w:rPr>
        <w:t>Ibid.</w:t>
      </w:r>
    </w:p>
  </w:footnote>
  <w:footnote w:id="130">
    <w:p w:rsidR="00952E3B" w:rsidRPr="001B67A9" w:rsidRDefault="00952E3B" w:rsidP="00050BA9">
      <w:pPr>
        <w:pStyle w:val="FootnoteText"/>
      </w:pPr>
      <w:r w:rsidRPr="001B67A9">
        <w:rPr>
          <w:rStyle w:val="FootnoteReference"/>
        </w:rPr>
        <w:footnoteRef/>
      </w:r>
      <w:r w:rsidRPr="001B67A9">
        <w:rPr>
          <w:rFonts w:cs="Times New Roman"/>
        </w:rPr>
        <w:t>Dov Lynch, “European Union Institute for Security Studies” (European Union Institute for Security Studies - EU ISS, February 1, 2006), https://www.iss.europa.eu/sites/default/files/EUISSFiles/cp086.pdf, 32.</w:t>
      </w:r>
    </w:p>
  </w:footnote>
  <w:footnote w:id="131">
    <w:p w:rsidR="00952E3B" w:rsidRPr="001B67A9" w:rsidRDefault="00952E3B" w:rsidP="00050BA9">
      <w:pPr>
        <w:pStyle w:val="FootnoteText"/>
      </w:pPr>
      <w:r w:rsidRPr="001B67A9">
        <w:rPr>
          <w:rStyle w:val="FootnoteReference"/>
        </w:rPr>
        <w:footnoteRef/>
      </w:r>
      <w:r w:rsidRPr="001B67A9">
        <w:t xml:space="preserve"> </w:t>
      </w:r>
      <w:r w:rsidRPr="001B67A9">
        <w:rPr>
          <w:rFonts w:cs="Times New Roman"/>
        </w:rPr>
        <w:t xml:space="preserve">Voice of America, “Georgians Contemplate Future Five Years </w:t>
      </w:r>
      <w:proofErr w:type="gramStart"/>
      <w:r w:rsidRPr="001B67A9">
        <w:rPr>
          <w:rFonts w:cs="Times New Roman"/>
        </w:rPr>
        <w:t>After</w:t>
      </w:r>
      <w:proofErr w:type="gramEnd"/>
      <w:r w:rsidRPr="001B67A9">
        <w:rPr>
          <w:rFonts w:cs="Times New Roman"/>
        </w:rPr>
        <w:t xml:space="preserve"> Rose Revolution” (VOA, October 27, 2009), https://www.voanews.com/archive/georgians-contemplate-future-five-years-after-rose-revolution.</w:t>
      </w:r>
    </w:p>
  </w:footnote>
  <w:footnote w:id="132">
    <w:p w:rsidR="00952E3B" w:rsidRPr="001B67A9" w:rsidRDefault="00952E3B" w:rsidP="00050BA9">
      <w:pPr>
        <w:pStyle w:val="FootnoteText"/>
      </w:pPr>
      <w:r w:rsidRPr="001B67A9">
        <w:rPr>
          <w:rStyle w:val="FootnoteReference"/>
        </w:rPr>
        <w:footnoteRef/>
      </w:r>
      <w:r w:rsidRPr="001B67A9">
        <w:t xml:space="preserve"> </w:t>
      </w:r>
      <w:r w:rsidRPr="001B67A9">
        <w:rPr>
          <w:rFonts w:cs="Times New Roman"/>
        </w:rPr>
        <w:t xml:space="preserve">Jean-Christophe Peuch, “Georgia: Saakashvili Offers </w:t>
      </w:r>
      <w:proofErr w:type="gramStart"/>
      <w:r w:rsidRPr="001B67A9">
        <w:rPr>
          <w:rFonts w:cs="Times New Roman"/>
        </w:rPr>
        <w:t>To Open Reunification Talks With</w:t>
      </w:r>
      <w:proofErr w:type="gramEnd"/>
      <w:r w:rsidRPr="001B67A9">
        <w:rPr>
          <w:rFonts w:cs="Times New Roman"/>
        </w:rPr>
        <w:t xml:space="preserve"> Abkhazia, South Ossetia,” RadioFreeEurope/RadioLiberty (Radio Free Europe / Radio Liberty, May 26, 2004), https://www.rferl.org/a/1052980.html.</w:t>
      </w:r>
    </w:p>
  </w:footnote>
  <w:footnote w:id="133">
    <w:p w:rsidR="00952E3B" w:rsidRPr="001B67A9" w:rsidRDefault="00952E3B" w:rsidP="00050BA9">
      <w:pPr>
        <w:pStyle w:val="FootnoteText"/>
      </w:pPr>
      <w:r w:rsidRPr="001B67A9">
        <w:rPr>
          <w:rStyle w:val="FootnoteReference"/>
        </w:rPr>
        <w:footnoteRef/>
      </w:r>
      <w:r w:rsidRPr="001B67A9">
        <w:t xml:space="preserve"> </w:t>
      </w:r>
      <w:r>
        <w:rPr>
          <w:rFonts w:cs="Times New Roman"/>
        </w:rPr>
        <w:t>Ibid.</w:t>
      </w:r>
    </w:p>
  </w:footnote>
  <w:footnote w:id="134">
    <w:p w:rsidR="00952E3B" w:rsidRPr="001B67A9" w:rsidRDefault="00952E3B" w:rsidP="00050BA9">
      <w:pPr>
        <w:pStyle w:val="FootnoteText"/>
      </w:pPr>
      <w:r w:rsidRPr="001B67A9">
        <w:rPr>
          <w:rStyle w:val="FootnoteReference"/>
        </w:rPr>
        <w:footnoteRef/>
      </w:r>
      <w:r w:rsidRPr="001B67A9">
        <w:t xml:space="preserve"> </w:t>
      </w:r>
      <w:r>
        <w:rPr>
          <w:rFonts w:cs="Times New Roman"/>
        </w:rPr>
        <w:t>Ibid.</w:t>
      </w:r>
    </w:p>
  </w:footnote>
  <w:footnote w:id="135">
    <w:p w:rsidR="00952E3B" w:rsidRPr="001B67A9" w:rsidRDefault="00952E3B" w:rsidP="00050BA9">
      <w:pPr>
        <w:pStyle w:val="FootnoteText"/>
      </w:pPr>
      <w:r w:rsidRPr="001B67A9">
        <w:rPr>
          <w:rStyle w:val="FootnoteReference"/>
        </w:rPr>
        <w:footnoteRef/>
      </w:r>
      <w:r w:rsidRPr="001B67A9">
        <w:t xml:space="preserve"> </w:t>
      </w:r>
      <w:r>
        <w:rPr>
          <w:rFonts w:cs="Times New Roman"/>
        </w:rPr>
        <w:t>Ibid.</w:t>
      </w:r>
    </w:p>
  </w:footnote>
  <w:footnote w:id="136">
    <w:p w:rsidR="00952E3B" w:rsidRPr="001B67A9" w:rsidRDefault="00952E3B" w:rsidP="00050BA9">
      <w:pPr>
        <w:pStyle w:val="FootnoteText"/>
      </w:pPr>
      <w:r w:rsidRPr="001B67A9">
        <w:rPr>
          <w:rStyle w:val="FootnoteReference"/>
        </w:rPr>
        <w:footnoteRef/>
      </w:r>
      <w:r w:rsidRPr="001B67A9">
        <w:t xml:space="preserve"> </w:t>
      </w:r>
      <w:r>
        <w:rPr>
          <w:rFonts w:cs="Times New Roman"/>
        </w:rPr>
        <w:t>Ibid.</w:t>
      </w:r>
    </w:p>
  </w:footnote>
  <w:footnote w:id="137">
    <w:p w:rsidR="00952E3B" w:rsidRPr="001B67A9" w:rsidRDefault="00952E3B" w:rsidP="00050BA9">
      <w:pPr>
        <w:pStyle w:val="FootnoteText"/>
      </w:pPr>
      <w:r w:rsidRPr="001B67A9">
        <w:rPr>
          <w:rStyle w:val="FootnoteReference"/>
        </w:rPr>
        <w:footnoteRef/>
      </w:r>
      <w:r w:rsidRPr="001B67A9">
        <w:t xml:space="preserve"> </w:t>
      </w:r>
      <w:r w:rsidRPr="001B67A9">
        <w:rPr>
          <w:rFonts w:cs="Times New Roman"/>
        </w:rPr>
        <w:t xml:space="preserve">Unrepresented Nations &amp; Peoples Organization, “Abkhazia: Russian Sanctions Lifted” (UNPO, March 2007), </w:t>
      </w:r>
      <w:hyperlink r:id="rId21" w:history="1">
        <w:r w:rsidRPr="001B67A9">
          <w:rPr>
            <w:rStyle w:val="Hyperlink"/>
            <w:rFonts w:cs="Times New Roman"/>
          </w:rPr>
          <w:t>https://unpo.org/article/7700</w:t>
        </w:r>
      </w:hyperlink>
      <w:r w:rsidRPr="001B67A9">
        <w:rPr>
          <w:rFonts w:cs="Times New Roman"/>
        </w:rPr>
        <w:t>.</w:t>
      </w:r>
    </w:p>
  </w:footnote>
  <w:footnote w:id="138">
    <w:p w:rsidR="00952E3B" w:rsidRDefault="00952E3B" w:rsidP="00050BA9">
      <w:pPr>
        <w:pStyle w:val="FootnoteText"/>
      </w:pPr>
      <w:r w:rsidRPr="001B67A9">
        <w:rPr>
          <w:rStyle w:val="FootnoteReference"/>
        </w:rPr>
        <w:footnoteRef/>
      </w:r>
      <w:r w:rsidRPr="001B67A9">
        <w:t xml:space="preserve"> </w:t>
      </w:r>
      <w:r w:rsidRPr="001B67A9">
        <w:rPr>
          <w:rFonts w:cs="Times New Roman"/>
        </w:rPr>
        <w:t xml:space="preserve">John Pike, “Railroad Troops / Railway Forces (Zheleznodorozhniki),” Railroad Troops / Railway Forces (Global Security Org, May 2004), </w:t>
      </w:r>
      <w:hyperlink r:id="rId22" w:history="1">
        <w:r w:rsidRPr="001B67A9">
          <w:rPr>
            <w:rStyle w:val="Hyperlink"/>
            <w:rFonts w:cs="Times New Roman"/>
          </w:rPr>
          <w:t>https://www.globalsecurity.org/military/world/russia/railroad-troops.htm</w:t>
        </w:r>
      </w:hyperlink>
      <w:r w:rsidRPr="001B67A9">
        <w:rPr>
          <w:rFonts w:cs="Times New Roman"/>
        </w:rPr>
        <w:t>.</w:t>
      </w:r>
    </w:p>
  </w:footnote>
  <w:footnote w:id="139">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 xml:space="preserve">Mariam Kartvelishvili, “'Tbilisi Fails to Put Blame on Moscow over Drone' – Russian MFA” (Civil.Ge, May 2008), </w:t>
      </w:r>
      <w:hyperlink r:id="rId23" w:history="1">
        <w:r w:rsidRPr="00942A6A">
          <w:rPr>
            <w:rStyle w:val="Hyperlink"/>
            <w:rFonts w:cs="Times New Roman"/>
          </w:rPr>
          <w:t>https://civil.ge/archives/116459</w:t>
        </w:r>
      </w:hyperlink>
      <w:r w:rsidRPr="00942A6A">
        <w:rPr>
          <w:rFonts w:cs="Times New Roman"/>
        </w:rPr>
        <w:t>.</w:t>
      </w:r>
    </w:p>
  </w:footnote>
  <w:footnote w:id="140">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 xml:space="preserve">United Nations High Commissioner for Refugees, “Report of the Secretary-General on the Situation in Abkhazia, Georgia,” Refworld (UN Security Council, June 26, 2006), </w:t>
      </w:r>
      <w:hyperlink r:id="rId24" w:history="1">
        <w:r w:rsidRPr="00942A6A">
          <w:rPr>
            <w:rStyle w:val="Hyperlink"/>
            <w:rFonts w:cs="Times New Roman"/>
          </w:rPr>
          <w:t>https://www.refworld.org/docid/453785670.html</w:t>
        </w:r>
      </w:hyperlink>
      <w:r w:rsidRPr="00942A6A">
        <w:rPr>
          <w:rFonts w:cs="Times New Roman"/>
        </w:rPr>
        <w:t>.</w:t>
      </w:r>
    </w:p>
  </w:footnote>
  <w:footnote w:id="141">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Zinaida Shevchuk, “Understanding Armed Conflicts: Evolving Nature of Conflicts in the South Caucasus” (University of Brno Press, July 20, 2014), https://theses.cz/id/nafgi7/?lang=en, 130-131.</w:t>
      </w:r>
    </w:p>
  </w:footnote>
  <w:footnote w:id="142">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 xml:space="preserve">Svante E Cornell, Johanna Popjanevski, and Niklas Nilsson, </w:t>
      </w:r>
      <w:r w:rsidRPr="00942A6A">
        <w:rPr>
          <w:rFonts w:cs="Times New Roman"/>
          <w:i/>
          <w:iCs/>
        </w:rPr>
        <w:t xml:space="preserve">Russia’s War in Georgia: Causes and Implications for Georgia and the </w:t>
      </w:r>
      <w:proofErr w:type="gramStart"/>
      <w:r w:rsidRPr="00942A6A">
        <w:rPr>
          <w:rFonts w:cs="Times New Roman"/>
          <w:i/>
          <w:iCs/>
        </w:rPr>
        <w:t xml:space="preserve">World </w:t>
      </w:r>
      <w:r w:rsidRPr="00942A6A">
        <w:rPr>
          <w:rFonts w:cs="Times New Roman"/>
        </w:rPr>
        <w:t>,</w:t>
      </w:r>
      <w:proofErr w:type="gramEnd"/>
      <w:r w:rsidRPr="00942A6A">
        <w:rPr>
          <w:rFonts w:cs="Times New Roman"/>
        </w:rPr>
        <w:t xml:space="preserve"> n.d., https://www.silkroadstudies.org/resources/pdf/SilkRoadPapers/2008_08_PP_CornellPopjanevskiNillson_Russia-Georgia.pdf, 18-19.</w:t>
      </w:r>
    </w:p>
  </w:footnote>
  <w:footnote w:id="143">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Jim Nichol, “Russia-Georgia Conflict in August 2008: Context and Implications for the U.S. Interests” (Congressional Research Service, March 3, 2009), https://fas.org/sgp/crs/row/RL34618.pdf, 2-3.</w:t>
      </w:r>
    </w:p>
  </w:footnote>
  <w:footnote w:id="144">
    <w:p w:rsidR="00952E3B" w:rsidRDefault="00952E3B" w:rsidP="00050BA9">
      <w:pPr>
        <w:pStyle w:val="FootnoteText"/>
      </w:pPr>
      <w:r w:rsidRPr="00942A6A">
        <w:rPr>
          <w:rStyle w:val="FootnoteReference"/>
        </w:rPr>
        <w:footnoteRef/>
      </w:r>
      <w:r w:rsidRPr="00942A6A">
        <w:t xml:space="preserve"> </w:t>
      </w:r>
      <w:r w:rsidRPr="00942A6A">
        <w:rPr>
          <w:rFonts w:cs="Times New Roman"/>
        </w:rPr>
        <w:t xml:space="preserve">Arsene Saparov, “From Conflict to Autonomy: The Making of the South Ossetian Autonomous Region 1918-1922,” </w:t>
      </w:r>
      <w:r w:rsidRPr="00942A6A">
        <w:rPr>
          <w:rFonts w:cs="Times New Roman"/>
          <w:i/>
          <w:iCs/>
        </w:rPr>
        <w:t>Europe-Asia Studies</w:t>
      </w:r>
      <w:r w:rsidRPr="00942A6A">
        <w:rPr>
          <w:rFonts w:cs="Times New Roman"/>
        </w:rPr>
        <w:t xml:space="preserve"> 62, no. 2 (January 2010): pp. 99-123, https://www.jstor.org/stable/27752421, 105-106.</w:t>
      </w:r>
    </w:p>
  </w:footnote>
  <w:footnote w:id="145">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 xml:space="preserve">Yuriy Kukushkin and Oleg Chistyakov, “The Constitution of the USSR 1924 - Organic Law,” Chapter 4, MSU, February 1987, </w:t>
      </w:r>
      <w:hyperlink r:id="rId25" w:history="1">
        <w:r w:rsidRPr="00942A6A">
          <w:rPr>
            <w:rStyle w:val="Hyperlink"/>
            <w:rFonts w:cs="Times New Roman"/>
          </w:rPr>
          <w:t>http://www.hist.msu.ru/ER/Etext/cnst1924.htm</w:t>
        </w:r>
      </w:hyperlink>
      <w:r w:rsidRPr="00942A6A">
        <w:rPr>
          <w:rFonts w:cs="Times New Roman"/>
        </w:rPr>
        <w:t>.</w:t>
      </w:r>
    </w:p>
  </w:footnote>
  <w:footnote w:id="146">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 xml:space="preserve">Thomas De Waal, </w:t>
      </w:r>
      <w:proofErr w:type="gramStart"/>
      <w:r w:rsidRPr="00942A6A">
        <w:rPr>
          <w:rFonts w:cs="Times New Roman"/>
          <w:i/>
          <w:iCs/>
        </w:rPr>
        <w:t>The</w:t>
      </w:r>
      <w:proofErr w:type="gramEnd"/>
      <w:r w:rsidRPr="00942A6A">
        <w:rPr>
          <w:rFonts w:cs="Times New Roman"/>
          <w:i/>
          <w:iCs/>
        </w:rPr>
        <w:t xml:space="preserve"> Caucasus: an Introduction</w:t>
      </w:r>
      <w:r w:rsidRPr="00942A6A">
        <w:rPr>
          <w:rFonts w:cs="Times New Roman"/>
        </w:rPr>
        <w:t xml:space="preserve"> (New York: Oxford University Press, 2019), 139-140.</w:t>
      </w:r>
    </w:p>
  </w:footnote>
  <w:footnote w:id="147">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 xml:space="preserve">Alan Chochiev, “Adamon Nikhas - People's Council,” Aranzeld.com (Araenzeld, March 1989), </w:t>
      </w:r>
      <w:hyperlink r:id="rId26" w:history="1">
        <w:r w:rsidRPr="00942A6A">
          <w:rPr>
            <w:rStyle w:val="Hyperlink"/>
            <w:rFonts w:cs="Times New Roman"/>
          </w:rPr>
          <w:t>http://aranzeld.com/chtivo/page,1,5,161-samoe-znamenitoe-pismo-kogda-libo-napisannoe-osetinami-ili-istoricheskij-dokument-pokazyvayushhij-propast-mezhdu-nami-i-nimi.html</w:t>
        </w:r>
      </w:hyperlink>
      <w:r w:rsidRPr="00942A6A">
        <w:rPr>
          <w:rFonts w:cs="Times New Roman"/>
        </w:rPr>
        <w:t>.</w:t>
      </w:r>
    </w:p>
  </w:footnote>
  <w:footnote w:id="148">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 xml:space="preserve">Thomas De Waal, </w:t>
      </w:r>
      <w:proofErr w:type="gramStart"/>
      <w:r w:rsidRPr="00942A6A">
        <w:rPr>
          <w:rFonts w:cs="Times New Roman"/>
          <w:i/>
          <w:iCs/>
        </w:rPr>
        <w:t>The</w:t>
      </w:r>
      <w:proofErr w:type="gramEnd"/>
      <w:r w:rsidRPr="00942A6A">
        <w:rPr>
          <w:rFonts w:cs="Times New Roman"/>
          <w:i/>
          <w:iCs/>
        </w:rPr>
        <w:t xml:space="preserve"> Caucasus: an Introduction</w:t>
      </w:r>
      <w:r w:rsidRPr="00942A6A">
        <w:rPr>
          <w:rFonts w:cs="Times New Roman"/>
        </w:rPr>
        <w:t xml:space="preserve"> (New York: Oxford University Press, 2019), 139-140.</w:t>
      </w:r>
    </w:p>
  </w:footnote>
  <w:footnote w:id="149">
    <w:p w:rsidR="00952E3B" w:rsidRDefault="00952E3B" w:rsidP="00050BA9">
      <w:pPr>
        <w:pStyle w:val="FootnoteText"/>
      </w:pPr>
      <w:r w:rsidRPr="00942A6A">
        <w:rPr>
          <w:rStyle w:val="FootnoteReference"/>
        </w:rPr>
        <w:footnoteRef/>
      </w:r>
      <w:r w:rsidRPr="00942A6A">
        <w:t xml:space="preserve"> </w:t>
      </w:r>
      <w:r w:rsidRPr="00942A6A">
        <w:rPr>
          <w:rFonts w:cs="Times New Roman"/>
        </w:rPr>
        <w:t xml:space="preserve">Supreme Council of the Republic of Georgia, “Legislative Order on Annulment of the Autonomous Status of the South Ossetia Region” (Parliament of Georgia, December 1990), </w:t>
      </w:r>
      <w:hyperlink r:id="rId27" w:history="1">
        <w:r w:rsidRPr="00942A6A">
          <w:rPr>
            <w:rStyle w:val="Hyperlink"/>
            <w:rFonts w:cs="Times New Roman"/>
          </w:rPr>
          <w:t>https://matsne.gov.ge/ka/document/view/1079618</w:t>
        </w:r>
      </w:hyperlink>
      <w:r w:rsidRPr="00942A6A">
        <w:rPr>
          <w:rFonts w:cs="Times New Roman"/>
        </w:rPr>
        <w:t>.</w:t>
      </w:r>
    </w:p>
  </w:footnote>
  <w:footnote w:id="150">
    <w:p w:rsidR="00952E3B" w:rsidRPr="00942A6A" w:rsidRDefault="00952E3B" w:rsidP="00050BA9">
      <w:pPr>
        <w:rPr>
          <w:rFonts w:ascii="Times New Roman" w:hAnsi="Times New Roman"/>
        </w:rPr>
      </w:pPr>
      <w:r w:rsidRPr="00942A6A">
        <w:rPr>
          <w:rStyle w:val="FootnoteReference"/>
          <w:rFonts w:ascii="Times New Roman" w:hAnsi="Times New Roman"/>
        </w:rPr>
        <w:footnoteRef/>
      </w:r>
      <w:r w:rsidRPr="00942A6A">
        <w:rPr>
          <w:rFonts w:ascii="Times New Roman" w:hAnsi="Times New Roman"/>
        </w:rPr>
        <w:t xml:space="preserve"> Human Rights Watch, “Violations of Humanitarian Law and Human Rights in the Georgia-South Ossetia Conflict” (HRW International, April 1992), </w:t>
      </w:r>
      <w:hyperlink r:id="rId28" w:history="1">
        <w:r w:rsidRPr="00942A6A">
          <w:rPr>
            <w:rStyle w:val="Hyperlink"/>
            <w:rFonts w:ascii="Times New Roman" w:hAnsi="Times New Roman"/>
          </w:rPr>
          <w:t>https://www.hrw.org/report/1992/04/01/bloodshed-caucasus/violations-humanitarian-law-and-human-rights-georgia-south</w:t>
        </w:r>
      </w:hyperlink>
      <w:r w:rsidRPr="00942A6A">
        <w:rPr>
          <w:rFonts w:ascii="Times New Roman" w:hAnsi="Times New Roman"/>
        </w:rPr>
        <w:t>.</w:t>
      </w:r>
    </w:p>
  </w:footnote>
  <w:footnote w:id="151">
    <w:p w:rsidR="00952E3B" w:rsidRPr="00942A6A" w:rsidRDefault="00952E3B" w:rsidP="00050BA9">
      <w:pPr>
        <w:rPr>
          <w:rFonts w:ascii="Times New Roman" w:hAnsi="Times New Roman"/>
        </w:rPr>
      </w:pPr>
      <w:r w:rsidRPr="00942A6A">
        <w:rPr>
          <w:rStyle w:val="FootnoteReference"/>
          <w:rFonts w:ascii="Times New Roman" w:hAnsi="Times New Roman"/>
        </w:rPr>
        <w:footnoteRef/>
      </w:r>
      <w:r w:rsidRPr="00942A6A">
        <w:rPr>
          <w:rFonts w:ascii="Times New Roman" w:hAnsi="Times New Roman"/>
        </w:rPr>
        <w:t xml:space="preserve"> International Crisis Group, “Georgia: Avoiding War in South Ossetia” (ICG, November 26, 2004), </w:t>
      </w:r>
      <w:hyperlink r:id="rId29" w:history="1">
        <w:r w:rsidRPr="00942A6A">
          <w:rPr>
            <w:rStyle w:val="Hyperlink"/>
            <w:rFonts w:ascii="Times New Roman" w:hAnsi="Times New Roman"/>
          </w:rPr>
          <w:t>https://www.crisisgroup.org/europe-central-asia/caucasus/georgia/georgia-avoiding-war-south-ossetia</w:t>
        </w:r>
      </w:hyperlink>
      <w:r w:rsidRPr="00942A6A">
        <w:rPr>
          <w:rFonts w:ascii="Times New Roman" w:hAnsi="Times New Roman"/>
        </w:rPr>
        <w:t>.</w:t>
      </w:r>
    </w:p>
  </w:footnote>
  <w:footnote w:id="152">
    <w:p w:rsidR="00952E3B" w:rsidRPr="00942A6A" w:rsidRDefault="00952E3B" w:rsidP="00050BA9">
      <w:pPr>
        <w:pStyle w:val="FootnoteText"/>
        <w:rPr>
          <w:rFonts w:cs="Times New Roman"/>
        </w:rPr>
      </w:pPr>
      <w:r w:rsidRPr="00942A6A">
        <w:rPr>
          <w:rStyle w:val="FootnoteReference"/>
          <w:rFonts w:cs="Times New Roman"/>
        </w:rPr>
        <w:footnoteRef/>
      </w:r>
      <w:r w:rsidRPr="00942A6A">
        <w:rPr>
          <w:rFonts w:cs="Times New Roman"/>
        </w:rPr>
        <w:t xml:space="preserve"> </w:t>
      </w:r>
      <w:r>
        <w:rPr>
          <w:rFonts w:cs="Times New Roman"/>
        </w:rPr>
        <w:t>Ibid.</w:t>
      </w:r>
    </w:p>
  </w:footnote>
  <w:footnote w:id="153">
    <w:p w:rsidR="00952E3B" w:rsidRPr="00942A6A" w:rsidRDefault="00952E3B" w:rsidP="00050BA9">
      <w:pPr>
        <w:pStyle w:val="FootnoteText"/>
        <w:rPr>
          <w:rFonts w:cs="Times New Roman"/>
        </w:rPr>
      </w:pPr>
      <w:r w:rsidRPr="00942A6A">
        <w:rPr>
          <w:rStyle w:val="FootnoteReference"/>
          <w:rFonts w:cs="Times New Roman"/>
        </w:rPr>
        <w:footnoteRef/>
      </w:r>
      <w:r w:rsidRPr="00942A6A">
        <w:rPr>
          <w:rFonts w:cs="Times New Roman"/>
        </w:rPr>
        <w:t xml:space="preserve"> The Organization for Security and Co-Operation in Europe (OSCE), “The OSCE Original Mandate in Georgia” (OSCE, November 2016), </w:t>
      </w:r>
      <w:hyperlink r:id="rId30" w:history="1">
        <w:r w:rsidRPr="00942A6A">
          <w:rPr>
            <w:rStyle w:val="Hyperlink"/>
            <w:rFonts w:cs="Times New Roman"/>
          </w:rPr>
          <w:t>https://www.osce.org/georgia-closed/43386</w:t>
        </w:r>
      </w:hyperlink>
      <w:r w:rsidRPr="00942A6A">
        <w:rPr>
          <w:rFonts w:cs="Times New Roman"/>
        </w:rPr>
        <w:t>.</w:t>
      </w:r>
    </w:p>
  </w:footnote>
  <w:footnote w:id="154">
    <w:p w:rsidR="00952E3B" w:rsidRPr="00942A6A" w:rsidRDefault="00952E3B" w:rsidP="00050BA9">
      <w:pPr>
        <w:pStyle w:val="FootnoteText"/>
        <w:rPr>
          <w:rFonts w:cs="Times New Roman"/>
        </w:rPr>
      </w:pPr>
      <w:r w:rsidRPr="00942A6A">
        <w:rPr>
          <w:rStyle w:val="FootnoteReference"/>
          <w:rFonts w:cs="Times New Roman"/>
        </w:rPr>
        <w:footnoteRef/>
      </w:r>
      <w:r w:rsidRPr="00942A6A">
        <w:rPr>
          <w:rFonts w:cs="Times New Roman"/>
        </w:rPr>
        <w:t xml:space="preserve"> Svante E. Cornell and S. Frederick Starr, “The Guns of August 2008,” </w:t>
      </w:r>
      <w:r w:rsidRPr="00942A6A">
        <w:rPr>
          <w:rFonts w:cs="Times New Roman"/>
          <w:i/>
          <w:iCs/>
        </w:rPr>
        <w:t>Studies of Central Asia and the Caucasus</w:t>
      </w:r>
      <w:r w:rsidRPr="00942A6A">
        <w:rPr>
          <w:rFonts w:cs="Times New Roman"/>
        </w:rPr>
        <w:t>, 2015, pp. 3-4, https://doi.org/10.4324/9781315699660, 52-53.</w:t>
      </w:r>
    </w:p>
  </w:footnote>
  <w:footnote w:id="155">
    <w:p w:rsidR="00952E3B" w:rsidRPr="00942A6A" w:rsidRDefault="00952E3B" w:rsidP="00050BA9">
      <w:pPr>
        <w:pStyle w:val="FootnoteText"/>
        <w:rPr>
          <w:rFonts w:cs="Times New Roman"/>
        </w:rPr>
      </w:pPr>
      <w:r w:rsidRPr="00942A6A">
        <w:rPr>
          <w:rStyle w:val="FootnoteReference"/>
          <w:rFonts w:cs="Times New Roman"/>
        </w:rPr>
        <w:footnoteRef/>
      </w:r>
      <w:r w:rsidRPr="00942A6A">
        <w:rPr>
          <w:rFonts w:cs="Times New Roman"/>
        </w:rPr>
        <w:t xml:space="preserve"> International Crisis Group, “Georgia: Avoiding War in South Ossetia” (ICG, November 26, 2004), </w:t>
      </w:r>
      <w:hyperlink r:id="rId31" w:history="1">
        <w:r w:rsidRPr="00942A6A">
          <w:rPr>
            <w:rStyle w:val="Hyperlink"/>
            <w:rFonts w:cs="Times New Roman"/>
          </w:rPr>
          <w:t>https://www.crisisgroup.org/europe-central-asia/caucasus/georgia/georgia-avoiding-war-south-ossetia</w:t>
        </w:r>
      </w:hyperlink>
      <w:r w:rsidRPr="00942A6A">
        <w:rPr>
          <w:rFonts w:cs="Times New Roman"/>
        </w:rPr>
        <w:t>.</w:t>
      </w:r>
    </w:p>
  </w:footnote>
  <w:footnote w:id="156">
    <w:p w:rsidR="00952E3B" w:rsidRDefault="00952E3B" w:rsidP="00050BA9">
      <w:pPr>
        <w:pStyle w:val="FootnoteText"/>
      </w:pPr>
      <w:r w:rsidRPr="00942A6A">
        <w:rPr>
          <w:rStyle w:val="FootnoteReference"/>
          <w:rFonts w:cs="Times New Roman"/>
        </w:rPr>
        <w:footnoteRef/>
      </w:r>
      <w:r w:rsidRPr="00942A6A">
        <w:rPr>
          <w:rFonts w:cs="Times New Roman"/>
        </w:rPr>
        <w:t xml:space="preserve"> </w:t>
      </w:r>
      <w:r>
        <w:rPr>
          <w:rFonts w:cs="Times New Roman"/>
        </w:rPr>
        <w:t>Ibid.</w:t>
      </w:r>
    </w:p>
  </w:footnote>
  <w:footnote w:id="157">
    <w:p w:rsidR="00952E3B" w:rsidRPr="00942A6A" w:rsidRDefault="00952E3B" w:rsidP="00050BA9">
      <w:pPr>
        <w:pStyle w:val="FootnoteText"/>
      </w:pPr>
      <w:r w:rsidRPr="00942A6A">
        <w:rPr>
          <w:rStyle w:val="FootnoteReference"/>
        </w:rPr>
        <w:footnoteRef/>
      </w:r>
      <w:r w:rsidRPr="00942A6A">
        <w:t xml:space="preserve"> </w:t>
      </w:r>
      <w:r>
        <w:rPr>
          <w:rFonts w:cs="Times New Roman"/>
        </w:rPr>
        <w:t>Ibid.</w:t>
      </w:r>
    </w:p>
  </w:footnote>
  <w:footnote w:id="158">
    <w:p w:rsidR="00952E3B" w:rsidRPr="00942A6A" w:rsidRDefault="00952E3B" w:rsidP="00050BA9">
      <w:pPr>
        <w:pStyle w:val="FootnoteText"/>
      </w:pPr>
      <w:r w:rsidRPr="00942A6A">
        <w:rPr>
          <w:rStyle w:val="FootnoteReference"/>
        </w:rPr>
        <w:footnoteRef/>
      </w:r>
      <w:r w:rsidRPr="00942A6A">
        <w:t xml:space="preserve"> </w:t>
      </w:r>
      <w:r>
        <w:rPr>
          <w:rFonts w:cs="Times New Roman"/>
        </w:rPr>
        <w:t>Ibid.</w:t>
      </w:r>
    </w:p>
  </w:footnote>
  <w:footnote w:id="159">
    <w:p w:rsidR="00952E3B" w:rsidRPr="00942A6A" w:rsidRDefault="00952E3B" w:rsidP="00050BA9">
      <w:pPr>
        <w:pStyle w:val="FootnoteText"/>
      </w:pPr>
      <w:r w:rsidRPr="00942A6A">
        <w:rPr>
          <w:rStyle w:val="FootnoteReference"/>
        </w:rPr>
        <w:footnoteRef/>
      </w:r>
      <w:r w:rsidRPr="00942A6A">
        <w:t xml:space="preserve"> </w:t>
      </w:r>
      <w:r>
        <w:rPr>
          <w:rFonts w:cs="Times New Roman"/>
        </w:rPr>
        <w:t>Ibid.</w:t>
      </w:r>
    </w:p>
  </w:footnote>
  <w:footnote w:id="160">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Petre Nebieridze, “Georgia from National Awakening to Rose Revolution: Delayed Transition in the Former Soviet Union” (Central European University Press, May 2012), http://www.etd.ceu.edu/2010/nebieridze_petre.pdf, 20-22.</w:t>
      </w:r>
    </w:p>
  </w:footnote>
  <w:footnote w:id="161">
    <w:p w:rsidR="00952E3B" w:rsidRPr="00942A6A" w:rsidRDefault="00952E3B" w:rsidP="00050BA9">
      <w:pPr>
        <w:pStyle w:val="FootnoteText"/>
      </w:pPr>
      <w:r w:rsidRPr="00942A6A">
        <w:rPr>
          <w:rStyle w:val="FootnoteReference"/>
        </w:rPr>
        <w:footnoteRef/>
      </w:r>
      <w:r w:rsidRPr="00942A6A">
        <w:t xml:space="preserve"> </w:t>
      </w:r>
      <w:r w:rsidRPr="00942A6A">
        <w:rPr>
          <w:rFonts w:cs="Times New Roman"/>
        </w:rPr>
        <w:t xml:space="preserve">International Crisis Group, “Georgia's South Ossetia Conflict: Make Haste Slowly” (ICG, June 7, 2007), </w:t>
      </w:r>
      <w:hyperlink r:id="rId32" w:history="1">
        <w:r w:rsidRPr="00942A6A">
          <w:rPr>
            <w:rStyle w:val="Hyperlink"/>
            <w:rFonts w:cs="Times New Roman"/>
          </w:rPr>
          <w:t>https://www.crisisgroup.org/europe-central-asia/caucasus/georgia/georgia-s-south-ossetia-conflict-make-haste-slowly</w:t>
        </w:r>
      </w:hyperlink>
      <w:r w:rsidRPr="00942A6A">
        <w:rPr>
          <w:rFonts w:cs="Times New Roman"/>
        </w:rPr>
        <w:t>.</w:t>
      </w:r>
    </w:p>
  </w:footnote>
  <w:footnote w:id="162">
    <w:p w:rsidR="00952E3B" w:rsidRDefault="00952E3B">
      <w:pPr>
        <w:pStyle w:val="FootnoteText"/>
      </w:pPr>
      <w:r>
        <w:rPr>
          <w:rStyle w:val="FootnoteReference"/>
        </w:rPr>
        <w:footnoteRef/>
      </w:r>
      <w:r>
        <w:t xml:space="preserve"> Koba Liklikadze, “Dimitry Sanakoev: South Ossetia Should Reunite with Georgia” (Radio Freedom - RF, November 6, 2006), https://www.radiotavisupleba.ge/a/1549523.html.</w:t>
      </w:r>
    </w:p>
  </w:footnote>
  <w:footnote w:id="163">
    <w:p w:rsidR="00952E3B" w:rsidRDefault="00952E3B" w:rsidP="00050BA9">
      <w:pPr>
        <w:pStyle w:val="FootnoteText"/>
      </w:pPr>
      <w:r w:rsidRPr="00942A6A">
        <w:rPr>
          <w:rStyle w:val="FootnoteReference"/>
        </w:rPr>
        <w:footnoteRef/>
      </w:r>
      <w:r w:rsidRPr="00942A6A">
        <w:t xml:space="preserve"> </w:t>
      </w:r>
      <w:r w:rsidRPr="00942A6A">
        <w:rPr>
          <w:rFonts w:cs="Times New Roman"/>
        </w:rPr>
        <w:t xml:space="preserve">Michael Mainville, “Georgia Arrests Russian Officers for Spying and Surrounds Army HQ,” The Guardian (Guardian News and Media, September 27, 2006), </w:t>
      </w:r>
      <w:hyperlink r:id="rId33" w:history="1">
        <w:r w:rsidRPr="00942A6A">
          <w:rPr>
            <w:rStyle w:val="Hyperlink"/>
            <w:rFonts w:cs="Times New Roman"/>
          </w:rPr>
          <w:t>https://www.theguardian.com/world/2006/sep/28/russia.georgia</w:t>
        </w:r>
      </w:hyperlink>
      <w:r w:rsidRPr="00942A6A">
        <w:rPr>
          <w:rFonts w:cs="Times New Roman"/>
        </w:rPr>
        <w:t>.</w:t>
      </w:r>
    </w:p>
  </w:footnote>
  <w:footnote w:id="164">
    <w:p w:rsidR="00952E3B" w:rsidRPr="00D8667B" w:rsidRDefault="00952E3B" w:rsidP="00050BA9">
      <w:pPr>
        <w:pStyle w:val="FootnoteText"/>
      </w:pPr>
      <w:r w:rsidRPr="00D8667B">
        <w:rPr>
          <w:rStyle w:val="FootnoteReference"/>
        </w:rPr>
        <w:footnoteRef/>
      </w:r>
      <w:r w:rsidRPr="00D8667B">
        <w:t xml:space="preserve"> </w:t>
      </w:r>
      <w:r>
        <w:rPr>
          <w:rFonts w:cs="Times New Roman"/>
        </w:rPr>
        <w:t>Ibid.</w:t>
      </w:r>
    </w:p>
  </w:footnote>
  <w:footnote w:id="165">
    <w:p w:rsidR="00952E3B" w:rsidRPr="00D8667B" w:rsidRDefault="00952E3B" w:rsidP="00050BA9">
      <w:pPr>
        <w:pStyle w:val="FootnoteText"/>
      </w:pPr>
      <w:r w:rsidRPr="00D8667B">
        <w:rPr>
          <w:rStyle w:val="FootnoteReference"/>
        </w:rPr>
        <w:footnoteRef/>
      </w:r>
      <w:r w:rsidRPr="00D8667B">
        <w:t xml:space="preserve"> </w:t>
      </w:r>
      <w:r w:rsidRPr="00D8667B">
        <w:rPr>
          <w:rFonts w:cs="Times New Roman"/>
        </w:rPr>
        <w:t xml:space="preserve">Svante E Cornell, Johanna Popjanevski, and Niklas Nilsson, </w:t>
      </w:r>
      <w:r w:rsidRPr="00D8667B">
        <w:rPr>
          <w:rFonts w:cs="Times New Roman"/>
          <w:i/>
          <w:iCs/>
        </w:rPr>
        <w:t xml:space="preserve">Russia’s War in Georgia: Causes and Implications for Georgia and the </w:t>
      </w:r>
      <w:proofErr w:type="gramStart"/>
      <w:r w:rsidRPr="00D8667B">
        <w:rPr>
          <w:rFonts w:cs="Times New Roman"/>
          <w:i/>
          <w:iCs/>
        </w:rPr>
        <w:t xml:space="preserve">World </w:t>
      </w:r>
      <w:r w:rsidRPr="00D8667B">
        <w:rPr>
          <w:rFonts w:cs="Times New Roman"/>
        </w:rPr>
        <w:t>,</w:t>
      </w:r>
      <w:proofErr w:type="gramEnd"/>
      <w:r w:rsidRPr="00D8667B">
        <w:rPr>
          <w:rFonts w:cs="Times New Roman"/>
        </w:rPr>
        <w:t xml:space="preserve"> n.d., https://www.silkroadstudies.org/resources/pdf/SilkRoadPapers/2008_08_PP_CornellPopjanevskiNillson_Russia-Georgia.pdf, 7-8.</w:t>
      </w:r>
    </w:p>
  </w:footnote>
  <w:footnote w:id="166">
    <w:p w:rsidR="00952E3B" w:rsidRPr="00D8667B" w:rsidRDefault="00952E3B" w:rsidP="00050BA9">
      <w:pPr>
        <w:pStyle w:val="FootnoteText"/>
      </w:pPr>
      <w:r w:rsidRPr="00D8667B">
        <w:rPr>
          <w:rStyle w:val="FootnoteReference"/>
        </w:rPr>
        <w:footnoteRef/>
      </w:r>
      <w:r w:rsidRPr="00D8667B">
        <w:t xml:space="preserve"> </w:t>
      </w:r>
      <w:r w:rsidRPr="00D8667B">
        <w:rPr>
          <w:rFonts w:cs="Times New Roman"/>
        </w:rPr>
        <w:t xml:space="preserve">Walter Zaryckyj, “Why the Bucharest Summit Still Matters Ten Years On” (Atlantic Council, May 4, 2018), </w:t>
      </w:r>
      <w:hyperlink r:id="rId34" w:history="1">
        <w:r w:rsidRPr="00D8667B">
          <w:rPr>
            <w:rStyle w:val="Hyperlink"/>
            <w:rFonts w:cs="Times New Roman"/>
          </w:rPr>
          <w:t>https://www.atlanticcouncil.org/blogs/ukrainealert/why-the-bucharest-summit-still-matters-ten-years-on/</w:t>
        </w:r>
      </w:hyperlink>
      <w:r w:rsidRPr="00D8667B">
        <w:rPr>
          <w:rFonts w:cs="Times New Roman"/>
        </w:rPr>
        <w:t>.</w:t>
      </w:r>
    </w:p>
  </w:footnote>
  <w:footnote w:id="167">
    <w:p w:rsidR="00952E3B" w:rsidRDefault="00952E3B">
      <w:pPr>
        <w:pStyle w:val="FootnoteText"/>
      </w:pPr>
      <w:r>
        <w:rPr>
          <w:rStyle w:val="FootnoteReference"/>
        </w:rPr>
        <w:footnoteRef/>
      </w:r>
      <w:r>
        <w:t xml:space="preserve"> WikiMaps, “Navigation of Russian Troops in August 2008,” 2008, https://en.wikipedia.org/wiki/File:2008_South_Ossetia_war_en.svg.</w:t>
      </w:r>
    </w:p>
  </w:footnote>
  <w:footnote w:id="168">
    <w:p w:rsidR="00952E3B" w:rsidRPr="00D8667B" w:rsidRDefault="00952E3B" w:rsidP="00050BA9">
      <w:pPr>
        <w:pStyle w:val="FootnoteText"/>
      </w:pPr>
      <w:r w:rsidRPr="00D8667B">
        <w:rPr>
          <w:rStyle w:val="FootnoteReference"/>
        </w:rPr>
        <w:footnoteRef/>
      </w:r>
      <w:r w:rsidRPr="00D8667B">
        <w:t xml:space="preserve"> </w:t>
      </w:r>
      <w:r w:rsidRPr="00D8667B">
        <w:rPr>
          <w:rFonts w:cs="Times New Roman"/>
        </w:rPr>
        <w:t xml:space="preserve">Human Rights Watch, “Up </w:t>
      </w:r>
      <w:proofErr w:type="gramStart"/>
      <w:r w:rsidRPr="00D8667B">
        <w:rPr>
          <w:rFonts w:cs="Times New Roman"/>
        </w:rPr>
        <w:t>In</w:t>
      </w:r>
      <w:proofErr w:type="gramEnd"/>
      <w:r w:rsidRPr="00D8667B">
        <w:rPr>
          <w:rFonts w:cs="Times New Roman"/>
        </w:rPr>
        <w:t xml:space="preserve"> Flames” (Human Rights Watch International, January 23, 2009), https://www.hrw.org/report/2009/01/23/flames/humanitarian-law-violations-and-civilian-victims-conflict-over-south, 18-19.</w:t>
      </w:r>
    </w:p>
  </w:footnote>
  <w:footnote w:id="169">
    <w:p w:rsidR="00952E3B" w:rsidRPr="00D8667B" w:rsidRDefault="00952E3B" w:rsidP="00050BA9">
      <w:pPr>
        <w:pStyle w:val="FootnoteText"/>
      </w:pPr>
      <w:r w:rsidRPr="00D8667B">
        <w:rPr>
          <w:rStyle w:val="FootnoteReference"/>
        </w:rPr>
        <w:footnoteRef/>
      </w:r>
      <w:r w:rsidRPr="00D8667B">
        <w:t xml:space="preserve"> </w:t>
      </w:r>
      <w:r>
        <w:rPr>
          <w:rFonts w:cs="Times New Roman"/>
        </w:rPr>
        <w:t>Ibid.</w:t>
      </w:r>
    </w:p>
  </w:footnote>
  <w:footnote w:id="170">
    <w:p w:rsidR="00952E3B" w:rsidRDefault="00952E3B" w:rsidP="00050BA9">
      <w:pPr>
        <w:pStyle w:val="FootnoteText"/>
      </w:pPr>
      <w:r w:rsidRPr="00D8667B">
        <w:rPr>
          <w:rStyle w:val="FootnoteReference"/>
        </w:rPr>
        <w:footnoteRef/>
      </w:r>
      <w:r w:rsidRPr="00D8667B">
        <w:t xml:space="preserve"> </w:t>
      </w:r>
      <w:r>
        <w:rPr>
          <w:rFonts w:cs="Times New Roman"/>
        </w:rPr>
        <w:t>Ibid.</w:t>
      </w:r>
    </w:p>
  </w:footnote>
  <w:footnote w:id="171">
    <w:p w:rsidR="00952E3B" w:rsidRDefault="00952E3B">
      <w:pPr>
        <w:pStyle w:val="FootnoteText"/>
      </w:pPr>
      <w:r>
        <w:rPr>
          <w:rStyle w:val="FootnoteReference"/>
        </w:rPr>
        <w:footnoteRef/>
      </w:r>
      <w:r>
        <w:t xml:space="preserve"> BBC News, “Georgia Swears in New President” (BBC, January 25, 2004), https://web.archive.org/web/20040202044730/http://news.bbc.co.uk/2/hi/europe/3426977.stm.</w:t>
      </w:r>
    </w:p>
  </w:footnote>
  <w:footnote w:id="172">
    <w:p w:rsidR="00952E3B" w:rsidRPr="001B406E" w:rsidRDefault="00952E3B" w:rsidP="00050BA9">
      <w:pPr>
        <w:pStyle w:val="FootnoteText"/>
      </w:pPr>
      <w:r w:rsidRPr="001B406E">
        <w:rPr>
          <w:rStyle w:val="FootnoteReference"/>
        </w:rPr>
        <w:footnoteRef/>
      </w:r>
      <w:r w:rsidRPr="001B406E">
        <w:t xml:space="preserve"> </w:t>
      </w:r>
      <w:r w:rsidRPr="001B406E">
        <w:rPr>
          <w:rFonts w:cs="Times New Roman"/>
        </w:rPr>
        <w:t xml:space="preserve">Supreme Council of the Republic of Georgia, “Act of Restoration of State Independence of Georgia” (Legislative Herald of Georgia, April 9, 1991), </w:t>
      </w:r>
      <w:hyperlink r:id="rId35" w:history="1">
        <w:r w:rsidRPr="001B406E">
          <w:rPr>
            <w:rStyle w:val="Hyperlink"/>
            <w:rFonts w:cs="Times New Roman"/>
          </w:rPr>
          <w:t>https://matsne.gov.ge/en/document/view/32362?publication=0</w:t>
        </w:r>
      </w:hyperlink>
      <w:r w:rsidRPr="001B406E">
        <w:rPr>
          <w:rFonts w:cs="Times New Roman"/>
        </w:rPr>
        <w:t>.</w:t>
      </w:r>
    </w:p>
  </w:footnote>
  <w:footnote w:id="173">
    <w:p w:rsidR="00952E3B" w:rsidRPr="001B406E" w:rsidRDefault="00952E3B" w:rsidP="00050BA9">
      <w:pPr>
        <w:pStyle w:val="FootnoteText"/>
      </w:pPr>
      <w:r w:rsidRPr="001B406E">
        <w:rPr>
          <w:rStyle w:val="FootnoteReference"/>
        </w:rPr>
        <w:footnoteRef/>
      </w:r>
      <w:r w:rsidRPr="001B406E">
        <w:t xml:space="preserve"> </w:t>
      </w:r>
      <w:r w:rsidRPr="001B406E">
        <w:rPr>
          <w:rFonts w:cs="Times New Roman"/>
        </w:rPr>
        <w:t xml:space="preserve">Julie J George, </w:t>
      </w:r>
      <w:r w:rsidRPr="001B406E">
        <w:rPr>
          <w:rFonts w:cs="Times New Roman"/>
          <w:i/>
          <w:iCs/>
        </w:rPr>
        <w:t>Politics of Ethnic Separatism in Russia and Georgia</w:t>
      </w:r>
      <w:r w:rsidRPr="001B406E">
        <w:rPr>
          <w:rFonts w:cs="Times New Roman"/>
        </w:rPr>
        <w:t xml:space="preserve"> (Place of publication not identified: Palgrave Macmilan, 2016), https://pestuge.iliauni.edu.ge/wp-content/uploads/2017/12/George-Julie-A.-The-Politics-of-Ethnic-Separatism-in-Russia-and-Georgia.pdf, 95-96.</w:t>
      </w:r>
    </w:p>
  </w:footnote>
  <w:footnote w:id="174">
    <w:p w:rsidR="00952E3B" w:rsidRPr="001B406E" w:rsidRDefault="00952E3B" w:rsidP="00050BA9">
      <w:pPr>
        <w:pStyle w:val="FootnoteText"/>
      </w:pPr>
      <w:r w:rsidRPr="001B406E">
        <w:rPr>
          <w:rStyle w:val="FootnoteReference"/>
        </w:rPr>
        <w:footnoteRef/>
      </w:r>
      <w:r w:rsidRPr="001B406E">
        <w:t xml:space="preserve"> </w:t>
      </w:r>
      <w:r>
        <w:rPr>
          <w:rFonts w:cs="Times New Roman"/>
        </w:rPr>
        <w:t>Ibid.</w:t>
      </w:r>
    </w:p>
  </w:footnote>
  <w:footnote w:id="175">
    <w:p w:rsidR="00952E3B" w:rsidRPr="001B406E" w:rsidRDefault="00952E3B" w:rsidP="00050BA9">
      <w:pPr>
        <w:pStyle w:val="FootnoteText"/>
      </w:pPr>
      <w:r w:rsidRPr="001B406E">
        <w:rPr>
          <w:rStyle w:val="FootnoteReference"/>
        </w:rPr>
        <w:footnoteRef/>
      </w:r>
      <w:r w:rsidRPr="001B406E">
        <w:t xml:space="preserve"> </w:t>
      </w:r>
      <w:r w:rsidRPr="001B406E">
        <w:rPr>
          <w:rFonts w:cs="Times New Roman"/>
        </w:rPr>
        <w:t xml:space="preserve">Nina Akhmeteli, “Eduard Shevardnadze: Controversial Legacy to Georgia” (BBC Europe, July 8, 2014), </w:t>
      </w:r>
      <w:hyperlink r:id="rId36" w:history="1">
        <w:r w:rsidRPr="001B406E">
          <w:rPr>
            <w:rStyle w:val="Hyperlink"/>
            <w:rFonts w:cs="Times New Roman"/>
          </w:rPr>
          <w:t>https://www.bbc.com/news/world-europe-28205380</w:t>
        </w:r>
      </w:hyperlink>
      <w:r w:rsidRPr="001B406E">
        <w:rPr>
          <w:rFonts w:cs="Times New Roman"/>
        </w:rPr>
        <w:t>.</w:t>
      </w:r>
    </w:p>
  </w:footnote>
  <w:footnote w:id="176">
    <w:p w:rsidR="00952E3B" w:rsidRPr="001B406E" w:rsidRDefault="00952E3B" w:rsidP="00050BA9">
      <w:pPr>
        <w:pStyle w:val="FootnoteText"/>
      </w:pPr>
      <w:r w:rsidRPr="001B406E">
        <w:rPr>
          <w:rStyle w:val="FootnoteReference"/>
        </w:rPr>
        <w:footnoteRef/>
      </w:r>
      <w:r w:rsidRPr="001B406E">
        <w:t xml:space="preserve"> </w:t>
      </w:r>
      <w:r w:rsidRPr="001B406E">
        <w:rPr>
          <w:rFonts w:cs="Times New Roman"/>
        </w:rPr>
        <w:t xml:space="preserve">George Kandelaki, “Georgia’s Rose Revolution: A Participant’s Perspective” (United States Institute for Peace - USIP, July 2006), </w:t>
      </w:r>
      <w:hyperlink r:id="rId37" w:history="1">
        <w:r w:rsidRPr="001B406E">
          <w:rPr>
            <w:rStyle w:val="Hyperlink"/>
            <w:rFonts w:cs="Times New Roman"/>
          </w:rPr>
          <w:t>https://www.usip.org/sites/default/files/sr167.pdf</w:t>
        </w:r>
      </w:hyperlink>
      <w:r w:rsidRPr="001B406E">
        <w:rPr>
          <w:rFonts w:cs="Times New Roman"/>
        </w:rPr>
        <w:t>.</w:t>
      </w:r>
    </w:p>
  </w:footnote>
  <w:footnote w:id="177">
    <w:p w:rsidR="00952E3B" w:rsidRDefault="00952E3B" w:rsidP="00050BA9">
      <w:pPr>
        <w:pStyle w:val="FootnoteText"/>
      </w:pPr>
      <w:r w:rsidRPr="001B406E">
        <w:rPr>
          <w:rStyle w:val="FootnoteReference"/>
        </w:rPr>
        <w:footnoteRef/>
      </w:r>
      <w:r w:rsidRPr="001B406E">
        <w:t xml:space="preserve"> </w:t>
      </w:r>
      <w:r w:rsidRPr="001B406E">
        <w:rPr>
          <w:rFonts w:cs="Times New Roman"/>
        </w:rPr>
        <w:t>Thomas De Waal, “Georgia's Choices: Charting a Future in Uncertain Times” (Carnegie Endowment for International Peace, 2011), https://carnegieendowment.org/files/georgias_choices.pdf, 12-13.</w:t>
      </w:r>
    </w:p>
  </w:footnote>
  <w:footnote w:id="178">
    <w:p w:rsidR="00952E3B" w:rsidRPr="002546FF" w:rsidRDefault="00952E3B" w:rsidP="00050BA9">
      <w:pPr>
        <w:pStyle w:val="FootnoteText"/>
        <w:rPr>
          <w:rFonts w:cs="Times New Roman"/>
        </w:rPr>
      </w:pPr>
      <w:r>
        <w:rPr>
          <w:rStyle w:val="FootnoteReference"/>
        </w:rPr>
        <w:footnoteRef/>
      </w:r>
      <w:r>
        <w:t xml:space="preserve"> </w:t>
      </w:r>
      <w:r>
        <w:rPr>
          <w:rFonts w:cs="Times New Roman"/>
        </w:rPr>
        <w:t>Ibid.12-13</w:t>
      </w:r>
    </w:p>
  </w:footnote>
  <w:footnote w:id="179">
    <w:p w:rsidR="00952E3B" w:rsidRPr="002546FF" w:rsidRDefault="00952E3B" w:rsidP="00050BA9">
      <w:pPr>
        <w:rPr>
          <w:rFonts w:ascii="Times New Roman" w:hAnsi="Times New Roman"/>
        </w:rPr>
      </w:pPr>
      <w:r w:rsidRPr="002546FF">
        <w:rPr>
          <w:rStyle w:val="FootnoteReference"/>
          <w:rFonts w:ascii="Times New Roman" w:hAnsi="Times New Roman"/>
        </w:rPr>
        <w:footnoteRef/>
      </w:r>
      <w:r w:rsidRPr="002546FF">
        <w:rPr>
          <w:rFonts w:ascii="Times New Roman" w:hAnsi="Times New Roman"/>
        </w:rPr>
        <w:t xml:space="preserve"> International Crisis Group, “Georgia: Sliding towards Authoritarianism?” (ICG, December 20, 2007), </w:t>
      </w:r>
      <w:hyperlink r:id="rId38" w:history="1">
        <w:r w:rsidRPr="002546FF">
          <w:rPr>
            <w:rStyle w:val="Hyperlink"/>
            <w:rFonts w:ascii="Times New Roman" w:hAnsi="Times New Roman"/>
          </w:rPr>
          <w:t>https://www.crisisgroup.org/europe-central-asia/caucasus/georgia/georgia-sliding-towards-authoritarianism</w:t>
        </w:r>
      </w:hyperlink>
      <w:r w:rsidRPr="002546FF">
        <w:rPr>
          <w:rFonts w:ascii="Times New Roman" w:hAnsi="Times New Roman"/>
        </w:rPr>
        <w:t>.</w:t>
      </w:r>
    </w:p>
  </w:footnote>
  <w:footnote w:id="180">
    <w:p w:rsidR="00952E3B" w:rsidRPr="002546FF" w:rsidRDefault="00952E3B" w:rsidP="00050BA9">
      <w:pPr>
        <w:pStyle w:val="FootnoteText"/>
        <w:rPr>
          <w:rFonts w:cs="Times New Roman"/>
        </w:rPr>
      </w:pPr>
      <w:r w:rsidRPr="002546FF">
        <w:rPr>
          <w:rStyle w:val="FootnoteReference"/>
          <w:rFonts w:cs="Times New Roman"/>
        </w:rPr>
        <w:footnoteRef/>
      </w:r>
      <w:r w:rsidRPr="002546FF">
        <w:rPr>
          <w:rFonts w:cs="Times New Roman"/>
        </w:rPr>
        <w:t xml:space="preserve"> Ministry of Defense of Georgia, “National Security Concept of Georgia” (Ministry of Defense of Georgia, April 2018), https://mod.gov.ge/ge/page/70/saqartvelos-erovnuli-usafrtxoebis-koncefcia, 3.</w:t>
      </w:r>
    </w:p>
  </w:footnote>
  <w:footnote w:id="181">
    <w:p w:rsidR="00952E3B" w:rsidRPr="002546FF" w:rsidRDefault="00952E3B" w:rsidP="00050BA9">
      <w:pPr>
        <w:pStyle w:val="FootnoteText"/>
        <w:rPr>
          <w:rFonts w:cs="Times New Roman"/>
        </w:rPr>
      </w:pPr>
      <w:r w:rsidRPr="002546FF">
        <w:rPr>
          <w:rStyle w:val="FootnoteReference"/>
          <w:rFonts w:cs="Times New Roman"/>
        </w:rPr>
        <w:footnoteRef/>
      </w:r>
      <w:r w:rsidRPr="002546FF">
        <w:rPr>
          <w:rFonts w:cs="Times New Roman"/>
        </w:rPr>
        <w:t xml:space="preserve"> </w:t>
      </w:r>
      <w:r>
        <w:rPr>
          <w:rFonts w:cs="Times New Roman"/>
        </w:rPr>
        <w:t>Ibid.6-7</w:t>
      </w:r>
    </w:p>
  </w:footnote>
  <w:footnote w:id="182">
    <w:p w:rsidR="00952E3B" w:rsidRPr="002546FF" w:rsidRDefault="00952E3B" w:rsidP="00050BA9">
      <w:pPr>
        <w:pStyle w:val="FootnoteText"/>
        <w:rPr>
          <w:rFonts w:cs="Times New Roman"/>
        </w:rPr>
      </w:pPr>
      <w:r w:rsidRPr="002546FF">
        <w:rPr>
          <w:rStyle w:val="FootnoteReference"/>
          <w:rFonts w:cs="Times New Roman"/>
        </w:rPr>
        <w:footnoteRef/>
      </w:r>
      <w:r w:rsidRPr="002546FF">
        <w:rPr>
          <w:rFonts w:cs="Times New Roman"/>
        </w:rPr>
        <w:t xml:space="preserve"> </w:t>
      </w:r>
      <w:r>
        <w:rPr>
          <w:rFonts w:cs="Times New Roman"/>
        </w:rPr>
        <w:t>Ibid.</w:t>
      </w:r>
    </w:p>
  </w:footnote>
  <w:footnote w:id="183">
    <w:p w:rsidR="00952E3B" w:rsidRDefault="00952E3B" w:rsidP="00050BA9">
      <w:pPr>
        <w:pStyle w:val="FootnoteText"/>
      </w:pPr>
      <w:r w:rsidRPr="002546FF">
        <w:rPr>
          <w:rStyle w:val="FootnoteReference"/>
          <w:rFonts w:cs="Times New Roman"/>
        </w:rPr>
        <w:footnoteRef/>
      </w:r>
      <w:r w:rsidRPr="002546FF">
        <w:rPr>
          <w:rFonts w:cs="Times New Roman"/>
        </w:rPr>
        <w:t xml:space="preserve"> Ministry of Defense of Georgia, “National Security Concept of Georgia” (Ministry of Defense of Georgia, April 2018), https://mod.gov.ge/ge/page/70/saqartvelos-erovnuli-usafrtxoebis-koncefcia, 29.</w:t>
      </w:r>
    </w:p>
  </w:footnote>
  <w:footnote w:id="184">
    <w:p w:rsidR="00952E3B" w:rsidRDefault="00952E3B">
      <w:pPr>
        <w:pStyle w:val="FootnoteText"/>
      </w:pPr>
      <w:r>
        <w:rPr>
          <w:rStyle w:val="FootnoteReference"/>
        </w:rPr>
        <w:footnoteRef/>
      </w:r>
      <w:r>
        <w:t xml:space="preserve"> Lasha Kamushadze, “GDP and Monetary Policy in 2017 - GEOSTAT” (Civil.Ge, February 7, 2020), https://civil.ge/archives/337512.</w:t>
      </w:r>
    </w:p>
  </w:footnote>
  <w:footnote w:id="185">
    <w:p w:rsidR="00952E3B" w:rsidRPr="002546FF" w:rsidRDefault="00952E3B" w:rsidP="00050BA9">
      <w:pPr>
        <w:rPr>
          <w:rFonts w:ascii="Times New Roman" w:hAnsi="Times New Roman"/>
        </w:rPr>
      </w:pPr>
      <w:r w:rsidRPr="002546FF">
        <w:rPr>
          <w:rStyle w:val="FootnoteReference"/>
          <w:rFonts w:ascii="Times New Roman" w:hAnsi="Times New Roman"/>
        </w:rPr>
        <w:footnoteRef/>
      </w:r>
      <w:r w:rsidRPr="002546FF">
        <w:rPr>
          <w:rFonts w:ascii="Times New Roman" w:hAnsi="Times New Roman"/>
        </w:rPr>
        <w:t xml:space="preserve"> Ibid.25</w:t>
      </w:r>
    </w:p>
  </w:footnote>
  <w:footnote w:id="186">
    <w:p w:rsidR="00952E3B" w:rsidRPr="00C63F2A" w:rsidRDefault="00952E3B" w:rsidP="00050BA9">
      <w:pPr>
        <w:rPr>
          <w:rFonts w:ascii="Times New Roman" w:hAnsi="Times New Roman"/>
        </w:rPr>
      </w:pPr>
      <w:r w:rsidRPr="00C63F2A">
        <w:rPr>
          <w:rStyle w:val="FootnoteReference"/>
          <w:rFonts w:ascii="Times New Roman" w:hAnsi="Times New Roman"/>
        </w:rPr>
        <w:footnoteRef/>
      </w:r>
      <w:r w:rsidRPr="00C63F2A">
        <w:rPr>
          <w:rFonts w:ascii="Times New Roman" w:hAnsi="Times New Roman"/>
        </w:rPr>
        <w:t xml:space="preserve"> </w:t>
      </w:r>
      <w:r>
        <w:rPr>
          <w:rFonts w:ascii="Times New Roman" w:hAnsi="Times New Roman"/>
        </w:rPr>
        <w:t>Ibid.30-32</w:t>
      </w:r>
    </w:p>
  </w:footnote>
  <w:footnote w:id="187">
    <w:p w:rsidR="00952E3B" w:rsidRPr="00806928" w:rsidRDefault="00952E3B" w:rsidP="00050BA9">
      <w:pPr>
        <w:pStyle w:val="FootnoteText"/>
      </w:pPr>
      <w:r w:rsidRPr="00806928">
        <w:rPr>
          <w:rStyle w:val="FootnoteReference"/>
        </w:rPr>
        <w:footnoteRef/>
      </w:r>
      <w:r w:rsidRPr="00806928">
        <w:t xml:space="preserve"> </w:t>
      </w:r>
      <w:r w:rsidRPr="00806928">
        <w:rPr>
          <w:rFonts w:cs="Times New Roman"/>
        </w:rPr>
        <w:t xml:space="preserve">Cara M Davies, “'Backseat Driving': European Institutions and Crisis Management in Moldova,” </w:t>
      </w:r>
      <w:r w:rsidRPr="00806928">
        <w:rPr>
          <w:rFonts w:cs="Times New Roman"/>
          <w:i/>
          <w:iCs/>
        </w:rPr>
        <w:t>Romanian Journal of Political Science</w:t>
      </w:r>
      <w:r w:rsidRPr="00806928">
        <w:rPr>
          <w:rFonts w:cs="Times New Roman"/>
        </w:rPr>
        <w:t xml:space="preserve"> 34, no. 2 (February 2011): pp. 130-153, 147.</w:t>
      </w:r>
    </w:p>
  </w:footnote>
  <w:footnote w:id="188">
    <w:p w:rsidR="00952E3B" w:rsidRPr="00806928" w:rsidRDefault="00952E3B" w:rsidP="00050BA9">
      <w:pPr>
        <w:pStyle w:val="FootnoteText"/>
      </w:pPr>
      <w:r w:rsidRPr="00806928">
        <w:rPr>
          <w:rStyle w:val="FootnoteReference"/>
        </w:rPr>
        <w:footnoteRef/>
      </w:r>
      <w:r w:rsidRPr="00806928">
        <w:t xml:space="preserve"> </w:t>
      </w:r>
      <w:r w:rsidRPr="00806928">
        <w:rPr>
          <w:rFonts w:cs="Times New Roman"/>
        </w:rPr>
        <w:t>Licina Simao and Maria Raquel Freire, “South Caucasus and the ENP” (Tbilisi State University Press, June 2008), http://georgica.tsu.edu.ge/files/04-Foreign%20Affairs/Simao%20&amp;%20Freire-2008.pdf, 32-33.</w:t>
      </w:r>
    </w:p>
  </w:footnote>
  <w:footnote w:id="189">
    <w:p w:rsidR="00952E3B" w:rsidRPr="00806928" w:rsidRDefault="00952E3B" w:rsidP="00050BA9">
      <w:pPr>
        <w:pStyle w:val="FootnoteText"/>
      </w:pPr>
      <w:r w:rsidRPr="00806928">
        <w:rPr>
          <w:rStyle w:val="FootnoteReference"/>
        </w:rPr>
        <w:footnoteRef/>
      </w:r>
      <w:r w:rsidRPr="00806928">
        <w:t xml:space="preserve"> </w:t>
      </w:r>
      <w:r w:rsidRPr="00806928">
        <w:rPr>
          <w:rFonts w:cs="Times New Roman"/>
        </w:rPr>
        <w:t>Dov Lynch, “European Union Institute for Security Studies” (European Union Institute for Security Studies - EU ISS, February 1, 2006), https://www.iss.europa.eu/sites/default/files/EUISSFiles/cp086.pdf, 98-99.</w:t>
      </w:r>
    </w:p>
  </w:footnote>
  <w:footnote w:id="190">
    <w:p w:rsidR="00952E3B" w:rsidRPr="00806928" w:rsidRDefault="00952E3B" w:rsidP="00050BA9">
      <w:pPr>
        <w:pStyle w:val="FootnoteText"/>
      </w:pPr>
      <w:r w:rsidRPr="00806928">
        <w:rPr>
          <w:rStyle w:val="FootnoteReference"/>
        </w:rPr>
        <w:footnoteRef/>
      </w:r>
      <w:r w:rsidRPr="00806928">
        <w:t xml:space="preserve"> </w:t>
      </w:r>
      <w:r w:rsidRPr="00806928">
        <w:rPr>
          <w:rFonts w:cs="Times New Roman"/>
        </w:rPr>
        <w:t xml:space="preserve">Licina Simao and Maria Raquel Freire, </w:t>
      </w:r>
      <w:proofErr w:type="gramStart"/>
      <w:r w:rsidRPr="00806928">
        <w:rPr>
          <w:rFonts w:cs="Times New Roman"/>
          <w:i/>
          <w:iCs/>
        </w:rPr>
        <w:t>The</w:t>
      </w:r>
      <w:proofErr w:type="gramEnd"/>
      <w:r w:rsidRPr="00806928">
        <w:rPr>
          <w:rFonts w:cs="Times New Roman"/>
          <w:i/>
          <w:iCs/>
        </w:rPr>
        <w:t xml:space="preserve"> EU in Georgia: Building the Security?</w:t>
      </w:r>
      <w:r w:rsidRPr="00806928">
        <w:rPr>
          <w:rFonts w:cs="Times New Roman"/>
        </w:rPr>
        <w:t xml:space="preserve"> (Tbilisi: Tbilisi State University Press, 2013), 75-76.</w:t>
      </w:r>
    </w:p>
  </w:footnote>
  <w:footnote w:id="191">
    <w:p w:rsidR="00952E3B" w:rsidRDefault="00952E3B">
      <w:pPr>
        <w:pStyle w:val="FootnoteText"/>
      </w:pPr>
      <w:r>
        <w:rPr>
          <w:rStyle w:val="FootnoteReference"/>
        </w:rPr>
        <w:footnoteRef/>
      </w:r>
      <w:r>
        <w:t xml:space="preserve"> European Commission, “IP/95/532 - TOWARDS A EUROPEAN UNION STRATEGY FOR RELATIONS WITH THE TRANSCAUCASIANREPUBLICS” (European Commission, May 31, 1995), https://ec.europa.eu/commission/presscorner/detail/en/IP_95_532.</w:t>
      </w:r>
    </w:p>
  </w:footnote>
  <w:footnote w:id="192">
    <w:p w:rsidR="00952E3B" w:rsidRPr="00806928" w:rsidRDefault="00952E3B" w:rsidP="00050BA9">
      <w:pPr>
        <w:pStyle w:val="FootnoteText"/>
      </w:pPr>
      <w:r w:rsidRPr="00806928">
        <w:rPr>
          <w:rStyle w:val="FootnoteReference"/>
        </w:rPr>
        <w:footnoteRef/>
      </w:r>
      <w:r w:rsidRPr="00806928">
        <w:t xml:space="preserve"> </w:t>
      </w:r>
      <w:r>
        <w:rPr>
          <w:rFonts w:cs="Times New Roman"/>
        </w:rPr>
        <w:t>Ibid.</w:t>
      </w:r>
    </w:p>
  </w:footnote>
  <w:footnote w:id="193">
    <w:p w:rsidR="00952E3B" w:rsidRDefault="00952E3B" w:rsidP="00050BA9">
      <w:pPr>
        <w:pStyle w:val="FootnoteText"/>
      </w:pPr>
      <w:r w:rsidRPr="00806928">
        <w:rPr>
          <w:rStyle w:val="FootnoteReference"/>
        </w:rPr>
        <w:footnoteRef/>
      </w:r>
      <w:r w:rsidRPr="00806928">
        <w:t xml:space="preserve"> </w:t>
      </w:r>
      <w:r w:rsidRPr="00806928">
        <w:rPr>
          <w:rFonts w:cs="Times New Roman"/>
        </w:rPr>
        <w:t xml:space="preserve">Vladimir Dordevic, “Regional Conflicts in the Western Balkans and the Caucasus Revisited: Comparison of Kosovo to South Ossetia and Abkhazia,” </w:t>
      </w:r>
      <w:r w:rsidRPr="00806928">
        <w:rPr>
          <w:rFonts w:cs="Times New Roman"/>
          <w:i/>
          <w:iCs/>
        </w:rPr>
        <w:t>Regional Conflicts in the Western Balkans and Caucasus</w:t>
      </w:r>
      <w:r w:rsidRPr="00806928">
        <w:rPr>
          <w:rFonts w:cs="Times New Roman"/>
        </w:rPr>
        <w:t xml:space="preserve"> 12, no. 19 (April 2010): pp. 22-44, https://journals.muni.cz/cepsr/article/view/4466/3529, 12-13.</w:t>
      </w:r>
    </w:p>
  </w:footnote>
  <w:footnote w:id="194">
    <w:p w:rsidR="00952E3B" w:rsidRPr="00725267" w:rsidRDefault="00952E3B" w:rsidP="00050BA9">
      <w:pPr>
        <w:pStyle w:val="FootnoteText"/>
      </w:pPr>
      <w:r w:rsidRPr="00725267">
        <w:rPr>
          <w:rStyle w:val="FootnoteReference"/>
        </w:rPr>
        <w:footnoteRef/>
      </w:r>
      <w:r w:rsidRPr="00725267">
        <w:t xml:space="preserve"> </w:t>
      </w:r>
      <w:r w:rsidRPr="00725267">
        <w:rPr>
          <w:rFonts w:cs="Times New Roman"/>
        </w:rPr>
        <w:t xml:space="preserve">Ingo Peters and Jan Bittner, “EU-US Risk Policy in the European Neighborhood: The Cases of Moldova and Georgia” (Center for Transnational Relations at Free University of Berlin, March 28, 2008), </w:t>
      </w:r>
      <w:hyperlink r:id="rId39" w:history="1">
        <w:r w:rsidRPr="00725267">
          <w:rPr>
            <w:rStyle w:val="Hyperlink"/>
            <w:rFonts w:cs="Times New Roman"/>
          </w:rPr>
          <w:t>https://www.polsoz.fu-berlin.de/en/polwiss/forschung/international/atasp/publikationen/4_artikel_papiere/8/index.html</w:t>
        </w:r>
      </w:hyperlink>
      <w:r w:rsidRPr="00725267">
        <w:rPr>
          <w:rFonts w:cs="Times New Roman"/>
        </w:rPr>
        <w:t>.</w:t>
      </w:r>
    </w:p>
  </w:footnote>
  <w:footnote w:id="195">
    <w:p w:rsidR="00952E3B" w:rsidRPr="00725267" w:rsidRDefault="00952E3B" w:rsidP="00050BA9">
      <w:pPr>
        <w:pStyle w:val="FootnoteText"/>
      </w:pPr>
      <w:r w:rsidRPr="00725267">
        <w:rPr>
          <w:rStyle w:val="FootnoteReference"/>
        </w:rPr>
        <w:footnoteRef/>
      </w:r>
      <w:r w:rsidRPr="00725267">
        <w:t xml:space="preserve"> </w:t>
      </w:r>
      <w:r w:rsidRPr="00725267">
        <w:rPr>
          <w:rFonts w:cs="Times New Roman"/>
        </w:rPr>
        <w:t xml:space="preserve">Syuzanna Vasilyan, “‘Moral Power’ as Objectification of the ‘Civilian’/‘Normative’ ‘EUlogy’: the European Union as a Conflict-Dealer in the South Caucasus,” </w:t>
      </w:r>
      <w:r w:rsidRPr="00725267">
        <w:rPr>
          <w:rFonts w:cs="Times New Roman"/>
          <w:i/>
          <w:iCs/>
        </w:rPr>
        <w:t>Journal of International Relations and Development</w:t>
      </w:r>
      <w:r w:rsidRPr="00725267">
        <w:rPr>
          <w:rFonts w:cs="Times New Roman"/>
        </w:rPr>
        <w:t xml:space="preserve"> 17, no. 3 (2013): pp. 397-424, https://doi.org/10.1057/jird.2013.10, 409.</w:t>
      </w:r>
    </w:p>
  </w:footnote>
  <w:footnote w:id="196">
    <w:p w:rsidR="00952E3B" w:rsidRPr="00725267" w:rsidRDefault="00952E3B" w:rsidP="00050BA9">
      <w:pPr>
        <w:pStyle w:val="FootnoteText"/>
      </w:pPr>
      <w:r w:rsidRPr="00725267">
        <w:rPr>
          <w:rStyle w:val="FootnoteReference"/>
        </w:rPr>
        <w:footnoteRef/>
      </w:r>
      <w:r w:rsidRPr="00725267">
        <w:t xml:space="preserve"> </w:t>
      </w:r>
      <w:r w:rsidRPr="00725267">
        <w:rPr>
          <w:rFonts w:cs="Times New Roman"/>
        </w:rPr>
        <w:t xml:space="preserve">Madalina Dobrescu and Tobias Schumacher, “The Politics of Flexibility: Exploring the Contested Statehood–EU Actorness Nexus in Georgia,” </w:t>
      </w:r>
      <w:r w:rsidRPr="00725267">
        <w:rPr>
          <w:rFonts w:cs="Times New Roman"/>
          <w:i/>
          <w:iCs/>
        </w:rPr>
        <w:t>Geopolitics</w:t>
      </w:r>
      <w:r w:rsidRPr="00725267">
        <w:rPr>
          <w:rFonts w:cs="Times New Roman"/>
        </w:rPr>
        <w:t xml:space="preserve"> 25, no. 2 (May 2018): pp. 407-427, https://doi.org/10.1080/14650045.2018.1552944, 420-422.</w:t>
      </w:r>
    </w:p>
  </w:footnote>
  <w:footnote w:id="197">
    <w:p w:rsidR="00952E3B" w:rsidRPr="00725267" w:rsidRDefault="00952E3B" w:rsidP="00050BA9">
      <w:pPr>
        <w:pStyle w:val="FootnoteText"/>
      </w:pPr>
      <w:r w:rsidRPr="00725267">
        <w:rPr>
          <w:rStyle w:val="FootnoteReference"/>
        </w:rPr>
        <w:footnoteRef/>
      </w:r>
      <w:r w:rsidRPr="00725267">
        <w:t xml:space="preserve"> </w:t>
      </w:r>
      <w:r w:rsidRPr="00725267">
        <w:rPr>
          <w:rFonts w:cs="Times New Roman"/>
        </w:rPr>
        <w:t xml:space="preserve">Council of the European Union, “COPENHAGEN EUROPEAN COUNCIL 12 AND 13 DECEMBER 2002” (Council of the European Union, January 29, 2003), </w:t>
      </w:r>
      <w:hyperlink r:id="rId40" w:history="1">
        <w:r w:rsidRPr="00725267">
          <w:rPr>
            <w:rStyle w:val="Hyperlink"/>
            <w:rFonts w:cs="Times New Roman"/>
          </w:rPr>
          <w:t>https://www.consilium.europa.eu/media/20906/73842.pdf</w:t>
        </w:r>
      </w:hyperlink>
      <w:r w:rsidRPr="00725267">
        <w:rPr>
          <w:rFonts w:cs="Times New Roman"/>
        </w:rPr>
        <w:t>.</w:t>
      </w:r>
    </w:p>
  </w:footnote>
  <w:footnote w:id="198">
    <w:p w:rsidR="00952E3B" w:rsidRPr="00725267" w:rsidRDefault="00952E3B" w:rsidP="00050BA9">
      <w:pPr>
        <w:pStyle w:val="FootnoteText"/>
      </w:pPr>
      <w:r w:rsidRPr="00725267">
        <w:rPr>
          <w:rStyle w:val="FootnoteReference"/>
        </w:rPr>
        <w:footnoteRef/>
      </w:r>
      <w:r w:rsidRPr="00725267">
        <w:t xml:space="preserve"> </w:t>
      </w:r>
      <w:r w:rsidRPr="00725267">
        <w:rPr>
          <w:rFonts w:cs="Times New Roman"/>
        </w:rPr>
        <w:t xml:space="preserve">Commission of the European Communities, “Wider Europe — Neighbourhood: A New Framework for Relations with Our Eastern and Southern Neighbours” (European External Service - EEAS, March 11, 2003), </w:t>
      </w:r>
      <w:hyperlink r:id="rId41" w:history="1">
        <w:r w:rsidRPr="00725267">
          <w:rPr>
            <w:rStyle w:val="Hyperlink"/>
            <w:rFonts w:cs="Times New Roman"/>
          </w:rPr>
          <w:t>http://eeas.europa.eu/archives/docs/enp/pdf/pdf/com03_104_en.pdf</w:t>
        </w:r>
      </w:hyperlink>
      <w:r w:rsidRPr="00725267">
        <w:rPr>
          <w:rFonts w:cs="Times New Roman"/>
        </w:rPr>
        <w:t>.</w:t>
      </w:r>
    </w:p>
  </w:footnote>
  <w:footnote w:id="199">
    <w:p w:rsidR="00952E3B" w:rsidRPr="00725267" w:rsidRDefault="00952E3B" w:rsidP="00050BA9">
      <w:pPr>
        <w:pStyle w:val="FootnoteText"/>
      </w:pPr>
      <w:r w:rsidRPr="00725267">
        <w:rPr>
          <w:rStyle w:val="FootnoteReference"/>
        </w:rPr>
        <w:footnoteRef/>
      </w:r>
      <w:r w:rsidRPr="00725267">
        <w:t xml:space="preserve"> </w:t>
      </w:r>
      <w:r>
        <w:rPr>
          <w:rFonts w:cs="Times New Roman"/>
        </w:rPr>
        <w:t>Ibid.</w:t>
      </w:r>
    </w:p>
  </w:footnote>
  <w:footnote w:id="200">
    <w:p w:rsidR="00952E3B" w:rsidRPr="00725267" w:rsidRDefault="00952E3B" w:rsidP="00050BA9">
      <w:pPr>
        <w:pStyle w:val="FootnoteText"/>
      </w:pPr>
      <w:r w:rsidRPr="00725267">
        <w:rPr>
          <w:rStyle w:val="FootnoteReference"/>
        </w:rPr>
        <w:footnoteRef/>
      </w:r>
      <w:r w:rsidRPr="00725267">
        <w:t xml:space="preserve"> </w:t>
      </w:r>
      <w:r w:rsidRPr="00725267">
        <w:rPr>
          <w:rFonts w:cs="Times New Roman"/>
        </w:rPr>
        <w:t xml:space="preserve">Commission of the European Communities, “ON STRENGTHENING THE EUROPEAN NEIGHBOURHOOD </w:t>
      </w:r>
      <w:proofErr w:type="gramStart"/>
      <w:r w:rsidRPr="00725267">
        <w:rPr>
          <w:rFonts w:cs="Times New Roman"/>
        </w:rPr>
        <w:t>POLICY ”</w:t>
      </w:r>
      <w:proofErr w:type="gramEnd"/>
      <w:r w:rsidRPr="00725267">
        <w:rPr>
          <w:rFonts w:cs="Times New Roman"/>
        </w:rPr>
        <w:t xml:space="preserve">(EUR-Lex, December 4, 2006), </w:t>
      </w:r>
      <w:hyperlink r:id="rId42" w:history="1">
        <w:r w:rsidRPr="00725267">
          <w:rPr>
            <w:rStyle w:val="Hyperlink"/>
            <w:rFonts w:cs="Times New Roman"/>
          </w:rPr>
          <w:t>https://eur-lex.europa.eu/LexUriServ/LexUriServ.do?uri=COM:2006:0726:FIN:EN:PDF</w:t>
        </w:r>
      </w:hyperlink>
      <w:r w:rsidRPr="00725267">
        <w:rPr>
          <w:rFonts w:cs="Times New Roman"/>
        </w:rPr>
        <w:t>.</w:t>
      </w:r>
    </w:p>
  </w:footnote>
  <w:footnote w:id="201">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European External Action Service, “European Neighbourhood Policy (ENP)” (European External Service - EEAS, July 2020), </w:t>
      </w:r>
      <w:hyperlink r:id="rId43" w:history="1">
        <w:r w:rsidRPr="001505DC">
          <w:rPr>
            <w:rStyle w:val="Hyperlink"/>
            <w:rFonts w:cs="Times New Roman"/>
          </w:rPr>
          <w:t>https://eeas.europa.eu/diplomatic-network/european-neighbourhood-policy-enp_en</w:t>
        </w:r>
      </w:hyperlink>
      <w:r w:rsidRPr="001505DC">
        <w:rPr>
          <w:rFonts w:cs="Times New Roman"/>
        </w:rPr>
        <w:t>.</w:t>
      </w:r>
    </w:p>
  </w:footnote>
  <w:footnote w:id="202">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Jean F Crombois, “European Consortium for Political Research Standing Group on the European Union Fourth Pan-European Conference on EU Politics,” </w:t>
      </w:r>
      <w:r w:rsidRPr="001505DC">
        <w:rPr>
          <w:rFonts w:cs="Times New Roman"/>
          <w:i/>
          <w:iCs/>
        </w:rPr>
        <w:t>EU Eastern Partnership and Geopolitics</w:t>
      </w:r>
      <w:r w:rsidRPr="001505DC">
        <w:rPr>
          <w:rFonts w:cs="Times New Roman"/>
        </w:rPr>
        <w:t xml:space="preserve">, May 2008, </w:t>
      </w:r>
      <w:hyperlink r:id="rId44" w:history="1">
        <w:r w:rsidRPr="001505DC">
          <w:rPr>
            <w:rStyle w:val="Hyperlink"/>
            <w:rFonts w:cs="Times New Roman"/>
          </w:rPr>
          <w:t>https://www.researchgate.net/publication/239533669_European_Consortium_for_Political_Research_Standing_Group_on_the_European_Union_Fourth_Pan-European_Conference_on_EU_Politics</w:t>
        </w:r>
      </w:hyperlink>
      <w:r w:rsidRPr="001505DC">
        <w:rPr>
          <w:rFonts w:cs="Times New Roman"/>
        </w:rPr>
        <w:t>.</w:t>
      </w:r>
    </w:p>
  </w:footnote>
  <w:footnote w:id="203">
    <w:p w:rsidR="00952E3B" w:rsidRPr="001505DC" w:rsidRDefault="00952E3B" w:rsidP="00050BA9">
      <w:pPr>
        <w:rPr>
          <w:rFonts w:ascii="Times New Roman" w:hAnsi="Times New Roman"/>
        </w:rPr>
      </w:pPr>
      <w:r w:rsidRPr="001505DC">
        <w:rPr>
          <w:rStyle w:val="FootnoteReference"/>
          <w:rFonts w:ascii="Times New Roman" w:hAnsi="Times New Roman"/>
        </w:rPr>
        <w:footnoteRef/>
      </w:r>
      <w:r w:rsidRPr="001505DC">
        <w:rPr>
          <w:rFonts w:ascii="Times New Roman" w:hAnsi="Times New Roman"/>
        </w:rPr>
        <w:t xml:space="preserve"> Judith Kelley, “New Wine in Old Wineskins: Promoting Political Reforms through the New European Neighbourhood Policy,” </w:t>
      </w:r>
      <w:r w:rsidRPr="001505DC">
        <w:rPr>
          <w:rFonts w:ascii="Times New Roman" w:hAnsi="Times New Roman"/>
          <w:i/>
          <w:iCs/>
        </w:rPr>
        <w:t xml:space="preserve">Journal of Common Market Studies </w:t>
      </w:r>
      <w:r w:rsidRPr="001505DC">
        <w:rPr>
          <w:rFonts w:ascii="Times New Roman" w:hAnsi="Times New Roman"/>
        </w:rPr>
        <w:t>44, no. 1 (March 2006): pp. 29-55, https://doi.org/https://doi.org/10.1111/j.1468-5965.2006.00613.x, 30.</w:t>
      </w:r>
    </w:p>
  </w:footnote>
  <w:footnote w:id="204">
    <w:p w:rsidR="00952E3B" w:rsidRDefault="00952E3B">
      <w:pPr>
        <w:pStyle w:val="FootnoteText"/>
      </w:pPr>
      <w:r>
        <w:rPr>
          <w:rStyle w:val="FootnoteReference"/>
        </w:rPr>
        <w:footnoteRef/>
      </w:r>
      <w:r>
        <w:t xml:space="preserve"> Valentin Misteli, “EU FOREIGN POLICY: STILL IN THE MAKING” (CSS Analysis in Security Policy, June 2011), https://ethz.ch/content/dam/ethz/special-interest/gess/cis/center-for-securities-studies/pdfs/CSS-Analysis-96-EN.pdf, 2.</w:t>
      </w:r>
    </w:p>
  </w:footnote>
  <w:footnote w:id="205">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w:t>
      </w:r>
      <w:r>
        <w:rPr>
          <w:rFonts w:cs="Times New Roman"/>
        </w:rPr>
        <w:t>Ibid.</w:t>
      </w:r>
    </w:p>
  </w:footnote>
  <w:footnote w:id="206">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w:t>
      </w:r>
      <w:r>
        <w:rPr>
          <w:rFonts w:cs="Times New Roman"/>
        </w:rPr>
        <w:t>Ibid.</w:t>
      </w:r>
    </w:p>
  </w:footnote>
  <w:footnote w:id="207">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Steffan Wolf and Richard Whitman, “CONFLICT RESOLUTION AS A POLICY GOAL UNDER ENP IN THE SOUTHERN </w:t>
      </w:r>
      <w:proofErr w:type="gramStart"/>
      <w:r w:rsidRPr="001505DC">
        <w:rPr>
          <w:rFonts w:cs="Times New Roman"/>
        </w:rPr>
        <w:t>NEIGHBOURHOOD ”</w:t>
      </w:r>
      <w:proofErr w:type="gramEnd"/>
      <w:r w:rsidRPr="001505DC">
        <w:rPr>
          <w:rFonts w:cs="Times New Roman"/>
        </w:rPr>
        <w:t>(University of Notingham, November 2008), http://www.stefanwolff.com/files/ENP.pdf, 7-8.</w:t>
      </w:r>
    </w:p>
  </w:footnote>
  <w:footnote w:id="208">
    <w:p w:rsidR="00952E3B" w:rsidRDefault="00952E3B" w:rsidP="00050BA9">
      <w:pPr>
        <w:pStyle w:val="FootnoteText"/>
      </w:pPr>
      <w:r w:rsidRPr="001505DC">
        <w:rPr>
          <w:rStyle w:val="FootnoteReference"/>
          <w:rFonts w:cs="Times New Roman"/>
        </w:rPr>
        <w:footnoteRef/>
      </w:r>
      <w:r w:rsidRPr="001505DC">
        <w:rPr>
          <w:rFonts w:cs="Times New Roman"/>
        </w:rPr>
        <w:t xml:space="preserve"> Transperacy International Georgia, “GEORGIA’S POWER SECTOR: ENERGY CROSSROADS IN UNCERTAIN TRANSITION” (Transperacy International Georgia, 2012), </w:t>
      </w:r>
      <w:hyperlink r:id="rId45" w:history="1">
        <w:r w:rsidRPr="001505DC">
          <w:rPr>
            <w:rStyle w:val="Hyperlink"/>
            <w:rFonts w:cs="Times New Roman"/>
          </w:rPr>
          <w:t>https://www.transparency.ge/sites/default/files/GEORGIA%27S%20POWER%20SECTOR%20-%20ENG.pdf</w:t>
        </w:r>
      </w:hyperlink>
      <w:r w:rsidRPr="001505DC">
        <w:rPr>
          <w:rFonts w:cs="Times New Roman"/>
        </w:rPr>
        <w:t>.</w:t>
      </w:r>
    </w:p>
  </w:footnote>
  <w:footnote w:id="209">
    <w:p w:rsidR="00952E3B" w:rsidRPr="001505DC" w:rsidRDefault="00952E3B" w:rsidP="00050BA9">
      <w:pPr>
        <w:rPr>
          <w:rFonts w:ascii="Times New Roman" w:hAnsi="Times New Roman"/>
        </w:rPr>
      </w:pPr>
      <w:r w:rsidRPr="001505DC">
        <w:rPr>
          <w:rStyle w:val="FootnoteReference"/>
          <w:rFonts w:ascii="Times New Roman" w:hAnsi="Times New Roman"/>
        </w:rPr>
        <w:footnoteRef/>
      </w:r>
      <w:r w:rsidRPr="001505DC">
        <w:rPr>
          <w:rFonts w:ascii="Times New Roman" w:hAnsi="Times New Roman"/>
        </w:rPr>
        <w:t xml:space="preserve"> The Embassy of Georgia in the United States of America, “Chronology of Major Events of Georgia- EU Cooperation,” June 2018, </w:t>
      </w:r>
      <w:hyperlink r:id="rId46" w:history="1">
        <w:r w:rsidRPr="001505DC">
          <w:rPr>
            <w:rStyle w:val="Hyperlink"/>
            <w:rFonts w:ascii="Times New Roman" w:hAnsi="Times New Roman"/>
          </w:rPr>
          <w:t>https://georgiaembassyusa.org/wp-content/uploads/2018/01/Chronology-of-Major-Events-in-Georgia-EU-Cooperation.pdf</w:t>
        </w:r>
      </w:hyperlink>
      <w:r w:rsidRPr="001505DC">
        <w:rPr>
          <w:rFonts w:ascii="Times New Roman" w:hAnsi="Times New Roman"/>
        </w:rPr>
        <w:t>.</w:t>
      </w:r>
    </w:p>
  </w:footnote>
  <w:footnote w:id="210">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EUR-Lex, “Council Joint Action 2004/523/CFSP of 28 June 2004 on the European Union Rule of Law Mission in Georgia, EUJUST THEMIS” (EUR-</w:t>
      </w:r>
      <w:proofErr w:type="gramStart"/>
      <w:r w:rsidRPr="001505DC">
        <w:rPr>
          <w:rFonts w:cs="Times New Roman"/>
        </w:rPr>
        <w:t>Lex ,</w:t>
      </w:r>
      <w:proofErr w:type="gramEnd"/>
      <w:r w:rsidRPr="001505DC">
        <w:rPr>
          <w:rFonts w:cs="Times New Roman"/>
        </w:rPr>
        <w:t xml:space="preserve"> July 2005), </w:t>
      </w:r>
      <w:hyperlink r:id="rId47" w:history="1">
        <w:r w:rsidRPr="001505DC">
          <w:rPr>
            <w:rStyle w:val="Hyperlink"/>
            <w:rFonts w:cs="Times New Roman"/>
          </w:rPr>
          <w:t>https://eur-lex.europa.eu/legal-content/EN/TXT/?uri=CELEX%3A32004E0523</w:t>
        </w:r>
      </w:hyperlink>
      <w:r w:rsidRPr="001505DC">
        <w:rPr>
          <w:rFonts w:cs="Times New Roman"/>
        </w:rPr>
        <w:t>.</w:t>
      </w:r>
    </w:p>
  </w:footnote>
  <w:footnote w:id="211">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The Embassy of Georgia in the United States of America, “Chronology of Major Events of Georgia- EU Cooperation,” June 2018, </w:t>
      </w:r>
      <w:hyperlink r:id="rId48" w:history="1">
        <w:r w:rsidRPr="001505DC">
          <w:rPr>
            <w:rStyle w:val="Hyperlink"/>
            <w:rFonts w:cs="Times New Roman"/>
          </w:rPr>
          <w:t>https://georgiaembassyusa.org/wp-content/uploads/2018/01/Chronology-of-Major-Events-in-Georgia-EU-Cooperation.pdf</w:t>
        </w:r>
      </w:hyperlink>
      <w:r w:rsidRPr="001505DC">
        <w:rPr>
          <w:rFonts w:cs="Times New Roman"/>
        </w:rPr>
        <w:t>.</w:t>
      </w:r>
    </w:p>
  </w:footnote>
  <w:footnote w:id="212">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w:t>
      </w:r>
      <w:r>
        <w:rPr>
          <w:rFonts w:cs="Times New Roman"/>
        </w:rPr>
        <w:t>Ibid.</w:t>
      </w:r>
    </w:p>
  </w:footnote>
  <w:footnote w:id="213">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Agniezska Nowak, “Civilian Crisis Management: The EU Way” (European Union Institute for Security Studies - Chaillot Paper, June 2006), https://www.iss.europa.eu/sites/default/files/EUISSFiles/cp090_0.pdf, 92.</w:t>
      </w:r>
    </w:p>
  </w:footnote>
  <w:footnote w:id="214">
    <w:p w:rsidR="00952E3B" w:rsidRPr="001505DC" w:rsidRDefault="00952E3B" w:rsidP="00050BA9">
      <w:pPr>
        <w:pStyle w:val="FootnoteText"/>
        <w:rPr>
          <w:rFonts w:cs="Times New Roman"/>
        </w:rPr>
      </w:pPr>
      <w:r w:rsidRPr="001505DC">
        <w:rPr>
          <w:rStyle w:val="FootnoteReference"/>
          <w:rFonts w:cs="Times New Roman"/>
        </w:rPr>
        <w:footnoteRef/>
      </w:r>
      <w:r w:rsidRPr="001505DC">
        <w:rPr>
          <w:rFonts w:cs="Times New Roman"/>
        </w:rPr>
        <w:t xml:space="preserve"> Giovanni Grevi, “PIONEERING FOREIGN POLICY: THE EU SPECIAL REPRESENTATIVES” (European Union Institute for Security Studies, October 1, 2007), https://www.iss.europa.eu/sites/default/files/EUISSFiles/chai106.pdf, 9.</w:t>
      </w:r>
    </w:p>
  </w:footnote>
  <w:footnote w:id="215">
    <w:p w:rsidR="00952E3B" w:rsidRPr="00AB27B7" w:rsidRDefault="00952E3B" w:rsidP="00050BA9">
      <w:pPr>
        <w:pStyle w:val="FootnoteText"/>
      </w:pPr>
      <w:r w:rsidRPr="00AB27B7">
        <w:rPr>
          <w:rStyle w:val="FootnoteReference"/>
          <w:rFonts w:cs="Times New Roman"/>
        </w:rPr>
        <w:footnoteRef/>
      </w:r>
      <w:r w:rsidRPr="00AB27B7">
        <w:rPr>
          <w:rFonts w:cs="Times New Roman"/>
        </w:rPr>
        <w:t xml:space="preserve"> European External Actions Service, “EU Special Representatives” (EEAS, November 2019), </w:t>
      </w:r>
      <w:hyperlink r:id="rId49" w:history="1">
        <w:r w:rsidRPr="00AB27B7">
          <w:rPr>
            <w:rStyle w:val="Hyperlink"/>
            <w:rFonts w:cs="Times New Roman"/>
          </w:rPr>
          <w:t>https://eeas.europa.eu/headquarters/headquarters-homepage_en/3606/EU%20Special%20Representatives</w:t>
        </w:r>
      </w:hyperlink>
      <w:r w:rsidRPr="00AB27B7">
        <w:rPr>
          <w:rFonts w:cs="Times New Roman"/>
        </w:rPr>
        <w:t>.</w:t>
      </w:r>
    </w:p>
  </w:footnote>
  <w:footnote w:id="216">
    <w:p w:rsidR="00952E3B" w:rsidRPr="00AB27B7" w:rsidRDefault="00952E3B" w:rsidP="00050BA9">
      <w:pPr>
        <w:pStyle w:val="FootnoteText"/>
      </w:pPr>
      <w:r w:rsidRPr="00AB27B7">
        <w:rPr>
          <w:rStyle w:val="FootnoteReference"/>
        </w:rPr>
        <w:footnoteRef/>
      </w:r>
      <w:r w:rsidRPr="00AB27B7">
        <w:t xml:space="preserve"> </w:t>
      </w:r>
      <w:r w:rsidRPr="00AB27B7">
        <w:rPr>
          <w:rFonts w:cs="Times New Roman"/>
        </w:rPr>
        <w:t>Giovanni Grevi, “PIONEERING FOREIGN POLICY: THE EU SPECIAL REPRESENTATIVES” (European Union Institute for Security Studies, October 1, 2007), https://www.iss.europa.eu/sites/default/files/EUISSFiles/chai106.pdf, 11.</w:t>
      </w:r>
    </w:p>
  </w:footnote>
  <w:footnote w:id="217">
    <w:p w:rsidR="00952E3B" w:rsidRPr="00AB27B7" w:rsidRDefault="00952E3B" w:rsidP="00050BA9">
      <w:pPr>
        <w:pStyle w:val="FootnoteText"/>
      </w:pPr>
      <w:r w:rsidRPr="00AB27B7">
        <w:rPr>
          <w:rStyle w:val="FootnoteReference"/>
        </w:rPr>
        <w:footnoteRef/>
      </w:r>
      <w:r w:rsidRPr="00AB27B7">
        <w:t xml:space="preserve"> </w:t>
      </w:r>
      <w:r>
        <w:rPr>
          <w:rFonts w:cs="Times New Roman"/>
        </w:rPr>
        <w:t>Ibid.14</w:t>
      </w:r>
    </w:p>
  </w:footnote>
  <w:footnote w:id="218">
    <w:p w:rsidR="00952E3B" w:rsidRPr="00AB27B7" w:rsidRDefault="00952E3B" w:rsidP="00050BA9">
      <w:pPr>
        <w:pStyle w:val="FootnoteText"/>
      </w:pPr>
      <w:r w:rsidRPr="00AB27B7">
        <w:rPr>
          <w:rStyle w:val="FootnoteReference"/>
        </w:rPr>
        <w:footnoteRef/>
      </w:r>
      <w:r w:rsidRPr="00AB27B7">
        <w:t xml:space="preserve"> </w:t>
      </w:r>
      <w:r>
        <w:rPr>
          <w:rFonts w:cs="Times New Roman"/>
        </w:rPr>
        <w:t>Ibid.52-53</w:t>
      </w:r>
    </w:p>
  </w:footnote>
  <w:footnote w:id="219">
    <w:p w:rsidR="00952E3B" w:rsidRPr="00AB27B7" w:rsidRDefault="00952E3B" w:rsidP="00050BA9">
      <w:pPr>
        <w:pStyle w:val="FootnoteText"/>
      </w:pPr>
      <w:r w:rsidRPr="00AB27B7">
        <w:rPr>
          <w:rStyle w:val="FootnoteReference"/>
        </w:rPr>
        <w:footnoteRef/>
      </w:r>
      <w:r w:rsidRPr="00AB27B7">
        <w:t xml:space="preserve"> </w:t>
      </w:r>
      <w:r>
        <w:rPr>
          <w:rFonts w:cs="Times New Roman"/>
        </w:rPr>
        <w:t>Ibid.55-56</w:t>
      </w:r>
    </w:p>
  </w:footnote>
  <w:footnote w:id="220">
    <w:p w:rsidR="00952E3B" w:rsidRPr="00AB27B7" w:rsidRDefault="00952E3B" w:rsidP="00050BA9">
      <w:pPr>
        <w:pStyle w:val="FootnoteText"/>
      </w:pPr>
      <w:r w:rsidRPr="00AB27B7">
        <w:rPr>
          <w:rStyle w:val="FootnoteReference"/>
        </w:rPr>
        <w:footnoteRef/>
      </w:r>
      <w:r w:rsidRPr="00AB27B7">
        <w:t xml:space="preserve"> </w:t>
      </w:r>
      <w:r>
        <w:rPr>
          <w:rFonts w:cs="Times New Roman"/>
        </w:rPr>
        <w:t>Ibid.57-58</w:t>
      </w:r>
    </w:p>
  </w:footnote>
  <w:footnote w:id="221">
    <w:p w:rsidR="00952E3B" w:rsidRPr="00AB27B7" w:rsidRDefault="00952E3B" w:rsidP="00050BA9">
      <w:pPr>
        <w:pStyle w:val="FootnoteText"/>
      </w:pPr>
      <w:r w:rsidRPr="00AB27B7">
        <w:rPr>
          <w:rStyle w:val="FootnoteReference"/>
        </w:rPr>
        <w:footnoteRef/>
      </w:r>
      <w:r w:rsidRPr="00AB27B7">
        <w:t xml:space="preserve"> </w:t>
      </w:r>
      <w:r w:rsidRPr="00AB27B7">
        <w:rPr>
          <w:rFonts w:cs="Times New Roman"/>
        </w:rPr>
        <w:t>Giovanni Grevi, Damien Helly, and Daniel Keohane, “European Security and Defense Policy: The First 10 Years” (European Union Institute for Security Studies - EU ISS, December 2009), https://www.iss.europa.eu/sites/default/files/EUISSFiles/ESDP_10-web_0.pdf, 342-343.</w:t>
      </w:r>
    </w:p>
  </w:footnote>
  <w:footnote w:id="222">
    <w:p w:rsidR="00952E3B" w:rsidRDefault="00952E3B" w:rsidP="00050BA9">
      <w:pPr>
        <w:pStyle w:val="FootnoteText"/>
      </w:pPr>
      <w:r w:rsidRPr="00AB27B7">
        <w:rPr>
          <w:rStyle w:val="FootnoteReference"/>
        </w:rPr>
        <w:footnoteRef/>
      </w:r>
      <w:r w:rsidRPr="00AB27B7">
        <w:t xml:space="preserve"> </w:t>
      </w:r>
      <w:r>
        <w:rPr>
          <w:rFonts w:cs="Times New Roman"/>
        </w:rPr>
        <w:t>Ibid.344</w:t>
      </w:r>
    </w:p>
  </w:footnote>
  <w:footnote w:id="223">
    <w:p w:rsidR="00952E3B" w:rsidRPr="00AB27B7" w:rsidRDefault="00952E3B" w:rsidP="00050BA9">
      <w:pPr>
        <w:pStyle w:val="FootnoteText"/>
      </w:pPr>
      <w:r w:rsidRPr="00AB27B7">
        <w:rPr>
          <w:rStyle w:val="FootnoteReference"/>
        </w:rPr>
        <w:footnoteRef/>
      </w:r>
      <w:r w:rsidRPr="00AB27B7">
        <w:t xml:space="preserve"> </w:t>
      </w:r>
      <w:r>
        <w:rPr>
          <w:rFonts w:cs="Times New Roman"/>
        </w:rPr>
        <w:t>Ibid.435</w:t>
      </w:r>
    </w:p>
  </w:footnote>
  <w:footnote w:id="224">
    <w:p w:rsidR="00952E3B" w:rsidRPr="004A2DE9" w:rsidRDefault="00952E3B" w:rsidP="00050BA9">
      <w:pPr>
        <w:pStyle w:val="FootnoteText"/>
        <w:rPr>
          <w:rFonts w:cs="Times New Roman"/>
        </w:rPr>
      </w:pPr>
      <w:r w:rsidRPr="004A2DE9">
        <w:rPr>
          <w:rStyle w:val="FootnoteReference"/>
          <w:rFonts w:cs="Times New Roman"/>
        </w:rPr>
        <w:footnoteRef/>
      </w:r>
      <w:r w:rsidRPr="004A2DE9">
        <w:rPr>
          <w:rFonts w:cs="Times New Roman"/>
        </w:rPr>
        <w:t xml:space="preserve"> Council of the European Union, “Council Joint Action 2008/736/CFSP of 15 September 2008 on the European Union Monitoring Mission in Georgia, EUMM Georgia” (EUR-Lex Publications Office of the European Union, September 25, 2008), https://op.europa.eu/en/publication-detail/-/publication/0babfe13-406a-4fa3-b3a9-3b7aa0fe5236/language-en, 27-28.</w:t>
      </w:r>
    </w:p>
  </w:footnote>
  <w:footnote w:id="225">
    <w:p w:rsidR="00952E3B" w:rsidRPr="004A2DE9" w:rsidRDefault="00952E3B" w:rsidP="00050BA9">
      <w:pPr>
        <w:pStyle w:val="FootnoteText"/>
        <w:rPr>
          <w:rFonts w:cs="Times New Roman"/>
        </w:rPr>
      </w:pPr>
      <w:r w:rsidRPr="004A2DE9">
        <w:rPr>
          <w:rStyle w:val="FootnoteReference"/>
          <w:rFonts w:cs="Times New Roman"/>
        </w:rPr>
        <w:footnoteRef/>
      </w:r>
      <w:r w:rsidRPr="004A2DE9">
        <w:rPr>
          <w:rFonts w:cs="Times New Roman"/>
        </w:rPr>
        <w:t xml:space="preserve"> </w:t>
      </w:r>
      <w:r>
        <w:rPr>
          <w:rFonts w:cs="Times New Roman"/>
        </w:rPr>
        <w:t>Ibid.</w:t>
      </w:r>
    </w:p>
  </w:footnote>
  <w:footnote w:id="226">
    <w:p w:rsidR="00952E3B" w:rsidRPr="004A2DE9" w:rsidRDefault="00952E3B" w:rsidP="00050BA9">
      <w:pPr>
        <w:pStyle w:val="FootnoteText"/>
        <w:rPr>
          <w:rFonts w:cs="Times New Roman"/>
        </w:rPr>
      </w:pPr>
      <w:r w:rsidRPr="004A2DE9">
        <w:rPr>
          <w:rStyle w:val="FootnoteReference"/>
          <w:rFonts w:cs="Times New Roman"/>
        </w:rPr>
        <w:footnoteRef/>
      </w:r>
      <w:r w:rsidRPr="004A2DE9">
        <w:rPr>
          <w:rFonts w:cs="Times New Roman"/>
        </w:rPr>
        <w:t xml:space="preserve"> </w:t>
      </w:r>
      <w:r>
        <w:rPr>
          <w:rFonts w:cs="Times New Roman"/>
        </w:rPr>
        <w:t>Ibid.</w:t>
      </w:r>
    </w:p>
  </w:footnote>
  <w:footnote w:id="227">
    <w:p w:rsidR="00952E3B" w:rsidRPr="004A2DE9" w:rsidRDefault="00952E3B" w:rsidP="00050BA9">
      <w:pPr>
        <w:rPr>
          <w:rFonts w:ascii="Times New Roman" w:hAnsi="Times New Roman"/>
        </w:rPr>
      </w:pPr>
      <w:r w:rsidRPr="004A2DE9">
        <w:rPr>
          <w:rStyle w:val="FootnoteReference"/>
          <w:rFonts w:ascii="Times New Roman" w:hAnsi="Times New Roman"/>
        </w:rPr>
        <w:footnoteRef/>
      </w:r>
      <w:r w:rsidRPr="004A2DE9">
        <w:rPr>
          <w:rFonts w:ascii="Times New Roman" w:hAnsi="Times New Roman"/>
        </w:rPr>
        <w:t xml:space="preserve"> </w:t>
      </w:r>
      <w:r>
        <w:rPr>
          <w:rFonts w:ascii="Times New Roman" w:hAnsi="Times New Roman"/>
        </w:rPr>
        <w:t>Ibid.</w:t>
      </w:r>
    </w:p>
  </w:footnote>
  <w:footnote w:id="228">
    <w:p w:rsidR="00952E3B" w:rsidRPr="00C07BD9" w:rsidRDefault="00952E3B" w:rsidP="00050BA9">
      <w:pPr>
        <w:pStyle w:val="FootnoteText"/>
        <w:rPr>
          <w:rFonts w:cs="Times New Roman"/>
        </w:rPr>
      </w:pPr>
      <w:r w:rsidRPr="00C07BD9">
        <w:rPr>
          <w:rStyle w:val="FootnoteReference"/>
          <w:rFonts w:cs="Times New Roman"/>
        </w:rPr>
        <w:footnoteRef/>
      </w:r>
      <w:r w:rsidRPr="00C07BD9">
        <w:rPr>
          <w:rFonts w:cs="Times New Roman"/>
        </w:rPr>
        <w:t xml:space="preserve"> Michael Merlingen and Rasa Ostrauskaite, </w:t>
      </w:r>
      <w:r w:rsidRPr="00C07BD9">
        <w:rPr>
          <w:rFonts w:cs="Times New Roman"/>
          <w:i/>
          <w:iCs/>
        </w:rPr>
        <w:t>EU Peacebuilding in Georgia: Limits and Achievements</w:t>
      </w:r>
      <w:r w:rsidRPr="00C07BD9">
        <w:rPr>
          <w:rFonts w:cs="Times New Roman"/>
        </w:rPr>
        <w:t xml:space="preserve"> (Brussels: Centre for the Law of the EU External Relations, 2009), https://www.peacepalacelibrary.nl/ebooks/files/335882102.pdf, 24-25.</w:t>
      </w:r>
    </w:p>
  </w:footnote>
  <w:footnote w:id="229">
    <w:p w:rsidR="00952E3B" w:rsidRPr="00C07BD9" w:rsidRDefault="00952E3B" w:rsidP="00050BA9">
      <w:pPr>
        <w:pStyle w:val="FootnoteText"/>
        <w:rPr>
          <w:rFonts w:cs="Times New Roman"/>
        </w:rPr>
      </w:pPr>
      <w:r w:rsidRPr="00C07BD9">
        <w:rPr>
          <w:rStyle w:val="FootnoteReference"/>
          <w:rFonts w:cs="Times New Roman"/>
        </w:rPr>
        <w:footnoteRef/>
      </w:r>
      <w:r w:rsidRPr="00C07BD9">
        <w:rPr>
          <w:rFonts w:cs="Times New Roman"/>
        </w:rPr>
        <w:t xml:space="preserve"> Giovanni Grevi, Damien Helly, and Daniel Keohane, “European Security and Defense Policy: The First 10 Years” (European Union Institute for Security Studies - EU ISS, December 2009), https://www.iss.europa.eu/sites/default/files/EUISSFiles/ESDP_10-web_0.pdf, 382.</w:t>
      </w:r>
    </w:p>
  </w:footnote>
  <w:footnote w:id="230">
    <w:p w:rsidR="00952E3B" w:rsidRPr="00C07BD9" w:rsidRDefault="00952E3B" w:rsidP="00050BA9">
      <w:pPr>
        <w:pStyle w:val="FootnoteText"/>
        <w:rPr>
          <w:rFonts w:cs="Times New Roman"/>
        </w:rPr>
      </w:pPr>
      <w:r w:rsidRPr="00C07BD9">
        <w:rPr>
          <w:rStyle w:val="FootnoteReference"/>
          <w:rFonts w:cs="Times New Roman"/>
        </w:rPr>
        <w:footnoteRef/>
      </w:r>
      <w:r w:rsidRPr="00C07BD9">
        <w:rPr>
          <w:rFonts w:cs="Times New Roman"/>
        </w:rPr>
        <w:t xml:space="preserve"> Mamuka Khelashvili, “South Ossetian De-Facto Authorities Detain EUMM </w:t>
      </w:r>
      <w:proofErr w:type="gramStart"/>
      <w:r w:rsidRPr="00C07BD9">
        <w:rPr>
          <w:rFonts w:cs="Times New Roman"/>
        </w:rPr>
        <w:t>Monitors ”</w:t>
      </w:r>
      <w:proofErr w:type="gramEnd"/>
      <w:r w:rsidRPr="00C07BD9">
        <w:rPr>
          <w:rFonts w:cs="Times New Roman"/>
        </w:rPr>
        <w:t xml:space="preserve">(Qartli Info, October 2019), </w:t>
      </w:r>
      <w:hyperlink r:id="rId50" w:history="1">
        <w:r w:rsidRPr="00C07BD9">
          <w:rPr>
            <w:rStyle w:val="Hyperlink"/>
            <w:rFonts w:cs="Times New Roman"/>
          </w:rPr>
          <w:t>https://www.qartli.ge/ge/akhali-ambebi/article/13013-de-faqto-samkhreth-osethis-kgb-m-evrokavshiris-misiis-tsevrebi-mcire-khnith-daakava</w:t>
        </w:r>
      </w:hyperlink>
      <w:r w:rsidRPr="00C07BD9">
        <w:rPr>
          <w:rFonts w:cs="Times New Roman"/>
        </w:rPr>
        <w:t>.</w:t>
      </w:r>
    </w:p>
  </w:footnote>
  <w:footnote w:id="231">
    <w:p w:rsidR="00952E3B" w:rsidRPr="00C07BD9" w:rsidRDefault="00952E3B" w:rsidP="00050BA9">
      <w:pPr>
        <w:pStyle w:val="FootnoteText"/>
        <w:rPr>
          <w:rFonts w:cs="Times New Roman"/>
        </w:rPr>
      </w:pPr>
      <w:r w:rsidRPr="00C07BD9">
        <w:rPr>
          <w:rStyle w:val="FootnoteReference"/>
          <w:rFonts w:cs="Times New Roman"/>
        </w:rPr>
        <w:footnoteRef/>
      </w:r>
      <w:r w:rsidRPr="00C07BD9">
        <w:rPr>
          <w:rFonts w:cs="Times New Roman"/>
        </w:rPr>
        <w:t xml:space="preserve"> Council of the European Union, “European Security Strategy: A Secure Europe Better World” (European Communities, January 2009), https://www.consilium.europa.eu/media/30823/qc7809568enc.pdf, 6.</w:t>
      </w:r>
    </w:p>
  </w:footnote>
  <w:footnote w:id="232">
    <w:p w:rsidR="00952E3B" w:rsidRDefault="00952E3B">
      <w:pPr>
        <w:pStyle w:val="FootnoteText"/>
      </w:pPr>
      <w:r>
        <w:rPr>
          <w:rStyle w:val="FootnoteReference"/>
        </w:rPr>
        <w:footnoteRef/>
      </w:r>
      <w:r>
        <w:t xml:space="preserve"> Martin Banks, “EPP Calls for More Engagement with Eastern Partnership Countries” (EU Political Report, June 2020), https://www.eupoliticalreport.eu/epp-calls-for-more-engagement-with-eastern-partnership-countries/.</w:t>
      </w:r>
    </w:p>
  </w:footnote>
  <w:footnote w:id="233">
    <w:p w:rsidR="00952E3B" w:rsidRDefault="00952E3B" w:rsidP="00050BA9">
      <w:pPr>
        <w:pStyle w:val="FootnoteText"/>
      </w:pPr>
      <w:r w:rsidRPr="00C07BD9">
        <w:rPr>
          <w:rStyle w:val="FootnoteReference"/>
          <w:rFonts w:cs="Times New Roman"/>
        </w:rPr>
        <w:footnoteRef/>
      </w:r>
      <w:r w:rsidRPr="00C07BD9">
        <w:rPr>
          <w:rFonts w:cs="Times New Roman"/>
        </w:rPr>
        <w:t xml:space="preserve"> Nicu Popescu and Andrew Wilson, “The Limits of Enlargement-Lite: European and Russian Power in the Troubled Neighbourhood” (European Council on Foreign Relations, June 2009), https://www.ecfr.eu/page/-/E</w:t>
      </w:r>
      <w:r>
        <w:rPr>
          <w:rFonts w:cs="Times New Roman"/>
        </w:rPr>
        <w:t>CFR14_The_Limits_of_Enlargement</w:t>
      </w:r>
      <w:r w:rsidRPr="00C07BD9">
        <w:rPr>
          <w:rFonts w:cs="Times New Roman"/>
        </w:rPr>
        <w:t>Lite._European_and_Russian_Power_in_the_Troubled_Neighbourhood.pdf, 14-15.</w:t>
      </w:r>
    </w:p>
  </w:footnote>
  <w:footnote w:id="234">
    <w:p w:rsidR="00952E3B" w:rsidRPr="00C07BD9" w:rsidRDefault="00952E3B" w:rsidP="00050BA9">
      <w:pPr>
        <w:pStyle w:val="FootnoteText"/>
      </w:pPr>
      <w:r w:rsidRPr="00C07BD9">
        <w:rPr>
          <w:rStyle w:val="FootnoteReference"/>
        </w:rPr>
        <w:footnoteRef/>
      </w:r>
      <w:r w:rsidRPr="00C07BD9">
        <w:t xml:space="preserve"> </w:t>
      </w:r>
      <w:r w:rsidRPr="00C07BD9">
        <w:rPr>
          <w:rFonts w:cs="Times New Roman"/>
        </w:rPr>
        <w:t>Commission of the European Communities, “Implementation of the European Neighbourhood Policy in 2008 Progress Report Georgia” (Commission of the European Communities, April 2009), http://eeas.europa.eu/archives/docs/enp/pdf/pdf/progress2009/sec09_513_en.pdf, 5-6.</w:t>
      </w:r>
    </w:p>
  </w:footnote>
  <w:footnote w:id="235">
    <w:p w:rsidR="00952E3B" w:rsidRPr="00C07BD9" w:rsidRDefault="00952E3B" w:rsidP="00050BA9">
      <w:pPr>
        <w:pStyle w:val="FootnoteText"/>
      </w:pPr>
      <w:r w:rsidRPr="00C07BD9">
        <w:rPr>
          <w:rStyle w:val="FootnoteReference"/>
        </w:rPr>
        <w:footnoteRef/>
      </w:r>
      <w:r w:rsidRPr="00C07BD9">
        <w:t xml:space="preserve"> </w:t>
      </w:r>
      <w:r w:rsidRPr="00C07BD9">
        <w:rPr>
          <w:rFonts w:cs="Times New Roman"/>
        </w:rPr>
        <w:t>Council of the European Union, “Council Joint Action 2008/736/CFSP of 15 September 2008 on the European Union Monitoring Mission in Georgia, EUMM Georgia” (EUR-Lex Publications Office of the European Union, September 25, 2008), https://op.europa.eu/en/publication-detail/-/publication/0babfe13-406a-4fa3-b3a9-3b7aa0fe5236/language-en, 4-5.</w:t>
      </w:r>
    </w:p>
  </w:footnote>
  <w:footnote w:id="236">
    <w:p w:rsidR="00952E3B" w:rsidRPr="00C07BD9" w:rsidRDefault="00952E3B" w:rsidP="00050BA9">
      <w:pPr>
        <w:pStyle w:val="FootnoteText"/>
      </w:pPr>
      <w:r w:rsidRPr="00C07BD9">
        <w:rPr>
          <w:rStyle w:val="FootnoteReference"/>
        </w:rPr>
        <w:footnoteRef/>
      </w:r>
      <w:r w:rsidRPr="00C07BD9">
        <w:t xml:space="preserve"> </w:t>
      </w:r>
      <w:r>
        <w:rPr>
          <w:rFonts w:cs="Times New Roman"/>
        </w:rPr>
        <w:t>Ibid.5-6</w:t>
      </w:r>
    </w:p>
  </w:footnote>
  <w:footnote w:id="237">
    <w:p w:rsidR="00952E3B" w:rsidRPr="00C07BD9" w:rsidRDefault="00952E3B" w:rsidP="00050BA9">
      <w:pPr>
        <w:pStyle w:val="FootnoteText"/>
      </w:pPr>
      <w:r w:rsidRPr="00C07BD9">
        <w:rPr>
          <w:rStyle w:val="FootnoteReference"/>
        </w:rPr>
        <w:footnoteRef/>
      </w:r>
      <w:r w:rsidRPr="00C07BD9">
        <w:t xml:space="preserve"> </w:t>
      </w:r>
      <w:r>
        <w:rPr>
          <w:rFonts w:cs="Times New Roman"/>
        </w:rPr>
        <w:t>Ibid.7</w:t>
      </w:r>
    </w:p>
  </w:footnote>
  <w:footnote w:id="238">
    <w:p w:rsidR="00952E3B" w:rsidRPr="00C07BD9" w:rsidRDefault="00952E3B" w:rsidP="00050BA9">
      <w:pPr>
        <w:pStyle w:val="FootnoteText"/>
      </w:pPr>
      <w:r w:rsidRPr="00C07BD9">
        <w:rPr>
          <w:rStyle w:val="FootnoteReference"/>
        </w:rPr>
        <w:footnoteRef/>
      </w:r>
      <w:r w:rsidRPr="00C07BD9">
        <w:t xml:space="preserve"> </w:t>
      </w:r>
      <w:r>
        <w:rPr>
          <w:rFonts w:cs="Times New Roman"/>
        </w:rPr>
        <w:t>Ibid.7-8</w:t>
      </w:r>
    </w:p>
  </w:footnote>
  <w:footnote w:id="239">
    <w:p w:rsidR="00952E3B" w:rsidRPr="00C07BD9" w:rsidRDefault="00952E3B" w:rsidP="00050BA9">
      <w:pPr>
        <w:pStyle w:val="FootnoteText"/>
      </w:pPr>
      <w:r w:rsidRPr="00C07BD9">
        <w:rPr>
          <w:rStyle w:val="FootnoteReference"/>
        </w:rPr>
        <w:footnoteRef/>
      </w:r>
      <w:r w:rsidRPr="00C07BD9">
        <w:t xml:space="preserve"> </w:t>
      </w:r>
      <w:r w:rsidRPr="00C07BD9">
        <w:rPr>
          <w:rFonts w:cs="Times New Roman"/>
        </w:rPr>
        <w:t>Council of the European Union, “European Security Strategy: A Secure Europe Better World” (European Communities, January 2009), https://www.consilium.europa.eu/media/30823/qc7809568enc.pdf, 8.</w:t>
      </w:r>
    </w:p>
  </w:footnote>
  <w:footnote w:id="240">
    <w:p w:rsidR="00952E3B" w:rsidRPr="00C07BD9" w:rsidRDefault="00952E3B" w:rsidP="00050BA9">
      <w:pPr>
        <w:pStyle w:val="FootnoteText"/>
      </w:pPr>
      <w:r w:rsidRPr="00C07BD9">
        <w:rPr>
          <w:rStyle w:val="FootnoteReference"/>
        </w:rPr>
        <w:footnoteRef/>
      </w:r>
      <w:r w:rsidRPr="00C07BD9">
        <w:t xml:space="preserve"> </w:t>
      </w:r>
      <w:r w:rsidRPr="00C07BD9">
        <w:rPr>
          <w:rFonts w:cs="Times New Roman"/>
        </w:rPr>
        <w:t>Jos Boonstra and Neil Melvin, “Challenging South Caucasus Security Deficit” (FRIDE, April 2011), https://www.files.ethz.ch/isn/131015/WP108_South_Caucasus_Eng.pdf, 8-9.</w:t>
      </w:r>
    </w:p>
  </w:footnote>
  <w:footnote w:id="241">
    <w:p w:rsidR="00952E3B" w:rsidRDefault="00952E3B" w:rsidP="00050BA9">
      <w:pPr>
        <w:pStyle w:val="FootnoteText"/>
      </w:pPr>
      <w:r w:rsidRPr="00C07BD9">
        <w:rPr>
          <w:rStyle w:val="FootnoteReference"/>
        </w:rPr>
        <w:footnoteRef/>
      </w:r>
      <w:r w:rsidRPr="00C07BD9">
        <w:t xml:space="preserve"> </w:t>
      </w:r>
      <w:r>
        <w:rPr>
          <w:rFonts w:cs="Times New Roman"/>
        </w:rPr>
        <w:t>Ibid.9</w:t>
      </w:r>
    </w:p>
  </w:footnote>
  <w:footnote w:id="242">
    <w:p w:rsidR="00952E3B" w:rsidRPr="00897931" w:rsidRDefault="00952E3B">
      <w:pPr>
        <w:pStyle w:val="FootnoteText"/>
        <w:rPr>
          <w:rFonts w:cs="Times New Roman"/>
        </w:rPr>
      </w:pPr>
      <w:r w:rsidRPr="00897931">
        <w:rPr>
          <w:rStyle w:val="FootnoteReference"/>
          <w:rFonts w:cs="Times New Roman"/>
        </w:rPr>
        <w:footnoteRef/>
      </w:r>
      <w:r w:rsidRPr="00897931">
        <w:rPr>
          <w:rFonts w:cs="Times New Roman"/>
        </w:rPr>
        <w:t xml:space="preserve"> European Union External Action Service, “Shared Vision, Common Action: A Stronger Europe” (EEAS, June 2016), https://eeas.europa.eu/archives/docs/top_stories/pdf/eugs_review_web.pdf, 23-24.</w:t>
      </w:r>
    </w:p>
  </w:footnote>
  <w:footnote w:id="243">
    <w:p w:rsidR="00952E3B" w:rsidRPr="00897931" w:rsidRDefault="00952E3B">
      <w:pPr>
        <w:pStyle w:val="FootnoteText"/>
        <w:rPr>
          <w:rFonts w:cs="Times New Roman"/>
        </w:rPr>
      </w:pPr>
      <w:r w:rsidRPr="00897931">
        <w:rPr>
          <w:rStyle w:val="FootnoteReference"/>
          <w:rFonts w:cs="Times New Roman"/>
        </w:rPr>
        <w:footnoteRef/>
      </w:r>
      <w:r w:rsidRPr="00897931">
        <w:rPr>
          <w:rFonts w:cs="Times New Roman"/>
        </w:rPr>
        <w:t xml:space="preserve"> OECD, “Concepts and Dilemmas of State Building in Fragile Situations </w:t>
      </w:r>
      <w:proofErr w:type="gramStart"/>
      <w:r w:rsidRPr="00897931">
        <w:rPr>
          <w:rFonts w:cs="Times New Roman"/>
        </w:rPr>
        <w:t>From</w:t>
      </w:r>
      <w:proofErr w:type="gramEnd"/>
      <w:r w:rsidRPr="00897931">
        <w:rPr>
          <w:rFonts w:cs="Times New Roman"/>
        </w:rPr>
        <w:t xml:space="preserve"> Fragility to Resilience” (OECD iLibrary, April 17, 2009), https://www.oecd-ilibrary.org/development/concepts-and-dilemmas-of-state-building-in-fragile-situations_journal_dev-v9-art27-en, 17-18.</w:t>
      </w:r>
    </w:p>
  </w:footnote>
  <w:footnote w:id="244">
    <w:p w:rsidR="00952E3B" w:rsidRPr="00897931" w:rsidRDefault="00952E3B" w:rsidP="001615E6">
      <w:pPr>
        <w:rPr>
          <w:rFonts w:ascii="Times New Roman" w:hAnsi="Times New Roman"/>
        </w:rPr>
      </w:pPr>
      <w:r w:rsidRPr="00897931">
        <w:rPr>
          <w:rStyle w:val="FootnoteReference"/>
          <w:rFonts w:ascii="Times New Roman" w:eastAsiaTheme="minorHAnsi" w:hAnsi="Times New Roman"/>
        </w:rPr>
        <w:footnoteRef/>
      </w:r>
      <w:r w:rsidRPr="00897931">
        <w:rPr>
          <w:rFonts w:ascii="Times New Roman" w:hAnsi="Times New Roman"/>
        </w:rPr>
        <w:t xml:space="preserve">Mark Duffield, “Challenging Environments: Danger, Resilience and the Aid Industry,” </w:t>
      </w:r>
      <w:r w:rsidRPr="00897931">
        <w:rPr>
          <w:rFonts w:ascii="Times New Roman" w:hAnsi="Times New Roman"/>
          <w:i/>
          <w:iCs/>
        </w:rPr>
        <w:t>Security Dialogue</w:t>
      </w:r>
      <w:r w:rsidRPr="00897931">
        <w:rPr>
          <w:rFonts w:ascii="Times New Roman" w:hAnsi="Times New Roman"/>
        </w:rPr>
        <w:t xml:space="preserve"> 43, no. 5 (October 2012): pp. 475-492, https://www.jstor.org/stable/26301932?seq=1, 482-483.</w:t>
      </w:r>
    </w:p>
  </w:footnote>
  <w:footnote w:id="245">
    <w:p w:rsidR="00952E3B" w:rsidRDefault="00952E3B">
      <w:pPr>
        <w:pStyle w:val="FootnoteText"/>
      </w:pPr>
      <w:r w:rsidRPr="00897931">
        <w:rPr>
          <w:rStyle w:val="FootnoteReference"/>
          <w:rFonts w:cs="Times New Roman"/>
        </w:rPr>
        <w:footnoteRef/>
      </w:r>
      <w:r w:rsidRPr="00897931">
        <w:rPr>
          <w:rFonts w:cs="Times New Roman"/>
        </w:rPr>
        <w:t xml:space="preserve"> European Union External Action Service, “Shared Vision, Common Action: A Stronger Europe” (EEAS, June 2016), https://eeas.europa.eu/archives/docs/top_stories/pdf/eugs_review_web.pdf, 25.</w:t>
      </w:r>
    </w:p>
  </w:footnote>
  <w:footnote w:id="246">
    <w:p w:rsidR="00952E3B" w:rsidRPr="00897931" w:rsidRDefault="00952E3B" w:rsidP="00050BA9">
      <w:pPr>
        <w:pStyle w:val="FootnoteText"/>
        <w:rPr>
          <w:rFonts w:cs="Times New Roman"/>
        </w:rPr>
      </w:pPr>
      <w:r w:rsidRPr="00897931">
        <w:rPr>
          <w:rStyle w:val="FootnoteReference"/>
          <w:rFonts w:cs="Times New Roman"/>
        </w:rPr>
        <w:footnoteRef/>
      </w:r>
      <w:r w:rsidRPr="00897931">
        <w:rPr>
          <w:rFonts w:cs="Times New Roman"/>
        </w:rPr>
        <w:t xml:space="preserve"> Daniel Hamilton and Stefan Meister, </w:t>
      </w:r>
      <w:r w:rsidRPr="00897931">
        <w:rPr>
          <w:rFonts w:cs="Times New Roman"/>
          <w:i/>
          <w:iCs/>
        </w:rPr>
        <w:t>The Eastern Question Russia, the West, and Europe’s Grey Zone</w:t>
      </w:r>
      <w:r w:rsidRPr="00897931">
        <w:rPr>
          <w:rFonts w:cs="Times New Roman"/>
        </w:rPr>
        <w:t xml:space="preserve"> (German Council on Foreign Relations, 2016), https://www.bosch-stiftung.de/sites/default/files/publications/pdf_import/The_Eastern_Question.pdf, 4-5.</w:t>
      </w:r>
    </w:p>
  </w:footnote>
  <w:footnote w:id="247">
    <w:p w:rsidR="00952E3B" w:rsidRPr="00897931" w:rsidRDefault="00952E3B" w:rsidP="00050BA9">
      <w:pPr>
        <w:pStyle w:val="FootnoteText"/>
        <w:rPr>
          <w:rFonts w:cs="Times New Roman"/>
        </w:rPr>
      </w:pPr>
      <w:r w:rsidRPr="00897931">
        <w:rPr>
          <w:rStyle w:val="FootnoteReference"/>
          <w:rFonts w:cs="Times New Roman"/>
        </w:rPr>
        <w:footnoteRef/>
      </w:r>
      <w:r>
        <w:rPr>
          <w:rFonts w:cs="Times New Roman"/>
        </w:rPr>
        <w:t>Ibid.6</w:t>
      </w:r>
    </w:p>
  </w:footnote>
  <w:footnote w:id="248">
    <w:p w:rsidR="00952E3B" w:rsidRPr="00897931" w:rsidRDefault="00952E3B" w:rsidP="00050BA9">
      <w:pPr>
        <w:pStyle w:val="FootnoteText"/>
        <w:rPr>
          <w:rFonts w:cs="Times New Roman"/>
        </w:rPr>
      </w:pPr>
      <w:r w:rsidRPr="00897931">
        <w:rPr>
          <w:rStyle w:val="FootnoteReference"/>
          <w:rFonts w:cs="Times New Roman"/>
        </w:rPr>
        <w:footnoteRef/>
      </w:r>
      <w:r w:rsidRPr="00897931">
        <w:rPr>
          <w:rFonts w:cs="Times New Roman"/>
        </w:rPr>
        <w:t xml:space="preserve"> Matthew Devlin, “SEIZING THE REFORM MOMENT: REBUILDING GEORGIA’S POLICE, 2004-2006” (Princeton University Press, October 2010), https://successfulsocieties.princeton.edu/sites/successfulsocieties/files/Policy_Note_ID126.pdf, 6.</w:t>
      </w:r>
    </w:p>
  </w:footnote>
  <w:footnote w:id="249">
    <w:p w:rsidR="00952E3B" w:rsidRPr="00897931" w:rsidRDefault="00952E3B" w:rsidP="00050BA9">
      <w:pPr>
        <w:rPr>
          <w:rFonts w:ascii="Times New Roman" w:hAnsi="Times New Roman"/>
        </w:rPr>
      </w:pPr>
      <w:r w:rsidRPr="00897931">
        <w:rPr>
          <w:rStyle w:val="FootnoteReference"/>
          <w:rFonts w:ascii="Times New Roman" w:hAnsi="Times New Roman"/>
        </w:rPr>
        <w:footnoteRef/>
      </w:r>
      <w:r w:rsidRPr="00897931">
        <w:rPr>
          <w:rFonts w:ascii="Times New Roman" w:hAnsi="Times New Roman"/>
        </w:rPr>
        <w:t xml:space="preserve"> </w:t>
      </w:r>
      <w:r>
        <w:rPr>
          <w:rFonts w:ascii="Times New Roman" w:hAnsi="Times New Roman"/>
        </w:rPr>
        <w:t>Ibid.8</w:t>
      </w:r>
    </w:p>
  </w:footnote>
  <w:footnote w:id="250">
    <w:p w:rsidR="00952E3B" w:rsidRPr="00897931" w:rsidRDefault="00952E3B" w:rsidP="00050BA9">
      <w:pPr>
        <w:pStyle w:val="FootnoteText"/>
        <w:rPr>
          <w:rFonts w:cs="Times New Roman"/>
        </w:rPr>
      </w:pPr>
      <w:r w:rsidRPr="00897931">
        <w:rPr>
          <w:rStyle w:val="FootnoteReference"/>
          <w:rFonts w:cs="Times New Roman"/>
        </w:rPr>
        <w:footnoteRef/>
      </w:r>
      <w:r>
        <w:rPr>
          <w:rFonts w:cs="Times New Roman"/>
        </w:rPr>
        <w:t xml:space="preserve"> Ibid.6</w:t>
      </w:r>
    </w:p>
  </w:footnote>
  <w:footnote w:id="251">
    <w:p w:rsidR="00952E3B" w:rsidRPr="00897931" w:rsidRDefault="00952E3B" w:rsidP="00050BA9">
      <w:pPr>
        <w:rPr>
          <w:rFonts w:ascii="Times New Roman" w:hAnsi="Times New Roman"/>
        </w:rPr>
      </w:pPr>
      <w:r w:rsidRPr="00897931">
        <w:rPr>
          <w:rStyle w:val="FootnoteReference"/>
          <w:rFonts w:ascii="Times New Roman" w:hAnsi="Times New Roman"/>
        </w:rPr>
        <w:footnoteRef/>
      </w:r>
      <w:r w:rsidRPr="00897931">
        <w:rPr>
          <w:rFonts w:ascii="Times New Roman" w:hAnsi="Times New Roman"/>
        </w:rPr>
        <w:t xml:space="preserve"> Jaba Devdariani, “Georgia: Coping </w:t>
      </w:r>
      <w:proofErr w:type="gramStart"/>
      <w:r w:rsidRPr="00897931">
        <w:rPr>
          <w:rFonts w:ascii="Times New Roman" w:hAnsi="Times New Roman"/>
        </w:rPr>
        <w:t>With</w:t>
      </w:r>
      <w:proofErr w:type="gramEnd"/>
      <w:r w:rsidRPr="00897931">
        <w:rPr>
          <w:rFonts w:ascii="Times New Roman" w:hAnsi="Times New Roman"/>
        </w:rPr>
        <w:t xml:space="preserve"> Success” (Open Government Partnership, April 4, 2017), </w:t>
      </w:r>
      <w:hyperlink r:id="rId51" w:history="1">
        <w:r w:rsidRPr="00897931">
          <w:rPr>
            <w:rStyle w:val="Hyperlink"/>
            <w:rFonts w:ascii="Times New Roman" w:hAnsi="Times New Roman"/>
          </w:rPr>
          <w:t>https://www.opengovpartnership.org/stories/georgia-coping-with-success/</w:t>
        </w:r>
      </w:hyperlink>
      <w:r w:rsidRPr="00897931">
        <w:rPr>
          <w:rFonts w:ascii="Times New Roman" w:hAnsi="Times New Roman"/>
        </w:rPr>
        <w:t>.</w:t>
      </w:r>
    </w:p>
  </w:footnote>
  <w:footnote w:id="252">
    <w:p w:rsidR="00952E3B" w:rsidRPr="00897931" w:rsidRDefault="00952E3B" w:rsidP="00050BA9">
      <w:pPr>
        <w:pStyle w:val="FootnoteText"/>
        <w:rPr>
          <w:rFonts w:cs="Times New Roman"/>
        </w:rPr>
      </w:pPr>
      <w:r w:rsidRPr="00897931">
        <w:rPr>
          <w:rStyle w:val="FootnoteReference"/>
          <w:rFonts w:cs="Times New Roman"/>
        </w:rPr>
        <w:footnoteRef/>
      </w:r>
      <w:r w:rsidRPr="00897931">
        <w:rPr>
          <w:rFonts w:cs="Times New Roman"/>
        </w:rPr>
        <w:t xml:space="preserve"> Lika Melkadze, “EU Officials Praise Georgia as Frontrunner of Eastern Partnership” (Agenda, January 30, 2017), </w:t>
      </w:r>
      <w:hyperlink r:id="rId52" w:history="1">
        <w:r w:rsidRPr="00897931">
          <w:rPr>
            <w:rStyle w:val="Hyperlink"/>
            <w:rFonts w:cs="Times New Roman"/>
          </w:rPr>
          <w:t>https://agenda.ge/en/news/2017/183</w:t>
        </w:r>
      </w:hyperlink>
      <w:r w:rsidRPr="00897931">
        <w:rPr>
          <w:rFonts w:cs="Times New Roman"/>
        </w:rPr>
        <w:t>.</w:t>
      </w:r>
    </w:p>
  </w:footnote>
  <w:footnote w:id="253">
    <w:p w:rsidR="00952E3B" w:rsidRDefault="00952E3B">
      <w:pPr>
        <w:pStyle w:val="FootnoteText"/>
      </w:pPr>
      <w:r>
        <w:rPr>
          <w:rStyle w:val="FootnoteReference"/>
        </w:rPr>
        <w:footnoteRef/>
      </w:r>
      <w:r>
        <w:t xml:space="preserve"> </w:t>
      </w:r>
      <w:r w:rsidRPr="007626AC">
        <w:rPr>
          <w:rFonts w:cs="Times New Roman"/>
        </w:rPr>
        <w:t xml:space="preserve">Lavenex, Sandra. (2004). EU external governance in 'wider Europe'. </w:t>
      </w:r>
      <w:r w:rsidRPr="007626AC">
        <w:rPr>
          <w:rFonts w:cs="Times New Roman"/>
          <w:i/>
          <w:iCs/>
        </w:rPr>
        <w:t>Journal of European Public Policy, 11</w:t>
      </w:r>
      <w:r w:rsidRPr="007626AC">
        <w:rPr>
          <w:rFonts w:cs="Times New Roman"/>
        </w:rPr>
        <w:t>(4), 680-700. doi: 10.1080/1350176042000248098,p.683</w:t>
      </w:r>
    </w:p>
  </w:footnote>
  <w:footnote w:id="254">
    <w:p w:rsidR="00952E3B" w:rsidRDefault="00952E3B" w:rsidP="00050BA9">
      <w:pPr>
        <w:pStyle w:val="FootnoteText"/>
      </w:pPr>
      <w:r w:rsidRPr="00897931">
        <w:rPr>
          <w:rStyle w:val="FootnoteReference"/>
          <w:rFonts w:cs="Times New Roman"/>
        </w:rPr>
        <w:footnoteRef/>
      </w:r>
      <w:r w:rsidRPr="00897931">
        <w:rPr>
          <w:rFonts w:cs="Times New Roman"/>
        </w:rPr>
        <w:t xml:space="preserve"> European External Actions Service, “The European Union in a Changing Global Environment A More Connected, Contested and Complex World” (EEAS, November 2016), EEAShttp://eeas.europa.eu/archives/docs/docs/strategic_review/eu-strategic-review_executive_summary_en.pdf.</w:t>
      </w:r>
    </w:p>
  </w:footnote>
  <w:footnote w:id="255">
    <w:p w:rsidR="00952E3B" w:rsidRPr="00897931" w:rsidRDefault="00952E3B" w:rsidP="00050BA9">
      <w:pPr>
        <w:pStyle w:val="FootnoteText"/>
        <w:rPr>
          <w:rFonts w:cs="Times New Roman"/>
        </w:rPr>
      </w:pPr>
      <w:r w:rsidRPr="00897931">
        <w:rPr>
          <w:rStyle w:val="FootnoteReference"/>
          <w:rFonts w:cs="Times New Roman"/>
        </w:rPr>
        <w:footnoteRef/>
      </w:r>
      <w:r>
        <w:rPr>
          <w:rFonts w:cs="Times New Roman"/>
        </w:rPr>
        <w:t xml:space="preserve"> Ibid.</w:t>
      </w:r>
    </w:p>
  </w:footnote>
  <w:footnote w:id="256">
    <w:p w:rsidR="00952E3B" w:rsidRPr="00897931" w:rsidRDefault="00952E3B" w:rsidP="00050BA9">
      <w:pPr>
        <w:pStyle w:val="FootnoteText"/>
        <w:rPr>
          <w:rFonts w:cs="Times New Roman"/>
        </w:rPr>
      </w:pPr>
      <w:r w:rsidRPr="00897931">
        <w:rPr>
          <w:rStyle w:val="FootnoteReference"/>
          <w:rFonts w:cs="Times New Roman"/>
        </w:rPr>
        <w:footnoteRef/>
      </w:r>
      <w:r>
        <w:rPr>
          <w:rFonts w:cs="Times New Roman"/>
        </w:rPr>
        <w:t xml:space="preserve"> Ibid.</w:t>
      </w:r>
    </w:p>
  </w:footnote>
  <w:footnote w:id="257">
    <w:p w:rsidR="00952E3B" w:rsidRPr="00897931" w:rsidRDefault="00952E3B" w:rsidP="00050BA9">
      <w:pPr>
        <w:pStyle w:val="FootnoteText"/>
        <w:rPr>
          <w:rFonts w:cs="Times New Roman"/>
        </w:rPr>
      </w:pPr>
      <w:r w:rsidRPr="00897931">
        <w:rPr>
          <w:rStyle w:val="FootnoteReference"/>
          <w:rFonts w:cs="Times New Roman"/>
        </w:rPr>
        <w:footnoteRef/>
      </w:r>
      <w:r w:rsidRPr="00897931">
        <w:rPr>
          <w:rFonts w:cs="Times New Roman"/>
        </w:rPr>
        <w:t xml:space="preserve"> </w:t>
      </w:r>
      <w:r>
        <w:rPr>
          <w:rFonts w:cs="Times New Roman"/>
        </w:rPr>
        <w:t>Ibid.</w:t>
      </w:r>
    </w:p>
  </w:footnote>
  <w:footnote w:id="258">
    <w:p w:rsidR="00952E3B" w:rsidRPr="00897931" w:rsidRDefault="00952E3B" w:rsidP="00050BA9">
      <w:pPr>
        <w:rPr>
          <w:rFonts w:ascii="Times New Roman" w:hAnsi="Times New Roman"/>
        </w:rPr>
      </w:pPr>
      <w:r w:rsidRPr="00897931">
        <w:rPr>
          <w:rStyle w:val="FootnoteReference"/>
          <w:rFonts w:ascii="Times New Roman" w:hAnsi="Times New Roman"/>
        </w:rPr>
        <w:footnoteRef/>
      </w:r>
      <w:r w:rsidRPr="00897931">
        <w:rPr>
          <w:rFonts w:ascii="Times New Roman" w:hAnsi="Times New Roman"/>
        </w:rPr>
        <w:t xml:space="preserve"> Mark D Aspinwall and Gerald Schneider, “Same Menu, Seperate Tables: The Institutionalist Turn in Political Science and the Study of European Integration” (European Journal of Political Research, 38, 2, May 2000), https://kops.uni-konstanz.de/bitstream/handle/123456789/4020/aspinwall_schneider_ejpr_2000.pdf?sequence=1, 20-22.</w:t>
      </w:r>
    </w:p>
  </w:footnote>
  <w:footnote w:id="259">
    <w:p w:rsidR="00952E3B" w:rsidRDefault="00952E3B">
      <w:pPr>
        <w:pStyle w:val="FootnoteText"/>
      </w:pPr>
      <w:r>
        <w:rPr>
          <w:rStyle w:val="FootnoteReference"/>
        </w:rPr>
        <w:footnoteRef/>
      </w:r>
      <w:r>
        <w:t xml:space="preserve"> National Democratic Institute (NDI), “NDI Poll: EU Support in Georgia” (Agenda.Ge, January 28, 2019), https://agenda.ge/en/news/2019/261.</w:t>
      </w:r>
    </w:p>
  </w:footnote>
  <w:footnote w:id="260">
    <w:p w:rsidR="00952E3B" w:rsidRPr="00897931" w:rsidRDefault="00952E3B" w:rsidP="00050BA9">
      <w:pPr>
        <w:pStyle w:val="FootnoteText"/>
        <w:rPr>
          <w:rFonts w:cs="Times New Roman"/>
        </w:rPr>
      </w:pPr>
      <w:r w:rsidRPr="00897931">
        <w:rPr>
          <w:rStyle w:val="FootnoteReference"/>
          <w:rFonts w:cs="Times New Roman"/>
        </w:rPr>
        <w:footnoteRef/>
      </w:r>
      <w:r w:rsidRPr="00897931">
        <w:rPr>
          <w:rFonts w:cs="Times New Roman"/>
        </w:rPr>
        <w:t xml:space="preserve"> Europe Foundation, “Georgian Public's Knowledge of and Attitudes towards the EU in Georgia 2019 Survey Report” (Europe Foundation Georgia, March 2019), http://www.epfound.ge/wp-content/uploads/2019/09/EU-2019-Final-ENG.pdf, 4-5.</w:t>
      </w:r>
    </w:p>
  </w:footnote>
  <w:footnote w:id="261">
    <w:p w:rsidR="00952E3B" w:rsidRPr="00897931" w:rsidRDefault="00952E3B" w:rsidP="00050BA9">
      <w:pPr>
        <w:pStyle w:val="FootnoteText"/>
        <w:rPr>
          <w:rFonts w:cs="Times New Roman"/>
        </w:rPr>
      </w:pPr>
      <w:r w:rsidRPr="00897931">
        <w:rPr>
          <w:rStyle w:val="FootnoteReference"/>
          <w:rFonts w:cs="Times New Roman"/>
        </w:rPr>
        <w:footnoteRef/>
      </w:r>
      <w:r w:rsidRPr="00897931">
        <w:rPr>
          <w:rFonts w:cs="Times New Roman"/>
        </w:rPr>
        <w:t xml:space="preserve"> </w:t>
      </w:r>
      <w:r>
        <w:rPr>
          <w:rFonts w:cs="Times New Roman"/>
        </w:rPr>
        <w:t>Ibid.9</w:t>
      </w:r>
    </w:p>
  </w:footnote>
  <w:footnote w:id="262">
    <w:p w:rsidR="00952E3B" w:rsidRDefault="00952E3B">
      <w:pPr>
        <w:pStyle w:val="FootnoteText"/>
      </w:pPr>
      <w:r>
        <w:rPr>
          <w:rStyle w:val="FootnoteReference"/>
        </w:rPr>
        <w:footnoteRef/>
      </w:r>
      <w:r>
        <w:t xml:space="preserve"> EU Neighbours East, “ANNUAL SURVEY REPORT: REGIONAL OVERVIEW” (EU Neighbours East, June 2019).</w:t>
      </w:r>
    </w:p>
  </w:footnote>
  <w:footnote w:id="263">
    <w:p w:rsidR="00952E3B" w:rsidRDefault="00952E3B" w:rsidP="00050BA9">
      <w:pPr>
        <w:pStyle w:val="FootnoteText"/>
      </w:pPr>
      <w:r w:rsidRPr="00897931">
        <w:rPr>
          <w:rStyle w:val="FootnoteReference"/>
          <w:rFonts w:cs="Times New Roman"/>
        </w:rPr>
        <w:footnoteRef/>
      </w:r>
      <w:r w:rsidRPr="00897931">
        <w:rPr>
          <w:rFonts w:cs="Times New Roman"/>
        </w:rPr>
        <w:t xml:space="preserve"> Tamar Kintsurashvili, “Anti-Western Propaganda in Georgia” (Myth Detector Georgia, September 2016), http://www.mythdetector.ge/sites/default/files/2017-07/Antidasavluri-ENG-web_%282%29.pdf, 26-28.</w:t>
      </w:r>
    </w:p>
  </w:footnote>
  <w:footnote w:id="264">
    <w:p w:rsidR="00952E3B" w:rsidRPr="004B3557" w:rsidRDefault="00952E3B" w:rsidP="00050BA9">
      <w:pPr>
        <w:pStyle w:val="FootnoteText"/>
      </w:pPr>
      <w:r w:rsidRPr="004B3557">
        <w:rPr>
          <w:rStyle w:val="FootnoteReference"/>
        </w:rPr>
        <w:footnoteRef/>
      </w:r>
      <w:r w:rsidRPr="004B3557">
        <w:t xml:space="preserve"> </w:t>
      </w:r>
      <w:r w:rsidRPr="004B3557">
        <w:rPr>
          <w:rFonts w:cs="Times New Roman"/>
        </w:rPr>
        <w:t xml:space="preserve">Teona Giuashvili, “Geneva International Discussions – Negotiating the Possible,” </w:t>
      </w:r>
      <w:r w:rsidRPr="004B3557">
        <w:rPr>
          <w:rFonts w:cs="Times New Roman"/>
          <w:i/>
          <w:iCs/>
        </w:rPr>
        <w:t>Security and Human Rights</w:t>
      </w:r>
      <w:r w:rsidRPr="004B3557">
        <w:rPr>
          <w:rFonts w:cs="Times New Roman"/>
        </w:rPr>
        <w:t xml:space="preserve"> 27, no. 2 (May 2016): pp. 380-402, https://brill.com/downloadpdf/journals/shrs/27/3-4/art</w:t>
      </w:r>
      <w:r>
        <w:rPr>
          <w:rFonts w:cs="Times New Roman"/>
        </w:rPr>
        <w:t>icle-p381_381.pdf,</w:t>
      </w:r>
      <w:r w:rsidRPr="004B3557">
        <w:rPr>
          <w:rFonts w:cs="Times New Roman"/>
        </w:rPr>
        <w:t>382.</w:t>
      </w:r>
    </w:p>
  </w:footnote>
  <w:footnote w:id="265">
    <w:p w:rsidR="00952E3B" w:rsidRPr="004B3557" w:rsidRDefault="00952E3B" w:rsidP="00050BA9">
      <w:pPr>
        <w:pStyle w:val="FootnoteText"/>
      </w:pPr>
      <w:r w:rsidRPr="004B3557">
        <w:rPr>
          <w:rStyle w:val="FootnoteReference"/>
        </w:rPr>
        <w:footnoteRef/>
      </w:r>
      <w:r w:rsidRPr="004B3557">
        <w:t xml:space="preserve"> </w:t>
      </w:r>
      <w:r>
        <w:rPr>
          <w:rFonts w:cs="Times New Roman"/>
        </w:rPr>
        <w:t>Ibid.382</w:t>
      </w:r>
    </w:p>
  </w:footnote>
  <w:footnote w:id="266">
    <w:p w:rsidR="00952E3B" w:rsidRDefault="00952E3B">
      <w:pPr>
        <w:pStyle w:val="FootnoteText"/>
      </w:pPr>
      <w:r>
        <w:rPr>
          <w:rStyle w:val="FootnoteReference"/>
        </w:rPr>
        <w:footnoteRef/>
      </w:r>
      <w:r>
        <w:rPr>
          <w:rStyle w:val="FootnoteReference"/>
        </w:rPr>
        <w:footnoteRef/>
      </w:r>
      <w:r>
        <w:t xml:space="preserve"> </w:t>
      </w:r>
      <w:r w:rsidRPr="007626AC">
        <w:rPr>
          <w:rFonts w:cs="Times New Roman"/>
        </w:rPr>
        <w:t>Peters, Guy</w:t>
      </w:r>
      <w:proofErr w:type="gramStart"/>
      <w:r w:rsidRPr="007626AC">
        <w:rPr>
          <w:rFonts w:cs="Times New Roman"/>
        </w:rPr>
        <w:t>.(</w:t>
      </w:r>
      <w:proofErr w:type="gramEnd"/>
      <w:r w:rsidRPr="007626AC">
        <w:rPr>
          <w:rFonts w:cs="Times New Roman"/>
        </w:rPr>
        <w:t xml:space="preserve">2009) Governance approaches. In A. Wiener &amp; T. Diez (Eds.), </w:t>
      </w:r>
      <w:r w:rsidRPr="007626AC">
        <w:rPr>
          <w:rFonts w:cs="Times New Roman"/>
          <w:i/>
          <w:iCs/>
        </w:rPr>
        <w:t xml:space="preserve">European integration theory </w:t>
      </w:r>
      <w:r w:rsidRPr="007626AC">
        <w:rPr>
          <w:rFonts w:cs="Times New Roman"/>
        </w:rPr>
        <w:t>(pp. 91-104)</w:t>
      </w:r>
      <w:r w:rsidRPr="007626AC">
        <w:rPr>
          <w:rFonts w:cs="Times New Roman"/>
          <w:i/>
          <w:iCs/>
        </w:rPr>
        <w:t xml:space="preserve">. </w:t>
      </w:r>
      <w:r w:rsidRPr="007626AC">
        <w:rPr>
          <w:rFonts w:cs="Times New Roman"/>
        </w:rPr>
        <w:t>Oxford University Press.</w:t>
      </w:r>
      <w:proofErr w:type="gramStart"/>
      <w:r w:rsidRPr="007626AC">
        <w:rPr>
          <w:rFonts w:cs="Times New Roman"/>
        </w:rPr>
        <w:t>,p.96</w:t>
      </w:r>
      <w:proofErr w:type="gramEnd"/>
      <w:r w:rsidRPr="007626AC">
        <w:rPr>
          <w:rFonts w:cs="Times New Roman"/>
        </w:rPr>
        <w:t>.</w:t>
      </w:r>
    </w:p>
  </w:footnote>
  <w:footnote w:id="267">
    <w:p w:rsidR="00952E3B" w:rsidRPr="004B3557" w:rsidRDefault="00952E3B" w:rsidP="00050BA9">
      <w:pPr>
        <w:pStyle w:val="FootnoteText"/>
      </w:pPr>
      <w:r w:rsidRPr="004B3557">
        <w:rPr>
          <w:rStyle w:val="FootnoteReference"/>
        </w:rPr>
        <w:footnoteRef/>
      </w:r>
      <w:r w:rsidRPr="004B3557">
        <w:t xml:space="preserve"> </w:t>
      </w:r>
      <w:r w:rsidRPr="004B3557">
        <w:rPr>
          <w:rFonts w:cs="Times New Roman"/>
        </w:rPr>
        <w:t xml:space="preserve">International Crisis Group, “Abkhazia and South Ossetia: Time to Talk Trade” (ICG, May 2018), </w:t>
      </w:r>
      <w:hyperlink r:id="rId53" w:history="1">
        <w:r w:rsidRPr="004B3557">
          <w:rPr>
            <w:rStyle w:val="Hyperlink"/>
            <w:rFonts w:cs="Times New Roman"/>
          </w:rPr>
          <w:t>https://www.crisisgroup.org/europe-central-asia/caucasus/georgia/249-abkhazia-and-south-ossetia-time-talk-trade</w:t>
        </w:r>
      </w:hyperlink>
    </w:p>
  </w:footnote>
  <w:footnote w:id="268">
    <w:p w:rsidR="00952E3B" w:rsidRDefault="00952E3B" w:rsidP="00050BA9">
      <w:pPr>
        <w:pStyle w:val="FootnoteText"/>
      </w:pPr>
      <w:r w:rsidRPr="004B3557">
        <w:rPr>
          <w:rStyle w:val="FootnoteReference"/>
        </w:rPr>
        <w:footnoteRef/>
      </w:r>
      <w:r w:rsidRPr="004B3557">
        <w:t xml:space="preserve"> </w:t>
      </w:r>
      <w:r w:rsidRPr="004B3557">
        <w:rPr>
          <w:rFonts w:cs="Times New Roman"/>
        </w:rPr>
        <w:t>I</w:t>
      </w:r>
      <w:r>
        <w:rPr>
          <w:rFonts w:cs="Times New Roman"/>
        </w:rPr>
        <w:t>bid</w:t>
      </w:r>
      <w:r w:rsidRPr="004B3557">
        <w:rPr>
          <w:rFonts w:cs="Times New Roman"/>
        </w:rPr>
        <w:t>.</w:t>
      </w:r>
    </w:p>
  </w:footnote>
  <w:footnote w:id="269">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Teona Giuashvili, “Geneva International Discussions – Negotiating the Possible,” </w:t>
      </w:r>
      <w:r w:rsidRPr="00175027">
        <w:rPr>
          <w:rFonts w:cs="Times New Roman"/>
          <w:i/>
          <w:iCs/>
        </w:rPr>
        <w:t>Security and Human Rights</w:t>
      </w:r>
      <w:r w:rsidRPr="00175027">
        <w:rPr>
          <w:rFonts w:cs="Times New Roman"/>
        </w:rPr>
        <w:t xml:space="preserve"> 27, no. 2 (May 2016): pp. 380-402, https://brill.com/downloadpdf/journals/sh</w:t>
      </w:r>
      <w:r>
        <w:rPr>
          <w:rFonts w:cs="Times New Roman"/>
        </w:rPr>
        <w:t>rs/27/3-4/article-p381_381.pdf,</w:t>
      </w:r>
      <w:r w:rsidRPr="00175027">
        <w:rPr>
          <w:rFonts w:cs="Times New Roman"/>
        </w:rPr>
        <w:t>384.</w:t>
      </w:r>
    </w:p>
  </w:footnote>
  <w:footnote w:id="270">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w:t>
      </w:r>
      <w:r>
        <w:rPr>
          <w:rFonts w:cs="Times New Roman"/>
        </w:rPr>
        <w:t>Ibid.</w:t>
      </w:r>
    </w:p>
  </w:footnote>
  <w:footnote w:id="271">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w:t>
      </w:r>
      <w:r>
        <w:rPr>
          <w:rFonts w:cs="Times New Roman"/>
        </w:rPr>
        <w:t>Ibid.385</w:t>
      </w:r>
    </w:p>
  </w:footnote>
  <w:footnote w:id="272">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w:t>
      </w:r>
      <w:r>
        <w:rPr>
          <w:rFonts w:cs="Times New Roman"/>
        </w:rPr>
        <w:t>Ibid.</w:t>
      </w:r>
    </w:p>
  </w:footnote>
  <w:footnote w:id="273">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w:t>
      </w:r>
      <w:r>
        <w:rPr>
          <w:rFonts w:cs="Times New Roman"/>
        </w:rPr>
        <w:t>Ibid.386</w:t>
      </w:r>
    </w:p>
  </w:footnote>
  <w:footnote w:id="274">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Walter Feichtinger, </w:t>
      </w:r>
      <w:r w:rsidRPr="00175027">
        <w:rPr>
          <w:rFonts w:cs="Times New Roman"/>
          <w:i/>
          <w:iCs/>
        </w:rPr>
        <w:t>Failed Prevention - The Case of Georgia</w:t>
      </w:r>
      <w:r w:rsidRPr="00175027">
        <w:rPr>
          <w:rFonts w:cs="Times New Roman"/>
        </w:rPr>
        <w:t xml:space="preserve"> (Vienna: Austriani National Defense Academy - Bundesheer, n.d.), https://www.bundesheer.at/pdf_pool/publikationen/pfp_r</w:t>
      </w:r>
      <w:r>
        <w:rPr>
          <w:rFonts w:cs="Times New Roman"/>
        </w:rPr>
        <w:t xml:space="preserve">ssc_georgia_prevention.pdf, </w:t>
      </w:r>
      <w:r w:rsidRPr="00175027">
        <w:rPr>
          <w:rFonts w:cs="Times New Roman"/>
        </w:rPr>
        <w:t>151.</w:t>
      </w:r>
    </w:p>
  </w:footnote>
  <w:footnote w:id="275">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w:t>
      </w:r>
      <w:r>
        <w:rPr>
          <w:rFonts w:cs="Times New Roman"/>
        </w:rPr>
        <w:t>Ibid.153</w:t>
      </w:r>
    </w:p>
  </w:footnote>
  <w:footnote w:id="276">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w:t>
      </w:r>
      <w:r>
        <w:rPr>
          <w:rFonts w:cs="Times New Roman"/>
        </w:rPr>
        <w:t>Ibid.</w:t>
      </w:r>
    </w:p>
  </w:footnote>
  <w:footnote w:id="277">
    <w:p w:rsidR="00952E3B" w:rsidRPr="00175027" w:rsidRDefault="00952E3B" w:rsidP="00050BA9">
      <w:pPr>
        <w:pStyle w:val="FootnoteText"/>
        <w:rPr>
          <w:rFonts w:cs="Times New Roman"/>
        </w:rPr>
      </w:pPr>
      <w:r w:rsidRPr="00175027">
        <w:rPr>
          <w:rStyle w:val="FootnoteReference"/>
          <w:rFonts w:cs="Times New Roman"/>
        </w:rPr>
        <w:footnoteRef/>
      </w:r>
      <w:r w:rsidRPr="00175027">
        <w:rPr>
          <w:rFonts w:cs="Times New Roman"/>
        </w:rPr>
        <w:t xml:space="preserve"> </w:t>
      </w:r>
      <w:r>
        <w:rPr>
          <w:rFonts w:cs="Times New Roman"/>
        </w:rPr>
        <w:t>Ibid.154</w:t>
      </w:r>
    </w:p>
  </w:footnote>
  <w:footnote w:id="278">
    <w:p w:rsidR="00952E3B" w:rsidRPr="004E4444" w:rsidRDefault="00952E3B" w:rsidP="00050BA9">
      <w:pPr>
        <w:rPr>
          <w:rFonts w:ascii="Times New Roman" w:hAnsi="Times New Roman"/>
          <w:sz w:val="16"/>
          <w:szCs w:val="16"/>
        </w:rPr>
      </w:pPr>
      <w:r w:rsidRPr="00175027">
        <w:rPr>
          <w:rStyle w:val="FootnoteReference"/>
          <w:rFonts w:ascii="Times New Roman" w:hAnsi="Times New Roman"/>
        </w:rPr>
        <w:footnoteRef/>
      </w:r>
      <w:r w:rsidRPr="00175027">
        <w:rPr>
          <w:rFonts w:ascii="Times New Roman" w:hAnsi="Times New Roman"/>
        </w:rPr>
        <w:t xml:space="preserve"> </w:t>
      </w:r>
      <w:r>
        <w:rPr>
          <w:rFonts w:ascii="Times New Roman" w:hAnsi="Times New Roman"/>
        </w:rPr>
        <w:t>Ibid.157</w:t>
      </w:r>
    </w:p>
  </w:footnote>
  <w:footnote w:id="279">
    <w:p w:rsidR="00952E3B" w:rsidRPr="00B4655B" w:rsidRDefault="00952E3B" w:rsidP="00050BA9">
      <w:pPr>
        <w:rPr>
          <w:rFonts w:ascii="Times New Roman" w:hAnsi="Times New Roman"/>
        </w:rPr>
      </w:pPr>
      <w:r w:rsidRPr="00B4655B">
        <w:rPr>
          <w:rStyle w:val="FootnoteReference"/>
          <w:rFonts w:ascii="Times New Roman" w:hAnsi="Times New Roman"/>
        </w:rPr>
        <w:footnoteRef/>
      </w:r>
      <w:r w:rsidRPr="00B4655B">
        <w:rPr>
          <w:rFonts w:ascii="Times New Roman" w:hAnsi="Times New Roman"/>
        </w:rPr>
        <w:t xml:space="preserve"> </w:t>
      </w:r>
      <w:r>
        <w:rPr>
          <w:rFonts w:ascii="Times New Roman" w:hAnsi="Times New Roman"/>
        </w:rPr>
        <w:t>Ibid.158</w:t>
      </w:r>
    </w:p>
  </w:footnote>
  <w:footnote w:id="280">
    <w:p w:rsidR="00952E3B" w:rsidRPr="00B4655B" w:rsidRDefault="00952E3B" w:rsidP="00050BA9">
      <w:pPr>
        <w:pStyle w:val="FootnoteText"/>
        <w:rPr>
          <w:rFonts w:cs="Times New Roman"/>
        </w:rPr>
      </w:pPr>
      <w:r w:rsidRPr="00B4655B">
        <w:rPr>
          <w:rStyle w:val="FootnoteReference"/>
          <w:rFonts w:cs="Times New Roman"/>
        </w:rPr>
        <w:footnoteRef/>
      </w:r>
      <w:r w:rsidRPr="00B4655B">
        <w:rPr>
          <w:rFonts w:cs="Times New Roman"/>
        </w:rPr>
        <w:t xml:space="preserve"> </w:t>
      </w:r>
      <w:r>
        <w:rPr>
          <w:rFonts w:cs="Times New Roman"/>
        </w:rPr>
        <w:t>Ibid.</w:t>
      </w:r>
    </w:p>
  </w:footnote>
  <w:footnote w:id="281">
    <w:p w:rsidR="00952E3B" w:rsidRDefault="00952E3B">
      <w:pPr>
        <w:pStyle w:val="FootnoteText"/>
      </w:pPr>
      <w:r>
        <w:rPr>
          <w:rStyle w:val="FootnoteReference"/>
        </w:rPr>
        <w:footnoteRef/>
      </w:r>
      <w:r>
        <w:t xml:space="preserve"> NBC News, “Soviet Collapse a Genuine Tragedy” (The Associated Press, April 25, 2005), http://www.nbcnews.com/id/7632057/ns/world_news/t/putin-soviet-collapse-genuine-tragedy/#.Xx2f-dIzbIV.</w:t>
      </w:r>
    </w:p>
  </w:footnote>
  <w:footnote w:id="282">
    <w:p w:rsidR="00952E3B" w:rsidRPr="00B4655B" w:rsidRDefault="00952E3B" w:rsidP="00050BA9">
      <w:pPr>
        <w:pStyle w:val="FootnoteText"/>
        <w:rPr>
          <w:rFonts w:cs="Times New Roman"/>
        </w:rPr>
      </w:pPr>
      <w:r w:rsidRPr="00B4655B">
        <w:rPr>
          <w:rStyle w:val="FootnoteReference"/>
          <w:rFonts w:cs="Times New Roman"/>
        </w:rPr>
        <w:footnoteRef/>
      </w:r>
      <w:r w:rsidRPr="00B4655B">
        <w:rPr>
          <w:rFonts w:cs="Times New Roman"/>
        </w:rPr>
        <w:t xml:space="preserve"> Tigran Mkrtchyan and Vahram </w:t>
      </w:r>
      <w:proofErr w:type="gramStart"/>
      <w:r w:rsidRPr="00B4655B">
        <w:rPr>
          <w:rFonts w:cs="Times New Roman"/>
        </w:rPr>
        <w:t>Petrosyan ,</w:t>
      </w:r>
      <w:proofErr w:type="gramEnd"/>
      <w:r w:rsidRPr="00B4655B">
        <w:rPr>
          <w:rFonts w:cs="Times New Roman"/>
        </w:rPr>
        <w:t xml:space="preserve"> “INTEGRATION OF TRANSCAUCASIA: CONTINUED FAILURE AND HOPE” (European Stability Initiative, 2015), https://esiweb.org/pdf/esi_turkey_tpq_vol8_no1_mkrtchyan_petrosyan.pdf, 4-6.</w:t>
      </w:r>
    </w:p>
  </w:footnote>
  <w:footnote w:id="283">
    <w:p w:rsidR="00952E3B" w:rsidRPr="00B4655B" w:rsidRDefault="00952E3B" w:rsidP="00050BA9">
      <w:pPr>
        <w:pStyle w:val="FootnoteText"/>
        <w:rPr>
          <w:rFonts w:cs="Times New Roman"/>
        </w:rPr>
      </w:pPr>
      <w:r w:rsidRPr="00B4655B">
        <w:rPr>
          <w:rStyle w:val="FootnoteReference"/>
          <w:rFonts w:cs="Times New Roman"/>
        </w:rPr>
        <w:footnoteRef/>
      </w:r>
      <w:r w:rsidRPr="00B4655B">
        <w:rPr>
          <w:rFonts w:cs="Times New Roman"/>
        </w:rPr>
        <w:t xml:space="preserve"> </w:t>
      </w:r>
      <w:r>
        <w:rPr>
          <w:rFonts w:cs="Times New Roman"/>
        </w:rPr>
        <w:t>Ibid.</w:t>
      </w:r>
    </w:p>
  </w:footnote>
  <w:footnote w:id="284">
    <w:p w:rsidR="00952E3B" w:rsidRPr="00B4655B" w:rsidRDefault="00952E3B" w:rsidP="00050BA9">
      <w:pPr>
        <w:pStyle w:val="FootnoteText"/>
        <w:rPr>
          <w:rFonts w:cs="Times New Roman"/>
        </w:rPr>
      </w:pPr>
      <w:r w:rsidRPr="00B4655B">
        <w:rPr>
          <w:rStyle w:val="FootnoteReference"/>
          <w:rFonts w:cs="Times New Roman"/>
        </w:rPr>
        <w:footnoteRef/>
      </w:r>
      <w:r w:rsidRPr="00B4655B">
        <w:rPr>
          <w:rFonts w:cs="Times New Roman"/>
        </w:rPr>
        <w:t xml:space="preserve"> Manana Sikharulidze, “Archive: Georgia Becomes the CIS Member” (Georgian Journal, January 2012), </w:t>
      </w:r>
      <w:hyperlink r:id="rId54" w:history="1">
        <w:r w:rsidRPr="00B4655B">
          <w:rPr>
            <w:rStyle w:val="Hyperlink"/>
            <w:rFonts w:cs="Times New Roman"/>
          </w:rPr>
          <w:t>https://www.georgianjournal.ge/society/7560-georgia-becomes-the-cis-member.html</w:t>
        </w:r>
      </w:hyperlink>
      <w:r w:rsidRPr="00B4655B">
        <w:rPr>
          <w:rFonts w:cs="Times New Roman"/>
        </w:rPr>
        <w:t>.</w:t>
      </w:r>
    </w:p>
  </w:footnote>
  <w:footnote w:id="285">
    <w:p w:rsidR="00952E3B" w:rsidRPr="00B4655B" w:rsidRDefault="00952E3B" w:rsidP="00050BA9">
      <w:pPr>
        <w:pStyle w:val="FootnoteText"/>
        <w:rPr>
          <w:rFonts w:cs="Times New Roman"/>
        </w:rPr>
      </w:pPr>
      <w:r w:rsidRPr="00B4655B">
        <w:rPr>
          <w:rStyle w:val="FootnoteReference"/>
          <w:rFonts w:cs="Times New Roman"/>
        </w:rPr>
        <w:footnoteRef/>
      </w:r>
      <w:r w:rsidRPr="00B4655B">
        <w:rPr>
          <w:rFonts w:cs="Times New Roman"/>
        </w:rPr>
        <w:t xml:space="preserve"> Tigran Mkrtchyan and Vahram </w:t>
      </w:r>
      <w:proofErr w:type="gramStart"/>
      <w:r w:rsidRPr="00B4655B">
        <w:rPr>
          <w:rFonts w:cs="Times New Roman"/>
        </w:rPr>
        <w:t>Petrosyan ,</w:t>
      </w:r>
      <w:proofErr w:type="gramEnd"/>
      <w:r w:rsidRPr="00B4655B">
        <w:rPr>
          <w:rFonts w:cs="Times New Roman"/>
        </w:rPr>
        <w:t xml:space="preserve"> “INTEGRATION OF TRANSCAUCASIA: CONTINUED FAILURE AND HOPE” (European Stability Initiative, 2015), https://esiweb.org/pdf/esi_turkey_tpq_vol8_no1_mkrtchyan_petrosyan.pdf, 4-6.</w:t>
      </w:r>
    </w:p>
  </w:footnote>
  <w:footnote w:id="286">
    <w:p w:rsidR="00952E3B" w:rsidRDefault="00952E3B" w:rsidP="00050BA9">
      <w:pPr>
        <w:pStyle w:val="FootnoteText"/>
      </w:pPr>
      <w:r w:rsidRPr="00B4655B">
        <w:rPr>
          <w:rStyle w:val="FootnoteReference"/>
          <w:rFonts w:cs="Times New Roman"/>
        </w:rPr>
        <w:footnoteRef/>
      </w:r>
      <w:r w:rsidRPr="00B4655B">
        <w:rPr>
          <w:rFonts w:cs="Times New Roman"/>
        </w:rPr>
        <w:t xml:space="preserve"> Immigration and Refugee Board of Canada, “Georgia: Information on the Mhedriony (Mkhedrioni) and Their Activities” (Refworld, March 1994), </w:t>
      </w:r>
      <w:hyperlink r:id="rId55" w:history="1">
        <w:r w:rsidRPr="00B4655B">
          <w:rPr>
            <w:rStyle w:val="Hyperlink"/>
            <w:rFonts w:cs="Times New Roman"/>
          </w:rPr>
          <w:t>https://www.refworld.org/docid/3ae6ac6a14.html</w:t>
        </w:r>
      </w:hyperlink>
      <w:r w:rsidRPr="00B4655B">
        <w:rPr>
          <w:rFonts w:cs="Times New Roman"/>
        </w:rPr>
        <w:t>.</w:t>
      </w:r>
    </w:p>
  </w:footnote>
  <w:footnote w:id="287">
    <w:p w:rsidR="00952E3B" w:rsidRPr="00B4655B" w:rsidRDefault="00952E3B" w:rsidP="00050BA9">
      <w:pPr>
        <w:pStyle w:val="FootnoteText"/>
      </w:pPr>
      <w:r w:rsidRPr="00B4655B">
        <w:rPr>
          <w:rStyle w:val="FootnoteReference"/>
        </w:rPr>
        <w:footnoteRef/>
      </w:r>
      <w:r w:rsidRPr="00B4655B">
        <w:t xml:space="preserve"> </w:t>
      </w:r>
      <w:r>
        <w:rPr>
          <w:rFonts w:cs="Times New Roman"/>
        </w:rPr>
        <w:t>Ibid.</w:t>
      </w:r>
    </w:p>
  </w:footnote>
  <w:footnote w:id="288">
    <w:p w:rsidR="00952E3B" w:rsidRPr="00B4655B" w:rsidRDefault="00952E3B" w:rsidP="00050BA9">
      <w:pPr>
        <w:pStyle w:val="FootnoteText"/>
      </w:pPr>
      <w:r w:rsidRPr="00B4655B">
        <w:rPr>
          <w:rStyle w:val="FootnoteReference"/>
        </w:rPr>
        <w:footnoteRef/>
      </w:r>
      <w:r w:rsidRPr="00B4655B">
        <w:t xml:space="preserve"> </w:t>
      </w:r>
      <w:r w:rsidRPr="00B4655B">
        <w:rPr>
          <w:rFonts w:cs="Times New Roman"/>
        </w:rPr>
        <w:t xml:space="preserve">Nina Akhmeteli, “Eduard Shevardnadze: Controversial Legacy to Georgia” (BBC Europe, July 8, 2014), </w:t>
      </w:r>
      <w:hyperlink r:id="rId56" w:history="1">
        <w:r w:rsidRPr="00B4655B">
          <w:rPr>
            <w:rStyle w:val="Hyperlink"/>
            <w:rFonts w:cs="Times New Roman"/>
          </w:rPr>
          <w:t>https://www.bbc.com/news/world-europe-28205380</w:t>
        </w:r>
      </w:hyperlink>
      <w:r w:rsidRPr="00B4655B">
        <w:rPr>
          <w:rFonts w:cs="Times New Roman"/>
        </w:rPr>
        <w:t>.</w:t>
      </w:r>
    </w:p>
  </w:footnote>
  <w:footnote w:id="289">
    <w:p w:rsidR="00952E3B" w:rsidRPr="00B4655B" w:rsidRDefault="00952E3B" w:rsidP="00050BA9">
      <w:pPr>
        <w:pStyle w:val="FootnoteText"/>
      </w:pPr>
      <w:r w:rsidRPr="00B4655B">
        <w:rPr>
          <w:rStyle w:val="FootnoteReference"/>
        </w:rPr>
        <w:footnoteRef/>
      </w:r>
      <w:r w:rsidRPr="00B4655B">
        <w:t xml:space="preserve"> </w:t>
      </w:r>
      <w:r>
        <w:rPr>
          <w:rFonts w:cs="Times New Roman"/>
        </w:rPr>
        <w:t>Ibid.</w:t>
      </w:r>
    </w:p>
  </w:footnote>
  <w:footnote w:id="290">
    <w:p w:rsidR="00952E3B" w:rsidRPr="00B4655B" w:rsidRDefault="00952E3B" w:rsidP="00050BA9">
      <w:pPr>
        <w:pStyle w:val="FootnoteText"/>
      </w:pPr>
      <w:r w:rsidRPr="00B4655B">
        <w:rPr>
          <w:rStyle w:val="FootnoteReference"/>
        </w:rPr>
        <w:footnoteRef/>
      </w:r>
      <w:r w:rsidRPr="00B4655B">
        <w:t xml:space="preserve"> </w:t>
      </w:r>
      <w:r w:rsidRPr="00B4655B">
        <w:rPr>
          <w:rFonts w:cs="Times New Roman"/>
        </w:rPr>
        <w:t>Robert D Blackwill, Rodric Braithwaite, and Akihiko Tanaka, “Engaging Russia” (The Trilateral Commission, January 1995), http://trilateral.org/file/46, 46-47.</w:t>
      </w:r>
    </w:p>
  </w:footnote>
  <w:footnote w:id="291">
    <w:p w:rsidR="00952E3B" w:rsidRPr="00B4655B" w:rsidRDefault="00952E3B" w:rsidP="00050BA9">
      <w:pPr>
        <w:pStyle w:val="FootnoteText"/>
      </w:pPr>
      <w:r w:rsidRPr="00B4655B">
        <w:rPr>
          <w:rStyle w:val="FootnoteReference"/>
        </w:rPr>
        <w:footnoteRef/>
      </w:r>
      <w:r w:rsidRPr="00B4655B">
        <w:t xml:space="preserve"> </w:t>
      </w:r>
      <w:r w:rsidRPr="00B4655B">
        <w:rPr>
          <w:rFonts w:cs="Times New Roman"/>
        </w:rPr>
        <w:t xml:space="preserve">Manana Sikharulidze, “Archive: Georgia Becomes the CIS Member” (Georgian Journal, January 2012), </w:t>
      </w:r>
      <w:hyperlink r:id="rId57" w:history="1">
        <w:r w:rsidRPr="00B4655B">
          <w:rPr>
            <w:rStyle w:val="Hyperlink"/>
            <w:rFonts w:cs="Times New Roman"/>
          </w:rPr>
          <w:t>https://www.georgianjournal.ge/society/7560-georgia-becomes-the-cis-member.html</w:t>
        </w:r>
      </w:hyperlink>
      <w:r w:rsidRPr="00B4655B">
        <w:rPr>
          <w:rFonts w:cs="Times New Roman"/>
        </w:rPr>
        <w:t>.</w:t>
      </w:r>
    </w:p>
  </w:footnote>
  <w:footnote w:id="292">
    <w:p w:rsidR="00952E3B" w:rsidRDefault="00952E3B" w:rsidP="00050BA9">
      <w:pPr>
        <w:pStyle w:val="FootnoteText"/>
      </w:pPr>
      <w:r w:rsidRPr="00B4655B">
        <w:rPr>
          <w:rStyle w:val="FootnoteReference"/>
        </w:rPr>
        <w:footnoteRef/>
      </w:r>
      <w:r w:rsidRPr="00B4655B">
        <w:t xml:space="preserve"> </w:t>
      </w:r>
      <w:r w:rsidRPr="00B4655B">
        <w:rPr>
          <w:rFonts w:cs="Times New Roman"/>
        </w:rPr>
        <w:t xml:space="preserve">Svante E. Cornell and S. Frederick Starr, “The Guns of August 2008,” </w:t>
      </w:r>
      <w:r w:rsidRPr="00B4655B">
        <w:rPr>
          <w:rFonts w:cs="Times New Roman"/>
          <w:i/>
          <w:iCs/>
        </w:rPr>
        <w:t>Studies of Central Asia and the Caucasus</w:t>
      </w:r>
      <w:r w:rsidRPr="00B4655B">
        <w:rPr>
          <w:rFonts w:cs="Times New Roman"/>
        </w:rPr>
        <w:t>, 2015, pp. 3-4, https://doi.org/10.4324/9781315699660, 30-32.</w:t>
      </w:r>
    </w:p>
  </w:footnote>
  <w:footnote w:id="293">
    <w:p w:rsidR="00952E3B" w:rsidRPr="00C450AB" w:rsidRDefault="00952E3B" w:rsidP="00050BA9">
      <w:pPr>
        <w:tabs>
          <w:tab w:val="center" w:pos="4844"/>
        </w:tabs>
        <w:rPr>
          <w:rFonts w:ascii="Times New Roman" w:hAnsi="Times New Roman"/>
        </w:rPr>
      </w:pPr>
      <w:r w:rsidRPr="00C450AB">
        <w:rPr>
          <w:rStyle w:val="FootnoteReference"/>
          <w:rFonts w:ascii="Times New Roman" w:hAnsi="Times New Roman"/>
        </w:rPr>
        <w:footnoteRef/>
      </w:r>
      <w:r w:rsidRPr="00C450AB">
        <w:rPr>
          <w:rFonts w:ascii="Times New Roman" w:hAnsi="Times New Roman"/>
        </w:rPr>
        <w:t xml:space="preserve"> Council of Europe, “Georgia Joins the Council of Europe” (ReliefWeb, April 27, 1999), </w:t>
      </w:r>
      <w:hyperlink r:id="rId58" w:history="1">
        <w:r w:rsidRPr="00C450AB">
          <w:rPr>
            <w:rStyle w:val="Hyperlink"/>
            <w:rFonts w:ascii="Times New Roman" w:hAnsi="Times New Roman"/>
          </w:rPr>
          <w:t>https://reliefweb.int/report/georgia/georgia-joins-council-europe-0</w:t>
        </w:r>
      </w:hyperlink>
      <w:r w:rsidRPr="00C450AB">
        <w:rPr>
          <w:rFonts w:ascii="Times New Roman" w:hAnsi="Times New Roman"/>
        </w:rPr>
        <w:t>.</w:t>
      </w:r>
    </w:p>
  </w:footnote>
  <w:footnote w:id="294">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Jim Nichol, “Russia-Georgia Conflict in August 2008: Context and Implications for the U.S. Interests” (Congressional Research Service, March 3, 2009), https://fas.org/sgp/crs/row/RL34618.pdf, 3-4.</w:t>
      </w:r>
    </w:p>
  </w:footnote>
  <w:footnote w:id="295">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NATO, “Statement by President of Georgia Eduard Shevardnadze at the EAPC Summit” (NATO Prague Summit 2002, November 22, 2002), </w:t>
      </w:r>
      <w:hyperlink r:id="rId59" w:history="1">
        <w:r w:rsidRPr="00C450AB">
          <w:rPr>
            <w:rStyle w:val="Hyperlink"/>
            <w:rFonts w:cs="Times New Roman"/>
          </w:rPr>
          <w:t>https://www.nato.int/docu/speech/2002/s021122h.htm</w:t>
        </w:r>
      </w:hyperlink>
      <w:r w:rsidRPr="00C450AB">
        <w:rPr>
          <w:rFonts w:cs="Times New Roman"/>
        </w:rPr>
        <w:t>.</w:t>
      </w:r>
    </w:p>
  </w:footnote>
  <w:footnote w:id="296">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Svante E. Cornell and S. Frederick Starr, “The Guns of August 2008,” </w:t>
      </w:r>
      <w:r w:rsidRPr="00C450AB">
        <w:rPr>
          <w:rFonts w:cs="Times New Roman"/>
          <w:i/>
          <w:iCs/>
        </w:rPr>
        <w:t>Studies of Central Asia and the Caucasus</w:t>
      </w:r>
      <w:r w:rsidRPr="00C450AB">
        <w:rPr>
          <w:rFonts w:cs="Times New Roman"/>
        </w:rPr>
        <w:t>, 2015, pp. 3-4, https://doi.org/10.4324/9781315699660, 30-32.</w:t>
      </w:r>
    </w:p>
  </w:footnote>
  <w:footnote w:id="297">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Irma Guledani, “Saakashvili: Georgia's Reunification Plan Is in Force” (Civil.Ge, December 12, 2008), </w:t>
      </w:r>
      <w:hyperlink r:id="rId60" w:history="1">
        <w:r w:rsidRPr="00C450AB">
          <w:rPr>
            <w:rStyle w:val="Hyperlink"/>
            <w:rFonts w:cs="Times New Roman"/>
          </w:rPr>
          <w:t>https://old.civil.ge/eng/article.php?id=20121</w:t>
        </w:r>
      </w:hyperlink>
      <w:r w:rsidRPr="00C450AB">
        <w:rPr>
          <w:rFonts w:cs="Times New Roman"/>
        </w:rPr>
        <w:t>.</w:t>
      </w:r>
    </w:p>
  </w:footnote>
  <w:footnote w:id="298">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w:t>
      </w:r>
      <w:r>
        <w:rPr>
          <w:rFonts w:cs="Times New Roman"/>
        </w:rPr>
        <w:t>Ibid.</w:t>
      </w:r>
    </w:p>
  </w:footnote>
  <w:footnote w:id="299">
    <w:p w:rsidR="00952E3B" w:rsidRDefault="00952E3B" w:rsidP="00050BA9">
      <w:pPr>
        <w:pStyle w:val="FootnoteText"/>
      </w:pPr>
      <w:r w:rsidRPr="00C450AB">
        <w:rPr>
          <w:rStyle w:val="FootnoteReference"/>
          <w:rFonts w:cs="Times New Roman"/>
        </w:rPr>
        <w:footnoteRef/>
      </w:r>
      <w:r w:rsidRPr="00C450AB">
        <w:rPr>
          <w:rFonts w:cs="Times New Roman"/>
        </w:rPr>
        <w:t xml:space="preserve"> Ronald D. Asmus, </w:t>
      </w:r>
      <w:r w:rsidRPr="00C450AB">
        <w:rPr>
          <w:rFonts w:cs="Times New Roman"/>
          <w:i/>
          <w:iCs/>
        </w:rPr>
        <w:t>A Little War That Shook the World: Georgia, Russia, and the Future of the West</w:t>
      </w:r>
      <w:r w:rsidRPr="00C450AB">
        <w:rPr>
          <w:rFonts w:cs="Times New Roman"/>
        </w:rPr>
        <w:t xml:space="preserve"> (New York: Palgrave Macmillan, 2010), 70-72.</w:t>
      </w:r>
    </w:p>
  </w:footnote>
  <w:footnote w:id="300">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Theresa Freese, “Russia's Troop Withdrawal from Georgia: The Start of a New Friendship</w:t>
      </w:r>
      <w:proofErr w:type="gramStart"/>
      <w:r w:rsidRPr="00C450AB">
        <w:rPr>
          <w:rFonts w:cs="Times New Roman"/>
        </w:rPr>
        <w:t>?,</w:t>
      </w:r>
      <w:proofErr w:type="gramEnd"/>
      <w:r w:rsidRPr="00C450AB">
        <w:rPr>
          <w:rFonts w:cs="Times New Roman"/>
        </w:rPr>
        <w:t xml:space="preserve">” Refworld (EurasiaNet, August 10, 2005), </w:t>
      </w:r>
      <w:hyperlink r:id="rId61" w:history="1">
        <w:r w:rsidRPr="00C450AB">
          <w:rPr>
            <w:rStyle w:val="Hyperlink"/>
            <w:rFonts w:cs="Times New Roman"/>
          </w:rPr>
          <w:t>https://www.refworld.org/docid/46a4851c1e.html</w:t>
        </w:r>
      </w:hyperlink>
      <w:r w:rsidRPr="00C450AB">
        <w:rPr>
          <w:rFonts w:cs="Times New Roman"/>
        </w:rPr>
        <w:t>.</w:t>
      </w:r>
    </w:p>
  </w:footnote>
  <w:footnote w:id="301">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Lionel Beehner et al., “Analyzing the Russian Way of War: Evidence from the 2008 Conflict with Georgia” (Modern War Institute, March 19, 2018), </w:t>
      </w:r>
      <w:hyperlink r:id="rId62" w:history="1">
        <w:r w:rsidRPr="00C450AB">
          <w:rPr>
            <w:rStyle w:val="Hyperlink"/>
            <w:rFonts w:cs="Times New Roman"/>
          </w:rPr>
          <w:t>https://mwi.usma.edu/analyzing-russian-way-war-evidence-2008-conflict-georgia/</w:t>
        </w:r>
      </w:hyperlink>
      <w:r w:rsidRPr="00C450AB">
        <w:rPr>
          <w:rFonts w:cs="Times New Roman"/>
        </w:rPr>
        <w:t>.</w:t>
      </w:r>
    </w:p>
  </w:footnote>
  <w:footnote w:id="302">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The Kremlin, “Transcript of the Press Conference of President Vladimir Putin for the Russian and Foreign Media” (The Kremlin Press Center, January 2006), </w:t>
      </w:r>
      <w:hyperlink r:id="rId63" w:history="1">
        <w:r w:rsidRPr="00C450AB">
          <w:rPr>
            <w:rStyle w:val="Hyperlink"/>
            <w:rFonts w:cs="Times New Roman"/>
          </w:rPr>
          <w:t>http://en.kremlin.ru/events/president/transcripts/page/345</w:t>
        </w:r>
      </w:hyperlink>
      <w:r w:rsidRPr="00C450AB">
        <w:rPr>
          <w:rFonts w:cs="Times New Roman"/>
        </w:rPr>
        <w:t>.</w:t>
      </w:r>
    </w:p>
  </w:footnote>
  <w:footnote w:id="303">
    <w:p w:rsidR="00952E3B" w:rsidRPr="00C450AB" w:rsidRDefault="00952E3B" w:rsidP="00050BA9">
      <w:pPr>
        <w:tabs>
          <w:tab w:val="center" w:pos="4844"/>
        </w:tabs>
        <w:rPr>
          <w:rFonts w:ascii="Times New Roman" w:hAnsi="Times New Roman"/>
        </w:rPr>
      </w:pPr>
      <w:r w:rsidRPr="00C450AB">
        <w:rPr>
          <w:rStyle w:val="FootnoteReference"/>
          <w:rFonts w:ascii="Times New Roman" w:hAnsi="Times New Roman"/>
        </w:rPr>
        <w:footnoteRef/>
      </w:r>
      <w:r w:rsidRPr="00C450AB">
        <w:rPr>
          <w:rFonts w:ascii="Times New Roman" w:hAnsi="Times New Roman"/>
        </w:rPr>
        <w:t xml:space="preserve"> Thea Morrison, “A Chronology of Russian Embargoes on Georgia” (Georgia Today, June 24, 2019), </w:t>
      </w:r>
      <w:hyperlink r:id="rId64" w:history="1">
        <w:r w:rsidRPr="00C450AB">
          <w:rPr>
            <w:rStyle w:val="Hyperlink"/>
            <w:rFonts w:ascii="Times New Roman" w:hAnsi="Times New Roman"/>
          </w:rPr>
          <w:t>http://georgiatoday.ge/news/16199/A-Chronology-of-Russian-Embargoes-on-Georgia</w:t>
        </w:r>
      </w:hyperlink>
      <w:r w:rsidRPr="00C450AB">
        <w:rPr>
          <w:rFonts w:ascii="Times New Roman" w:hAnsi="Times New Roman"/>
        </w:rPr>
        <w:t>.</w:t>
      </w:r>
    </w:p>
  </w:footnote>
  <w:footnote w:id="304">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Mikheil Kiguradze, “Russia Stops Issuing Visas to Georgian Citizens” (Civil.Ge, February 20, 2006), </w:t>
      </w:r>
      <w:hyperlink r:id="rId65" w:history="1">
        <w:r w:rsidRPr="00C450AB">
          <w:rPr>
            <w:rStyle w:val="Hyperlink"/>
            <w:rFonts w:cs="Times New Roman"/>
          </w:rPr>
          <w:t>https://civil.ge/archives/109932</w:t>
        </w:r>
      </w:hyperlink>
      <w:r w:rsidRPr="00C450AB">
        <w:rPr>
          <w:rFonts w:cs="Times New Roman"/>
        </w:rPr>
        <w:t>.</w:t>
      </w:r>
    </w:p>
  </w:footnote>
  <w:footnote w:id="305">
    <w:p w:rsidR="00952E3B" w:rsidRPr="00C450AB" w:rsidRDefault="00952E3B" w:rsidP="00050BA9">
      <w:pPr>
        <w:pStyle w:val="FootnoteText"/>
        <w:rPr>
          <w:rFonts w:cs="Times New Roman"/>
        </w:rPr>
      </w:pPr>
      <w:r w:rsidRPr="00C450AB">
        <w:rPr>
          <w:rStyle w:val="FootnoteReference"/>
          <w:rFonts w:cs="Times New Roman"/>
        </w:rPr>
        <w:footnoteRef/>
      </w:r>
      <w:r w:rsidRPr="00C450AB">
        <w:rPr>
          <w:rFonts w:cs="Times New Roman"/>
        </w:rPr>
        <w:t xml:space="preserve"> Levan Turmanidze, “Russia Suspends Participation In CFE Treaty” (Radio Free </w:t>
      </w:r>
      <w:proofErr w:type="gramStart"/>
      <w:r w:rsidRPr="00C450AB">
        <w:rPr>
          <w:rFonts w:cs="Times New Roman"/>
        </w:rPr>
        <w:t>Europe ,</w:t>
      </w:r>
      <w:proofErr w:type="gramEnd"/>
      <w:r w:rsidRPr="00C450AB">
        <w:rPr>
          <w:rFonts w:cs="Times New Roman"/>
        </w:rPr>
        <w:t xml:space="preserve"> December 2007), </w:t>
      </w:r>
      <w:hyperlink r:id="rId66" w:history="1">
        <w:r w:rsidRPr="00C450AB">
          <w:rPr>
            <w:rStyle w:val="Hyperlink"/>
            <w:rFonts w:cs="Times New Roman"/>
          </w:rPr>
          <w:t>https://www.rferl.org/a/1079256.html</w:t>
        </w:r>
      </w:hyperlink>
      <w:r w:rsidRPr="00C450AB">
        <w:rPr>
          <w:rFonts w:cs="Times New Roman"/>
        </w:rPr>
        <w:t>.</w:t>
      </w:r>
    </w:p>
  </w:footnote>
  <w:footnote w:id="306">
    <w:p w:rsidR="00952E3B" w:rsidRPr="002748B1" w:rsidRDefault="00952E3B" w:rsidP="00050BA9">
      <w:pPr>
        <w:pStyle w:val="FootnoteText"/>
        <w:rPr>
          <w:rFonts w:cs="Times New Roman"/>
        </w:rPr>
      </w:pPr>
      <w:r w:rsidRPr="002748B1">
        <w:rPr>
          <w:rStyle w:val="FootnoteReference"/>
          <w:rFonts w:cs="Times New Roman"/>
        </w:rPr>
        <w:footnoteRef/>
      </w:r>
      <w:r w:rsidRPr="002748B1">
        <w:rPr>
          <w:rFonts w:cs="Times New Roman"/>
        </w:rPr>
        <w:t xml:space="preserve"> Anil Dawar, “Putin Warns NATO </w:t>
      </w:r>
      <w:proofErr w:type="gramStart"/>
      <w:r w:rsidRPr="002748B1">
        <w:rPr>
          <w:rFonts w:cs="Times New Roman"/>
        </w:rPr>
        <w:t>Over</w:t>
      </w:r>
      <w:proofErr w:type="gramEnd"/>
      <w:r w:rsidRPr="002748B1">
        <w:rPr>
          <w:rFonts w:cs="Times New Roman"/>
        </w:rPr>
        <w:t xml:space="preserve"> Expansion” (The Guardian, April 4, 2008), </w:t>
      </w:r>
      <w:hyperlink r:id="rId67" w:history="1">
        <w:r w:rsidRPr="002748B1">
          <w:rPr>
            <w:rStyle w:val="Hyperlink"/>
            <w:rFonts w:cs="Times New Roman"/>
          </w:rPr>
          <w:t>https://www.theguardian.com/world/2008/apr/04/nato.russia</w:t>
        </w:r>
      </w:hyperlink>
      <w:r w:rsidRPr="002748B1">
        <w:rPr>
          <w:rFonts w:cs="Times New Roman"/>
        </w:rPr>
        <w:t>.</w:t>
      </w:r>
    </w:p>
  </w:footnote>
  <w:footnote w:id="307">
    <w:p w:rsidR="00952E3B" w:rsidRDefault="00952E3B">
      <w:pPr>
        <w:pStyle w:val="FootnoteText"/>
      </w:pPr>
      <w:r>
        <w:rPr>
          <w:rStyle w:val="FootnoteReference"/>
        </w:rPr>
        <w:footnoteRef/>
      </w:r>
      <w:r>
        <w:t xml:space="preserve"> Civil Ge, “Sarkozy on Russo-Georgian War,” October 21, 2008, https://old.civil.ge/eng/article.php?id=19799.</w:t>
      </w:r>
    </w:p>
  </w:footnote>
  <w:footnote w:id="308">
    <w:p w:rsidR="00952E3B" w:rsidRPr="002748B1" w:rsidRDefault="00952E3B">
      <w:pPr>
        <w:pStyle w:val="FootnoteText"/>
        <w:rPr>
          <w:rFonts w:cs="Times New Roman"/>
        </w:rPr>
      </w:pPr>
      <w:r w:rsidRPr="002748B1">
        <w:rPr>
          <w:rStyle w:val="FootnoteReference"/>
          <w:rFonts w:cs="Times New Roman"/>
        </w:rPr>
        <w:footnoteRef/>
      </w:r>
      <w:r w:rsidRPr="002748B1">
        <w:rPr>
          <w:rFonts w:cs="Times New Roman"/>
        </w:rPr>
        <w:t xml:space="preserve"> EU Neighbours East, “Statistics for the Eastern Partnership (STEP),” EU Neighbours (EU Neighbours East, June 2019), </w:t>
      </w:r>
      <w:hyperlink r:id="rId68" w:history="1">
        <w:r w:rsidRPr="002748B1">
          <w:rPr>
            <w:rStyle w:val="Hyperlink"/>
            <w:rFonts w:cs="Times New Roman"/>
          </w:rPr>
          <w:t>https://www.euneighbours.eu/en/east/stay-informed/projects/statistics-eastern-partnership-step</w:t>
        </w:r>
      </w:hyperlink>
      <w:r w:rsidRPr="002748B1">
        <w:rPr>
          <w:rFonts w:cs="Times New Roman"/>
        </w:rPr>
        <w:t>.</w:t>
      </w:r>
    </w:p>
  </w:footnote>
  <w:footnote w:id="309">
    <w:p w:rsidR="00952E3B" w:rsidRPr="002748B1" w:rsidRDefault="00952E3B">
      <w:pPr>
        <w:pStyle w:val="FootnoteText"/>
        <w:rPr>
          <w:rFonts w:cs="Times New Roman"/>
        </w:rPr>
      </w:pPr>
      <w:r w:rsidRPr="002748B1">
        <w:rPr>
          <w:rStyle w:val="FootnoteReference"/>
          <w:rFonts w:cs="Times New Roman"/>
        </w:rPr>
        <w:footnoteRef/>
      </w:r>
      <w:r w:rsidRPr="002748B1">
        <w:rPr>
          <w:rFonts w:cs="Times New Roman"/>
        </w:rPr>
        <w:t xml:space="preserve"> EUR-Lex, “ASSOCIATION AGREEMENT between the European Union and the European Atomic Energy Community and Their Member States, of the One Part, and Georgia, of the Other Part” (Eur-Lex, August 30, 2014), </w:t>
      </w:r>
      <w:hyperlink r:id="rId69" w:history="1">
        <w:r w:rsidRPr="002748B1">
          <w:rPr>
            <w:rStyle w:val="Hyperlink"/>
            <w:rFonts w:cs="Times New Roman"/>
          </w:rPr>
          <w:t>https://eur-lex.europa.eu/legal-content/en/TXT/PDF/?uri=CELEX:22014A0830(02)</w:t>
        </w:r>
      </w:hyperlink>
      <w:r w:rsidRPr="002748B1">
        <w:rPr>
          <w:rFonts w:cs="Times New Roman"/>
        </w:rPr>
        <w:t>.</w:t>
      </w:r>
    </w:p>
  </w:footnote>
  <w:footnote w:id="310">
    <w:p w:rsidR="00952E3B" w:rsidRPr="002748B1" w:rsidRDefault="00952E3B">
      <w:pPr>
        <w:pStyle w:val="FootnoteText"/>
        <w:rPr>
          <w:rFonts w:cs="Times New Roman"/>
        </w:rPr>
      </w:pPr>
      <w:r w:rsidRPr="002748B1">
        <w:rPr>
          <w:rStyle w:val="FootnoteReference"/>
          <w:rFonts w:cs="Times New Roman"/>
        </w:rPr>
        <w:footnoteRef/>
      </w:r>
      <w:r w:rsidRPr="002748B1">
        <w:rPr>
          <w:rFonts w:cs="Times New Roman"/>
        </w:rPr>
        <w:t xml:space="preserve"> Amat Adarov and Peter Havlik, “Benefits and Costs of DCFTA: Evaluation of the Impact on Georgia, Moldova and </w:t>
      </w:r>
      <w:proofErr w:type="gramStart"/>
      <w:r w:rsidRPr="002748B1">
        <w:rPr>
          <w:rFonts w:cs="Times New Roman"/>
        </w:rPr>
        <w:t>Ukraine ”</w:t>
      </w:r>
      <w:proofErr w:type="gramEnd"/>
      <w:r w:rsidRPr="002748B1">
        <w:rPr>
          <w:rFonts w:cs="Times New Roman"/>
        </w:rPr>
        <w:t>(Bertelsmann Stiftung , December 2016), https://wiiw.ac.at/benefits-and-costs-of-dcfta-evaluation-of-the-impact-on-georgia-moldova-and-ukraine-dlp-4111.pdf, 2-3.</w:t>
      </w:r>
    </w:p>
  </w:footnote>
  <w:footnote w:id="311">
    <w:p w:rsidR="00952E3B" w:rsidRPr="002748B1" w:rsidRDefault="00952E3B">
      <w:pPr>
        <w:pStyle w:val="FootnoteText"/>
        <w:rPr>
          <w:rFonts w:cs="Times New Roman"/>
        </w:rPr>
      </w:pPr>
      <w:r w:rsidRPr="002748B1">
        <w:rPr>
          <w:rStyle w:val="FootnoteReference"/>
          <w:rFonts w:cs="Times New Roman"/>
        </w:rPr>
        <w:footnoteRef/>
      </w:r>
      <w:r w:rsidRPr="002748B1">
        <w:rPr>
          <w:rFonts w:cs="Times New Roman"/>
        </w:rPr>
        <w:t xml:space="preserve"> </w:t>
      </w:r>
      <w:r>
        <w:rPr>
          <w:rFonts w:cs="Times New Roman"/>
        </w:rPr>
        <w:t>Ibid.4</w:t>
      </w:r>
    </w:p>
  </w:footnote>
  <w:footnote w:id="312">
    <w:p w:rsidR="00952E3B" w:rsidRDefault="00952E3B">
      <w:pPr>
        <w:pStyle w:val="FootnoteText"/>
      </w:pPr>
      <w:r>
        <w:rPr>
          <w:rStyle w:val="FootnoteReference"/>
        </w:rPr>
        <w:footnoteRef/>
      </w:r>
      <w:r>
        <w:t xml:space="preserve"> </w:t>
      </w:r>
      <w:r w:rsidRPr="007626AC">
        <w:rPr>
          <w:rFonts w:cs="Times New Roman"/>
        </w:rPr>
        <w:t xml:space="preserve">Lavenex, Sandra. (2004). EU external governance in 'wider Europe'. </w:t>
      </w:r>
      <w:r w:rsidRPr="007626AC">
        <w:rPr>
          <w:rFonts w:cs="Times New Roman"/>
          <w:i/>
          <w:iCs/>
        </w:rPr>
        <w:t>Journal of European Public Policy, 11</w:t>
      </w:r>
      <w:r w:rsidRPr="007626AC">
        <w:rPr>
          <w:rFonts w:cs="Times New Roman"/>
        </w:rPr>
        <w:t>(4), 680-700. doi: 10.1080/1350176042000248098,p.683</w:t>
      </w:r>
    </w:p>
  </w:footnote>
  <w:footnote w:id="313">
    <w:p w:rsidR="00952E3B" w:rsidRPr="002748B1" w:rsidRDefault="00952E3B">
      <w:pPr>
        <w:pStyle w:val="FootnoteText"/>
        <w:rPr>
          <w:rFonts w:cs="Times New Roman"/>
        </w:rPr>
      </w:pPr>
      <w:r w:rsidRPr="002748B1">
        <w:rPr>
          <w:rStyle w:val="FootnoteReference"/>
          <w:rFonts w:cs="Times New Roman"/>
        </w:rPr>
        <w:footnoteRef/>
      </w:r>
      <w:r w:rsidRPr="002748B1">
        <w:rPr>
          <w:rFonts w:cs="Times New Roman"/>
        </w:rPr>
        <w:t xml:space="preserve"> European Commission, “European Union, Trade in Goods with Georgia” (European Commission, May 8, 2020), https://webgate.ec.europa.eu/isdb_results/factsheets/country/details_georgia_en.pdf, 3-4.</w:t>
      </w:r>
    </w:p>
  </w:footnote>
  <w:footnote w:id="314">
    <w:p w:rsidR="00952E3B" w:rsidRPr="00514E99" w:rsidRDefault="00952E3B" w:rsidP="00514E99">
      <w:pPr>
        <w:rPr>
          <w:rFonts w:ascii="Times New Roman" w:hAnsi="Times New Roman"/>
          <w:sz w:val="16"/>
          <w:szCs w:val="16"/>
        </w:rPr>
      </w:pPr>
      <w:r w:rsidRPr="002748B1">
        <w:rPr>
          <w:rStyle w:val="FootnoteReference"/>
          <w:rFonts w:ascii="Times New Roman" w:hAnsi="Times New Roman"/>
        </w:rPr>
        <w:footnoteRef/>
      </w:r>
      <w:r w:rsidRPr="002748B1">
        <w:rPr>
          <w:rFonts w:ascii="Times New Roman" w:hAnsi="Times New Roman"/>
        </w:rPr>
        <w:t xml:space="preserve"> </w:t>
      </w:r>
      <w:r>
        <w:rPr>
          <w:rFonts w:ascii="Times New Roman" w:hAnsi="Times New Roman"/>
        </w:rPr>
        <w:t>Ibid.</w:t>
      </w:r>
    </w:p>
  </w:footnote>
  <w:footnote w:id="315">
    <w:p w:rsidR="00952E3B" w:rsidRDefault="00952E3B">
      <w:pPr>
        <w:pStyle w:val="FootnoteText"/>
      </w:pPr>
      <w:r>
        <w:rPr>
          <w:rStyle w:val="FootnoteReference"/>
        </w:rPr>
        <w:footnoteRef/>
      </w:r>
      <w:r>
        <w:t xml:space="preserve"> Nino Kakulia, “Great Expectations: Does the DCFTA Really Boost Georgia’s Economic &amp; Export Potential?” (Georgia Today, July 9, 2018), http://georgiatoday.ge/news/11191/Great-Expectations%3A-Does-the-DCFTA-Really-Boost-Georgia%E2%80%99s-Economic-%26-Export-Potential%3F-.</w:t>
      </w:r>
    </w:p>
  </w:footnote>
  <w:footnote w:id="316">
    <w:p w:rsidR="00952E3B" w:rsidRPr="002748B1" w:rsidRDefault="00952E3B">
      <w:pPr>
        <w:pStyle w:val="FootnoteText"/>
      </w:pPr>
      <w:r w:rsidRPr="002748B1">
        <w:rPr>
          <w:rStyle w:val="FootnoteReference"/>
        </w:rPr>
        <w:footnoteRef/>
      </w:r>
      <w:r w:rsidRPr="002748B1">
        <w:t xml:space="preserve"> </w:t>
      </w:r>
      <w:r>
        <w:rPr>
          <w:rFonts w:cs="Times New Roman"/>
        </w:rPr>
        <w:t>Ibid.8-9</w:t>
      </w:r>
    </w:p>
  </w:footnote>
  <w:footnote w:id="317">
    <w:p w:rsidR="00952E3B" w:rsidRPr="002748B1" w:rsidRDefault="00952E3B">
      <w:pPr>
        <w:pStyle w:val="FootnoteText"/>
      </w:pPr>
      <w:r w:rsidRPr="002748B1">
        <w:rPr>
          <w:rStyle w:val="FootnoteReference"/>
        </w:rPr>
        <w:footnoteRef/>
      </w:r>
      <w:r w:rsidRPr="002748B1">
        <w:t xml:space="preserve"> </w:t>
      </w:r>
      <w:r w:rsidRPr="002748B1">
        <w:rPr>
          <w:rFonts w:cs="Times New Roman"/>
        </w:rPr>
        <w:t xml:space="preserve">Michael Emerson and Tamara Kovziridze, </w:t>
      </w:r>
      <w:r w:rsidRPr="002748B1">
        <w:rPr>
          <w:rFonts w:cs="Times New Roman"/>
          <w:i/>
          <w:iCs/>
        </w:rPr>
        <w:t>Deepening EU-Georgian Relations: What, Why, and How?</w:t>
      </w:r>
      <w:r w:rsidRPr="002748B1">
        <w:rPr>
          <w:rFonts w:cs="Times New Roman"/>
        </w:rPr>
        <w:t xml:space="preserve"> (London: Rowman&amp;Littlefield International, 2018), http://www.dcfta.gov.ge/public/filemanager/publications/Georgia_Hanbook_2nd%20ed.pdf, 17-19.</w:t>
      </w:r>
    </w:p>
  </w:footnote>
  <w:footnote w:id="318">
    <w:p w:rsidR="00952E3B" w:rsidRPr="002748B1" w:rsidRDefault="00952E3B">
      <w:pPr>
        <w:pStyle w:val="FootnoteText"/>
      </w:pPr>
      <w:r w:rsidRPr="002748B1">
        <w:rPr>
          <w:rStyle w:val="FootnoteReference"/>
        </w:rPr>
        <w:footnoteRef/>
      </w:r>
      <w:r w:rsidRPr="002748B1">
        <w:t xml:space="preserve"> </w:t>
      </w:r>
      <w:r w:rsidRPr="002748B1">
        <w:rPr>
          <w:rFonts w:cs="Times New Roman"/>
        </w:rPr>
        <w:t xml:space="preserve">United Nations Development Program in Georgia, “Action Plan of the Parliament of Georgia for the Implementation of the EU-Georgia Association Agreement 2019-2020 Action Plan of the Parliament of Georgia for the Implementation of the EU-Georgia Association Agreement 2019-2020” (UNDP Georgia, April 30, 2019), </w:t>
      </w:r>
      <w:hyperlink r:id="rId70" w:history="1">
        <w:r w:rsidRPr="002748B1">
          <w:rPr>
            <w:rStyle w:val="Hyperlink"/>
            <w:rFonts w:cs="Times New Roman"/>
          </w:rPr>
          <w:t>https://www.ge.undp.org/content/dam/georgia/docs/publications/DG/UNDP_GE_DG_Parliament%20action%20plan%202019-20_implementation%20of%20EU-GEO%20AA_eng.pdf</w:t>
        </w:r>
      </w:hyperlink>
      <w:r w:rsidRPr="002748B1">
        <w:rPr>
          <w:rFonts w:cs="Times New Roman"/>
        </w:rPr>
        <w:t>.</w:t>
      </w:r>
    </w:p>
  </w:footnote>
  <w:footnote w:id="319">
    <w:p w:rsidR="00952E3B" w:rsidRPr="002748B1" w:rsidRDefault="00952E3B">
      <w:pPr>
        <w:pStyle w:val="FootnoteText"/>
      </w:pPr>
      <w:r w:rsidRPr="002748B1">
        <w:rPr>
          <w:rStyle w:val="FootnoteReference"/>
        </w:rPr>
        <w:footnoteRef/>
      </w:r>
      <w:r w:rsidRPr="002748B1">
        <w:t xml:space="preserve"> </w:t>
      </w:r>
      <w:r w:rsidRPr="002748B1">
        <w:rPr>
          <w:rFonts w:cs="Times New Roman"/>
        </w:rPr>
        <w:t xml:space="preserve">Michael Emerson and Tamara Kovziridze, </w:t>
      </w:r>
      <w:r w:rsidRPr="002748B1">
        <w:rPr>
          <w:rFonts w:cs="Times New Roman"/>
          <w:i/>
          <w:iCs/>
        </w:rPr>
        <w:t>Deepening EU-Georgian Relations: What, Why, and How?</w:t>
      </w:r>
      <w:r w:rsidRPr="002748B1">
        <w:rPr>
          <w:rFonts w:cs="Times New Roman"/>
        </w:rPr>
        <w:t xml:space="preserve"> (London: Rowman&amp;Littlefield International, 2018), http://www.dcfta.gov.ge/public/filemanager/publications/Georgia_Hanbook_2nd%20ed.pdf, 17-19.</w:t>
      </w:r>
    </w:p>
  </w:footnote>
  <w:footnote w:id="320">
    <w:p w:rsidR="00952E3B" w:rsidRPr="00430060" w:rsidRDefault="00952E3B">
      <w:pPr>
        <w:pStyle w:val="FootnoteText"/>
        <w:rPr>
          <w:rFonts w:cs="Times New Roman"/>
        </w:rPr>
      </w:pPr>
      <w:r w:rsidRPr="00430060">
        <w:rPr>
          <w:rStyle w:val="FootnoteReference"/>
          <w:rFonts w:cs="Times New Roman"/>
        </w:rPr>
        <w:footnoteRef/>
      </w:r>
      <w:r w:rsidRPr="00430060">
        <w:rPr>
          <w:rFonts w:cs="Times New Roman"/>
        </w:rPr>
        <w:t xml:space="preserve"> </w:t>
      </w:r>
      <w:r>
        <w:rPr>
          <w:rFonts w:cs="Times New Roman"/>
        </w:rPr>
        <w:t>Ibid.18-19</w:t>
      </w:r>
    </w:p>
  </w:footnote>
  <w:footnote w:id="321">
    <w:p w:rsidR="00952E3B" w:rsidRPr="00430060" w:rsidRDefault="00952E3B" w:rsidP="0060591A">
      <w:pPr>
        <w:rPr>
          <w:rFonts w:ascii="Times New Roman" w:hAnsi="Times New Roman"/>
        </w:rPr>
      </w:pPr>
      <w:r w:rsidRPr="00430060">
        <w:rPr>
          <w:rStyle w:val="FootnoteReference"/>
          <w:rFonts w:ascii="Times New Roman" w:hAnsi="Times New Roman"/>
        </w:rPr>
        <w:footnoteRef/>
      </w:r>
      <w:r w:rsidRPr="00430060">
        <w:rPr>
          <w:rFonts w:ascii="Times New Roman" w:hAnsi="Times New Roman"/>
        </w:rPr>
        <w:t xml:space="preserve"> Office of the State Minister of Georgia for Reconciliation and Civic Equality, “A Step to a Better Future - Peace Initiative” (Office of the State Minister of Georgia for Reconciliation and Civic Equality , February 2018), https://smr.gov.ge/uploads/prev/Concept_EN_0eaaac2e.pdf, 4-5.</w:t>
      </w:r>
    </w:p>
  </w:footnote>
  <w:footnote w:id="322">
    <w:p w:rsidR="00952E3B" w:rsidRPr="00430060" w:rsidRDefault="00952E3B">
      <w:pPr>
        <w:pStyle w:val="FootnoteText"/>
        <w:rPr>
          <w:rFonts w:cs="Times New Roman"/>
        </w:rPr>
      </w:pPr>
      <w:r w:rsidRPr="00430060">
        <w:rPr>
          <w:rStyle w:val="FootnoteReference"/>
          <w:rFonts w:cs="Times New Roman"/>
        </w:rPr>
        <w:footnoteRef/>
      </w:r>
      <w:r>
        <w:rPr>
          <w:rFonts w:cs="Times New Roman"/>
        </w:rPr>
        <w:t>Ibid.</w:t>
      </w:r>
    </w:p>
  </w:footnote>
  <w:footnote w:id="323">
    <w:p w:rsidR="00952E3B" w:rsidRDefault="00952E3B">
      <w:pPr>
        <w:pStyle w:val="FootnoteText"/>
      </w:pPr>
      <w:r>
        <w:rPr>
          <w:rStyle w:val="FootnoteReference"/>
        </w:rPr>
        <w:footnoteRef/>
      </w:r>
      <w:r>
        <w:t xml:space="preserve"> Giorgi Chikovani, “Interview with Aslan Bzhania, De-Facto Leader of Abkhazia” (Georgian Journal, March 24, 2020), https://www.georgianjournal.ge/politics/36493-interview-with-aslan-bzhania-de-facto-leader-of-abkhazia.html.</w:t>
      </w:r>
    </w:p>
  </w:footnote>
  <w:footnote w:id="324">
    <w:p w:rsidR="00952E3B" w:rsidRDefault="00952E3B">
      <w:pPr>
        <w:pStyle w:val="FootnoteText"/>
      </w:pPr>
      <w:r>
        <w:rPr>
          <w:rStyle w:val="FootnoteReference"/>
        </w:rPr>
        <w:footnoteRef/>
      </w:r>
      <w:r>
        <w:rPr>
          <w:rStyle w:val="FootnoteReference"/>
        </w:rPr>
        <w:footnoteRef/>
      </w:r>
      <w:r>
        <w:t xml:space="preserve"> </w:t>
      </w:r>
      <w:r w:rsidRPr="007626AC">
        <w:rPr>
          <w:rFonts w:cs="Times New Roman"/>
        </w:rPr>
        <w:t xml:space="preserve">Schimmelfennig, Frank, &amp; Sedelmeier, Ulrich (2004). Governance by conditionality: EU rule transfer to the candidate countries of Central and Eastern Europe. </w:t>
      </w:r>
      <w:r w:rsidRPr="007626AC">
        <w:rPr>
          <w:rFonts w:cs="Times New Roman"/>
          <w:i/>
          <w:iCs/>
        </w:rPr>
        <w:t>Journal of European Public Policy, 11</w:t>
      </w:r>
      <w:r w:rsidRPr="007626AC">
        <w:rPr>
          <w:rFonts w:cs="Times New Roman"/>
        </w:rPr>
        <w:t xml:space="preserve">(4), 661-679. </w:t>
      </w:r>
      <w:proofErr w:type="gramStart"/>
      <w:r w:rsidRPr="007626AC">
        <w:rPr>
          <w:rFonts w:cs="Times New Roman"/>
        </w:rPr>
        <w:t>doi</w:t>
      </w:r>
      <w:proofErr w:type="gramEnd"/>
      <w:r w:rsidRPr="007626AC">
        <w:rPr>
          <w:rFonts w:cs="Times New Roman"/>
        </w:rPr>
        <w:t>: 10</w:t>
      </w:r>
      <w:r>
        <w:rPr>
          <w:rFonts w:cs="Times New Roman"/>
        </w:rPr>
        <w:t>.1080/1350176042000248089,p.665.</w:t>
      </w:r>
    </w:p>
  </w:footnote>
  <w:footnote w:id="325">
    <w:p w:rsidR="00952E3B" w:rsidRDefault="00952E3B">
      <w:pPr>
        <w:pStyle w:val="FootnoteText"/>
      </w:pPr>
      <w:r w:rsidRPr="00430060">
        <w:rPr>
          <w:rStyle w:val="FootnoteReference"/>
          <w:rFonts w:cs="Times New Roman"/>
        </w:rPr>
        <w:footnoteRef/>
      </w:r>
      <w:r w:rsidRPr="00430060">
        <w:rPr>
          <w:rFonts w:cs="Times New Roman"/>
        </w:rPr>
        <w:t xml:space="preserve"> </w:t>
      </w:r>
      <w:r>
        <w:rPr>
          <w:rFonts w:cs="Times New Roman"/>
        </w:rPr>
        <w:t>Eva G</w:t>
      </w:r>
      <w:r w:rsidRPr="00430060">
        <w:rPr>
          <w:rFonts w:cs="Times New Roman"/>
        </w:rPr>
        <w:t xml:space="preserve">ross and Ana E. Juncos, </w:t>
      </w:r>
      <w:r w:rsidRPr="00430060">
        <w:rPr>
          <w:rFonts w:cs="Times New Roman"/>
          <w:i/>
          <w:iCs/>
        </w:rPr>
        <w:t xml:space="preserve">EU Conflict Prevention and Crisis </w:t>
      </w:r>
      <w:proofErr w:type="gramStart"/>
      <w:r w:rsidRPr="00430060">
        <w:rPr>
          <w:rFonts w:cs="Times New Roman"/>
          <w:i/>
          <w:iCs/>
        </w:rPr>
        <w:t>Management :</w:t>
      </w:r>
      <w:proofErr w:type="gramEnd"/>
      <w:r w:rsidRPr="00430060">
        <w:rPr>
          <w:rFonts w:cs="Times New Roman"/>
          <w:i/>
          <w:iCs/>
        </w:rPr>
        <w:t xml:space="preserve"> Roles, Institutions, and Policies</w:t>
      </w:r>
      <w:r w:rsidRPr="00430060">
        <w:rPr>
          <w:rFonts w:cs="Times New Roman"/>
        </w:rPr>
        <w:t xml:space="preserve"> (London: Routledge/UACES Contemporary European Studies, 2011), 139-140.</w:t>
      </w:r>
    </w:p>
  </w:footnote>
  <w:footnote w:id="326">
    <w:p w:rsidR="00952E3B" w:rsidRPr="00430060" w:rsidRDefault="00952E3B">
      <w:pPr>
        <w:pStyle w:val="FootnoteText"/>
      </w:pPr>
      <w:r w:rsidRPr="00430060">
        <w:rPr>
          <w:rStyle w:val="FootnoteReference"/>
        </w:rPr>
        <w:footnoteRef/>
      </w:r>
      <w:r w:rsidRPr="00430060">
        <w:t xml:space="preserve"> </w:t>
      </w:r>
      <w:r>
        <w:rPr>
          <w:rFonts w:cs="Times New Roman"/>
        </w:rPr>
        <w:t>Ibid.140-141</w:t>
      </w:r>
    </w:p>
  </w:footnote>
  <w:footnote w:id="327">
    <w:p w:rsidR="00952E3B" w:rsidRPr="007526AE" w:rsidRDefault="00952E3B">
      <w:pPr>
        <w:pStyle w:val="FootnoteText"/>
      </w:pPr>
      <w:r w:rsidRPr="007526AE">
        <w:rPr>
          <w:rStyle w:val="FootnoteReference"/>
        </w:rPr>
        <w:footnoteRef/>
      </w:r>
      <w:r w:rsidRPr="007526AE">
        <w:t xml:space="preserve"> </w:t>
      </w:r>
      <w:r>
        <w:rPr>
          <w:rFonts w:cs="Times New Roman"/>
        </w:rPr>
        <w:t>Ibid</w:t>
      </w:r>
      <w:r w:rsidRPr="007526AE">
        <w:rPr>
          <w:rFonts w:cs="Times New Roman"/>
        </w:rPr>
        <w:t>.</w:t>
      </w:r>
    </w:p>
  </w:footnote>
  <w:footnote w:id="328">
    <w:p w:rsidR="00952E3B" w:rsidRPr="007526AE" w:rsidRDefault="00952E3B">
      <w:pPr>
        <w:pStyle w:val="FootnoteText"/>
      </w:pPr>
      <w:r w:rsidRPr="007526AE">
        <w:rPr>
          <w:rStyle w:val="FootnoteReference"/>
        </w:rPr>
        <w:footnoteRef/>
      </w:r>
      <w:r w:rsidRPr="007526AE">
        <w:t xml:space="preserve"> </w:t>
      </w:r>
      <w:r w:rsidRPr="007526AE">
        <w:rPr>
          <w:rFonts w:cs="Times New Roman"/>
        </w:rPr>
        <w:t>EUR-Lex, “COUNCIL DECISION 2011/518/CFSP of 25 August 2011 Appointing the European Union Special Representative for the South Caucasus and the Crisis in Georgia” (Journal of the European Union, August 27, 2011).</w:t>
      </w:r>
    </w:p>
  </w:footnote>
  <w:footnote w:id="329">
    <w:p w:rsidR="00952E3B" w:rsidRPr="007526AE" w:rsidRDefault="00952E3B">
      <w:pPr>
        <w:pStyle w:val="FootnoteText"/>
      </w:pPr>
      <w:r w:rsidRPr="007526AE">
        <w:rPr>
          <w:rStyle w:val="FootnoteReference"/>
        </w:rPr>
        <w:footnoteRef/>
      </w:r>
      <w:r w:rsidRPr="007526AE">
        <w:rPr>
          <w:rStyle w:val="FootnoteReference"/>
        </w:rPr>
        <w:footnoteRef/>
      </w:r>
      <w:r w:rsidRPr="007526AE">
        <w:t xml:space="preserve"> </w:t>
      </w:r>
      <w:r w:rsidRPr="007526AE">
        <w:rPr>
          <w:rFonts w:cs="Times New Roman"/>
        </w:rPr>
        <w:t xml:space="preserve">Marcel H. Van Harpen, </w:t>
      </w:r>
      <w:r w:rsidRPr="007526AE">
        <w:rPr>
          <w:rFonts w:cs="Times New Roman"/>
          <w:i/>
          <w:iCs/>
        </w:rPr>
        <w:t>Putin's Propaganda Machine: Soft Power and Russian Foreign Policy</w:t>
      </w:r>
      <w:r w:rsidRPr="007526AE">
        <w:rPr>
          <w:rFonts w:cs="Times New Roman"/>
        </w:rPr>
        <w:t xml:space="preserve"> (London: Rowman&amp;Littlefield International, 2016), 12-13.</w:t>
      </w:r>
    </w:p>
  </w:footnote>
  <w:footnote w:id="330">
    <w:p w:rsidR="00952E3B" w:rsidRDefault="00952E3B">
      <w:pPr>
        <w:pStyle w:val="FootnoteText"/>
      </w:pPr>
      <w:r w:rsidRPr="007526AE">
        <w:rPr>
          <w:rStyle w:val="FootnoteReference"/>
        </w:rPr>
        <w:footnoteRef/>
      </w:r>
      <w:r w:rsidRPr="007526AE">
        <w:t xml:space="preserve"> </w:t>
      </w:r>
      <w:r w:rsidRPr="007526AE">
        <w:rPr>
          <w:rFonts w:cs="Times New Roman"/>
        </w:rPr>
        <w:t xml:space="preserve">The Government of Georgia, “Six Point Peace Plan” (The Government of Georgia, August 12, 2008), </w:t>
      </w:r>
      <w:hyperlink r:id="rId71" w:history="1">
        <w:r w:rsidRPr="007526AE">
          <w:rPr>
            <w:rStyle w:val="Hyperlink"/>
            <w:rFonts w:cs="Times New Roman"/>
          </w:rPr>
          <w:t>https://smr.gov.ge/uploads/prev/9bbbc7.pdf</w:t>
        </w:r>
      </w:hyperlink>
      <w:r w:rsidRPr="007526AE">
        <w:rPr>
          <w:rFonts w:cs="Times New Roman"/>
        </w:rPr>
        <w:t>.</w:t>
      </w:r>
    </w:p>
  </w:footnote>
  <w:footnote w:id="331">
    <w:p w:rsidR="00952E3B" w:rsidRPr="007526AE" w:rsidRDefault="00952E3B">
      <w:pPr>
        <w:pStyle w:val="FootnoteText"/>
      </w:pPr>
      <w:r w:rsidRPr="007526AE">
        <w:rPr>
          <w:rStyle w:val="FootnoteReference"/>
        </w:rPr>
        <w:footnoteRef/>
      </w:r>
      <w:r w:rsidRPr="007526AE">
        <w:t xml:space="preserve"> </w:t>
      </w:r>
      <w:r w:rsidRPr="007526AE">
        <w:rPr>
          <w:rFonts w:cs="Times New Roman"/>
        </w:rPr>
        <w:t xml:space="preserve">Office of the State Minister of Georgia for Reconciliation and Civic Equality, “Geneva International Discussions,” https://smr.gov.ge/en/page/26/geneva-international-discussions, July 2020, </w:t>
      </w:r>
      <w:hyperlink r:id="rId72" w:history="1">
        <w:r w:rsidRPr="007526AE">
          <w:rPr>
            <w:rStyle w:val="Hyperlink"/>
            <w:rFonts w:cs="Times New Roman"/>
          </w:rPr>
          <w:t>https://smr.gov.ge/en/page/26/geneva-international-discussions</w:t>
        </w:r>
      </w:hyperlink>
      <w:r w:rsidRPr="007526AE">
        <w:rPr>
          <w:rFonts w:cs="Times New Roman"/>
        </w:rPr>
        <w:t>.</w:t>
      </w:r>
    </w:p>
  </w:footnote>
  <w:footnote w:id="332">
    <w:p w:rsidR="00952E3B" w:rsidRPr="007526AE" w:rsidRDefault="00952E3B">
      <w:pPr>
        <w:pStyle w:val="FootnoteText"/>
      </w:pPr>
      <w:r w:rsidRPr="007526AE">
        <w:rPr>
          <w:rStyle w:val="FootnoteReference"/>
        </w:rPr>
        <w:footnoteRef/>
      </w:r>
      <w:r w:rsidRPr="007526AE">
        <w:t xml:space="preserve"> </w:t>
      </w:r>
      <w:r w:rsidRPr="007526AE">
        <w:rPr>
          <w:rFonts w:cs="Times New Roman"/>
        </w:rPr>
        <w:t xml:space="preserve">Marcel H. Van Harpen, </w:t>
      </w:r>
      <w:r w:rsidRPr="007526AE">
        <w:rPr>
          <w:rFonts w:cs="Times New Roman"/>
          <w:i/>
          <w:iCs/>
        </w:rPr>
        <w:t>Putin's Propaganda Machine: Soft Power and Russian Foreign Policy</w:t>
      </w:r>
      <w:r w:rsidRPr="007526AE">
        <w:rPr>
          <w:rFonts w:cs="Times New Roman"/>
        </w:rPr>
        <w:t xml:space="preserve"> (London: Rowman&amp;Littlefield International, 2016), 12-13.</w:t>
      </w:r>
    </w:p>
  </w:footnote>
  <w:footnote w:id="333">
    <w:p w:rsidR="00952E3B" w:rsidRPr="007526AE" w:rsidRDefault="00952E3B">
      <w:pPr>
        <w:pStyle w:val="FootnoteText"/>
      </w:pPr>
      <w:r w:rsidRPr="007526AE">
        <w:rPr>
          <w:rStyle w:val="FootnoteReference"/>
        </w:rPr>
        <w:footnoteRef/>
      </w:r>
      <w:r w:rsidRPr="007526AE">
        <w:t xml:space="preserve"> </w:t>
      </w:r>
      <w:r>
        <w:rPr>
          <w:rFonts w:cs="Times New Roman"/>
        </w:rPr>
        <w:t>Ibid.13</w:t>
      </w:r>
    </w:p>
  </w:footnote>
  <w:footnote w:id="334">
    <w:p w:rsidR="00952E3B" w:rsidRPr="007526AE" w:rsidRDefault="00952E3B">
      <w:pPr>
        <w:pStyle w:val="FootnoteText"/>
      </w:pPr>
      <w:r w:rsidRPr="007526AE">
        <w:rPr>
          <w:rStyle w:val="FootnoteReference"/>
        </w:rPr>
        <w:footnoteRef/>
      </w:r>
      <w:r w:rsidRPr="007526AE">
        <w:t xml:space="preserve"> </w:t>
      </w:r>
      <w:r>
        <w:rPr>
          <w:rFonts w:cs="Times New Roman"/>
        </w:rPr>
        <w:t>Ibid</w:t>
      </w:r>
      <w:r w:rsidRPr="007526AE">
        <w:rPr>
          <w:rFonts w:cs="Times New Roman"/>
        </w:rPr>
        <w:t>.</w:t>
      </w:r>
      <w:r>
        <w:rPr>
          <w:rFonts w:cs="Times New Roman"/>
        </w:rPr>
        <w:t>14</w:t>
      </w:r>
    </w:p>
  </w:footnote>
  <w:footnote w:id="335">
    <w:p w:rsidR="00952E3B" w:rsidRPr="007526AE" w:rsidRDefault="00952E3B">
      <w:pPr>
        <w:pStyle w:val="FootnoteText"/>
      </w:pPr>
      <w:r w:rsidRPr="007526AE">
        <w:rPr>
          <w:rStyle w:val="FootnoteReference"/>
        </w:rPr>
        <w:footnoteRef/>
      </w:r>
      <w:r w:rsidRPr="007526AE">
        <w:t xml:space="preserve"> </w:t>
      </w:r>
      <w:r w:rsidRPr="007526AE">
        <w:rPr>
          <w:rFonts w:cs="Times New Roman"/>
        </w:rPr>
        <w:t xml:space="preserve">Eva Gross and Ana E. Juncos, </w:t>
      </w:r>
      <w:r w:rsidRPr="007526AE">
        <w:rPr>
          <w:rFonts w:cs="Times New Roman"/>
          <w:i/>
          <w:iCs/>
        </w:rPr>
        <w:t xml:space="preserve">EU Conflict Prevention and Crisis </w:t>
      </w:r>
      <w:proofErr w:type="gramStart"/>
      <w:r w:rsidRPr="007526AE">
        <w:rPr>
          <w:rFonts w:cs="Times New Roman"/>
          <w:i/>
          <w:iCs/>
        </w:rPr>
        <w:t>Management :</w:t>
      </w:r>
      <w:proofErr w:type="gramEnd"/>
      <w:r w:rsidRPr="007526AE">
        <w:rPr>
          <w:rFonts w:cs="Times New Roman"/>
          <w:i/>
          <w:iCs/>
        </w:rPr>
        <w:t xml:space="preserve"> Roles, Institutions, and Policies</w:t>
      </w:r>
      <w:r w:rsidRPr="007526AE">
        <w:rPr>
          <w:rFonts w:cs="Times New Roman"/>
        </w:rPr>
        <w:t xml:space="preserve"> (London: Routledge/UACES Contemporary European Studies, 2011), 139-140.</w:t>
      </w:r>
    </w:p>
  </w:footnote>
  <w:footnote w:id="336">
    <w:p w:rsidR="00952E3B" w:rsidRPr="007526AE" w:rsidRDefault="00952E3B">
      <w:pPr>
        <w:pStyle w:val="FootnoteText"/>
      </w:pPr>
      <w:r w:rsidRPr="007526AE">
        <w:rPr>
          <w:rStyle w:val="FootnoteReference"/>
        </w:rPr>
        <w:footnoteRef/>
      </w:r>
      <w:r w:rsidRPr="007526AE">
        <w:t xml:space="preserve"> </w:t>
      </w:r>
      <w:r w:rsidRPr="007526AE">
        <w:rPr>
          <w:rFonts w:cs="Times New Roman"/>
        </w:rPr>
        <w:t xml:space="preserve">Jaba Devdariani, “Conflicting Realities in Russia and the EU’s Shared Neighborhood” (Carnegie Europe, March 15, 2018), </w:t>
      </w:r>
      <w:hyperlink r:id="rId73" w:history="1">
        <w:r w:rsidRPr="007526AE">
          <w:rPr>
            <w:rStyle w:val="Hyperlink"/>
            <w:rFonts w:cs="Times New Roman"/>
          </w:rPr>
          <w:t>https://carnegie.ru/commentary/75800</w:t>
        </w:r>
      </w:hyperlink>
      <w:r w:rsidRPr="007526AE">
        <w:rPr>
          <w:rFonts w:cs="Times New Roman"/>
        </w:rPr>
        <w:t>.</w:t>
      </w:r>
    </w:p>
  </w:footnote>
  <w:footnote w:id="337">
    <w:p w:rsidR="00952E3B" w:rsidRPr="007526AE" w:rsidRDefault="00952E3B">
      <w:pPr>
        <w:pStyle w:val="FootnoteText"/>
      </w:pPr>
      <w:r w:rsidRPr="007526AE">
        <w:rPr>
          <w:rStyle w:val="FootnoteReference"/>
        </w:rPr>
        <w:footnoteRef/>
      </w:r>
      <w:r w:rsidRPr="007526AE">
        <w:t xml:space="preserve"> </w:t>
      </w:r>
      <w:r>
        <w:rPr>
          <w:rFonts w:cs="Times New Roman"/>
        </w:rPr>
        <w:t>Ibid.</w:t>
      </w:r>
    </w:p>
  </w:footnote>
  <w:footnote w:id="338">
    <w:p w:rsidR="00952E3B" w:rsidRDefault="00952E3B">
      <w:pPr>
        <w:pStyle w:val="FootnoteText"/>
      </w:pPr>
      <w:r w:rsidRPr="007526AE">
        <w:rPr>
          <w:rStyle w:val="FootnoteReference"/>
        </w:rPr>
        <w:footnoteRef/>
      </w:r>
      <w:r w:rsidRPr="007526AE">
        <w:t xml:space="preserve"> </w:t>
      </w:r>
      <w:r>
        <w:rPr>
          <w:rFonts w:cs="Times New Roman"/>
        </w:rPr>
        <w:t>Ibid.</w:t>
      </w:r>
    </w:p>
  </w:footnote>
  <w:footnote w:id="339">
    <w:p w:rsidR="00952E3B" w:rsidRPr="00B20EE7" w:rsidRDefault="00952E3B">
      <w:pPr>
        <w:pStyle w:val="FootnoteText"/>
      </w:pPr>
      <w:r w:rsidRPr="00B20EE7">
        <w:rPr>
          <w:rStyle w:val="FootnoteReference"/>
        </w:rPr>
        <w:footnoteRef/>
      </w:r>
      <w:r w:rsidRPr="00B20EE7">
        <w:t xml:space="preserve"> </w:t>
      </w:r>
      <w:r w:rsidRPr="00B20EE7">
        <w:rPr>
          <w:rFonts w:cs="Times New Roman"/>
        </w:rPr>
        <w:t xml:space="preserve">Sabine Fischer and Giovanni Grevi, </w:t>
      </w:r>
      <w:r w:rsidRPr="00B20EE7">
        <w:rPr>
          <w:rFonts w:cs="Times New Roman"/>
          <w:i/>
          <w:iCs/>
        </w:rPr>
        <w:t>‘EUMM Georgia’ in European Security and Defence Policy: The First Ten Years 1999-2009,</w:t>
      </w:r>
      <w:r w:rsidRPr="00B20EE7">
        <w:rPr>
          <w:rFonts w:cs="Times New Roman"/>
        </w:rPr>
        <w:t xml:space="preserve"> (Brussels: ISS, 2009), https://www.iss.europa.eu/sites/default/files/EUISSFiles/ESDP_10-web_0.pdf, 383-384.</w:t>
      </w:r>
    </w:p>
  </w:footnote>
  <w:footnote w:id="340">
    <w:p w:rsidR="00952E3B" w:rsidRPr="00B20EE7" w:rsidRDefault="00952E3B">
      <w:pPr>
        <w:pStyle w:val="FootnoteText"/>
      </w:pPr>
      <w:r w:rsidRPr="00B20EE7">
        <w:rPr>
          <w:rStyle w:val="FootnoteReference"/>
        </w:rPr>
        <w:footnoteRef/>
      </w:r>
      <w:r w:rsidRPr="00B20EE7">
        <w:t xml:space="preserve"> </w:t>
      </w:r>
      <w:r>
        <w:rPr>
          <w:rFonts w:cs="Times New Roman"/>
        </w:rPr>
        <w:t>Ibid.384</w:t>
      </w:r>
    </w:p>
  </w:footnote>
  <w:footnote w:id="341">
    <w:p w:rsidR="00952E3B" w:rsidRPr="00B20EE7" w:rsidRDefault="00952E3B">
      <w:pPr>
        <w:pStyle w:val="FootnoteText"/>
      </w:pPr>
      <w:r w:rsidRPr="00B20EE7">
        <w:rPr>
          <w:rStyle w:val="FootnoteReference"/>
        </w:rPr>
        <w:footnoteRef/>
      </w:r>
      <w:r w:rsidRPr="00B20EE7">
        <w:t xml:space="preserve"> </w:t>
      </w:r>
      <w:r w:rsidRPr="00B20EE7">
        <w:rPr>
          <w:rFonts w:cs="Times New Roman"/>
        </w:rPr>
        <w:t xml:space="preserve">Office of the State Minister of Georgia for Reconciliation and Civic Equality, “THE 50TH ROUND OF THE GENEVA INTERNATIONAL DISCUSSIONS WAS HELD ON DECEMBER 10-11” (SMR.Gov.Ge, December 13, 2019), </w:t>
      </w:r>
      <w:hyperlink r:id="rId74" w:history="1">
        <w:r w:rsidRPr="00B20EE7">
          <w:rPr>
            <w:rStyle w:val="Hyperlink"/>
            <w:rFonts w:cs="Times New Roman"/>
          </w:rPr>
          <w:t>https://smr.gov.ge/en/news/read/1764/the-50th-round-of-the-geneva-international-discussions-was-held-on-december-10-11</w:t>
        </w:r>
      </w:hyperlink>
      <w:r w:rsidRPr="00B20EE7">
        <w:rPr>
          <w:rFonts w:cs="Times New Roman"/>
        </w:rPr>
        <w:t>.</w:t>
      </w:r>
    </w:p>
  </w:footnote>
  <w:footnote w:id="342">
    <w:p w:rsidR="00952E3B" w:rsidRPr="00B20EE7" w:rsidRDefault="00952E3B">
      <w:pPr>
        <w:pStyle w:val="FootnoteText"/>
      </w:pPr>
      <w:r w:rsidRPr="00B20EE7">
        <w:rPr>
          <w:rStyle w:val="FootnoteReference"/>
        </w:rPr>
        <w:footnoteRef/>
      </w:r>
      <w:r w:rsidRPr="00B20EE7">
        <w:t xml:space="preserve"> </w:t>
      </w:r>
      <w:r w:rsidRPr="00B20EE7">
        <w:rPr>
          <w:rFonts w:cs="Times New Roman"/>
        </w:rPr>
        <w:t xml:space="preserve">EUR-Lex, “COUNCIL JOINT ACTION 2008/760/CFSP of 25 September 2008 Appointing the European Union Special Representative for the Crisis in Georgia” (Journal of the European Union, September 27, 2008), </w:t>
      </w:r>
      <w:hyperlink r:id="rId75" w:history="1">
        <w:r w:rsidRPr="00B20EE7">
          <w:rPr>
            <w:rStyle w:val="Hyperlink"/>
            <w:rFonts w:cs="Times New Roman"/>
          </w:rPr>
          <w:t>https://eur-lex.europa.eu/LexUriServ/LexUriServ.do?uri=OJ:L:2008:259:0016:0018:EN:PDF</w:t>
        </w:r>
      </w:hyperlink>
      <w:r w:rsidRPr="00B20EE7">
        <w:rPr>
          <w:rFonts w:cs="Times New Roman"/>
        </w:rPr>
        <w:t>.</w:t>
      </w:r>
    </w:p>
  </w:footnote>
  <w:footnote w:id="343">
    <w:p w:rsidR="00952E3B" w:rsidRDefault="00952E3B">
      <w:pPr>
        <w:pStyle w:val="FootnoteText"/>
      </w:pPr>
      <w:r w:rsidRPr="00B20EE7">
        <w:rPr>
          <w:rStyle w:val="FootnoteReference"/>
        </w:rPr>
        <w:footnoteRef/>
      </w:r>
      <w:r w:rsidRPr="00B20EE7">
        <w:t xml:space="preserve"> </w:t>
      </w:r>
      <w:r w:rsidRPr="00B20EE7">
        <w:rPr>
          <w:rFonts w:cs="Times New Roman"/>
        </w:rPr>
        <w:t xml:space="preserve">Michael Merlingen and Rasa Ostrauskaitė, “EU PEACEBUILDING IN GEORGIA: LIMITS AND ACHIEVEMENTS,” </w:t>
      </w:r>
      <w:r w:rsidRPr="00B20EE7">
        <w:rPr>
          <w:rFonts w:cs="Times New Roman"/>
          <w:i/>
          <w:iCs/>
        </w:rPr>
        <w:t>CLEER</w:t>
      </w:r>
      <w:r w:rsidRPr="00B20EE7">
        <w:rPr>
          <w:rFonts w:cs="Times New Roman"/>
        </w:rPr>
        <w:t>, no. 35 (December 2009): pp. 1-32, https://ghum.kuleuven.be/ggs/publications/working_papers/2009/35MerlingenOstrauskaite, 16-18.</w:t>
      </w:r>
    </w:p>
  </w:footnote>
  <w:footnote w:id="344">
    <w:p w:rsidR="00952E3B" w:rsidRPr="00B20EE7" w:rsidRDefault="00952E3B">
      <w:pPr>
        <w:pStyle w:val="FootnoteText"/>
      </w:pPr>
      <w:r w:rsidRPr="00B20EE7">
        <w:rPr>
          <w:rStyle w:val="FootnoteReference"/>
        </w:rPr>
        <w:footnoteRef/>
      </w:r>
      <w:r w:rsidRPr="00B20EE7">
        <w:t xml:space="preserve"> </w:t>
      </w:r>
      <w:r w:rsidRPr="00B20EE7">
        <w:rPr>
          <w:rFonts w:cs="Times New Roman"/>
        </w:rPr>
        <w:t xml:space="preserve">Council of Europe Parliamentary Assembly, “Resolution 1683 (2009) The War between Georgia and Russia: One Year After” (CoE Assembly, September 29, 2009), </w:t>
      </w:r>
      <w:hyperlink r:id="rId76" w:history="1">
        <w:r w:rsidRPr="00B20EE7">
          <w:rPr>
            <w:rStyle w:val="Hyperlink"/>
            <w:rFonts w:cs="Times New Roman"/>
          </w:rPr>
          <w:t>https://assembly.coe.int/nw/xml/XRef/Xref-XML2HTML-en.asp?fileid=17774&amp;lang=en</w:t>
        </w:r>
      </w:hyperlink>
      <w:r w:rsidRPr="00B20EE7">
        <w:rPr>
          <w:rFonts w:cs="Times New Roman"/>
        </w:rPr>
        <w:t>.</w:t>
      </w:r>
    </w:p>
  </w:footnote>
  <w:footnote w:id="345">
    <w:p w:rsidR="00952E3B" w:rsidRPr="00B20EE7" w:rsidRDefault="00952E3B">
      <w:pPr>
        <w:pStyle w:val="FootnoteText"/>
      </w:pPr>
      <w:r w:rsidRPr="00B20EE7">
        <w:rPr>
          <w:rStyle w:val="FootnoteReference"/>
        </w:rPr>
        <w:footnoteRef/>
      </w:r>
      <w:r w:rsidRPr="00B20EE7">
        <w:t xml:space="preserve"> </w:t>
      </w:r>
      <w:r w:rsidRPr="00B20EE7">
        <w:rPr>
          <w:rFonts w:cs="Times New Roman"/>
        </w:rPr>
        <w:t xml:space="preserve">Elene Panchulidze, </w:t>
      </w:r>
      <w:r w:rsidRPr="00B20EE7">
        <w:rPr>
          <w:rFonts w:cs="Times New Roman"/>
          <w:i/>
          <w:iCs/>
        </w:rPr>
        <w:t>Limits of Co-Mediation: The EU’s Effectiveness in the Geneva International Discussions.</w:t>
      </w:r>
      <w:r w:rsidRPr="00B20EE7">
        <w:rPr>
          <w:rFonts w:cs="Times New Roman"/>
        </w:rPr>
        <w:t xml:space="preserve"> (Brug</w:t>
      </w:r>
      <w:r>
        <w:rPr>
          <w:rFonts w:cs="Times New Roman"/>
        </w:rPr>
        <w:t>g</w:t>
      </w:r>
      <w:r w:rsidRPr="00B20EE7">
        <w:rPr>
          <w:rFonts w:cs="Times New Roman"/>
        </w:rPr>
        <w:t>e: College of Europe, 2020), http://aei.pitt.edu/102659/1/edp_3_2020_panchulidze.pdf, 18-20.</w:t>
      </w:r>
    </w:p>
  </w:footnote>
  <w:footnote w:id="346">
    <w:p w:rsidR="00952E3B" w:rsidRPr="00B20EE7" w:rsidRDefault="00952E3B">
      <w:pPr>
        <w:pStyle w:val="FootnoteText"/>
      </w:pPr>
      <w:r w:rsidRPr="00B20EE7">
        <w:rPr>
          <w:rStyle w:val="FootnoteReference"/>
        </w:rPr>
        <w:footnoteRef/>
      </w:r>
      <w:r w:rsidRPr="00B20EE7">
        <w:t xml:space="preserve"> </w:t>
      </w:r>
      <w:r>
        <w:rPr>
          <w:rFonts w:cs="Times New Roman"/>
        </w:rPr>
        <w:t>Ibid.22</w:t>
      </w:r>
    </w:p>
  </w:footnote>
  <w:footnote w:id="347">
    <w:p w:rsidR="00952E3B" w:rsidRPr="00B20EE7" w:rsidRDefault="00952E3B">
      <w:pPr>
        <w:pStyle w:val="FootnoteText"/>
      </w:pPr>
      <w:r w:rsidRPr="00B20EE7">
        <w:rPr>
          <w:rStyle w:val="FootnoteReference"/>
        </w:rPr>
        <w:footnoteRef/>
      </w:r>
      <w:r w:rsidRPr="00B20EE7">
        <w:t xml:space="preserve"> </w:t>
      </w:r>
      <w:r w:rsidRPr="00B20EE7">
        <w:rPr>
          <w:rFonts w:cs="Times New Roman"/>
        </w:rPr>
        <w:t xml:space="preserve">Licina Simao and Remi Piet, </w:t>
      </w:r>
      <w:r w:rsidRPr="00B20EE7">
        <w:rPr>
          <w:rFonts w:cs="Times New Roman"/>
          <w:i/>
          <w:iCs/>
        </w:rPr>
        <w:t>Security in Shared Neighbourhoods Foreign Policy of Russia, Turkey and the EU</w:t>
      </w:r>
      <w:r w:rsidRPr="00B20EE7">
        <w:rPr>
          <w:rFonts w:cs="Times New Roman"/>
        </w:rPr>
        <w:t xml:space="preserve"> (New York: Palgreve Macmillan, 2016), 107-108.</w:t>
      </w:r>
    </w:p>
  </w:footnote>
  <w:footnote w:id="348">
    <w:p w:rsidR="00952E3B" w:rsidRPr="00196238" w:rsidRDefault="00952E3B">
      <w:pPr>
        <w:pStyle w:val="FootnoteText"/>
        <w:rPr>
          <w:rFonts w:cs="Times New Roman"/>
        </w:rPr>
      </w:pPr>
      <w:r w:rsidRPr="00196238">
        <w:rPr>
          <w:rStyle w:val="FootnoteReference"/>
          <w:rFonts w:cs="Times New Roman"/>
        </w:rPr>
        <w:footnoteRef/>
      </w:r>
      <w:r w:rsidRPr="00196238">
        <w:rPr>
          <w:rFonts w:cs="Times New Roman"/>
        </w:rPr>
        <w:t xml:space="preserve"> </w:t>
      </w:r>
      <w:r>
        <w:rPr>
          <w:rFonts w:cs="Times New Roman"/>
        </w:rPr>
        <w:t>Ibid.107-108</w:t>
      </w:r>
    </w:p>
  </w:footnote>
  <w:footnote w:id="349">
    <w:p w:rsidR="00952E3B" w:rsidRPr="00196238" w:rsidRDefault="00952E3B">
      <w:pPr>
        <w:pStyle w:val="FootnoteText"/>
        <w:rPr>
          <w:rFonts w:cs="Times New Roman"/>
        </w:rPr>
      </w:pPr>
      <w:r w:rsidRPr="00196238">
        <w:rPr>
          <w:rStyle w:val="FootnoteReference"/>
          <w:rFonts w:cs="Times New Roman"/>
        </w:rPr>
        <w:footnoteRef/>
      </w:r>
      <w:r w:rsidRPr="00196238">
        <w:rPr>
          <w:rFonts w:cs="Times New Roman"/>
        </w:rPr>
        <w:t xml:space="preserve"> Michael Merlingen and Rasa Ostrauskaitė, “EU PEACEBUILDING IN GEORGIA: LIMITS AND ACHIEVEMENTS,” </w:t>
      </w:r>
      <w:r w:rsidRPr="00196238">
        <w:rPr>
          <w:rFonts w:cs="Times New Roman"/>
          <w:i/>
          <w:iCs/>
        </w:rPr>
        <w:t>CLEER</w:t>
      </w:r>
      <w:r w:rsidRPr="00196238">
        <w:rPr>
          <w:rFonts w:cs="Times New Roman"/>
        </w:rPr>
        <w:t>, no. 35 (December 2009): pp. 1-32, 22-24. https://ghum.kuleuven.be/ggs/publications/working_papers/2009/35MerlingenOstrauskaite, 16-18.</w:t>
      </w:r>
    </w:p>
  </w:footnote>
  <w:footnote w:id="350">
    <w:p w:rsidR="00952E3B" w:rsidRPr="00196238" w:rsidRDefault="00952E3B">
      <w:pPr>
        <w:pStyle w:val="FootnoteText"/>
        <w:rPr>
          <w:rFonts w:cs="Times New Roman"/>
        </w:rPr>
      </w:pPr>
      <w:r w:rsidRPr="00196238">
        <w:rPr>
          <w:rStyle w:val="FootnoteReference"/>
          <w:rFonts w:cs="Times New Roman"/>
        </w:rPr>
        <w:footnoteRef/>
      </w:r>
      <w:r w:rsidRPr="00196238">
        <w:rPr>
          <w:rFonts w:cs="Times New Roman"/>
        </w:rPr>
        <w:t xml:space="preserve"> Licina Simao and Remi Piet, </w:t>
      </w:r>
      <w:r w:rsidRPr="00196238">
        <w:rPr>
          <w:rFonts w:cs="Times New Roman"/>
          <w:i/>
          <w:iCs/>
        </w:rPr>
        <w:t>Security in Shared Neighbourhoods Foreign Policy of Russia, Turkey and the EU</w:t>
      </w:r>
      <w:r w:rsidRPr="00196238">
        <w:rPr>
          <w:rFonts w:cs="Times New Roman"/>
        </w:rPr>
        <w:t xml:space="preserve"> (New York: Palgreve Macmillan, 2016), 110.</w:t>
      </w:r>
    </w:p>
  </w:footnote>
  <w:footnote w:id="351">
    <w:p w:rsidR="00952E3B" w:rsidRPr="00196238" w:rsidRDefault="00952E3B" w:rsidP="00196238">
      <w:pPr>
        <w:rPr>
          <w:rFonts w:ascii="Times New Roman" w:hAnsi="Times New Roman"/>
        </w:rPr>
      </w:pPr>
      <w:r w:rsidRPr="00196238">
        <w:rPr>
          <w:rStyle w:val="FootnoteReference"/>
          <w:rFonts w:ascii="Times New Roman" w:hAnsi="Times New Roman"/>
        </w:rPr>
        <w:footnoteRef/>
      </w:r>
      <w:r w:rsidRPr="00196238">
        <w:rPr>
          <w:rFonts w:ascii="Times New Roman" w:hAnsi="Times New Roman"/>
        </w:rPr>
        <w:t xml:space="preserve"> </w:t>
      </w:r>
      <w:r>
        <w:rPr>
          <w:rFonts w:ascii="Times New Roman" w:hAnsi="Times New Roman"/>
        </w:rPr>
        <w:t>Ibid.109</w:t>
      </w:r>
    </w:p>
  </w:footnote>
  <w:footnote w:id="352">
    <w:p w:rsidR="00952E3B" w:rsidRPr="00196238" w:rsidRDefault="00952E3B" w:rsidP="00196238">
      <w:pPr>
        <w:rPr>
          <w:rFonts w:ascii="Times New Roman" w:hAnsi="Times New Roman"/>
        </w:rPr>
      </w:pPr>
      <w:r w:rsidRPr="00196238">
        <w:rPr>
          <w:rStyle w:val="FootnoteReference"/>
          <w:rFonts w:ascii="Times New Roman" w:hAnsi="Times New Roman"/>
        </w:rPr>
        <w:footnoteRef/>
      </w:r>
      <w:r w:rsidRPr="00196238">
        <w:rPr>
          <w:rFonts w:ascii="Times New Roman" w:hAnsi="Times New Roman"/>
        </w:rPr>
        <w:t xml:space="preserve"> </w:t>
      </w:r>
      <w:r>
        <w:rPr>
          <w:rFonts w:ascii="Times New Roman" w:hAnsi="Times New Roman"/>
        </w:rPr>
        <w:t>Ibid.</w:t>
      </w:r>
    </w:p>
  </w:footnote>
  <w:footnote w:id="353">
    <w:p w:rsidR="00952E3B" w:rsidRDefault="00952E3B">
      <w:pPr>
        <w:pStyle w:val="FootnoteText"/>
      </w:pPr>
      <w:r>
        <w:rPr>
          <w:rStyle w:val="FootnoteReference"/>
        </w:rPr>
        <w:footnoteRef/>
      </w:r>
      <w:r>
        <w:t xml:space="preserve"> </w:t>
      </w:r>
      <w:r w:rsidRPr="007626AC">
        <w:rPr>
          <w:rFonts w:cs="Times New Roman"/>
        </w:rPr>
        <w:t xml:space="preserve">Rosamond, Ben. (2009). New Theories of European Integration. In M. B. Cini, Nieves Pérez-Solórzano (Ed.), </w:t>
      </w:r>
      <w:r w:rsidRPr="007626AC">
        <w:rPr>
          <w:rFonts w:cs="Times New Roman"/>
          <w:i/>
          <w:iCs/>
        </w:rPr>
        <w:t xml:space="preserve">European Union Politics </w:t>
      </w:r>
      <w:r w:rsidRPr="007626AC">
        <w:rPr>
          <w:rFonts w:cs="Times New Roman"/>
        </w:rPr>
        <w:t>(3rd ed., pp. 104-122). New York: Oxford Univesity Press.</w:t>
      </w:r>
      <w:proofErr w:type="gramStart"/>
      <w:r w:rsidRPr="007626AC">
        <w:rPr>
          <w:rFonts w:cs="Times New Roman"/>
        </w:rPr>
        <w:t>,p.108</w:t>
      </w:r>
      <w:proofErr w:type="gramEnd"/>
      <w:r w:rsidRPr="007626AC">
        <w:rPr>
          <w:rFonts w:cs="Times New Roman"/>
        </w:rPr>
        <w:t>.</w:t>
      </w:r>
    </w:p>
  </w:footnote>
  <w:footnote w:id="354">
    <w:p w:rsidR="00952E3B" w:rsidRPr="00196238" w:rsidRDefault="00952E3B">
      <w:pPr>
        <w:pStyle w:val="FootnoteText"/>
        <w:rPr>
          <w:rFonts w:cs="Times New Roman"/>
        </w:rPr>
      </w:pPr>
      <w:r w:rsidRPr="00196238">
        <w:rPr>
          <w:rStyle w:val="FootnoteReference"/>
          <w:rFonts w:cs="Times New Roman"/>
        </w:rPr>
        <w:footnoteRef/>
      </w:r>
      <w:r w:rsidRPr="00196238">
        <w:rPr>
          <w:rFonts w:cs="Times New Roman"/>
        </w:rPr>
        <w:t xml:space="preserve"> </w:t>
      </w:r>
      <w:r>
        <w:rPr>
          <w:rFonts w:cs="Times New Roman"/>
        </w:rPr>
        <w:t>Ibid.</w:t>
      </w:r>
    </w:p>
  </w:footnote>
  <w:footnote w:id="355">
    <w:p w:rsidR="00952E3B" w:rsidRPr="00196238" w:rsidRDefault="00952E3B" w:rsidP="00196238">
      <w:pPr>
        <w:rPr>
          <w:rFonts w:ascii="Times New Roman" w:hAnsi="Times New Roman"/>
        </w:rPr>
      </w:pPr>
      <w:r w:rsidRPr="00196238">
        <w:rPr>
          <w:rStyle w:val="FootnoteReference"/>
          <w:rFonts w:ascii="Times New Roman" w:hAnsi="Times New Roman"/>
        </w:rPr>
        <w:footnoteRef/>
      </w:r>
      <w:r w:rsidRPr="00196238">
        <w:rPr>
          <w:rFonts w:ascii="Times New Roman" w:hAnsi="Times New Roman"/>
        </w:rPr>
        <w:t xml:space="preserve"> Jim Nichol, “Russia-Georgia Conflict in August 2008: Context and Implications for the U.S. Interests” (Congressional Research Service, March 3, 2009), https://fas.org/</w:t>
      </w:r>
      <w:r>
        <w:rPr>
          <w:rFonts w:ascii="Times New Roman" w:hAnsi="Times New Roman"/>
        </w:rPr>
        <w:t>sgp/crs/row/RL34618.pdf, 18-19.</w:t>
      </w:r>
    </w:p>
  </w:footnote>
  <w:footnote w:id="356">
    <w:p w:rsidR="00952E3B" w:rsidRDefault="00952E3B">
      <w:pPr>
        <w:pStyle w:val="FootnoteText"/>
      </w:pPr>
      <w:r>
        <w:rPr>
          <w:rStyle w:val="FootnoteReference"/>
        </w:rPr>
        <w:footnoteRef/>
      </w:r>
      <w:r>
        <w:t xml:space="preserve"> </w:t>
      </w:r>
      <w:r>
        <w:rPr>
          <w:rFonts w:cs="Times New Roman"/>
        </w:rPr>
        <w:t>Ibid.20</w:t>
      </w:r>
    </w:p>
  </w:footnote>
  <w:footnote w:id="357">
    <w:p w:rsidR="00952E3B" w:rsidRDefault="00952E3B">
      <w:pPr>
        <w:pStyle w:val="FootnoteText"/>
      </w:pPr>
      <w:r>
        <w:rPr>
          <w:rStyle w:val="FootnoteReference"/>
        </w:rPr>
        <w:footnoteRef/>
      </w:r>
      <w:r>
        <w:t xml:space="preserve"> European Parliament, “PC.DEL/126/11 / Statement by the EUSR for the South Caucasus Peter Semneby OSCE Permanent Council, </w:t>
      </w:r>
      <w:proofErr w:type="gramStart"/>
      <w:r>
        <w:t>Vienna ”</w:t>
      </w:r>
      <w:proofErr w:type="gramEnd"/>
      <w:r>
        <w:t>(European Parliament, February 10, 2011), https://www.europarl.europa.eu/meetdocs/2009_2014/documents/dsca/dv/dsca_20110315_10/dsca_20110315_10en.pdf.</w:t>
      </w:r>
    </w:p>
  </w:footnote>
  <w:footnote w:id="358">
    <w:p w:rsidR="00952E3B" w:rsidRPr="00461C85" w:rsidRDefault="00952E3B">
      <w:pPr>
        <w:pStyle w:val="FootnoteText"/>
        <w:rPr>
          <w:rFonts w:cs="Times New Roman"/>
        </w:rPr>
      </w:pPr>
      <w:r w:rsidRPr="00461C85">
        <w:rPr>
          <w:rStyle w:val="FootnoteReference"/>
          <w:rFonts w:cs="Times New Roman"/>
        </w:rPr>
        <w:footnoteRef/>
      </w:r>
      <w:r w:rsidRPr="00461C85">
        <w:rPr>
          <w:rFonts w:cs="Times New Roman"/>
        </w:rPr>
        <w:t xml:space="preserve"> Thomas De Waal, “Enhancing the EU’s Engagement With Separatist Territories” (Carnegie Europe, January 17, 2017)</w:t>
      </w:r>
      <w:proofErr w:type="gramStart"/>
      <w:r w:rsidRPr="00461C85">
        <w:rPr>
          <w:rFonts w:cs="Times New Roman"/>
        </w:rPr>
        <w:t>,3</w:t>
      </w:r>
      <w:proofErr w:type="gramEnd"/>
      <w:r w:rsidRPr="00461C85">
        <w:rPr>
          <w:rFonts w:cs="Times New Roman"/>
        </w:rPr>
        <w:t xml:space="preserve">. </w:t>
      </w:r>
      <w:hyperlink r:id="rId77" w:history="1">
        <w:r w:rsidRPr="00461C85">
          <w:rPr>
            <w:rStyle w:val="Hyperlink"/>
            <w:rFonts w:cs="Times New Roman"/>
          </w:rPr>
          <w:t>https://carnegieendowment.org/files/DeWaal_EU_Engagement_with_Seperatist_Territories.pdf</w:t>
        </w:r>
      </w:hyperlink>
      <w:r w:rsidRPr="00461C85">
        <w:rPr>
          <w:rFonts w:cs="Times New Roman"/>
        </w:rPr>
        <w:t>.</w:t>
      </w:r>
    </w:p>
  </w:footnote>
  <w:footnote w:id="359">
    <w:p w:rsidR="00952E3B" w:rsidRPr="00461C85" w:rsidRDefault="00952E3B" w:rsidP="00461C85">
      <w:pPr>
        <w:rPr>
          <w:rFonts w:ascii="Times New Roman" w:hAnsi="Times New Roman"/>
        </w:rPr>
      </w:pPr>
      <w:r w:rsidRPr="00461C85">
        <w:rPr>
          <w:rStyle w:val="FootnoteReference"/>
          <w:rFonts w:ascii="Times New Roman" w:hAnsi="Times New Roman"/>
        </w:rPr>
        <w:footnoteRef/>
      </w:r>
      <w:r w:rsidRPr="00461C85">
        <w:rPr>
          <w:rFonts w:ascii="Times New Roman" w:hAnsi="Times New Roman"/>
        </w:rPr>
        <w:t xml:space="preserve"> Ibid.4</w:t>
      </w:r>
    </w:p>
  </w:footnote>
  <w:footnote w:id="360">
    <w:p w:rsidR="00952E3B" w:rsidRPr="00461C85" w:rsidRDefault="00952E3B">
      <w:pPr>
        <w:pStyle w:val="FootnoteText"/>
        <w:rPr>
          <w:rFonts w:cs="Times New Roman"/>
        </w:rPr>
      </w:pPr>
      <w:r w:rsidRPr="00461C85">
        <w:rPr>
          <w:rStyle w:val="FootnoteReference"/>
          <w:rFonts w:cs="Times New Roman"/>
        </w:rPr>
        <w:footnoteRef/>
      </w:r>
      <w:r w:rsidRPr="00461C85">
        <w:rPr>
          <w:rFonts w:cs="Times New Roman"/>
        </w:rPr>
        <w:t xml:space="preserve"> Ibid.</w:t>
      </w:r>
    </w:p>
  </w:footnote>
  <w:footnote w:id="361">
    <w:p w:rsidR="00952E3B" w:rsidRPr="00461C85" w:rsidRDefault="00952E3B">
      <w:pPr>
        <w:pStyle w:val="FootnoteText"/>
        <w:rPr>
          <w:rFonts w:cs="Times New Roman"/>
        </w:rPr>
      </w:pPr>
      <w:r w:rsidRPr="00461C85">
        <w:rPr>
          <w:rStyle w:val="FootnoteReference"/>
          <w:rFonts w:cs="Times New Roman"/>
        </w:rPr>
        <w:footnoteRef/>
      </w:r>
      <w:r w:rsidRPr="00461C85">
        <w:rPr>
          <w:rFonts w:cs="Times New Roman"/>
        </w:rPr>
        <w:t xml:space="preserve"> European External Action Service, “EU-Georgia Relations - Factsheet” </w:t>
      </w:r>
      <w:proofErr w:type="gramStart"/>
      <w:r w:rsidRPr="00461C85">
        <w:rPr>
          <w:rFonts w:cs="Times New Roman"/>
        </w:rPr>
        <w:t>( June</w:t>
      </w:r>
      <w:proofErr w:type="gramEnd"/>
      <w:r w:rsidRPr="00461C85">
        <w:rPr>
          <w:rFonts w:cs="Times New Roman"/>
        </w:rPr>
        <w:t xml:space="preserve"> 10, 2020), https://eeas.europa.eu/sites/eeas/files/eap_factsheet_georgia_en.pdf, 2.</w:t>
      </w:r>
    </w:p>
  </w:footnote>
  <w:footnote w:id="362">
    <w:p w:rsidR="00952E3B" w:rsidRPr="00461C85" w:rsidRDefault="00952E3B">
      <w:pPr>
        <w:pStyle w:val="FootnoteText"/>
        <w:rPr>
          <w:rFonts w:cs="Times New Roman"/>
        </w:rPr>
      </w:pPr>
      <w:r w:rsidRPr="00461C85">
        <w:rPr>
          <w:rStyle w:val="FootnoteReference"/>
          <w:rFonts w:cs="Times New Roman"/>
        </w:rPr>
        <w:footnoteRef/>
      </w:r>
      <w:r w:rsidRPr="00461C85">
        <w:rPr>
          <w:rFonts w:cs="Times New Roman"/>
        </w:rPr>
        <w:t xml:space="preserve"> Thomas De Waal, “Enhancing the EU’s Engagement With Separatist Territories” (Carnegie Europe, January 17, 2017)</w:t>
      </w:r>
      <w:proofErr w:type="gramStart"/>
      <w:r w:rsidRPr="00461C85">
        <w:rPr>
          <w:rFonts w:cs="Times New Roman"/>
        </w:rPr>
        <w:t>,5</w:t>
      </w:r>
      <w:proofErr w:type="gramEnd"/>
      <w:r w:rsidRPr="00461C85">
        <w:rPr>
          <w:rFonts w:cs="Times New Roman"/>
        </w:rPr>
        <w:t xml:space="preserve">. </w:t>
      </w:r>
      <w:hyperlink r:id="rId78" w:history="1">
        <w:r w:rsidRPr="00461C85">
          <w:rPr>
            <w:rStyle w:val="Hyperlink"/>
            <w:rFonts w:cs="Times New Roman"/>
          </w:rPr>
          <w:t>https://carnegieendowment.org/files/DeWaal_EU_Engagement_with_Seperatist_Territories.pdf</w:t>
        </w:r>
      </w:hyperlink>
      <w:r w:rsidRPr="00461C85">
        <w:rPr>
          <w:rFonts w:cs="Times New Roman"/>
        </w:rPr>
        <w:t>.</w:t>
      </w:r>
    </w:p>
  </w:footnote>
  <w:footnote w:id="363">
    <w:p w:rsidR="00952E3B" w:rsidRPr="00461C85" w:rsidRDefault="00952E3B" w:rsidP="000E6247">
      <w:pPr>
        <w:rPr>
          <w:rFonts w:ascii="Times New Roman" w:hAnsi="Times New Roman"/>
        </w:rPr>
      </w:pPr>
      <w:r w:rsidRPr="00461C85">
        <w:rPr>
          <w:rStyle w:val="FootnoteReference"/>
          <w:rFonts w:ascii="Times New Roman" w:hAnsi="Times New Roman"/>
        </w:rPr>
        <w:footnoteRef/>
      </w:r>
      <w:r w:rsidRPr="00461C85">
        <w:rPr>
          <w:rFonts w:ascii="Times New Roman" w:hAnsi="Times New Roman"/>
        </w:rPr>
        <w:t xml:space="preserve"> Ibid.6</w:t>
      </w:r>
    </w:p>
  </w:footnote>
  <w:footnote w:id="364">
    <w:p w:rsidR="00952E3B" w:rsidRPr="00FE1072" w:rsidRDefault="00952E3B" w:rsidP="00FE1072">
      <w:pPr>
        <w:rPr>
          <w:rFonts w:ascii="Times New Roman" w:hAnsi="Times New Roman"/>
          <w:sz w:val="16"/>
          <w:szCs w:val="16"/>
        </w:rPr>
      </w:pPr>
      <w:r w:rsidRPr="00461C85">
        <w:rPr>
          <w:rStyle w:val="FootnoteReference"/>
          <w:rFonts w:ascii="Times New Roman" w:hAnsi="Times New Roman"/>
        </w:rPr>
        <w:footnoteRef/>
      </w:r>
      <w:r w:rsidRPr="00461C85">
        <w:rPr>
          <w:rFonts w:ascii="Times New Roman" w:hAnsi="Times New Roman"/>
        </w:rPr>
        <w:t xml:space="preserve"> Office of the State Minister of Georgia for Reconciliation and Civic Equality, “A Step to a Better Future - Peace Initiative” (Office of the State Minister of Georgia for Reconciliation and Civic Equality , February 2018), https://smr.gov.ge/uploads/prev/Concept_EN_0eaaac2e.pdf, 38.</w:t>
      </w:r>
    </w:p>
  </w:footnote>
  <w:footnote w:id="365">
    <w:p w:rsidR="00952E3B" w:rsidRPr="00503890" w:rsidRDefault="00952E3B">
      <w:pPr>
        <w:pStyle w:val="FootnoteText"/>
      </w:pPr>
      <w:r w:rsidRPr="00503890">
        <w:rPr>
          <w:rStyle w:val="FootnoteReference"/>
        </w:rPr>
        <w:footnoteRef/>
      </w:r>
      <w:r w:rsidRPr="00503890">
        <w:t xml:space="preserve"> </w:t>
      </w:r>
      <w:r>
        <w:rPr>
          <w:rFonts w:cs="Times New Roman"/>
        </w:rPr>
        <w:t>Ibid.39</w:t>
      </w:r>
    </w:p>
  </w:footnote>
  <w:footnote w:id="366">
    <w:p w:rsidR="00952E3B" w:rsidRPr="00503890" w:rsidRDefault="00952E3B">
      <w:pPr>
        <w:pStyle w:val="FootnoteText"/>
      </w:pPr>
      <w:r w:rsidRPr="00503890">
        <w:rPr>
          <w:rStyle w:val="FootnoteReference"/>
        </w:rPr>
        <w:footnoteRef/>
      </w:r>
      <w:r w:rsidRPr="00503890">
        <w:t xml:space="preserve"> </w:t>
      </w:r>
      <w:r w:rsidRPr="00503890">
        <w:rPr>
          <w:rFonts w:cs="Times New Roman"/>
        </w:rPr>
        <w:t>Asida Shakryl, “Perceptions of the EU in Abkhazia and Prospects for the EU–Abkhazia Engagement” (Coincilation Resources, August 2012), https://rc-services-assets.s3.eu-west-1.amazonaws.com/s3fs-public/PPP_2012analysis1_EN_0.pdf, 4-5.</w:t>
      </w:r>
    </w:p>
  </w:footnote>
  <w:footnote w:id="367">
    <w:p w:rsidR="00952E3B" w:rsidRDefault="00952E3B">
      <w:pPr>
        <w:pStyle w:val="FootnoteText"/>
      </w:pPr>
      <w:r w:rsidRPr="00503890">
        <w:rPr>
          <w:rStyle w:val="FootnoteReference"/>
        </w:rPr>
        <w:footnoteRef/>
      </w:r>
      <w:r w:rsidRPr="00503890">
        <w:t xml:space="preserve"> </w:t>
      </w:r>
      <w:r w:rsidRPr="00503890">
        <w:rPr>
          <w:rFonts w:cs="Times New Roman"/>
        </w:rPr>
        <w:t xml:space="preserve">The Kremlin, “Russian Presidential Decree 1260 and 1261 on Recognition of Abkhazia and South Ossetia” (Wikimedia, August 26, 2008), </w:t>
      </w:r>
      <w:hyperlink r:id="rId79" w:history="1">
        <w:r w:rsidRPr="00503890">
          <w:rPr>
            <w:rStyle w:val="Hyperlink"/>
            <w:rFonts w:cs="Times New Roman"/>
          </w:rPr>
          <w:t>https://commons.wikimedia.org/wiki/File:Decree_recognising_Abkhazian_independence.png</w:t>
        </w:r>
      </w:hyperlink>
      <w:r w:rsidRPr="00503890">
        <w:rPr>
          <w:rFonts w:cs="Times New Roman"/>
        </w:rPr>
        <w:t>.</w:t>
      </w:r>
    </w:p>
  </w:footnote>
  <w:footnote w:id="368">
    <w:p w:rsidR="00952E3B" w:rsidRPr="00503890" w:rsidRDefault="00952E3B">
      <w:pPr>
        <w:pStyle w:val="FootnoteText"/>
      </w:pPr>
      <w:r w:rsidRPr="00503890">
        <w:rPr>
          <w:rStyle w:val="FootnoteReference"/>
        </w:rPr>
        <w:footnoteRef/>
      </w:r>
      <w:r w:rsidRPr="00503890">
        <w:t xml:space="preserve"> </w:t>
      </w:r>
      <w:r w:rsidRPr="00503890">
        <w:rPr>
          <w:rFonts w:cs="Times New Roman"/>
        </w:rPr>
        <w:t xml:space="preserve">Russian Federal Agency for CIS Affairs, “Support for Compatriots Abroad” (Russian Federal Agency for CIS </w:t>
      </w:r>
      <w:proofErr w:type="gramStart"/>
      <w:r w:rsidRPr="00503890">
        <w:rPr>
          <w:rFonts w:cs="Times New Roman"/>
        </w:rPr>
        <w:t>Affairs ,</w:t>
      </w:r>
      <w:proofErr w:type="gramEnd"/>
      <w:r w:rsidRPr="00503890">
        <w:rPr>
          <w:rFonts w:cs="Times New Roman"/>
        </w:rPr>
        <w:t xml:space="preserve"> June 2020), </w:t>
      </w:r>
      <w:hyperlink r:id="rId80" w:history="1">
        <w:r w:rsidRPr="00503890">
          <w:rPr>
            <w:rStyle w:val="Hyperlink"/>
            <w:rFonts w:cs="Times New Roman"/>
          </w:rPr>
          <w:t>http://rs.gov.ru/en/activities/5</w:t>
        </w:r>
      </w:hyperlink>
      <w:r w:rsidRPr="00503890">
        <w:rPr>
          <w:rFonts w:cs="Times New Roman"/>
        </w:rPr>
        <w:t>.</w:t>
      </w:r>
    </w:p>
  </w:footnote>
  <w:footnote w:id="369">
    <w:p w:rsidR="00952E3B" w:rsidRPr="00503890" w:rsidRDefault="00952E3B">
      <w:pPr>
        <w:pStyle w:val="FootnoteText"/>
      </w:pPr>
      <w:r w:rsidRPr="00503890">
        <w:rPr>
          <w:rStyle w:val="FootnoteReference"/>
        </w:rPr>
        <w:footnoteRef/>
      </w:r>
      <w:r w:rsidRPr="00503890">
        <w:rPr>
          <w:rStyle w:val="FootnoteReference"/>
        </w:rPr>
        <w:footnoteRef/>
      </w:r>
      <w:r w:rsidRPr="00503890">
        <w:t xml:space="preserve"> </w:t>
      </w:r>
      <w:r w:rsidRPr="00503890">
        <w:rPr>
          <w:rFonts w:cs="Times New Roman"/>
        </w:rPr>
        <w:t xml:space="preserve">The Kremlin, “Press Conference for Russian and Foreign Press Officials” (The Kremlin, January 31, 2006), </w:t>
      </w:r>
      <w:hyperlink r:id="rId81" w:history="1">
        <w:r w:rsidRPr="00503890">
          <w:rPr>
            <w:rStyle w:val="Hyperlink"/>
            <w:rFonts w:cs="Times New Roman"/>
          </w:rPr>
          <w:t>http://kremlin.ru/events/president/transcripts/23412</w:t>
        </w:r>
      </w:hyperlink>
      <w:r w:rsidRPr="00503890">
        <w:rPr>
          <w:rFonts w:cs="Times New Roman"/>
        </w:rPr>
        <w:t>.</w:t>
      </w:r>
    </w:p>
  </w:footnote>
  <w:footnote w:id="370">
    <w:p w:rsidR="00952E3B" w:rsidRPr="00503890" w:rsidRDefault="00952E3B">
      <w:pPr>
        <w:pStyle w:val="FootnoteText"/>
      </w:pPr>
      <w:r w:rsidRPr="00503890">
        <w:rPr>
          <w:rStyle w:val="FootnoteReference"/>
        </w:rPr>
        <w:footnoteRef/>
      </w:r>
      <w:r w:rsidRPr="00503890">
        <w:t xml:space="preserve"> </w:t>
      </w:r>
      <w:r w:rsidRPr="00503890">
        <w:rPr>
          <w:rFonts w:cs="Times New Roman"/>
        </w:rPr>
        <w:t>Pavel Baev, “The Kosovo Precedent in Russia's Georgia Policy” (PONARS Eurasia, March 2008), https://www.ponarseurasia.org/sites/default/files/policy-memos-pdf/pepm_005.pdf, 2-3.</w:t>
      </w:r>
    </w:p>
  </w:footnote>
  <w:footnote w:id="371">
    <w:p w:rsidR="00952E3B" w:rsidRPr="00503890" w:rsidRDefault="00952E3B">
      <w:pPr>
        <w:pStyle w:val="FootnoteText"/>
      </w:pPr>
      <w:r w:rsidRPr="00503890">
        <w:rPr>
          <w:rStyle w:val="FootnoteReference"/>
        </w:rPr>
        <w:footnoteRef/>
      </w:r>
      <w:r w:rsidRPr="00503890">
        <w:t xml:space="preserve"> </w:t>
      </w:r>
      <w:r w:rsidRPr="00503890">
        <w:rPr>
          <w:rFonts w:cs="Times New Roman"/>
        </w:rPr>
        <w:t xml:space="preserve">Artem Gavrilov, “The Kremlin Supports the Unification of the North and South Ossetia” (Kavkazskiy Uzel, August 14, 2007), </w:t>
      </w:r>
      <w:hyperlink r:id="rId82" w:history="1">
        <w:r w:rsidRPr="00503890">
          <w:rPr>
            <w:rStyle w:val="Hyperlink"/>
            <w:rFonts w:cs="Times New Roman"/>
          </w:rPr>
          <w:t>https://www.kavkaz-uzel.eu/articles/121062/</w:t>
        </w:r>
      </w:hyperlink>
      <w:r w:rsidRPr="00503890">
        <w:rPr>
          <w:rFonts w:cs="Times New Roman"/>
        </w:rPr>
        <w:t>.</w:t>
      </w:r>
    </w:p>
  </w:footnote>
  <w:footnote w:id="372">
    <w:p w:rsidR="00952E3B" w:rsidRPr="00503890" w:rsidRDefault="00952E3B">
      <w:pPr>
        <w:pStyle w:val="FootnoteText"/>
      </w:pPr>
      <w:r w:rsidRPr="00503890">
        <w:rPr>
          <w:rStyle w:val="FootnoteReference"/>
        </w:rPr>
        <w:footnoteRef/>
      </w:r>
      <w:r w:rsidRPr="00503890">
        <w:t xml:space="preserve"> </w:t>
      </w:r>
      <w:r>
        <w:rPr>
          <w:rFonts w:cs="Times New Roman"/>
        </w:rPr>
        <w:t>Ibid.</w:t>
      </w:r>
    </w:p>
  </w:footnote>
  <w:footnote w:id="373">
    <w:p w:rsidR="00952E3B" w:rsidRPr="00503890" w:rsidRDefault="00952E3B">
      <w:pPr>
        <w:pStyle w:val="FootnoteText"/>
      </w:pPr>
      <w:r w:rsidRPr="00503890">
        <w:rPr>
          <w:rStyle w:val="FootnoteReference"/>
        </w:rPr>
        <w:footnoteRef/>
      </w:r>
      <w:r w:rsidRPr="00503890">
        <w:t xml:space="preserve"> </w:t>
      </w:r>
      <w:r w:rsidRPr="00503890">
        <w:rPr>
          <w:rFonts w:cs="Times New Roman"/>
        </w:rPr>
        <w:t xml:space="preserve">Anna Sever, “Russia Doesn't Recommend the EU to Recognize the Kosovan Independence” (DW- Deutsche Welle, February 10, 2008), </w:t>
      </w:r>
      <w:hyperlink r:id="rId83" w:history="1">
        <w:r w:rsidRPr="00503890">
          <w:rPr>
            <w:rStyle w:val="Hyperlink"/>
            <w:rFonts w:cs="Times New Roman"/>
          </w:rPr>
          <w:t>https://cutt.ly/Yp8dJFx</w:t>
        </w:r>
      </w:hyperlink>
    </w:p>
  </w:footnote>
  <w:footnote w:id="374">
    <w:p w:rsidR="00952E3B" w:rsidRDefault="00952E3B">
      <w:pPr>
        <w:pStyle w:val="FootnoteText"/>
      </w:pPr>
      <w:r w:rsidRPr="00503890">
        <w:rPr>
          <w:rStyle w:val="FootnoteReference"/>
        </w:rPr>
        <w:footnoteRef/>
      </w:r>
      <w:r w:rsidRPr="00503890">
        <w:t xml:space="preserve"> </w:t>
      </w:r>
      <w:r w:rsidRPr="00503890">
        <w:rPr>
          <w:rFonts w:cs="Times New Roman"/>
        </w:rPr>
        <w:t xml:space="preserve">The Kremlin, “Statement by President of Russia Dimitry Medvedev on Recognition of Abkhazia and South Ossetia” (The Kremlin, August 26, 2008), </w:t>
      </w:r>
      <w:hyperlink r:id="rId84" w:history="1">
        <w:r w:rsidRPr="00503890">
          <w:rPr>
            <w:rStyle w:val="Hyperlink"/>
            <w:rFonts w:cs="Times New Roman"/>
          </w:rPr>
          <w:t>http://en.kremlin.ru/events/president/transcripts/1222</w:t>
        </w:r>
      </w:hyperlink>
      <w:r w:rsidRPr="00503890">
        <w:rPr>
          <w:rFonts w:cs="Times New Roman"/>
        </w:rPr>
        <w:t>.</w:t>
      </w:r>
    </w:p>
  </w:footnote>
  <w:footnote w:id="375">
    <w:p w:rsidR="00952E3B" w:rsidRPr="00503890" w:rsidRDefault="00952E3B">
      <w:pPr>
        <w:pStyle w:val="FootnoteText"/>
      </w:pPr>
      <w:r w:rsidRPr="00503890">
        <w:rPr>
          <w:rStyle w:val="FootnoteReference"/>
        </w:rPr>
        <w:footnoteRef/>
      </w:r>
      <w:r w:rsidRPr="00503890">
        <w:t xml:space="preserve"> </w:t>
      </w:r>
      <w:r>
        <w:rPr>
          <w:rFonts w:cs="Times New Roman"/>
        </w:rPr>
        <w:t>Ibid.</w:t>
      </w:r>
    </w:p>
  </w:footnote>
  <w:footnote w:id="376">
    <w:p w:rsidR="00952E3B" w:rsidRPr="00503890" w:rsidRDefault="00952E3B">
      <w:pPr>
        <w:pStyle w:val="FootnoteText"/>
      </w:pPr>
      <w:r w:rsidRPr="00503890">
        <w:rPr>
          <w:rStyle w:val="FootnoteReference"/>
        </w:rPr>
        <w:footnoteRef/>
      </w:r>
      <w:r w:rsidRPr="00503890">
        <w:t xml:space="preserve"> </w:t>
      </w:r>
      <w:r>
        <w:rPr>
          <w:rFonts w:cs="Times New Roman"/>
        </w:rPr>
        <w:t>Ibid.</w:t>
      </w:r>
    </w:p>
  </w:footnote>
  <w:footnote w:id="377">
    <w:p w:rsidR="00952E3B" w:rsidRPr="00503890" w:rsidRDefault="00952E3B">
      <w:pPr>
        <w:pStyle w:val="FootnoteText"/>
      </w:pPr>
      <w:r w:rsidRPr="00503890">
        <w:rPr>
          <w:rStyle w:val="FootnoteReference"/>
        </w:rPr>
        <w:footnoteRef/>
      </w:r>
      <w:r w:rsidRPr="00503890">
        <w:t xml:space="preserve"> </w:t>
      </w:r>
      <w:r>
        <w:rPr>
          <w:rFonts w:cs="Times New Roman"/>
        </w:rPr>
        <w:t>Ibid.</w:t>
      </w:r>
    </w:p>
  </w:footnote>
  <w:footnote w:id="378">
    <w:p w:rsidR="00952E3B" w:rsidRPr="00503890" w:rsidRDefault="00952E3B">
      <w:pPr>
        <w:pStyle w:val="FootnoteText"/>
      </w:pPr>
      <w:r w:rsidRPr="00503890">
        <w:rPr>
          <w:rStyle w:val="FootnoteReference"/>
        </w:rPr>
        <w:footnoteRef/>
      </w:r>
      <w:r w:rsidRPr="00503890">
        <w:rPr>
          <w:rFonts w:cs="Times New Roman"/>
        </w:rPr>
        <w:t xml:space="preserve">Mariam Jakeli, “Putin Offers Alternative ‘Historic Facts’ on How Georgia ‘Occupied’ Tskhinvali, Abkhazia Regions” (Agenda.Ge, July 10, 2019), </w:t>
      </w:r>
      <w:hyperlink r:id="rId85" w:history="1">
        <w:r w:rsidRPr="00503890">
          <w:rPr>
            <w:rStyle w:val="Hyperlink"/>
            <w:rFonts w:cs="Times New Roman"/>
          </w:rPr>
          <w:t>https://agenda.ge/en/news/2019/1860</w:t>
        </w:r>
      </w:hyperlink>
      <w:r w:rsidRPr="00503890">
        <w:rPr>
          <w:rFonts w:cs="Times New Roman"/>
        </w:rPr>
        <w:t>.</w:t>
      </w:r>
    </w:p>
  </w:footnote>
  <w:footnote w:id="379">
    <w:p w:rsidR="00952E3B" w:rsidRDefault="00952E3B">
      <w:pPr>
        <w:pStyle w:val="FootnoteText"/>
      </w:pPr>
      <w:r w:rsidRPr="00503890">
        <w:rPr>
          <w:rStyle w:val="FootnoteReference"/>
        </w:rPr>
        <w:footnoteRef/>
      </w:r>
      <w:r w:rsidRPr="00503890">
        <w:t xml:space="preserve"> </w:t>
      </w:r>
      <w:r w:rsidRPr="00503890">
        <w:rPr>
          <w:rFonts w:cs="Times New Roman"/>
        </w:rPr>
        <w:t xml:space="preserve">Franziska Smolnik, </w:t>
      </w:r>
      <w:r w:rsidRPr="00503890">
        <w:rPr>
          <w:rFonts w:cs="Times New Roman"/>
          <w:i/>
          <w:iCs/>
        </w:rPr>
        <w:t>Secessionist Rule PROTRACTED CONFLICT AND CONFIGURATIONS OF NON-STATE AUTHORITY</w:t>
      </w:r>
      <w:r w:rsidRPr="00503890">
        <w:rPr>
          <w:rFonts w:cs="Times New Roman"/>
        </w:rPr>
        <w:t xml:space="preserve"> (The University of Chicago press, 2016), 109-110.</w:t>
      </w:r>
    </w:p>
  </w:footnote>
  <w:footnote w:id="380">
    <w:p w:rsidR="00952E3B" w:rsidRPr="00F051A0" w:rsidRDefault="00952E3B" w:rsidP="001F265F">
      <w:pPr>
        <w:rPr>
          <w:rFonts w:ascii="Times New Roman" w:hAnsi="Times New Roman"/>
        </w:rPr>
      </w:pPr>
      <w:r w:rsidRPr="00F051A0">
        <w:rPr>
          <w:rStyle w:val="FootnoteReference"/>
          <w:rFonts w:ascii="Times New Roman" w:hAnsi="Times New Roman"/>
        </w:rPr>
        <w:footnoteRef/>
      </w:r>
      <w:r w:rsidRPr="00F051A0">
        <w:rPr>
          <w:rFonts w:ascii="Times New Roman" w:hAnsi="Times New Roman"/>
        </w:rPr>
        <w:t xml:space="preserve"> Oxana Shevel, “The Politics of Citizenship Policy in Post-Soviet Russia,” </w:t>
      </w:r>
      <w:r w:rsidRPr="00F051A0">
        <w:rPr>
          <w:rFonts w:ascii="Times New Roman" w:hAnsi="Times New Roman"/>
          <w:i/>
          <w:iCs/>
        </w:rPr>
        <w:t>Post-Soviet Affairs</w:t>
      </w:r>
      <w:r w:rsidRPr="00F051A0">
        <w:rPr>
          <w:rFonts w:ascii="Times New Roman" w:hAnsi="Times New Roman"/>
        </w:rPr>
        <w:t xml:space="preserve"> 28, no. 1 (May 16, 2013): pp. 111-147, https://doi.org/https://doi.org/10.2747/1060-586X.28.1.111, 124-126.</w:t>
      </w:r>
    </w:p>
  </w:footnote>
  <w:footnote w:id="381">
    <w:p w:rsidR="00952E3B" w:rsidRPr="00F051A0" w:rsidRDefault="00952E3B" w:rsidP="00F051A0">
      <w:pPr>
        <w:rPr>
          <w:rFonts w:ascii="Times New Roman" w:hAnsi="Times New Roman"/>
        </w:rPr>
      </w:pPr>
      <w:r w:rsidRPr="00F051A0">
        <w:rPr>
          <w:rStyle w:val="FootnoteReference"/>
          <w:rFonts w:ascii="Times New Roman" w:hAnsi="Times New Roman"/>
        </w:rPr>
        <w:footnoteRef/>
      </w:r>
      <w:r>
        <w:rPr>
          <w:rFonts w:ascii="Times New Roman" w:hAnsi="Times New Roman"/>
        </w:rPr>
        <w:t>Ibid.27</w:t>
      </w:r>
    </w:p>
  </w:footnote>
  <w:footnote w:id="382">
    <w:p w:rsidR="00952E3B" w:rsidRPr="00F051A0" w:rsidRDefault="00952E3B">
      <w:pPr>
        <w:pStyle w:val="FootnoteText"/>
        <w:rPr>
          <w:rFonts w:cs="Times New Roman"/>
        </w:rPr>
      </w:pPr>
      <w:r w:rsidRPr="00F051A0">
        <w:rPr>
          <w:rStyle w:val="FootnoteReference"/>
          <w:rFonts w:cs="Times New Roman"/>
        </w:rPr>
        <w:footnoteRef/>
      </w:r>
      <w:r w:rsidRPr="00F051A0">
        <w:rPr>
          <w:rFonts w:cs="Times New Roman"/>
        </w:rPr>
        <w:t xml:space="preserve"> Independent International Fact-Finding Mission on the Conflict in Georgia, “Conflict in Georgia 2008” (Council of Europe, September 2009), https://www.echr.coe.int/Documents/HUDOC_38263_08_Annexes_ENG.pdf, 127-128.</w:t>
      </w:r>
    </w:p>
  </w:footnote>
  <w:footnote w:id="383">
    <w:p w:rsidR="00952E3B" w:rsidRDefault="00952E3B">
      <w:pPr>
        <w:pStyle w:val="FootnoteText"/>
      </w:pPr>
      <w:r>
        <w:rPr>
          <w:rStyle w:val="FootnoteReference"/>
        </w:rPr>
        <w:footnoteRef/>
      </w:r>
      <w:r>
        <w:t xml:space="preserve"> Ricky Gandhi, “The October Revolution: 100 Years Later” (American Security Project, October 13, 2017), https://www.americansecurityproject.org/the-october-revolution-100-years-later/.</w:t>
      </w:r>
    </w:p>
  </w:footnote>
  <w:footnote w:id="384">
    <w:p w:rsidR="00952E3B" w:rsidRPr="00F051A0" w:rsidRDefault="00952E3B">
      <w:pPr>
        <w:pStyle w:val="FootnoteText"/>
        <w:rPr>
          <w:rFonts w:cs="Times New Roman"/>
        </w:rPr>
      </w:pPr>
      <w:r w:rsidRPr="00F051A0">
        <w:rPr>
          <w:rStyle w:val="FootnoteReference"/>
          <w:rFonts w:cs="Times New Roman"/>
        </w:rPr>
        <w:footnoteRef/>
      </w:r>
      <w:r w:rsidRPr="00F051A0">
        <w:rPr>
          <w:rFonts w:cs="Times New Roman"/>
        </w:rPr>
        <w:t xml:space="preserve"> Franziska Smolnik, </w:t>
      </w:r>
      <w:r w:rsidRPr="00F051A0">
        <w:rPr>
          <w:rFonts w:cs="Times New Roman"/>
          <w:i/>
          <w:iCs/>
        </w:rPr>
        <w:t>Secessionist Rule PROTRACTED CONFLICT AND CONFIGURATIONS OF NON-STATE AUTHORITY</w:t>
      </w:r>
      <w:r w:rsidRPr="00F051A0">
        <w:rPr>
          <w:rFonts w:cs="Times New Roman"/>
        </w:rPr>
        <w:t xml:space="preserve"> (The University of Chicago press, 2016), 112.</w:t>
      </w:r>
    </w:p>
  </w:footnote>
  <w:footnote w:id="385">
    <w:p w:rsidR="00952E3B" w:rsidRPr="00F051A0" w:rsidRDefault="00952E3B">
      <w:pPr>
        <w:pStyle w:val="FootnoteText"/>
        <w:rPr>
          <w:rFonts w:cs="Times New Roman"/>
        </w:rPr>
      </w:pPr>
      <w:r w:rsidRPr="00F051A0">
        <w:rPr>
          <w:rStyle w:val="FootnoteReference"/>
          <w:rFonts w:cs="Times New Roman"/>
        </w:rPr>
        <w:footnoteRef/>
      </w:r>
      <w:r w:rsidRPr="00F051A0">
        <w:rPr>
          <w:rFonts w:cs="Times New Roman"/>
        </w:rPr>
        <w:t xml:space="preserve"> The Kremlin, “Interview given by Dmitry Medvedev to Television Channels Channel One, Rossia, NTV” (The Kremlin, August 31, 2008), </w:t>
      </w:r>
      <w:hyperlink r:id="rId86" w:history="1">
        <w:r w:rsidRPr="00F051A0">
          <w:rPr>
            <w:rStyle w:val="Hyperlink"/>
            <w:rFonts w:cs="Times New Roman"/>
          </w:rPr>
          <w:t>http://en.kremlin.ru/events/president/transcripts/48301</w:t>
        </w:r>
      </w:hyperlink>
      <w:r w:rsidRPr="00F051A0">
        <w:rPr>
          <w:rFonts w:cs="Times New Roman"/>
        </w:rPr>
        <w:t>.</w:t>
      </w:r>
    </w:p>
  </w:footnote>
  <w:footnote w:id="386">
    <w:p w:rsidR="00952E3B" w:rsidRPr="003F3C65" w:rsidRDefault="00952E3B" w:rsidP="003F3C65">
      <w:pPr>
        <w:rPr>
          <w:rFonts w:ascii="Times New Roman" w:hAnsi="Times New Roman"/>
          <w:sz w:val="16"/>
          <w:szCs w:val="16"/>
        </w:rPr>
      </w:pPr>
      <w:r w:rsidRPr="00F051A0">
        <w:rPr>
          <w:rStyle w:val="FootnoteReference"/>
          <w:rFonts w:ascii="Times New Roman" w:hAnsi="Times New Roman"/>
        </w:rPr>
        <w:footnoteRef/>
      </w:r>
      <w:r w:rsidRPr="00F051A0">
        <w:rPr>
          <w:rFonts w:ascii="Times New Roman" w:hAnsi="Times New Roman"/>
        </w:rPr>
        <w:t xml:space="preserve"> European Commission, “Visa Liberalisation with Moldova, Ukraine and Georgia” (Migration and Home Affairs - European </w:t>
      </w:r>
      <w:proofErr w:type="gramStart"/>
      <w:r w:rsidRPr="00F051A0">
        <w:rPr>
          <w:rFonts w:ascii="Times New Roman" w:hAnsi="Times New Roman"/>
        </w:rPr>
        <w:t>Commission ,</w:t>
      </w:r>
      <w:proofErr w:type="gramEnd"/>
      <w:r w:rsidRPr="00F051A0">
        <w:rPr>
          <w:rFonts w:ascii="Times New Roman" w:hAnsi="Times New Roman"/>
        </w:rPr>
        <w:t xml:space="preserve"> June 2020), </w:t>
      </w:r>
      <w:hyperlink r:id="rId87" w:history="1">
        <w:r w:rsidRPr="00F051A0">
          <w:rPr>
            <w:rStyle w:val="Hyperlink"/>
            <w:rFonts w:ascii="Times New Roman" w:hAnsi="Times New Roman"/>
          </w:rPr>
          <w:t>https://ec.europa.eu/home-affairs/what-we-do/policies/international-affairs/eastern-partnership/visa-liberalisation-moldova-ukraine-and-georgia_en</w:t>
        </w:r>
      </w:hyperlink>
      <w:r w:rsidRPr="00F051A0">
        <w:rPr>
          <w:rFonts w:ascii="Times New Roman" w:hAnsi="Times New Roman"/>
        </w:rPr>
        <w:t>.</w:t>
      </w:r>
    </w:p>
  </w:footnote>
  <w:footnote w:id="387">
    <w:p w:rsidR="00952E3B" w:rsidRPr="008B3B0B" w:rsidRDefault="00952E3B">
      <w:pPr>
        <w:pStyle w:val="FootnoteText"/>
      </w:pPr>
      <w:r w:rsidRPr="00F051A0">
        <w:rPr>
          <w:rStyle w:val="FootnoteReference"/>
        </w:rPr>
        <w:footnoteRef/>
      </w:r>
      <w:r w:rsidRPr="00F051A0">
        <w:t xml:space="preserve"> </w:t>
      </w:r>
      <w:r w:rsidRPr="00F051A0">
        <w:rPr>
          <w:rFonts w:cs="Times New Roman"/>
        </w:rPr>
        <w:t xml:space="preserve">United Nations Security Council, “SC/9681 - Security Council Fails to Adopt Resolution Extending Mandate of Georgia Mission for 2 Weeks, as Russian Federation Votes against Text” (United Nations, June 15, 2009), </w:t>
      </w:r>
      <w:hyperlink r:id="rId88" w:history="1">
        <w:r w:rsidRPr="008B3B0B">
          <w:rPr>
            <w:rStyle w:val="Hyperlink"/>
            <w:rFonts w:cs="Times New Roman"/>
          </w:rPr>
          <w:t>https://www.un.org/press/en/2009/sc9681.doc.htm</w:t>
        </w:r>
      </w:hyperlink>
      <w:r w:rsidRPr="008B3B0B">
        <w:rPr>
          <w:rFonts w:cs="Times New Roman"/>
        </w:rPr>
        <w:t>.</w:t>
      </w:r>
    </w:p>
  </w:footnote>
  <w:footnote w:id="388">
    <w:p w:rsidR="00952E3B" w:rsidRPr="008B3B0B" w:rsidRDefault="00952E3B">
      <w:pPr>
        <w:pStyle w:val="FootnoteText"/>
      </w:pPr>
      <w:r w:rsidRPr="008B3B0B">
        <w:rPr>
          <w:rStyle w:val="FootnoteReference"/>
        </w:rPr>
        <w:footnoteRef/>
      </w:r>
      <w:r w:rsidRPr="008B3B0B">
        <w:t xml:space="preserve"> </w:t>
      </w:r>
      <w:r w:rsidRPr="008B3B0B">
        <w:rPr>
          <w:rFonts w:cs="Times New Roman"/>
        </w:rPr>
        <w:t xml:space="preserve">Thomas Ambrosio and William A. Lange, “The Architecture of Annexation? Russia's Bilateral Agreements with South Ossetia and Abkhazia,” </w:t>
      </w:r>
      <w:r w:rsidRPr="008B3B0B">
        <w:rPr>
          <w:rFonts w:cs="Times New Roman"/>
          <w:i/>
          <w:iCs/>
        </w:rPr>
        <w:t>Nationalities Papers</w:t>
      </w:r>
      <w:r w:rsidRPr="008B3B0B">
        <w:rPr>
          <w:rFonts w:cs="Times New Roman"/>
        </w:rPr>
        <w:t xml:space="preserve"> 44, no. 5 (September 2016): pp. 673-693, https://doi.org/https://doi.org/10.1080/00905992.2016.1203300, 680-681.</w:t>
      </w:r>
    </w:p>
  </w:footnote>
  <w:footnote w:id="389">
    <w:p w:rsidR="00952E3B" w:rsidRPr="008B3B0B" w:rsidRDefault="00952E3B">
      <w:pPr>
        <w:pStyle w:val="FootnoteText"/>
      </w:pPr>
      <w:r w:rsidRPr="008B3B0B">
        <w:rPr>
          <w:rStyle w:val="FootnoteReference"/>
        </w:rPr>
        <w:footnoteRef/>
      </w:r>
      <w:r w:rsidRPr="008B3B0B">
        <w:t xml:space="preserve"> </w:t>
      </w:r>
      <w:r>
        <w:rPr>
          <w:rFonts w:cs="Times New Roman"/>
        </w:rPr>
        <w:t>Ibid.</w:t>
      </w:r>
    </w:p>
  </w:footnote>
  <w:footnote w:id="390">
    <w:p w:rsidR="00952E3B" w:rsidRPr="008B3B0B" w:rsidRDefault="00952E3B">
      <w:pPr>
        <w:pStyle w:val="FootnoteText"/>
      </w:pPr>
      <w:r w:rsidRPr="008B3B0B">
        <w:rPr>
          <w:rStyle w:val="FootnoteReference"/>
        </w:rPr>
        <w:footnoteRef/>
      </w:r>
      <w:r w:rsidRPr="008B3B0B">
        <w:t xml:space="preserve"> </w:t>
      </w:r>
      <w:r w:rsidRPr="008B3B0B">
        <w:rPr>
          <w:rFonts w:cs="Times New Roman"/>
        </w:rPr>
        <w:t xml:space="preserve">Andre W. Gerrits and Max Bader, “Russian Patronage over Abkhazia and South Ossetia: Implications for Conflict Resolution,” </w:t>
      </w:r>
      <w:r w:rsidRPr="008B3B0B">
        <w:rPr>
          <w:rFonts w:cs="Times New Roman"/>
          <w:i/>
          <w:iCs/>
        </w:rPr>
        <w:t>East European Politics</w:t>
      </w:r>
      <w:r w:rsidRPr="008B3B0B">
        <w:rPr>
          <w:rFonts w:cs="Times New Roman"/>
        </w:rPr>
        <w:t xml:space="preserve"> 32, no. 3 (July 19, 2016): pp. 297-313, https://doi.org/https://doi.org/10.1080/21599165.2016.1166104, 301-302.</w:t>
      </w:r>
    </w:p>
  </w:footnote>
  <w:footnote w:id="391">
    <w:p w:rsidR="00952E3B" w:rsidRPr="008B3B0B" w:rsidRDefault="00952E3B">
      <w:pPr>
        <w:pStyle w:val="FootnoteText"/>
      </w:pPr>
      <w:r w:rsidRPr="008B3B0B">
        <w:rPr>
          <w:rStyle w:val="FootnoteReference"/>
        </w:rPr>
        <w:footnoteRef/>
      </w:r>
      <w:r w:rsidRPr="008B3B0B">
        <w:t xml:space="preserve"> </w:t>
      </w:r>
      <w:r>
        <w:rPr>
          <w:rFonts w:cs="Times New Roman"/>
        </w:rPr>
        <w:t>Ibid.302</w:t>
      </w:r>
    </w:p>
  </w:footnote>
  <w:footnote w:id="392">
    <w:p w:rsidR="00952E3B" w:rsidRPr="008B3B0B" w:rsidRDefault="00952E3B">
      <w:pPr>
        <w:pStyle w:val="FootnoteText"/>
      </w:pPr>
      <w:r w:rsidRPr="008B3B0B">
        <w:rPr>
          <w:rStyle w:val="FootnoteReference"/>
        </w:rPr>
        <w:footnoteRef/>
      </w:r>
      <w:r w:rsidRPr="008B3B0B">
        <w:rPr>
          <w:rFonts w:cs="Times New Roman"/>
        </w:rPr>
        <w:t xml:space="preserve">President of the Republic of Abkhazia, “Http://Presidentofabkhazia.org/En/respublika_abkhazia/Economy/,” Economy of the Republic of Abkhazia (Presidential Administration of the Republic of Abkhazia, June 2020), </w:t>
      </w:r>
      <w:hyperlink r:id="rId89" w:history="1">
        <w:r w:rsidRPr="008B3B0B">
          <w:rPr>
            <w:rStyle w:val="Hyperlink"/>
            <w:rFonts w:cs="Times New Roman"/>
          </w:rPr>
          <w:t>http://presidentofabkhazia.org/en/respublika_abkhazia/economy/</w:t>
        </w:r>
      </w:hyperlink>
      <w:r w:rsidRPr="008B3B0B">
        <w:rPr>
          <w:rFonts w:cs="Times New Roman"/>
        </w:rPr>
        <w:t>.</w:t>
      </w:r>
    </w:p>
  </w:footnote>
  <w:footnote w:id="393">
    <w:p w:rsidR="00952E3B" w:rsidRDefault="00952E3B">
      <w:pPr>
        <w:pStyle w:val="FootnoteText"/>
      </w:pPr>
      <w:r w:rsidRPr="008B3B0B">
        <w:rPr>
          <w:rStyle w:val="FootnoteReference"/>
        </w:rPr>
        <w:footnoteRef/>
      </w:r>
      <w:r w:rsidRPr="008B3B0B">
        <w:t xml:space="preserve"> </w:t>
      </w:r>
      <w:r w:rsidRPr="008B3B0B">
        <w:rPr>
          <w:rFonts w:cs="Times New Roman"/>
        </w:rPr>
        <w:t xml:space="preserve">Gerard Toal, </w:t>
      </w:r>
      <w:r w:rsidRPr="008B3B0B">
        <w:rPr>
          <w:rFonts w:cs="Times New Roman"/>
          <w:i/>
          <w:iCs/>
        </w:rPr>
        <w:t xml:space="preserve">Near Abroad: Putin, the West and the Contest over Ukraine and the </w:t>
      </w:r>
      <w:proofErr w:type="gramStart"/>
      <w:r w:rsidRPr="008B3B0B">
        <w:rPr>
          <w:rFonts w:cs="Times New Roman"/>
          <w:i/>
          <w:iCs/>
        </w:rPr>
        <w:t xml:space="preserve">Caucasus </w:t>
      </w:r>
      <w:r w:rsidRPr="008B3B0B">
        <w:rPr>
          <w:rFonts w:cs="Times New Roman"/>
        </w:rPr>
        <w:t>,</w:t>
      </w:r>
      <w:proofErr w:type="gramEnd"/>
      <w:r w:rsidRPr="008B3B0B">
        <w:rPr>
          <w:rFonts w:cs="Times New Roman"/>
        </w:rPr>
        <w:t xml:space="preserve"> 1st ed. (London: Palgreve Macmillan, 2017), 284.</w:t>
      </w:r>
    </w:p>
  </w:footnote>
  <w:footnote w:id="394">
    <w:p w:rsidR="00952E3B" w:rsidRDefault="00952E3B">
      <w:pPr>
        <w:pStyle w:val="FootnoteText"/>
      </w:pPr>
      <w:r>
        <w:rPr>
          <w:rStyle w:val="FootnoteReference"/>
        </w:rPr>
        <w:footnoteRef/>
      </w:r>
      <w:r>
        <w:t xml:space="preserve"> Compiled from </w:t>
      </w:r>
      <w:r w:rsidRPr="008B3B0B">
        <w:rPr>
          <w:rFonts w:cs="Times New Roman"/>
        </w:rPr>
        <w:t xml:space="preserve">Andre W. Gerrits and Max Bader, “Russian Patronage over Abkhazia and South Ossetia: Implications for Conflict Resolution,” </w:t>
      </w:r>
      <w:r w:rsidRPr="008B3B0B">
        <w:rPr>
          <w:rFonts w:cs="Times New Roman"/>
          <w:i/>
          <w:iCs/>
        </w:rPr>
        <w:t>East European Politics</w:t>
      </w:r>
      <w:r w:rsidRPr="008B3B0B">
        <w:rPr>
          <w:rFonts w:cs="Times New Roman"/>
        </w:rPr>
        <w:t xml:space="preserve"> 32, no. 3 (July 19, 2016): pp. 297-313, https://doi.org/https://doi.org/10.1080/21599165.2016.1166104, 301-302.</w:t>
      </w:r>
    </w:p>
  </w:footnote>
  <w:footnote w:id="395">
    <w:p w:rsidR="00952E3B" w:rsidRPr="008B3B0B" w:rsidRDefault="00952E3B" w:rsidP="00416D6D">
      <w:pPr>
        <w:rPr>
          <w:rFonts w:ascii="Times New Roman" w:hAnsi="Times New Roman"/>
        </w:rPr>
      </w:pPr>
      <w:r w:rsidRPr="008B3B0B">
        <w:rPr>
          <w:rStyle w:val="FootnoteReference"/>
          <w:rFonts w:ascii="Times New Roman" w:hAnsi="Times New Roman"/>
        </w:rPr>
        <w:footnoteRef/>
      </w:r>
      <w:r w:rsidRPr="008B3B0B">
        <w:rPr>
          <w:rFonts w:ascii="Times New Roman" w:hAnsi="Times New Roman"/>
        </w:rPr>
        <w:t xml:space="preserve"> The European Union Monitoring Mission in Georgia, “The EUMM Monitor Issue #7” (The EUMM, October 2018), https://eumm.eu/data/file/6486/The_EUMM_Monitor_issue_7_ENG.pdf, 8-9.</w:t>
      </w:r>
    </w:p>
  </w:footnote>
  <w:footnote w:id="396">
    <w:p w:rsidR="00952E3B" w:rsidRDefault="00952E3B">
      <w:pPr>
        <w:pStyle w:val="FootnoteText"/>
      </w:pPr>
      <w:r>
        <w:rPr>
          <w:rStyle w:val="FootnoteReference"/>
        </w:rPr>
        <w:footnoteRef/>
      </w:r>
      <w:r>
        <w:t xml:space="preserve"> Amnesty International, “GEORGIA: BEHIND BARBED WIRE: HUMAN RIGHTS TOLL OF ‘BORDERIZATION’ IN GEORGIA” (Amnesty Org, July 3, 2019), https://www.amnesty.org/en/documents/eur56/0581/2019/en/.</w:t>
      </w:r>
    </w:p>
  </w:footnote>
  <w:footnote w:id="397">
    <w:p w:rsidR="00952E3B" w:rsidRPr="008B3B0B" w:rsidRDefault="00952E3B">
      <w:pPr>
        <w:pStyle w:val="FootnoteText"/>
        <w:rPr>
          <w:rFonts w:cs="Times New Roman"/>
        </w:rPr>
      </w:pPr>
      <w:r w:rsidRPr="008B3B0B">
        <w:rPr>
          <w:rStyle w:val="FootnoteReference"/>
          <w:rFonts w:cs="Times New Roman"/>
        </w:rPr>
        <w:footnoteRef/>
      </w:r>
      <w:r w:rsidRPr="008B3B0B">
        <w:rPr>
          <w:rFonts w:cs="Times New Roman"/>
        </w:rPr>
        <w:t xml:space="preserve"> </w:t>
      </w:r>
      <w:r>
        <w:rPr>
          <w:rFonts w:cs="Times New Roman"/>
        </w:rPr>
        <w:t>Ibid.</w:t>
      </w:r>
    </w:p>
  </w:footnote>
  <w:footnote w:id="398">
    <w:p w:rsidR="00952E3B" w:rsidRPr="008B3B0B" w:rsidRDefault="00952E3B">
      <w:pPr>
        <w:pStyle w:val="FootnoteText"/>
        <w:rPr>
          <w:rFonts w:cs="Times New Roman"/>
        </w:rPr>
      </w:pPr>
      <w:r w:rsidRPr="008B3B0B">
        <w:rPr>
          <w:rStyle w:val="FootnoteReference"/>
          <w:rFonts w:cs="Times New Roman"/>
        </w:rPr>
        <w:footnoteRef/>
      </w:r>
      <w:r w:rsidRPr="008B3B0B">
        <w:rPr>
          <w:rFonts w:cs="Times New Roman"/>
        </w:rPr>
        <w:t xml:space="preserve"> </w:t>
      </w:r>
      <w:r>
        <w:rPr>
          <w:rFonts w:cs="Times New Roman"/>
        </w:rPr>
        <w:t>Ibid.</w:t>
      </w:r>
    </w:p>
  </w:footnote>
  <w:footnote w:id="399">
    <w:p w:rsidR="00952E3B" w:rsidRDefault="00952E3B">
      <w:pPr>
        <w:pStyle w:val="FootnoteText"/>
      </w:pPr>
      <w:r w:rsidRPr="008B3B0B">
        <w:rPr>
          <w:rStyle w:val="FootnoteReference"/>
          <w:rFonts w:cs="Times New Roman"/>
        </w:rPr>
        <w:footnoteRef/>
      </w:r>
      <w:r w:rsidRPr="008B3B0B">
        <w:rPr>
          <w:rFonts w:cs="Times New Roman"/>
        </w:rPr>
        <w:t xml:space="preserve"> Human Rights Watch, “Living in Limbo Rights of Ethnic Georgians Returnees to the Gali District of Abkhazia” (HRW, July 15, 2011), </w:t>
      </w:r>
      <w:hyperlink r:id="rId90" w:history="1">
        <w:r w:rsidRPr="008B3B0B">
          <w:rPr>
            <w:rStyle w:val="Hyperlink"/>
            <w:rFonts w:cs="Times New Roman"/>
          </w:rPr>
          <w:t>https://www.hrw.org/report/2011/07/15/living-limbo/rights-ethnic-georgians-returnees-gali-district-abkhazia</w:t>
        </w:r>
      </w:hyperlink>
      <w:r w:rsidRPr="008B3B0B">
        <w:rPr>
          <w:rFonts w:cs="Times New Roman"/>
        </w:rPr>
        <w:t>.</w:t>
      </w:r>
    </w:p>
  </w:footnote>
  <w:footnote w:id="400">
    <w:p w:rsidR="00EB35BE" w:rsidRDefault="00EB35BE">
      <w:pPr>
        <w:pStyle w:val="FootnoteText"/>
      </w:pPr>
      <w:r>
        <w:rPr>
          <w:rStyle w:val="FootnoteReference"/>
        </w:rPr>
        <w:footnoteRef/>
      </w:r>
      <w:r>
        <w:t xml:space="preserve"> European Parliament, “PC.DEL/126/11 / Statement by the EUSR for the South Caucasus Peter Semneby OSCE Permanent Council, </w:t>
      </w:r>
      <w:proofErr w:type="gramStart"/>
      <w:r>
        <w:t>Vienna ”</w:t>
      </w:r>
      <w:proofErr w:type="gramEnd"/>
      <w:r>
        <w:t>(European Parliament, February 10, 2011), https://www.europarl.europa.eu/meetdocs/2009_2014/documents/dsca/dv/dsca_20110315_10/dsca_20110315_10en.pdf.</w:t>
      </w:r>
    </w:p>
  </w:footnote>
  <w:footnote w:id="401">
    <w:p w:rsidR="00952E3B" w:rsidRPr="00AE1F60" w:rsidRDefault="00952E3B">
      <w:pPr>
        <w:pStyle w:val="FootnoteText"/>
        <w:rPr>
          <w:rFonts w:cs="Times New Roman"/>
        </w:rPr>
      </w:pPr>
      <w:r w:rsidRPr="00AE1F60">
        <w:rPr>
          <w:rStyle w:val="FootnoteReference"/>
          <w:rFonts w:cs="Times New Roman"/>
        </w:rPr>
        <w:footnoteRef/>
      </w:r>
      <w:r w:rsidRPr="00AE1F60">
        <w:rPr>
          <w:rFonts w:cs="Times New Roman"/>
        </w:rPr>
        <w:t xml:space="preserve"> Nina Caspersen, “Playing the Recognition Game: External Actors and De Facto States,” </w:t>
      </w:r>
      <w:r w:rsidRPr="00AE1F60">
        <w:rPr>
          <w:rFonts w:cs="Times New Roman"/>
          <w:i/>
          <w:iCs/>
        </w:rPr>
        <w:t>International Speactator</w:t>
      </w:r>
      <w:r w:rsidRPr="00AE1F60">
        <w:rPr>
          <w:rFonts w:cs="Times New Roman"/>
        </w:rPr>
        <w:t xml:space="preserve"> 44, no. 4 (November 2009): pp. 47-60, https://doi.org/https://doi.org/10.1080/03932720903351146, 52-53.</w:t>
      </w:r>
    </w:p>
  </w:footnote>
  <w:footnote w:id="402">
    <w:p w:rsidR="00952E3B" w:rsidRPr="00AE1F60" w:rsidRDefault="00952E3B">
      <w:pPr>
        <w:pStyle w:val="FootnoteText"/>
        <w:rPr>
          <w:rFonts w:cs="Times New Roman"/>
        </w:rPr>
      </w:pPr>
      <w:r w:rsidRPr="00AE1F60">
        <w:rPr>
          <w:rStyle w:val="FootnoteReference"/>
          <w:rFonts w:cs="Times New Roman"/>
        </w:rPr>
        <w:footnoteRef/>
      </w:r>
      <w:r w:rsidRPr="00AE1F60">
        <w:rPr>
          <w:rFonts w:cs="Times New Roman"/>
        </w:rPr>
        <w:t xml:space="preserve"> Alexander Cooley and Lincoln A. Mitchell, “Engagement without Recognition: A New Strategy toward Abkhazia and Eurasia's Unrecognized States,” </w:t>
      </w:r>
      <w:r w:rsidRPr="00AE1F60">
        <w:rPr>
          <w:rFonts w:cs="Times New Roman"/>
          <w:i/>
          <w:iCs/>
        </w:rPr>
        <w:t>The Washington Quarterly</w:t>
      </w:r>
      <w:r w:rsidRPr="00AE1F60">
        <w:rPr>
          <w:rFonts w:cs="Times New Roman"/>
        </w:rPr>
        <w:t xml:space="preserve"> 33, no. 4 (May 2010): pp. 59-73, https://doi.org/https://doi.org/10.1080/0163660X.2010.516183, 66-67.</w:t>
      </w:r>
    </w:p>
  </w:footnote>
  <w:footnote w:id="403">
    <w:p w:rsidR="00952E3B" w:rsidRPr="00AE1F60" w:rsidRDefault="00952E3B">
      <w:pPr>
        <w:pStyle w:val="FootnoteText"/>
        <w:rPr>
          <w:rFonts w:cs="Times New Roman"/>
        </w:rPr>
      </w:pPr>
      <w:r w:rsidRPr="00AE1F60">
        <w:rPr>
          <w:rStyle w:val="FootnoteReference"/>
          <w:rFonts w:cs="Times New Roman"/>
        </w:rPr>
        <w:footnoteRef/>
      </w:r>
      <w:r w:rsidRPr="00AE1F60">
        <w:rPr>
          <w:rFonts w:cs="Times New Roman"/>
        </w:rPr>
        <w:t xml:space="preserve"> The Ministry of Foreign Affairs of Republic of Abkhazia, “Structure of the Ministry” (MFA Apsny, June 2020), </w:t>
      </w:r>
      <w:hyperlink r:id="rId91" w:history="1">
        <w:r w:rsidRPr="00AE1F60">
          <w:rPr>
            <w:rStyle w:val="Hyperlink"/>
            <w:rFonts w:cs="Times New Roman"/>
          </w:rPr>
          <w:t>http://mfaapsny.org/en/about/</w:t>
        </w:r>
      </w:hyperlink>
    </w:p>
  </w:footnote>
  <w:footnote w:id="404">
    <w:p w:rsidR="00952E3B" w:rsidRPr="00AE1F60" w:rsidRDefault="00952E3B" w:rsidP="001A263C">
      <w:pPr>
        <w:rPr>
          <w:rFonts w:ascii="Times New Roman" w:hAnsi="Times New Roman"/>
        </w:rPr>
      </w:pPr>
      <w:r w:rsidRPr="00AE1F60">
        <w:rPr>
          <w:rStyle w:val="FootnoteReference"/>
          <w:rFonts w:ascii="Times New Roman" w:hAnsi="Times New Roman"/>
        </w:rPr>
        <w:footnoteRef/>
      </w:r>
      <w:r w:rsidRPr="00AE1F60">
        <w:rPr>
          <w:rFonts w:ascii="Times New Roman" w:hAnsi="Times New Roman"/>
        </w:rPr>
        <w:t xml:space="preserve"> International Crisis Group, “South Ossetia: The Burden of Recognition” (ICG, June 7, 2010), </w:t>
      </w:r>
      <w:hyperlink r:id="rId92" w:history="1">
        <w:r w:rsidRPr="00AE1F60">
          <w:rPr>
            <w:rStyle w:val="Hyperlink"/>
            <w:rFonts w:ascii="Times New Roman" w:hAnsi="Times New Roman"/>
          </w:rPr>
          <w:t>https://www.crisisgroup.org/europe-central-asia/caucasus/south-ossetia-burden-recognition</w:t>
        </w:r>
      </w:hyperlink>
      <w:r w:rsidRPr="00AE1F60">
        <w:rPr>
          <w:rFonts w:ascii="Times New Roman" w:hAnsi="Times New Roman"/>
        </w:rPr>
        <w:t>.</w:t>
      </w:r>
    </w:p>
  </w:footnote>
  <w:footnote w:id="405">
    <w:p w:rsidR="00952E3B" w:rsidRDefault="00952E3B">
      <w:pPr>
        <w:pStyle w:val="FootnoteText"/>
      </w:pPr>
      <w:r>
        <w:rPr>
          <w:rStyle w:val="FootnoteReference"/>
        </w:rPr>
        <w:footnoteRef/>
      </w:r>
      <w:r>
        <w:t xml:space="preserve"> Thomas Hammerberg and Magdalena Grono, “Human Rights in Abkhazia Today” (Olof Plame Peace Center, July 2017), https://www.palmecenter.se/wp-content/uploads/2017/07/Human-Rights-in-Abkhazia-Today-report-by-Thomas-Hammarberg-and-Magdalena-Grono.pdf, 18-19.</w:t>
      </w:r>
    </w:p>
  </w:footnote>
  <w:footnote w:id="406">
    <w:p w:rsidR="00952E3B" w:rsidRPr="00AE1F60" w:rsidRDefault="00952E3B">
      <w:pPr>
        <w:pStyle w:val="FootnoteText"/>
        <w:rPr>
          <w:rFonts w:cs="Times New Roman"/>
        </w:rPr>
      </w:pPr>
      <w:r w:rsidRPr="00AE1F60">
        <w:rPr>
          <w:rStyle w:val="FootnoteReference"/>
          <w:rFonts w:cs="Times New Roman"/>
        </w:rPr>
        <w:footnoteRef/>
      </w:r>
      <w:r w:rsidRPr="00AE1F60">
        <w:rPr>
          <w:rFonts w:cs="Times New Roman"/>
        </w:rPr>
        <w:t xml:space="preserve"> Thomas Hammarberg and Magdalena Grono, “Human Rights in Abkhazia Today” (Olof Palme Center, July 2017), https://www.palmecenter.se/wp-content/uploads/2017/07/Human-Rights-in-Abkhazia-Today-report-by-Thomas-Hammarberg-and-Magdalena-Grono.pdf, 10-11.</w:t>
      </w:r>
    </w:p>
  </w:footnote>
  <w:footnote w:id="407">
    <w:p w:rsidR="00952E3B" w:rsidRDefault="00952E3B">
      <w:pPr>
        <w:pStyle w:val="FootnoteText"/>
      </w:pPr>
      <w:r>
        <w:rPr>
          <w:rStyle w:val="FootnoteReference"/>
        </w:rPr>
        <w:footnoteRef/>
      </w:r>
      <w:r>
        <w:t xml:space="preserve"> Gerard Toal, “How People in South Ossetia, Abkhazia and Transnistria Feel about Annexation by Russia” (Washington Post, March 20, 2014), https://www.washingtonpost.com/news/monkey-cage/wp/2014/03/20/how-people-in-south-ossetia-abkhazia-and-transnistria-feel-about-annexation-by-russia/.</w:t>
      </w:r>
    </w:p>
  </w:footnote>
  <w:footnote w:id="408">
    <w:p w:rsidR="00952E3B" w:rsidRPr="00AE1F60" w:rsidRDefault="00952E3B">
      <w:pPr>
        <w:pStyle w:val="FootnoteText"/>
        <w:rPr>
          <w:rFonts w:cs="Times New Roman"/>
        </w:rPr>
      </w:pPr>
      <w:r w:rsidRPr="00AE1F60">
        <w:rPr>
          <w:rStyle w:val="FootnoteReference"/>
          <w:rFonts w:cs="Times New Roman"/>
        </w:rPr>
        <w:footnoteRef/>
      </w:r>
      <w:r w:rsidRPr="00AE1F60">
        <w:rPr>
          <w:rFonts w:cs="Times New Roman"/>
        </w:rPr>
        <w:t xml:space="preserve"> </w:t>
      </w:r>
      <w:r>
        <w:rPr>
          <w:rFonts w:cs="Times New Roman"/>
        </w:rPr>
        <w:t>Ibid.36-37</w:t>
      </w:r>
    </w:p>
  </w:footnote>
  <w:footnote w:id="409">
    <w:p w:rsidR="00952E3B" w:rsidRPr="00AE1F60" w:rsidRDefault="00952E3B" w:rsidP="002974BD">
      <w:pPr>
        <w:rPr>
          <w:rFonts w:ascii="Times New Roman" w:hAnsi="Times New Roman"/>
        </w:rPr>
      </w:pPr>
      <w:r w:rsidRPr="00AE1F60">
        <w:rPr>
          <w:rStyle w:val="FootnoteReference"/>
          <w:rFonts w:ascii="Times New Roman" w:hAnsi="Times New Roman"/>
        </w:rPr>
        <w:footnoteRef/>
      </w:r>
      <w:r w:rsidRPr="00AE1F60">
        <w:rPr>
          <w:rFonts w:ascii="Times New Roman" w:hAnsi="Times New Roman"/>
        </w:rPr>
        <w:t xml:space="preserve"> </w:t>
      </w:r>
      <w:r>
        <w:rPr>
          <w:rFonts w:ascii="Times New Roman" w:hAnsi="Times New Roman"/>
        </w:rPr>
        <w:t>Ibid.43-44</w:t>
      </w:r>
    </w:p>
    <w:p w:rsidR="00952E3B" w:rsidRDefault="00952E3B">
      <w:pPr>
        <w:pStyle w:val="FootnoteText"/>
      </w:pPr>
    </w:p>
  </w:footnote>
  <w:footnote w:id="410">
    <w:p w:rsidR="00952E3B" w:rsidRPr="00895C3F" w:rsidRDefault="00952E3B">
      <w:pPr>
        <w:pStyle w:val="FootnoteText"/>
        <w:rPr>
          <w:rFonts w:cs="Times New Roman"/>
        </w:rPr>
      </w:pPr>
      <w:r w:rsidRPr="00895C3F">
        <w:rPr>
          <w:rStyle w:val="FootnoteReference"/>
          <w:rFonts w:cs="Times New Roman"/>
        </w:rPr>
        <w:footnoteRef/>
      </w:r>
      <w:r w:rsidRPr="00895C3F">
        <w:rPr>
          <w:rFonts w:cs="Times New Roman"/>
        </w:rPr>
        <w:t xml:space="preserve"> </w:t>
      </w:r>
      <w:r>
        <w:rPr>
          <w:rFonts w:cs="Times New Roman"/>
        </w:rPr>
        <w:t>Ibid.63-64</w:t>
      </w:r>
    </w:p>
  </w:footnote>
  <w:footnote w:id="411">
    <w:p w:rsidR="00952E3B" w:rsidRPr="00895C3F" w:rsidRDefault="00952E3B" w:rsidP="002974BD">
      <w:pPr>
        <w:rPr>
          <w:rFonts w:ascii="Times New Roman" w:hAnsi="Times New Roman"/>
        </w:rPr>
      </w:pPr>
      <w:r w:rsidRPr="00895C3F">
        <w:rPr>
          <w:rStyle w:val="FootnoteReference"/>
          <w:rFonts w:ascii="Times New Roman" w:hAnsi="Times New Roman"/>
        </w:rPr>
        <w:footnoteRef/>
      </w:r>
      <w:r w:rsidRPr="00895C3F">
        <w:rPr>
          <w:rFonts w:ascii="Times New Roman" w:hAnsi="Times New Roman"/>
        </w:rPr>
        <w:t xml:space="preserve"> </w:t>
      </w:r>
      <w:r>
        <w:rPr>
          <w:rFonts w:ascii="Times New Roman" w:hAnsi="Times New Roman"/>
        </w:rPr>
        <w:t>Ibid.28</w:t>
      </w:r>
    </w:p>
  </w:footnote>
  <w:footnote w:id="412">
    <w:p w:rsidR="00952E3B" w:rsidRPr="00895C3F" w:rsidRDefault="00952E3B">
      <w:pPr>
        <w:pStyle w:val="FootnoteText"/>
        <w:rPr>
          <w:rFonts w:cs="Times New Roman"/>
        </w:rPr>
      </w:pPr>
      <w:r w:rsidRPr="00895C3F">
        <w:rPr>
          <w:rStyle w:val="FootnoteReference"/>
          <w:rFonts w:cs="Times New Roman"/>
        </w:rPr>
        <w:footnoteRef/>
      </w:r>
      <w:r w:rsidRPr="00895C3F">
        <w:rPr>
          <w:rFonts w:cs="Times New Roman"/>
        </w:rPr>
        <w:t xml:space="preserve"> </w:t>
      </w:r>
      <w:r>
        <w:rPr>
          <w:rFonts w:cs="Times New Roman"/>
        </w:rPr>
        <w:t>Ibid.31-32</w:t>
      </w:r>
    </w:p>
  </w:footnote>
  <w:footnote w:id="413">
    <w:p w:rsidR="00952E3B" w:rsidRPr="00895C3F" w:rsidRDefault="00952E3B">
      <w:pPr>
        <w:pStyle w:val="FootnoteText"/>
        <w:rPr>
          <w:rFonts w:cs="Times New Roman"/>
        </w:rPr>
      </w:pPr>
      <w:r w:rsidRPr="00895C3F">
        <w:rPr>
          <w:rStyle w:val="FootnoteReference"/>
          <w:rFonts w:cs="Times New Roman"/>
        </w:rPr>
        <w:footnoteRef/>
      </w:r>
      <w:r w:rsidRPr="00895C3F">
        <w:rPr>
          <w:rFonts w:cs="Times New Roman"/>
        </w:rPr>
        <w:t xml:space="preserve"> Council of the European Union, “Joint Press Release Following the 4th Association Council Meeting between the European Union and Georgia” (European Council, February 5, 2018), </w:t>
      </w:r>
      <w:hyperlink r:id="rId93" w:history="1">
        <w:r w:rsidRPr="00895C3F">
          <w:rPr>
            <w:rStyle w:val="Hyperlink"/>
            <w:rFonts w:cs="Times New Roman"/>
          </w:rPr>
          <w:t>https://www.consilium.europa.eu/en/press/press-releases/2018/02/05/joint-press-release-following-the-4th-association-council-meeting-between-the-european-union-and-georgia/</w:t>
        </w:r>
      </w:hyperlink>
      <w:r w:rsidRPr="00895C3F">
        <w:rPr>
          <w:rFonts w:cs="Times New Roman"/>
        </w:rPr>
        <w:t>.</w:t>
      </w:r>
    </w:p>
  </w:footnote>
  <w:footnote w:id="414">
    <w:p w:rsidR="00952E3B" w:rsidRPr="00895C3F" w:rsidRDefault="00952E3B">
      <w:pPr>
        <w:pStyle w:val="FootnoteText"/>
        <w:rPr>
          <w:rFonts w:cs="Times New Roman"/>
        </w:rPr>
      </w:pPr>
      <w:r w:rsidRPr="00895C3F">
        <w:rPr>
          <w:rStyle w:val="FootnoteReference"/>
          <w:rFonts w:cs="Times New Roman"/>
        </w:rPr>
        <w:footnoteRef/>
      </w:r>
      <w:r w:rsidRPr="00895C3F">
        <w:rPr>
          <w:rFonts w:cs="Times New Roman"/>
        </w:rPr>
        <w:t xml:space="preserve"> Andrey Shatalov, “'Occupied Territories' Term Inapplicable to Abkhazia, South Ossetia - Foreign Ministry” (International Information Group, June 9, 2012), </w:t>
      </w:r>
      <w:hyperlink r:id="rId94" w:history="1">
        <w:r w:rsidRPr="00895C3F">
          <w:rPr>
            <w:rStyle w:val="Hyperlink"/>
            <w:rFonts w:cs="Times New Roman"/>
          </w:rPr>
          <w:t>https://interfax.com/newsroom/top-stories/56085/</w:t>
        </w:r>
      </w:hyperlink>
      <w:r w:rsidRPr="00895C3F">
        <w:rPr>
          <w:rFonts w:cs="Times New Roman"/>
        </w:rPr>
        <w:t>.</w:t>
      </w:r>
    </w:p>
  </w:footnote>
  <w:footnote w:id="415">
    <w:p w:rsidR="00952E3B" w:rsidRPr="00895C3F" w:rsidRDefault="00952E3B">
      <w:pPr>
        <w:pStyle w:val="FootnoteText"/>
        <w:rPr>
          <w:rFonts w:cs="Times New Roman"/>
        </w:rPr>
      </w:pPr>
      <w:r w:rsidRPr="00895C3F">
        <w:rPr>
          <w:rStyle w:val="FootnoteReference"/>
          <w:rFonts w:cs="Times New Roman"/>
        </w:rPr>
        <w:footnoteRef/>
      </w:r>
      <w:r w:rsidRPr="00895C3F">
        <w:rPr>
          <w:rFonts w:cs="Times New Roman"/>
        </w:rPr>
        <w:t xml:space="preserve"> European Parliament, “European Parliament Resolution of 14 June 2018 on Georgian Occupied Territories 10 Years after the Russian Invasion (2018/2741(RSP))” (European Parliament, June 14, 2018), </w:t>
      </w:r>
      <w:hyperlink r:id="rId95" w:history="1">
        <w:r w:rsidRPr="00895C3F">
          <w:rPr>
            <w:rStyle w:val="Hyperlink"/>
            <w:rFonts w:cs="Times New Roman"/>
          </w:rPr>
          <w:t>https://www.europarl.europa.eu/doceo/document/TA-8-2018-0266_EN.html</w:t>
        </w:r>
      </w:hyperlink>
      <w:r w:rsidRPr="00895C3F">
        <w:rPr>
          <w:rFonts w:cs="Times New Roman"/>
        </w:rPr>
        <w:t>.</w:t>
      </w:r>
    </w:p>
  </w:footnote>
  <w:footnote w:id="416">
    <w:p w:rsidR="00952E3B" w:rsidRDefault="00952E3B">
      <w:pPr>
        <w:pStyle w:val="FootnoteText"/>
      </w:pPr>
      <w:r w:rsidRPr="00895C3F">
        <w:rPr>
          <w:rStyle w:val="FootnoteReference"/>
          <w:rFonts w:cs="Times New Roman"/>
        </w:rPr>
        <w:footnoteRef/>
      </w:r>
      <w:r w:rsidRPr="00895C3F">
        <w:rPr>
          <w:rFonts w:cs="Times New Roman"/>
        </w:rPr>
        <w:t xml:space="preserve"> Irakliy Khintba, “The EU and the Conflicts in the Eastern Neighborhood: The Case of Abkhazia” (Heinrich Boell Foundation, September 23, 2010), </w:t>
      </w:r>
      <w:hyperlink r:id="rId96" w:history="1">
        <w:r w:rsidRPr="00895C3F">
          <w:rPr>
            <w:rStyle w:val="Hyperlink"/>
            <w:rFonts w:cs="Times New Roman"/>
          </w:rPr>
          <w:t>https://www.boell.de/en/navigation/europe-transatlantic-eu-conflicts-abkhazia-10215.html</w:t>
        </w:r>
      </w:hyperlink>
      <w:r w:rsidRPr="00895C3F">
        <w:rPr>
          <w:rFonts w:cs="Times New Roman"/>
        </w:rPr>
        <w:t>.</w:t>
      </w:r>
    </w:p>
  </w:footnote>
  <w:footnote w:id="417">
    <w:p w:rsidR="00952E3B" w:rsidRPr="00EA7CF0" w:rsidRDefault="00952E3B">
      <w:pPr>
        <w:pStyle w:val="FootnoteText"/>
      </w:pPr>
      <w:r w:rsidRPr="00EA7CF0">
        <w:rPr>
          <w:rStyle w:val="FootnoteReference"/>
        </w:rPr>
        <w:footnoteRef/>
      </w:r>
      <w:r w:rsidRPr="00EA7CF0">
        <w:t xml:space="preserve"> </w:t>
      </w:r>
      <w:r w:rsidRPr="00EA7CF0">
        <w:rPr>
          <w:rFonts w:cs="Times New Roman"/>
        </w:rPr>
        <w:t>Sabine Fischer, “The EU’s Non-Recognition and Engagement Policy towards Abkhazia and South Ossetia - Seminar Reports” (Institute for Security Studies, December 2, 2010), https://www.iss.europa.eu/sites/default/files/EUISSFiles/NREP_report.pdf, 3-4.</w:t>
      </w:r>
    </w:p>
  </w:footnote>
  <w:footnote w:id="418">
    <w:p w:rsidR="00952E3B" w:rsidRPr="00EA7CF0" w:rsidRDefault="00952E3B">
      <w:pPr>
        <w:pStyle w:val="FootnoteText"/>
      </w:pPr>
      <w:r w:rsidRPr="00EA7CF0">
        <w:rPr>
          <w:rStyle w:val="FootnoteReference"/>
        </w:rPr>
        <w:footnoteRef/>
      </w:r>
      <w:r w:rsidRPr="00EA7CF0">
        <w:t xml:space="preserve"> </w:t>
      </w:r>
      <w:r w:rsidRPr="00EA7CF0">
        <w:rPr>
          <w:rFonts w:cs="Times New Roman"/>
        </w:rPr>
        <w:t>Thomas De Waal, “Enhancing the EU’s Engagement With Separatist Territories” (Carnegie Europe, January 17, 2017)</w:t>
      </w:r>
      <w:proofErr w:type="gramStart"/>
      <w:r w:rsidRPr="00EA7CF0">
        <w:rPr>
          <w:rFonts w:cs="Times New Roman"/>
        </w:rPr>
        <w:t>,3</w:t>
      </w:r>
      <w:proofErr w:type="gramEnd"/>
      <w:r w:rsidRPr="00EA7CF0">
        <w:rPr>
          <w:rFonts w:cs="Times New Roman"/>
        </w:rPr>
        <w:t xml:space="preserve">-4. </w:t>
      </w:r>
      <w:hyperlink r:id="rId97" w:history="1">
        <w:r w:rsidRPr="00EA7CF0">
          <w:rPr>
            <w:rStyle w:val="Hyperlink"/>
            <w:rFonts w:cs="Times New Roman"/>
          </w:rPr>
          <w:t>https://carnegieendowment.org/files/DeWaal_EU_Engagement_with_Seperatist_Territories.pdf</w:t>
        </w:r>
      </w:hyperlink>
      <w:r w:rsidRPr="00EA7CF0">
        <w:rPr>
          <w:rFonts w:cs="Times New Roman"/>
        </w:rPr>
        <w:t>.</w:t>
      </w:r>
    </w:p>
  </w:footnote>
  <w:footnote w:id="419">
    <w:p w:rsidR="00952E3B" w:rsidRPr="00EA7CF0" w:rsidRDefault="00952E3B">
      <w:pPr>
        <w:pStyle w:val="FootnoteText"/>
      </w:pPr>
      <w:r w:rsidRPr="00EA7CF0">
        <w:rPr>
          <w:rStyle w:val="FootnoteReference"/>
        </w:rPr>
        <w:footnoteRef/>
      </w:r>
      <w:r w:rsidRPr="00EA7CF0">
        <w:t xml:space="preserve"> </w:t>
      </w:r>
      <w:r w:rsidRPr="00EA7CF0">
        <w:rPr>
          <w:rFonts w:cs="Times New Roman"/>
        </w:rPr>
        <w:t>Sabine Fischer, “The EU’s Non-Recognition and Engagement Policy towards Abkhazia and South Ossetia - Seminar Reports” (Institute for Security Studies, December 2, 2010), https://www.iss.europa.eu/sites/default/files/EUISSFiles/NREP_report.pdf, 3-4.</w:t>
      </w:r>
    </w:p>
  </w:footnote>
  <w:footnote w:id="420">
    <w:p w:rsidR="00952E3B" w:rsidRPr="00EA7CF0" w:rsidRDefault="00952E3B">
      <w:pPr>
        <w:pStyle w:val="FootnoteText"/>
      </w:pPr>
      <w:r w:rsidRPr="00EA7CF0">
        <w:rPr>
          <w:rStyle w:val="FootnoteReference"/>
        </w:rPr>
        <w:footnoteRef/>
      </w:r>
      <w:r w:rsidRPr="00EA7CF0">
        <w:t xml:space="preserve"> </w:t>
      </w:r>
      <w:r>
        <w:rPr>
          <w:rFonts w:cs="Times New Roman"/>
        </w:rPr>
        <w:t>Ibid.4</w:t>
      </w:r>
    </w:p>
  </w:footnote>
  <w:footnote w:id="421">
    <w:p w:rsidR="00952E3B" w:rsidRPr="00EA7CF0" w:rsidRDefault="00952E3B">
      <w:pPr>
        <w:pStyle w:val="FootnoteText"/>
      </w:pPr>
      <w:r w:rsidRPr="00EA7CF0">
        <w:rPr>
          <w:rStyle w:val="FootnoteReference"/>
        </w:rPr>
        <w:footnoteRef/>
      </w:r>
      <w:r w:rsidRPr="00EA7CF0">
        <w:t xml:space="preserve"> </w:t>
      </w:r>
      <w:r>
        <w:rPr>
          <w:rFonts w:cs="Times New Roman"/>
        </w:rPr>
        <w:t>Ibid.4</w:t>
      </w:r>
    </w:p>
  </w:footnote>
  <w:footnote w:id="422">
    <w:p w:rsidR="00952E3B" w:rsidRPr="00EA7CF0" w:rsidRDefault="00952E3B">
      <w:pPr>
        <w:pStyle w:val="FootnoteText"/>
      </w:pPr>
      <w:r w:rsidRPr="00EA7CF0">
        <w:rPr>
          <w:rStyle w:val="FootnoteReference"/>
        </w:rPr>
        <w:footnoteRef/>
      </w:r>
      <w:r w:rsidRPr="00EA7CF0">
        <w:t xml:space="preserve"> </w:t>
      </w:r>
      <w:r w:rsidRPr="00EA7CF0">
        <w:rPr>
          <w:rFonts w:cs="Times New Roman"/>
        </w:rPr>
        <w:t>Thomas De Waal, “Enhancing the EU’s Engagement With Separatist Territories” (Carnegie Europe, January 17, 2017)</w:t>
      </w:r>
      <w:proofErr w:type="gramStart"/>
      <w:r w:rsidRPr="00EA7CF0">
        <w:rPr>
          <w:rFonts w:cs="Times New Roman"/>
        </w:rPr>
        <w:t>,5</w:t>
      </w:r>
      <w:proofErr w:type="gramEnd"/>
      <w:r w:rsidRPr="00EA7CF0">
        <w:rPr>
          <w:rFonts w:cs="Times New Roman"/>
        </w:rPr>
        <w:t xml:space="preserve">. </w:t>
      </w:r>
      <w:hyperlink r:id="rId98" w:history="1">
        <w:r w:rsidRPr="00EA7CF0">
          <w:rPr>
            <w:rStyle w:val="Hyperlink"/>
            <w:rFonts w:cs="Times New Roman"/>
          </w:rPr>
          <w:t>https://carnegieendowment.org/files/DeWaal_EU_Engagement_with_Seperatist_Territories.pdf</w:t>
        </w:r>
      </w:hyperlink>
      <w:r w:rsidRPr="00EA7CF0">
        <w:rPr>
          <w:rFonts w:cs="Times New Roman"/>
        </w:rPr>
        <w:t>.</w:t>
      </w:r>
    </w:p>
  </w:footnote>
  <w:footnote w:id="423">
    <w:p w:rsidR="00952E3B" w:rsidRDefault="00952E3B">
      <w:pPr>
        <w:pStyle w:val="FootnoteText"/>
      </w:pPr>
      <w:r w:rsidRPr="00EA7CF0">
        <w:rPr>
          <w:rStyle w:val="FootnoteReference"/>
        </w:rPr>
        <w:footnoteRef/>
      </w:r>
      <w:r w:rsidRPr="00EA7CF0">
        <w:t xml:space="preserve"> </w:t>
      </w:r>
      <w:r>
        <w:rPr>
          <w:rFonts w:cs="Times New Roman"/>
        </w:rPr>
        <w:t>Ibid.</w:t>
      </w:r>
    </w:p>
  </w:footnote>
  <w:footnote w:id="424">
    <w:p w:rsidR="00952E3B" w:rsidRPr="00886B4B" w:rsidRDefault="00952E3B">
      <w:pPr>
        <w:pStyle w:val="FootnoteText"/>
      </w:pPr>
      <w:r w:rsidRPr="00886B4B">
        <w:rPr>
          <w:rStyle w:val="FootnoteReference"/>
        </w:rPr>
        <w:footnoteRef/>
      </w:r>
      <w:r w:rsidRPr="00886B4B">
        <w:t xml:space="preserve"> </w:t>
      </w:r>
      <w:r w:rsidRPr="00886B4B">
        <w:rPr>
          <w:rFonts w:cs="Times New Roman"/>
        </w:rPr>
        <w:t xml:space="preserve">OC Media, “Georgia Takes Russia to ECHR over ‘Rights Violations on Occupied Territories’” (OC MEDIA, August 24, 2018), </w:t>
      </w:r>
      <w:hyperlink r:id="rId99" w:history="1">
        <w:r w:rsidRPr="00886B4B">
          <w:rPr>
            <w:rStyle w:val="Hyperlink"/>
            <w:rFonts w:cs="Times New Roman"/>
          </w:rPr>
          <w:t>https://oc-media.org/georgia-takes-russia-to-echr-over-rights-violations-on-occupied-territories/</w:t>
        </w:r>
      </w:hyperlink>
      <w:r w:rsidRPr="00886B4B">
        <w:rPr>
          <w:rFonts w:cs="Times New Roman"/>
        </w:rPr>
        <w:t>.</w:t>
      </w:r>
    </w:p>
  </w:footnote>
  <w:footnote w:id="425">
    <w:p w:rsidR="00952E3B" w:rsidRPr="00886B4B" w:rsidRDefault="00952E3B">
      <w:pPr>
        <w:pStyle w:val="FootnoteText"/>
      </w:pPr>
      <w:r w:rsidRPr="00886B4B">
        <w:rPr>
          <w:rStyle w:val="FootnoteReference"/>
        </w:rPr>
        <w:footnoteRef/>
      </w:r>
      <w:r w:rsidRPr="00886B4B">
        <w:t xml:space="preserve"> </w:t>
      </w:r>
      <w:r w:rsidRPr="00886B4B">
        <w:rPr>
          <w:rFonts w:cs="Times New Roman"/>
        </w:rPr>
        <w:t xml:space="preserve">Delegation of the European Union in Georgia, “Statement by the Spokesperson on the ''A Step to a Better Future’ Peace Initiative by the Georgian Government” (European External Area Service – </w:t>
      </w:r>
      <w:proofErr w:type="gramStart"/>
      <w:r w:rsidRPr="00886B4B">
        <w:rPr>
          <w:rFonts w:cs="Times New Roman"/>
        </w:rPr>
        <w:t>EEAS ,April</w:t>
      </w:r>
      <w:proofErr w:type="gramEnd"/>
      <w:r w:rsidRPr="00886B4B">
        <w:rPr>
          <w:rFonts w:cs="Times New Roman"/>
        </w:rPr>
        <w:t xml:space="preserve"> 4, 2018), </w:t>
      </w:r>
      <w:hyperlink r:id="rId100" w:history="1">
        <w:r w:rsidRPr="00886B4B">
          <w:rPr>
            <w:rStyle w:val="Hyperlink"/>
            <w:rFonts w:cs="Times New Roman"/>
          </w:rPr>
          <w:t>https://eeas.europa.eu/delegations/georgia/42446/node/42446_fi</w:t>
        </w:r>
      </w:hyperlink>
      <w:r w:rsidRPr="00886B4B">
        <w:rPr>
          <w:rFonts w:cs="Times New Roman"/>
        </w:rPr>
        <w:t>.</w:t>
      </w:r>
    </w:p>
  </w:footnote>
  <w:footnote w:id="426">
    <w:p w:rsidR="00952E3B" w:rsidRPr="00886B4B" w:rsidRDefault="00952E3B">
      <w:pPr>
        <w:pStyle w:val="FootnoteText"/>
      </w:pPr>
      <w:r w:rsidRPr="00886B4B">
        <w:rPr>
          <w:rStyle w:val="FootnoteReference"/>
        </w:rPr>
        <w:footnoteRef/>
      </w:r>
      <w:r w:rsidRPr="00886B4B">
        <w:t xml:space="preserve"> </w:t>
      </w:r>
      <w:r w:rsidRPr="00886B4B">
        <w:rPr>
          <w:rFonts w:cs="Times New Roman"/>
        </w:rPr>
        <w:t>Thomas De Waal, “Enhancing the EU’s Engagement With Separatist Territories” (Carnegie Europe, January 17, 2017)</w:t>
      </w:r>
      <w:proofErr w:type="gramStart"/>
      <w:r w:rsidRPr="00886B4B">
        <w:rPr>
          <w:rFonts w:cs="Times New Roman"/>
        </w:rPr>
        <w:t>,6</w:t>
      </w:r>
      <w:proofErr w:type="gramEnd"/>
      <w:r w:rsidRPr="00886B4B">
        <w:rPr>
          <w:rFonts w:cs="Times New Roman"/>
        </w:rPr>
        <w:t xml:space="preserve">. </w:t>
      </w:r>
      <w:hyperlink r:id="rId101" w:history="1">
        <w:r w:rsidRPr="00886B4B">
          <w:rPr>
            <w:rStyle w:val="Hyperlink"/>
            <w:rFonts w:cs="Times New Roman"/>
          </w:rPr>
          <w:t>https://carnegieendowment.org/files/DeWaal_EU_Engagement_with_Seperatist_Territories.pdf</w:t>
        </w:r>
      </w:hyperlink>
      <w:r w:rsidRPr="00886B4B">
        <w:rPr>
          <w:rFonts w:cs="Times New Roman"/>
        </w:rPr>
        <w:t>.</w:t>
      </w:r>
    </w:p>
  </w:footnote>
  <w:footnote w:id="427">
    <w:p w:rsidR="00952E3B" w:rsidRPr="00886B4B" w:rsidRDefault="00952E3B">
      <w:pPr>
        <w:pStyle w:val="FootnoteText"/>
      </w:pPr>
      <w:r w:rsidRPr="00886B4B">
        <w:rPr>
          <w:rStyle w:val="FootnoteReference"/>
        </w:rPr>
        <w:footnoteRef/>
      </w:r>
      <w:r w:rsidRPr="00886B4B">
        <w:t xml:space="preserve"> </w:t>
      </w:r>
      <w:r>
        <w:rPr>
          <w:rFonts w:cs="Times New Roman"/>
        </w:rPr>
        <w:t>Ibid.</w:t>
      </w:r>
    </w:p>
  </w:footnote>
  <w:footnote w:id="428">
    <w:p w:rsidR="00952E3B" w:rsidRPr="00886B4B" w:rsidRDefault="00952E3B">
      <w:pPr>
        <w:pStyle w:val="FootnoteText"/>
      </w:pPr>
      <w:r w:rsidRPr="00886B4B">
        <w:rPr>
          <w:rStyle w:val="FootnoteReference"/>
        </w:rPr>
        <w:footnoteRef/>
      </w:r>
      <w:r w:rsidRPr="00886B4B">
        <w:t xml:space="preserve"> </w:t>
      </w:r>
      <w:r w:rsidRPr="00886B4B">
        <w:rPr>
          <w:rFonts w:cs="Times New Roman"/>
        </w:rPr>
        <w:t xml:space="preserve">European Centre for Disease Prevention and Control, “HIV/AIDS Surveillance in Europe 2019 - 2018 Data” (ECDC, November 28, 2019), </w:t>
      </w:r>
      <w:hyperlink r:id="rId102" w:history="1">
        <w:r w:rsidRPr="00886B4B">
          <w:rPr>
            <w:rStyle w:val="Hyperlink"/>
            <w:rFonts w:cs="Times New Roman"/>
          </w:rPr>
          <w:t>https://www.ecdc.europa.eu/en/publications-data/hivaids-surveillance-europe-2019-2018-data</w:t>
        </w:r>
      </w:hyperlink>
      <w:r w:rsidRPr="00886B4B">
        <w:rPr>
          <w:rFonts w:cs="Times New Roman"/>
        </w:rPr>
        <w:t>.</w:t>
      </w:r>
    </w:p>
  </w:footnote>
  <w:footnote w:id="429">
    <w:p w:rsidR="00952E3B" w:rsidRDefault="00952E3B">
      <w:pPr>
        <w:pStyle w:val="FootnoteText"/>
      </w:pPr>
      <w:r w:rsidRPr="00886B4B">
        <w:rPr>
          <w:rStyle w:val="FootnoteReference"/>
        </w:rPr>
        <w:footnoteRef/>
      </w:r>
      <w:r w:rsidRPr="00886B4B">
        <w:t xml:space="preserve"> </w:t>
      </w:r>
      <w:r>
        <w:rPr>
          <w:rFonts w:cs="Times New Roman"/>
        </w:rPr>
        <w:t>Ibid.</w:t>
      </w:r>
    </w:p>
  </w:footnote>
  <w:footnote w:id="430">
    <w:p w:rsidR="00952E3B" w:rsidRPr="00D6409F" w:rsidRDefault="00952E3B" w:rsidP="0025757C">
      <w:pPr>
        <w:rPr>
          <w:rFonts w:ascii="Times New Roman" w:hAnsi="Times New Roman"/>
        </w:rPr>
      </w:pPr>
      <w:r w:rsidRPr="00D6409F">
        <w:rPr>
          <w:rStyle w:val="FootnoteReference"/>
          <w:rFonts w:ascii="Times New Roman" w:hAnsi="Times New Roman"/>
        </w:rPr>
        <w:footnoteRef/>
      </w:r>
      <w:r w:rsidRPr="00D6409F">
        <w:rPr>
          <w:rFonts w:ascii="Times New Roman" w:hAnsi="Times New Roman"/>
        </w:rPr>
        <w:t xml:space="preserve"> Asida Shakryl, “Perceptions of the EU in Abkhazia and Prospects for the EU–Abkhazia Engagement” (Coincilation Resources, August 2012), https://rc-services-assets.s3.eu-west-1.amazonaws.com/s3fs-public/PPP_2012analysis1_EN_0.pdf, 8.</w:t>
      </w:r>
    </w:p>
  </w:footnote>
  <w:footnote w:id="431">
    <w:p w:rsidR="00952E3B" w:rsidRPr="00D6409F" w:rsidRDefault="00952E3B">
      <w:pPr>
        <w:pStyle w:val="FootnoteText"/>
        <w:rPr>
          <w:rFonts w:cs="Times New Roman"/>
        </w:rPr>
      </w:pPr>
      <w:r w:rsidRPr="00D6409F">
        <w:rPr>
          <w:rStyle w:val="FootnoteReference"/>
          <w:rFonts w:cs="Times New Roman"/>
        </w:rPr>
        <w:footnoteRef/>
      </w:r>
      <w:r w:rsidRPr="00D6409F">
        <w:rPr>
          <w:rFonts w:cs="Times New Roman"/>
        </w:rPr>
        <w:t xml:space="preserve"> </w:t>
      </w:r>
      <w:r>
        <w:rPr>
          <w:rFonts w:cs="Times New Roman"/>
        </w:rPr>
        <w:t>Ibid.9</w:t>
      </w:r>
    </w:p>
  </w:footnote>
  <w:footnote w:id="432">
    <w:p w:rsidR="00952E3B" w:rsidRPr="00D6409F" w:rsidRDefault="00952E3B">
      <w:pPr>
        <w:pStyle w:val="FootnoteText"/>
        <w:rPr>
          <w:rFonts w:cs="Times New Roman"/>
        </w:rPr>
      </w:pPr>
      <w:r w:rsidRPr="00D6409F">
        <w:rPr>
          <w:rStyle w:val="FootnoteReference"/>
          <w:rFonts w:cs="Times New Roman"/>
        </w:rPr>
        <w:footnoteRef/>
      </w:r>
      <w:r w:rsidRPr="00D6409F">
        <w:rPr>
          <w:rFonts w:cs="Times New Roman"/>
        </w:rPr>
        <w:t xml:space="preserve"> </w:t>
      </w:r>
      <w:r>
        <w:rPr>
          <w:rFonts w:cs="Times New Roman"/>
        </w:rPr>
        <w:t>Ibid.</w:t>
      </w:r>
    </w:p>
  </w:footnote>
  <w:footnote w:id="433">
    <w:p w:rsidR="00952E3B" w:rsidRPr="00D6409F" w:rsidRDefault="00952E3B">
      <w:pPr>
        <w:pStyle w:val="FootnoteText"/>
        <w:rPr>
          <w:rFonts w:cs="Times New Roman"/>
        </w:rPr>
      </w:pPr>
      <w:r w:rsidRPr="00D6409F">
        <w:rPr>
          <w:rStyle w:val="FootnoteReference"/>
          <w:rFonts w:cs="Times New Roman"/>
        </w:rPr>
        <w:footnoteRef/>
      </w:r>
      <w:r w:rsidRPr="00D6409F">
        <w:rPr>
          <w:rFonts w:cs="Times New Roman"/>
        </w:rPr>
        <w:t xml:space="preserve"> </w:t>
      </w:r>
      <w:r>
        <w:rPr>
          <w:rFonts w:cs="Times New Roman"/>
        </w:rPr>
        <w:t>Ibid.10</w:t>
      </w:r>
    </w:p>
  </w:footnote>
  <w:footnote w:id="434">
    <w:p w:rsidR="00952E3B" w:rsidRPr="00D6409F" w:rsidRDefault="00952E3B">
      <w:pPr>
        <w:pStyle w:val="FootnoteText"/>
        <w:rPr>
          <w:rFonts w:cs="Times New Roman"/>
        </w:rPr>
      </w:pPr>
      <w:r w:rsidRPr="00D6409F">
        <w:rPr>
          <w:rStyle w:val="FootnoteReference"/>
          <w:rFonts w:cs="Times New Roman"/>
        </w:rPr>
        <w:footnoteRef/>
      </w:r>
      <w:r w:rsidRPr="00D6409F">
        <w:rPr>
          <w:rFonts w:cs="Times New Roman"/>
        </w:rPr>
        <w:t xml:space="preserve"> </w:t>
      </w:r>
      <w:r>
        <w:rPr>
          <w:rFonts w:cs="Times New Roman"/>
        </w:rPr>
        <w:t>Ibid.</w:t>
      </w:r>
    </w:p>
  </w:footnote>
  <w:footnote w:id="435">
    <w:p w:rsidR="00952E3B" w:rsidRDefault="00952E3B">
      <w:pPr>
        <w:pStyle w:val="FootnoteText"/>
      </w:pPr>
      <w:r w:rsidRPr="00D6409F">
        <w:rPr>
          <w:rStyle w:val="FootnoteReference"/>
          <w:rFonts w:cs="Times New Roman"/>
        </w:rPr>
        <w:footnoteRef/>
      </w:r>
      <w:r w:rsidRPr="00D6409F">
        <w:rPr>
          <w:rFonts w:cs="Times New Roman"/>
        </w:rPr>
        <w:t xml:space="preserve"> </w:t>
      </w:r>
      <w:r>
        <w:rPr>
          <w:rFonts w:cs="Times New Roman"/>
        </w:rPr>
        <w:t>Ibid.11</w:t>
      </w:r>
    </w:p>
  </w:footnote>
  <w:footnote w:id="436">
    <w:p w:rsidR="00952E3B" w:rsidRPr="004B1E94" w:rsidRDefault="00952E3B">
      <w:pPr>
        <w:pStyle w:val="FootnoteText"/>
        <w:rPr>
          <w:rFonts w:cs="Times New Roman"/>
        </w:rPr>
      </w:pPr>
      <w:r w:rsidRPr="004B1E94">
        <w:rPr>
          <w:rStyle w:val="FootnoteReference"/>
          <w:rFonts w:cs="Times New Roman"/>
        </w:rPr>
        <w:footnoteRef/>
      </w:r>
      <w:r w:rsidRPr="004B1E94">
        <w:rPr>
          <w:rFonts w:cs="Times New Roman"/>
        </w:rPr>
        <w:t xml:space="preserve"> Liana Kvarchelia, “Conflicts and External Relations in Abkhazia” (Caucasus </w:t>
      </w:r>
      <w:proofErr w:type="gramStart"/>
      <w:r w:rsidRPr="004B1E94">
        <w:rPr>
          <w:rFonts w:cs="Times New Roman"/>
        </w:rPr>
        <w:t>Dialogues ,</w:t>
      </w:r>
      <w:proofErr w:type="gramEnd"/>
      <w:r w:rsidRPr="004B1E94">
        <w:rPr>
          <w:rFonts w:cs="Times New Roman"/>
        </w:rPr>
        <w:t xml:space="preserve"> September 2019), </w:t>
      </w:r>
      <w:hyperlink r:id="rId103" w:history="1">
        <w:r w:rsidRPr="004B1E94">
          <w:rPr>
            <w:rStyle w:val="Hyperlink"/>
            <w:rFonts w:cs="Times New Roman"/>
          </w:rPr>
          <w:t>https://www.international-alert.org/ar/blog/conflicts-and-external-relations-english-1</w:t>
        </w:r>
      </w:hyperlink>
      <w:r w:rsidRPr="004B1E94">
        <w:rPr>
          <w:rFonts w:cs="Times New Roman"/>
        </w:rPr>
        <w:t>.</w:t>
      </w:r>
    </w:p>
  </w:footnote>
  <w:footnote w:id="437">
    <w:p w:rsidR="00952E3B" w:rsidRPr="004B1E94" w:rsidRDefault="00952E3B">
      <w:pPr>
        <w:pStyle w:val="FootnoteText"/>
        <w:rPr>
          <w:rFonts w:cs="Times New Roman"/>
        </w:rPr>
      </w:pPr>
      <w:r w:rsidRPr="004B1E94">
        <w:rPr>
          <w:rStyle w:val="FootnoteReference"/>
          <w:rFonts w:cs="Times New Roman"/>
        </w:rPr>
        <w:footnoteRef/>
      </w:r>
      <w:r w:rsidRPr="004B1E94">
        <w:rPr>
          <w:rFonts w:cs="Times New Roman"/>
        </w:rPr>
        <w:t xml:space="preserve"> European Commission, “EU Assistance Fact Sheet: Georgia” (ReliefWeb, October 22, 2008), </w:t>
      </w:r>
      <w:hyperlink r:id="rId104" w:history="1">
        <w:r w:rsidRPr="004B1E94">
          <w:rPr>
            <w:rStyle w:val="Hyperlink"/>
            <w:rFonts w:cs="Times New Roman"/>
          </w:rPr>
          <w:t>https://reliefweb.int/report/georgia/eu-assistance-fact-sheet-georgia</w:t>
        </w:r>
      </w:hyperlink>
      <w:r w:rsidRPr="004B1E94">
        <w:rPr>
          <w:rFonts w:cs="Times New Roman"/>
        </w:rPr>
        <w:t>.</w:t>
      </w:r>
    </w:p>
  </w:footnote>
  <w:footnote w:id="438">
    <w:p w:rsidR="00952E3B" w:rsidRPr="004B1E94" w:rsidRDefault="00952E3B" w:rsidP="00BE0C1F">
      <w:pPr>
        <w:rPr>
          <w:rFonts w:ascii="Times New Roman" w:hAnsi="Times New Roman"/>
        </w:rPr>
      </w:pPr>
      <w:r w:rsidRPr="004B1E94">
        <w:rPr>
          <w:rStyle w:val="FootnoteReference"/>
          <w:rFonts w:ascii="Times New Roman" w:hAnsi="Times New Roman"/>
        </w:rPr>
        <w:footnoteRef/>
      </w:r>
      <w:r w:rsidRPr="004B1E94">
        <w:rPr>
          <w:rFonts w:ascii="Times New Roman" w:hAnsi="Times New Roman"/>
        </w:rPr>
        <w:t xml:space="preserve"> </w:t>
      </w:r>
      <w:r>
        <w:rPr>
          <w:rFonts w:ascii="Times New Roman" w:hAnsi="Times New Roman"/>
        </w:rPr>
        <w:t>Ibid.</w:t>
      </w:r>
    </w:p>
  </w:footnote>
  <w:footnote w:id="439">
    <w:p w:rsidR="00952E3B" w:rsidRPr="004B1E94" w:rsidRDefault="00952E3B">
      <w:pPr>
        <w:pStyle w:val="FootnoteText"/>
        <w:rPr>
          <w:rFonts w:cs="Times New Roman"/>
        </w:rPr>
      </w:pPr>
      <w:r w:rsidRPr="004B1E94">
        <w:rPr>
          <w:rStyle w:val="FootnoteReference"/>
          <w:rFonts w:cs="Times New Roman"/>
        </w:rPr>
        <w:footnoteRef/>
      </w:r>
      <w:r w:rsidRPr="004B1E94">
        <w:rPr>
          <w:rFonts w:cs="Times New Roman"/>
        </w:rPr>
        <w:t xml:space="preserve"> </w:t>
      </w:r>
      <w:r>
        <w:rPr>
          <w:rFonts w:cs="Times New Roman"/>
        </w:rPr>
        <w:t>Ibid.</w:t>
      </w:r>
    </w:p>
  </w:footnote>
  <w:footnote w:id="440">
    <w:p w:rsidR="00952E3B" w:rsidRPr="004B1E94" w:rsidRDefault="00952E3B">
      <w:pPr>
        <w:pStyle w:val="FootnoteText"/>
        <w:rPr>
          <w:rFonts w:cs="Times New Roman"/>
        </w:rPr>
      </w:pPr>
      <w:r w:rsidRPr="004B1E94">
        <w:rPr>
          <w:rStyle w:val="FootnoteReference"/>
          <w:rFonts w:cs="Times New Roman"/>
        </w:rPr>
        <w:footnoteRef/>
      </w:r>
      <w:r w:rsidRPr="004B1E94">
        <w:rPr>
          <w:rFonts w:cs="Times New Roman"/>
        </w:rPr>
        <w:t xml:space="preserve"> </w:t>
      </w:r>
      <w:r>
        <w:rPr>
          <w:rFonts w:cs="Times New Roman"/>
        </w:rPr>
        <w:t>Ibid</w:t>
      </w:r>
      <w:r w:rsidRPr="004B1E94">
        <w:rPr>
          <w:rFonts w:cs="Times New Roman"/>
        </w:rPr>
        <w:t>.</w:t>
      </w:r>
    </w:p>
  </w:footnote>
  <w:footnote w:id="441">
    <w:p w:rsidR="00952E3B" w:rsidRPr="004B1E94" w:rsidRDefault="00952E3B">
      <w:pPr>
        <w:pStyle w:val="FootnoteText"/>
        <w:rPr>
          <w:rFonts w:cs="Times New Roman"/>
        </w:rPr>
      </w:pPr>
      <w:r w:rsidRPr="004B1E94">
        <w:rPr>
          <w:rStyle w:val="FootnoteReference"/>
          <w:rFonts w:cs="Times New Roman"/>
        </w:rPr>
        <w:footnoteRef/>
      </w:r>
      <w:r w:rsidRPr="004B1E94">
        <w:rPr>
          <w:rFonts w:cs="Times New Roman"/>
        </w:rPr>
        <w:t xml:space="preserve"> Steffan Wolff and Richard Whitman, “CONFLICT RESOLUTION AS A POLICY GOAL UNDER ENP IN THE SOUTHERN </w:t>
      </w:r>
      <w:proofErr w:type="gramStart"/>
      <w:r w:rsidRPr="004B1E94">
        <w:rPr>
          <w:rFonts w:cs="Times New Roman"/>
        </w:rPr>
        <w:t>NEIGHBOURHOOD ”</w:t>
      </w:r>
      <w:proofErr w:type="gramEnd"/>
      <w:r w:rsidRPr="004B1E94">
        <w:rPr>
          <w:rFonts w:cs="Times New Roman"/>
        </w:rPr>
        <w:t>(University of Notingham, November 2008), http://www.stefanwolff.com/files/ENP.pdf, 7-8.</w:t>
      </w:r>
    </w:p>
  </w:footnote>
  <w:footnote w:id="442">
    <w:p w:rsidR="00952E3B" w:rsidRPr="004B1E94" w:rsidRDefault="00952E3B" w:rsidP="00200EB2">
      <w:pPr>
        <w:pStyle w:val="FootnoteText"/>
        <w:rPr>
          <w:rFonts w:cs="Times New Roman"/>
        </w:rPr>
      </w:pPr>
      <w:r w:rsidRPr="004B1E94">
        <w:rPr>
          <w:rStyle w:val="FootnoteReference"/>
          <w:rFonts w:cs="Times New Roman"/>
        </w:rPr>
        <w:footnoteRef/>
      </w:r>
      <w:r w:rsidRPr="004B1E94">
        <w:rPr>
          <w:rFonts w:cs="Times New Roman"/>
        </w:rPr>
        <w:t xml:space="preserve"> </w:t>
      </w:r>
      <w:r>
        <w:rPr>
          <w:rFonts w:cs="Times New Roman"/>
        </w:rPr>
        <w:t>Ibid.9</w:t>
      </w:r>
    </w:p>
  </w:footnote>
  <w:footnote w:id="443">
    <w:p w:rsidR="00952E3B" w:rsidRDefault="00952E3B">
      <w:pPr>
        <w:pStyle w:val="FootnoteText"/>
      </w:pPr>
      <w:r w:rsidRPr="004B1E94">
        <w:rPr>
          <w:rStyle w:val="FootnoteReference"/>
          <w:rFonts w:cs="Times New Roman"/>
        </w:rPr>
        <w:footnoteRef/>
      </w:r>
      <w:r w:rsidRPr="004B1E94">
        <w:rPr>
          <w:rFonts w:cs="Times New Roman"/>
        </w:rPr>
        <w:t xml:space="preserve"> Liana Kvarchelia, “Conflicts and External Relations in Abkhazia” (Caucasus </w:t>
      </w:r>
      <w:proofErr w:type="gramStart"/>
      <w:r w:rsidRPr="004B1E94">
        <w:rPr>
          <w:rFonts w:cs="Times New Roman"/>
        </w:rPr>
        <w:t>Dialogues ,</w:t>
      </w:r>
      <w:proofErr w:type="gramEnd"/>
      <w:r w:rsidRPr="004B1E94">
        <w:rPr>
          <w:rFonts w:cs="Times New Roman"/>
        </w:rPr>
        <w:t xml:space="preserve"> September 2019), </w:t>
      </w:r>
      <w:hyperlink r:id="rId105" w:history="1">
        <w:r w:rsidRPr="004B1E94">
          <w:rPr>
            <w:rStyle w:val="Hyperlink"/>
            <w:rFonts w:cs="Times New Roman"/>
          </w:rPr>
          <w:t>https://www.international-alert.org/ar/blog/conflicts-and-external-relations-english-1</w:t>
        </w:r>
      </w:hyperlink>
      <w:r w:rsidRPr="004B1E94">
        <w:rPr>
          <w:rFonts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7117E"/>
    <w:multiLevelType w:val="hybridMultilevel"/>
    <w:tmpl w:val="CCA2F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9119F"/>
    <w:multiLevelType w:val="hybridMultilevel"/>
    <w:tmpl w:val="F91C70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75229C"/>
    <w:multiLevelType w:val="hybridMultilevel"/>
    <w:tmpl w:val="73CE03FA"/>
    <w:lvl w:ilvl="0" w:tplc="C44632F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68309C"/>
    <w:multiLevelType w:val="hybridMultilevel"/>
    <w:tmpl w:val="D6224F6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AE1972"/>
    <w:multiLevelType w:val="hybridMultilevel"/>
    <w:tmpl w:val="565EEBDC"/>
    <w:lvl w:ilvl="0" w:tplc="9806AF62">
      <w:start w:val="1"/>
      <w:numFmt w:val="decimal"/>
      <w:pStyle w:val="Heading1"/>
      <w:lvlText w:val="%1."/>
      <w:lvlJc w:val="left"/>
      <w:pPr>
        <w:tabs>
          <w:tab w:val="num" w:pos="720"/>
        </w:tabs>
        <w:ind w:left="900" w:hanging="543"/>
      </w:pPr>
      <w:rPr>
        <w:rFonts w:cs="Times New Roman" w:hint="default"/>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B64080F"/>
    <w:multiLevelType w:val="hybridMultilevel"/>
    <w:tmpl w:val="9788C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BBE"/>
    <w:rsid w:val="00003254"/>
    <w:rsid w:val="00006063"/>
    <w:rsid w:val="00007BBB"/>
    <w:rsid w:val="00012D4C"/>
    <w:rsid w:val="00017A6D"/>
    <w:rsid w:val="00017F53"/>
    <w:rsid w:val="00023DAA"/>
    <w:rsid w:val="000264EF"/>
    <w:rsid w:val="000312C9"/>
    <w:rsid w:val="00033795"/>
    <w:rsid w:val="00046FAE"/>
    <w:rsid w:val="00047626"/>
    <w:rsid w:val="00050BA9"/>
    <w:rsid w:val="00064D8C"/>
    <w:rsid w:val="00065B05"/>
    <w:rsid w:val="000750B3"/>
    <w:rsid w:val="000768EC"/>
    <w:rsid w:val="00077F70"/>
    <w:rsid w:val="0008604F"/>
    <w:rsid w:val="000878F0"/>
    <w:rsid w:val="000918A1"/>
    <w:rsid w:val="00094BB1"/>
    <w:rsid w:val="00096681"/>
    <w:rsid w:val="000A1F80"/>
    <w:rsid w:val="000A544F"/>
    <w:rsid w:val="000A6F39"/>
    <w:rsid w:val="000B1406"/>
    <w:rsid w:val="000B2090"/>
    <w:rsid w:val="000C04BD"/>
    <w:rsid w:val="000C178F"/>
    <w:rsid w:val="000C7E43"/>
    <w:rsid w:val="000D3D80"/>
    <w:rsid w:val="000D518D"/>
    <w:rsid w:val="000D5F83"/>
    <w:rsid w:val="000E480E"/>
    <w:rsid w:val="000E6247"/>
    <w:rsid w:val="00103D22"/>
    <w:rsid w:val="00104CB6"/>
    <w:rsid w:val="001078DE"/>
    <w:rsid w:val="00110EB4"/>
    <w:rsid w:val="00112D65"/>
    <w:rsid w:val="0011517B"/>
    <w:rsid w:val="0011545E"/>
    <w:rsid w:val="0011607B"/>
    <w:rsid w:val="0012149F"/>
    <w:rsid w:val="00122E20"/>
    <w:rsid w:val="00123939"/>
    <w:rsid w:val="00126A0E"/>
    <w:rsid w:val="00135852"/>
    <w:rsid w:val="0013679A"/>
    <w:rsid w:val="00136E45"/>
    <w:rsid w:val="00136E8A"/>
    <w:rsid w:val="00140E38"/>
    <w:rsid w:val="00142532"/>
    <w:rsid w:val="0014623E"/>
    <w:rsid w:val="001500A2"/>
    <w:rsid w:val="001505DC"/>
    <w:rsid w:val="001615E6"/>
    <w:rsid w:val="00175027"/>
    <w:rsid w:val="0017590A"/>
    <w:rsid w:val="00185685"/>
    <w:rsid w:val="00190B18"/>
    <w:rsid w:val="001940CA"/>
    <w:rsid w:val="00195E07"/>
    <w:rsid w:val="00195E4A"/>
    <w:rsid w:val="00196238"/>
    <w:rsid w:val="001A130B"/>
    <w:rsid w:val="001A263C"/>
    <w:rsid w:val="001B274C"/>
    <w:rsid w:val="001B406E"/>
    <w:rsid w:val="001B43BE"/>
    <w:rsid w:val="001B494A"/>
    <w:rsid w:val="001B5654"/>
    <w:rsid w:val="001B67A9"/>
    <w:rsid w:val="001C23E3"/>
    <w:rsid w:val="001D0C0E"/>
    <w:rsid w:val="001D277E"/>
    <w:rsid w:val="001D2F5D"/>
    <w:rsid w:val="001E0340"/>
    <w:rsid w:val="001E423B"/>
    <w:rsid w:val="001F1C4A"/>
    <w:rsid w:val="001F265F"/>
    <w:rsid w:val="00200EB2"/>
    <w:rsid w:val="002039A0"/>
    <w:rsid w:val="00206E1F"/>
    <w:rsid w:val="0021409E"/>
    <w:rsid w:val="0021582B"/>
    <w:rsid w:val="00217A06"/>
    <w:rsid w:val="0022050C"/>
    <w:rsid w:val="00222A0D"/>
    <w:rsid w:val="002238BB"/>
    <w:rsid w:val="00233EE1"/>
    <w:rsid w:val="00233F22"/>
    <w:rsid w:val="00234AE2"/>
    <w:rsid w:val="00234F43"/>
    <w:rsid w:val="0023540B"/>
    <w:rsid w:val="002367FA"/>
    <w:rsid w:val="00243693"/>
    <w:rsid w:val="00245F1D"/>
    <w:rsid w:val="002476ED"/>
    <w:rsid w:val="0025399B"/>
    <w:rsid w:val="002546FF"/>
    <w:rsid w:val="0025757C"/>
    <w:rsid w:val="00262AC0"/>
    <w:rsid w:val="002748B1"/>
    <w:rsid w:val="00280D46"/>
    <w:rsid w:val="00284E8B"/>
    <w:rsid w:val="0029056A"/>
    <w:rsid w:val="00296415"/>
    <w:rsid w:val="002974BD"/>
    <w:rsid w:val="002A005E"/>
    <w:rsid w:val="002A6349"/>
    <w:rsid w:val="002A71CB"/>
    <w:rsid w:val="002B0D0D"/>
    <w:rsid w:val="002B641B"/>
    <w:rsid w:val="002C25A8"/>
    <w:rsid w:val="002C2C1A"/>
    <w:rsid w:val="002C54FC"/>
    <w:rsid w:val="002C6EE0"/>
    <w:rsid w:val="002D293F"/>
    <w:rsid w:val="002D6697"/>
    <w:rsid w:val="002D727F"/>
    <w:rsid w:val="002E7951"/>
    <w:rsid w:val="002F2E3D"/>
    <w:rsid w:val="002F35E9"/>
    <w:rsid w:val="002F3FEA"/>
    <w:rsid w:val="002F5E9E"/>
    <w:rsid w:val="002F6008"/>
    <w:rsid w:val="002F65CC"/>
    <w:rsid w:val="00300E69"/>
    <w:rsid w:val="00300EA0"/>
    <w:rsid w:val="003024E9"/>
    <w:rsid w:val="003030E2"/>
    <w:rsid w:val="00306165"/>
    <w:rsid w:val="00307B08"/>
    <w:rsid w:val="00311888"/>
    <w:rsid w:val="00311DE0"/>
    <w:rsid w:val="00321E25"/>
    <w:rsid w:val="00326D0E"/>
    <w:rsid w:val="00330176"/>
    <w:rsid w:val="003360BE"/>
    <w:rsid w:val="00337199"/>
    <w:rsid w:val="003410C4"/>
    <w:rsid w:val="00344B23"/>
    <w:rsid w:val="00345812"/>
    <w:rsid w:val="00360AEB"/>
    <w:rsid w:val="00362466"/>
    <w:rsid w:val="00363E25"/>
    <w:rsid w:val="003675F1"/>
    <w:rsid w:val="00367CE3"/>
    <w:rsid w:val="0038428A"/>
    <w:rsid w:val="00387529"/>
    <w:rsid w:val="003A16DC"/>
    <w:rsid w:val="003B0F0D"/>
    <w:rsid w:val="003B569D"/>
    <w:rsid w:val="003C44CE"/>
    <w:rsid w:val="003C7311"/>
    <w:rsid w:val="003D140E"/>
    <w:rsid w:val="003D4CF5"/>
    <w:rsid w:val="003D5540"/>
    <w:rsid w:val="003F3C65"/>
    <w:rsid w:val="003F5A67"/>
    <w:rsid w:val="003F5B08"/>
    <w:rsid w:val="004009CA"/>
    <w:rsid w:val="004035B3"/>
    <w:rsid w:val="00407519"/>
    <w:rsid w:val="00416D6D"/>
    <w:rsid w:val="00417FBC"/>
    <w:rsid w:val="00421946"/>
    <w:rsid w:val="00423B8C"/>
    <w:rsid w:val="00425E9C"/>
    <w:rsid w:val="00430060"/>
    <w:rsid w:val="00434913"/>
    <w:rsid w:val="00446FE5"/>
    <w:rsid w:val="00447B0C"/>
    <w:rsid w:val="00451175"/>
    <w:rsid w:val="004524F4"/>
    <w:rsid w:val="004525EC"/>
    <w:rsid w:val="0045545A"/>
    <w:rsid w:val="00461C85"/>
    <w:rsid w:val="0047123D"/>
    <w:rsid w:val="0048470F"/>
    <w:rsid w:val="004919BC"/>
    <w:rsid w:val="00492FB8"/>
    <w:rsid w:val="004952D5"/>
    <w:rsid w:val="00496B9E"/>
    <w:rsid w:val="004A05DF"/>
    <w:rsid w:val="004A0622"/>
    <w:rsid w:val="004A2DE9"/>
    <w:rsid w:val="004A4309"/>
    <w:rsid w:val="004B1E94"/>
    <w:rsid w:val="004B3557"/>
    <w:rsid w:val="004C1767"/>
    <w:rsid w:val="004C7C75"/>
    <w:rsid w:val="004D5971"/>
    <w:rsid w:val="004D67B8"/>
    <w:rsid w:val="004E096D"/>
    <w:rsid w:val="004F09D2"/>
    <w:rsid w:val="004F7722"/>
    <w:rsid w:val="00501889"/>
    <w:rsid w:val="00503440"/>
    <w:rsid w:val="00503557"/>
    <w:rsid w:val="00503890"/>
    <w:rsid w:val="00510E16"/>
    <w:rsid w:val="00514E99"/>
    <w:rsid w:val="0051566F"/>
    <w:rsid w:val="00524F6C"/>
    <w:rsid w:val="00527CB2"/>
    <w:rsid w:val="00532AAA"/>
    <w:rsid w:val="00542018"/>
    <w:rsid w:val="005440CE"/>
    <w:rsid w:val="00546EE1"/>
    <w:rsid w:val="00550384"/>
    <w:rsid w:val="005523CC"/>
    <w:rsid w:val="00557C6B"/>
    <w:rsid w:val="00562FF0"/>
    <w:rsid w:val="00567399"/>
    <w:rsid w:val="0056749A"/>
    <w:rsid w:val="00584A0C"/>
    <w:rsid w:val="00594BF4"/>
    <w:rsid w:val="005A3F92"/>
    <w:rsid w:val="005A43B8"/>
    <w:rsid w:val="005A4E5D"/>
    <w:rsid w:val="005B2B2A"/>
    <w:rsid w:val="005B7387"/>
    <w:rsid w:val="005C2D0A"/>
    <w:rsid w:val="005C400E"/>
    <w:rsid w:val="005C53D7"/>
    <w:rsid w:val="005C5609"/>
    <w:rsid w:val="005D1ABF"/>
    <w:rsid w:val="005D1C03"/>
    <w:rsid w:val="005D39DD"/>
    <w:rsid w:val="005E2F38"/>
    <w:rsid w:val="005E6178"/>
    <w:rsid w:val="005E6FD4"/>
    <w:rsid w:val="005E7327"/>
    <w:rsid w:val="005F1E59"/>
    <w:rsid w:val="0060591A"/>
    <w:rsid w:val="0061443E"/>
    <w:rsid w:val="00617BF4"/>
    <w:rsid w:val="006216CC"/>
    <w:rsid w:val="006320DB"/>
    <w:rsid w:val="0063492C"/>
    <w:rsid w:val="00636404"/>
    <w:rsid w:val="0063750D"/>
    <w:rsid w:val="00642D6B"/>
    <w:rsid w:val="00647750"/>
    <w:rsid w:val="00652942"/>
    <w:rsid w:val="006567C1"/>
    <w:rsid w:val="00657958"/>
    <w:rsid w:val="00671807"/>
    <w:rsid w:val="006809FF"/>
    <w:rsid w:val="0068288D"/>
    <w:rsid w:val="00684C0E"/>
    <w:rsid w:val="00695758"/>
    <w:rsid w:val="00695BBD"/>
    <w:rsid w:val="006A2237"/>
    <w:rsid w:val="006A4009"/>
    <w:rsid w:val="006A66BC"/>
    <w:rsid w:val="006B0CF3"/>
    <w:rsid w:val="006B5C75"/>
    <w:rsid w:val="006C762C"/>
    <w:rsid w:val="006D2116"/>
    <w:rsid w:val="006D290C"/>
    <w:rsid w:val="006D5E33"/>
    <w:rsid w:val="006E113E"/>
    <w:rsid w:val="006E1173"/>
    <w:rsid w:val="006E2FDA"/>
    <w:rsid w:val="006E5499"/>
    <w:rsid w:val="006E657A"/>
    <w:rsid w:val="00704A29"/>
    <w:rsid w:val="00715EBA"/>
    <w:rsid w:val="00716F8F"/>
    <w:rsid w:val="007204E1"/>
    <w:rsid w:val="00725267"/>
    <w:rsid w:val="007254ED"/>
    <w:rsid w:val="0074034C"/>
    <w:rsid w:val="00742AB5"/>
    <w:rsid w:val="00744E72"/>
    <w:rsid w:val="007508AD"/>
    <w:rsid w:val="007526AE"/>
    <w:rsid w:val="0075282E"/>
    <w:rsid w:val="007543FF"/>
    <w:rsid w:val="00761156"/>
    <w:rsid w:val="007612F6"/>
    <w:rsid w:val="007626AC"/>
    <w:rsid w:val="00770EEF"/>
    <w:rsid w:val="00774BBE"/>
    <w:rsid w:val="00775D56"/>
    <w:rsid w:val="0078448F"/>
    <w:rsid w:val="00792A84"/>
    <w:rsid w:val="007969EC"/>
    <w:rsid w:val="007A05FB"/>
    <w:rsid w:val="007A2382"/>
    <w:rsid w:val="007A6DF2"/>
    <w:rsid w:val="007B74C4"/>
    <w:rsid w:val="007C1B4A"/>
    <w:rsid w:val="007C282C"/>
    <w:rsid w:val="007C7C76"/>
    <w:rsid w:val="007C7DDF"/>
    <w:rsid w:val="007D0777"/>
    <w:rsid w:val="007D0F87"/>
    <w:rsid w:val="007E38DB"/>
    <w:rsid w:val="007E40E9"/>
    <w:rsid w:val="007E7CD7"/>
    <w:rsid w:val="008018EE"/>
    <w:rsid w:val="00806928"/>
    <w:rsid w:val="0080787C"/>
    <w:rsid w:val="00807A3B"/>
    <w:rsid w:val="008101DB"/>
    <w:rsid w:val="0082203F"/>
    <w:rsid w:val="00832E84"/>
    <w:rsid w:val="00834CF8"/>
    <w:rsid w:val="008350D4"/>
    <w:rsid w:val="00841FB8"/>
    <w:rsid w:val="0084747A"/>
    <w:rsid w:val="008554A7"/>
    <w:rsid w:val="00855EB3"/>
    <w:rsid w:val="00855ECE"/>
    <w:rsid w:val="0086219B"/>
    <w:rsid w:val="00867F58"/>
    <w:rsid w:val="008706A7"/>
    <w:rsid w:val="00871435"/>
    <w:rsid w:val="00880CFA"/>
    <w:rsid w:val="00883E00"/>
    <w:rsid w:val="00886B4B"/>
    <w:rsid w:val="00895C3F"/>
    <w:rsid w:val="00897931"/>
    <w:rsid w:val="008B36E7"/>
    <w:rsid w:val="008B3AED"/>
    <w:rsid w:val="008B3B0B"/>
    <w:rsid w:val="008B5A68"/>
    <w:rsid w:val="008C32B2"/>
    <w:rsid w:val="008D4055"/>
    <w:rsid w:val="008E1083"/>
    <w:rsid w:val="008E1FF6"/>
    <w:rsid w:val="008E2374"/>
    <w:rsid w:val="008E2480"/>
    <w:rsid w:val="008F1BE0"/>
    <w:rsid w:val="00901931"/>
    <w:rsid w:val="00902E5B"/>
    <w:rsid w:val="009063A9"/>
    <w:rsid w:val="009077EF"/>
    <w:rsid w:val="00910810"/>
    <w:rsid w:val="00913ED8"/>
    <w:rsid w:val="00917A4B"/>
    <w:rsid w:val="00924987"/>
    <w:rsid w:val="00930887"/>
    <w:rsid w:val="00935018"/>
    <w:rsid w:val="00942A6A"/>
    <w:rsid w:val="00944E94"/>
    <w:rsid w:val="0094509A"/>
    <w:rsid w:val="0094743A"/>
    <w:rsid w:val="00952E3B"/>
    <w:rsid w:val="0095451A"/>
    <w:rsid w:val="00954A0B"/>
    <w:rsid w:val="00964AAC"/>
    <w:rsid w:val="0097283B"/>
    <w:rsid w:val="00974556"/>
    <w:rsid w:val="00981074"/>
    <w:rsid w:val="00982A25"/>
    <w:rsid w:val="009839D6"/>
    <w:rsid w:val="00995CCB"/>
    <w:rsid w:val="009A51AE"/>
    <w:rsid w:val="009A64A0"/>
    <w:rsid w:val="009B1A07"/>
    <w:rsid w:val="009B6160"/>
    <w:rsid w:val="009C3237"/>
    <w:rsid w:val="009C5F4B"/>
    <w:rsid w:val="009D2553"/>
    <w:rsid w:val="00A00C0B"/>
    <w:rsid w:val="00A044A4"/>
    <w:rsid w:val="00A1710C"/>
    <w:rsid w:val="00A26B56"/>
    <w:rsid w:val="00A30013"/>
    <w:rsid w:val="00A373D0"/>
    <w:rsid w:val="00A402BC"/>
    <w:rsid w:val="00A44962"/>
    <w:rsid w:val="00A82409"/>
    <w:rsid w:val="00A845A2"/>
    <w:rsid w:val="00A94A66"/>
    <w:rsid w:val="00AA0324"/>
    <w:rsid w:val="00AA0BBD"/>
    <w:rsid w:val="00AA1B40"/>
    <w:rsid w:val="00AB27B7"/>
    <w:rsid w:val="00AB50F6"/>
    <w:rsid w:val="00AC0261"/>
    <w:rsid w:val="00AC04CC"/>
    <w:rsid w:val="00AC186A"/>
    <w:rsid w:val="00AC6564"/>
    <w:rsid w:val="00AD17D6"/>
    <w:rsid w:val="00AD2EF7"/>
    <w:rsid w:val="00AD4221"/>
    <w:rsid w:val="00AD5BED"/>
    <w:rsid w:val="00AE1F60"/>
    <w:rsid w:val="00AE309B"/>
    <w:rsid w:val="00AE4993"/>
    <w:rsid w:val="00AE4D71"/>
    <w:rsid w:val="00AF0285"/>
    <w:rsid w:val="00B13A08"/>
    <w:rsid w:val="00B17526"/>
    <w:rsid w:val="00B20EE7"/>
    <w:rsid w:val="00B304DA"/>
    <w:rsid w:val="00B35F93"/>
    <w:rsid w:val="00B45F0D"/>
    <w:rsid w:val="00B4655B"/>
    <w:rsid w:val="00B46E30"/>
    <w:rsid w:val="00B57151"/>
    <w:rsid w:val="00B63493"/>
    <w:rsid w:val="00B66BDF"/>
    <w:rsid w:val="00B74019"/>
    <w:rsid w:val="00B74673"/>
    <w:rsid w:val="00B80727"/>
    <w:rsid w:val="00B81AF6"/>
    <w:rsid w:val="00B865C6"/>
    <w:rsid w:val="00B94442"/>
    <w:rsid w:val="00BB28A7"/>
    <w:rsid w:val="00BB4CC1"/>
    <w:rsid w:val="00BC3685"/>
    <w:rsid w:val="00BD0F6D"/>
    <w:rsid w:val="00BE0C1F"/>
    <w:rsid w:val="00BE3931"/>
    <w:rsid w:val="00BE452E"/>
    <w:rsid w:val="00BE7E6E"/>
    <w:rsid w:val="00BF473D"/>
    <w:rsid w:val="00BF72BF"/>
    <w:rsid w:val="00C00E69"/>
    <w:rsid w:val="00C01161"/>
    <w:rsid w:val="00C04C5F"/>
    <w:rsid w:val="00C0514C"/>
    <w:rsid w:val="00C06E65"/>
    <w:rsid w:val="00C07BD9"/>
    <w:rsid w:val="00C136C1"/>
    <w:rsid w:val="00C1738C"/>
    <w:rsid w:val="00C175F0"/>
    <w:rsid w:val="00C26308"/>
    <w:rsid w:val="00C34C99"/>
    <w:rsid w:val="00C34F71"/>
    <w:rsid w:val="00C450AB"/>
    <w:rsid w:val="00C47D49"/>
    <w:rsid w:val="00C51913"/>
    <w:rsid w:val="00C60FD4"/>
    <w:rsid w:val="00C63F2A"/>
    <w:rsid w:val="00C64E83"/>
    <w:rsid w:val="00C677DF"/>
    <w:rsid w:val="00C67B17"/>
    <w:rsid w:val="00C7236D"/>
    <w:rsid w:val="00C725D4"/>
    <w:rsid w:val="00C757EA"/>
    <w:rsid w:val="00C769E8"/>
    <w:rsid w:val="00C810DB"/>
    <w:rsid w:val="00C81C00"/>
    <w:rsid w:val="00C8350A"/>
    <w:rsid w:val="00CA4233"/>
    <w:rsid w:val="00CA5AC1"/>
    <w:rsid w:val="00CB1768"/>
    <w:rsid w:val="00CB66B9"/>
    <w:rsid w:val="00CC3CCB"/>
    <w:rsid w:val="00CD422F"/>
    <w:rsid w:val="00CE69D9"/>
    <w:rsid w:val="00CE6D1C"/>
    <w:rsid w:val="00CF2F54"/>
    <w:rsid w:val="00CF65A3"/>
    <w:rsid w:val="00D023C1"/>
    <w:rsid w:val="00D03049"/>
    <w:rsid w:val="00D12D06"/>
    <w:rsid w:val="00D21302"/>
    <w:rsid w:val="00D33856"/>
    <w:rsid w:val="00D34A75"/>
    <w:rsid w:val="00D400D6"/>
    <w:rsid w:val="00D42FB8"/>
    <w:rsid w:val="00D44609"/>
    <w:rsid w:val="00D45AEE"/>
    <w:rsid w:val="00D57DBE"/>
    <w:rsid w:val="00D62EF6"/>
    <w:rsid w:val="00D637B7"/>
    <w:rsid w:val="00D6409F"/>
    <w:rsid w:val="00D64448"/>
    <w:rsid w:val="00D8159E"/>
    <w:rsid w:val="00D8667B"/>
    <w:rsid w:val="00D966B0"/>
    <w:rsid w:val="00DB1F60"/>
    <w:rsid w:val="00DB226E"/>
    <w:rsid w:val="00DB2C33"/>
    <w:rsid w:val="00DB31E4"/>
    <w:rsid w:val="00DB45B8"/>
    <w:rsid w:val="00DC7791"/>
    <w:rsid w:val="00DD1AF3"/>
    <w:rsid w:val="00DD254A"/>
    <w:rsid w:val="00DD4ECB"/>
    <w:rsid w:val="00DD719D"/>
    <w:rsid w:val="00DE77FA"/>
    <w:rsid w:val="00DE799F"/>
    <w:rsid w:val="00DF1A92"/>
    <w:rsid w:val="00DF4494"/>
    <w:rsid w:val="00DF79AF"/>
    <w:rsid w:val="00E00E7C"/>
    <w:rsid w:val="00E07B1A"/>
    <w:rsid w:val="00E17B53"/>
    <w:rsid w:val="00E204B8"/>
    <w:rsid w:val="00E2671B"/>
    <w:rsid w:val="00E318FF"/>
    <w:rsid w:val="00E34D65"/>
    <w:rsid w:val="00E37C76"/>
    <w:rsid w:val="00E5108C"/>
    <w:rsid w:val="00E51150"/>
    <w:rsid w:val="00E54481"/>
    <w:rsid w:val="00E56E78"/>
    <w:rsid w:val="00E57FB7"/>
    <w:rsid w:val="00E66453"/>
    <w:rsid w:val="00E82080"/>
    <w:rsid w:val="00E8625F"/>
    <w:rsid w:val="00E8794E"/>
    <w:rsid w:val="00E91AD4"/>
    <w:rsid w:val="00E94009"/>
    <w:rsid w:val="00E95787"/>
    <w:rsid w:val="00E95849"/>
    <w:rsid w:val="00EA588A"/>
    <w:rsid w:val="00EA7CF0"/>
    <w:rsid w:val="00EB35BE"/>
    <w:rsid w:val="00EC1174"/>
    <w:rsid w:val="00EC604A"/>
    <w:rsid w:val="00EE050C"/>
    <w:rsid w:val="00EE0DF4"/>
    <w:rsid w:val="00EE6593"/>
    <w:rsid w:val="00EF313F"/>
    <w:rsid w:val="00EF378D"/>
    <w:rsid w:val="00EF3D29"/>
    <w:rsid w:val="00EF64D9"/>
    <w:rsid w:val="00F0306C"/>
    <w:rsid w:val="00F051A0"/>
    <w:rsid w:val="00F1708F"/>
    <w:rsid w:val="00F305D7"/>
    <w:rsid w:val="00F3702B"/>
    <w:rsid w:val="00F433AD"/>
    <w:rsid w:val="00F53B81"/>
    <w:rsid w:val="00F567E4"/>
    <w:rsid w:val="00F56A9C"/>
    <w:rsid w:val="00F60BCD"/>
    <w:rsid w:val="00F61B83"/>
    <w:rsid w:val="00F61F43"/>
    <w:rsid w:val="00F62251"/>
    <w:rsid w:val="00F66484"/>
    <w:rsid w:val="00F66AA6"/>
    <w:rsid w:val="00F66CAE"/>
    <w:rsid w:val="00F7185D"/>
    <w:rsid w:val="00F81BBD"/>
    <w:rsid w:val="00F8608C"/>
    <w:rsid w:val="00F91976"/>
    <w:rsid w:val="00F92146"/>
    <w:rsid w:val="00F93AA7"/>
    <w:rsid w:val="00FA415C"/>
    <w:rsid w:val="00FA76CE"/>
    <w:rsid w:val="00FB2966"/>
    <w:rsid w:val="00FB5340"/>
    <w:rsid w:val="00FC0392"/>
    <w:rsid w:val="00FC1216"/>
    <w:rsid w:val="00FC4325"/>
    <w:rsid w:val="00FC7E0F"/>
    <w:rsid w:val="00FD4FED"/>
    <w:rsid w:val="00FD6F58"/>
    <w:rsid w:val="00FE1072"/>
    <w:rsid w:val="00FE47DF"/>
    <w:rsid w:val="00FE74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AFE6D0-7925-4272-8340-DE10065B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774BBE"/>
    <w:pPr>
      <w:spacing w:after="0" w:line="240" w:lineRule="auto"/>
    </w:pPr>
    <w:rPr>
      <w:rFonts w:ascii="MS Sans Serif" w:eastAsia="Times New Roman" w:hAnsi="MS Sans Serif" w:cs="Times New Roman"/>
      <w:sz w:val="20"/>
      <w:szCs w:val="20"/>
      <w:lang w:val="en-US"/>
    </w:rPr>
  </w:style>
  <w:style w:type="paragraph" w:styleId="Heading1">
    <w:name w:val="heading 1"/>
    <w:basedOn w:val="Normal"/>
    <w:next w:val="Normal"/>
    <w:link w:val="Heading1Char"/>
    <w:qFormat/>
    <w:rsid w:val="00774BBE"/>
    <w:pPr>
      <w:keepNext/>
      <w:numPr>
        <w:numId w:val="1"/>
      </w:numPr>
      <w:outlineLvl w:val="0"/>
    </w:pPr>
    <w:rPr>
      <w:rFonts w:ascii="Verdana" w:hAnsi="Verdana"/>
      <w:b/>
      <w:snapToGrid w:val="0"/>
      <w:sz w:val="24"/>
      <w:lang w:val="en-GB"/>
    </w:rPr>
  </w:style>
  <w:style w:type="paragraph" w:styleId="Heading2">
    <w:name w:val="heading 2"/>
    <w:basedOn w:val="Normal"/>
    <w:next w:val="Normal"/>
    <w:link w:val="Heading2Char"/>
    <w:uiPriority w:val="9"/>
    <w:unhideWhenUsed/>
    <w:qFormat/>
    <w:rsid w:val="006D211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4BBE"/>
    <w:rPr>
      <w:rFonts w:ascii="Verdana" w:eastAsia="Times New Roman" w:hAnsi="Verdana" w:cs="Times New Roman"/>
      <w:b/>
      <w:snapToGrid w:val="0"/>
      <w:sz w:val="24"/>
      <w:szCs w:val="20"/>
      <w:lang w:val="en-GB"/>
    </w:rPr>
  </w:style>
  <w:style w:type="paragraph" w:styleId="BalloonText">
    <w:name w:val="Balloon Text"/>
    <w:basedOn w:val="Normal"/>
    <w:link w:val="BalloonTextChar"/>
    <w:uiPriority w:val="99"/>
    <w:semiHidden/>
    <w:unhideWhenUsed/>
    <w:rsid w:val="00774BBE"/>
    <w:rPr>
      <w:rFonts w:ascii="Tahoma" w:hAnsi="Tahoma" w:cs="Tahoma"/>
      <w:sz w:val="16"/>
      <w:szCs w:val="16"/>
    </w:rPr>
  </w:style>
  <w:style w:type="character" w:customStyle="1" w:styleId="BalloonTextChar">
    <w:name w:val="Balloon Text Char"/>
    <w:basedOn w:val="DefaultParagraphFont"/>
    <w:link w:val="BalloonText"/>
    <w:uiPriority w:val="99"/>
    <w:semiHidden/>
    <w:rsid w:val="00774BBE"/>
    <w:rPr>
      <w:rFonts w:ascii="Tahoma" w:eastAsia="Times New Roman" w:hAnsi="Tahoma" w:cs="Tahoma"/>
      <w:sz w:val="16"/>
      <w:szCs w:val="16"/>
      <w:lang w:val="en-US"/>
    </w:rPr>
  </w:style>
  <w:style w:type="paragraph" w:customStyle="1" w:styleId="BodyText1">
    <w:name w:val="Body Text1"/>
    <w:basedOn w:val="BlockText"/>
    <w:link w:val="BodytextChar"/>
    <w:rsid w:val="002E7951"/>
    <w:pPr>
      <w:pBdr>
        <w:top w:val="none" w:sz="0" w:space="0" w:color="auto"/>
        <w:left w:val="none" w:sz="0" w:space="0" w:color="auto"/>
        <w:bottom w:val="none" w:sz="0" w:space="0" w:color="auto"/>
        <w:right w:val="none" w:sz="0" w:space="0" w:color="auto"/>
      </w:pBdr>
      <w:kinsoku w:val="0"/>
      <w:ind w:left="0" w:right="0"/>
      <w:jc w:val="both"/>
    </w:pPr>
    <w:rPr>
      <w:rFonts w:ascii="Verdana" w:eastAsia="Times New Roman" w:hAnsi="Verdana" w:cs="Times New Roman"/>
      <w:i w:val="0"/>
      <w:iCs w:val="0"/>
      <w:color w:val="auto"/>
      <w:szCs w:val="22"/>
      <w:lang w:val="en-GB"/>
    </w:rPr>
  </w:style>
  <w:style w:type="paragraph" w:styleId="BlockText">
    <w:name w:val="Block Text"/>
    <w:basedOn w:val="Normal"/>
    <w:uiPriority w:val="99"/>
    <w:semiHidden/>
    <w:unhideWhenUsed/>
    <w:rsid w:val="002E795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character" w:customStyle="1" w:styleId="BodytextChar">
    <w:name w:val="Body text Char"/>
    <w:basedOn w:val="DefaultParagraphFont"/>
    <w:link w:val="BodyText1"/>
    <w:rsid w:val="002E7951"/>
    <w:rPr>
      <w:rFonts w:ascii="Verdana" w:eastAsia="Times New Roman" w:hAnsi="Verdana" w:cs="Times New Roman"/>
      <w:sz w:val="20"/>
      <w:lang w:val="en-GB"/>
    </w:rPr>
  </w:style>
  <w:style w:type="paragraph" w:styleId="ListParagraph">
    <w:name w:val="List Paragraph"/>
    <w:basedOn w:val="Normal"/>
    <w:uiPriority w:val="34"/>
    <w:qFormat/>
    <w:rsid w:val="00050BA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050BA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Spacing"/>
    <w:link w:val="FootnoteTextChar"/>
    <w:uiPriority w:val="99"/>
    <w:semiHidden/>
    <w:unhideWhenUsed/>
    <w:rsid w:val="00B865C6"/>
    <w:rPr>
      <w:rFonts w:ascii="Times New Roman" w:eastAsiaTheme="minorHAnsi" w:hAnsi="Times New Roman" w:cstheme="minorBidi"/>
    </w:rPr>
  </w:style>
  <w:style w:type="character" w:customStyle="1" w:styleId="FootnoteTextChar">
    <w:name w:val="Footnote Text Char"/>
    <w:basedOn w:val="DefaultParagraphFont"/>
    <w:link w:val="FootnoteText"/>
    <w:uiPriority w:val="99"/>
    <w:semiHidden/>
    <w:rsid w:val="00B865C6"/>
    <w:rPr>
      <w:rFonts w:ascii="Times New Roman" w:hAnsi="Times New Roman"/>
      <w:sz w:val="20"/>
      <w:szCs w:val="20"/>
      <w:lang w:val="en-US"/>
    </w:rPr>
  </w:style>
  <w:style w:type="character" w:styleId="FootnoteReference">
    <w:name w:val="footnote reference"/>
    <w:basedOn w:val="DefaultParagraphFont"/>
    <w:uiPriority w:val="99"/>
    <w:semiHidden/>
    <w:unhideWhenUsed/>
    <w:rsid w:val="00050BA9"/>
    <w:rPr>
      <w:vertAlign w:val="superscript"/>
    </w:rPr>
  </w:style>
  <w:style w:type="character" w:styleId="Hyperlink">
    <w:name w:val="Hyperlink"/>
    <w:basedOn w:val="DefaultParagraphFont"/>
    <w:uiPriority w:val="99"/>
    <w:unhideWhenUsed/>
    <w:rsid w:val="00050BA9"/>
    <w:rPr>
      <w:color w:val="0000FF" w:themeColor="hyperlink"/>
      <w:u w:val="single"/>
    </w:rPr>
  </w:style>
  <w:style w:type="paragraph" w:styleId="NormalWeb">
    <w:name w:val="Normal (Web)"/>
    <w:basedOn w:val="NoSpacing"/>
    <w:uiPriority w:val="99"/>
    <w:unhideWhenUsed/>
    <w:rsid w:val="00012D4C"/>
    <w:pPr>
      <w:spacing w:before="100" w:beforeAutospacing="1" w:after="100" w:afterAutospacing="1"/>
    </w:pPr>
    <w:rPr>
      <w:rFonts w:asciiTheme="minorHAnsi" w:hAnsiTheme="minorHAnsi"/>
      <w:sz w:val="24"/>
      <w:szCs w:val="24"/>
    </w:rPr>
  </w:style>
  <w:style w:type="paragraph" w:styleId="NoSpacing">
    <w:name w:val="No Spacing"/>
    <w:uiPriority w:val="1"/>
    <w:qFormat/>
    <w:rsid w:val="00B865C6"/>
    <w:pPr>
      <w:spacing w:after="0" w:line="240" w:lineRule="auto"/>
    </w:pPr>
    <w:rPr>
      <w:rFonts w:ascii="MS Sans Serif" w:eastAsia="Times New Roman" w:hAnsi="MS Sans Serif" w:cs="Times New Roman"/>
      <w:sz w:val="20"/>
      <w:szCs w:val="20"/>
      <w:lang w:val="en-US"/>
    </w:rPr>
  </w:style>
  <w:style w:type="table" w:customStyle="1" w:styleId="GridTable1Light-Accent31">
    <w:name w:val="Grid Table 1 Light - Accent 31"/>
    <w:basedOn w:val="TableNormal"/>
    <w:uiPriority w:val="46"/>
    <w:rsid w:val="00867F58"/>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6D2116"/>
    <w:rPr>
      <w:rFonts w:asciiTheme="majorHAnsi" w:eastAsiaTheme="majorEastAsia" w:hAnsiTheme="majorHAnsi" w:cstheme="majorBidi"/>
      <w:color w:val="365F91" w:themeColor="accent1" w:themeShade="BF"/>
      <w:sz w:val="26"/>
      <w:szCs w:val="26"/>
      <w:lang w:val="en-US"/>
    </w:rPr>
  </w:style>
  <w:style w:type="paragraph" w:styleId="Header">
    <w:name w:val="header"/>
    <w:basedOn w:val="Normal"/>
    <w:link w:val="HeaderChar"/>
    <w:uiPriority w:val="99"/>
    <w:unhideWhenUsed/>
    <w:rsid w:val="006D2116"/>
    <w:pPr>
      <w:tabs>
        <w:tab w:val="center" w:pos="4680"/>
        <w:tab w:val="right" w:pos="9360"/>
      </w:tabs>
    </w:pPr>
  </w:style>
  <w:style w:type="character" w:customStyle="1" w:styleId="HeaderChar">
    <w:name w:val="Header Char"/>
    <w:basedOn w:val="DefaultParagraphFont"/>
    <w:link w:val="Header"/>
    <w:uiPriority w:val="99"/>
    <w:rsid w:val="006D2116"/>
    <w:rPr>
      <w:rFonts w:ascii="MS Sans Serif" w:eastAsia="Times New Roman" w:hAnsi="MS Sans Serif" w:cs="Times New Roman"/>
      <w:sz w:val="20"/>
      <w:szCs w:val="20"/>
      <w:lang w:val="en-US"/>
    </w:rPr>
  </w:style>
  <w:style w:type="paragraph" w:styleId="Footer">
    <w:name w:val="footer"/>
    <w:basedOn w:val="Normal"/>
    <w:link w:val="FooterChar"/>
    <w:uiPriority w:val="99"/>
    <w:unhideWhenUsed/>
    <w:rsid w:val="006D2116"/>
    <w:pPr>
      <w:tabs>
        <w:tab w:val="center" w:pos="4680"/>
        <w:tab w:val="right" w:pos="9360"/>
      </w:tabs>
    </w:pPr>
  </w:style>
  <w:style w:type="character" w:customStyle="1" w:styleId="FooterChar">
    <w:name w:val="Footer Char"/>
    <w:basedOn w:val="DefaultParagraphFont"/>
    <w:link w:val="Footer"/>
    <w:uiPriority w:val="99"/>
    <w:rsid w:val="006D2116"/>
    <w:rPr>
      <w:rFonts w:ascii="MS Sans Serif" w:eastAsia="Times New Roman" w:hAnsi="MS Sans Serif" w:cs="Times New Roman"/>
      <w:sz w:val="20"/>
      <w:szCs w:val="20"/>
      <w:lang w:val="en-US"/>
    </w:rPr>
  </w:style>
  <w:style w:type="paragraph" w:styleId="TOCHeading">
    <w:name w:val="TOC Heading"/>
    <w:basedOn w:val="Heading1"/>
    <w:next w:val="Normal"/>
    <w:uiPriority w:val="39"/>
    <w:unhideWhenUsed/>
    <w:qFormat/>
    <w:rsid w:val="005C2D0A"/>
    <w:pPr>
      <w:keepLines/>
      <w:numPr>
        <w:numId w:val="0"/>
      </w:numPr>
      <w:spacing w:before="240" w:line="259" w:lineRule="auto"/>
      <w:outlineLvl w:val="9"/>
    </w:pPr>
    <w:rPr>
      <w:rFonts w:asciiTheme="majorHAnsi" w:eastAsiaTheme="majorEastAsia" w:hAnsiTheme="majorHAnsi" w:cstheme="majorBidi"/>
      <w:b w:val="0"/>
      <w:snapToGrid/>
      <w:color w:val="365F91" w:themeColor="accent1" w:themeShade="BF"/>
      <w:sz w:val="32"/>
      <w:szCs w:val="32"/>
      <w:lang w:val="en-US"/>
    </w:rPr>
  </w:style>
  <w:style w:type="paragraph" w:styleId="TOC2">
    <w:name w:val="toc 2"/>
    <w:basedOn w:val="Normal"/>
    <w:next w:val="Normal"/>
    <w:autoRedefine/>
    <w:uiPriority w:val="39"/>
    <w:unhideWhenUsed/>
    <w:rsid w:val="005C2D0A"/>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81348">
      <w:bodyDiv w:val="1"/>
      <w:marLeft w:val="0"/>
      <w:marRight w:val="0"/>
      <w:marTop w:val="0"/>
      <w:marBottom w:val="0"/>
      <w:divBdr>
        <w:top w:val="none" w:sz="0" w:space="0" w:color="auto"/>
        <w:left w:val="none" w:sz="0" w:space="0" w:color="auto"/>
        <w:bottom w:val="none" w:sz="0" w:space="0" w:color="auto"/>
        <w:right w:val="none" w:sz="0" w:space="0" w:color="auto"/>
      </w:divBdr>
    </w:div>
    <w:div w:id="288243194">
      <w:bodyDiv w:val="1"/>
      <w:marLeft w:val="0"/>
      <w:marRight w:val="0"/>
      <w:marTop w:val="0"/>
      <w:marBottom w:val="0"/>
      <w:divBdr>
        <w:top w:val="none" w:sz="0" w:space="0" w:color="auto"/>
        <w:left w:val="none" w:sz="0" w:space="0" w:color="auto"/>
        <w:bottom w:val="none" w:sz="0" w:space="0" w:color="auto"/>
        <w:right w:val="none" w:sz="0" w:space="0" w:color="auto"/>
      </w:divBdr>
    </w:div>
    <w:div w:id="291640670">
      <w:bodyDiv w:val="1"/>
      <w:marLeft w:val="0"/>
      <w:marRight w:val="0"/>
      <w:marTop w:val="0"/>
      <w:marBottom w:val="0"/>
      <w:divBdr>
        <w:top w:val="none" w:sz="0" w:space="0" w:color="auto"/>
        <w:left w:val="none" w:sz="0" w:space="0" w:color="auto"/>
        <w:bottom w:val="none" w:sz="0" w:space="0" w:color="auto"/>
        <w:right w:val="none" w:sz="0" w:space="0" w:color="auto"/>
      </w:divBdr>
    </w:div>
    <w:div w:id="356780229">
      <w:bodyDiv w:val="1"/>
      <w:marLeft w:val="0"/>
      <w:marRight w:val="0"/>
      <w:marTop w:val="0"/>
      <w:marBottom w:val="0"/>
      <w:divBdr>
        <w:top w:val="none" w:sz="0" w:space="0" w:color="auto"/>
        <w:left w:val="none" w:sz="0" w:space="0" w:color="auto"/>
        <w:bottom w:val="none" w:sz="0" w:space="0" w:color="auto"/>
        <w:right w:val="none" w:sz="0" w:space="0" w:color="auto"/>
      </w:divBdr>
    </w:div>
    <w:div w:id="432476214">
      <w:bodyDiv w:val="1"/>
      <w:marLeft w:val="0"/>
      <w:marRight w:val="0"/>
      <w:marTop w:val="0"/>
      <w:marBottom w:val="0"/>
      <w:divBdr>
        <w:top w:val="none" w:sz="0" w:space="0" w:color="auto"/>
        <w:left w:val="none" w:sz="0" w:space="0" w:color="auto"/>
        <w:bottom w:val="none" w:sz="0" w:space="0" w:color="auto"/>
        <w:right w:val="none" w:sz="0" w:space="0" w:color="auto"/>
      </w:divBdr>
    </w:div>
    <w:div w:id="583221642">
      <w:bodyDiv w:val="1"/>
      <w:marLeft w:val="0"/>
      <w:marRight w:val="0"/>
      <w:marTop w:val="0"/>
      <w:marBottom w:val="0"/>
      <w:divBdr>
        <w:top w:val="none" w:sz="0" w:space="0" w:color="auto"/>
        <w:left w:val="none" w:sz="0" w:space="0" w:color="auto"/>
        <w:bottom w:val="none" w:sz="0" w:space="0" w:color="auto"/>
        <w:right w:val="none" w:sz="0" w:space="0" w:color="auto"/>
      </w:divBdr>
    </w:div>
    <w:div w:id="945768565">
      <w:bodyDiv w:val="1"/>
      <w:marLeft w:val="0"/>
      <w:marRight w:val="0"/>
      <w:marTop w:val="0"/>
      <w:marBottom w:val="0"/>
      <w:divBdr>
        <w:top w:val="none" w:sz="0" w:space="0" w:color="auto"/>
        <w:left w:val="none" w:sz="0" w:space="0" w:color="auto"/>
        <w:bottom w:val="none" w:sz="0" w:space="0" w:color="auto"/>
        <w:right w:val="none" w:sz="0" w:space="0" w:color="auto"/>
      </w:divBdr>
    </w:div>
    <w:div w:id="965162931">
      <w:bodyDiv w:val="1"/>
      <w:marLeft w:val="0"/>
      <w:marRight w:val="0"/>
      <w:marTop w:val="0"/>
      <w:marBottom w:val="0"/>
      <w:divBdr>
        <w:top w:val="none" w:sz="0" w:space="0" w:color="auto"/>
        <w:left w:val="none" w:sz="0" w:space="0" w:color="auto"/>
        <w:bottom w:val="none" w:sz="0" w:space="0" w:color="auto"/>
        <w:right w:val="none" w:sz="0" w:space="0" w:color="auto"/>
      </w:divBdr>
    </w:div>
    <w:div w:id="1151100874">
      <w:bodyDiv w:val="1"/>
      <w:marLeft w:val="0"/>
      <w:marRight w:val="0"/>
      <w:marTop w:val="0"/>
      <w:marBottom w:val="0"/>
      <w:divBdr>
        <w:top w:val="none" w:sz="0" w:space="0" w:color="auto"/>
        <w:left w:val="none" w:sz="0" w:space="0" w:color="auto"/>
        <w:bottom w:val="none" w:sz="0" w:space="0" w:color="auto"/>
        <w:right w:val="none" w:sz="0" w:space="0" w:color="auto"/>
      </w:divBdr>
    </w:div>
    <w:div w:id="1177041715">
      <w:bodyDiv w:val="1"/>
      <w:marLeft w:val="0"/>
      <w:marRight w:val="0"/>
      <w:marTop w:val="0"/>
      <w:marBottom w:val="0"/>
      <w:divBdr>
        <w:top w:val="none" w:sz="0" w:space="0" w:color="auto"/>
        <w:left w:val="none" w:sz="0" w:space="0" w:color="auto"/>
        <w:bottom w:val="none" w:sz="0" w:space="0" w:color="auto"/>
        <w:right w:val="none" w:sz="0" w:space="0" w:color="auto"/>
      </w:divBdr>
    </w:div>
    <w:div w:id="1349870943">
      <w:bodyDiv w:val="1"/>
      <w:marLeft w:val="0"/>
      <w:marRight w:val="0"/>
      <w:marTop w:val="0"/>
      <w:marBottom w:val="0"/>
      <w:divBdr>
        <w:top w:val="none" w:sz="0" w:space="0" w:color="auto"/>
        <w:left w:val="none" w:sz="0" w:space="0" w:color="auto"/>
        <w:bottom w:val="none" w:sz="0" w:space="0" w:color="auto"/>
        <w:right w:val="none" w:sz="0" w:space="0" w:color="auto"/>
      </w:divBdr>
    </w:div>
    <w:div w:id="1570309701">
      <w:bodyDiv w:val="1"/>
      <w:marLeft w:val="0"/>
      <w:marRight w:val="0"/>
      <w:marTop w:val="0"/>
      <w:marBottom w:val="0"/>
      <w:divBdr>
        <w:top w:val="none" w:sz="0" w:space="0" w:color="auto"/>
        <w:left w:val="none" w:sz="0" w:space="0" w:color="auto"/>
        <w:bottom w:val="none" w:sz="0" w:space="0" w:color="auto"/>
        <w:right w:val="none" w:sz="0" w:space="0" w:color="auto"/>
      </w:divBdr>
    </w:div>
    <w:div w:id="21130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wi.usma.edu/analyzing-russian-way-war-evidence-2008-conflict-georgia/" TargetMode="External"/><Relationship Id="rId21" Type="http://schemas.openxmlformats.org/officeDocument/2006/relationships/image" Target="media/image14.png"/><Relationship Id="rId42" Type="http://schemas.openxmlformats.org/officeDocument/2006/relationships/hyperlink" Target="https://eeas.europa.eu/sites/eeas/files/eap_factsheet_georgia_en.pdf" TargetMode="External"/><Relationship Id="rId63" Type="http://schemas.openxmlformats.org/officeDocument/2006/relationships/hyperlink" Target="https://www.hrw.org/report/2011/07/15/living-limbo/rights-ethnic-georgians-returnees-gali-district-abkhazia" TargetMode="External"/><Relationship Id="rId84" Type="http://schemas.openxmlformats.org/officeDocument/2006/relationships/hyperlink" Target="http://en.kremlin.ru/events/president/transcripts/48301" TargetMode="External"/><Relationship Id="rId138" Type="http://schemas.openxmlformats.org/officeDocument/2006/relationships/hyperlink" Target="https://doi.org/10.1177/0002716204268031" TargetMode="External"/><Relationship Id="rId159" Type="http://schemas.openxmlformats.org/officeDocument/2006/relationships/hyperlink" Target="http://www.ecmi.de/jemie/download/1-2004Comment01.pdf" TargetMode="External"/><Relationship Id="rId170" Type="http://schemas.openxmlformats.org/officeDocument/2006/relationships/hyperlink" Target="https://www.jstor.org/stable/27752421" TargetMode="External"/><Relationship Id="rId191" Type="http://schemas.openxmlformats.org/officeDocument/2006/relationships/hyperlink" Target="https://www.rferl.org/a/1052980.html" TargetMode="External"/><Relationship Id="rId205" Type="http://schemas.openxmlformats.org/officeDocument/2006/relationships/hyperlink" Target="https://www.amnesty.org/en/documents/eur56/0581/2019/en/" TargetMode="External"/><Relationship Id="rId107" Type="http://schemas.openxmlformats.org/officeDocument/2006/relationships/hyperlink" Target="http://georgica.tsu.edu.ge/files/06-History/Nationalism%20&amp;%20Identity/King-2008.pdf" TargetMode="External"/><Relationship Id="rId11" Type="http://schemas.openxmlformats.org/officeDocument/2006/relationships/image" Target="media/image4.png"/><Relationship Id="rId32" Type="http://schemas.openxmlformats.org/officeDocument/2006/relationships/hyperlink" Target="http://eeas.europa.eu/archives/docs/enp/pdf/pdf/progress2009/sec09_513_en.pdf" TargetMode="External"/><Relationship Id="rId37" Type="http://schemas.openxmlformats.org/officeDocument/2006/relationships/hyperlink" Target="https://reliefweb.int/report/georgia/eu-assistance-fact-sheet-georgia" TargetMode="External"/><Relationship Id="rId53" Type="http://schemas.openxmlformats.org/officeDocument/2006/relationships/hyperlink" Target="https://eur-lex.europa.eu/LexUriServ/LexUriServ.do?uri=OJ:L:2008:259:0016:0018:EN:PDF" TargetMode="External"/><Relationship Id="rId58" Type="http://schemas.openxmlformats.org/officeDocument/2006/relationships/hyperlink" Target="http://www.epfound.ge/wp-content/uploads/2019/09/EU-2019-Final-ENG.pdf" TargetMode="External"/><Relationship Id="rId74" Type="http://schemas.openxmlformats.org/officeDocument/2006/relationships/hyperlink" Target="https://smr.gov.ge/en/news/read/1764/the-50th-round-of-the-geneva-international-discussions-was-held-on-december-10-11" TargetMode="External"/><Relationship Id="rId79" Type="http://schemas.openxmlformats.org/officeDocument/2006/relationships/hyperlink" Target="https://matsne.gov.ge/ka/document/view/1079618" TargetMode="External"/><Relationship Id="rId102" Type="http://schemas.openxmlformats.org/officeDocument/2006/relationships/hyperlink" Target="http://www.dcfta.gov.ge/public/filemanager/publications/Georgia_Hanbook_2nd%20ed.pdf" TargetMode="External"/><Relationship Id="rId123" Type="http://schemas.openxmlformats.org/officeDocument/2006/relationships/hyperlink" Target="https://doi.org/10.1080/23761199.2013.11417283" TargetMode="External"/><Relationship Id="rId128" Type="http://schemas.openxmlformats.org/officeDocument/2006/relationships/hyperlink" Target="https://www.iss.europa.eu/sites/default/files/EUISSFiles/occ70.pdf" TargetMode="External"/><Relationship Id="rId144" Type="http://schemas.openxmlformats.org/officeDocument/2006/relationships/hyperlink" Target="https://www.iss.europa.eu/sites/default/files/EUISSFiles/chai106.pdf" TargetMode="External"/><Relationship Id="rId149" Type="http://schemas.openxmlformats.org/officeDocument/2006/relationships/hyperlink" Target="https://carnegieendowment.org/2019/02/20/russia-s-global-ambitions-in-perspective-pub-78067" TargetMode="External"/><Relationship Id="rId5" Type="http://schemas.openxmlformats.org/officeDocument/2006/relationships/webSettings" Target="webSettings.xml"/><Relationship Id="rId90" Type="http://schemas.openxmlformats.org/officeDocument/2006/relationships/hyperlink" Target="https://mod.gov.ge/ge/page/70/saqartvelos-erovnuli-usafrtxoebis-koncefcia" TargetMode="External"/><Relationship Id="rId95" Type="http://schemas.openxmlformats.org/officeDocument/2006/relationships/hyperlink" Target="https://www.ge.undp.org/content/dam/georgia/docs/publications/DG/UNDP_GE_DG_Parliament%20action%20plan%202019-20_implementation%20of%20EU-GEO%20AA_eng.pdf" TargetMode="External"/><Relationship Id="rId160" Type="http://schemas.openxmlformats.org/officeDocument/2006/relationships/hyperlink" Target="http://poli.vub.ac.be/publi/Georgians/chp0201.html" TargetMode="External"/><Relationship Id="rId165" Type="http://schemas.openxmlformats.org/officeDocument/2006/relationships/hyperlink" Target="http://aei.pitt.edu/102659/1/edp_3_2020_panchulidze.pdf" TargetMode="External"/><Relationship Id="rId181" Type="http://schemas.openxmlformats.org/officeDocument/2006/relationships/hyperlink" Target="https://old.civil.ge/eng/article.php?id=20121" TargetMode="External"/><Relationship Id="rId186" Type="http://schemas.openxmlformats.org/officeDocument/2006/relationships/hyperlink" Target="http://www.mythdetector.ge/sites/default/files/2017-07/Antidasavluri-ENG-web_%282%29.pdf" TargetMode="External"/><Relationship Id="rId211"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hyperlink" Target="https://www.consilium.europa.eu/en/press/press-releases/2018/02/05/joint-press-release-following-the-4th-association-council-meeting-between-the-european-union-and-georgia/" TargetMode="External"/><Relationship Id="rId43" Type="http://schemas.openxmlformats.org/officeDocument/2006/relationships/hyperlink" Target="https://eeas.europa.eu/diplomatic-network/european-neighbourhood-policy-enp_en" TargetMode="External"/><Relationship Id="rId48" Type="http://schemas.openxmlformats.org/officeDocument/2006/relationships/hyperlink" Target="https://www.euneighbours.eu/en/east/stay-informed/publications/facts-and-figures-about-eu-georgia-relations-0" TargetMode="External"/><Relationship Id="rId64" Type="http://schemas.openxmlformats.org/officeDocument/2006/relationships/hyperlink" Target="https://www.crisisgroup.org/europe-central-asia/caucasus/georgia/georgia-avoiding-war-south-ossetia" TargetMode="External"/><Relationship Id="rId69" Type="http://schemas.openxmlformats.org/officeDocument/2006/relationships/hyperlink" Target="https://www.echr.coe.int/Documents/HUDOC_38263_08_Annexes_ENG.pdf" TargetMode="External"/><Relationship Id="rId113" Type="http://schemas.openxmlformats.org/officeDocument/2006/relationships/hyperlink" Target="https://wiiw.ac.at/benefits-and-costs-of-dcfta-evaluation-of-the-impact-on-georgia-moldova-and-ukraine-dlp-4111.pdf" TargetMode="External"/><Relationship Id="rId118" Type="http://schemas.openxmlformats.org/officeDocument/2006/relationships/hyperlink" Target="https://www.files.ethz.ch/isn/131015/WP108_South_Caucasus_Eng.pdf" TargetMode="External"/><Relationship Id="rId134" Type="http://schemas.openxmlformats.org/officeDocument/2006/relationships/hyperlink" Target="https://doi.org/10.1080/14650045.2018.1552944" TargetMode="External"/><Relationship Id="rId139" Type="http://schemas.openxmlformats.org/officeDocument/2006/relationships/hyperlink" Target="https://doi.org/10.1177/0002716204268031" TargetMode="External"/><Relationship Id="rId80" Type="http://schemas.openxmlformats.org/officeDocument/2006/relationships/hyperlink" Target="https://matsne.gov.ge/en/document/view/32362?publication=0" TargetMode="External"/><Relationship Id="rId85" Type="http://schemas.openxmlformats.org/officeDocument/2006/relationships/hyperlink" Target="https://commons.wikimedia.org/wiki/File:Decree_recognising_Abkhazian_independence.png" TargetMode="External"/><Relationship Id="rId150" Type="http://schemas.openxmlformats.org/officeDocument/2006/relationships/hyperlink" Target="https://www.usip.org/sites/default/files/sr167.pdf" TargetMode="External"/><Relationship Id="rId155" Type="http://schemas.openxmlformats.org/officeDocument/2006/relationships/hyperlink" Target="https://doi.org/10.1080/13501760903087696" TargetMode="External"/><Relationship Id="rId171" Type="http://schemas.openxmlformats.org/officeDocument/2006/relationships/hyperlink" Target="https://doi.org/10.1080/1350176042000248089" TargetMode="External"/><Relationship Id="rId176" Type="http://schemas.openxmlformats.org/officeDocument/2006/relationships/hyperlink" Target="https://www.bbc.com/news/world-europe-28205380" TargetMode="External"/><Relationship Id="rId192" Type="http://schemas.openxmlformats.org/officeDocument/2006/relationships/hyperlink" Target="https://www.globalsecurity.org/military/world/russia/railroad-troops.htm" TargetMode="External"/><Relationship Id="rId197" Type="http://schemas.openxmlformats.org/officeDocument/2006/relationships/hyperlink" Target="https://www.georgianjournal.ge/society/7560-georgia-becomes-the-cis-member.html" TargetMode="External"/><Relationship Id="rId206" Type="http://schemas.openxmlformats.org/officeDocument/2006/relationships/hyperlink" Target="https://www.eupoliticalreport.eu/epp-calls-for-more-engagement-with-eastern-partnership-countries/" TargetMode="External"/><Relationship Id="rId201" Type="http://schemas.openxmlformats.org/officeDocument/2006/relationships/hyperlink" Target="http://www.conflicts.rem33.com/images/Georgia/Lang_11.htm" TargetMode="External"/><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hyperlink" Target="https://ec.europa.eu/neighbourhood-enlargement/sites/near/files/2004_communication_from_the_commission_-_european_neighbourhood_policy_-_strategy_paper.pdf" TargetMode="External"/><Relationship Id="rId38" Type="http://schemas.openxmlformats.org/officeDocument/2006/relationships/hyperlink" Target="https://webgate.ec.europa.eu/isdb_results/factsheets/country/details_georgia_en.pdf" TargetMode="External"/><Relationship Id="rId59" Type="http://schemas.openxmlformats.org/officeDocument/2006/relationships/hyperlink" Target="https://www.euneighbours.eu/en/east/stay-informed/projects/statistics-eastern-partnership-step" TargetMode="External"/><Relationship Id="rId103" Type="http://schemas.openxmlformats.org/officeDocument/2006/relationships/hyperlink" Target="https://www.bundesheer.at/pdf_pool/publikationen/pfp_rssc_georgia_prevention.pdf" TargetMode="External"/><Relationship Id="rId108" Type="http://schemas.openxmlformats.org/officeDocument/2006/relationships/hyperlink" Target="https://www.pearson.com/us/higher-education/product/Leedy-Practical-Research-Planning-and-Design-9th-Edition/9780137152421.html" TargetMode="External"/><Relationship Id="rId124" Type="http://schemas.openxmlformats.org/officeDocument/2006/relationships/hyperlink" Target="https://doi.org/10.4324/9781315699660" TargetMode="External"/><Relationship Id="rId129" Type="http://schemas.openxmlformats.org/officeDocument/2006/relationships/hyperlink" Target="https://carnegieendowment.org/files/georgias_choices.pdf" TargetMode="External"/><Relationship Id="rId54" Type="http://schemas.openxmlformats.org/officeDocument/2006/relationships/hyperlink" Target="https://europa.eu/european-union/topics/foreign-security-policy_en" TargetMode="External"/><Relationship Id="rId70" Type="http://schemas.openxmlformats.org/officeDocument/2006/relationships/hyperlink" Target="https://www.refworld.org/docid/3ae6ac6a14.html" TargetMode="External"/><Relationship Id="rId75" Type="http://schemas.openxmlformats.org/officeDocument/2006/relationships/hyperlink" Target="https://www.oecd-ilibrary.org/development/concepts-and-dilemmas-of-state-building-in-fragile-situations_journal_dev-v9-art27-en" TargetMode="External"/><Relationship Id="rId91" Type="http://schemas.openxmlformats.org/officeDocument/2006/relationships/hyperlink" Target="http://www.hist.msu.ru/ER/Etext/cnst1924.htm" TargetMode="External"/><Relationship Id="rId96" Type="http://schemas.openxmlformats.org/officeDocument/2006/relationships/hyperlink" Target="https://www.kas.de/c/document_library/get_file?uuid=9a93a8fa-c31b-f8de-82f4-b0442b45cacb&amp;groupId=252038" TargetMode="External"/><Relationship Id="rId140" Type="http://schemas.openxmlformats.org/officeDocument/2006/relationships/hyperlink" Target="https://www.iss.europa.eu/sites/default/files/EUISSFiles/NREP_report.pdf" TargetMode="External"/><Relationship Id="rId145" Type="http://schemas.openxmlformats.org/officeDocument/2006/relationships/hyperlink" Target="https://www.iss.europa.eu/sites/default/files/EUISSFiles/ESDP_10-web_0.pdf" TargetMode="External"/><Relationship Id="rId161" Type="http://schemas.openxmlformats.org/officeDocument/2006/relationships/hyperlink" Target="https://doi.org/10.1177/00223433090460020810" TargetMode="External"/><Relationship Id="rId166" Type="http://schemas.openxmlformats.org/officeDocument/2006/relationships/hyperlink" Target="https://www.ecfr.eu/page/-/ECFR14_The_Limits_of_Enlargement-Lite._European_and_Russian_Power_in_the_Troubled_Neighbourhood.pdf" TargetMode="External"/><Relationship Id="rId182" Type="http://schemas.openxmlformats.org/officeDocument/2006/relationships/hyperlink" Target="https://agenda.ge/en/news/2019/1860" TargetMode="External"/><Relationship Id="rId187" Type="http://schemas.openxmlformats.org/officeDocument/2006/relationships/hyperlink" Target="https://www.theguardian.com/world/2006/sep/28/russia.georgi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6.png"/><Relationship Id="rId28" Type="http://schemas.openxmlformats.org/officeDocument/2006/relationships/hyperlink" Target="https://www.consilium.europa.eu/en/policies/defence-security/" TargetMode="External"/><Relationship Id="rId49" Type="http://schemas.openxmlformats.org/officeDocument/2006/relationships/hyperlink" Target="https://eur-lex.europa.eu/legal-content/EN/TXT/?uri=CELEX%3A12016M049" TargetMode="External"/><Relationship Id="rId114" Type="http://schemas.openxmlformats.org/officeDocument/2006/relationships/hyperlink" Target="https://doi.org/https://doi.org/10.1080/00905992.2016.1203300" TargetMode="External"/><Relationship Id="rId119" Type="http://schemas.openxmlformats.org/officeDocument/2006/relationships/hyperlink" Target="https://www.ponarseurasia.org/sites/default/files/policy-memos-pdf/pepm_005.pdf" TargetMode="External"/><Relationship Id="rId44" Type="http://schemas.openxmlformats.org/officeDocument/2006/relationships/hyperlink" Target="https://eeas.europa.eu/delegations/israel_en/19192/European%20Instrument%20for%20Democracy%20and%20Human%20Rights%20(EIDHR)%20ISRAEL%202016-2017" TargetMode="External"/><Relationship Id="rId60" Type="http://schemas.openxmlformats.org/officeDocument/2006/relationships/hyperlink" Target="https://www.europarl.europa.eu/sides/getDoc.do?reference=P7-TA-2011-0025&amp;type=TA&amp;language=EN&amp;redirect" TargetMode="External"/><Relationship Id="rId65" Type="http://schemas.openxmlformats.org/officeDocument/2006/relationships/hyperlink" Target="https://www.crisisgroup.org/europe-central-asia/caucasus/south-ossetia-burden-recognition" TargetMode="External"/><Relationship Id="rId81" Type="http://schemas.openxmlformats.org/officeDocument/2006/relationships/hyperlink" Target="https://www.osce.org/georgia-closed/43386" TargetMode="External"/><Relationship Id="rId86" Type="http://schemas.openxmlformats.org/officeDocument/2006/relationships/hyperlink" Target="http://en.kremlin.ru/events/president/transcripts/page/345" TargetMode="External"/><Relationship Id="rId130" Type="http://schemas.openxmlformats.org/officeDocument/2006/relationships/hyperlink" Target="https://carnegieendowment.org/files/DeWaal_EU_Engagement_with_Seperatist_Territories.pdf" TargetMode="External"/><Relationship Id="rId135" Type="http://schemas.openxmlformats.org/officeDocument/2006/relationships/hyperlink" Target="http://aei.pitt.edu/7798/1/diez-t-01a.pdf" TargetMode="External"/><Relationship Id="rId151" Type="http://schemas.openxmlformats.org/officeDocument/2006/relationships/hyperlink" Target="https://doi.org/https://doi.org/10.1111/j.1468-5965.2006.00613.x" TargetMode="External"/><Relationship Id="rId156" Type="http://schemas.openxmlformats.org/officeDocument/2006/relationships/hyperlink" Target="https://www.iss.europa.eu/sites/default/files/EUISSFiles/cp086.pdf" TargetMode="External"/><Relationship Id="rId177" Type="http://schemas.openxmlformats.org/officeDocument/2006/relationships/hyperlink" Target="http://aranzeld.com/chtivo/page,1,5,161-samoe-znamenitoe-pismo-kogda-libo-napisannoe-osetinami-ili-istoricheskij-dokument-pokazyvayushhij-propast-mezhdu-nami-i-nimi.html" TargetMode="External"/><Relationship Id="rId198" Type="http://schemas.openxmlformats.org/officeDocument/2006/relationships/hyperlink" Target="https://www.rferl.org/a/1079256.html" TargetMode="External"/><Relationship Id="rId172" Type="http://schemas.openxmlformats.org/officeDocument/2006/relationships/hyperlink" Target="https://doi.org/https://doi.org/10.2747/1060-586X.28.1.111" TargetMode="External"/><Relationship Id="rId193" Type="http://schemas.openxmlformats.org/officeDocument/2006/relationships/hyperlink" Target="https://www.polsoz.fu-berlin.de/en/polwiss/forschung/international/atasp/publikationen/4_artikel_papiere/8/index.html" TargetMode="External"/><Relationship Id="rId202" Type="http://schemas.openxmlformats.org/officeDocument/2006/relationships/hyperlink" Target="https://en.wikipedia.org/wiki/File:2008_South_Ossetia_war_en.svg" TargetMode="External"/><Relationship Id="rId207" Type="http://schemas.openxmlformats.org/officeDocument/2006/relationships/hyperlink" Target="https://www.americansecurityproject.org/the-october-revolution-100-years-later/"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ec.europa.eu/commission/presscorner/detail/en/IP_95_532" TargetMode="External"/><Relationship Id="rId109" Type="http://schemas.openxmlformats.org/officeDocument/2006/relationships/hyperlink" Target="http://www.etd.ceu.edu/2010/nebieridze_petre.pdf" TargetMode="External"/><Relationship Id="rId34" Type="http://schemas.openxmlformats.org/officeDocument/2006/relationships/hyperlink" Target="https://eur-lex.europa.eu/LexUriServ/LexUriServ.do?uri=COM:2006:0726:FIN:EN:PDF" TargetMode="External"/><Relationship Id="rId50" Type="http://schemas.openxmlformats.org/officeDocument/2006/relationships/hyperlink" Target="https://eur-lex.europa.eu/legal-content/en/TXT/PDF/?uri=CELEX:22014A0830(02)" TargetMode="External"/><Relationship Id="rId55" Type="http://schemas.openxmlformats.org/officeDocument/2006/relationships/hyperlink" Target="http://www.eeas.europa.eu/archives/delegations/georgia/documents/projects/conflictassistance_2011overview_en.pdf" TargetMode="External"/><Relationship Id="rId76" Type="http://schemas.openxmlformats.org/officeDocument/2006/relationships/hyperlink" Target="http://presidentofabkhazia.org/en/respublika_abkhazia/economy/" TargetMode="External"/><Relationship Id="rId97" Type="http://schemas.openxmlformats.org/officeDocument/2006/relationships/hyperlink" Target="https://global.oup.com/ukhe/product/social-research-methods-9780199689453?cc=ge&amp;lang=en&amp;" TargetMode="External"/><Relationship Id="rId104" Type="http://schemas.openxmlformats.org/officeDocument/2006/relationships/hyperlink" Target="http://dspace.nplg.gov.ge/bitstream/1234/10253/1/Abxazia.pdf" TargetMode="External"/><Relationship Id="rId120" Type="http://schemas.openxmlformats.org/officeDocument/2006/relationships/hyperlink" Target="https://doi.org/10.1177/0095327x0403000202" TargetMode="External"/><Relationship Id="rId125" Type="http://schemas.openxmlformats.org/officeDocument/2006/relationships/hyperlink" Target="https://www.researchgate.net/publication/239533669_European_Consortium_for_Political_Research_Standing_Group_on_the_European_Union_Fourth_Pan-European_Conference_on_EU_Politics" TargetMode="External"/><Relationship Id="rId141" Type="http://schemas.openxmlformats.org/officeDocument/2006/relationships/hyperlink" Target="https://www.iss.europa.eu/sites/default/files/EUISSFiles/ESDP_10-web_0.pdf" TargetMode="External"/><Relationship Id="rId146" Type="http://schemas.openxmlformats.org/officeDocument/2006/relationships/hyperlink" Target="https://doi.org/10.1111/1478-9302.12067_46" TargetMode="External"/><Relationship Id="rId167" Type="http://schemas.openxmlformats.org/officeDocument/2006/relationships/hyperlink" Target="https://www.ecfr.eu/article/commentary_eus_borders_and_neighbours" TargetMode="External"/><Relationship Id="rId188" Type="http://schemas.openxmlformats.org/officeDocument/2006/relationships/hyperlink" Target="https://agenda.ge/en/news/2017/183" TargetMode="External"/><Relationship Id="rId7" Type="http://schemas.openxmlformats.org/officeDocument/2006/relationships/endnotes" Target="endnotes.xml"/><Relationship Id="rId71" Type="http://schemas.openxmlformats.org/officeDocument/2006/relationships/hyperlink" Target="https://www.nato.int/docu/speech/2002/s021122h.htm" TargetMode="External"/><Relationship Id="rId92" Type="http://schemas.openxmlformats.org/officeDocument/2006/relationships/hyperlink" Target="https://www.refworld.org/docid/469f388ca.html" TargetMode="External"/><Relationship Id="rId162" Type="http://schemas.openxmlformats.org/officeDocument/2006/relationships/hyperlink" Target="https://ghum.kuleuven.be/ggs/publications/working_papers/2009/35MerlingenOstrauskaite" TargetMode="External"/><Relationship Id="rId183" Type="http://schemas.openxmlformats.org/officeDocument/2006/relationships/hyperlink" Target="https://civil.ge/archives/116459"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assembly.coe.int/nw/xml/XRef/Xref-XML2HTML-en.asp?fileid=17774&amp;lang=en" TargetMode="External"/><Relationship Id="rId24" Type="http://schemas.openxmlformats.org/officeDocument/2006/relationships/hyperlink" Target="https://www.consilium.europa.eu/media/30823/qc7809568enc.pdf" TargetMode="External"/><Relationship Id="rId40" Type="http://schemas.openxmlformats.org/officeDocument/2006/relationships/hyperlink" Target="https://ec.europa.eu/home-affairs/what-we-do/policies/international-affairs/eastern-partnership/visa-liberalisation-moldova-ukraine-and-georgia_en" TargetMode="External"/><Relationship Id="rId45" Type="http://schemas.openxmlformats.org/officeDocument/2006/relationships/hyperlink" Target="https://eeas.europa.eu/headquarters/headquartershomepage_en/3606/EU%20Special%20Representatives" TargetMode="External"/><Relationship Id="rId66" Type="http://schemas.openxmlformats.org/officeDocument/2006/relationships/hyperlink" Target="https://www.crisisgroup.org/europe-central-asia/caucasus/georgia/georgia-s-south-ossetia-conflict-make-haste-slowly" TargetMode="External"/><Relationship Id="rId87" Type="http://schemas.openxmlformats.org/officeDocument/2006/relationships/hyperlink" Target="https://georgiaembassyusa.org/wp-content/uploads/2018/01/Chronology-of-Major-Events-in-Georgia-EU-Cooperation.pdf" TargetMode="External"/><Relationship Id="rId110" Type="http://schemas.openxmlformats.org/officeDocument/2006/relationships/hyperlink" Target="https://theses.cz/id/nafgi7/?lang=en" TargetMode="External"/><Relationship Id="rId115" Type="http://schemas.openxmlformats.org/officeDocument/2006/relationships/hyperlink" Target="https://kops.uni-konstanz.de/bitstream/handle/123456789/4020/aspinwall_schneider_ejpr_2000.pdf?sequence=1" TargetMode="External"/><Relationship Id="rId131" Type="http://schemas.openxmlformats.org/officeDocument/2006/relationships/hyperlink" Target="https://www.opengovpartnership.org/stories/georgia-coping-with-success/" TargetMode="External"/><Relationship Id="rId136" Type="http://schemas.openxmlformats.org/officeDocument/2006/relationships/hyperlink" Target="https://www.jstor.org/stable/26301932?seq=1" TargetMode="External"/><Relationship Id="rId157" Type="http://schemas.openxmlformats.org/officeDocument/2006/relationships/hyperlink" Target="https://www.iss.europa.eu/sites/default/files/EUISSFiles/cp090_0.pdf" TargetMode="External"/><Relationship Id="rId178" Type="http://schemas.openxmlformats.org/officeDocument/2006/relationships/hyperlink" Target="https://www.theguardian.com/world/2008/apr/04/nato.russia" TargetMode="External"/><Relationship Id="rId61" Type="http://schemas.openxmlformats.org/officeDocument/2006/relationships/hyperlink" Target="https://www.europarl.europa.eu/doceo/document/TA-8-2018-0266_EN.html" TargetMode="External"/><Relationship Id="rId82" Type="http://schemas.openxmlformats.org/officeDocument/2006/relationships/hyperlink" Target="http://kremlin.ru/events/president/transcripts/23412" TargetMode="External"/><Relationship Id="rId152" Type="http://schemas.openxmlformats.org/officeDocument/2006/relationships/hyperlink" Target="https://doi.org/978-9941-449-94-9" TargetMode="External"/><Relationship Id="rId173" Type="http://schemas.openxmlformats.org/officeDocument/2006/relationships/hyperlink" Target="https://www.transparency.ge/sites/default/files/GEORGIA%27S%20POWER%20SECTOR%20-%20ENG.pdf" TargetMode="External"/><Relationship Id="rId194" Type="http://schemas.openxmlformats.org/officeDocument/2006/relationships/hyperlink" Target="https://cutt.ly/Yp8dJFx" TargetMode="External"/><Relationship Id="rId199" Type="http://schemas.openxmlformats.org/officeDocument/2006/relationships/hyperlink" Target="https://www.voanews.com/archive/georgians-contemplate-future-five-years-after-rose-revolution" TargetMode="External"/><Relationship Id="rId203" Type="http://schemas.openxmlformats.org/officeDocument/2006/relationships/hyperlink" Target="https://www.jstor.org/stable/10.7249/mg945osd" TargetMode="External"/><Relationship Id="rId208" Type="http://schemas.openxmlformats.org/officeDocument/2006/relationships/hyperlink" Target="http://georgiatoday.ge/news/11191/Great-Expectations%3A-Does-the-DCFTA-Really-Boost-Georgia%E2%80%99s-Economic-%26-Export-Potential%3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reliefweb.int/report/georgia/georgia-joins-council-europe-0" TargetMode="External"/><Relationship Id="rId35" Type="http://schemas.openxmlformats.org/officeDocument/2006/relationships/hyperlink" Target="https://eeas.europa.eu/delegations/georgia/42446/node/42446_fi" TargetMode="External"/><Relationship Id="rId56" Type="http://schemas.openxmlformats.org/officeDocument/2006/relationships/hyperlink" Target="https://eumm.eu/data/file/6486/The_EUMM_Monitor_issue_7_ENG.pdf" TargetMode="External"/><Relationship Id="rId77" Type="http://schemas.openxmlformats.org/officeDocument/2006/relationships/hyperlink" Target="https://www.peaceagreements.org/view/724" TargetMode="External"/><Relationship Id="rId100" Type="http://schemas.openxmlformats.org/officeDocument/2006/relationships/hyperlink" Target="https://doi.org/10.4324/9781315699660" TargetMode="External"/><Relationship Id="rId105" Type="http://schemas.openxmlformats.org/officeDocument/2006/relationships/hyperlink" Target="https://pestuge.iliauni.edu.ge/wp-content/uploads/2017/12/George-Julie-A.-The-Politics-of-Ethnic-Separatism-in-Russia-and-Georgia.pdf" TargetMode="External"/><Relationship Id="rId126" Type="http://schemas.openxmlformats.org/officeDocument/2006/relationships/hyperlink" Target="https://doi.org/https://doi.org/10.1080/0163660X.2010.516183" TargetMode="External"/><Relationship Id="rId147" Type="http://schemas.openxmlformats.org/officeDocument/2006/relationships/hyperlink" Target="https://doi.org/https://doi.org/10.1080/21599165.2016.1166104" TargetMode="External"/><Relationship Id="rId168" Type="http://schemas.openxmlformats.org/officeDocument/2006/relationships/hyperlink" Target="https://www.researchgate.net/publication/228215515_Understanding_Secessionist_Conflict_in_the_South_Caucasus" TargetMode="External"/><Relationship Id="rId8" Type="http://schemas.openxmlformats.org/officeDocument/2006/relationships/image" Target="media/image1.jpeg"/><Relationship Id="rId51" Type="http://schemas.openxmlformats.org/officeDocument/2006/relationships/hyperlink" Target="https://europa.eu/european-union/topics/foreign-security-policy_en" TargetMode="External"/><Relationship Id="rId72" Type="http://schemas.openxmlformats.org/officeDocument/2006/relationships/hyperlink" Target="https://smr.gov.ge/uploads/prev/Concept_EN_0eaaac2e.pdf" TargetMode="External"/><Relationship Id="rId93" Type="http://schemas.openxmlformats.org/officeDocument/2006/relationships/hyperlink" Target="https://www.refworld.org/docid/453785670.html" TargetMode="External"/><Relationship Id="rId98" Type="http://schemas.openxmlformats.org/officeDocument/2006/relationships/hyperlink" Target="https://is.muni.cz/el/1423/podzim2012/MVZ208/um/35586974/Small_Nations_and_Great_Powers__A_Study_of_Ethnopolitical_Conflict_in_the_Caucasus__.pdf" TargetMode="External"/><Relationship Id="rId121" Type="http://schemas.openxmlformats.org/officeDocument/2006/relationships/hyperlink" Target="https://doi.org/10.1111/jcms.12254" TargetMode="External"/><Relationship Id="rId142" Type="http://schemas.openxmlformats.org/officeDocument/2006/relationships/hyperlink" Target="https://www.ictj.org/sites/default/files/ICTJ-Georgia-Breaking-Silence-2009-English.pdf" TargetMode="External"/><Relationship Id="rId163" Type="http://schemas.openxmlformats.org/officeDocument/2006/relationships/hyperlink" Target="https://www.peacepalacelibrary.nl/ebooks/files/335882102.pdf" TargetMode="External"/><Relationship Id="rId184" Type="http://schemas.openxmlformats.org/officeDocument/2006/relationships/hyperlink" Target="https://civil.ge/archives/109932" TargetMode="External"/><Relationship Id="rId189" Type="http://schemas.openxmlformats.org/officeDocument/2006/relationships/hyperlink" Target="http://georgiatoday.ge/news/16199/A-Chronology-of-Russian-Embargoes-on-Georgia" TargetMode="External"/><Relationship Id="rId3" Type="http://schemas.openxmlformats.org/officeDocument/2006/relationships/styles" Target="styles.xml"/><Relationship Id="rId25" Type="http://schemas.openxmlformats.org/officeDocument/2006/relationships/hyperlink" Target="https://www.consilium.europa.eu/media/20906/73842.pdf" TargetMode="External"/><Relationship Id="rId46" Type="http://schemas.openxmlformats.org/officeDocument/2006/relationships/hyperlink" Target="http://eeas.europa.eu/archives/docs/docs/strategic_review/eu-strategic-review_executive_summary_en.pdf" TargetMode="External"/><Relationship Id="rId67" Type="http://schemas.openxmlformats.org/officeDocument/2006/relationships/hyperlink" Target="https://www.crisisgroup.org/europe-central-asia/caucasus/georgia/georgia-sliding-towards-authoritarianism" TargetMode="External"/><Relationship Id="rId116" Type="http://schemas.openxmlformats.org/officeDocument/2006/relationships/hyperlink" Target="http://trilateral.org/file/46" TargetMode="External"/><Relationship Id="rId137" Type="http://schemas.openxmlformats.org/officeDocument/2006/relationships/hyperlink" Target="https://carnegieeurope.eu/2012/09/11/crucial-election-in-georgia-pub-49281" TargetMode="External"/><Relationship Id="rId158" Type="http://schemas.openxmlformats.org/officeDocument/2006/relationships/hyperlink" Target="https://fas.org/sgp/crs/row/RL34618.pdf" TargetMode="External"/><Relationship Id="rId20" Type="http://schemas.openxmlformats.org/officeDocument/2006/relationships/image" Target="media/image13.png"/><Relationship Id="rId41" Type="http://schemas.openxmlformats.org/officeDocument/2006/relationships/hyperlink" Target="https://eeas.europa.eu/topics/military-and-civilian-missions-and-operations/430/military-and-civilian-missions-and-operations_en" TargetMode="External"/><Relationship Id="rId62" Type="http://schemas.openxmlformats.org/officeDocument/2006/relationships/hyperlink" Target="https://www.hrw.org/report/1992/04/01/bloodshed-caucasus/violations-humanitarian-law-and-human-rights-georgia-south" TargetMode="External"/><Relationship Id="rId83" Type="http://schemas.openxmlformats.org/officeDocument/2006/relationships/hyperlink" Target="http://en.kremlin.ru/events/president/transcripts/1222" TargetMode="External"/><Relationship Id="rId88" Type="http://schemas.openxmlformats.org/officeDocument/2006/relationships/hyperlink" Target="https://smr.gov.ge/uploads/prev/9bbbc7.pdf" TargetMode="External"/><Relationship Id="rId111" Type="http://schemas.openxmlformats.org/officeDocument/2006/relationships/hyperlink" Target="http://georgica.tsu.edu.ge/files/04-Foreign%20Affairs/Simao%20&amp;%20Freire-2008.pdf" TargetMode="External"/><Relationship Id="rId132" Type="http://schemas.openxmlformats.org/officeDocument/2006/relationships/hyperlink" Target="https://carnegie.ru/commentary/75800" TargetMode="External"/><Relationship Id="rId153" Type="http://schemas.openxmlformats.org/officeDocument/2006/relationships/hyperlink" Target="https://www.international-alert.org/ar/blog/conflicts-and-external-relations-english-1" TargetMode="External"/><Relationship Id="rId174" Type="http://schemas.openxmlformats.org/officeDocument/2006/relationships/hyperlink" Target="https://doi.org/10.1057/jird.2013.10" TargetMode="External"/><Relationship Id="rId179" Type="http://schemas.openxmlformats.org/officeDocument/2006/relationships/hyperlink" Target="https://www.refworld.org/docid/46a4851c1e.html" TargetMode="External"/><Relationship Id="rId195" Type="http://schemas.openxmlformats.org/officeDocument/2006/relationships/hyperlink" Target="https://interfax.com/newsroom/top-stories/56085/" TargetMode="External"/><Relationship Id="rId209" Type="http://schemas.openxmlformats.org/officeDocument/2006/relationships/hyperlink" Target="https://civil.ge/archives/337512" TargetMode="External"/><Relationship Id="rId190" Type="http://schemas.openxmlformats.org/officeDocument/2006/relationships/hyperlink" Target="https://oc-media.org/georgia-takes-russia-to-echr-over-rights-violations-on-occupied-territories/" TargetMode="External"/><Relationship Id="rId204" Type="http://schemas.openxmlformats.org/officeDocument/2006/relationships/hyperlink" Target="https://ethz.ch/content/dam/ethz/special-interest/gess/cis/center-for-securities-studies/pdfs/CSS-Analysis-96-EN.pdf" TargetMode="External"/><Relationship Id="rId15" Type="http://schemas.openxmlformats.org/officeDocument/2006/relationships/image" Target="media/image8.png"/><Relationship Id="rId36" Type="http://schemas.openxmlformats.org/officeDocument/2006/relationships/hyperlink" Target="https://ec.europa.eu/commission/presscorner/detail/en/IP_16_2369" TargetMode="External"/><Relationship Id="rId57" Type="http://schemas.openxmlformats.org/officeDocument/2006/relationships/hyperlink" Target="https://www.ecdc.europa.eu/en/publications-data/hivaids-surveillance-europe-2019-2018-data" TargetMode="External"/><Relationship Id="rId106" Type="http://schemas.openxmlformats.org/officeDocument/2006/relationships/hyperlink" Target="https://www.bosch-stiftung.de/sites/default/files/publications/pdf_import/The_Eastern_Question.pdf" TargetMode="External"/><Relationship Id="rId127" Type="http://schemas.openxmlformats.org/officeDocument/2006/relationships/hyperlink" Target="https://doi.org/10.1080/03932720903351146" TargetMode="External"/><Relationship Id="rId10" Type="http://schemas.openxmlformats.org/officeDocument/2006/relationships/image" Target="media/image3.jpeg"/><Relationship Id="rId31" Type="http://schemas.openxmlformats.org/officeDocument/2006/relationships/hyperlink" Target="http://eeas.europa.eu/archives/docs/enp/pdf/pdf/com03_104_en.pdf" TargetMode="External"/><Relationship Id="rId52" Type="http://schemas.openxmlformats.org/officeDocument/2006/relationships/hyperlink" Target="https://eur-lex.europa.eu/legal-content/EN/TXT/?uri=CELEX%3A32004E0523" TargetMode="External"/><Relationship Id="rId73" Type="http://schemas.openxmlformats.org/officeDocument/2006/relationships/hyperlink" Target="https://smr.gov.ge/en/page/26/geneva-international-discussions" TargetMode="External"/><Relationship Id="rId78" Type="http://schemas.openxmlformats.org/officeDocument/2006/relationships/hyperlink" Target="http://rs.gov.ru/en/activities/5" TargetMode="External"/><Relationship Id="rId94" Type="http://schemas.openxmlformats.org/officeDocument/2006/relationships/hyperlink" Target="https://www.un.org/press/en/2009/sc9681.doc.htm" TargetMode="External"/><Relationship Id="rId99" Type="http://schemas.openxmlformats.org/officeDocument/2006/relationships/hyperlink" Target="https://www.silkroadstudies.org/resources/pdf/SilkRoadPapers/2008_08_PP_CornellPopjanevskiNillson_Russia-Georgia.pdf" TargetMode="External"/><Relationship Id="rId101" Type="http://schemas.openxmlformats.org/officeDocument/2006/relationships/hyperlink" Target="https://successfulsocieties.princeton.edu/sites/successfulsocieties/files/Policy_Note_ID126.pdf" TargetMode="External"/><Relationship Id="rId122" Type="http://schemas.openxmlformats.org/officeDocument/2006/relationships/hyperlink" Target="https://doi.org/1989-2667" TargetMode="External"/><Relationship Id="rId143" Type="http://schemas.openxmlformats.org/officeDocument/2006/relationships/hyperlink" Target="https://brill.com/downloadpdf/journals/shrs/27/3-4/article-p381_381.pdf" TargetMode="External"/><Relationship Id="rId148" Type="http://schemas.openxmlformats.org/officeDocument/2006/relationships/hyperlink" Target="https://www.palmecenter.se/wp-content/uploads/2017/07/Human-Rights-in-Abkhazia-Today-report-by-Thomas-Hammarberg-and-Magdalena-Grono.pdf" TargetMode="External"/><Relationship Id="rId164" Type="http://schemas.openxmlformats.org/officeDocument/2006/relationships/hyperlink" Target="https://esiweb.org/pdf/esi_turkey_tpq_vol8_no1_mkrtchyan_petrosyan.pdf" TargetMode="External"/><Relationship Id="rId169" Type="http://schemas.openxmlformats.org/officeDocument/2006/relationships/hyperlink" Target="https://rc-services-assets.s3.eu-west-1.amazonaws.com/s3fs-public/PPP_2012analysis1_EN_0.pdf" TargetMode="External"/><Relationship Id="rId185" Type="http://schemas.openxmlformats.org/officeDocument/2006/relationships/hyperlink" Target="https://www.qartli.ge/ge/akhali-ambebi/article/13013-de-faqto-samkhreth-osethis-kgb-m-evrokavshiris-misiis-tsevrebi-mcire-khnith-daakava"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www.kavkaz-uzel.eu/articles/121062/" TargetMode="External"/><Relationship Id="rId210" Type="http://schemas.openxmlformats.org/officeDocument/2006/relationships/hyperlink" Target="https://www.washingtonpost.com/news/monkey-cage/wp/2014/03/20/how-people-in-south-ossetia-abkhazia-and-transnistria-feel-about-annexation-by-russia/" TargetMode="External"/><Relationship Id="rId26" Type="http://schemas.openxmlformats.org/officeDocument/2006/relationships/hyperlink" Target="https://op.europa.eu/en/publication-detail/-/publication/0babfe13-406a-4fa3-b3a9-3b7aa0fe5236/language-en" TargetMode="External"/><Relationship Id="rId47" Type="http://schemas.openxmlformats.org/officeDocument/2006/relationships/hyperlink" Target="https://eeas.europa.eu/archives/docs/top_stories/pdf/eugs_review_web.pdf" TargetMode="External"/><Relationship Id="rId68" Type="http://schemas.openxmlformats.org/officeDocument/2006/relationships/hyperlink" Target="https://www.crisisgroup.org/europe-central-asia/caucasus/georgia/249-abkhazia-and-south-ossetia-time-talk-trade" TargetMode="External"/><Relationship Id="rId89" Type="http://schemas.openxmlformats.org/officeDocument/2006/relationships/hyperlink" Target="http://mfaapsny.org/en/about/" TargetMode="External"/><Relationship Id="rId112" Type="http://schemas.openxmlformats.org/officeDocument/2006/relationships/hyperlink" Target="http://www.stefanwolff.com/files/ENP.pdf" TargetMode="External"/><Relationship Id="rId133" Type="http://schemas.openxmlformats.org/officeDocument/2006/relationships/hyperlink" Target="https://journals.muni.cz/cepsr/article/view/4466/3529" TargetMode="External"/><Relationship Id="rId154" Type="http://schemas.openxmlformats.org/officeDocument/2006/relationships/hyperlink" Target="https://www.boell.de/en/navigation/europe-transatlantic-eu-conflicts-abkhazia-10215.html" TargetMode="External"/><Relationship Id="rId175" Type="http://schemas.openxmlformats.org/officeDocument/2006/relationships/hyperlink" Target="https://www.atlanticcouncil.org/blogs/ukrainealert/why-the-bucharest-summit-still-matters-ten-years-on/" TargetMode="External"/><Relationship Id="rId196" Type="http://schemas.openxmlformats.org/officeDocument/2006/relationships/hyperlink" Target="https://abkhazworld.com/aw/Pdf/The_Land_of_the_Golden_Fleece_Conflict.pdf" TargetMode="External"/><Relationship Id="rId200" Type="http://schemas.openxmlformats.org/officeDocument/2006/relationships/hyperlink" Target="https://sites.google.com/site/georgiaconfliqt/home/thekingdomofcolchis" TargetMode="External"/><Relationship Id="rId16" Type="http://schemas.openxmlformats.org/officeDocument/2006/relationships/image" Target="media/image9.png"/></Relationships>
</file>

<file path=word/_rels/footnotes.xml.rels><?xml version="1.0" encoding="UTF-8" standalone="yes"?>
<Relationships xmlns="http://schemas.openxmlformats.org/package/2006/relationships"><Relationship Id="rId26" Type="http://schemas.openxmlformats.org/officeDocument/2006/relationships/hyperlink" Target="http://aranzeld.com/chtivo/page,1,5,161-samoe-znamenitoe-pismo-kogda-libo-napisannoe-osetinami-ili-istoricheskij-dokument-pokazyvayushhij-propast-mezhdu-nami-i-nimi.html" TargetMode="External"/><Relationship Id="rId21" Type="http://schemas.openxmlformats.org/officeDocument/2006/relationships/hyperlink" Target="https://unpo.org/article/7700" TargetMode="External"/><Relationship Id="rId42" Type="http://schemas.openxmlformats.org/officeDocument/2006/relationships/hyperlink" Target="https://eur-lex.europa.eu/LexUriServ/LexUriServ.do?uri=COM:2006:0726:FIN:EN:PDF" TargetMode="External"/><Relationship Id="rId47" Type="http://schemas.openxmlformats.org/officeDocument/2006/relationships/hyperlink" Target="https://eur-lex.europa.eu/legal-content/EN/TXT/?uri=CELEX%3A32004E0523" TargetMode="External"/><Relationship Id="rId63" Type="http://schemas.openxmlformats.org/officeDocument/2006/relationships/hyperlink" Target="http://en.kremlin.ru/events/president/transcripts/page/345" TargetMode="External"/><Relationship Id="rId68" Type="http://schemas.openxmlformats.org/officeDocument/2006/relationships/hyperlink" Target="https://www.euneighbours.eu/en/east/stay-informed/projects/statistics-eastern-partnership-step" TargetMode="External"/><Relationship Id="rId84" Type="http://schemas.openxmlformats.org/officeDocument/2006/relationships/hyperlink" Target="http://en.kremlin.ru/events/president/transcripts/1222" TargetMode="External"/><Relationship Id="rId89" Type="http://schemas.openxmlformats.org/officeDocument/2006/relationships/hyperlink" Target="http://presidentofabkhazia.org/en/respublika_abkhazia/economy/" TargetMode="External"/><Relationship Id="rId7" Type="http://schemas.openxmlformats.org/officeDocument/2006/relationships/hyperlink" Target="https://doi.org/10.4324/9781315699660" TargetMode="External"/><Relationship Id="rId71" Type="http://schemas.openxmlformats.org/officeDocument/2006/relationships/hyperlink" Target="https://smr.gov.ge/uploads/prev/9bbbc7.pdf" TargetMode="External"/><Relationship Id="rId92" Type="http://schemas.openxmlformats.org/officeDocument/2006/relationships/hyperlink" Target="https://www.crisisgroup.org/europe-central-asia/caucasus/south-ossetia-burden-recognition" TargetMode="External"/><Relationship Id="rId2" Type="http://schemas.openxmlformats.org/officeDocument/2006/relationships/hyperlink" Target="https://doi.org/10.4324/9781315699660" TargetMode="External"/><Relationship Id="rId16" Type="http://schemas.openxmlformats.org/officeDocument/2006/relationships/hyperlink" Target="http://poli.vub.ac.be/publi/Georgians/chp0201.html" TargetMode="External"/><Relationship Id="rId29" Type="http://schemas.openxmlformats.org/officeDocument/2006/relationships/hyperlink" Target="https://www.crisisgroup.org/europe-central-asia/caucasus/georgia/georgia-avoiding-war-south-ossetia" TargetMode="External"/><Relationship Id="rId11" Type="http://schemas.openxmlformats.org/officeDocument/2006/relationships/hyperlink" Target="https://europa.eu/european-union/topics/foreign-security-policy_en" TargetMode="External"/><Relationship Id="rId24" Type="http://schemas.openxmlformats.org/officeDocument/2006/relationships/hyperlink" Target="https://www.refworld.org/docid/453785670.html" TargetMode="External"/><Relationship Id="rId32" Type="http://schemas.openxmlformats.org/officeDocument/2006/relationships/hyperlink" Target="https://www.crisisgroup.org/europe-central-asia/caucasus/georgia/georgia-s-south-ossetia-conflict-make-haste-slowly" TargetMode="External"/><Relationship Id="rId37" Type="http://schemas.openxmlformats.org/officeDocument/2006/relationships/hyperlink" Target="https://www.usip.org/sites/default/files/sr167.pdf" TargetMode="External"/><Relationship Id="rId40" Type="http://schemas.openxmlformats.org/officeDocument/2006/relationships/hyperlink" Target="https://www.consilium.europa.eu/media/20906/73842.pdf" TargetMode="External"/><Relationship Id="rId45" Type="http://schemas.openxmlformats.org/officeDocument/2006/relationships/hyperlink" Target="https://www.transparency.ge/sites/default/files/GEORGIA%27S%20POWER%20SECTOR%20-%20ENG.pdf" TargetMode="External"/><Relationship Id="rId53" Type="http://schemas.openxmlformats.org/officeDocument/2006/relationships/hyperlink" Target="https://www.crisisgroup.org/europe-central-asia/caucasus/georgia/249-abkhazia-and-south-ossetia-time-talk-trade" TargetMode="External"/><Relationship Id="rId58" Type="http://schemas.openxmlformats.org/officeDocument/2006/relationships/hyperlink" Target="https://reliefweb.int/report/georgia/georgia-joins-council-europe-0" TargetMode="External"/><Relationship Id="rId66" Type="http://schemas.openxmlformats.org/officeDocument/2006/relationships/hyperlink" Target="https://www.rferl.org/a/1079256.html" TargetMode="External"/><Relationship Id="rId74" Type="http://schemas.openxmlformats.org/officeDocument/2006/relationships/hyperlink" Target="https://smr.gov.ge/en/news/read/1764/the-50th-round-of-the-geneva-international-discussions-was-held-on-december-10-11" TargetMode="External"/><Relationship Id="rId79" Type="http://schemas.openxmlformats.org/officeDocument/2006/relationships/hyperlink" Target="https://commons.wikimedia.org/wiki/File:Decree_recognising_Abkhazian_independence.png" TargetMode="External"/><Relationship Id="rId87" Type="http://schemas.openxmlformats.org/officeDocument/2006/relationships/hyperlink" Target="https://ec.europa.eu/home-affairs/what-we-do/policies/international-affairs/eastern-partnership/visa-liberalisation-moldova-ukraine-and-georgia_en" TargetMode="External"/><Relationship Id="rId102" Type="http://schemas.openxmlformats.org/officeDocument/2006/relationships/hyperlink" Target="https://www.ecdc.europa.eu/en/publications-data/hivaids-surveillance-europe-2019-2018-data" TargetMode="External"/><Relationship Id="rId5" Type="http://schemas.openxmlformats.org/officeDocument/2006/relationships/hyperlink" Target="https://carnegieeurope.eu/2012/09/11/crucial-election-in-georgia-pub-49281" TargetMode="External"/><Relationship Id="rId61" Type="http://schemas.openxmlformats.org/officeDocument/2006/relationships/hyperlink" Target="https://www.refworld.org/docid/46a4851c1e.html" TargetMode="External"/><Relationship Id="rId82" Type="http://schemas.openxmlformats.org/officeDocument/2006/relationships/hyperlink" Target="https://www.kavkaz-uzel.eu/articles/121062/" TargetMode="External"/><Relationship Id="rId90" Type="http://schemas.openxmlformats.org/officeDocument/2006/relationships/hyperlink" Target="https://www.hrw.org/report/2011/07/15/living-limbo/rights-ethnic-georgians-returnees-gali-district-abkhazia" TargetMode="External"/><Relationship Id="rId95" Type="http://schemas.openxmlformats.org/officeDocument/2006/relationships/hyperlink" Target="https://www.europarl.europa.eu/doceo/document/TA-8-2018-0266_EN.html" TargetMode="External"/><Relationship Id="rId19" Type="http://schemas.openxmlformats.org/officeDocument/2006/relationships/hyperlink" Target="https://www.bbc.com/news/world-europe-28205380" TargetMode="External"/><Relationship Id="rId14" Type="http://schemas.openxmlformats.org/officeDocument/2006/relationships/hyperlink" Target="https://www.europarl.europa.eu/sides/getDoc.do?reference=P7-TA-2011-0025&amp;type=TA&amp;language=EN&amp;redirect" TargetMode="External"/><Relationship Id="rId22" Type="http://schemas.openxmlformats.org/officeDocument/2006/relationships/hyperlink" Target="https://www.globalsecurity.org/military/world/russia/railroad-troops.htm" TargetMode="External"/><Relationship Id="rId27" Type="http://schemas.openxmlformats.org/officeDocument/2006/relationships/hyperlink" Target="https://matsne.gov.ge/ka/document/view/1079618" TargetMode="External"/><Relationship Id="rId30" Type="http://schemas.openxmlformats.org/officeDocument/2006/relationships/hyperlink" Target="https://www.osce.org/georgia-closed/43386" TargetMode="External"/><Relationship Id="rId35" Type="http://schemas.openxmlformats.org/officeDocument/2006/relationships/hyperlink" Target="https://matsne.gov.ge/en/document/view/32362?publication=0" TargetMode="External"/><Relationship Id="rId43" Type="http://schemas.openxmlformats.org/officeDocument/2006/relationships/hyperlink" Target="https://eeas.europa.eu/diplomatic-network/european-neighbourhood-policy-enp_en" TargetMode="External"/><Relationship Id="rId48" Type="http://schemas.openxmlformats.org/officeDocument/2006/relationships/hyperlink" Target="https://georgiaembassyusa.org/wp-content/uploads/2018/01/Chronology-of-Major-Events-in-Georgia-EU-Cooperation.pdf" TargetMode="External"/><Relationship Id="rId56" Type="http://schemas.openxmlformats.org/officeDocument/2006/relationships/hyperlink" Target="https://www.bbc.com/news/world-europe-28205380" TargetMode="External"/><Relationship Id="rId64" Type="http://schemas.openxmlformats.org/officeDocument/2006/relationships/hyperlink" Target="http://georgiatoday.ge/news/16199/A-Chronology-of-Russian-Embargoes-on-Georgia" TargetMode="External"/><Relationship Id="rId69" Type="http://schemas.openxmlformats.org/officeDocument/2006/relationships/hyperlink" Target="https://eur-lex.europa.eu/legal-content/en/TXT/PDF/?uri=CELEX:22014A0830(02)" TargetMode="External"/><Relationship Id="rId77" Type="http://schemas.openxmlformats.org/officeDocument/2006/relationships/hyperlink" Target="https://carnegieendowment.org/files/DeWaal_EU_Engagement_with_Seperatist_Territories.pdf" TargetMode="External"/><Relationship Id="rId100" Type="http://schemas.openxmlformats.org/officeDocument/2006/relationships/hyperlink" Target="https://eeas.europa.eu/delegations/georgia/42446/node/42446_fi" TargetMode="External"/><Relationship Id="rId105" Type="http://schemas.openxmlformats.org/officeDocument/2006/relationships/hyperlink" Target="https://www.international-alert.org/ar/blog/conflicts-and-external-relations-english-1" TargetMode="External"/><Relationship Id="rId8" Type="http://schemas.openxmlformats.org/officeDocument/2006/relationships/hyperlink" Target="https://www.consilium.europa.eu/en/policies/defence-security/" TargetMode="External"/><Relationship Id="rId51" Type="http://schemas.openxmlformats.org/officeDocument/2006/relationships/hyperlink" Target="https://www.opengovpartnership.org/stories/georgia-coping-with-success/" TargetMode="External"/><Relationship Id="rId72" Type="http://schemas.openxmlformats.org/officeDocument/2006/relationships/hyperlink" Target="https://smr.gov.ge/en/page/26/geneva-international-discussions" TargetMode="External"/><Relationship Id="rId80" Type="http://schemas.openxmlformats.org/officeDocument/2006/relationships/hyperlink" Target="http://rs.gov.ru/en/activities/5" TargetMode="External"/><Relationship Id="rId85" Type="http://schemas.openxmlformats.org/officeDocument/2006/relationships/hyperlink" Target="https://agenda.ge/en/news/2019/1860" TargetMode="External"/><Relationship Id="rId93" Type="http://schemas.openxmlformats.org/officeDocument/2006/relationships/hyperlink" Target="https://www.consilium.europa.eu/en/press/press-releases/2018/02/05/joint-press-release-following-the-4th-association-council-meeting-between-the-european-union-and-georgia/" TargetMode="External"/><Relationship Id="rId98" Type="http://schemas.openxmlformats.org/officeDocument/2006/relationships/hyperlink" Target="https://carnegieendowment.org/files/DeWaal_EU_Engagement_with_Seperatist_Territories.pdf" TargetMode="External"/><Relationship Id="rId3" Type="http://schemas.openxmlformats.org/officeDocument/2006/relationships/hyperlink" Target="https://doi.org/978-9941-449-94-9" TargetMode="External"/><Relationship Id="rId12" Type="http://schemas.openxmlformats.org/officeDocument/2006/relationships/hyperlink" Target="https://eeas.europa.eu/topics/military-and-civilian-missions-and-operations/430/military-and-civilian-missions-and-operations_en" TargetMode="External"/><Relationship Id="rId17" Type="http://schemas.openxmlformats.org/officeDocument/2006/relationships/hyperlink" Target="https://www.refworld.org/docid/469f388ca.html" TargetMode="External"/><Relationship Id="rId25" Type="http://schemas.openxmlformats.org/officeDocument/2006/relationships/hyperlink" Target="http://www.hist.msu.ru/ER/Etext/cnst1924.htm" TargetMode="External"/><Relationship Id="rId33" Type="http://schemas.openxmlformats.org/officeDocument/2006/relationships/hyperlink" Target="https://www.theguardian.com/world/2006/sep/28/russia.georgia" TargetMode="External"/><Relationship Id="rId38" Type="http://schemas.openxmlformats.org/officeDocument/2006/relationships/hyperlink" Target="https://www.crisisgroup.org/europe-central-asia/caucasus/georgia/georgia-sliding-towards-authoritarianism" TargetMode="External"/><Relationship Id="rId46" Type="http://schemas.openxmlformats.org/officeDocument/2006/relationships/hyperlink" Target="https://georgiaembassyusa.org/wp-content/uploads/2018/01/Chronology-of-Major-Events-in-Georgia-EU-Cooperation.pdf" TargetMode="External"/><Relationship Id="rId59" Type="http://schemas.openxmlformats.org/officeDocument/2006/relationships/hyperlink" Target="https://www.nato.int/docu/speech/2002/s021122h.htm" TargetMode="External"/><Relationship Id="rId67" Type="http://schemas.openxmlformats.org/officeDocument/2006/relationships/hyperlink" Target="https://www.theguardian.com/world/2008/apr/04/nato.russia" TargetMode="External"/><Relationship Id="rId103" Type="http://schemas.openxmlformats.org/officeDocument/2006/relationships/hyperlink" Target="https://www.international-alert.org/ar/blog/conflicts-and-external-relations-english-1" TargetMode="External"/><Relationship Id="rId20" Type="http://schemas.openxmlformats.org/officeDocument/2006/relationships/hyperlink" Target="https://www.usip.org/sites/default/files/sr167.pdf" TargetMode="External"/><Relationship Id="rId41" Type="http://schemas.openxmlformats.org/officeDocument/2006/relationships/hyperlink" Target="http://eeas.europa.eu/archives/docs/enp/pdf/pdf/com03_104_en.pdf" TargetMode="External"/><Relationship Id="rId54" Type="http://schemas.openxmlformats.org/officeDocument/2006/relationships/hyperlink" Target="https://www.georgianjournal.ge/society/7560-georgia-becomes-the-cis-member.html" TargetMode="External"/><Relationship Id="rId62" Type="http://schemas.openxmlformats.org/officeDocument/2006/relationships/hyperlink" Target="https://mwi.usma.edu/analyzing-russian-way-war-evidence-2008-conflict-georgia/" TargetMode="External"/><Relationship Id="rId70" Type="http://schemas.openxmlformats.org/officeDocument/2006/relationships/hyperlink" Target="https://www.ge.undp.org/content/dam/georgia/docs/publications/DG/UNDP_GE_DG_Parliament%20action%20plan%202019-20_implementation%20of%20EU-GEO%20AA_eng.pdf" TargetMode="External"/><Relationship Id="rId75" Type="http://schemas.openxmlformats.org/officeDocument/2006/relationships/hyperlink" Target="https://eur-lex.europa.eu/LexUriServ/LexUriServ.do?uri=OJ:L:2008:259:0016:0018:EN:PDF" TargetMode="External"/><Relationship Id="rId83" Type="http://schemas.openxmlformats.org/officeDocument/2006/relationships/hyperlink" Target="https://cutt.ly/Yp8dJFx" TargetMode="External"/><Relationship Id="rId88" Type="http://schemas.openxmlformats.org/officeDocument/2006/relationships/hyperlink" Target="https://www.un.org/press/en/2009/sc9681.doc.htm" TargetMode="External"/><Relationship Id="rId91" Type="http://schemas.openxmlformats.org/officeDocument/2006/relationships/hyperlink" Target="http://mfaapsny.org/en/about/" TargetMode="External"/><Relationship Id="rId96" Type="http://schemas.openxmlformats.org/officeDocument/2006/relationships/hyperlink" Target="https://www.boell.de/en/navigation/europe-transatlantic-eu-conflicts-abkhazia-10215.html" TargetMode="External"/><Relationship Id="rId1" Type="http://schemas.openxmlformats.org/officeDocument/2006/relationships/hyperlink" Target="https://www.researchgate.net/publication/228215515_Understanding_Secessionist_Conflict_in_the_South_Caucasus" TargetMode="External"/><Relationship Id="rId6" Type="http://schemas.openxmlformats.org/officeDocument/2006/relationships/hyperlink" Target="https://ec.europa.eu/commission/presscorner/detail/en/IP_16_2369" TargetMode="External"/><Relationship Id="rId15" Type="http://schemas.openxmlformats.org/officeDocument/2006/relationships/hyperlink" Target="https://eeas.europa.eu/delegations/israel_en/19192/European%20Instrument%20for%20Democracy%20and%20Human%20Rights%20(EIDHR)%20ISRAEL%202016-2017" TargetMode="External"/><Relationship Id="rId23" Type="http://schemas.openxmlformats.org/officeDocument/2006/relationships/hyperlink" Target="https://civil.ge/archives/116459" TargetMode="External"/><Relationship Id="rId28" Type="http://schemas.openxmlformats.org/officeDocument/2006/relationships/hyperlink" Target="https://www.hrw.org/report/1992/04/01/bloodshed-caucasus/violations-humanitarian-law-and-human-rights-georgia-south" TargetMode="External"/><Relationship Id="rId36" Type="http://schemas.openxmlformats.org/officeDocument/2006/relationships/hyperlink" Target="https://www.bbc.com/news/world-europe-28205380" TargetMode="External"/><Relationship Id="rId49" Type="http://schemas.openxmlformats.org/officeDocument/2006/relationships/hyperlink" Target="https://eeas.europa.eu/headquarters/headquarters-homepage_en/3606/EU%20Special%20Representatives" TargetMode="External"/><Relationship Id="rId57" Type="http://schemas.openxmlformats.org/officeDocument/2006/relationships/hyperlink" Target="https://www.georgianjournal.ge/society/7560-georgia-becomes-the-cis-member.html" TargetMode="External"/><Relationship Id="rId10" Type="http://schemas.openxmlformats.org/officeDocument/2006/relationships/hyperlink" Target="https://eur-lex.europa.eu/legal-content/EN/TXT/?uri=CELEX%3A12016M049" TargetMode="External"/><Relationship Id="rId31" Type="http://schemas.openxmlformats.org/officeDocument/2006/relationships/hyperlink" Target="https://www.crisisgroup.org/europe-central-asia/caucasus/georgia/georgia-avoiding-war-south-ossetia" TargetMode="External"/><Relationship Id="rId44" Type="http://schemas.openxmlformats.org/officeDocument/2006/relationships/hyperlink" Target="https://www.researchgate.net/publication/239533669_European_Consortium_for_Political_Research_Standing_Group_on_the_European_Union_Fourth_Pan-European_Conference_on_EU_Politics" TargetMode="External"/><Relationship Id="rId52" Type="http://schemas.openxmlformats.org/officeDocument/2006/relationships/hyperlink" Target="https://agenda.ge/en/news/2017/183" TargetMode="External"/><Relationship Id="rId60" Type="http://schemas.openxmlformats.org/officeDocument/2006/relationships/hyperlink" Target="https://old.civil.ge/eng/article.php?id=20121" TargetMode="External"/><Relationship Id="rId65" Type="http://schemas.openxmlformats.org/officeDocument/2006/relationships/hyperlink" Target="https://civil.ge/archives/109932" TargetMode="External"/><Relationship Id="rId73" Type="http://schemas.openxmlformats.org/officeDocument/2006/relationships/hyperlink" Target="https://carnegie.ru/commentary/75800" TargetMode="External"/><Relationship Id="rId78" Type="http://schemas.openxmlformats.org/officeDocument/2006/relationships/hyperlink" Target="https://carnegieendowment.org/files/DeWaal_EU_Engagement_with_Seperatist_Territories.pdf" TargetMode="External"/><Relationship Id="rId81" Type="http://schemas.openxmlformats.org/officeDocument/2006/relationships/hyperlink" Target="http://kremlin.ru/events/president/transcripts/23412" TargetMode="External"/><Relationship Id="rId86" Type="http://schemas.openxmlformats.org/officeDocument/2006/relationships/hyperlink" Target="http://en.kremlin.ru/events/president/transcripts/48301" TargetMode="External"/><Relationship Id="rId94" Type="http://schemas.openxmlformats.org/officeDocument/2006/relationships/hyperlink" Target="https://interfax.com/newsroom/top-stories/56085/" TargetMode="External"/><Relationship Id="rId99" Type="http://schemas.openxmlformats.org/officeDocument/2006/relationships/hyperlink" Target="https://oc-media.org/georgia-takes-russia-to-echr-over-rights-violations-on-occupied-territories/" TargetMode="External"/><Relationship Id="rId101" Type="http://schemas.openxmlformats.org/officeDocument/2006/relationships/hyperlink" Target="https://carnegieendowment.org/files/DeWaal_EU_Engagement_with_Seperatist_Territories.pdf" TargetMode="External"/><Relationship Id="rId4" Type="http://schemas.openxmlformats.org/officeDocument/2006/relationships/hyperlink" Target="https://carnegieendowment.org/2019/02/20/russia-s-global-ambitions-in-perspective-pub-78067" TargetMode="External"/><Relationship Id="rId9" Type="http://schemas.openxmlformats.org/officeDocument/2006/relationships/hyperlink" Target="http://www.ecmi.de/jemie/download/1-2004Comment01.pdf" TargetMode="External"/><Relationship Id="rId13" Type="http://schemas.openxmlformats.org/officeDocument/2006/relationships/hyperlink" Target="https://europa.eu/european-union/topics/foreign-security-policy_en" TargetMode="External"/><Relationship Id="rId18" Type="http://schemas.openxmlformats.org/officeDocument/2006/relationships/hyperlink" Target="https://www.nytimes.com/1993/09/28/world/in-crushing-blow-to-georgia-city-falls-to-secessionists.html" TargetMode="External"/><Relationship Id="rId39" Type="http://schemas.openxmlformats.org/officeDocument/2006/relationships/hyperlink" Target="https://www.polsoz.fu-berlin.de/en/polwiss/forschung/international/atasp/publikationen/4_artikel_papiere/8/index.html" TargetMode="External"/><Relationship Id="rId34" Type="http://schemas.openxmlformats.org/officeDocument/2006/relationships/hyperlink" Target="https://www.atlanticcouncil.org/blogs/ukrainealert/why-the-bucharest-summit-still-matters-ten-years-on/" TargetMode="External"/><Relationship Id="rId50" Type="http://schemas.openxmlformats.org/officeDocument/2006/relationships/hyperlink" Target="https://www.qartli.ge/ge/akhali-ambebi/article/13013-de-faqto-samkhreth-osethis-kgb-m-evrokavshiris-misiis-tsevrebi-mcire-khnith-daakava" TargetMode="External"/><Relationship Id="rId55" Type="http://schemas.openxmlformats.org/officeDocument/2006/relationships/hyperlink" Target="https://www.refworld.org/docid/3ae6ac6a14.html" TargetMode="External"/><Relationship Id="rId76" Type="http://schemas.openxmlformats.org/officeDocument/2006/relationships/hyperlink" Target="https://assembly.coe.int/nw/xml/XRef/Xref-XML2HTML-en.asp?fileid=17774&amp;lang=en" TargetMode="External"/><Relationship Id="rId97" Type="http://schemas.openxmlformats.org/officeDocument/2006/relationships/hyperlink" Target="https://carnegieendowment.org/files/DeWaal_EU_Engagement_with_Seperatist_Territories.pdf" TargetMode="External"/><Relationship Id="rId104" Type="http://schemas.openxmlformats.org/officeDocument/2006/relationships/hyperlink" Target="https://reliefweb.int/report/georgia/eu-assistance-fact-sheet-georg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FFEC5-459D-4F6B-8B0B-4E145EF8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Pages>
  <Words>37332</Words>
  <Characters>212798</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
    </vt:vector>
  </TitlesOfParts>
  <Company>University of Groningen</Company>
  <LinksUpToDate>false</LinksUpToDate>
  <CharactersWithSpaces>249631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Leri Khupenia</dc:creator>
  <cp:keywords>EU;Georgia;"frozen conflicts"</cp:keywords>
  <cp:lastModifiedBy>User</cp:lastModifiedBy>
  <cp:revision>464</cp:revision>
  <cp:lastPrinted>2020-07-31T09:31:00Z</cp:lastPrinted>
  <dcterms:created xsi:type="dcterms:W3CDTF">2020-07-14T17:52:00Z</dcterms:created>
  <dcterms:modified xsi:type="dcterms:W3CDTF">2020-07-31T09:32:00Z</dcterms:modified>
</cp:coreProperties>
</file>