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677C4" w14:textId="77777777" w:rsidR="007E243E" w:rsidRPr="00DA234A" w:rsidRDefault="007E243E" w:rsidP="00124DFD"/>
    <w:p w14:paraId="2044D831" w14:textId="771A4117" w:rsidR="00757176" w:rsidRPr="00D4761A" w:rsidRDefault="00757176" w:rsidP="00757176">
      <w:pPr>
        <w:jc w:val="center"/>
        <w:rPr>
          <w:sz w:val="28"/>
          <w:szCs w:val="28"/>
        </w:rPr>
      </w:pPr>
      <w:r w:rsidRPr="00D4761A">
        <w:rPr>
          <w:sz w:val="28"/>
          <w:szCs w:val="28"/>
        </w:rPr>
        <w:t>UNIVERZITA PALACKÉHO V</w:t>
      </w:r>
      <w:r w:rsidR="00984F42" w:rsidRPr="00D4761A">
        <w:rPr>
          <w:sz w:val="28"/>
          <w:szCs w:val="28"/>
        </w:rPr>
        <w:t> </w:t>
      </w:r>
      <w:r w:rsidRPr="00D4761A">
        <w:rPr>
          <w:sz w:val="28"/>
          <w:szCs w:val="28"/>
        </w:rPr>
        <w:t>OLOMOUCI</w:t>
      </w:r>
    </w:p>
    <w:p w14:paraId="0287E6FC" w14:textId="77777777" w:rsidR="00757176" w:rsidRPr="00D4761A" w:rsidRDefault="00757176" w:rsidP="00757176">
      <w:pPr>
        <w:jc w:val="center"/>
        <w:rPr>
          <w:sz w:val="28"/>
          <w:szCs w:val="28"/>
        </w:rPr>
      </w:pPr>
    </w:p>
    <w:p w14:paraId="114C1917" w14:textId="77777777" w:rsidR="00757176" w:rsidRPr="00D4761A" w:rsidRDefault="00757176" w:rsidP="00757176">
      <w:pPr>
        <w:jc w:val="center"/>
        <w:rPr>
          <w:szCs w:val="24"/>
        </w:rPr>
      </w:pPr>
      <w:r w:rsidRPr="00D4761A">
        <w:rPr>
          <w:szCs w:val="24"/>
        </w:rPr>
        <w:t>I. interní klinika – kardiologická</w:t>
      </w:r>
    </w:p>
    <w:p w14:paraId="2F6B3C55" w14:textId="77777777" w:rsidR="00757176" w:rsidRPr="00D4761A" w:rsidRDefault="00757176" w:rsidP="00757176">
      <w:pPr>
        <w:jc w:val="center"/>
        <w:rPr>
          <w:szCs w:val="24"/>
        </w:rPr>
      </w:pPr>
      <w:r w:rsidRPr="00D4761A">
        <w:rPr>
          <w:szCs w:val="24"/>
        </w:rPr>
        <w:t>Přednosta: prof. MUDr. Miloš Táborský, CSc., FESC, FACC, MBA</w:t>
      </w:r>
    </w:p>
    <w:p w14:paraId="499AA054" w14:textId="77777777" w:rsidR="001466B0" w:rsidRPr="00D4761A" w:rsidRDefault="001466B0" w:rsidP="00757176">
      <w:pPr>
        <w:jc w:val="center"/>
        <w:rPr>
          <w:sz w:val="28"/>
          <w:szCs w:val="28"/>
        </w:rPr>
      </w:pPr>
    </w:p>
    <w:p w14:paraId="3B9885EB" w14:textId="02FCA375" w:rsidR="00757176" w:rsidRPr="00D4761A" w:rsidRDefault="001466B0" w:rsidP="00757176">
      <w:pPr>
        <w:jc w:val="center"/>
        <w:rPr>
          <w:sz w:val="28"/>
          <w:szCs w:val="28"/>
        </w:rPr>
      </w:pPr>
      <w:r w:rsidRPr="00D4761A">
        <w:rPr>
          <w:noProof/>
          <w:sz w:val="28"/>
          <w:szCs w:val="28"/>
          <w:lang w:eastAsia="cs-CZ"/>
        </w:rPr>
        <w:drawing>
          <wp:inline distT="0" distB="0" distL="0" distR="0" wp14:anchorId="6112E488" wp14:editId="6C9FCD7A">
            <wp:extent cx="3902400" cy="1800000"/>
            <wp:effectExtent l="0" t="0" r="0" b="0"/>
            <wp:docPr id="38" name="Obrázek 38" descr="C:\Users\Leo\Desktop\LF_logotypy\LF_logo_had_PNG web\UP_logo_LF_had_c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Desktop\LF_logotypy\LF_logo_had_PNG web\UP_logo_LF_had_cz.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2400" cy="1800000"/>
                    </a:xfrm>
                    <a:prstGeom prst="rect">
                      <a:avLst/>
                    </a:prstGeom>
                    <a:noFill/>
                    <a:ln>
                      <a:noFill/>
                    </a:ln>
                  </pic:spPr>
                </pic:pic>
              </a:graphicData>
            </a:graphic>
          </wp:inline>
        </w:drawing>
      </w:r>
    </w:p>
    <w:p w14:paraId="32B50267" w14:textId="77777777" w:rsidR="00757176" w:rsidRPr="00D4761A" w:rsidRDefault="00757176" w:rsidP="00757176">
      <w:pPr>
        <w:jc w:val="center"/>
        <w:rPr>
          <w:sz w:val="28"/>
          <w:szCs w:val="28"/>
        </w:rPr>
      </w:pPr>
    </w:p>
    <w:p w14:paraId="0E572F86" w14:textId="77777777" w:rsidR="001466B0" w:rsidRPr="00D4761A" w:rsidRDefault="001466B0" w:rsidP="00757176">
      <w:pPr>
        <w:jc w:val="center"/>
        <w:rPr>
          <w:sz w:val="28"/>
          <w:szCs w:val="28"/>
        </w:rPr>
      </w:pPr>
    </w:p>
    <w:p w14:paraId="6DDDBE81" w14:textId="77777777" w:rsidR="001466B0" w:rsidRPr="00D4761A" w:rsidRDefault="001466B0" w:rsidP="00757176">
      <w:pPr>
        <w:jc w:val="center"/>
        <w:rPr>
          <w:sz w:val="28"/>
          <w:szCs w:val="28"/>
        </w:rPr>
      </w:pPr>
    </w:p>
    <w:p w14:paraId="51B411E7" w14:textId="25DF4C89" w:rsidR="007E243E" w:rsidRPr="00D4761A" w:rsidRDefault="007E243E" w:rsidP="00757176">
      <w:pPr>
        <w:jc w:val="center"/>
        <w:rPr>
          <w:b/>
          <w:sz w:val="36"/>
          <w:szCs w:val="36"/>
        </w:rPr>
      </w:pPr>
      <w:r w:rsidRPr="00D4761A">
        <w:rPr>
          <w:b/>
          <w:sz w:val="36"/>
          <w:szCs w:val="36"/>
        </w:rPr>
        <w:t>Vybrané aspekty farmakoterapie chronického srdečního selhání se sníženou ejekční frakcí levé komory</w:t>
      </w:r>
    </w:p>
    <w:p w14:paraId="6529ED61" w14:textId="77777777" w:rsidR="00757176" w:rsidRPr="00D4761A" w:rsidRDefault="00757176" w:rsidP="00757176">
      <w:pPr>
        <w:jc w:val="center"/>
        <w:rPr>
          <w:sz w:val="28"/>
          <w:szCs w:val="28"/>
        </w:rPr>
      </w:pPr>
    </w:p>
    <w:p w14:paraId="1E5256F0" w14:textId="77777777" w:rsidR="00757176" w:rsidRPr="00D4761A" w:rsidRDefault="00757176" w:rsidP="00757176">
      <w:pPr>
        <w:jc w:val="center"/>
        <w:rPr>
          <w:sz w:val="28"/>
          <w:szCs w:val="28"/>
        </w:rPr>
      </w:pPr>
      <w:r w:rsidRPr="00D4761A">
        <w:rPr>
          <w:sz w:val="28"/>
          <w:szCs w:val="28"/>
        </w:rPr>
        <w:t>Disertační práce</w:t>
      </w:r>
    </w:p>
    <w:p w14:paraId="57DE0296" w14:textId="77777777" w:rsidR="00757176" w:rsidRPr="00D4761A" w:rsidRDefault="00757176" w:rsidP="00757176">
      <w:pPr>
        <w:jc w:val="center"/>
        <w:rPr>
          <w:sz w:val="32"/>
          <w:szCs w:val="32"/>
        </w:rPr>
      </w:pPr>
      <w:r w:rsidRPr="00D4761A">
        <w:rPr>
          <w:sz w:val="32"/>
          <w:szCs w:val="32"/>
        </w:rPr>
        <w:t>MUDr. Luděk Pavlů</w:t>
      </w:r>
    </w:p>
    <w:p w14:paraId="3D3F0C15" w14:textId="77777777" w:rsidR="00757176" w:rsidRPr="00D4761A" w:rsidRDefault="00757176" w:rsidP="00757176">
      <w:pPr>
        <w:jc w:val="center"/>
        <w:rPr>
          <w:sz w:val="28"/>
          <w:szCs w:val="28"/>
        </w:rPr>
      </w:pPr>
    </w:p>
    <w:p w14:paraId="1D997505" w14:textId="77777777" w:rsidR="00757176" w:rsidRPr="00D4761A" w:rsidRDefault="00757176" w:rsidP="00757176">
      <w:pPr>
        <w:jc w:val="center"/>
        <w:rPr>
          <w:sz w:val="28"/>
          <w:szCs w:val="28"/>
        </w:rPr>
      </w:pPr>
    </w:p>
    <w:p w14:paraId="36BF66B5" w14:textId="77777777" w:rsidR="00757176" w:rsidRPr="00D4761A" w:rsidRDefault="00757176" w:rsidP="00757176">
      <w:pPr>
        <w:jc w:val="center"/>
        <w:rPr>
          <w:sz w:val="28"/>
          <w:szCs w:val="28"/>
        </w:rPr>
      </w:pPr>
    </w:p>
    <w:p w14:paraId="1484896B" w14:textId="77777777" w:rsidR="00757176" w:rsidRPr="00D4761A" w:rsidRDefault="00757176" w:rsidP="00757176">
      <w:pPr>
        <w:jc w:val="center"/>
        <w:rPr>
          <w:sz w:val="28"/>
          <w:szCs w:val="28"/>
        </w:rPr>
      </w:pPr>
    </w:p>
    <w:p w14:paraId="55E9839E" w14:textId="4E6473A0" w:rsidR="007E243E" w:rsidRPr="00D4761A" w:rsidRDefault="007E243E" w:rsidP="00757176">
      <w:pPr>
        <w:jc w:val="center"/>
        <w:rPr>
          <w:sz w:val="28"/>
          <w:szCs w:val="28"/>
        </w:rPr>
      </w:pPr>
      <w:r w:rsidRPr="00D4761A">
        <w:rPr>
          <w:sz w:val="28"/>
          <w:szCs w:val="28"/>
        </w:rPr>
        <w:t>Školitel: doc. MUDr. Jana Petřková, Ph.D.</w:t>
      </w:r>
    </w:p>
    <w:p w14:paraId="7EB4AAC5" w14:textId="74084C1D" w:rsidR="007E243E" w:rsidRPr="00D4761A" w:rsidRDefault="007E243E" w:rsidP="00757176">
      <w:pPr>
        <w:jc w:val="center"/>
        <w:rPr>
          <w:sz w:val="28"/>
          <w:szCs w:val="28"/>
        </w:rPr>
      </w:pPr>
    </w:p>
    <w:p w14:paraId="7D5CDACF" w14:textId="3B7E85B4" w:rsidR="007E243E" w:rsidRPr="00D4761A" w:rsidRDefault="007E243E" w:rsidP="00757176">
      <w:pPr>
        <w:jc w:val="center"/>
        <w:rPr>
          <w:sz w:val="28"/>
          <w:szCs w:val="28"/>
        </w:rPr>
      </w:pPr>
      <w:r w:rsidRPr="00D4761A">
        <w:rPr>
          <w:sz w:val="28"/>
          <w:szCs w:val="28"/>
        </w:rPr>
        <w:t>Olomouc 202</w:t>
      </w:r>
      <w:r w:rsidR="002577EE" w:rsidRPr="00D4761A">
        <w:rPr>
          <w:sz w:val="28"/>
          <w:szCs w:val="28"/>
        </w:rPr>
        <w:t>3</w:t>
      </w:r>
    </w:p>
    <w:p w14:paraId="4A6738CB" w14:textId="6C6F014C" w:rsidR="00A93278" w:rsidRPr="00D4761A" w:rsidRDefault="00A93278" w:rsidP="00A063D5">
      <w:pPr>
        <w:pStyle w:val="Nadpis10"/>
        <w:spacing w:before="7200"/>
      </w:pPr>
      <w:r w:rsidRPr="00D4761A">
        <w:lastRenderedPageBreak/>
        <w:t>Prohlášení</w:t>
      </w:r>
    </w:p>
    <w:p w14:paraId="5B08301A" w14:textId="2EDF5C84" w:rsidR="00597804" w:rsidRPr="00D4761A" w:rsidRDefault="00A93278" w:rsidP="00516238">
      <w:pPr>
        <w:ind w:firstLine="708"/>
        <w:rPr>
          <w:rFonts w:cstheme="minorHAnsi"/>
          <w:szCs w:val="24"/>
        </w:rPr>
      </w:pPr>
      <w:r w:rsidRPr="00D4761A">
        <w:rPr>
          <w:rFonts w:cstheme="minorHAnsi"/>
          <w:szCs w:val="24"/>
        </w:rPr>
        <w:t xml:space="preserve">Prohlašuji, že jsem disertační práci vypracoval samostatně </w:t>
      </w:r>
      <w:r w:rsidR="00672ED4" w:rsidRPr="00D4761A">
        <w:rPr>
          <w:rFonts w:cstheme="minorHAnsi"/>
          <w:szCs w:val="24"/>
        </w:rPr>
        <w:t>a </w:t>
      </w:r>
      <w:r w:rsidRPr="00D4761A">
        <w:rPr>
          <w:rFonts w:cstheme="minorHAnsi"/>
          <w:szCs w:val="24"/>
        </w:rPr>
        <w:t>že jsem uvedl veškerou použitou literaturu.</w:t>
      </w:r>
    </w:p>
    <w:p w14:paraId="4DC9F1AC" w14:textId="59603619" w:rsidR="00A93278" w:rsidRPr="00D4761A" w:rsidRDefault="00A93278" w:rsidP="00AF5A33">
      <w:pPr>
        <w:rPr>
          <w:rFonts w:cstheme="minorHAnsi"/>
          <w:szCs w:val="24"/>
        </w:rPr>
      </w:pPr>
    </w:p>
    <w:p w14:paraId="574930C5" w14:textId="723A79FA" w:rsidR="00A93278" w:rsidRPr="00D4761A" w:rsidRDefault="00A93278" w:rsidP="00B56B13">
      <w:pPr>
        <w:tabs>
          <w:tab w:val="center" w:pos="7371"/>
        </w:tabs>
        <w:rPr>
          <w:rFonts w:cstheme="minorHAnsi"/>
          <w:szCs w:val="24"/>
        </w:rPr>
      </w:pPr>
      <w:r w:rsidRPr="00D4761A">
        <w:rPr>
          <w:rFonts w:cstheme="minorHAnsi"/>
          <w:szCs w:val="24"/>
        </w:rPr>
        <w:t>V Olomouci dne</w:t>
      </w:r>
      <w:r w:rsidR="00CF0706" w:rsidRPr="00D4761A">
        <w:rPr>
          <w:rFonts w:cstheme="minorHAnsi"/>
          <w:szCs w:val="24"/>
        </w:rPr>
        <w:t xml:space="preserve"> 17.01.2023</w:t>
      </w:r>
      <w:r w:rsidRPr="00D4761A">
        <w:rPr>
          <w:rFonts w:cstheme="minorHAnsi"/>
          <w:szCs w:val="24"/>
        </w:rPr>
        <w:tab/>
        <w:t>MUDr. Luděk Pavlů</w:t>
      </w:r>
    </w:p>
    <w:p w14:paraId="42E0441F" w14:textId="6C08D9C4" w:rsidR="00597804" w:rsidRPr="00D4761A" w:rsidRDefault="006208B9" w:rsidP="006208B9">
      <w:pPr>
        <w:pStyle w:val="Nadpis10"/>
        <w:spacing w:before="7200"/>
      </w:pPr>
      <w:r w:rsidRPr="00D4761A">
        <w:lastRenderedPageBreak/>
        <w:t>Poděkování</w:t>
      </w:r>
    </w:p>
    <w:p w14:paraId="58758ACA" w14:textId="345FFB34" w:rsidR="00597804" w:rsidRPr="00D4761A" w:rsidRDefault="006A448B" w:rsidP="00516238">
      <w:pPr>
        <w:ind w:firstLine="708"/>
        <w:rPr>
          <w:rFonts w:cstheme="minorHAnsi"/>
          <w:szCs w:val="24"/>
        </w:rPr>
      </w:pPr>
      <w:r w:rsidRPr="00D4761A">
        <w:rPr>
          <w:rFonts w:cstheme="minorHAnsi"/>
          <w:szCs w:val="24"/>
        </w:rPr>
        <w:t>Děkuji doc. MUDr. Janě Petřkové, Ph</w:t>
      </w:r>
      <w:r w:rsidR="00166D02" w:rsidRPr="00D4761A">
        <w:rPr>
          <w:rFonts w:cstheme="minorHAnsi"/>
          <w:szCs w:val="24"/>
        </w:rPr>
        <w:t>.</w:t>
      </w:r>
      <w:r w:rsidRPr="00D4761A">
        <w:rPr>
          <w:rFonts w:cstheme="minorHAnsi"/>
          <w:szCs w:val="24"/>
        </w:rPr>
        <w:t xml:space="preserve">D. za vedení, cenné rady </w:t>
      </w:r>
      <w:r w:rsidR="00672ED4" w:rsidRPr="00D4761A">
        <w:rPr>
          <w:rFonts w:cstheme="minorHAnsi"/>
          <w:szCs w:val="24"/>
        </w:rPr>
        <w:t>a </w:t>
      </w:r>
      <w:r w:rsidR="00E6761A" w:rsidRPr="00D4761A">
        <w:rPr>
          <w:rFonts w:cstheme="minorHAnsi"/>
          <w:szCs w:val="24"/>
        </w:rPr>
        <w:t>připomínky</w:t>
      </w:r>
      <w:r w:rsidR="001C68DD" w:rsidRPr="00D4761A">
        <w:rPr>
          <w:rFonts w:cstheme="minorHAnsi"/>
          <w:szCs w:val="24"/>
        </w:rPr>
        <w:t>. Prof. MUDr. Miloši Táborskému, CSc., FESC, FACC, MBA</w:t>
      </w:r>
      <w:r w:rsidR="00685E7D" w:rsidRPr="00D4761A">
        <w:rPr>
          <w:rFonts w:cstheme="minorHAnsi"/>
          <w:szCs w:val="24"/>
        </w:rPr>
        <w:t>,</w:t>
      </w:r>
      <w:r w:rsidR="001C68DD" w:rsidRPr="00D4761A">
        <w:rPr>
          <w:rFonts w:cstheme="minorHAnsi"/>
          <w:szCs w:val="24"/>
        </w:rPr>
        <w:t xml:space="preserve"> děkuji za podporu ve vědecko-výzkumné </w:t>
      </w:r>
      <w:r w:rsidR="00672ED4" w:rsidRPr="00D4761A">
        <w:rPr>
          <w:rFonts w:cstheme="minorHAnsi"/>
          <w:szCs w:val="24"/>
        </w:rPr>
        <w:t>a </w:t>
      </w:r>
      <w:r w:rsidR="001C68DD" w:rsidRPr="00D4761A">
        <w:rPr>
          <w:rFonts w:cstheme="minorHAnsi"/>
          <w:szCs w:val="24"/>
        </w:rPr>
        <w:t>klinické činnosti na I. Interní klinice – kardiologické Fakultní nemocnice Olomouc.</w:t>
      </w:r>
      <w:r w:rsidR="00597804" w:rsidRPr="00D4761A">
        <w:rPr>
          <w:rFonts w:cstheme="minorHAnsi"/>
          <w:szCs w:val="24"/>
        </w:rPr>
        <w:t xml:space="preserve"> </w:t>
      </w:r>
      <w:r w:rsidR="001C68DD" w:rsidRPr="00D4761A">
        <w:rPr>
          <w:rFonts w:cstheme="minorHAnsi"/>
          <w:szCs w:val="24"/>
        </w:rPr>
        <w:t>D</w:t>
      </w:r>
      <w:r w:rsidRPr="00D4761A">
        <w:rPr>
          <w:rFonts w:cstheme="minorHAnsi"/>
          <w:szCs w:val="24"/>
        </w:rPr>
        <w:t>oc. RNDr. Ondřejovi Holému, Ph</w:t>
      </w:r>
      <w:r w:rsidR="00166D02" w:rsidRPr="00D4761A">
        <w:rPr>
          <w:rFonts w:cstheme="minorHAnsi"/>
          <w:szCs w:val="24"/>
        </w:rPr>
        <w:t>.</w:t>
      </w:r>
      <w:r w:rsidRPr="00D4761A">
        <w:rPr>
          <w:rFonts w:cstheme="minorHAnsi"/>
          <w:szCs w:val="24"/>
        </w:rPr>
        <w:t>D.</w:t>
      </w:r>
      <w:r w:rsidR="004F5F9C" w:rsidRPr="00D4761A">
        <w:rPr>
          <w:rFonts w:cstheme="minorHAnsi"/>
          <w:szCs w:val="24"/>
        </w:rPr>
        <w:t>,</w:t>
      </w:r>
      <w:r w:rsidRPr="00D4761A">
        <w:rPr>
          <w:rFonts w:cstheme="minorHAnsi"/>
          <w:szCs w:val="24"/>
        </w:rPr>
        <w:t xml:space="preserve"> za spolupráci </w:t>
      </w:r>
      <w:r w:rsidR="00672ED4" w:rsidRPr="00D4761A">
        <w:rPr>
          <w:rFonts w:cstheme="minorHAnsi"/>
          <w:szCs w:val="24"/>
        </w:rPr>
        <w:t>a </w:t>
      </w:r>
      <w:r w:rsidR="001C68DD" w:rsidRPr="00D4761A">
        <w:rPr>
          <w:rFonts w:cstheme="minorHAnsi"/>
          <w:szCs w:val="24"/>
        </w:rPr>
        <w:t xml:space="preserve">předané </w:t>
      </w:r>
      <w:r w:rsidRPr="00D4761A">
        <w:rPr>
          <w:rFonts w:cstheme="minorHAnsi"/>
          <w:szCs w:val="24"/>
        </w:rPr>
        <w:t>zkušenost</w:t>
      </w:r>
      <w:r w:rsidR="001C68DD" w:rsidRPr="00D4761A">
        <w:rPr>
          <w:rFonts w:cstheme="minorHAnsi"/>
          <w:szCs w:val="24"/>
        </w:rPr>
        <w:t>i</w:t>
      </w:r>
      <w:r w:rsidRPr="00D4761A">
        <w:rPr>
          <w:rFonts w:cstheme="minorHAnsi"/>
          <w:szCs w:val="24"/>
        </w:rPr>
        <w:t xml:space="preserve"> v oblasti epidemiologie</w:t>
      </w:r>
      <w:r w:rsidR="00C66883" w:rsidRPr="00D4761A">
        <w:rPr>
          <w:rFonts w:cstheme="minorHAnsi"/>
          <w:szCs w:val="24"/>
        </w:rPr>
        <w:t xml:space="preserve">. </w:t>
      </w:r>
      <w:r w:rsidR="00E6761A" w:rsidRPr="00D4761A">
        <w:rPr>
          <w:rFonts w:cstheme="minorHAnsi"/>
          <w:szCs w:val="24"/>
        </w:rPr>
        <w:t xml:space="preserve">V neposlední řadě děkuji </w:t>
      </w:r>
      <w:r w:rsidR="00C66883" w:rsidRPr="00D4761A">
        <w:rPr>
          <w:rFonts w:cstheme="minorHAnsi"/>
          <w:szCs w:val="24"/>
        </w:rPr>
        <w:t xml:space="preserve">všem spoluautorům </w:t>
      </w:r>
      <w:r w:rsidR="00732DE9" w:rsidRPr="00D4761A">
        <w:rPr>
          <w:rFonts w:cstheme="minorHAnsi"/>
          <w:szCs w:val="24"/>
        </w:rPr>
        <w:t xml:space="preserve">publikací </w:t>
      </w:r>
      <w:r w:rsidR="00672ED4" w:rsidRPr="00D4761A">
        <w:rPr>
          <w:rFonts w:cstheme="minorHAnsi"/>
          <w:szCs w:val="24"/>
        </w:rPr>
        <w:t>a </w:t>
      </w:r>
      <w:r w:rsidR="00C66883" w:rsidRPr="00D4761A">
        <w:rPr>
          <w:rFonts w:cstheme="minorHAnsi"/>
          <w:szCs w:val="24"/>
        </w:rPr>
        <w:t>klinických databází.</w:t>
      </w:r>
    </w:p>
    <w:p w14:paraId="0400B9BB" w14:textId="77777777" w:rsidR="00D957B9" w:rsidRPr="00D4761A" w:rsidRDefault="00D957B9">
      <w:pPr>
        <w:rPr>
          <w:rFonts w:cstheme="minorHAnsi"/>
          <w:szCs w:val="24"/>
        </w:rPr>
      </w:pPr>
    </w:p>
    <w:p w14:paraId="04458AAA" w14:textId="39A8B1D1" w:rsidR="00D957B9" w:rsidRPr="00D4761A" w:rsidRDefault="00D957B9" w:rsidP="00984F42">
      <w:pPr>
        <w:pStyle w:val="Nadpis10"/>
        <w:spacing w:before="7200"/>
      </w:pPr>
      <w:r w:rsidRPr="00D4761A">
        <w:lastRenderedPageBreak/>
        <w:t>Grantová podpora</w:t>
      </w:r>
    </w:p>
    <w:p w14:paraId="7AE53F6C" w14:textId="77777777" w:rsidR="00D957B9" w:rsidRPr="00D4761A" w:rsidRDefault="00D957B9" w:rsidP="00984F42">
      <w:pPr>
        <w:ind w:firstLine="708"/>
        <w:rPr>
          <w:rFonts w:cstheme="minorHAnsi"/>
          <w:szCs w:val="24"/>
        </w:rPr>
      </w:pPr>
      <w:r w:rsidRPr="00D4761A">
        <w:rPr>
          <w:rFonts w:cstheme="minorHAnsi"/>
          <w:szCs w:val="24"/>
        </w:rPr>
        <w:t>Tato dizertační práce vznikla s dílčí podporou následujících projektů: IGA UP: LF2021_014, IGA UP: LF2022_005 a CZ.02.1.01/0.0/0.0/16_019/0000868 (ENOCH).</w:t>
      </w:r>
    </w:p>
    <w:p w14:paraId="21156770" w14:textId="57BCE096" w:rsidR="00AF5A33" w:rsidRPr="00D4761A" w:rsidRDefault="00AF5A33">
      <w:pPr>
        <w:rPr>
          <w:rFonts w:cstheme="minorHAnsi"/>
          <w:szCs w:val="24"/>
        </w:rPr>
      </w:pPr>
      <w:r w:rsidRPr="00D4761A">
        <w:rPr>
          <w:rFonts w:cstheme="minorHAnsi"/>
          <w:szCs w:val="24"/>
        </w:rPr>
        <w:br w:type="page"/>
      </w:r>
    </w:p>
    <w:p w14:paraId="147BD73D" w14:textId="2143C78A" w:rsidR="00597804" w:rsidRPr="00D4761A" w:rsidRDefault="00C00F11" w:rsidP="00C00F11">
      <w:pPr>
        <w:rPr>
          <w:rFonts w:cstheme="minorHAnsi"/>
          <w:szCs w:val="24"/>
        </w:rPr>
      </w:pPr>
      <w:r w:rsidRPr="00D4761A">
        <w:rPr>
          <w:rFonts w:cstheme="minorHAnsi"/>
          <w:szCs w:val="24"/>
        </w:rPr>
        <w:lastRenderedPageBreak/>
        <w:t xml:space="preserve">Jméno </w:t>
      </w:r>
      <w:r w:rsidR="00672ED4" w:rsidRPr="00D4761A">
        <w:rPr>
          <w:rFonts w:cstheme="minorHAnsi"/>
          <w:szCs w:val="24"/>
        </w:rPr>
        <w:t>a </w:t>
      </w:r>
      <w:r w:rsidRPr="00D4761A">
        <w:rPr>
          <w:rFonts w:cstheme="minorHAnsi"/>
          <w:szCs w:val="24"/>
        </w:rPr>
        <w:t>příjmení autora: MUDr. Luděk Pavlů</w:t>
      </w:r>
    </w:p>
    <w:p w14:paraId="1F92BF3F" w14:textId="77777777" w:rsidR="00597804" w:rsidRPr="00D4761A" w:rsidRDefault="00C00F11" w:rsidP="00C00F11">
      <w:pPr>
        <w:rPr>
          <w:rFonts w:cstheme="minorHAnsi"/>
          <w:szCs w:val="24"/>
        </w:rPr>
      </w:pPr>
      <w:r w:rsidRPr="00D4761A">
        <w:rPr>
          <w:rFonts w:cstheme="minorHAnsi"/>
          <w:b/>
          <w:bCs/>
          <w:szCs w:val="24"/>
        </w:rPr>
        <w:t>Název disertační práce:</w:t>
      </w:r>
      <w:r w:rsidRPr="00D4761A">
        <w:rPr>
          <w:rFonts w:cstheme="minorHAnsi"/>
          <w:szCs w:val="24"/>
        </w:rPr>
        <w:t xml:space="preserve"> </w:t>
      </w:r>
      <w:r w:rsidR="002C4608" w:rsidRPr="00D4761A">
        <w:rPr>
          <w:rFonts w:cstheme="minorHAnsi"/>
          <w:szCs w:val="24"/>
        </w:rPr>
        <w:t>Vybrané aspekty f</w:t>
      </w:r>
      <w:r w:rsidRPr="00D4761A">
        <w:rPr>
          <w:rFonts w:cstheme="minorHAnsi"/>
          <w:szCs w:val="24"/>
        </w:rPr>
        <w:t>armakoterapie chronického srdečního selhání se sníženou ejekční frakcí levé komory</w:t>
      </w:r>
    </w:p>
    <w:p w14:paraId="60033213" w14:textId="77777777" w:rsidR="00597804" w:rsidRPr="00D4761A" w:rsidRDefault="00C00F11" w:rsidP="00C00F11">
      <w:pPr>
        <w:rPr>
          <w:rFonts w:cstheme="minorHAnsi"/>
          <w:szCs w:val="24"/>
        </w:rPr>
      </w:pPr>
      <w:r w:rsidRPr="00D4761A">
        <w:rPr>
          <w:rFonts w:cstheme="minorHAnsi"/>
          <w:b/>
          <w:bCs/>
          <w:szCs w:val="24"/>
        </w:rPr>
        <w:t>Obor:</w:t>
      </w:r>
      <w:r w:rsidRPr="00D4761A">
        <w:rPr>
          <w:rFonts w:cstheme="minorHAnsi"/>
          <w:szCs w:val="24"/>
        </w:rPr>
        <w:t xml:space="preserve"> Vnitřní nemoci</w:t>
      </w:r>
    </w:p>
    <w:p w14:paraId="40DA9879" w14:textId="5BBF96A5" w:rsidR="00C00F11" w:rsidRPr="00D4761A" w:rsidRDefault="00C00F11" w:rsidP="00C00F11">
      <w:pPr>
        <w:rPr>
          <w:rFonts w:cstheme="minorHAnsi"/>
          <w:szCs w:val="24"/>
        </w:rPr>
      </w:pPr>
      <w:r w:rsidRPr="00D4761A">
        <w:rPr>
          <w:rFonts w:cstheme="minorHAnsi"/>
          <w:b/>
          <w:bCs/>
          <w:szCs w:val="24"/>
        </w:rPr>
        <w:t xml:space="preserve">Školitel: </w:t>
      </w:r>
      <w:r w:rsidRPr="00D4761A">
        <w:rPr>
          <w:rFonts w:cstheme="minorHAnsi"/>
          <w:szCs w:val="24"/>
        </w:rPr>
        <w:t>doc. MUDr. Jana Petřková, Ph.D.</w:t>
      </w:r>
    </w:p>
    <w:p w14:paraId="1D183BD1" w14:textId="48DEF9EB" w:rsidR="00C00F11" w:rsidRPr="00D4761A" w:rsidRDefault="00C00F11" w:rsidP="00C00F11">
      <w:pPr>
        <w:rPr>
          <w:rFonts w:cstheme="minorHAnsi"/>
          <w:szCs w:val="24"/>
        </w:rPr>
      </w:pPr>
      <w:r w:rsidRPr="00D4761A">
        <w:rPr>
          <w:rFonts w:cstheme="minorHAnsi"/>
          <w:b/>
          <w:bCs/>
          <w:szCs w:val="24"/>
        </w:rPr>
        <w:t>Rok obhajoby disertační práce:</w:t>
      </w:r>
      <w:r w:rsidRPr="00D4761A">
        <w:rPr>
          <w:rFonts w:cstheme="minorHAnsi"/>
          <w:szCs w:val="24"/>
        </w:rPr>
        <w:t xml:space="preserve"> 202</w:t>
      </w:r>
      <w:r w:rsidR="002577EE" w:rsidRPr="00D4761A">
        <w:rPr>
          <w:rFonts w:cstheme="minorHAnsi"/>
          <w:szCs w:val="24"/>
        </w:rPr>
        <w:t>3</w:t>
      </w:r>
    </w:p>
    <w:p w14:paraId="45BB7CF1" w14:textId="77777777" w:rsidR="00C00F11" w:rsidRPr="00D4761A" w:rsidRDefault="00C00F11" w:rsidP="00C00F11">
      <w:pPr>
        <w:rPr>
          <w:rFonts w:cstheme="minorHAnsi"/>
          <w:szCs w:val="24"/>
        </w:rPr>
      </w:pPr>
    </w:p>
    <w:p w14:paraId="512271C8" w14:textId="77777777" w:rsidR="00597804" w:rsidRPr="00D4761A" w:rsidRDefault="00C00F11" w:rsidP="00C00F11">
      <w:pPr>
        <w:rPr>
          <w:rFonts w:cstheme="minorHAnsi"/>
          <w:b/>
          <w:bCs/>
          <w:szCs w:val="24"/>
        </w:rPr>
      </w:pPr>
      <w:r w:rsidRPr="00D4761A">
        <w:rPr>
          <w:rFonts w:cstheme="minorHAnsi"/>
          <w:b/>
          <w:bCs/>
          <w:szCs w:val="24"/>
        </w:rPr>
        <w:t>Abstrakt:</w:t>
      </w:r>
    </w:p>
    <w:p w14:paraId="72272447" w14:textId="74FE5120" w:rsidR="00C00F11" w:rsidRPr="00D4761A" w:rsidRDefault="00C00F11" w:rsidP="00C00F11">
      <w:pPr>
        <w:rPr>
          <w:rFonts w:cstheme="minorHAnsi"/>
          <w:szCs w:val="24"/>
        </w:rPr>
      </w:pPr>
      <w:r w:rsidRPr="00D4761A">
        <w:rPr>
          <w:rFonts w:cstheme="minorHAnsi"/>
          <w:szCs w:val="24"/>
        </w:rPr>
        <w:t xml:space="preserve">Farmakoterapie je zásadní intervencí, která mění mortalitu </w:t>
      </w:r>
      <w:r w:rsidR="00672ED4" w:rsidRPr="00D4761A">
        <w:rPr>
          <w:rFonts w:cstheme="minorHAnsi"/>
          <w:szCs w:val="24"/>
        </w:rPr>
        <w:t>a </w:t>
      </w:r>
      <w:r w:rsidRPr="00D4761A">
        <w:rPr>
          <w:rFonts w:cstheme="minorHAnsi"/>
          <w:szCs w:val="24"/>
        </w:rPr>
        <w:t xml:space="preserve">morbiditu </w:t>
      </w:r>
      <w:r w:rsidR="00672ED4" w:rsidRPr="00D4761A">
        <w:rPr>
          <w:rFonts w:cstheme="minorHAnsi"/>
          <w:szCs w:val="24"/>
        </w:rPr>
        <w:t>u </w:t>
      </w:r>
      <w:r w:rsidRPr="00D4761A">
        <w:rPr>
          <w:rFonts w:cstheme="minorHAnsi"/>
          <w:szCs w:val="24"/>
        </w:rPr>
        <w:t>pacientů se srdečním selháním.</w:t>
      </w:r>
    </w:p>
    <w:p w14:paraId="50C86559" w14:textId="5E979A05" w:rsidR="004E0F47" w:rsidRPr="00D4761A" w:rsidRDefault="00C00F11" w:rsidP="004E0F47">
      <w:pPr>
        <w:ind w:firstLine="708"/>
        <w:rPr>
          <w:rFonts w:cstheme="minorHAnsi"/>
          <w:szCs w:val="24"/>
        </w:rPr>
      </w:pPr>
      <w:r w:rsidRPr="00D4761A">
        <w:rPr>
          <w:rFonts w:cstheme="minorHAnsi"/>
          <w:szCs w:val="24"/>
        </w:rPr>
        <w:t xml:space="preserve">Prvním cílem práce bylo retrospektivně porovnat základní charakteristiky </w:t>
      </w:r>
      <w:r w:rsidR="00672ED4" w:rsidRPr="00D4761A">
        <w:rPr>
          <w:rFonts w:cstheme="minorHAnsi"/>
          <w:szCs w:val="24"/>
        </w:rPr>
        <w:t>a </w:t>
      </w:r>
      <w:r w:rsidRPr="00D4761A">
        <w:rPr>
          <w:rFonts w:cstheme="minorHAnsi"/>
          <w:szCs w:val="24"/>
        </w:rPr>
        <w:t xml:space="preserve">reálnou farmakoterapii pacientů </w:t>
      </w:r>
      <w:r w:rsidR="00672ED4" w:rsidRPr="00D4761A">
        <w:rPr>
          <w:rFonts w:cstheme="minorHAnsi"/>
          <w:szCs w:val="24"/>
        </w:rPr>
        <w:t>v </w:t>
      </w:r>
      <w:r w:rsidRPr="00D4761A">
        <w:rPr>
          <w:rFonts w:cstheme="minorHAnsi"/>
          <w:szCs w:val="24"/>
        </w:rPr>
        <w:t xml:space="preserve">intervenční skupině studie Paradigm-HF se 104 pacienty </w:t>
      </w:r>
      <w:r w:rsidR="00672ED4" w:rsidRPr="00D4761A">
        <w:rPr>
          <w:rFonts w:cstheme="minorHAnsi"/>
          <w:szCs w:val="24"/>
        </w:rPr>
        <w:t>z </w:t>
      </w:r>
      <w:r w:rsidRPr="00D4761A">
        <w:rPr>
          <w:rFonts w:cstheme="minorHAnsi"/>
          <w:szCs w:val="24"/>
        </w:rPr>
        <w:t xml:space="preserve">Moravian Midlands Registry (MMR). Mezi většinou porovnávaných klinických parametrů byly </w:t>
      </w:r>
      <w:r w:rsidR="004E0F47" w:rsidRPr="00D4761A">
        <w:rPr>
          <w:rFonts w:cstheme="minorHAnsi"/>
          <w:szCs w:val="24"/>
        </w:rPr>
        <w:t>rozdíly malé</w:t>
      </w:r>
      <w:r w:rsidR="00B459D3" w:rsidRPr="00D4761A">
        <w:rPr>
          <w:rFonts w:cstheme="minorHAnsi"/>
          <w:szCs w:val="24"/>
        </w:rPr>
        <w:t xml:space="preserve">, kromě </w:t>
      </w:r>
      <w:r w:rsidR="004E0F47" w:rsidRPr="00D4761A">
        <w:rPr>
          <w:rFonts w:cstheme="minorHAnsi"/>
          <w:szCs w:val="24"/>
        </w:rPr>
        <w:t>věku, BMI</w:t>
      </w:r>
      <w:r w:rsidR="002577EE" w:rsidRPr="00D4761A">
        <w:rPr>
          <w:rFonts w:cstheme="minorHAnsi"/>
          <w:szCs w:val="24"/>
        </w:rPr>
        <w:t xml:space="preserve">, </w:t>
      </w:r>
      <w:r w:rsidR="004E0F47" w:rsidRPr="00D4761A">
        <w:rPr>
          <w:rFonts w:cstheme="minorHAnsi"/>
          <w:szCs w:val="24"/>
        </w:rPr>
        <w:t>vyšší</w:t>
      </w:r>
      <w:r w:rsidR="00A822C8" w:rsidRPr="00D4761A">
        <w:rPr>
          <w:rFonts w:cstheme="minorHAnsi"/>
          <w:szCs w:val="24"/>
        </w:rPr>
        <w:t xml:space="preserve"> sérové</w:t>
      </w:r>
      <w:r w:rsidR="004E0F47" w:rsidRPr="00D4761A">
        <w:rPr>
          <w:rFonts w:cstheme="minorHAnsi"/>
          <w:szCs w:val="24"/>
        </w:rPr>
        <w:t xml:space="preserve"> koncentrace kreatininu</w:t>
      </w:r>
      <w:r w:rsidR="00CC1CC6" w:rsidRPr="00D4761A">
        <w:rPr>
          <w:rFonts w:cstheme="minorHAnsi"/>
          <w:szCs w:val="24"/>
        </w:rPr>
        <w:t xml:space="preserve"> (</w:t>
      </w:r>
      <w:r w:rsidR="00CC1CC6" w:rsidRPr="00D4761A">
        <w:t xml:space="preserve">101.9 ± 36.0 vs 99.9 ± 26.5 </w:t>
      </w:r>
      <w:r w:rsidR="00CC1CC6" w:rsidRPr="00D4761A">
        <w:rPr>
          <w:rFonts w:eastAsia="Times New Roman" w:cstheme="minorHAnsi"/>
          <w:lang w:eastAsia="cs-CZ"/>
        </w:rPr>
        <w:t>µ</w:t>
      </w:r>
      <w:r w:rsidR="00CC1CC6" w:rsidRPr="00D4761A">
        <w:t>mol/L,</w:t>
      </w:r>
      <w:r w:rsidR="00BF0055" w:rsidRPr="00D4761A">
        <w:rPr>
          <w:szCs w:val="24"/>
        </w:rPr>
        <w:t xml:space="preserve"> p </w:t>
      </w:r>
      <w:r w:rsidR="00AA1F75" w:rsidRPr="00D4761A">
        <w:rPr>
          <w:szCs w:val="24"/>
        </w:rPr>
        <w:t>&lt;</w:t>
      </w:r>
      <w:r w:rsidR="005C7C2C" w:rsidRPr="00D4761A">
        <w:rPr>
          <w:szCs w:val="24"/>
        </w:rPr>
        <w:t xml:space="preserve"> </w:t>
      </w:r>
      <w:r w:rsidR="00AA1F75" w:rsidRPr="00D4761A">
        <w:rPr>
          <w:szCs w:val="24"/>
        </w:rPr>
        <w:t>0</w:t>
      </w:r>
      <w:r w:rsidR="00995C4B" w:rsidRPr="00D4761A">
        <w:rPr>
          <w:szCs w:val="24"/>
        </w:rPr>
        <w:t>,0001</w:t>
      </w:r>
      <w:r w:rsidR="00CC1CC6" w:rsidRPr="00D4761A">
        <w:t>)</w:t>
      </w:r>
      <w:r w:rsidR="004E0F47" w:rsidRPr="00D4761A">
        <w:rPr>
          <w:rFonts w:cstheme="minorHAnsi"/>
          <w:szCs w:val="24"/>
        </w:rPr>
        <w:t xml:space="preserve"> </w:t>
      </w:r>
      <w:r w:rsidR="002577EE" w:rsidRPr="00D4761A">
        <w:rPr>
          <w:rFonts w:cstheme="minorHAnsi"/>
          <w:szCs w:val="24"/>
        </w:rPr>
        <w:t>a</w:t>
      </w:r>
      <w:r w:rsidR="004E0F47" w:rsidRPr="00D4761A">
        <w:rPr>
          <w:rFonts w:cstheme="minorHAnsi"/>
          <w:szCs w:val="24"/>
        </w:rPr>
        <w:t> nižší ejekční frakc</w:t>
      </w:r>
      <w:r w:rsidR="00377577" w:rsidRPr="00D4761A">
        <w:rPr>
          <w:rFonts w:cstheme="minorHAnsi"/>
          <w:szCs w:val="24"/>
        </w:rPr>
        <w:t xml:space="preserve">e </w:t>
      </w:r>
      <w:r w:rsidR="004E0F47" w:rsidRPr="00D4761A">
        <w:rPr>
          <w:rFonts w:cstheme="minorHAnsi"/>
          <w:szCs w:val="24"/>
        </w:rPr>
        <w:t>levé komory</w:t>
      </w:r>
      <w:r w:rsidR="00CC1CC6" w:rsidRPr="00D4761A">
        <w:rPr>
          <w:rFonts w:cstheme="minorHAnsi"/>
          <w:szCs w:val="24"/>
        </w:rPr>
        <w:t xml:space="preserve"> (</w:t>
      </w:r>
      <w:r w:rsidR="00CC1CC6" w:rsidRPr="00D4761A">
        <w:t>27.8 ± 6.9 vs 29.6 ± 6.1</w:t>
      </w:r>
      <w:r w:rsidR="00B459D3" w:rsidRPr="00D4761A">
        <w:t xml:space="preserve"> </w:t>
      </w:r>
      <w:r w:rsidR="00CC1CC6" w:rsidRPr="00D4761A">
        <w:t>%, p = 0</w:t>
      </w:r>
      <w:r w:rsidR="00995C4B" w:rsidRPr="00D4761A">
        <w:t>,</w:t>
      </w:r>
      <w:r w:rsidR="00CC1CC6" w:rsidRPr="00D4761A">
        <w:t>04</w:t>
      </w:r>
      <w:r w:rsidR="00B459D3" w:rsidRPr="00D4761A">
        <w:t>)</w:t>
      </w:r>
      <w:r w:rsidR="004E0F47" w:rsidRPr="00D4761A">
        <w:rPr>
          <w:rFonts w:cstheme="minorHAnsi"/>
          <w:szCs w:val="24"/>
        </w:rPr>
        <w:t>.  U pacientů v MMR skupině byly</w:t>
      </w:r>
      <w:r w:rsidR="00B459D3" w:rsidRPr="00D4761A">
        <w:rPr>
          <w:rFonts w:cstheme="minorHAnsi"/>
          <w:szCs w:val="24"/>
        </w:rPr>
        <w:t xml:space="preserve"> před zahájením terapie sacubitrilem/valsartanem </w:t>
      </w:r>
      <w:r w:rsidR="004E0F47" w:rsidRPr="00D4761A">
        <w:rPr>
          <w:rFonts w:cstheme="minorHAnsi"/>
          <w:szCs w:val="24"/>
        </w:rPr>
        <w:t>podávány podstatně nižší dávky ACEi – ramiprilu</w:t>
      </w:r>
      <w:r w:rsidR="002577EE" w:rsidRPr="00D4761A">
        <w:rPr>
          <w:rFonts w:cstheme="minorHAnsi"/>
          <w:szCs w:val="24"/>
        </w:rPr>
        <w:t xml:space="preserve"> </w:t>
      </w:r>
      <w:r w:rsidR="002577EE" w:rsidRPr="00D4761A">
        <w:t>(7.0 ± 3.1 mg vs 4.8 ± 2.9 mg,</w:t>
      </w:r>
      <w:r w:rsidR="00BF0055" w:rsidRPr="00D4761A">
        <w:rPr>
          <w:szCs w:val="24"/>
        </w:rPr>
        <w:t xml:space="preserve"> p</w:t>
      </w:r>
      <w:r w:rsidR="00AA1F75" w:rsidRPr="00D4761A">
        <w:rPr>
          <w:szCs w:val="24"/>
        </w:rPr>
        <w:t xml:space="preserve"> </w:t>
      </w:r>
      <w:r w:rsidR="00995C4B" w:rsidRPr="00D4761A">
        <w:rPr>
          <w:szCs w:val="24"/>
        </w:rPr>
        <w:t>&lt;</w:t>
      </w:r>
      <w:r w:rsidR="005C7C2C" w:rsidRPr="00D4761A">
        <w:rPr>
          <w:szCs w:val="24"/>
        </w:rPr>
        <w:t xml:space="preserve"> </w:t>
      </w:r>
      <w:r w:rsidR="00995C4B" w:rsidRPr="00D4761A">
        <w:rPr>
          <w:szCs w:val="24"/>
        </w:rPr>
        <w:t>0,</w:t>
      </w:r>
      <w:r w:rsidR="00BF0055" w:rsidRPr="00D4761A">
        <w:rPr>
          <w:szCs w:val="24"/>
        </w:rPr>
        <w:t>0001</w:t>
      </w:r>
      <w:r w:rsidR="002577EE" w:rsidRPr="00D4761A">
        <w:t>)</w:t>
      </w:r>
      <w:r w:rsidR="002577EE" w:rsidRPr="00D4761A">
        <w:rPr>
          <w:rFonts w:cstheme="minorHAnsi"/>
          <w:szCs w:val="24"/>
        </w:rPr>
        <w:t xml:space="preserve"> s trendem nižších dávek </w:t>
      </w:r>
      <w:r w:rsidR="004E0F47" w:rsidRPr="00D4761A">
        <w:rPr>
          <w:rFonts w:cstheme="minorHAnsi"/>
          <w:szCs w:val="24"/>
        </w:rPr>
        <w:t>ARB (</w:t>
      </w:r>
      <w:r w:rsidR="002577EE" w:rsidRPr="00D4761A">
        <w:rPr>
          <w:rFonts w:cstheme="minorHAnsi"/>
          <w:szCs w:val="24"/>
        </w:rPr>
        <w:t>losartan 67.1 ± 30.2 vs 39.6 ± 32.0 mg a valsartan 181.5 ± 71.1 vs 130.9 ± 82.2 mg</w:t>
      </w:r>
      <w:r w:rsidR="004E0F47" w:rsidRPr="00D4761A">
        <w:rPr>
          <w:rFonts w:cstheme="minorHAnsi"/>
          <w:szCs w:val="24"/>
        </w:rPr>
        <w:t>)</w:t>
      </w:r>
      <w:r w:rsidR="00B459D3" w:rsidRPr="00D4761A">
        <w:rPr>
          <w:rFonts w:cstheme="minorHAnsi"/>
          <w:szCs w:val="24"/>
        </w:rPr>
        <w:t xml:space="preserve">. </w:t>
      </w:r>
      <w:r w:rsidR="002577EE" w:rsidRPr="00D4761A">
        <w:rPr>
          <w:rFonts w:cstheme="minorHAnsi"/>
          <w:szCs w:val="24"/>
        </w:rPr>
        <w:t xml:space="preserve">Dále jsme v MMR skupině </w:t>
      </w:r>
      <w:r w:rsidR="004E0F47" w:rsidRPr="00D4761A">
        <w:rPr>
          <w:rFonts w:cstheme="minorHAnsi"/>
          <w:szCs w:val="24"/>
        </w:rPr>
        <w:t>nalezli vyšší prevalenci implantabilních kardioverter-defibrilátorů a srdeční resynchronizační terapie.</w:t>
      </w:r>
    </w:p>
    <w:p w14:paraId="44C7E304" w14:textId="5687B081" w:rsidR="00597804" w:rsidRPr="00D4761A" w:rsidRDefault="00C00F11" w:rsidP="002577EE">
      <w:pPr>
        <w:ind w:firstLine="708"/>
        <w:rPr>
          <w:rFonts w:cstheme="minorHAnsi"/>
          <w:szCs w:val="24"/>
        </w:rPr>
      </w:pPr>
      <w:r w:rsidRPr="00D4761A">
        <w:rPr>
          <w:rFonts w:cstheme="minorHAnsi"/>
          <w:szCs w:val="24"/>
        </w:rPr>
        <w:t xml:space="preserve">Druhým cílem práce bylo prospektivně zhodnotit adherenci </w:t>
      </w:r>
      <w:r w:rsidR="00672ED4" w:rsidRPr="00D4761A">
        <w:rPr>
          <w:rFonts w:cstheme="minorHAnsi"/>
          <w:szCs w:val="24"/>
        </w:rPr>
        <w:t>k </w:t>
      </w:r>
      <w:r w:rsidRPr="00D4761A">
        <w:rPr>
          <w:rFonts w:cstheme="minorHAnsi"/>
          <w:szCs w:val="24"/>
        </w:rPr>
        <w:t xml:space="preserve">farmakoterapii pomocí testování sérových hladin léčiv </w:t>
      </w:r>
      <w:r w:rsidR="00672ED4" w:rsidRPr="00D4761A">
        <w:rPr>
          <w:rFonts w:cstheme="minorHAnsi"/>
          <w:szCs w:val="24"/>
        </w:rPr>
        <w:t>a </w:t>
      </w:r>
      <w:r w:rsidRPr="00D4761A">
        <w:rPr>
          <w:rFonts w:cstheme="minorHAnsi"/>
          <w:szCs w:val="24"/>
        </w:rPr>
        <w:t xml:space="preserve">porovnat klinické </w:t>
      </w:r>
      <w:r w:rsidR="00672ED4" w:rsidRPr="00D4761A">
        <w:rPr>
          <w:rFonts w:cstheme="minorHAnsi"/>
          <w:szCs w:val="24"/>
        </w:rPr>
        <w:t>a </w:t>
      </w:r>
      <w:r w:rsidRPr="00D4761A">
        <w:rPr>
          <w:rFonts w:cstheme="minorHAnsi"/>
          <w:szCs w:val="24"/>
        </w:rPr>
        <w:t xml:space="preserve">biochemické parametry adherentních </w:t>
      </w:r>
      <w:r w:rsidR="00672ED4" w:rsidRPr="00D4761A">
        <w:rPr>
          <w:rFonts w:cstheme="minorHAnsi"/>
          <w:szCs w:val="24"/>
        </w:rPr>
        <w:t>a </w:t>
      </w:r>
      <w:r w:rsidRPr="00D4761A">
        <w:rPr>
          <w:rFonts w:cstheme="minorHAnsi"/>
          <w:szCs w:val="24"/>
        </w:rPr>
        <w:t>neadherentních pacientů. Z 247 zařazených pacientů</w:t>
      </w:r>
      <w:r w:rsidR="00130883" w:rsidRPr="00D4761A">
        <w:rPr>
          <w:rFonts w:cstheme="minorHAnsi"/>
          <w:szCs w:val="24"/>
        </w:rPr>
        <w:t xml:space="preserve"> </w:t>
      </w:r>
      <w:r w:rsidRPr="00D4761A">
        <w:rPr>
          <w:rFonts w:cstheme="minorHAnsi"/>
          <w:szCs w:val="24"/>
        </w:rPr>
        <w:t>bylo 82,5</w:t>
      </w:r>
      <w:r w:rsidR="00672ED4" w:rsidRPr="00D4761A">
        <w:rPr>
          <w:rFonts w:cstheme="minorHAnsi"/>
          <w:szCs w:val="24"/>
        </w:rPr>
        <w:t> %</w:t>
      </w:r>
      <w:r w:rsidRPr="00D4761A">
        <w:rPr>
          <w:rFonts w:cstheme="minorHAnsi"/>
          <w:szCs w:val="24"/>
        </w:rPr>
        <w:t xml:space="preserve"> pacientů adherentních </w:t>
      </w:r>
      <w:r w:rsidR="00672ED4" w:rsidRPr="00D4761A">
        <w:rPr>
          <w:rFonts w:cstheme="minorHAnsi"/>
          <w:szCs w:val="24"/>
        </w:rPr>
        <w:t>k </w:t>
      </w:r>
      <w:r w:rsidRPr="00D4761A">
        <w:rPr>
          <w:rFonts w:cstheme="minorHAnsi"/>
          <w:szCs w:val="24"/>
        </w:rPr>
        <w:t>farmakoterapii, 17,5</w:t>
      </w:r>
      <w:r w:rsidR="00672ED4" w:rsidRPr="00D4761A">
        <w:rPr>
          <w:rFonts w:cstheme="minorHAnsi"/>
          <w:szCs w:val="24"/>
        </w:rPr>
        <w:t> %</w:t>
      </w:r>
      <w:r w:rsidRPr="00D4761A">
        <w:rPr>
          <w:rFonts w:cstheme="minorHAnsi"/>
          <w:szCs w:val="24"/>
        </w:rPr>
        <w:t xml:space="preserve"> bylo neadherentních, 3,6</w:t>
      </w:r>
      <w:r w:rsidR="00672ED4" w:rsidRPr="00D4761A">
        <w:rPr>
          <w:rFonts w:cstheme="minorHAnsi"/>
          <w:szCs w:val="24"/>
        </w:rPr>
        <w:t> %</w:t>
      </w:r>
      <w:r w:rsidRPr="00D4761A">
        <w:rPr>
          <w:rFonts w:cstheme="minorHAnsi"/>
          <w:szCs w:val="24"/>
        </w:rPr>
        <w:t xml:space="preserve"> bylo kompletně neadherentních. Mezi adherentními </w:t>
      </w:r>
      <w:r w:rsidR="00672ED4" w:rsidRPr="00D4761A">
        <w:rPr>
          <w:rFonts w:cstheme="minorHAnsi"/>
          <w:szCs w:val="24"/>
        </w:rPr>
        <w:t>a </w:t>
      </w:r>
      <w:r w:rsidRPr="00D4761A">
        <w:rPr>
          <w:rFonts w:cstheme="minorHAnsi"/>
          <w:szCs w:val="24"/>
        </w:rPr>
        <w:t xml:space="preserve">neadherentními pacienty nebyly </w:t>
      </w:r>
      <w:r w:rsidR="00672ED4" w:rsidRPr="00D4761A">
        <w:rPr>
          <w:rFonts w:cstheme="minorHAnsi"/>
          <w:szCs w:val="24"/>
        </w:rPr>
        <w:t>v </w:t>
      </w:r>
      <w:r w:rsidRPr="00D4761A">
        <w:rPr>
          <w:rFonts w:cstheme="minorHAnsi"/>
          <w:szCs w:val="24"/>
        </w:rPr>
        <w:t xml:space="preserve">klinických parametrech žádné signifikantní rozdíly. </w:t>
      </w:r>
      <w:r w:rsidR="00672ED4" w:rsidRPr="00D4761A">
        <w:rPr>
          <w:rFonts w:cstheme="minorHAnsi"/>
          <w:szCs w:val="24"/>
        </w:rPr>
        <w:t>U </w:t>
      </w:r>
      <w:r w:rsidRPr="00D4761A">
        <w:rPr>
          <w:rFonts w:cstheme="minorHAnsi"/>
          <w:szCs w:val="24"/>
        </w:rPr>
        <w:t xml:space="preserve">laboratorních parametrů se obě skupiny lišily pouze </w:t>
      </w:r>
      <w:r w:rsidR="00672ED4" w:rsidRPr="00D4761A">
        <w:rPr>
          <w:rFonts w:cstheme="minorHAnsi"/>
          <w:szCs w:val="24"/>
        </w:rPr>
        <w:t>v </w:t>
      </w:r>
      <w:r w:rsidRPr="00D4761A">
        <w:rPr>
          <w:rFonts w:cstheme="minorHAnsi"/>
          <w:szCs w:val="24"/>
        </w:rPr>
        <w:t xml:space="preserve">sérových hladinách sodíku, chloridů </w:t>
      </w:r>
      <w:r w:rsidR="00672ED4" w:rsidRPr="00D4761A">
        <w:rPr>
          <w:rFonts w:cstheme="minorHAnsi"/>
          <w:szCs w:val="24"/>
        </w:rPr>
        <w:t>a </w:t>
      </w:r>
      <w:r w:rsidRPr="00D4761A">
        <w:rPr>
          <w:rFonts w:cstheme="minorHAnsi"/>
          <w:szCs w:val="24"/>
        </w:rPr>
        <w:t>močoviny. Věk pacientů pod 60 let byl jediný statisticky významný prediktor nonadherence (OR 2,15</w:t>
      </w:r>
      <w:r w:rsidR="00850B99" w:rsidRPr="00D4761A">
        <w:rPr>
          <w:rFonts w:cstheme="minorHAnsi"/>
          <w:szCs w:val="24"/>
        </w:rPr>
        <w:t>, p</w:t>
      </w:r>
      <w:r w:rsidR="00AA1F75" w:rsidRPr="00D4761A">
        <w:rPr>
          <w:rFonts w:cstheme="minorHAnsi"/>
          <w:szCs w:val="24"/>
        </w:rPr>
        <w:t xml:space="preserve"> </w:t>
      </w:r>
      <w:r w:rsidR="00850B99" w:rsidRPr="00D4761A">
        <w:rPr>
          <w:rFonts w:cstheme="minorHAnsi"/>
          <w:szCs w:val="24"/>
        </w:rPr>
        <w:t>=</w:t>
      </w:r>
      <w:r w:rsidR="00AA1F75" w:rsidRPr="00D4761A">
        <w:rPr>
          <w:rFonts w:cstheme="minorHAnsi"/>
          <w:szCs w:val="24"/>
        </w:rPr>
        <w:t xml:space="preserve"> </w:t>
      </w:r>
      <w:r w:rsidR="00850B99" w:rsidRPr="00D4761A">
        <w:rPr>
          <w:rFonts w:cstheme="minorHAnsi"/>
          <w:szCs w:val="24"/>
        </w:rPr>
        <w:t>0,018</w:t>
      </w:r>
      <w:r w:rsidRPr="00D4761A">
        <w:rPr>
          <w:rFonts w:cstheme="minorHAnsi"/>
          <w:szCs w:val="24"/>
        </w:rPr>
        <w:t>).</w:t>
      </w:r>
    </w:p>
    <w:p w14:paraId="1150247F" w14:textId="3173DBE6" w:rsidR="00C00F11" w:rsidRPr="00D4761A" w:rsidRDefault="00C00F11" w:rsidP="00C00F11">
      <w:pPr>
        <w:rPr>
          <w:rFonts w:cstheme="minorHAnsi"/>
          <w:szCs w:val="24"/>
        </w:rPr>
      </w:pPr>
    </w:p>
    <w:p w14:paraId="5F69C759" w14:textId="77777777" w:rsidR="00597804" w:rsidRPr="00D4761A" w:rsidRDefault="00C00F11" w:rsidP="00C00F11">
      <w:pPr>
        <w:rPr>
          <w:rFonts w:cstheme="minorHAnsi"/>
          <w:szCs w:val="24"/>
        </w:rPr>
      </w:pPr>
      <w:r w:rsidRPr="00D4761A">
        <w:rPr>
          <w:rFonts w:cstheme="minorHAnsi"/>
          <w:b/>
          <w:bCs/>
          <w:szCs w:val="24"/>
        </w:rPr>
        <w:t>Klíčová slova:</w:t>
      </w:r>
      <w:r w:rsidRPr="00D4761A">
        <w:rPr>
          <w:rFonts w:cstheme="minorHAnsi"/>
          <w:szCs w:val="24"/>
        </w:rPr>
        <w:t xml:space="preserve"> srdeční selhání, terapie, farmakoterapie, adherence, sérové hladiny léků</w:t>
      </w:r>
    </w:p>
    <w:p w14:paraId="7BF6C6B3" w14:textId="77777777" w:rsidR="00B56B13" w:rsidRPr="00D4761A" w:rsidRDefault="00B56B13" w:rsidP="006208B9">
      <w:r w:rsidRPr="00D4761A">
        <w:br w:type="page"/>
      </w:r>
    </w:p>
    <w:p w14:paraId="51E89612" w14:textId="49EF4A00" w:rsidR="00597804" w:rsidRPr="00D4761A" w:rsidRDefault="00DD4055" w:rsidP="00AF5A33">
      <w:pPr>
        <w:rPr>
          <w:rFonts w:cstheme="minorHAnsi"/>
          <w:szCs w:val="24"/>
          <w:lang w:val="en-US"/>
        </w:rPr>
      </w:pPr>
      <w:r w:rsidRPr="00D4761A">
        <w:rPr>
          <w:rFonts w:cstheme="minorHAnsi"/>
          <w:b/>
          <w:bCs/>
          <w:szCs w:val="24"/>
          <w:lang w:val="en-US"/>
        </w:rPr>
        <w:lastRenderedPageBreak/>
        <w:t>Name of author:</w:t>
      </w:r>
      <w:r w:rsidRPr="00D4761A">
        <w:rPr>
          <w:rFonts w:cstheme="minorHAnsi"/>
          <w:szCs w:val="24"/>
          <w:lang w:val="en-US"/>
        </w:rPr>
        <w:t xml:space="preserve"> </w:t>
      </w:r>
      <w:r w:rsidR="00AE0CDE" w:rsidRPr="00D4761A">
        <w:rPr>
          <w:rFonts w:cstheme="minorHAnsi"/>
          <w:szCs w:val="24"/>
          <w:lang w:val="en-US"/>
        </w:rPr>
        <w:t xml:space="preserve">MUDr. </w:t>
      </w:r>
      <w:r w:rsidRPr="00D4761A">
        <w:rPr>
          <w:rFonts w:cstheme="minorHAnsi"/>
          <w:szCs w:val="24"/>
          <w:lang w:val="en-US"/>
        </w:rPr>
        <w:t>Luděk Pavlů</w:t>
      </w:r>
    </w:p>
    <w:p w14:paraId="6FA1F536" w14:textId="78117CAB" w:rsidR="00DD4055" w:rsidRPr="00D4761A" w:rsidRDefault="00DD4055" w:rsidP="00AF5A33">
      <w:pPr>
        <w:rPr>
          <w:lang w:val="en-US"/>
        </w:rPr>
      </w:pPr>
      <w:r w:rsidRPr="00D4761A">
        <w:rPr>
          <w:rFonts w:cstheme="minorHAnsi"/>
          <w:b/>
          <w:bCs/>
          <w:szCs w:val="24"/>
          <w:lang w:val="en-US"/>
        </w:rPr>
        <w:t>Title of doctoral thesis:</w:t>
      </w:r>
      <w:r w:rsidRPr="00D4761A">
        <w:rPr>
          <w:rFonts w:cstheme="minorHAnsi"/>
          <w:szCs w:val="24"/>
          <w:lang w:val="en-US"/>
        </w:rPr>
        <w:t xml:space="preserve"> </w:t>
      </w:r>
      <w:r w:rsidR="005D25F5" w:rsidRPr="00D4761A">
        <w:rPr>
          <w:rFonts w:cstheme="minorHAnsi"/>
          <w:lang w:val="en-US"/>
        </w:rPr>
        <w:t>Selected aspects of p</w:t>
      </w:r>
      <w:r w:rsidR="005D25F5" w:rsidRPr="00D4761A">
        <w:rPr>
          <w:lang w:val="en-US"/>
        </w:rPr>
        <w:t>harmacotherapy of chronic heart failure with reduced ejection fraction of the left ventricle</w:t>
      </w:r>
    </w:p>
    <w:p w14:paraId="33490677" w14:textId="77777777" w:rsidR="00DD4055" w:rsidRPr="00D4761A" w:rsidRDefault="00DD4055" w:rsidP="00AF5A33">
      <w:pPr>
        <w:rPr>
          <w:rFonts w:cstheme="minorHAnsi"/>
          <w:szCs w:val="24"/>
          <w:lang w:val="en-US"/>
        </w:rPr>
      </w:pPr>
      <w:r w:rsidRPr="00D4761A">
        <w:rPr>
          <w:rFonts w:cstheme="minorHAnsi"/>
          <w:b/>
          <w:bCs/>
          <w:szCs w:val="24"/>
          <w:lang w:val="en-US"/>
        </w:rPr>
        <w:t>Branch of postgradual study</w:t>
      </w:r>
      <w:r w:rsidRPr="00D4761A">
        <w:rPr>
          <w:rFonts w:cstheme="minorHAnsi"/>
          <w:szCs w:val="24"/>
          <w:lang w:val="en-US"/>
        </w:rPr>
        <w:t xml:space="preserve">: </w:t>
      </w:r>
      <w:r w:rsidR="00AE0CDE" w:rsidRPr="00D4761A">
        <w:rPr>
          <w:rFonts w:cstheme="minorHAnsi"/>
          <w:szCs w:val="24"/>
          <w:lang w:val="en-US"/>
        </w:rPr>
        <w:t>Internal Medicine</w:t>
      </w:r>
    </w:p>
    <w:p w14:paraId="1389C1CC" w14:textId="77777777" w:rsidR="00DD4055" w:rsidRPr="00D4761A" w:rsidRDefault="00DD4055" w:rsidP="00AF5A33">
      <w:pPr>
        <w:rPr>
          <w:rFonts w:cstheme="minorHAnsi"/>
          <w:szCs w:val="24"/>
          <w:lang w:val="en-US"/>
        </w:rPr>
      </w:pPr>
      <w:r w:rsidRPr="00D4761A">
        <w:rPr>
          <w:rFonts w:cstheme="minorHAnsi"/>
          <w:b/>
          <w:bCs/>
          <w:szCs w:val="24"/>
          <w:lang w:val="en-US"/>
        </w:rPr>
        <w:t>Supervisor:</w:t>
      </w:r>
      <w:r w:rsidRPr="00D4761A">
        <w:rPr>
          <w:rFonts w:cstheme="minorHAnsi"/>
          <w:szCs w:val="24"/>
          <w:lang w:val="en-US"/>
        </w:rPr>
        <w:t xml:space="preserve"> </w:t>
      </w:r>
      <w:r w:rsidR="00AE0CDE" w:rsidRPr="00D4761A">
        <w:rPr>
          <w:rFonts w:cstheme="minorHAnsi"/>
          <w:szCs w:val="24"/>
          <w:lang w:val="en-US"/>
        </w:rPr>
        <w:t>doc. MUDr. Jana Petřková, Ph.D.</w:t>
      </w:r>
    </w:p>
    <w:p w14:paraId="26DC7C4A" w14:textId="269F2254" w:rsidR="00DD4055" w:rsidRPr="00D4761A" w:rsidRDefault="00DD4055" w:rsidP="00AF5A33">
      <w:pPr>
        <w:rPr>
          <w:rFonts w:cstheme="minorHAnsi"/>
          <w:szCs w:val="24"/>
          <w:lang w:val="en-US"/>
        </w:rPr>
      </w:pPr>
      <w:r w:rsidRPr="00D4761A">
        <w:rPr>
          <w:rFonts w:cstheme="minorHAnsi"/>
          <w:b/>
          <w:bCs/>
          <w:szCs w:val="24"/>
          <w:lang w:val="en-US"/>
        </w:rPr>
        <w:t>Year of presentation:</w:t>
      </w:r>
      <w:r w:rsidRPr="00D4761A">
        <w:rPr>
          <w:rFonts w:cstheme="minorHAnsi"/>
          <w:szCs w:val="24"/>
          <w:lang w:val="en-US"/>
        </w:rPr>
        <w:t xml:space="preserve"> 202</w:t>
      </w:r>
      <w:r w:rsidR="00406841" w:rsidRPr="00D4761A">
        <w:rPr>
          <w:rFonts w:cstheme="minorHAnsi"/>
          <w:szCs w:val="24"/>
          <w:lang w:val="en-US"/>
        </w:rPr>
        <w:t>3</w:t>
      </w:r>
    </w:p>
    <w:p w14:paraId="49E89325" w14:textId="03A13CC4" w:rsidR="00B71B18" w:rsidRPr="00D4761A" w:rsidRDefault="00B71B18" w:rsidP="00597804">
      <w:pPr>
        <w:rPr>
          <w:lang w:val="en-US"/>
        </w:rPr>
      </w:pPr>
    </w:p>
    <w:p w14:paraId="7A61CE13" w14:textId="77777777" w:rsidR="00B71B18" w:rsidRPr="00D4761A" w:rsidRDefault="00B71B18" w:rsidP="00597804">
      <w:pPr>
        <w:rPr>
          <w:b/>
          <w:lang w:val="en-US"/>
        </w:rPr>
      </w:pPr>
      <w:r w:rsidRPr="00D4761A">
        <w:rPr>
          <w:b/>
          <w:lang w:val="en-US"/>
        </w:rPr>
        <w:t>Abstract:</w:t>
      </w:r>
    </w:p>
    <w:p w14:paraId="152BB4BA" w14:textId="227AED92" w:rsidR="00B71B18" w:rsidRPr="00D4761A" w:rsidRDefault="00B71B18" w:rsidP="00597804">
      <w:pPr>
        <w:rPr>
          <w:lang w:val="en-US"/>
        </w:rPr>
      </w:pPr>
      <w:r w:rsidRPr="00D4761A">
        <w:rPr>
          <w:lang w:val="en-US"/>
        </w:rPr>
        <w:t>Pharmacotherapy is an essential intervention that improves mortality and morbidity in heart failure patients.</w:t>
      </w:r>
    </w:p>
    <w:p w14:paraId="48C106EE" w14:textId="38CE2BC3" w:rsidR="00B71B18" w:rsidRPr="00D4761A" w:rsidRDefault="00B71B18" w:rsidP="00050255">
      <w:pPr>
        <w:ind w:firstLine="708"/>
        <w:rPr>
          <w:lang w:val="en-US"/>
        </w:rPr>
      </w:pPr>
      <w:r w:rsidRPr="00D4761A">
        <w:rPr>
          <w:lang w:val="en-US"/>
        </w:rPr>
        <w:t>The first aim of the work was to retrospectively compare the baseline characteristics and pharmacotherapy of patients in the interventional group of Paradigm-HF study with 104 patients from Moravian Midlands Registry (MMR). There are minimal differences between the majority of compared clinical parameters, except for</w:t>
      </w:r>
      <w:r w:rsidR="00AC65B5" w:rsidRPr="00D4761A">
        <w:rPr>
          <w:lang w:val="en-US"/>
        </w:rPr>
        <w:t xml:space="preserve"> age, BMI, higher serum creatine level (</w:t>
      </w:r>
      <w:r w:rsidR="00AC65B5" w:rsidRPr="00D4761A">
        <w:t xml:space="preserve">101.9 ± 36.0 vs 99.9 ± 26.5 </w:t>
      </w:r>
      <w:r w:rsidR="00AC65B5" w:rsidRPr="00D4761A">
        <w:rPr>
          <w:rFonts w:eastAsia="Times New Roman" w:cstheme="minorHAnsi"/>
          <w:lang w:eastAsia="cs-CZ"/>
        </w:rPr>
        <w:t>µ</w:t>
      </w:r>
      <w:r w:rsidR="00AC65B5" w:rsidRPr="00D4761A">
        <w:t>mol/L,</w:t>
      </w:r>
      <w:r w:rsidR="00995C4B" w:rsidRPr="00D4761A">
        <w:rPr>
          <w:szCs w:val="24"/>
        </w:rPr>
        <w:t xml:space="preserve"> p &lt;0.0001</w:t>
      </w:r>
      <w:r w:rsidR="00AC65B5" w:rsidRPr="00D4761A">
        <w:t>)</w:t>
      </w:r>
      <w:r w:rsidR="00AC65B5" w:rsidRPr="00D4761A">
        <w:rPr>
          <w:rFonts w:cstheme="minorHAnsi"/>
          <w:szCs w:val="24"/>
        </w:rPr>
        <w:t xml:space="preserve"> and lower left ventricular ejection fraction (</w:t>
      </w:r>
      <w:r w:rsidR="00AC65B5" w:rsidRPr="00D4761A">
        <w:t>27.8 ± 6.9 vs 29.6 ± 6.1 %, p = 0.04)</w:t>
      </w:r>
      <w:r w:rsidR="00AC65B5" w:rsidRPr="00D4761A">
        <w:rPr>
          <w:rFonts w:cstheme="minorHAnsi"/>
          <w:szCs w:val="24"/>
        </w:rPr>
        <w:t xml:space="preserve">.  There was </w:t>
      </w:r>
      <w:r w:rsidRPr="00D4761A">
        <w:rPr>
          <w:lang w:val="en-US"/>
        </w:rPr>
        <w:t>substantially lower dosage of administered ACEi</w:t>
      </w:r>
      <w:r w:rsidR="00AC65B5" w:rsidRPr="00D4761A">
        <w:rPr>
          <w:lang w:val="en-US"/>
        </w:rPr>
        <w:t xml:space="preserve"> – ramipril (</w:t>
      </w:r>
      <w:r w:rsidR="00AC65B5" w:rsidRPr="00D4761A">
        <w:t>(7.0 ± 3.1 mg vs 4.8 ± 2.9 mg,</w:t>
      </w:r>
      <w:r w:rsidR="00995C4B" w:rsidRPr="00D4761A">
        <w:rPr>
          <w:szCs w:val="24"/>
        </w:rPr>
        <w:t xml:space="preserve"> p &lt;0.0001</w:t>
      </w:r>
      <w:r w:rsidR="00AC65B5" w:rsidRPr="00D4761A">
        <w:t>)</w:t>
      </w:r>
      <w:r w:rsidR="00AC65B5" w:rsidRPr="00D4761A">
        <w:rPr>
          <w:rFonts w:cstheme="minorHAnsi"/>
          <w:szCs w:val="24"/>
        </w:rPr>
        <w:t xml:space="preserve"> and </w:t>
      </w:r>
      <w:r w:rsidR="00E551E3" w:rsidRPr="00D4761A">
        <w:rPr>
          <w:rFonts w:cstheme="minorHAnsi"/>
          <w:szCs w:val="24"/>
        </w:rPr>
        <w:t xml:space="preserve">tendency toward lower dosage of </w:t>
      </w:r>
      <w:r w:rsidRPr="00D4761A">
        <w:rPr>
          <w:lang w:val="en-US"/>
        </w:rPr>
        <w:t xml:space="preserve">ARBs </w:t>
      </w:r>
      <w:r w:rsidR="00E551E3" w:rsidRPr="00D4761A">
        <w:rPr>
          <w:lang w:val="en-US"/>
        </w:rPr>
        <w:t xml:space="preserve">(losartan 67.1 ± 30.2 vs 39.6 ± 32.0 mg and valsartan 181.5 ± 71.1 vs 130.9 ± 82.2 mg) </w:t>
      </w:r>
      <w:r w:rsidRPr="00D4761A">
        <w:rPr>
          <w:lang w:val="en-US"/>
        </w:rPr>
        <w:t>prior to commencing sacubitril/valsartan therapy</w:t>
      </w:r>
      <w:r w:rsidR="00E551E3" w:rsidRPr="00D4761A">
        <w:rPr>
          <w:lang w:val="en-US"/>
        </w:rPr>
        <w:t>.</w:t>
      </w:r>
      <w:r w:rsidRPr="00D4761A">
        <w:rPr>
          <w:lang w:val="en-US"/>
        </w:rPr>
        <w:t xml:space="preserve"> </w:t>
      </w:r>
      <w:r w:rsidR="00E551E3" w:rsidRPr="00D4761A">
        <w:rPr>
          <w:lang w:val="en-US"/>
        </w:rPr>
        <w:t xml:space="preserve">We found </w:t>
      </w:r>
      <w:r w:rsidRPr="00D4761A">
        <w:rPr>
          <w:lang w:val="en-US"/>
        </w:rPr>
        <w:t>higher prevalence of implantable cardioverter-defibrillator and cardiac resynchronization therapy in the MMR.</w:t>
      </w:r>
    </w:p>
    <w:p w14:paraId="3033BD9E" w14:textId="57EB7A29" w:rsidR="00B71B18" w:rsidRPr="00D4761A" w:rsidRDefault="00B71B18" w:rsidP="00050255">
      <w:pPr>
        <w:ind w:firstLine="708"/>
        <w:rPr>
          <w:lang w:val="en-US"/>
        </w:rPr>
      </w:pPr>
      <w:r w:rsidRPr="00D4761A">
        <w:rPr>
          <w:lang w:val="en-US"/>
        </w:rPr>
        <w:t>The second aim of the work was to prospectively evaluate pharm</w:t>
      </w:r>
      <w:r w:rsidR="002E3F0C" w:rsidRPr="00D4761A">
        <w:rPr>
          <w:lang w:val="en-US"/>
        </w:rPr>
        <w:t>a</w:t>
      </w:r>
      <w:r w:rsidRPr="00D4761A">
        <w:rPr>
          <w:lang w:val="en-US"/>
        </w:rPr>
        <w:t>cotherapy adherence using serum drug level testing and to compare clinical and biochemical parameters of adherent and non-adherent patients. In 247 patients, we found 82.5% patients were adherent to pharmacotherapy, 17.5% were non-adherent, 3.6% were completely non-adherent. There were no significant differences in clinical parameters between the adherent and non-adherent. Regarding laboratory parameters, the two groups differed only in the serum levels of sodium, chloride and urea. Patients aged &lt;60 years were more likely to be non-adherent (OR 2.15</w:t>
      </w:r>
      <w:r w:rsidR="00850B99" w:rsidRPr="00D4761A">
        <w:rPr>
          <w:lang w:val="en-US"/>
        </w:rPr>
        <w:t>, p = 0.018</w:t>
      </w:r>
      <w:r w:rsidRPr="00D4761A">
        <w:rPr>
          <w:lang w:val="en-US"/>
        </w:rPr>
        <w:t>).</w:t>
      </w:r>
    </w:p>
    <w:p w14:paraId="091C6B58" w14:textId="77777777" w:rsidR="00377577" w:rsidRPr="00D4761A" w:rsidRDefault="00377577" w:rsidP="00597804">
      <w:pPr>
        <w:rPr>
          <w:b/>
          <w:lang w:val="en-US"/>
        </w:rPr>
      </w:pPr>
    </w:p>
    <w:p w14:paraId="4BFE121E" w14:textId="1B6EEA3A" w:rsidR="00B71B18" w:rsidRPr="00D4761A" w:rsidRDefault="00B71B18" w:rsidP="00597804">
      <w:pPr>
        <w:rPr>
          <w:lang w:val="en-US"/>
        </w:rPr>
      </w:pPr>
      <w:r w:rsidRPr="00D4761A">
        <w:rPr>
          <w:b/>
          <w:lang w:val="en-US"/>
        </w:rPr>
        <w:t>Key words:</w:t>
      </w:r>
      <w:r w:rsidRPr="00D4761A">
        <w:rPr>
          <w:lang w:val="en-US"/>
        </w:rPr>
        <w:t xml:space="preserve"> heart failure, therapy, pharmacotherapy, adherence, serum drug levels</w:t>
      </w:r>
    </w:p>
    <w:p w14:paraId="08F29025" w14:textId="77777777" w:rsidR="006208B9" w:rsidRPr="00D4761A" w:rsidRDefault="006208B9" w:rsidP="00B56B13">
      <w:pPr>
        <w:rPr>
          <w:lang w:val="en-US"/>
        </w:rPr>
        <w:sectPr w:rsidR="006208B9" w:rsidRPr="00D4761A" w:rsidSect="00D817BF">
          <w:footerReference w:type="default" r:id="rId9"/>
          <w:pgSz w:w="11906" w:h="16838"/>
          <w:pgMar w:top="1417" w:right="1417" w:bottom="1417" w:left="1417" w:header="708" w:footer="708" w:gutter="0"/>
          <w:cols w:space="708"/>
          <w:docGrid w:linePitch="360"/>
        </w:sectPr>
      </w:pPr>
    </w:p>
    <w:p w14:paraId="2DFF0742" w14:textId="0F66DDBA" w:rsidR="00597804" w:rsidRPr="00D4761A" w:rsidRDefault="00A063D5" w:rsidP="00A063D5">
      <w:pPr>
        <w:pStyle w:val="Nadpis10"/>
      </w:pPr>
      <w:r w:rsidRPr="00D4761A">
        <w:lastRenderedPageBreak/>
        <w:t>Obsah</w:t>
      </w:r>
    </w:p>
    <w:p w14:paraId="7BD51146" w14:textId="374F541D" w:rsidR="00BE7B50" w:rsidRPr="00D4761A" w:rsidRDefault="006208B9">
      <w:pPr>
        <w:pStyle w:val="Obsah1"/>
        <w:rPr>
          <w:rFonts w:eastAsiaTheme="minorEastAsia"/>
          <w:b w:val="0"/>
          <w:sz w:val="22"/>
          <w:lang w:eastAsia="cs-CZ"/>
        </w:rPr>
      </w:pPr>
      <w:r w:rsidRPr="00D4761A">
        <w:rPr>
          <w:rFonts w:cstheme="minorHAnsi"/>
          <w:szCs w:val="24"/>
        </w:rPr>
        <w:fldChar w:fldCharType="begin"/>
      </w:r>
      <w:r w:rsidRPr="00D4761A">
        <w:rPr>
          <w:rFonts w:cstheme="minorHAnsi"/>
          <w:szCs w:val="24"/>
        </w:rPr>
        <w:instrText xml:space="preserve"> TOC \o "1-3" \h \z \u </w:instrText>
      </w:r>
      <w:r w:rsidRPr="00D4761A">
        <w:rPr>
          <w:rFonts w:cstheme="minorHAnsi"/>
          <w:szCs w:val="24"/>
        </w:rPr>
        <w:fldChar w:fldCharType="separate"/>
      </w:r>
      <w:hyperlink w:anchor="_Toc120547421" w:history="1">
        <w:r w:rsidR="00BE7B50" w:rsidRPr="00D4761A">
          <w:rPr>
            <w:rStyle w:val="Hypertextovodkaz"/>
          </w:rPr>
          <w:t>Cíle práce</w:t>
        </w:r>
        <w:r w:rsidR="00BE7B50" w:rsidRPr="00D4761A">
          <w:rPr>
            <w:webHidden/>
          </w:rPr>
          <w:tab/>
        </w:r>
        <w:r w:rsidR="00BE7B50" w:rsidRPr="00D4761A">
          <w:rPr>
            <w:webHidden/>
          </w:rPr>
          <w:fldChar w:fldCharType="begin"/>
        </w:r>
        <w:r w:rsidR="00BE7B50" w:rsidRPr="00D4761A">
          <w:rPr>
            <w:webHidden/>
          </w:rPr>
          <w:instrText xml:space="preserve"> PAGEREF _Toc120547421 \h </w:instrText>
        </w:r>
        <w:r w:rsidR="00BE7B50" w:rsidRPr="00D4761A">
          <w:rPr>
            <w:webHidden/>
          </w:rPr>
        </w:r>
        <w:r w:rsidR="00BE7B50" w:rsidRPr="00D4761A">
          <w:rPr>
            <w:webHidden/>
          </w:rPr>
          <w:fldChar w:fldCharType="separate"/>
        </w:r>
        <w:r w:rsidR="00984F42" w:rsidRPr="00D4761A">
          <w:rPr>
            <w:webHidden/>
          </w:rPr>
          <w:t>9</w:t>
        </w:r>
        <w:r w:rsidR="00BE7B50" w:rsidRPr="00D4761A">
          <w:rPr>
            <w:webHidden/>
          </w:rPr>
          <w:fldChar w:fldCharType="end"/>
        </w:r>
      </w:hyperlink>
    </w:p>
    <w:p w14:paraId="3804B3A0" w14:textId="51BB6C5C" w:rsidR="00BE7B50" w:rsidRPr="00D4761A" w:rsidRDefault="001C07EF">
      <w:pPr>
        <w:pStyle w:val="Obsah1"/>
        <w:rPr>
          <w:rFonts w:eastAsiaTheme="minorEastAsia"/>
          <w:b w:val="0"/>
          <w:sz w:val="22"/>
          <w:lang w:eastAsia="cs-CZ"/>
        </w:rPr>
      </w:pPr>
      <w:hyperlink w:anchor="_Toc120547422" w:history="1">
        <w:r w:rsidR="00BE7B50" w:rsidRPr="00D4761A">
          <w:rPr>
            <w:rStyle w:val="Hypertextovodkaz"/>
          </w:rPr>
          <w:t>1</w:t>
        </w:r>
        <w:r w:rsidR="00BE7B50" w:rsidRPr="00D4761A">
          <w:rPr>
            <w:rFonts w:eastAsiaTheme="minorEastAsia"/>
            <w:b w:val="0"/>
            <w:sz w:val="22"/>
            <w:lang w:eastAsia="cs-CZ"/>
          </w:rPr>
          <w:tab/>
        </w:r>
        <w:r w:rsidR="00BE7B50" w:rsidRPr="00D4761A">
          <w:rPr>
            <w:rStyle w:val="Hypertextovodkaz"/>
          </w:rPr>
          <w:t>Úvod</w:t>
        </w:r>
        <w:r w:rsidR="00BE7B50" w:rsidRPr="00D4761A">
          <w:rPr>
            <w:webHidden/>
          </w:rPr>
          <w:tab/>
        </w:r>
        <w:r w:rsidR="00BE7B50" w:rsidRPr="00D4761A">
          <w:rPr>
            <w:webHidden/>
          </w:rPr>
          <w:fldChar w:fldCharType="begin"/>
        </w:r>
        <w:r w:rsidR="00BE7B50" w:rsidRPr="00D4761A">
          <w:rPr>
            <w:webHidden/>
          </w:rPr>
          <w:instrText xml:space="preserve"> PAGEREF _Toc120547422 \h </w:instrText>
        </w:r>
        <w:r w:rsidR="00BE7B50" w:rsidRPr="00D4761A">
          <w:rPr>
            <w:webHidden/>
          </w:rPr>
        </w:r>
        <w:r w:rsidR="00BE7B50" w:rsidRPr="00D4761A">
          <w:rPr>
            <w:webHidden/>
          </w:rPr>
          <w:fldChar w:fldCharType="separate"/>
        </w:r>
        <w:r w:rsidR="00984F42" w:rsidRPr="00D4761A">
          <w:rPr>
            <w:webHidden/>
          </w:rPr>
          <w:t>10</w:t>
        </w:r>
        <w:r w:rsidR="00BE7B50" w:rsidRPr="00D4761A">
          <w:rPr>
            <w:webHidden/>
          </w:rPr>
          <w:fldChar w:fldCharType="end"/>
        </w:r>
      </w:hyperlink>
    </w:p>
    <w:p w14:paraId="276BCB15" w14:textId="4FC7087F" w:rsidR="00BE7B50" w:rsidRPr="00D4761A" w:rsidRDefault="001C07EF">
      <w:pPr>
        <w:pStyle w:val="Obsah1"/>
        <w:rPr>
          <w:rFonts w:eastAsiaTheme="minorEastAsia"/>
          <w:b w:val="0"/>
          <w:sz w:val="22"/>
          <w:lang w:eastAsia="cs-CZ"/>
        </w:rPr>
      </w:pPr>
      <w:hyperlink w:anchor="_Toc120547423" w:history="1">
        <w:r w:rsidR="00BE7B50" w:rsidRPr="00D4761A">
          <w:rPr>
            <w:rStyle w:val="Hypertextovodkaz"/>
          </w:rPr>
          <w:t>2</w:t>
        </w:r>
        <w:r w:rsidR="00BE7B50" w:rsidRPr="00D4761A">
          <w:rPr>
            <w:rFonts w:eastAsiaTheme="minorEastAsia"/>
            <w:b w:val="0"/>
            <w:sz w:val="22"/>
            <w:lang w:eastAsia="cs-CZ"/>
          </w:rPr>
          <w:tab/>
        </w:r>
        <w:r w:rsidR="00BE7B50" w:rsidRPr="00D4761A">
          <w:rPr>
            <w:rStyle w:val="Hypertextovodkaz"/>
          </w:rPr>
          <w:t>Chronické srdeční selhání</w:t>
        </w:r>
        <w:r w:rsidR="00BE7B50" w:rsidRPr="00D4761A">
          <w:rPr>
            <w:webHidden/>
          </w:rPr>
          <w:tab/>
        </w:r>
        <w:r w:rsidR="00BE7B50" w:rsidRPr="00D4761A">
          <w:rPr>
            <w:webHidden/>
          </w:rPr>
          <w:fldChar w:fldCharType="begin"/>
        </w:r>
        <w:r w:rsidR="00BE7B50" w:rsidRPr="00D4761A">
          <w:rPr>
            <w:webHidden/>
          </w:rPr>
          <w:instrText xml:space="preserve"> PAGEREF _Toc120547423 \h </w:instrText>
        </w:r>
        <w:r w:rsidR="00BE7B50" w:rsidRPr="00D4761A">
          <w:rPr>
            <w:webHidden/>
          </w:rPr>
        </w:r>
        <w:r w:rsidR="00BE7B50" w:rsidRPr="00D4761A">
          <w:rPr>
            <w:webHidden/>
          </w:rPr>
          <w:fldChar w:fldCharType="separate"/>
        </w:r>
        <w:r w:rsidR="00984F42" w:rsidRPr="00D4761A">
          <w:rPr>
            <w:webHidden/>
          </w:rPr>
          <w:t>11</w:t>
        </w:r>
        <w:r w:rsidR="00BE7B50" w:rsidRPr="00D4761A">
          <w:rPr>
            <w:webHidden/>
          </w:rPr>
          <w:fldChar w:fldCharType="end"/>
        </w:r>
      </w:hyperlink>
    </w:p>
    <w:p w14:paraId="6D5AA2D1" w14:textId="6A1A3430" w:rsidR="00BE7B50" w:rsidRPr="00D4761A" w:rsidRDefault="001C07EF">
      <w:pPr>
        <w:pStyle w:val="Obsah2"/>
        <w:rPr>
          <w:rFonts w:eastAsiaTheme="minorEastAsia"/>
          <w:noProof/>
          <w:sz w:val="22"/>
          <w:lang w:eastAsia="cs-CZ"/>
        </w:rPr>
      </w:pPr>
      <w:hyperlink w:anchor="_Toc120547424" w:history="1">
        <w:r w:rsidR="00BE7B50" w:rsidRPr="00D4761A">
          <w:rPr>
            <w:rStyle w:val="Hypertextovodkaz"/>
            <w:noProof/>
          </w:rPr>
          <w:t>2.1</w:t>
        </w:r>
        <w:r w:rsidR="00BE7B50" w:rsidRPr="00D4761A">
          <w:rPr>
            <w:rFonts w:eastAsiaTheme="minorEastAsia"/>
            <w:noProof/>
            <w:sz w:val="22"/>
            <w:lang w:eastAsia="cs-CZ"/>
          </w:rPr>
          <w:tab/>
        </w:r>
        <w:r w:rsidR="00BE7B50" w:rsidRPr="00D4761A">
          <w:rPr>
            <w:rStyle w:val="Hypertextovodkaz"/>
            <w:noProof/>
          </w:rPr>
          <w:t>Definice a klasifikace chronického srdečního selhání</w:t>
        </w:r>
        <w:r w:rsidR="00BE7B50" w:rsidRPr="00D4761A">
          <w:rPr>
            <w:noProof/>
            <w:webHidden/>
          </w:rPr>
          <w:tab/>
        </w:r>
        <w:r w:rsidR="00BE7B50" w:rsidRPr="00D4761A">
          <w:rPr>
            <w:noProof/>
            <w:webHidden/>
          </w:rPr>
          <w:fldChar w:fldCharType="begin"/>
        </w:r>
        <w:r w:rsidR="00BE7B50" w:rsidRPr="00D4761A">
          <w:rPr>
            <w:noProof/>
            <w:webHidden/>
          </w:rPr>
          <w:instrText xml:space="preserve"> PAGEREF _Toc120547424 \h </w:instrText>
        </w:r>
        <w:r w:rsidR="00BE7B50" w:rsidRPr="00D4761A">
          <w:rPr>
            <w:noProof/>
            <w:webHidden/>
          </w:rPr>
        </w:r>
        <w:r w:rsidR="00BE7B50" w:rsidRPr="00D4761A">
          <w:rPr>
            <w:noProof/>
            <w:webHidden/>
          </w:rPr>
          <w:fldChar w:fldCharType="separate"/>
        </w:r>
        <w:r w:rsidR="00984F42" w:rsidRPr="00D4761A">
          <w:rPr>
            <w:noProof/>
            <w:webHidden/>
          </w:rPr>
          <w:t>11</w:t>
        </w:r>
        <w:r w:rsidR="00BE7B50" w:rsidRPr="00D4761A">
          <w:rPr>
            <w:noProof/>
            <w:webHidden/>
          </w:rPr>
          <w:fldChar w:fldCharType="end"/>
        </w:r>
      </w:hyperlink>
    </w:p>
    <w:p w14:paraId="492522FD" w14:textId="02BEC9BF" w:rsidR="00BE7B50" w:rsidRPr="00D4761A" w:rsidRDefault="001C07EF">
      <w:pPr>
        <w:pStyle w:val="Obsah2"/>
        <w:rPr>
          <w:rFonts w:eastAsiaTheme="minorEastAsia"/>
          <w:noProof/>
          <w:sz w:val="22"/>
          <w:lang w:eastAsia="cs-CZ"/>
        </w:rPr>
      </w:pPr>
      <w:hyperlink w:anchor="_Toc120547425" w:history="1">
        <w:r w:rsidR="00BE7B50" w:rsidRPr="00D4761A">
          <w:rPr>
            <w:rStyle w:val="Hypertextovodkaz"/>
            <w:noProof/>
          </w:rPr>
          <w:t>2.2</w:t>
        </w:r>
        <w:r w:rsidR="00BE7B50" w:rsidRPr="00D4761A">
          <w:rPr>
            <w:rFonts w:eastAsiaTheme="minorEastAsia"/>
            <w:noProof/>
            <w:sz w:val="22"/>
            <w:lang w:eastAsia="cs-CZ"/>
          </w:rPr>
          <w:tab/>
        </w:r>
        <w:r w:rsidR="00BE7B50" w:rsidRPr="00D4761A">
          <w:rPr>
            <w:rStyle w:val="Hypertextovodkaz"/>
            <w:noProof/>
          </w:rPr>
          <w:t>Farmakoterapie chronického srdečního selhání se sníženou ejekční frakcí (HFrEF)</w:t>
        </w:r>
        <w:r w:rsidR="00BE7B50" w:rsidRPr="00D4761A">
          <w:rPr>
            <w:noProof/>
            <w:webHidden/>
          </w:rPr>
          <w:tab/>
        </w:r>
        <w:r w:rsidR="00BE7B50" w:rsidRPr="00D4761A">
          <w:rPr>
            <w:noProof/>
            <w:webHidden/>
          </w:rPr>
          <w:fldChar w:fldCharType="begin"/>
        </w:r>
        <w:r w:rsidR="00BE7B50" w:rsidRPr="00D4761A">
          <w:rPr>
            <w:noProof/>
            <w:webHidden/>
          </w:rPr>
          <w:instrText xml:space="preserve"> PAGEREF _Toc120547425 \h </w:instrText>
        </w:r>
        <w:r w:rsidR="00BE7B50" w:rsidRPr="00D4761A">
          <w:rPr>
            <w:noProof/>
            <w:webHidden/>
          </w:rPr>
        </w:r>
        <w:r w:rsidR="00BE7B50" w:rsidRPr="00D4761A">
          <w:rPr>
            <w:noProof/>
            <w:webHidden/>
          </w:rPr>
          <w:fldChar w:fldCharType="separate"/>
        </w:r>
        <w:r w:rsidR="00984F42" w:rsidRPr="00D4761A">
          <w:rPr>
            <w:noProof/>
            <w:webHidden/>
          </w:rPr>
          <w:t>14</w:t>
        </w:r>
        <w:r w:rsidR="00BE7B50" w:rsidRPr="00D4761A">
          <w:rPr>
            <w:noProof/>
            <w:webHidden/>
          </w:rPr>
          <w:fldChar w:fldCharType="end"/>
        </w:r>
      </w:hyperlink>
    </w:p>
    <w:p w14:paraId="30BC0F84" w14:textId="3AB113F8" w:rsidR="00BE7B50" w:rsidRPr="00D4761A" w:rsidRDefault="001C07EF">
      <w:pPr>
        <w:pStyle w:val="Obsah3"/>
        <w:rPr>
          <w:rFonts w:eastAsiaTheme="minorEastAsia"/>
          <w:i w:val="0"/>
          <w:sz w:val="22"/>
          <w:lang w:eastAsia="cs-CZ"/>
        </w:rPr>
      </w:pPr>
      <w:hyperlink w:anchor="_Toc120547426" w:history="1">
        <w:r w:rsidR="00BE7B50" w:rsidRPr="00D4761A">
          <w:rPr>
            <w:rStyle w:val="Hypertextovodkaz"/>
          </w:rPr>
          <w:t>2.2.1</w:t>
        </w:r>
        <w:r w:rsidR="00BE7B50" w:rsidRPr="00D4761A">
          <w:rPr>
            <w:rFonts w:eastAsiaTheme="minorEastAsia"/>
            <w:i w:val="0"/>
            <w:sz w:val="22"/>
            <w:lang w:eastAsia="cs-CZ"/>
          </w:rPr>
          <w:tab/>
        </w:r>
        <w:r w:rsidR="00BE7B50" w:rsidRPr="00D4761A">
          <w:rPr>
            <w:rStyle w:val="Hypertextovodkaz"/>
          </w:rPr>
          <w:t>Diuretika</w:t>
        </w:r>
        <w:r w:rsidR="00BE7B50" w:rsidRPr="00D4761A">
          <w:rPr>
            <w:webHidden/>
          </w:rPr>
          <w:tab/>
        </w:r>
        <w:r w:rsidR="00BE7B50" w:rsidRPr="00D4761A">
          <w:rPr>
            <w:webHidden/>
          </w:rPr>
          <w:fldChar w:fldCharType="begin"/>
        </w:r>
        <w:r w:rsidR="00BE7B50" w:rsidRPr="00D4761A">
          <w:rPr>
            <w:webHidden/>
          </w:rPr>
          <w:instrText xml:space="preserve"> PAGEREF _Toc120547426 \h </w:instrText>
        </w:r>
        <w:r w:rsidR="00BE7B50" w:rsidRPr="00D4761A">
          <w:rPr>
            <w:webHidden/>
          </w:rPr>
        </w:r>
        <w:r w:rsidR="00BE7B50" w:rsidRPr="00D4761A">
          <w:rPr>
            <w:webHidden/>
          </w:rPr>
          <w:fldChar w:fldCharType="separate"/>
        </w:r>
        <w:r w:rsidR="00984F42" w:rsidRPr="00D4761A">
          <w:rPr>
            <w:webHidden/>
          </w:rPr>
          <w:t>14</w:t>
        </w:r>
        <w:r w:rsidR="00BE7B50" w:rsidRPr="00D4761A">
          <w:rPr>
            <w:webHidden/>
          </w:rPr>
          <w:fldChar w:fldCharType="end"/>
        </w:r>
      </w:hyperlink>
    </w:p>
    <w:p w14:paraId="39ABF8FF" w14:textId="51170009" w:rsidR="00BE7B50" w:rsidRPr="00D4761A" w:rsidRDefault="001C07EF">
      <w:pPr>
        <w:pStyle w:val="Obsah3"/>
        <w:rPr>
          <w:rFonts w:eastAsiaTheme="minorEastAsia"/>
          <w:i w:val="0"/>
          <w:sz w:val="22"/>
          <w:lang w:eastAsia="cs-CZ"/>
        </w:rPr>
      </w:pPr>
      <w:hyperlink w:anchor="_Toc120547427" w:history="1">
        <w:r w:rsidR="00BE7B50" w:rsidRPr="00D4761A">
          <w:rPr>
            <w:rStyle w:val="Hypertextovodkaz"/>
          </w:rPr>
          <w:t>2.2.2</w:t>
        </w:r>
        <w:r w:rsidR="00BE7B50" w:rsidRPr="00D4761A">
          <w:rPr>
            <w:rFonts w:eastAsiaTheme="minorEastAsia"/>
            <w:i w:val="0"/>
            <w:sz w:val="22"/>
            <w:lang w:eastAsia="cs-CZ"/>
          </w:rPr>
          <w:tab/>
        </w:r>
        <w:r w:rsidR="00BE7B50" w:rsidRPr="00D4761A">
          <w:rPr>
            <w:rStyle w:val="Hypertextovodkaz"/>
          </w:rPr>
          <w:t>Betablokátory</w:t>
        </w:r>
        <w:r w:rsidR="00BE7B50" w:rsidRPr="00D4761A">
          <w:rPr>
            <w:webHidden/>
          </w:rPr>
          <w:tab/>
        </w:r>
        <w:r w:rsidR="00BE7B50" w:rsidRPr="00D4761A">
          <w:rPr>
            <w:webHidden/>
          </w:rPr>
          <w:fldChar w:fldCharType="begin"/>
        </w:r>
        <w:r w:rsidR="00BE7B50" w:rsidRPr="00D4761A">
          <w:rPr>
            <w:webHidden/>
          </w:rPr>
          <w:instrText xml:space="preserve"> PAGEREF _Toc120547427 \h </w:instrText>
        </w:r>
        <w:r w:rsidR="00BE7B50" w:rsidRPr="00D4761A">
          <w:rPr>
            <w:webHidden/>
          </w:rPr>
        </w:r>
        <w:r w:rsidR="00BE7B50" w:rsidRPr="00D4761A">
          <w:rPr>
            <w:webHidden/>
          </w:rPr>
          <w:fldChar w:fldCharType="separate"/>
        </w:r>
        <w:r w:rsidR="00984F42" w:rsidRPr="00D4761A">
          <w:rPr>
            <w:webHidden/>
          </w:rPr>
          <w:t>14</w:t>
        </w:r>
        <w:r w:rsidR="00BE7B50" w:rsidRPr="00D4761A">
          <w:rPr>
            <w:webHidden/>
          </w:rPr>
          <w:fldChar w:fldCharType="end"/>
        </w:r>
      </w:hyperlink>
    </w:p>
    <w:p w14:paraId="157C1167" w14:textId="66688164" w:rsidR="00BE7B50" w:rsidRPr="00D4761A" w:rsidRDefault="001C07EF">
      <w:pPr>
        <w:pStyle w:val="Obsah3"/>
        <w:rPr>
          <w:rFonts w:eastAsiaTheme="minorEastAsia"/>
          <w:i w:val="0"/>
          <w:sz w:val="22"/>
          <w:lang w:eastAsia="cs-CZ"/>
        </w:rPr>
      </w:pPr>
      <w:hyperlink w:anchor="_Toc120547428" w:history="1">
        <w:r w:rsidR="00BE7B50" w:rsidRPr="00D4761A">
          <w:rPr>
            <w:rStyle w:val="Hypertextovodkaz"/>
          </w:rPr>
          <w:t>2.2.3</w:t>
        </w:r>
        <w:r w:rsidR="00BE7B50" w:rsidRPr="00D4761A">
          <w:rPr>
            <w:rFonts w:eastAsiaTheme="minorEastAsia"/>
            <w:i w:val="0"/>
            <w:sz w:val="22"/>
            <w:lang w:eastAsia="cs-CZ"/>
          </w:rPr>
          <w:tab/>
        </w:r>
        <w:r w:rsidR="00BE7B50" w:rsidRPr="00D4761A">
          <w:rPr>
            <w:rStyle w:val="Hypertextovodkaz"/>
          </w:rPr>
          <w:t>Inhibitory angiotensin-konvertujícího enzymu (ACEi)</w:t>
        </w:r>
        <w:r w:rsidR="00BE7B50" w:rsidRPr="00D4761A">
          <w:rPr>
            <w:webHidden/>
          </w:rPr>
          <w:tab/>
        </w:r>
        <w:r w:rsidR="00BE7B50" w:rsidRPr="00D4761A">
          <w:rPr>
            <w:webHidden/>
          </w:rPr>
          <w:fldChar w:fldCharType="begin"/>
        </w:r>
        <w:r w:rsidR="00BE7B50" w:rsidRPr="00D4761A">
          <w:rPr>
            <w:webHidden/>
          </w:rPr>
          <w:instrText xml:space="preserve"> PAGEREF _Toc120547428 \h </w:instrText>
        </w:r>
        <w:r w:rsidR="00BE7B50" w:rsidRPr="00D4761A">
          <w:rPr>
            <w:webHidden/>
          </w:rPr>
        </w:r>
        <w:r w:rsidR="00BE7B50" w:rsidRPr="00D4761A">
          <w:rPr>
            <w:webHidden/>
          </w:rPr>
          <w:fldChar w:fldCharType="separate"/>
        </w:r>
        <w:r w:rsidR="00984F42" w:rsidRPr="00D4761A">
          <w:rPr>
            <w:webHidden/>
          </w:rPr>
          <w:t>14</w:t>
        </w:r>
        <w:r w:rsidR="00BE7B50" w:rsidRPr="00D4761A">
          <w:rPr>
            <w:webHidden/>
          </w:rPr>
          <w:fldChar w:fldCharType="end"/>
        </w:r>
      </w:hyperlink>
    </w:p>
    <w:p w14:paraId="53B449D3" w14:textId="08DAA144" w:rsidR="00BE7B50" w:rsidRPr="00D4761A" w:rsidRDefault="001C07EF">
      <w:pPr>
        <w:pStyle w:val="Obsah3"/>
        <w:rPr>
          <w:rFonts w:eastAsiaTheme="minorEastAsia"/>
          <w:i w:val="0"/>
          <w:sz w:val="22"/>
          <w:lang w:eastAsia="cs-CZ"/>
        </w:rPr>
      </w:pPr>
      <w:hyperlink w:anchor="_Toc120547429" w:history="1">
        <w:r w:rsidR="00BE7B50" w:rsidRPr="00D4761A">
          <w:rPr>
            <w:rStyle w:val="Hypertextovodkaz"/>
          </w:rPr>
          <w:t>2.2.4</w:t>
        </w:r>
        <w:r w:rsidR="00BE7B50" w:rsidRPr="00D4761A">
          <w:rPr>
            <w:rFonts w:eastAsiaTheme="minorEastAsia"/>
            <w:i w:val="0"/>
            <w:sz w:val="22"/>
            <w:lang w:eastAsia="cs-CZ"/>
          </w:rPr>
          <w:tab/>
        </w:r>
        <w:r w:rsidR="00BE7B50" w:rsidRPr="00D4761A">
          <w:rPr>
            <w:rStyle w:val="Hypertextovodkaz"/>
          </w:rPr>
          <w:t>Blokátory receptoru AT1 pro angiotenzin II (ARB)</w:t>
        </w:r>
        <w:r w:rsidR="00BE7B50" w:rsidRPr="00D4761A">
          <w:rPr>
            <w:webHidden/>
          </w:rPr>
          <w:tab/>
        </w:r>
        <w:r w:rsidR="00BE7B50" w:rsidRPr="00D4761A">
          <w:rPr>
            <w:webHidden/>
          </w:rPr>
          <w:fldChar w:fldCharType="begin"/>
        </w:r>
        <w:r w:rsidR="00BE7B50" w:rsidRPr="00D4761A">
          <w:rPr>
            <w:webHidden/>
          </w:rPr>
          <w:instrText xml:space="preserve"> PAGEREF _Toc120547429 \h </w:instrText>
        </w:r>
        <w:r w:rsidR="00BE7B50" w:rsidRPr="00D4761A">
          <w:rPr>
            <w:webHidden/>
          </w:rPr>
        </w:r>
        <w:r w:rsidR="00BE7B50" w:rsidRPr="00D4761A">
          <w:rPr>
            <w:webHidden/>
          </w:rPr>
          <w:fldChar w:fldCharType="separate"/>
        </w:r>
        <w:r w:rsidR="00984F42" w:rsidRPr="00D4761A">
          <w:rPr>
            <w:webHidden/>
          </w:rPr>
          <w:t>15</w:t>
        </w:r>
        <w:r w:rsidR="00BE7B50" w:rsidRPr="00D4761A">
          <w:rPr>
            <w:webHidden/>
          </w:rPr>
          <w:fldChar w:fldCharType="end"/>
        </w:r>
      </w:hyperlink>
    </w:p>
    <w:p w14:paraId="46810057" w14:textId="2F6DDDFD" w:rsidR="00BE7B50" w:rsidRPr="00D4761A" w:rsidRDefault="001C07EF">
      <w:pPr>
        <w:pStyle w:val="Obsah3"/>
        <w:rPr>
          <w:rFonts w:eastAsiaTheme="minorEastAsia"/>
          <w:i w:val="0"/>
          <w:sz w:val="22"/>
          <w:lang w:eastAsia="cs-CZ"/>
        </w:rPr>
      </w:pPr>
      <w:hyperlink w:anchor="_Toc120547430" w:history="1">
        <w:r w:rsidR="00BE7B50" w:rsidRPr="00D4761A">
          <w:rPr>
            <w:rStyle w:val="Hypertextovodkaz"/>
          </w:rPr>
          <w:t>2.2.5</w:t>
        </w:r>
        <w:r w:rsidR="00BE7B50" w:rsidRPr="00D4761A">
          <w:rPr>
            <w:rFonts w:eastAsiaTheme="minorEastAsia"/>
            <w:i w:val="0"/>
            <w:sz w:val="22"/>
            <w:lang w:eastAsia="cs-CZ"/>
          </w:rPr>
          <w:tab/>
        </w:r>
        <w:r w:rsidR="00BE7B50" w:rsidRPr="00D4761A">
          <w:rPr>
            <w:rStyle w:val="Hypertextovodkaz"/>
          </w:rPr>
          <w:t>Antagonisté mineralokortikoidních receptorů (MRA)</w:t>
        </w:r>
        <w:r w:rsidR="00BE7B50" w:rsidRPr="00D4761A">
          <w:rPr>
            <w:webHidden/>
          </w:rPr>
          <w:tab/>
        </w:r>
        <w:r w:rsidR="00BE7B50" w:rsidRPr="00D4761A">
          <w:rPr>
            <w:webHidden/>
          </w:rPr>
          <w:fldChar w:fldCharType="begin"/>
        </w:r>
        <w:r w:rsidR="00BE7B50" w:rsidRPr="00D4761A">
          <w:rPr>
            <w:webHidden/>
          </w:rPr>
          <w:instrText xml:space="preserve"> PAGEREF _Toc120547430 \h </w:instrText>
        </w:r>
        <w:r w:rsidR="00BE7B50" w:rsidRPr="00D4761A">
          <w:rPr>
            <w:webHidden/>
          </w:rPr>
        </w:r>
        <w:r w:rsidR="00BE7B50" w:rsidRPr="00D4761A">
          <w:rPr>
            <w:webHidden/>
          </w:rPr>
          <w:fldChar w:fldCharType="separate"/>
        </w:r>
        <w:r w:rsidR="00984F42" w:rsidRPr="00D4761A">
          <w:rPr>
            <w:webHidden/>
          </w:rPr>
          <w:t>15</w:t>
        </w:r>
        <w:r w:rsidR="00BE7B50" w:rsidRPr="00D4761A">
          <w:rPr>
            <w:webHidden/>
          </w:rPr>
          <w:fldChar w:fldCharType="end"/>
        </w:r>
      </w:hyperlink>
    </w:p>
    <w:p w14:paraId="5DF6D788" w14:textId="786B4090" w:rsidR="00BE7B50" w:rsidRPr="00D4761A" w:rsidRDefault="001C07EF">
      <w:pPr>
        <w:pStyle w:val="Obsah3"/>
        <w:rPr>
          <w:rFonts w:eastAsiaTheme="minorEastAsia"/>
          <w:i w:val="0"/>
          <w:sz w:val="22"/>
          <w:lang w:eastAsia="cs-CZ"/>
        </w:rPr>
      </w:pPr>
      <w:hyperlink w:anchor="_Toc120547431" w:history="1">
        <w:r w:rsidR="00BE7B50" w:rsidRPr="00D4761A">
          <w:rPr>
            <w:rStyle w:val="Hypertextovodkaz"/>
          </w:rPr>
          <w:t>2.2.6</w:t>
        </w:r>
        <w:r w:rsidR="00BE7B50" w:rsidRPr="00D4761A">
          <w:rPr>
            <w:rFonts w:eastAsiaTheme="minorEastAsia"/>
            <w:i w:val="0"/>
            <w:sz w:val="22"/>
            <w:lang w:eastAsia="cs-CZ"/>
          </w:rPr>
          <w:tab/>
        </w:r>
        <w:r w:rsidR="00BE7B50" w:rsidRPr="00D4761A">
          <w:rPr>
            <w:rStyle w:val="Hypertextovodkaz"/>
          </w:rPr>
          <w:t>Inhibitor receptoru angiotenzinu a neprilysinu (ARNI)</w:t>
        </w:r>
        <w:r w:rsidR="00BE7B50" w:rsidRPr="00D4761A">
          <w:rPr>
            <w:webHidden/>
          </w:rPr>
          <w:tab/>
        </w:r>
        <w:r w:rsidR="00BE7B50" w:rsidRPr="00D4761A">
          <w:rPr>
            <w:webHidden/>
          </w:rPr>
          <w:fldChar w:fldCharType="begin"/>
        </w:r>
        <w:r w:rsidR="00BE7B50" w:rsidRPr="00D4761A">
          <w:rPr>
            <w:webHidden/>
          </w:rPr>
          <w:instrText xml:space="preserve"> PAGEREF _Toc120547431 \h </w:instrText>
        </w:r>
        <w:r w:rsidR="00BE7B50" w:rsidRPr="00D4761A">
          <w:rPr>
            <w:webHidden/>
          </w:rPr>
        </w:r>
        <w:r w:rsidR="00BE7B50" w:rsidRPr="00D4761A">
          <w:rPr>
            <w:webHidden/>
          </w:rPr>
          <w:fldChar w:fldCharType="separate"/>
        </w:r>
        <w:r w:rsidR="00984F42" w:rsidRPr="00D4761A">
          <w:rPr>
            <w:webHidden/>
          </w:rPr>
          <w:t>15</w:t>
        </w:r>
        <w:r w:rsidR="00BE7B50" w:rsidRPr="00D4761A">
          <w:rPr>
            <w:webHidden/>
          </w:rPr>
          <w:fldChar w:fldCharType="end"/>
        </w:r>
      </w:hyperlink>
    </w:p>
    <w:p w14:paraId="61B752A6" w14:textId="4CDDAC1A" w:rsidR="00BE7B50" w:rsidRPr="00D4761A" w:rsidRDefault="001C07EF">
      <w:pPr>
        <w:pStyle w:val="Obsah3"/>
        <w:rPr>
          <w:rFonts w:eastAsiaTheme="minorEastAsia"/>
          <w:i w:val="0"/>
          <w:sz w:val="22"/>
          <w:lang w:eastAsia="cs-CZ"/>
        </w:rPr>
      </w:pPr>
      <w:hyperlink w:anchor="_Toc120547432" w:history="1">
        <w:r w:rsidR="00BE7B50" w:rsidRPr="00D4761A">
          <w:rPr>
            <w:rStyle w:val="Hypertextovodkaz"/>
          </w:rPr>
          <w:t>2.2.7</w:t>
        </w:r>
        <w:r w:rsidR="00BE7B50" w:rsidRPr="00D4761A">
          <w:rPr>
            <w:rFonts w:eastAsiaTheme="minorEastAsia"/>
            <w:i w:val="0"/>
            <w:sz w:val="22"/>
            <w:lang w:eastAsia="cs-CZ"/>
          </w:rPr>
          <w:tab/>
        </w:r>
        <w:r w:rsidR="00BE7B50" w:rsidRPr="00D4761A">
          <w:rPr>
            <w:rStyle w:val="Hypertextovodkaz"/>
          </w:rPr>
          <w:t>Inhibitory SGLT2 (glifloziny)</w:t>
        </w:r>
        <w:r w:rsidR="00BE7B50" w:rsidRPr="00D4761A">
          <w:rPr>
            <w:webHidden/>
          </w:rPr>
          <w:tab/>
        </w:r>
        <w:r w:rsidR="00BE7B50" w:rsidRPr="00D4761A">
          <w:rPr>
            <w:webHidden/>
          </w:rPr>
          <w:fldChar w:fldCharType="begin"/>
        </w:r>
        <w:r w:rsidR="00BE7B50" w:rsidRPr="00D4761A">
          <w:rPr>
            <w:webHidden/>
          </w:rPr>
          <w:instrText xml:space="preserve"> PAGEREF _Toc120547432 \h </w:instrText>
        </w:r>
        <w:r w:rsidR="00BE7B50" w:rsidRPr="00D4761A">
          <w:rPr>
            <w:webHidden/>
          </w:rPr>
        </w:r>
        <w:r w:rsidR="00BE7B50" w:rsidRPr="00D4761A">
          <w:rPr>
            <w:webHidden/>
          </w:rPr>
          <w:fldChar w:fldCharType="separate"/>
        </w:r>
        <w:r w:rsidR="00984F42" w:rsidRPr="00D4761A">
          <w:rPr>
            <w:webHidden/>
          </w:rPr>
          <w:t>16</w:t>
        </w:r>
        <w:r w:rsidR="00BE7B50" w:rsidRPr="00D4761A">
          <w:rPr>
            <w:webHidden/>
          </w:rPr>
          <w:fldChar w:fldCharType="end"/>
        </w:r>
      </w:hyperlink>
    </w:p>
    <w:p w14:paraId="50EA86C4" w14:textId="66AD97E8" w:rsidR="00BE7B50" w:rsidRPr="00D4761A" w:rsidRDefault="001C07EF">
      <w:pPr>
        <w:pStyle w:val="Obsah3"/>
        <w:rPr>
          <w:rFonts w:eastAsiaTheme="minorEastAsia"/>
          <w:i w:val="0"/>
          <w:sz w:val="22"/>
          <w:lang w:eastAsia="cs-CZ"/>
        </w:rPr>
      </w:pPr>
      <w:hyperlink w:anchor="_Toc120547433" w:history="1">
        <w:r w:rsidR="00BE7B50" w:rsidRPr="00D4761A">
          <w:rPr>
            <w:rStyle w:val="Hypertextovodkaz"/>
          </w:rPr>
          <w:t>2.2.8</w:t>
        </w:r>
        <w:r w:rsidR="00BE7B50" w:rsidRPr="00D4761A">
          <w:rPr>
            <w:rFonts w:eastAsiaTheme="minorEastAsia"/>
            <w:i w:val="0"/>
            <w:sz w:val="22"/>
            <w:lang w:eastAsia="cs-CZ"/>
          </w:rPr>
          <w:tab/>
        </w:r>
        <w:r w:rsidR="00BE7B50" w:rsidRPr="00D4761A">
          <w:rPr>
            <w:rStyle w:val="Hypertextovodkaz"/>
          </w:rPr>
          <w:t>Hydralazin/isosorbid dinitrát</w:t>
        </w:r>
        <w:r w:rsidR="00BE7B50" w:rsidRPr="00D4761A">
          <w:rPr>
            <w:webHidden/>
          </w:rPr>
          <w:tab/>
        </w:r>
        <w:r w:rsidR="00BE7B50" w:rsidRPr="00D4761A">
          <w:rPr>
            <w:webHidden/>
          </w:rPr>
          <w:fldChar w:fldCharType="begin"/>
        </w:r>
        <w:r w:rsidR="00BE7B50" w:rsidRPr="00D4761A">
          <w:rPr>
            <w:webHidden/>
          </w:rPr>
          <w:instrText xml:space="preserve"> PAGEREF _Toc120547433 \h </w:instrText>
        </w:r>
        <w:r w:rsidR="00BE7B50" w:rsidRPr="00D4761A">
          <w:rPr>
            <w:webHidden/>
          </w:rPr>
        </w:r>
        <w:r w:rsidR="00BE7B50" w:rsidRPr="00D4761A">
          <w:rPr>
            <w:webHidden/>
          </w:rPr>
          <w:fldChar w:fldCharType="separate"/>
        </w:r>
        <w:r w:rsidR="00984F42" w:rsidRPr="00D4761A">
          <w:rPr>
            <w:webHidden/>
          </w:rPr>
          <w:t>16</w:t>
        </w:r>
        <w:r w:rsidR="00BE7B50" w:rsidRPr="00D4761A">
          <w:rPr>
            <w:webHidden/>
          </w:rPr>
          <w:fldChar w:fldCharType="end"/>
        </w:r>
      </w:hyperlink>
    </w:p>
    <w:p w14:paraId="5040EC96" w14:textId="19AD93A5" w:rsidR="00BE7B50" w:rsidRPr="00D4761A" w:rsidRDefault="001C07EF">
      <w:pPr>
        <w:pStyle w:val="Obsah3"/>
        <w:rPr>
          <w:rFonts w:eastAsiaTheme="minorEastAsia"/>
          <w:i w:val="0"/>
          <w:sz w:val="22"/>
          <w:lang w:eastAsia="cs-CZ"/>
        </w:rPr>
      </w:pPr>
      <w:hyperlink w:anchor="_Toc120547434" w:history="1">
        <w:r w:rsidR="00BE7B50" w:rsidRPr="00D4761A">
          <w:rPr>
            <w:rStyle w:val="Hypertextovodkaz"/>
          </w:rPr>
          <w:t>2.2.9</w:t>
        </w:r>
        <w:r w:rsidR="00BE7B50" w:rsidRPr="00D4761A">
          <w:rPr>
            <w:rFonts w:eastAsiaTheme="minorEastAsia"/>
            <w:i w:val="0"/>
            <w:sz w:val="22"/>
            <w:lang w:eastAsia="cs-CZ"/>
          </w:rPr>
          <w:tab/>
        </w:r>
        <w:r w:rsidR="00BE7B50" w:rsidRPr="00D4761A">
          <w:rPr>
            <w:rStyle w:val="Hypertextovodkaz"/>
          </w:rPr>
          <w:t>Stimulátor solubilní guanylátcyklázy</w:t>
        </w:r>
        <w:r w:rsidR="00BE7B50" w:rsidRPr="00D4761A">
          <w:rPr>
            <w:webHidden/>
          </w:rPr>
          <w:tab/>
        </w:r>
        <w:r w:rsidR="00BE7B50" w:rsidRPr="00D4761A">
          <w:rPr>
            <w:webHidden/>
          </w:rPr>
          <w:fldChar w:fldCharType="begin"/>
        </w:r>
        <w:r w:rsidR="00BE7B50" w:rsidRPr="00D4761A">
          <w:rPr>
            <w:webHidden/>
          </w:rPr>
          <w:instrText xml:space="preserve"> PAGEREF _Toc120547434 \h </w:instrText>
        </w:r>
        <w:r w:rsidR="00BE7B50" w:rsidRPr="00D4761A">
          <w:rPr>
            <w:webHidden/>
          </w:rPr>
        </w:r>
        <w:r w:rsidR="00BE7B50" w:rsidRPr="00D4761A">
          <w:rPr>
            <w:webHidden/>
          </w:rPr>
          <w:fldChar w:fldCharType="separate"/>
        </w:r>
        <w:r w:rsidR="00984F42" w:rsidRPr="00D4761A">
          <w:rPr>
            <w:webHidden/>
          </w:rPr>
          <w:t>16</w:t>
        </w:r>
        <w:r w:rsidR="00BE7B50" w:rsidRPr="00D4761A">
          <w:rPr>
            <w:webHidden/>
          </w:rPr>
          <w:fldChar w:fldCharType="end"/>
        </w:r>
      </w:hyperlink>
    </w:p>
    <w:p w14:paraId="65C11919" w14:textId="7CC6A2F4" w:rsidR="00BE7B50" w:rsidRPr="00D4761A" w:rsidRDefault="001C07EF">
      <w:pPr>
        <w:pStyle w:val="Obsah3"/>
        <w:rPr>
          <w:rFonts w:eastAsiaTheme="minorEastAsia"/>
          <w:i w:val="0"/>
          <w:sz w:val="22"/>
          <w:lang w:eastAsia="cs-CZ"/>
        </w:rPr>
      </w:pPr>
      <w:hyperlink w:anchor="_Toc120547435" w:history="1">
        <w:r w:rsidR="00BE7B50" w:rsidRPr="00D4761A">
          <w:rPr>
            <w:rStyle w:val="Hypertextovodkaz"/>
          </w:rPr>
          <w:t>2.2.10</w:t>
        </w:r>
        <w:r w:rsidR="00BE7B50" w:rsidRPr="00D4761A">
          <w:rPr>
            <w:rFonts w:eastAsiaTheme="minorEastAsia"/>
            <w:i w:val="0"/>
            <w:sz w:val="22"/>
            <w:lang w:eastAsia="cs-CZ"/>
          </w:rPr>
          <w:tab/>
        </w:r>
        <w:r w:rsidR="00BE7B50" w:rsidRPr="00D4761A">
          <w:rPr>
            <w:rStyle w:val="Hypertextovodkaz"/>
          </w:rPr>
          <w:t>Ivabradin</w:t>
        </w:r>
        <w:r w:rsidR="00BE7B50" w:rsidRPr="00D4761A">
          <w:rPr>
            <w:webHidden/>
          </w:rPr>
          <w:tab/>
        </w:r>
        <w:r w:rsidR="00BE7B50" w:rsidRPr="00D4761A">
          <w:rPr>
            <w:webHidden/>
          </w:rPr>
          <w:fldChar w:fldCharType="begin"/>
        </w:r>
        <w:r w:rsidR="00BE7B50" w:rsidRPr="00D4761A">
          <w:rPr>
            <w:webHidden/>
          </w:rPr>
          <w:instrText xml:space="preserve"> PAGEREF _Toc120547435 \h </w:instrText>
        </w:r>
        <w:r w:rsidR="00BE7B50" w:rsidRPr="00D4761A">
          <w:rPr>
            <w:webHidden/>
          </w:rPr>
        </w:r>
        <w:r w:rsidR="00BE7B50" w:rsidRPr="00D4761A">
          <w:rPr>
            <w:webHidden/>
          </w:rPr>
          <w:fldChar w:fldCharType="separate"/>
        </w:r>
        <w:r w:rsidR="00984F42" w:rsidRPr="00D4761A">
          <w:rPr>
            <w:webHidden/>
          </w:rPr>
          <w:t>17</w:t>
        </w:r>
        <w:r w:rsidR="00BE7B50" w:rsidRPr="00D4761A">
          <w:rPr>
            <w:webHidden/>
          </w:rPr>
          <w:fldChar w:fldCharType="end"/>
        </w:r>
      </w:hyperlink>
    </w:p>
    <w:p w14:paraId="3BECAF6C" w14:textId="688DC6CE" w:rsidR="00BE7B50" w:rsidRPr="00D4761A" w:rsidRDefault="001C07EF">
      <w:pPr>
        <w:pStyle w:val="Obsah3"/>
        <w:rPr>
          <w:rFonts w:eastAsiaTheme="minorEastAsia"/>
          <w:i w:val="0"/>
          <w:sz w:val="22"/>
          <w:lang w:eastAsia="cs-CZ"/>
        </w:rPr>
      </w:pPr>
      <w:hyperlink w:anchor="_Toc120547436" w:history="1">
        <w:r w:rsidR="00BE7B50" w:rsidRPr="00D4761A">
          <w:rPr>
            <w:rStyle w:val="Hypertextovodkaz"/>
          </w:rPr>
          <w:t>2.2.11</w:t>
        </w:r>
        <w:r w:rsidR="00BE7B50" w:rsidRPr="00D4761A">
          <w:rPr>
            <w:rFonts w:eastAsiaTheme="minorEastAsia"/>
            <w:i w:val="0"/>
            <w:sz w:val="22"/>
            <w:lang w:eastAsia="cs-CZ"/>
          </w:rPr>
          <w:tab/>
        </w:r>
        <w:r w:rsidR="00BE7B50" w:rsidRPr="00D4761A">
          <w:rPr>
            <w:rStyle w:val="Hypertextovodkaz"/>
          </w:rPr>
          <w:t>Digoxin</w:t>
        </w:r>
        <w:r w:rsidR="00BE7B50" w:rsidRPr="00D4761A">
          <w:rPr>
            <w:webHidden/>
          </w:rPr>
          <w:tab/>
        </w:r>
        <w:r w:rsidR="00BE7B50" w:rsidRPr="00D4761A">
          <w:rPr>
            <w:webHidden/>
          </w:rPr>
          <w:fldChar w:fldCharType="begin"/>
        </w:r>
        <w:r w:rsidR="00BE7B50" w:rsidRPr="00D4761A">
          <w:rPr>
            <w:webHidden/>
          </w:rPr>
          <w:instrText xml:space="preserve"> PAGEREF _Toc120547436 \h </w:instrText>
        </w:r>
        <w:r w:rsidR="00BE7B50" w:rsidRPr="00D4761A">
          <w:rPr>
            <w:webHidden/>
          </w:rPr>
        </w:r>
        <w:r w:rsidR="00BE7B50" w:rsidRPr="00D4761A">
          <w:rPr>
            <w:webHidden/>
          </w:rPr>
          <w:fldChar w:fldCharType="separate"/>
        </w:r>
        <w:r w:rsidR="00984F42" w:rsidRPr="00D4761A">
          <w:rPr>
            <w:webHidden/>
          </w:rPr>
          <w:t>17</w:t>
        </w:r>
        <w:r w:rsidR="00BE7B50" w:rsidRPr="00D4761A">
          <w:rPr>
            <w:webHidden/>
          </w:rPr>
          <w:fldChar w:fldCharType="end"/>
        </w:r>
      </w:hyperlink>
    </w:p>
    <w:p w14:paraId="021285D3" w14:textId="742B9DD2" w:rsidR="00BE7B50" w:rsidRPr="00D4761A" w:rsidRDefault="001C07EF">
      <w:pPr>
        <w:pStyle w:val="Obsah3"/>
        <w:rPr>
          <w:rFonts w:eastAsiaTheme="minorEastAsia"/>
          <w:i w:val="0"/>
          <w:sz w:val="22"/>
          <w:lang w:eastAsia="cs-CZ"/>
        </w:rPr>
      </w:pPr>
      <w:hyperlink w:anchor="_Toc120547437" w:history="1">
        <w:r w:rsidR="00BE7B50" w:rsidRPr="00D4761A">
          <w:rPr>
            <w:rStyle w:val="Hypertextovodkaz"/>
          </w:rPr>
          <w:t>2.2.12</w:t>
        </w:r>
        <w:r w:rsidR="00BE7B50" w:rsidRPr="00D4761A">
          <w:rPr>
            <w:rFonts w:eastAsiaTheme="minorEastAsia"/>
            <w:i w:val="0"/>
            <w:sz w:val="22"/>
            <w:lang w:eastAsia="cs-CZ"/>
          </w:rPr>
          <w:tab/>
        </w:r>
        <w:r w:rsidR="00BE7B50" w:rsidRPr="00D4761A">
          <w:rPr>
            <w:rStyle w:val="Hypertextovodkaz"/>
          </w:rPr>
          <w:t>Aktivátory kardiálního myozinu</w:t>
        </w:r>
        <w:r w:rsidR="00BE7B50" w:rsidRPr="00D4761A">
          <w:rPr>
            <w:webHidden/>
          </w:rPr>
          <w:tab/>
        </w:r>
        <w:r w:rsidR="00BE7B50" w:rsidRPr="00D4761A">
          <w:rPr>
            <w:webHidden/>
          </w:rPr>
          <w:fldChar w:fldCharType="begin"/>
        </w:r>
        <w:r w:rsidR="00BE7B50" w:rsidRPr="00D4761A">
          <w:rPr>
            <w:webHidden/>
          </w:rPr>
          <w:instrText xml:space="preserve"> PAGEREF _Toc120547437 \h </w:instrText>
        </w:r>
        <w:r w:rsidR="00BE7B50" w:rsidRPr="00D4761A">
          <w:rPr>
            <w:webHidden/>
          </w:rPr>
        </w:r>
        <w:r w:rsidR="00BE7B50" w:rsidRPr="00D4761A">
          <w:rPr>
            <w:webHidden/>
          </w:rPr>
          <w:fldChar w:fldCharType="separate"/>
        </w:r>
        <w:r w:rsidR="00984F42" w:rsidRPr="00D4761A">
          <w:rPr>
            <w:webHidden/>
          </w:rPr>
          <w:t>17</w:t>
        </w:r>
        <w:r w:rsidR="00BE7B50" w:rsidRPr="00D4761A">
          <w:rPr>
            <w:webHidden/>
          </w:rPr>
          <w:fldChar w:fldCharType="end"/>
        </w:r>
      </w:hyperlink>
    </w:p>
    <w:p w14:paraId="1BA49CFD" w14:textId="75A2D42D" w:rsidR="00BE7B50" w:rsidRPr="00D4761A" w:rsidRDefault="001C07EF">
      <w:pPr>
        <w:pStyle w:val="Obsah3"/>
        <w:rPr>
          <w:rFonts w:eastAsiaTheme="minorEastAsia"/>
          <w:i w:val="0"/>
          <w:sz w:val="22"/>
          <w:lang w:eastAsia="cs-CZ"/>
        </w:rPr>
      </w:pPr>
      <w:hyperlink w:anchor="_Toc120547438" w:history="1">
        <w:r w:rsidR="00BE7B50" w:rsidRPr="00D4761A">
          <w:rPr>
            <w:rStyle w:val="Hypertextovodkaz"/>
          </w:rPr>
          <w:t>2.2.13</w:t>
        </w:r>
        <w:r w:rsidR="00BE7B50" w:rsidRPr="00D4761A">
          <w:rPr>
            <w:rFonts w:eastAsiaTheme="minorEastAsia"/>
            <w:i w:val="0"/>
            <w:sz w:val="22"/>
            <w:lang w:eastAsia="cs-CZ"/>
          </w:rPr>
          <w:tab/>
        </w:r>
        <w:r w:rsidR="00BE7B50" w:rsidRPr="00D4761A">
          <w:rPr>
            <w:rStyle w:val="Hypertextovodkaz"/>
          </w:rPr>
          <w:t>Intravenózní formy železa</w:t>
        </w:r>
        <w:r w:rsidR="00BE7B50" w:rsidRPr="00D4761A">
          <w:rPr>
            <w:webHidden/>
          </w:rPr>
          <w:tab/>
        </w:r>
        <w:r w:rsidR="00BE7B50" w:rsidRPr="00D4761A">
          <w:rPr>
            <w:webHidden/>
          </w:rPr>
          <w:fldChar w:fldCharType="begin"/>
        </w:r>
        <w:r w:rsidR="00BE7B50" w:rsidRPr="00D4761A">
          <w:rPr>
            <w:webHidden/>
          </w:rPr>
          <w:instrText xml:space="preserve"> PAGEREF _Toc120547438 \h </w:instrText>
        </w:r>
        <w:r w:rsidR="00BE7B50" w:rsidRPr="00D4761A">
          <w:rPr>
            <w:webHidden/>
          </w:rPr>
        </w:r>
        <w:r w:rsidR="00BE7B50" w:rsidRPr="00D4761A">
          <w:rPr>
            <w:webHidden/>
          </w:rPr>
          <w:fldChar w:fldCharType="separate"/>
        </w:r>
        <w:r w:rsidR="00984F42" w:rsidRPr="00D4761A">
          <w:rPr>
            <w:webHidden/>
          </w:rPr>
          <w:t>17</w:t>
        </w:r>
        <w:r w:rsidR="00BE7B50" w:rsidRPr="00D4761A">
          <w:rPr>
            <w:webHidden/>
          </w:rPr>
          <w:fldChar w:fldCharType="end"/>
        </w:r>
      </w:hyperlink>
    </w:p>
    <w:p w14:paraId="15274545" w14:textId="17772CEB" w:rsidR="00BE7B50" w:rsidRPr="00D4761A" w:rsidRDefault="001C07EF">
      <w:pPr>
        <w:pStyle w:val="Obsah3"/>
        <w:rPr>
          <w:rFonts w:eastAsiaTheme="minorEastAsia"/>
          <w:i w:val="0"/>
          <w:sz w:val="22"/>
          <w:lang w:eastAsia="cs-CZ"/>
        </w:rPr>
      </w:pPr>
      <w:hyperlink w:anchor="_Toc120547439" w:history="1">
        <w:r w:rsidR="00BE7B50" w:rsidRPr="00D4761A">
          <w:rPr>
            <w:rStyle w:val="Hypertextovodkaz"/>
          </w:rPr>
          <w:t>2.2.14</w:t>
        </w:r>
        <w:r w:rsidR="00BE7B50" w:rsidRPr="00D4761A">
          <w:rPr>
            <w:rFonts w:eastAsiaTheme="minorEastAsia"/>
            <w:i w:val="0"/>
            <w:sz w:val="22"/>
            <w:lang w:eastAsia="cs-CZ"/>
          </w:rPr>
          <w:tab/>
        </w:r>
        <w:r w:rsidR="00BE7B50" w:rsidRPr="00D4761A">
          <w:rPr>
            <w:rStyle w:val="Hypertextovodkaz"/>
          </w:rPr>
          <w:t>Vybraná neúčinná farmakoterapie chronického srdečního selhání</w:t>
        </w:r>
        <w:r w:rsidR="00BE7B50" w:rsidRPr="00D4761A">
          <w:rPr>
            <w:webHidden/>
          </w:rPr>
          <w:tab/>
        </w:r>
        <w:r w:rsidR="00BE7B50" w:rsidRPr="00D4761A">
          <w:rPr>
            <w:webHidden/>
          </w:rPr>
          <w:fldChar w:fldCharType="begin"/>
        </w:r>
        <w:r w:rsidR="00BE7B50" w:rsidRPr="00D4761A">
          <w:rPr>
            <w:webHidden/>
          </w:rPr>
          <w:instrText xml:space="preserve"> PAGEREF _Toc120547439 \h </w:instrText>
        </w:r>
        <w:r w:rsidR="00BE7B50" w:rsidRPr="00D4761A">
          <w:rPr>
            <w:webHidden/>
          </w:rPr>
        </w:r>
        <w:r w:rsidR="00BE7B50" w:rsidRPr="00D4761A">
          <w:rPr>
            <w:webHidden/>
          </w:rPr>
          <w:fldChar w:fldCharType="separate"/>
        </w:r>
        <w:r w:rsidR="00984F42" w:rsidRPr="00D4761A">
          <w:rPr>
            <w:webHidden/>
          </w:rPr>
          <w:t>18</w:t>
        </w:r>
        <w:r w:rsidR="00BE7B50" w:rsidRPr="00D4761A">
          <w:rPr>
            <w:webHidden/>
          </w:rPr>
          <w:fldChar w:fldCharType="end"/>
        </w:r>
      </w:hyperlink>
    </w:p>
    <w:p w14:paraId="1E992AC1" w14:textId="00F631FD" w:rsidR="00BE7B50" w:rsidRPr="00D4761A" w:rsidRDefault="001C07EF">
      <w:pPr>
        <w:pStyle w:val="Obsah3"/>
        <w:rPr>
          <w:rFonts w:eastAsiaTheme="minorEastAsia"/>
          <w:i w:val="0"/>
          <w:sz w:val="22"/>
          <w:lang w:eastAsia="cs-CZ"/>
        </w:rPr>
      </w:pPr>
      <w:hyperlink w:anchor="_Toc120547440" w:history="1">
        <w:r w:rsidR="00BE7B50" w:rsidRPr="00D4761A">
          <w:rPr>
            <w:rStyle w:val="Hypertextovodkaz"/>
          </w:rPr>
          <w:t>2.2.15</w:t>
        </w:r>
        <w:r w:rsidR="00BE7B50" w:rsidRPr="00D4761A">
          <w:rPr>
            <w:rFonts w:eastAsiaTheme="minorEastAsia"/>
            <w:i w:val="0"/>
            <w:sz w:val="22"/>
            <w:lang w:eastAsia="cs-CZ"/>
          </w:rPr>
          <w:tab/>
        </w:r>
        <w:r w:rsidR="00BE7B50" w:rsidRPr="00D4761A">
          <w:rPr>
            <w:rStyle w:val="Hypertextovodkaz"/>
          </w:rPr>
          <w:t>Uptitrace farmakoterapie</w:t>
        </w:r>
        <w:r w:rsidR="00BE7B50" w:rsidRPr="00D4761A">
          <w:rPr>
            <w:webHidden/>
          </w:rPr>
          <w:tab/>
        </w:r>
        <w:r w:rsidR="00BE7B50" w:rsidRPr="00D4761A">
          <w:rPr>
            <w:webHidden/>
          </w:rPr>
          <w:fldChar w:fldCharType="begin"/>
        </w:r>
        <w:r w:rsidR="00BE7B50" w:rsidRPr="00D4761A">
          <w:rPr>
            <w:webHidden/>
          </w:rPr>
          <w:instrText xml:space="preserve"> PAGEREF _Toc120547440 \h </w:instrText>
        </w:r>
        <w:r w:rsidR="00BE7B50" w:rsidRPr="00D4761A">
          <w:rPr>
            <w:webHidden/>
          </w:rPr>
        </w:r>
        <w:r w:rsidR="00BE7B50" w:rsidRPr="00D4761A">
          <w:rPr>
            <w:webHidden/>
          </w:rPr>
          <w:fldChar w:fldCharType="separate"/>
        </w:r>
        <w:r w:rsidR="00984F42" w:rsidRPr="00D4761A">
          <w:rPr>
            <w:webHidden/>
          </w:rPr>
          <w:t>19</w:t>
        </w:r>
        <w:r w:rsidR="00BE7B50" w:rsidRPr="00D4761A">
          <w:rPr>
            <w:webHidden/>
          </w:rPr>
          <w:fldChar w:fldCharType="end"/>
        </w:r>
      </w:hyperlink>
    </w:p>
    <w:p w14:paraId="7509FAE9" w14:textId="4083D0C4" w:rsidR="00BE7B50" w:rsidRPr="00D4761A" w:rsidRDefault="001C07EF">
      <w:pPr>
        <w:pStyle w:val="Obsah2"/>
        <w:rPr>
          <w:rFonts w:eastAsiaTheme="minorEastAsia"/>
          <w:noProof/>
          <w:sz w:val="22"/>
          <w:lang w:eastAsia="cs-CZ"/>
        </w:rPr>
      </w:pPr>
      <w:hyperlink w:anchor="_Toc120547441" w:history="1">
        <w:r w:rsidR="00BE7B50" w:rsidRPr="00D4761A">
          <w:rPr>
            <w:rStyle w:val="Hypertextovodkaz"/>
            <w:noProof/>
          </w:rPr>
          <w:t>2.3</w:t>
        </w:r>
        <w:r w:rsidR="00BE7B50" w:rsidRPr="00D4761A">
          <w:rPr>
            <w:rFonts w:eastAsiaTheme="minorEastAsia"/>
            <w:noProof/>
            <w:sz w:val="22"/>
            <w:lang w:eastAsia="cs-CZ"/>
          </w:rPr>
          <w:tab/>
        </w:r>
        <w:r w:rsidR="00BE7B50" w:rsidRPr="00D4761A">
          <w:rPr>
            <w:rStyle w:val="Hypertextovodkaz"/>
            <w:noProof/>
          </w:rPr>
          <w:t>Nefarmakologická terapie chronického srdečního selhání se sníženou ejekční frakcí (HFrEF)</w:t>
        </w:r>
        <w:r w:rsidR="00BE7B50" w:rsidRPr="00D4761A">
          <w:rPr>
            <w:noProof/>
            <w:webHidden/>
          </w:rPr>
          <w:tab/>
        </w:r>
        <w:r w:rsidR="00BE7B50" w:rsidRPr="00D4761A">
          <w:rPr>
            <w:noProof/>
            <w:webHidden/>
          </w:rPr>
          <w:fldChar w:fldCharType="begin"/>
        </w:r>
        <w:r w:rsidR="00BE7B50" w:rsidRPr="00D4761A">
          <w:rPr>
            <w:noProof/>
            <w:webHidden/>
          </w:rPr>
          <w:instrText xml:space="preserve"> PAGEREF _Toc120547441 \h </w:instrText>
        </w:r>
        <w:r w:rsidR="00BE7B50" w:rsidRPr="00D4761A">
          <w:rPr>
            <w:noProof/>
            <w:webHidden/>
          </w:rPr>
        </w:r>
        <w:r w:rsidR="00BE7B50" w:rsidRPr="00D4761A">
          <w:rPr>
            <w:noProof/>
            <w:webHidden/>
          </w:rPr>
          <w:fldChar w:fldCharType="separate"/>
        </w:r>
        <w:r w:rsidR="00984F42" w:rsidRPr="00D4761A">
          <w:rPr>
            <w:noProof/>
            <w:webHidden/>
          </w:rPr>
          <w:t>20</w:t>
        </w:r>
        <w:r w:rsidR="00BE7B50" w:rsidRPr="00D4761A">
          <w:rPr>
            <w:noProof/>
            <w:webHidden/>
          </w:rPr>
          <w:fldChar w:fldCharType="end"/>
        </w:r>
      </w:hyperlink>
    </w:p>
    <w:p w14:paraId="1AEBC3D1" w14:textId="00B2661F" w:rsidR="00BE7B50" w:rsidRPr="00D4761A" w:rsidRDefault="001C07EF">
      <w:pPr>
        <w:pStyle w:val="Obsah3"/>
        <w:rPr>
          <w:rFonts w:eastAsiaTheme="minorEastAsia"/>
          <w:i w:val="0"/>
          <w:sz w:val="22"/>
          <w:lang w:eastAsia="cs-CZ"/>
        </w:rPr>
      </w:pPr>
      <w:hyperlink w:anchor="_Toc120547442" w:history="1">
        <w:r w:rsidR="00BE7B50" w:rsidRPr="00D4761A">
          <w:rPr>
            <w:rStyle w:val="Hypertextovodkaz"/>
          </w:rPr>
          <w:t>2.3.1</w:t>
        </w:r>
        <w:r w:rsidR="00BE7B50" w:rsidRPr="00D4761A">
          <w:rPr>
            <w:rFonts w:eastAsiaTheme="minorEastAsia"/>
            <w:i w:val="0"/>
            <w:sz w:val="22"/>
            <w:lang w:eastAsia="cs-CZ"/>
          </w:rPr>
          <w:tab/>
        </w:r>
        <w:r w:rsidR="00BE7B50" w:rsidRPr="00D4761A">
          <w:rPr>
            <w:rStyle w:val="Hypertextovodkaz"/>
          </w:rPr>
          <w:t>Implantabilní kardioverter-defibrilator (ICD)</w:t>
        </w:r>
        <w:r w:rsidR="00BE7B50" w:rsidRPr="00D4761A">
          <w:rPr>
            <w:webHidden/>
          </w:rPr>
          <w:tab/>
        </w:r>
        <w:r w:rsidR="00BE7B50" w:rsidRPr="00D4761A">
          <w:rPr>
            <w:webHidden/>
          </w:rPr>
          <w:fldChar w:fldCharType="begin"/>
        </w:r>
        <w:r w:rsidR="00BE7B50" w:rsidRPr="00D4761A">
          <w:rPr>
            <w:webHidden/>
          </w:rPr>
          <w:instrText xml:space="preserve"> PAGEREF _Toc120547442 \h </w:instrText>
        </w:r>
        <w:r w:rsidR="00BE7B50" w:rsidRPr="00D4761A">
          <w:rPr>
            <w:webHidden/>
          </w:rPr>
        </w:r>
        <w:r w:rsidR="00BE7B50" w:rsidRPr="00D4761A">
          <w:rPr>
            <w:webHidden/>
          </w:rPr>
          <w:fldChar w:fldCharType="separate"/>
        </w:r>
        <w:r w:rsidR="00984F42" w:rsidRPr="00D4761A">
          <w:rPr>
            <w:webHidden/>
          </w:rPr>
          <w:t>20</w:t>
        </w:r>
        <w:r w:rsidR="00BE7B50" w:rsidRPr="00D4761A">
          <w:rPr>
            <w:webHidden/>
          </w:rPr>
          <w:fldChar w:fldCharType="end"/>
        </w:r>
      </w:hyperlink>
    </w:p>
    <w:p w14:paraId="61C3F67A" w14:textId="1CF0D9BB" w:rsidR="00BE7B50" w:rsidRPr="00D4761A" w:rsidRDefault="001C07EF">
      <w:pPr>
        <w:pStyle w:val="Obsah3"/>
        <w:rPr>
          <w:rFonts w:eastAsiaTheme="minorEastAsia"/>
          <w:i w:val="0"/>
          <w:sz w:val="22"/>
          <w:lang w:eastAsia="cs-CZ"/>
        </w:rPr>
      </w:pPr>
      <w:hyperlink w:anchor="_Toc120547443" w:history="1">
        <w:r w:rsidR="00BE7B50" w:rsidRPr="00D4761A">
          <w:rPr>
            <w:rStyle w:val="Hypertextovodkaz"/>
          </w:rPr>
          <w:t>2.3.2</w:t>
        </w:r>
        <w:r w:rsidR="00BE7B50" w:rsidRPr="00D4761A">
          <w:rPr>
            <w:rFonts w:eastAsiaTheme="minorEastAsia"/>
            <w:i w:val="0"/>
            <w:sz w:val="22"/>
            <w:lang w:eastAsia="cs-CZ"/>
          </w:rPr>
          <w:tab/>
        </w:r>
        <w:r w:rsidR="00BE7B50" w:rsidRPr="00D4761A">
          <w:rPr>
            <w:rStyle w:val="Hypertextovodkaz"/>
          </w:rPr>
          <w:t>Srdeční resynchronizační terapie (CRT)</w:t>
        </w:r>
        <w:r w:rsidR="00BE7B50" w:rsidRPr="00D4761A">
          <w:rPr>
            <w:webHidden/>
          </w:rPr>
          <w:tab/>
        </w:r>
        <w:r w:rsidR="00BE7B50" w:rsidRPr="00D4761A">
          <w:rPr>
            <w:webHidden/>
          </w:rPr>
          <w:fldChar w:fldCharType="begin"/>
        </w:r>
        <w:r w:rsidR="00BE7B50" w:rsidRPr="00D4761A">
          <w:rPr>
            <w:webHidden/>
          </w:rPr>
          <w:instrText xml:space="preserve"> PAGEREF _Toc120547443 \h </w:instrText>
        </w:r>
        <w:r w:rsidR="00BE7B50" w:rsidRPr="00D4761A">
          <w:rPr>
            <w:webHidden/>
          </w:rPr>
        </w:r>
        <w:r w:rsidR="00BE7B50" w:rsidRPr="00D4761A">
          <w:rPr>
            <w:webHidden/>
          </w:rPr>
          <w:fldChar w:fldCharType="separate"/>
        </w:r>
        <w:r w:rsidR="00984F42" w:rsidRPr="00D4761A">
          <w:rPr>
            <w:webHidden/>
          </w:rPr>
          <w:t>21</w:t>
        </w:r>
        <w:r w:rsidR="00BE7B50" w:rsidRPr="00D4761A">
          <w:rPr>
            <w:webHidden/>
          </w:rPr>
          <w:fldChar w:fldCharType="end"/>
        </w:r>
      </w:hyperlink>
    </w:p>
    <w:p w14:paraId="35D38016" w14:textId="3ED258FA" w:rsidR="00BE7B50" w:rsidRPr="00D4761A" w:rsidRDefault="001C07EF">
      <w:pPr>
        <w:pStyle w:val="Obsah3"/>
        <w:rPr>
          <w:rFonts w:eastAsiaTheme="minorEastAsia"/>
          <w:i w:val="0"/>
          <w:sz w:val="22"/>
          <w:lang w:eastAsia="cs-CZ"/>
        </w:rPr>
      </w:pPr>
      <w:hyperlink w:anchor="_Toc120547444" w:history="1">
        <w:r w:rsidR="00BE7B50" w:rsidRPr="00D4761A">
          <w:rPr>
            <w:rStyle w:val="Hypertextovodkaz"/>
          </w:rPr>
          <w:t>2.3.3</w:t>
        </w:r>
        <w:r w:rsidR="00BE7B50" w:rsidRPr="00D4761A">
          <w:rPr>
            <w:rFonts w:eastAsiaTheme="minorEastAsia"/>
            <w:i w:val="0"/>
            <w:sz w:val="22"/>
            <w:lang w:eastAsia="cs-CZ"/>
          </w:rPr>
          <w:tab/>
        </w:r>
        <w:r w:rsidR="00BE7B50" w:rsidRPr="00D4761A">
          <w:rPr>
            <w:rStyle w:val="Hypertextovodkaz"/>
          </w:rPr>
          <w:t>Modulace kardiální kontraktility (CCM)</w:t>
        </w:r>
        <w:r w:rsidR="00BE7B50" w:rsidRPr="00D4761A">
          <w:rPr>
            <w:webHidden/>
          </w:rPr>
          <w:tab/>
        </w:r>
        <w:r w:rsidR="00BE7B50" w:rsidRPr="00D4761A">
          <w:rPr>
            <w:webHidden/>
          </w:rPr>
          <w:fldChar w:fldCharType="begin"/>
        </w:r>
        <w:r w:rsidR="00BE7B50" w:rsidRPr="00D4761A">
          <w:rPr>
            <w:webHidden/>
          </w:rPr>
          <w:instrText xml:space="preserve"> PAGEREF _Toc120547444 \h </w:instrText>
        </w:r>
        <w:r w:rsidR="00BE7B50" w:rsidRPr="00D4761A">
          <w:rPr>
            <w:webHidden/>
          </w:rPr>
        </w:r>
        <w:r w:rsidR="00BE7B50" w:rsidRPr="00D4761A">
          <w:rPr>
            <w:webHidden/>
          </w:rPr>
          <w:fldChar w:fldCharType="separate"/>
        </w:r>
        <w:r w:rsidR="00984F42" w:rsidRPr="00D4761A">
          <w:rPr>
            <w:webHidden/>
          </w:rPr>
          <w:t>22</w:t>
        </w:r>
        <w:r w:rsidR="00BE7B50" w:rsidRPr="00D4761A">
          <w:rPr>
            <w:webHidden/>
          </w:rPr>
          <w:fldChar w:fldCharType="end"/>
        </w:r>
      </w:hyperlink>
    </w:p>
    <w:p w14:paraId="0DE596B3" w14:textId="486E34B0" w:rsidR="00BE7B50" w:rsidRPr="00D4761A" w:rsidRDefault="001C07EF">
      <w:pPr>
        <w:pStyle w:val="Obsah3"/>
        <w:rPr>
          <w:rFonts w:eastAsiaTheme="minorEastAsia"/>
          <w:i w:val="0"/>
          <w:sz w:val="22"/>
          <w:lang w:eastAsia="cs-CZ"/>
        </w:rPr>
      </w:pPr>
      <w:hyperlink w:anchor="_Toc120547445" w:history="1">
        <w:r w:rsidR="00BE7B50" w:rsidRPr="00D4761A">
          <w:rPr>
            <w:rStyle w:val="Hypertextovodkaz"/>
          </w:rPr>
          <w:t>2.3.4</w:t>
        </w:r>
        <w:r w:rsidR="00BE7B50" w:rsidRPr="00D4761A">
          <w:rPr>
            <w:rFonts w:eastAsiaTheme="minorEastAsia"/>
            <w:i w:val="0"/>
            <w:sz w:val="22"/>
            <w:lang w:eastAsia="cs-CZ"/>
          </w:rPr>
          <w:tab/>
        </w:r>
        <w:r w:rsidR="00BE7B50" w:rsidRPr="00D4761A">
          <w:rPr>
            <w:rStyle w:val="Hypertextovodkaz"/>
          </w:rPr>
          <w:t>Revaskularizace</w:t>
        </w:r>
        <w:r w:rsidR="00BE7B50" w:rsidRPr="00D4761A">
          <w:rPr>
            <w:webHidden/>
          </w:rPr>
          <w:tab/>
        </w:r>
        <w:r w:rsidR="00BE7B50" w:rsidRPr="00D4761A">
          <w:rPr>
            <w:webHidden/>
          </w:rPr>
          <w:fldChar w:fldCharType="begin"/>
        </w:r>
        <w:r w:rsidR="00BE7B50" w:rsidRPr="00D4761A">
          <w:rPr>
            <w:webHidden/>
          </w:rPr>
          <w:instrText xml:space="preserve"> PAGEREF _Toc120547445 \h </w:instrText>
        </w:r>
        <w:r w:rsidR="00BE7B50" w:rsidRPr="00D4761A">
          <w:rPr>
            <w:webHidden/>
          </w:rPr>
        </w:r>
        <w:r w:rsidR="00BE7B50" w:rsidRPr="00D4761A">
          <w:rPr>
            <w:webHidden/>
          </w:rPr>
          <w:fldChar w:fldCharType="separate"/>
        </w:r>
        <w:r w:rsidR="00984F42" w:rsidRPr="00D4761A">
          <w:rPr>
            <w:webHidden/>
          </w:rPr>
          <w:t>22</w:t>
        </w:r>
        <w:r w:rsidR="00BE7B50" w:rsidRPr="00D4761A">
          <w:rPr>
            <w:webHidden/>
          </w:rPr>
          <w:fldChar w:fldCharType="end"/>
        </w:r>
      </w:hyperlink>
    </w:p>
    <w:p w14:paraId="3BD3082D" w14:textId="25B6B2B4" w:rsidR="00BE7B50" w:rsidRPr="00D4761A" w:rsidRDefault="001C07EF">
      <w:pPr>
        <w:pStyle w:val="Obsah3"/>
        <w:rPr>
          <w:rFonts w:eastAsiaTheme="minorEastAsia"/>
          <w:i w:val="0"/>
          <w:sz w:val="22"/>
          <w:lang w:eastAsia="cs-CZ"/>
        </w:rPr>
      </w:pPr>
      <w:hyperlink w:anchor="_Toc120547446" w:history="1">
        <w:r w:rsidR="00BE7B50" w:rsidRPr="00D4761A">
          <w:rPr>
            <w:rStyle w:val="Hypertextovodkaz"/>
          </w:rPr>
          <w:t>2.3.5</w:t>
        </w:r>
        <w:r w:rsidR="00BE7B50" w:rsidRPr="00D4761A">
          <w:rPr>
            <w:rFonts w:eastAsiaTheme="minorEastAsia"/>
            <w:i w:val="0"/>
            <w:sz w:val="22"/>
            <w:lang w:eastAsia="cs-CZ"/>
          </w:rPr>
          <w:tab/>
        </w:r>
        <w:r w:rsidR="00BE7B50" w:rsidRPr="00D4761A">
          <w:rPr>
            <w:rStyle w:val="Hypertextovodkaz"/>
          </w:rPr>
          <w:t>Sekundární mitrální regurgitace u pacienta s HFrEF</w:t>
        </w:r>
        <w:r w:rsidR="00BE7B50" w:rsidRPr="00D4761A">
          <w:rPr>
            <w:webHidden/>
          </w:rPr>
          <w:tab/>
        </w:r>
        <w:r w:rsidR="00BE7B50" w:rsidRPr="00D4761A">
          <w:rPr>
            <w:webHidden/>
          </w:rPr>
          <w:fldChar w:fldCharType="begin"/>
        </w:r>
        <w:r w:rsidR="00BE7B50" w:rsidRPr="00D4761A">
          <w:rPr>
            <w:webHidden/>
          </w:rPr>
          <w:instrText xml:space="preserve"> PAGEREF _Toc120547446 \h </w:instrText>
        </w:r>
        <w:r w:rsidR="00BE7B50" w:rsidRPr="00D4761A">
          <w:rPr>
            <w:webHidden/>
          </w:rPr>
        </w:r>
        <w:r w:rsidR="00BE7B50" w:rsidRPr="00D4761A">
          <w:rPr>
            <w:webHidden/>
          </w:rPr>
          <w:fldChar w:fldCharType="separate"/>
        </w:r>
        <w:r w:rsidR="00984F42" w:rsidRPr="00D4761A">
          <w:rPr>
            <w:webHidden/>
          </w:rPr>
          <w:t>23</w:t>
        </w:r>
        <w:r w:rsidR="00BE7B50" w:rsidRPr="00D4761A">
          <w:rPr>
            <w:webHidden/>
          </w:rPr>
          <w:fldChar w:fldCharType="end"/>
        </w:r>
      </w:hyperlink>
    </w:p>
    <w:p w14:paraId="29ED7433" w14:textId="0321CA09" w:rsidR="00BE7B50" w:rsidRPr="00D4761A" w:rsidRDefault="001C07EF">
      <w:pPr>
        <w:pStyle w:val="Obsah3"/>
        <w:rPr>
          <w:rFonts w:eastAsiaTheme="minorEastAsia"/>
          <w:i w:val="0"/>
          <w:sz w:val="22"/>
          <w:lang w:eastAsia="cs-CZ"/>
        </w:rPr>
      </w:pPr>
      <w:hyperlink w:anchor="_Toc120547447" w:history="1">
        <w:r w:rsidR="00BE7B50" w:rsidRPr="00D4761A">
          <w:rPr>
            <w:rStyle w:val="Hypertextovodkaz"/>
          </w:rPr>
          <w:t>2.3.6</w:t>
        </w:r>
        <w:r w:rsidR="00BE7B50" w:rsidRPr="00D4761A">
          <w:rPr>
            <w:rFonts w:eastAsiaTheme="minorEastAsia"/>
            <w:i w:val="0"/>
            <w:sz w:val="22"/>
            <w:lang w:eastAsia="cs-CZ"/>
          </w:rPr>
          <w:tab/>
        </w:r>
        <w:r w:rsidR="00BE7B50" w:rsidRPr="00D4761A">
          <w:rPr>
            <w:rStyle w:val="Hypertextovodkaz"/>
          </w:rPr>
          <w:t>Dlouhodobé mechanické srdeční podpory</w:t>
        </w:r>
        <w:r w:rsidR="00BE7B50" w:rsidRPr="00D4761A">
          <w:rPr>
            <w:webHidden/>
          </w:rPr>
          <w:tab/>
        </w:r>
        <w:r w:rsidR="00BE7B50" w:rsidRPr="00D4761A">
          <w:rPr>
            <w:webHidden/>
          </w:rPr>
          <w:fldChar w:fldCharType="begin"/>
        </w:r>
        <w:r w:rsidR="00BE7B50" w:rsidRPr="00D4761A">
          <w:rPr>
            <w:webHidden/>
          </w:rPr>
          <w:instrText xml:space="preserve"> PAGEREF _Toc120547447 \h </w:instrText>
        </w:r>
        <w:r w:rsidR="00BE7B50" w:rsidRPr="00D4761A">
          <w:rPr>
            <w:webHidden/>
          </w:rPr>
        </w:r>
        <w:r w:rsidR="00BE7B50" w:rsidRPr="00D4761A">
          <w:rPr>
            <w:webHidden/>
          </w:rPr>
          <w:fldChar w:fldCharType="separate"/>
        </w:r>
        <w:r w:rsidR="00984F42" w:rsidRPr="00D4761A">
          <w:rPr>
            <w:webHidden/>
          </w:rPr>
          <w:t>24</w:t>
        </w:r>
        <w:r w:rsidR="00BE7B50" w:rsidRPr="00D4761A">
          <w:rPr>
            <w:webHidden/>
          </w:rPr>
          <w:fldChar w:fldCharType="end"/>
        </w:r>
      </w:hyperlink>
    </w:p>
    <w:p w14:paraId="158F97CE" w14:textId="26459C04" w:rsidR="00BE7B50" w:rsidRPr="00D4761A" w:rsidRDefault="001C07EF">
      <w:pPr>
        <w:pStyle w:val="Obsah3"/>
        <w:rPr>
          <w:rFonts w:eastAsiaTheme="minorEastAsia"/>
          <w:i w:val="0"/>
          <w:sz w:val="22"/>
          <w:lang w:eastAsia="cs-CZ"/>
        </w:rPr>
      </w:pPr>
      <w:hyperlink w:anchor="_Toc120547448" w:history="1">
        <w:r w:rsidR="00BE7B50" w:rsidRPr="00D4761A">
          <w:rPr>
            <w:rStyle w:val="Hypertextovodkaz"/>
          </w:rPr>
          <w:t>2.3.7</w:t>
        </w:r>
        <w:r w:rsidR="00BE7B50" w:rsidRPr="00D4761A">
          <w:rPr>
            <w:rFonts w:eastAsiaTheme="minorEastAsia"/>
            <w:i w:val="0"/>
            <w:sz w:val="22"/>
            <w:lang w:eastAsia="cs-CZ"/>
          </w:rPr>
          <w:tab/>
        </w:r>
        <w:r w:rsidR="00BE7B50" w:rsidRPr="00D4761A">
          <w:rPr>
            <w:rStyle w:val="Hypertextovodkaz"/>
          </w:rPr>
          <w:t>Transplantace srdce</w:t>
        </w:r>
        <w:r w:rsidR="00BE7B50" w:rsidRPr="00D4761A">
          <w:rPr>
            <w:webHidden/>
          </w:rPr>
          <w:tab/>
        </w:r>
        <w:r w:rsidR="00BE7B50" w:rsidRPr="00D4761A">
          <w:rPr>
            <w:webHidden/>
          </w:rPr>
          <w:fldChar w:fldCharType="begin"/>
        </w:r>
        <w:r w:rsidR="00BE7B50" w:rsidRPr="00D4761A">
          <w:rPr>
            <w:webHidden/>
          </w:rPr>
          <w:instrText xml:space="preserve"> PAGEREF _Toc120547448 \h </w:instrText>
        </w:r>
        <w:r w:rsidR="00BE7B50" w:rsidRPr="00D4761A">
          <w:rPr>
            <w:webHidden/>
          </w:rPr>
        </w:r>
        <w:r w:rsidR="00BE7B50" w:rsidRPr="00D4761A">
          <w:rPr>
            <w:webHidden/>
          </w:rPr>
          <w:fldChar w:fldCharType="separate"/>
        </w:r>
        <w:r w:rsidR="00984F42" w:rsidRPr="00D4761A">
          <w:rPr>
            <w:webHidden/>
          </w:rPr>
          <w:t>27</w:t>
        </w:r>
        <w:r w:rsidR="00BE7B50" w:rsidRPr="00D4761A">
          <w:rPr>
            <w:webHidden/>
          </w:rPr>
          <w:fldChar w:fldCharType="end"/>
        </w:r>
      </w:hyperlink>
    </w:p>
    <w:p w14:paraId="40BF740E" w14:textId="58E759CA" w:rsidR="00BE7B50" w:rsidRPr="00D4761A" w:rsidRDefault="001C07EF">
      <w:pPr>
        <w:pStyle w:val="Obsah3"/>
        <w:rPr>
          <w:rFonts w:eastAsiaTheme="minorEastAsia"/>
          <w:i w:val="0"/>
          <w:sz w:val="22"/>
          <w:lang w:eastAsia="cs-CZ"/>
        </w:rPr>
      </w:pPr>
      <w:hyperlink w:anchor="_Toc120547449" w:history="1">
        <w:r w:rsidR="00BE7B50" w:rsidRPr="00D4761A">
          <w:rPr>
            <w:rStyle w:val="Hypertextovodkaz"/>
          </w:rPr>
          <w:t>2.3.8</w:t>
        </w:r>
        <w:r w:rsidR="00BE7B50" w:rsidRPr="00D4761A">
          <w:rPr>
            <w:rFonts w:eastAsiaTheme="minorEastAsia"/>
            <w:i w:val="0"/>
            <w:sz w:val="22"/>
            <w:lang w:eastAsia="cs-CZ"/>
          </w:rPr>
          <w:tab/>
        </w:r>
        <w:r w:rsidR="00BE7B50" w:rsidRPr="00D4761A">
          <w:rPr>
            <w:rStyle w:val="Hypertextovodkaz"/>
          </w:rPr>
          <w:t>Paliativní terapie</w:t>
        </w:r>
        <w:r w:rsidR="00BE7B50" w:rsidRPr="00D4761A">
          <w:rPr>
            <w:webHidden/>
          </w:rPr>
          <w:tab/>
        </w:r>
        <w:r w:rsidR="00BE7B50" w:rsidRPr="00D4761A">
          <w:rPr>
            <w:webHidden/>
          </w:rPr>
          <w:fldChar w:fldCharType="begin"/>
        </w:r>
        <w:r w:rsidR="00BE7B50" w:rsidRPr="00D4761A">
          <w:rPr>
            <w:webHidden/>
          </w:rPr>
          <w:instrText xml:space="preserve"> PAGEREF _Toc120547449 \h </w:instrText>
        </w:r>
        <w:r w:rsidR="00BE7B50" w:rsidRPr="00D4761A">
          <w:rPr>
            <w:webHidden/>
          </w:rPr>
        </w:r>
        <w:r w:rsidR="00BE7B50" w:rsidRPr="00D4761A">
          <w:rPr>
            <w:webHidden/>
          </w:rPr>
          <w:fldChar w:fldCharType="separate"/>
        </w:r>
        <w:r w:rsidR="00984F42" w:rsidRPr="00D4761A">
          <w:rPr>
            <w:webHidden/>
          </w:rPr>
          <w:t>28</w:t>
        </w:r>
        <w:r w:rsidR="00BE7B50" w:rsidRPr="00D4761A">
          <w:rPr>
            <w:webHidden/>
          </w:rPr>
          <w:fldChar w:fldCharType="end"/>
        </w:r>
      </w:hyperlink>
    </w:p>
    <w:p w14:paraId="0BD41C19" w14:textId="78D4F9D3" w:rsidR="00BE7B50" w:rsidRPr="00D4761A" w:rsidRDefault="001C07EF">
      <w:pPr>
        <w:pStyle w:val="Obsah1"/>
        <w:rPr>
          <w:rFonts w:eastAsiaTheme="minorEastAsia"/>
          <w:b w:val="0"/>
          <w:sz w:val="22"/>
          <w:lang w:eastAsia="cs-CZ"/>
        </w:rPr>
      </w:pPr>
      <w:hyperlink w:anchor="_Toc120547450" w:history="1">
        <w:r w:rsidR="00BE7B50" w:rsidRPr="00D4761A">
          <w:rPr>
            <w:rStyle w:val="Hypertextovodkaz"/>
          </w:rPr>
          <w:t>3</w:t>
        </w:r>
        <w:r w:rsidR="00BE7B50" w:rsidRPr="00D4761A">
          <w:rPr>
            <w:rFonts w:eastAsiaTheme="minorEastAsia"/>
            <w:b w:val="0"/>
            <w:sz w:val="22"/>
            <w:lang w:eastAsia="cs-CZ"/>
          </w:rPr>
          <w:tab/>
        </w:r>
        <w:r w:rsidR="00BE7B50" w:rsidRPr="00D4761A">
          <w:rPr>
            <w:rStyle w:val="Hypertextovodkaz"/>
          </w:rPr>
          <w:t>Experimentální část</w:t>
        </w:r>
        <w:r w:rsidR="00BE7B50" w:rsidRPr="00D4761A">
          <w:rPr>
            <w:webHidden/>
          </w:rPr>
          <w:tab/>
        </w:r>
        <w:r w:rsidR="00BE7B50" w:rsidRPr="00D4761A">
          <w:rPr>
            <w:webHidden/>
          </w:rPr>
          <w:fldChar w:fldCharType="begin"/>
        </w:r>
        <w:r w:rsidR="00BE7B50" w:rsidRPr="00D4761A">
          <w:rPr>
            <w:webHidden/>
          </w:rPr>
          <w:instrText xml:space="preserve"> PAGEREF _Toc120547450 \h </w:instrText>
        </w:r>
        <w:r w:rsidR="00BE7B50" w:rsidRPr="00D4761A">
          <w:rPr>
            <w:webHidden/>
          </w:rPr>
        </w:r>
        <w:r w:rsidR="00BE7B50" w:rsidRPr="00D4761A">
          <w:rPr>
            <w:webHidden/>
          </w:rPr>
          <w:fldChar w:fldCharType="separate"/>
        </w:r>
        <w:r w:rsidR="00984F42" w:rsidRPr="00D4761A">
          <w:rPr>
            <w:webHidden/>
          </w:rPr>
          <w:t>29</w:t>
        </w:r>
        <w:r w:rsidR="00BE7B50" w:rsidRPr="00D4761A">
          <w:rPr>
            <w:webHidden/>
          </w:rPr>
          <w:fldChar w:fldCharType="end"/>
        </w:r>
      </w:hyperlink>
    </w:p>
    <w:p w14:paraId="6346AAD8" w14:textId="1CB1D1B5" w:rsidR="00BE7B50" w:rsidRPr="00D4761A" w:rsidRDefault="001C07EF">
      <w:pPr>
        <w:pStyle w:val="Obsah2"/>
        <w:rPr>
          <w:rFonts w:eastAsiaTheme="minorEastAsia"/>
          <w:noProof/>
          <w:sz w:val="22"/>
          <w:lang w:eastAsia="cs-CZ"/>
        </w:rPr>
      </w:pPr>
      <w:hyperlink w:anchor="_Toc120547451" w:history="1">
        <w:r w:rsidR="00BE7B50" w:rsidRPr="00D4761A">
          <w:rPr>
            <w:rStyle w:val="Hypertextovodkaz"/>
            <w:noProof/>
          </w:rPr>
          <w:t>3.1</w:t>
        </w:r>
        <w:r w:rsidR="00BE7B50" w:rsidRPr="00D4761A">
          <w:rPr>
            <w:rFonts w:eastAsiaTheme="minorEastAsia"/>
            <w:noProof/>
            <w:sz w:val="22"/>
            <w:lang w:eastAsia="cs-CZ"/>
          </w:rPr>
          <w:tab/>
        </w:r>
        <w:r w:rsidR="00BE7B50" w:rsidRPr="00D4761A">
          <w:rPr>
            <w:rStyle w:val="Hypertextovodkaz"/>
            <w:noProof/>
          </w:rPr>
          <w:t>Experimentální část 1</w:t>
        </w:r>
        <w:r w:rsidR="00BE7B50" w:rsidRPr="00D4761A">
          <w:rPr>
            <w:noProof/>
            <w:webHidden/>
          </w:rPr>
          <w:tab/>
        </w:r>
        <w:r w:rsidR="00BE7B50" w:rsidRPr="00D4761A">
          <w:rPr>
            <w:noProof/>
            <w:webHidden/>
          </w:rPr>
          <w:fldChar w:fldCharType="begin"/>
        </w:r>
        <w:r w:rsidR="00BE7B50" w:rsidRPr="00D4761A">
          <w:rPr>
            <w:noProof/>
            <w:webHidden/>
          </w:rPr>
          <w:instrText xml:space="preserve"> PAGEREF _Toc120547451 \h </w:instrText>
        </w:r>
        <w:r w:rsidR="00BE7B50" w:rsidRPr="00D4761A">
          <w:rPr>
            <w:noProof/>
            <w:webHidden/>
          </w:rPr>
        </w:r>
        <w:r w:rsidR="00BE7B50" w:rsidRPr="00D4761A">
          <w:rPr>
            <w:noProof/>
            <w:webHidden/>
          </w:rPr>
          <w:fldChar w:fldCharType="separate"/>
        </w:r>
        <w:r w:rsidR="00984F42" w:rsidRPr="00D4761A">
          <w:rPr>
            <w:noProof/>
            <w:webHidden/>
          </w:rPr>
          <w:t>29</w:t>
        </w:r>
        <w:r w:rsidR="00BE7B50" w:rsidRPr="00D4761A">
          <w:rPr>
            <w:noProof/>
            <w:webHidden/>
          </w:rPr>
          <w:fldChar w:fldCharType="end"/>
        </w:r>
      </w:hyperlink>
    </w:p>
    <w:p w14:paraId="2915106A" w14:textId="6A8B138D" w:rsidR="00BE7B50" w:rsidRPr="00D4761A" w:rsidRDefault="001C07EF">
      <w:pPr>
        <w:pStyle w:val="Obsah3"/>
        <w:rPr>
          <w:rFonts w:eastAsiaTheme="minorEastAsia"/>
          <w:i w:val="0"/>
          <w:sz w:val="22"/>
          <w:lang w:eastAsia="cs-CZ"/>
        </w:rPr>
      </w:pPr>
      <w:hyperlink w:anchor="_Toc120547452" w:history="1">
        <w:r w:rsidR="00BE7B50" w:rsidRPr="00D4761A">
          <w:rPr>
            <w:rStyle w:val="Hypertextovodkaz"/>
          </w:rPr>
          <w:t>3.1.1</w:t>
        </w:r>
        <w:r w:rsidR="00BE7B50" w:rsidRPr="00D4761A">
          <w:rPr>
            <w:rFonts w:eastAsiaTheme="minorEastAsia"/>
            <w:i w:val="0"/>
            <w:sz w:val="22"/>
            <w:lang w:eastAsia="cs-CZ"/>
          </w:rPr>
          <w:tab/>
        </w:r>
        <w:r w:rsidR="00BE7B50" w:rsidRPr="00D4761A">
          <w:rPr>
            <w:rStyle w:val="Hypertextovodkaz"/>
          </w:rPr>
          <w:t>Cíl</w:t>
        </w:r>
        <w:r w:rsidR="00BE7B50" w:rsidRPr="00D4761A">
          <w:rPr>
            <w:webHidden/>
          </w:rPr>
          <w:tab/>
        </w:r>
        <w:r w:rsidR="00BE7B50" w:rsidRPr="00D4761A">
          <w:rPr>
            <w:webHidden/>
          </w:rPr>
          <w:fldChar w:fldCharType="begin"/>
        </w:r>
        <w:r w:rsidR="00BE7B50" w:rsidRPr="00D4761A">
          <w:rPr>
            <w:webHidden/>
          </w:rPr>
          <w:instrText xml:space="preserve"> PAGEREF _Toc120547452 \h </w:instrText>
        </w:r>
        <w:r w:rsidR="00BE7B50" w:rsidRPr="00D4761A">
          <w:rPr>
            <w:webHidden/>
          </w:rPr>
        </w:r>
        <w:r w:rsidR="00BE7B50" w:rsidRPr="00D4761A">
          <w:rPr>
            <w:webHidden/>
          </w:rPr>
          <w:fldChar w:fldCharType="separate"/>
        </w:r>
        <w:r w:rsidR="00984F42" w:rsidRPr="00D4761A">
          <w:rPr>
            <w:webHidden/>
          </w:rPr>
          <w:t>29</w:t>
        </w:r>
        <w:r w:rsidR="00BE7B50" w:rsidRPr="00D4761A">
          <w:rPr>
            <w:webHidden/>
          </w:rPr>
          <w:fldChar w:fldCharType="end"/>
        </w:r>
      </w:hyperlink>
    </w:p>
    <w:p w14:paraId="28237439" w14:textId="3B31BC10" w:rsidR="00BE7B50" w:rsidRPr="00D4761A" w:rsidRDefault="001C07EF">
      <w:pPr>
        <w:pStyle w:val="Obsah3"/>
        <w:rPr>
          <w:rFonts w:eastAsiaTheme="minorEastAsia"/>
          <w:i w:val="0"/>
          <w:sz w:val="22"/>
          <w:lang w:eastAsia="cs-CZ"/>
        </w:rPr>
      </w:pPr>
      <w:hyperlink w:anchor="_Toc120547453" w:history="1">
        <w:r w:rsidR="00BE7B50" w:rsidRPr="00D4761A">
          <w:rPr>
            <w:rStyle w:val="Hypertextovodkaz"/>
          </w:rPr>
          <w:t>3.1.2</w:t>
        </w:r>
        <w:r w:rsidR="00BE7B50" w:rsidRPr="00D4761A">
          <w:rPr>
            <w:rFonts w:eastAsiaTheme="minorEastAsia"/>
            <w:i w:val="0"/>
            <w:sz w:val="22"/>
            <w:lang w:eastAsia="cs-CZ"/>
          </w:rPr>
          <w:tab/>
        </w:r>
        <w:r w:rsidR="00BE7B50" w:rsidRPr="00D4761A">
          <w:rPr>
            <w:rStyle w:val="Hypertextovodkaz"/>
          </w:rPr>
          <w:t>Kohorta A – data studie Paradigm-HF – podskupiny LCZ696, popis souboru</w:t>
        </w:r>
        <w:r w:rsidR="00BE7B50" w:rsidRPr="00D4761A">
          <w:rPr>
            <w:webHidden/>
          </w:rPr>
          <w:tab/>
        </w:r>
        <w:r w:rsidR="00BE7B50" w:rsidRPr="00D4761A">
          <w:rPr>
            <w:webHidden/>
          </w:rPr>
          <w:fldChar w:fldCharType="begin"/>
        </w:r>
        <w:r w:rsidR="00BE7B50" w:rsidRPr="00D4761A">
          <w:rPr>
            <w:webHidden/>
          </w:rPr>
          <w:instrText xml:space="preserve"> PAGEREF _Toc120547453 \h </w:instrText>
        </w:r>
        <w:r w:rsidR="00BE7B50" w:rsidRPr="00D4761A">
          <w:rPr>
            <w:webHidden/>
          </w:rPr>
        </w:r>
        <w:r w:rsidR="00BE7B50" w:rsidRPr="00D4761A">
          <w:rPr>
            <w:webHidden/>
          </w:rPr>
          <w:fldChar w:fldCharType="separate"/>
        </w:r>
        <w:r w:rsidR="00984F42" w:rsidRPr="00D4761A">
          <w:rPr>
            <w:webHidden/>
          </w:rPr>
          <w:t>29</w:t>
        </w:r>
        <w:r w:rsidR="00BE7B50" w:rsidRPr="00D4761A">
          <w:rPr>
            <w:webHidden/>
          </w:rPr>
          <w:fldChar w:fldCharType="end"/>
        </w:r>
      </w:hyperlink>
    </w:p>
    <w:p w14:paraId="732E6DA5" w14:textId="37847396" w:rsidR="00BE7B50" w:rsidRPr="00D4761A" w:rsidRDefault="001C07EF">
      <w:pPr>
        <w:pStyle w:val="Obsah3"/>
        <w:rPr>
          <w:rFonts w:eastAsiaTheme="minorEastAsia"/>
          <w:i w:val="0"/>
          <w:sz w:val="22"/>
          <w:lang w:eastAsia="cs-CZ"/>
        </w:rPr>
      </w:pPr>
      <w:hyperlink w:anchor="_Toc120547454" w:history="1">
        <w:r w:rsidR="00BE7B50" w:rsidRPr="00D4761A">
          <w:rPr>
            <w:rStyle w:val="Hypertextovodkaz"/>
          </w:rPr>
          <w:t>3.1.3</w:t>
        </w:r>
        <w:r w:rsidR="00BE7B50" w:rsidRPr="00D4761A">
          <w:rPr>
            <w:rFonts w:eastAsiaTheme="minorEastAsia"/>
            <w:i w:val="0"/>
            <w:sz w:val="22"/>
            <w:lang w:eastAsia="cs-CZ"/>
          </w:rPr>
          <w:tab/>
        </w:r>
        <w:r w:rsidR="00BE7B50" w:rsidRPr="00D4761A">
          <w:rPr>
            <w:rStyle w:val="Hypertextovodkaz"/>
          </w:rPr>
          <w:t>Kohorta B – lokální data ze spádové oblasti Olomouckého kraje spolu s pacienty z okresu Svitavy, popis souboru</w:t>
        </w:r>
        <w:r w:rsidR="00BE7B50" w:rsidRPr="00D4761A">
          <w:rPr>
            <w:webHidden/>
          </w:rPr>
          <w:tab/>
        </w:r>
        <w:r w:rsidR="00BE7B50" w:rsidRPr="00D4761A">
          <w:rPr>
            <w:webHidden/>
          </w:rPr>
          <w:fldChar w:fldCharType="begin"/>
        </w:r>
        <w:r w:rsidR="00BE7B50" w:rsidRPr="00D4761A">
          <w:rPr>
            <w:webHidden/>
          </w:rPr>
          <w:instrText xml:space="preserve"> PAGEREF _Toc120547454 \h </w:instrText>
        </w:r>
        <w:r w:rsidR="00BE7B50" w:rsidRPr="00D4761A">
          <w:rPr>
            <w:webHidden/>
          </w:rPr>
        </w:r>
        <w:r w:rsidR="00BE7B50" w:rsidRPr="00D4761A">
          <w:rPr>
            <w:webHidden/>
          </w:rPr>
          <w:fldChar w:fldCharType="separate"/>
        </w:r>
        <w:r w:rsidR="00984F42" w:rsidRPr="00D4761A">
          <w:rPr>
            <w:webHidden/>
          </w:rPr>
          <w:t>29</w:t>
        </w:r>
        <w:r w:rsidR="00BE7B50" w:rsidRPr="00D4761A">
          <w:rPr>
            <w:webHidden/>
          </w:rPr>
          <w:fldChar w:fldCharType="end"/>
        </w:r>
      </w:hyperlink>
    </w:p>
    <w:p w14:paraId="573142F5" w14:textId="4002EA0D" w:rsidR="00BE7B50" w:rsidRPr="00D4761A" w:rsidRDefault="001C07EF">
      <w:pPr>
        <w:pStyle w:val="Obsah3"/>
        <w:rPr>
          <w:rFonts w:eastAsiaTheme="minorEastAsia"/>
          <w:i w:val="0"/>
          <w:sz w:val="22"/>
          <w:lang w:eastAsia="cs-CZ"/>
        </w:rPr>
      </w:pPr>
      <w:hyperlink w:anchor="_Toc120547455" w:history="1">
        <w:r w:rsidR="00BE7B50" w:rsidRPr="00D4761A">
          <w:rPr>
            <w:rStyle w:val="Hypertextovodkaz"/>
          </w:rPr>
          <w:t>3.1.4</w:t>
        </w:r>
        <w:r w:rsidR="00BE7B50" w:rsidRPr="00D4761A">
          <w:rPr>
            <w:rFonts w:eastAsiaTheme="minorEastAsia"/>
            <w:i w:val="0"/>
            <w:sz w:val="22"/>
            <w:lang w:eastAsia="cs-CZ"/>
          </w:rPr>
          <w:tab/>
        </w:r>
        <w:r w:rsidR="00BE7B50" w:rsidRPr="00D4761A">
          <w:rPr>
            <w:rStyle w:val="Hypertextovodkaz"/>
          </w:rPr>
          <w:t>Statistická analýza</w:t>
        </w:r>
        <w:r w:rsidR="00BE7B50" w:rsidRPr="00D4761A">
          <w:rPr>
            <w:webHidden/>
          </w:rPr>
          <w:tab/>
        </w:r>
        <w:r w:rsidR="00BE7B50" w:rsidRPr="00D4761A">
          <w:rPr>
            <w:webHidden/>
          </w:rPr>
          <w:fldChar w:fldCharType="begin"/>
        </w:r>
        <w:r w:rsidR="00BE7B50" w:rsidRPr="00D4761A">
          <w:rPr>
            <w:webHidden/>
          </w:rPr>
          <w:instrText xml:space="preserve"> PAGEREF _Toc120547455 \h </w:instrText>
        </w:r>
        <w:r w:rsidR="00BE7B50" w:rsidRPr="00D4761A">
          <w:rPr>
            <w:webHidden/>
          </w:rPr>
        </w:r>
        <w:r w:rsidR="00BE7B50" w:rsidRPr="00D4761A">
          <w:rPr>
            <w:webHidden/>
          </w:rPr>
          <w:fldChar w:fldCharType="separate"/>
        </w:r>
        <w:r w:rsidR="00984F42" w:rsidRPr="00D4761A">
          <w:rPr>
            <w:webHidden/>
          </w:rPr>
          <w:t>29</w:t>
        </w:r>
        <w:r w:rsidR="00BE7B50" w:rsidRPr="00D4761A">
          <w:rPr>
            <w:webHidden/>
          </w:rPr>
          <w:fldChar w:fldCharType="end"/>
        </w:r>
      </w:hyperlink>
    </w:p>
    <w:p w14:paraId="17E2A020" w14:textId="12905E86" w:rsidR="00BE7B50" w:rsidRPr="00D4761A" w:rsidRDefault="001C07EF">
      <w:pPr>
        <w:pStyle w:val="Obsah3"/>
        <w:rPr>
          <w:rFonts w:eastAsiaTheme="minorEastAsia"/>
          <w:i w:val="0"/>
          <w:sz w:val="22"/>
          <w:lang w:eastAsia="cs-CZ"/>
        </w:rPr>
      </w:pPr>
      <w:hyperlink w:anchor="_Toc120547456" w:history="1">
        <w:r w:rsidR="00BE7B50" w:rsidRPr="00D4761A">
          <w:rPr>
            <w:rStyle w:val="Hypertextovodkaz"/>
          </w:rPr>
          <w:t>3.1.5</w:t>
        </w:r>
        <w:r w:rsidR="00BE7B50" w:rsidRPr="00D4761A">
          <w:rPr>
            <w:rFonts w:eastAsiaTheme="minorEastAsia"/>
            <w:i w:val="0"/>
            <w:sz w:val="22"/>
            <w:lang w:eastAsia="cs-CZ"/>
          </w:rPr>
          <w:tab/>
        </w:r>
        <w:r w:rsidR="00BE7B50" w:rsidRPr="00D4761A">
          <w:rPr>
            <w:rStyle w:val="Hypertextovodkaz"/>
          </w:rPr>
          <w:t>Porovnání kohort A, B v základních charakteristikách souborů (T</w:t>
        </w:r>
        <w:r w:rsidR="00CC2471" w:rsidRPr="00D4761A">
          <w:rPr>
            <w:rStyle w:val="Hypertextovodkaz"/>
          </w:rPr>
          <w:t>abulka </w:t>
        </w:r>
        <w:r w:rsidR="00BE7B50" w:rsidRPr="00D4761A">
          <w:rPr>
            <w:rStyle w:val="Hypertextovodkaz"/>
          </w:rPr>
          <w:t>7)</w:t>
        </w:r>
        <w:r w:rsidR="00BE7B50" w:rsidRPr="00D4761A">
          <w:rPr>
            <w:webHidden/>
          </w:rPr>
          <w:tab/>
        </w:r>
        <w:r w:rsidR="00BE7B50" w:rsidRPr="00D4761A">
          <w:rPr>
            <w:webHidden/>
          </w:rPr>
          <w:fldChar w:fldCharType="begin"/>
        </w:r>
        <w:r w:rsidR="00BE7B50" w:rsidRPr="00D4761A">
          <w:rPr>
            <w:webHidden/>
          </w:rPr>
          <w:instrText xml:space="preserve"> PAGEREF _Toc120547456 \h </w:instrText>
        </w:r>
        <w:r w:rsidR="00BE7B50" w:rsidRPr="00D4761A">
          <w:rPr>
            <w:webHidden/>
          </w:rPr>
        </w:r>
        <w:r w:rsidR="00BE7B50" w:rsidRPr="00D4761A">
          <w:rPr>
            <w:webHidden/>
          </w:rPr>
          <w:fldChar w:fldCharType="separate"/>
        </w:r>
        <w:r w:rsidR="00984F42" w:rsidRPr="00D4761A">
          <w:rPr>
            <w:webHidden/>
          </w:rPr>
          <w:t>30</w:t>
        </w:r>
        <w:r w:rsidR="00BE7B50" w:rsidRPr="00D4761A">
          <w:rPr>
            <w:webHidden/>
          </w:rPr>
          <w:fldChar w:fldCharType="end"/>
        </w:r>
      </w:hyperlink>
    </w:p>
    <w:p w14:paraId="6C25AD69" w14:textId="72E4CA1F" w:rsidR="00BE7B50" w:rsidRPr="00D4761A" w:rsidRDefault="001C07EF">
      <w:pPr>
        <w:pStyle w:val="Obsah3"/>
        <w:rPr>
          <w:rFonts w:eastAsiaTheme="minorEastAsia"/>
          <w:i w:val="0"/>
          <w:sz w:val="22"/>
          <w:lang w:eastAsia="cs-CZ"/>
        </w:rPr>
      </w:pPr>
      <w:hyperlink w:anchor="_Toc120547457" w:history="1">
        <w:r w:rsidR="00BE7B50" w:rsidRPr="00D4761A">
          <w:rPr>
            <w:rStyle w:val="Hypertextovodkaz"/>
          </w:rPr>
          <w:t>3.1.6</w:t>
        </w:r>
        <w:r w:rsidR="00BE7B50" w:rsidRPr="00D4761A">
          <w:rPr>
            <w:rFonts w:eastAsiaTheme="minorEastAsia"/>
            <w:i w:val="0"/>
            <w:sz w:val="22"/>
            <w:lang w:eastAsia="cs-CZ"/>
          </w:rPr>
          <w:tab/>
        </w:r>
        <w:r w:rsidR="00BE7B50" w:rsidRPr="00D4761A">
          <w:rPr>
            <w:rStyle w:val="Hypertextovodkaz"/>
          </w:rPr>
          <w:t>Porovnání kohort A, B ve farmakoterapii a v nefarmakologické terapii, v dávkách vybraných léčiv, nejčastější betablokátory, jejich průměrná dávka v kohortě B (Tabulky 8–10)</w:t>
        </w:r>
        <w:r w:rsidR="00BE7B50" w:rsidRPr="00D4761A">
          <w:rPr>
            <w:webHidden/>
          </w:rPr>
          <w:tab/>
        </w:r>
        <w:r w:rsidR="00BE7B50" w:rsidRPr="00D4761A">
          <w:rPr>
            <w:webHidden/>
          </w:rPr>
          <w:fldChar w:fldCharType="begin"/>
        </w:r>
        <w:r w:rsidR="00BE7B50" w:rsidRPr="00D4761A">
          <w:rPr>
            <w:webHidden/>
          </w:rPr>
          <w:instrText xml:space="preserve"> PAGEREF _Toc120547457 \h </w:instrText>
        </w:r>
        <w:r w:rsidR="00BE7B50" w:rsidRPr="00D4761A">
          <w:rPr>
            <w:webHidden/>
          </w:rPr>
        </w:r>
        <w:r w:rsidR="00BE7B50" w:rsidRPr="00D4761A">
          <w:rPr>
            <w:webHidden/>
          </w:rPr>
          <w:fldChar w:fldCharType="separate"/>
        </w:r>
        <w:r w:rsidR="00984F42" w:rsidRPr="00D4761A">
          <w:rPr>
            <w:webHidden/>
          </w:rPr>
          <w:t>31</w:t>
        </w:r>
        <w:r w:rsidR="00BE7B50" w:rsidRPr="00D4761A">
          <w:rPr>
            <w:webHidden/>
          </w:rPr>
          <w:fldChar w:fldCharType="end"/>
        </w:r>
      </w:hyperlink>
    </w:p>
    <w:p w14:paraId="7C7A816A" w14:textId="728F7E38" w:rsidR="00BE7B50" w:rsidRPr="00D4761A" w:rsidRDefault="001C07EF">
      <w:pPr>
        <w:pStyle w:val="Obsah3"/>
        <w:rPr>
          <w:rFonts w:eastAsiaTheme="minorEastAsia"/>
          <w:i w:val="0"/>
          <w:sz w:val="22"/>
          <w:lang w:eastAsia="cs-CZ"/>
        </w:rPr>
      </w:pPr>
      <w:hyperlink w:anchor="_Toc120547458" w:history="1">
        <w:r w:rsidR="00BE7B50" w:rsidRPr="00D4761A">
          <w:rPr>
            <w:rStyle w:val="Hypertextovodkaz"/>
          </w:rPr>
          <w:t>3.1.7</w:t>
        </w:r>
        <w:r w:rsidR="00BE7B50" w:rsidRPr="00D4761A">
          <w:rPr>
            <w:rFonts w:eastAsiaTheme="minorEastAsia"/>
            <w:i w:val="0"/>
            <w:sz w:val="22"/>
            <w:lang w:eastAsia="cs-CZ"/>
          </w:rPr>
          <w:tab/>
        </w:r>
        <w:r w:rsidR="00BE7B50" w:rsidRPr="00D4761A">
          <w:rPr>
            <w:rStyle w:val="Hypertextovodkaz"/>
          </w:rPr>
          <w:t>Diskuse včetně porovnání s ostatními relevantními daty z České republiky (Experimentální část 1)</w:t>
        </w:r>
        <w:r w:rsidR="00BE7B50" w:rsidRPr="00D4761A">
          <w:rPr>
            <w:webHidden/>
          </w:rPr>
          <w:tab/>
        </w:r>
        <w:r w:rsidR="00BE7B50" w:rsidRPr="00D4761A">
          <w:rPr>
            <w:webHidden/>
          </w:rPr>
          <w:fldChar w:fldCharType="begin"/>
        </w:r>
        <w:r w:rsidR="00BE7B50" w:rsidRPr="00D4761A">
          <w:rPr>
            <w:webHidden/>
          </w:rPr>
          <w:instrText xml:space="preserve"> PAGEREF _Toc120547458 \h </w:instrText>
        </w:r>
        <w:r w:rsidR="00BE7B50" w:rsidRPr="00D4761A">
          <w:rPr>
            <w:webHidden/>
          </w:rPr>
        </w:r>
        <w:r w:rsidR="00BE7B50" w:rsidRPr="00D4761A">
          <w:rPr>
            <w:webHidden/>
          </w:rPr>
          <w:fldChar w:fldCharType="separate"/>
        </w:r>
        <w:r w:rsidR="00984F42" w:rsidRPr="00D4761A">
          <w:rPr>
            <w:webHidden/>
          </w:rPr>
          <w:t>32</w:t>
        </w:r>
        <w:r w:rsidR="00BE7B50" w:rsidRPr="00D4761A">
          <w:rPr>
            <w:webHidden/>
          </w:rPr>
          <w:fldChar w:fldCharType="end"/>
        </w:r>
      </w:hyperlink>
    </w:p>
    <w:p w14:paraId="02C3AB7C" w14:textId="11CEF683" w:rsidR="00BE7B50" w:rsidRPr="00D4761A" w:rsidRDefault="001C07EF">
      <w:pPr>
        <w:pStyle w:val="Obsah2"/>
        <w:rPr>
          <w:rFonts w:eastAsiaTheme="minorEastAsia"/>
          <w:noProof/>
          <w:sz w:val="22"/>
          <w:lang w:eastAsia="cs-CZ"/>
        </w:rPr>
      </w:pPr>
      <w:hyperlink w:anchor="_Toc120547459" w:history="1">
        <w:r w:rsidR="00BE7B50" w:rsidRPr="00D4761A">
          <w:rPr>
            <w:rStyle w:val="Hypertextovodkaz"/>
            <w:noProof/>
          </w:rPr>
          <w:t>3.2</w:t>
        </w:r>
        <w:r w:rsidR="00BE7B50" w:rsidRPr="00D4761A">
          <w:rPr>
            <w:rFonts w:eastAsiaTheme="minorEastAsia"/>
            <w:noProof/>
            <w:sz w:val="22"/>
            <w:lang w:eastAsia="cs-CZ"/>
          </w:rPr>
          <w:tab/>
        </w:r>
        <w:r w:rsidR="00BE7B50" w:rsidRPr="00D4761A">
          <w:rPr>
            <w:rStyle w:val="Hypertextovodkaz"/>
            <w:noProof/>
          </w:rPr>
          <w:t>Experimentální část 2</w:t>
        </w:r>
        <w:r w:rsidR="00BE7B50" w:rsidRPr="00D4761A">
          <w:rPr>
            <w:noProof/>
            <w:webHidden/>
          </w:rPr>
          <w:tab/>
        </w:r>
        <w:r w:rsidR="00BE7B50" w:rsidRPr="00D4761A">
          <w:rPr>
            <w:noProof/>
            <w:webHidden/>
          </w:rPr>
          <w:fldChar w:fldCharType="begin"/>
        </w:r>
        <w:r w:rsidR="00BE7B50" w:rsidRPr="00D4761A">
          <w:rPr>
            <w:noProof/>
            <w:webHidden/>
          </w:rPr>
          <w:instrText xml:space="preserve"> PAGEREF _Toc120547459 \h </w:instrText>
        </w:r>
        <w:r w:rsidR="00BE7B50" w:rsidRPr="00D4761A">
          <w:rPr>
            <w:noProof/>
            <w:webHidden/>
          </w:rPr>
        </w:r>
        <w:r w:rsidR="00BE7B50" w:rsidRPr="00D4761A">
          <w:rPr>
            <w:noProof/>
            <w:webHidden/>
          </w:rPr>
          <w:fldChar w:fldCharType="separate"/>
        </w:r>
        <w:r w:rsidR="00984F42" w:rsidRPr="00D4761A">
          <w:rPr>
            <w:noProof/>
            <w:webHidden/>
          </w:rPr>
          <w:t>35</w:t>
        </w:r>
        <w:r w:rsidR="00BE7B50" w:rsidRPr="00D4761A">
          <w:rPr>
            <w:noProof/>
            <w:webHidden/>
          </w:rPr>
          <w:fldChar w:fldCharType="end"/>
        </w:r>
      </w:hyperlink>
    </w:p>
    <w:p w14:paraId="27965DC9" w14:textId="5BABF2B3" w:rsidR="00BE7B50" w:rsidRPr="00D4761A" w:rsidRDefault="001C07EF">
      <w:pPr>
        <w:pStyle w:val="Obsah3"/>
        <w:rPr>
          <w:rFonts w:eastAsiaTheme="minorEastAsia"/>
          <w:i w:val="0"/>
          <w:sz w:val="22"/>
          <w:lang w:eastAsia="cs-CZ"/>
        </w:rPr>
      </w:pPr>
      <w:hyperlink w:anchor="_Toc120547460" w:history="1">
        <w:r w:rsidR="00BE7B50" w:rsidRPr="00D4761A">
          <w:rPr>
            <w:rStyle w:val="Hypertextovodkaz"/>
          </w:rPr>
          <w:t>3.2.1</w:t>
        </w:r>
        <w:r w:rsidR="00BE7B50" w:rsidRPr="00D4761A">
          <w:rPr>
            <w:rFonts w:eastAsiaTheme="minorEastAsia"/>
            <w:i w:val="0"/>
            <w:sz w:val="22"/>
            <w:lang w:eastAsia="cs-CZ"/>
          </w:rPr>
          <w:tab/>
        </w:r>
        <w:r w:rsidR="00BE7B50" w:rsidRPr="00D4761A">
          <w:rPr>
            <w:rStyle w:val="Hypertextovodkaz"/>
          </w:rPr>
          <w:t>Cíl</w:t>
        </w:r>
        <w:r w:rsidR="00BE7B50" w:rsidRPr="00D4761A">
          <w:rPr>
            <w:webHidden/>
          </w:rPr>
          <w:tab/>
        </w:r>
        <w:r w:rsidR="00BE7B50" w:rsidRPr="00D4761A">
          <w:rPr>
            <w:webHidden/>
          </w:rPr>
          <w:fldChar w:fldCharType="begin"/>
        </w:r>
        <w:r w:rsidR="00BE7B50" w:rsidRPr="00D4761A">
          <w:rPr>
            <w:webHidden/>
          </w:rPr>
          <w:instrText xml:space="preserve"> PAGEREF _Toc120547460 \h </w:instrText>
        </w:r>
        <w:r w:rsidR="00BE7B50" w:rsidRPr="00D4761A">
          <w:rPr>
            <w:webHidden/>
          </w:rPr>
        </w:r>
        <w:r w:rsidR="00BE7B50" w:rsidRPr="00D4761A">
          <w:rPr>
            <w:webHidden/>
          </w:rPr>
          <w:fldChar w:fldCharType="separate"/>
        </w:r>
        <w:r w:rsidR="00984F42" w:rsidRPr="00D4761A">
          <w:rPr>
            <w:webHidden/>
          </w:rPr>
          <w:t>35</w:t>
        </w:r>
        <w:r w:rsidR="00BE7B50" w:rsidRPr="00D4761A">
          <w:rPr>
            <w:webHidden/>
          </w:rPr>
          <w:fldChar w:fldCharType="end"/>
        </w:r>
      </w:hyperlink>
    </w:p>
    <w:p w14:paraId="4E98A22A" w14:textId="262AD006" w:rsidR="00BE7B50" w:rsidRPr="00D4761A" w:rsidRDefault="001C07EF">
      <w:pPr>
        <w:pStyle w:val="Obsah3"/>
        <w:rPr>
          <w:rFonts w:eastAsiaTheme="minorEastAsia"/>
          <w:i w:val="0"/>
          <w:sz w:val="22"/>
          <w:lang w:eastAsia="cs-CZ"/>
        </w:rPr>
      </w:pPr>
      <w:hyperlink w:anchor="_Toc120547461" w:history="1">
        <w:r w:rsidR="00BE7B50" w:rsidRPr="00D4761A">
          <w:rPr>
            <w:rStyle w:val="Hypertextovodkaz"/>
          </w:rPr>
          <w:t>3.2.2</w:t>
        </w:r>
        <w:r w:rsidR="00BE7B50" w:rsidRPr="00D4761A">
          <w:rPr>
            <w:rFonts w:eastAsiaTheme="minorEastAsia"/>
            <w:i w:val="0"/>
            <w:sz w:val="22"/>
            <w:lang w:eastAsia="cs-CZ"/>
          </w:rPr>
          <w:tab/>
        </w:r>
        <w:r w:rsidR="00BE7B50" w:rsidRPr="00D4761A">
          <w:rPr>
            <w:rStyle w:val="Hypertextovodkaz"/>
          </w:rPr>
          <w:t>Charakteristika kohorty pacientů</w:t>
        </w:r>
        <w:r w:rsidR="00BE7B50" w:rsidRPr="00D4761A">
          <w:rPr>
            <w:webHidden/>
          </w:rPr>
          <w:tab/>
        </w:r>
        <w:r w:rsidR="00BE7B50" w:rsidRPr="00D4761A">
          <w:rPr>
            <w:webHidden/>
          </w:rPr>
          <w:fldChar w:fldCharType="begin"/>
        </w:r>
        <w:r w:rsidR="00BE7B50" w:rsidRPr="00D4761A">
          <w:rPr>
            <w:webHidden/>
          </w:rPr>
          <w:instrText xml:space="preserve"> PAGEREF _Toc120547461 \h </w:instrText>
        </w:r>
        <w:r w:rsidR="00BE7B50" w:rsidRPr="00D4761A">
          <w:rPr>
            <w:webHidden/>
          </w:rPr>
        </w:r>
        <w:r w:rsidR="00BE7B50" w:rsidRPr="00D4761A">
          <w:rPr>
            <w:webHidden/>
          </w:rPr>
          <w:fldChar w:fldCharType="separate"/>
        </w:r>
        <w:r w:rsidR="00984F42" w:rsidRPr="00D4761A">
          <w:rPr>
            <w:webHidden/>
          </w:rPr>
          <w:t>35</w:t>
        </w:r>
        <w:r w:rsidR="00BE7B50" w:rsidRPr="00D4761A">
          <w:rPr>
            <w:webHidden/>
          </w:rPr>
          <w:fldChar w:fldCharType="end"/>
        </w:r>
      </w:hyperlink>
    </w:p>
    <w:p w14:paraId="5092144D" w14:textId="01DDDFD7" w:rsidR="00BE7B50" w:rsidRPr="00D4761A" w:rsidRDefault="001C07EF">
      <w:pPr>
        <w:pStyle w:val="Obsah3"/>
        <w:rPr>
          <w:rFonts w:eastAsiaTheme="minorEastAsia"/>
          <w:i w:val="0"/>
          <w:sz w:val="22"/>
          <w:lang w:eastAsia="cs-CZ"/>
        </w:rPr>
      </w:pPr>
      <w:hyperlink w:anchor="_Toc120547462" w:history="1">
        <w:r w:rsidR="00BE7B50" w:rsidRPr="00D4761A">
          <w:rPr>
            <w:rStyle w:val="Hypertextovodkaz"/>
          </w:rPr>
          <w:t>3.2.3</w:t>
        </w:r>
        <w:r w:rsidR="00BE7B50" w:rsidRPr="00D4761A">
          <w:rPr>
            <w:rFonts w:eastAsiaTheme="minorEastAsia"/>
            <w:i w:val="0"/>
            <w:sz w:val="22"/>
            <w:lang w:eastAsia="cs-CZ"/>
          </w:rPr>
          <w:tab/>
        </w:r>
        <w:r w:rsidR="00BE7B50" w:rsidRPr="00D4761A">
          <w:rPr>
            <w:rStyle w:val="Hypertextovodkaz"/>
          </w:rPr>
          <w:t>Definice adherence</w:t>
        </w:r>
        <w:r w:rsidR="00BE7B50" w:rsidRPr="00D4761A">
          <w:rPr>
            <w:webHidden/>
          </w:rPr>
          <w:tab/>
        </w:r>
        <w:r w:rsidR="00BE7B50" w:rsidRPr="00D4761A">
          <w:rPr>
            <w:webHidden/>
          </w:rPr>
          <w:fldChar w:fldCharType="begin"/>
        </w:r>
        <w:r w:rsidR="00BE7B50" w:rsidRPr="00D4761A">
          <w:rPr>
            <w:webHidden/>
          </w:rPr>
          <w:instrText xml:space="preserve"> PAGEREF _Toc120547462 \h </w:instrText>
        </w:r>
        <w:r w:rsidR="00BE7B50" w:rsidRPr="00D4761A">
          <w:rPr>
            <w:webHidden/>
          </w:rPr>
        </w:r>
        <w:r w:rsidR="00BE7B50" w:rsidRPr="00D4761A">
          <w:rPr>
            <w:webHidden/>
          </w:rPr>
          <w:fldChar w:fldCharType="separate"/>
        </w:r>
        <w:r w:rsidR="00984F42" w:rsidRPr="00D4761A">
          <w:rPr>
            <w:webHidden/>
          </w:rPr>
          <w:t>37</w:t>
        </w:r>
        <w:r w:rsidR="00BE7B50" w:rsidRPr="00D4761A">
          <w:rPr>
            <w:webHidden/>
          </w:rPr>
          <w:fldChar w:fldCharType="end"/>
        </w:r>
      </w:hyperlink>
    </w:p>
    <w:p w14:paraId="0F21AF28" w14:textId="00A4390E" w:rsidR="00BE7B50" w:rsidRPr="00D4761A" w:rsidRDefault="001C07EF">
      <w:pPr>
        <w:pStyle w:val="Obsah3"/>
        <w:rPr>
          <w:rFonts w:eastAsiaTheme="minorEastAsia"/>
          <w:i w:val="0"/>
          <w:sz w:val="22"/>
          <w:lang w:eastAsia="cs-CZ"/>
        </w:rPr>
      </w:pPr>
      <w:hyperlink w:anchor="_Toc120547463" w:history="1">
        <w:r w:rsidR="00BE7B50" w:rsidRPr="00D4761A">
          <w:rPr>
            <w:rStyle w:val="Hypertextovodkaz"/>
          </w:rPr>
          <w:t>3.2.4</w:t>
        </w:r>
        <w:r w:rsidR="00BE7B50" w:rsidRPr="00D4761A">
          <w:rPr>
            <w:rFonts w:eastAsiaTheme="minorEastAsia"/>
            <w:i w:val="0"/>
            <w:sz w:val="22"/>
            <w:lang w:eastAsia="cs-CZ"/>
          </w:rPr>
          <w:tab/>
        </w:r>
        <w:r w:rsidR="00BE7B50" w:rsidRPr="00D4761A">
          <w:rPr>
            <w:rStyle w:val="Hypertextovodkaz"/>
          </w:rPr>
          <w:t>Statistická analýza</w:t>
        </w:r>
        <w:r w:rsidR="00BE7B50" w:rsidRPr="00D4761A">
          <w:rPr>
            <w:webHidden/>
          </w:rPr>
          <w:tab/>
        </w:r>
        <w:r w:rsidR="00BE7B50" w:rsidRPr="00D4761A">
          <w:rPr>
            <w:webHidden/>
          </w:rPr>
          <w:fldChar w:fldCharType="begin"/>
        </w:r>
        <w:r w:rsidR="00BE7B50" w:rsidRPr="00D4761A">
          <w:rPr>
            <w:webHidden/>
          </w:rPr>
          <w:instrText xml:space="preserve"> PAGEREF _Toc120547463 \h </w:instrText>
        </w:r>
        <w:r w:rsidR="00BE7B50" w:rsidRPr="00D4761A">
          <w:rPr>
            <w:webHidden/>
          </w:rPr>
        </w:r>
        <w:r w:rsidR="00BE7B50" w:rsidRPr="00D4761A">
          <w:rPr>
            <w:webHidden/>
          </w:rPr>
          <w:fldChar w:fldCharType="separate"/>
        </w:r>
        <w:r w:rsidR="00984F42" w:rsidRPr="00D4761A">
          <w:rPr>
            <w:webHidden/>
          </w:rPr>
          <w:t>37</w:t>
        </w:r>
        <w:r w:rsidR="00BE7B50" w:rsidRPr="00D4761A">
          <w:rPr>
            <w:webHidden/>
          </w:rPr>
          <w:fldChar w:fldCharType="end"/>
        </w:r>
      </w:hyperlink>
    </w:p>
    <w:p w14:paraId="1A495B90" w14:textId="790A8684" w:rsidR="00BE7B50" w:rsidRPr="00D4761A" w:rsidRDefault="001C07EF">
      <w:pPr>
        <w:pStyle w:val="Obsah3"/>
        <w:rPr>
          <w:rFonts w:eastAsiaTheme="minorEastAsia"/>
          <w:i w:val="0"/>
          <w:sz w:val="22"/>
          <w:lang w:eastAsia="cs-CZ"/>
        </w:rPr>
      </w:pPr>
      <w:hyperlink w:anchor="_Toc120547464" w:history="1">
        <w:r w:rsidR="00BE7B50" w:rsidRPr="00D4761A">
          <w:rPr>
            <w:rStyle w:val="Hypertextovodkaz"/>
          </w:rPr>
          <w:t>3.2.5</w:t>
        </w:r>
        <w:r w:rsidR="00BE7B50" w:rsidRPr="00D4761A">
          <w:rPr>
            <w:rFonts w:eastAsiaTheme="minorEastAsia"/>
            <w:i w:val="0"/>
            <w:sz w:val="22"/>
            <w:lang w:eastAsia="cs-CZ"/>
          </w:rPr>
          <w:tab/>
        </w:r>
        <w:r w:rsidR="00BE7B50" w:rsidRPr="00D4761A">
          <w:rPr>
            <w:rStyle w:val="Hypertextovodkaz"/>
          </w:rPr>
          <w:t>Primární výsledek</w:t>
        </w:r>
        <w:r w:rsidR="00BE7B50" w:rsidRPr="00D4761A">
          <w:rPr>
            <w:webHidden/>
          </w:rPr>
          <w:tab/>
        </w:r>
        <w:r w:rsidR="00BE7B50" w:rsidRPr="00D4761A">
          <w:rPr>
            <w:webHidden/>
          </w:rPr>
          <w:fldChar w:fldCharType="begin"/>
        </w:r>
        <w:r w:rsidR="00BE7B50" w:rsidRPr="00D4761A">
          <w:rPr>
            <w:webHidden/>
          </w:rPr>
          <w:instrText xml:space="preserve"> PAGEREF _Toc120547464 \h </w:instrText>
        </w:r>
        <w:r w:rsidR="00BE7B50" w:rsidRPr="00D4761A">
          <w:rPr>
            <w:webHidden/>
          </w:rPr>
        </w:r>
        <w:r w:rsidR="00BE7B50" w:rsidRPr="00D4761A">
          <w:rPr>
            <w:webHidden/>
          </w:rPr>
          <w:fldChar w:fldCharType="separate"/>
        </w:r>
        <w:r w:rsidR="00984F42" w:rsidRPr="00D4761A">
          <w:rPr>
            <w:webHidden/>
          </w:rPr>
          <w:t>37</w:t>
        </w:r>
        <w:r w:rsidR="00BE7B50" w:rsidRPr="00D4761A">
          <w:rPr>
            <w:webHidden/>
          </w:rPr>
          <w:fldChar w:fldCharType="end"/>
        </w:r>
      </w:hyperlink>
    </w:p>
    <w:p w14:paraId="0B4A687A" w14:textId="6CA15F6C" w:rsidR="00BE7B50" w:rsidRPr="00D4761A" w:rsidRDefault="001C07EF">
      <w:pPr>
        <w:pStyle w:val="Obsah3"/>
        <w:rPr>
          <w:rFonts w:eastAsiaTheme="minorEastAsia"/>
          <w:i w:val="0"/>
          <w:sz w:val="22"/>
          <w:lang w:eastAsia="cs-CZ"/>
        </w:rPr>
      </w:pPr>
      <w:hyperlink w:anchor="_Toc120547465" w:history="1">
        <w:r w:rsidR="00BE7B50" w:rsidRPr="00D4761A">
          <w:rPr>
            <w:rStyle w:val="Hypertextovodkaz"/>
          </w:rPr>
          <w:t>3.2.6</w:t>
        </w:r>
        <w:r w:rsidR="00BE7B50" w:rsidRPr="00D4761A">
          <w:rPr>
            <w:rFonts w:eastAsiaTheme="minorEastAsia"/>
            <w:i w:val="0"/>
            <w:sz w:val="22"/>
            <w:lang w:eastAsia="cs-CZ"/>
          </w:rPr>
          <w:tab/>
        </w:r>
        <w:r w:rsidR="00BE7B50" w:rsidRPr="00D4761A">
          <w:rPr>
            <w:rStyle w:val="Hypertextovodkaz"/>
          </w:rPr>
          <w:t>Sekundární výsledek</w:t>
        </w:r>
        <w:r w:rsidR="00BE7B50" w:rsidRPr="00D4761A">
          <w:rPr>
            <w:webHidden/>
          </w:rPr>
          <w:tab/>
        </w:r>
        <w:r w:rsidR="00BE7B50" w:rsidRPr="00D4761A">
          <w:rPr>
            <w:webHidden/>
          </w:rPr>
          <w:fldChar w:fldCharType="begin"/>
        </w:r>
        <w:r w:rsidR="00BE7B50" w:rsidRPr="00D4761A">
          <w:rPr>
            <w:webHidden/>
          </w:rPr>
          <w:instrText xml:space="preserve"> PAGEREF _Toc120547465 \h </w:instrText>
        </w:r>
        <w:r w:rsidR="00BE7B50" w:rsidRPr="00D4761A">
          <w:rPr>
            <w:webHidden/>
          </w:rPr>
        </w:r>
        <w:r w:rsidR="00BE7B50" w:rsidRPr="00D4761A">
          <w:rPr>
            <w:webHidden/>
          </w:rPr>
          <w:fldChar w:fldCharType="separate"/>
        </w:r>
        <w:r w:rsidR="00984F42" w:rsidRPr="00D4761A">
          <w:rPr>
            <w:webHidden/>
          </w:rPr>
          <w:t>38</w:t>
        </w:r>
        <w:r w:rsidR="00BE7B50" w:rsidRPr="00D4761A">
          <w:rPr>
            <w:webHidden/>
          </w:rPr>
          <w:fldChar w:fldCharType="end"/>
        </w:r>
      </w:hyperlink>
    </w:p>
    <w:p w14:paraId="4096B689" w14:textId="15502410" w:rsidR="00BE7B50" w:rsidRPr="00D4761A" w:rsidRDefault="001C07EF">
      <w:pPr>
        <w:pStyle w:val="Obsah3"/>
        <w:rPr>
          <w:rFonts w:eastAsiaTheme="minorEastAsia"/>
          <w:i w:val="0"/>
          <w:sz w:val="22"/>
          <w:lang w:eastAsia="cs-CZ"/>
        </w:rPr>
      </w:pPr>
      <w:hyperlink w:anchor="_Toc120547466" w:history="1">
        <w:r w:rsidR="00BE7B50" w:rsidRPr="00D4761A">
          <w:rPr>
            <w:rStyle w:val="Hypertextovodkaz"/>
          </w:rPr>
          <w:t>3.2.7</w:t>
        </w:r>
        <w:r w:rsidR="00BE7B50" w:rsidRPr="00D4761A">
          <w:rPr>
            <w:rFonts w:eastAsiaTheme="minorEastAsia"/>
            <w:i w:val="0"/>
            <w:sz w:val="22"/>
            <w:lang w:eastAsia="cs-CZ"/>
          </w:rPr>
          <w:tab/>
        </w:r>
        <w:r w:rsidR="00BE7B50" w:rsidRPr="00D4761A">
          <w:rPr>
            <w:rStyle w:val="Hypertextovodkaz"/>
          </w:rPr>
          <w:t>Diskuze (Experimentální část 2)</w:t>
        </w:r>
        <w:r w:rsidR="00BE7B50" w:rsidRPr="00D4761A">
          <w:rPr>
            <w:webHidden/>
          </w:rPr>
          <w:tab/>
        </w:r>
        <w:r w:rsidR="00BE7B50" w:rsidRPr="00D4761A">
          <w:rPr>
            <w:webHidden/>
          </w:rPr>
          <w:fldChar w:fldCharType="begin"/>
        </w:r>
        <w:r w:rsidR="00BE7B50" w:rsidRPr="00D4761A">
          <w:rPr>
            <w:webHidden/>
          </w:rPr>
          <w:instrText xml:space="preserve"> PAGEREF _Toc120547466 \h </w:instrText>
        </w:r>
        <w:r w:rsidR="00BE7B50" w:rsidRPr="00D4761A">
          <w:rPr>
            <w:webHidden/>
          </w:rPr>
        </w:r>
        <w:r w:rsidR="00BE7B50" w:rsidRPr="00D4761A">
          <w:rPr>
            <w:webHidden/>
          </w:rPr>
          <w:fldChar w:fldCharType="separate"/>
        </w:r>
        <w:r w:rsidR="00984F42" w:rsidRPr="00D4761A">
          <w:rPr>
            <w:webHidden/>
          </w:rPr>
          <w:t>39</w:t>
        </w:r>
        <w:r w:rsidR="00BE7B50" w:rsidRPr="00D4761A">
          <w:rPr>
            <w:webHidden/>
          </w:rPr>
          <w:fldChar w:fldCharType="end"/>
        </w:r>
      </w:hyperlink>
    </w:p>
    <w:p w14:paraId="70E571AB" w14:textId="788083D0" w:rsidR="00BE7B50" w:rsidRPr="00D4761A" w:rsidRDefault="001C07EF">
      <w:pPr>
        <w:pStyle w:val="Obsah1"/>
        <w:rPr>
          <w:rFonts w:eastAsiaTheme="minorEastAsia"/>
          <w:b w:val="0"/>
          <w:sz w:val="22"/>
          <w:lang w:eastAsia="cs-CZ"/>
        </w:rPr>
      </w:pPr>
      <w:hyperlink w:anchor="_Toc120547467" w:history="1">
        <w:r w:rsidR="00BE7B50" w:rsidRPr="00D4761A">
          <w:rPr>
            <w:rStyle w:val="Hypertextovodkaz"/>
          </w:rPr>
          <w:t>4</w:t>
        </w:r>
        <w:r w:rsidR="00BE7B50" w:rsidRPr="00D4761A">
          <w:rPr>
            <w:rFonts w:eastAsiaTheme="minorEastAsia"/>
            <w:b w:val="0"/>
            <w:sz w:val="22"/>
            <w:lang w:eastAsia="cs-CZ"/>
          </w:rPr>
          <w:tab/>
        </w:r>
        <w:r w:rsidR="00BE7B50" w:rsidRPr="00D4761A">
          <w:rPr>
            <w:rStyle w:val="Hypertextovodkaz"/>
          </w:rPr>
          <w:t>Závěry</w:t>
        </w:r>
        <w:r w:rsidR="00BE7B50" w:rsidRPr="00D4761A">
          <w:rPr>
            <w:webHidden/>
          </w:rPr>
          <w:tab/>
        </w:r>
        <w:r w:rsidR="00BE7B50" w:rsidRPr="00D4761A">
          <w:rPr>
            <w:webHidden/>
          </w:rPr>
          <w:fldChar w:fldCharType="begin"/>
        </w:r>
        <w:r w:rsidR="00BE7B50" w:rsidRPr="00D4761A">
          <w:rPr>
            <w:webHidden/>
          </w:rPr>
          <w:instrText xml:space="preserve"> PAGEREF _Toc120547467 \h </w:instrText>
        </w:r>
        <w:r w:rsidR="00BE7B50" w:rsidRPr="00D4761A">
          <w:rPr>
            <w:webHidden/>
          </w:rPr>
        </w:r>
        <w:r w:rsidR="00BE7B50" w:rsidRPr="00D4761A">
          <w:rPr>
            <w:webHidden/>
          </w:rPr>
          <w:fldChar w:fldCharType="separate"/>
        </w:r>
        <w:r w:rsidR="00984F42" w:rsidRPr="00D4761A">
          <w:rPr>
            <w:webHidden/>
          </w:rPr>
          <w:t>41</w:t>
        </w:r>
        <w:r w:rsidR="00BE7B50" w:rsidRPr="00D4761A">
          <w:rPr>
            <w:webHidden/>
          </w:rPr>
          <w:fldChar w:fldCharType="end"/>
        </w:r>
      </w:hyperlink>
    </w:p>
    <w:p w14:paraId="2D46AD66" w14:textId="5B9DFEC5" w:rsidR="00BE7B50" w:rsidRPr="00D4761A" w:rsidRDefault="001C07EF">
      <w:pPr>
        <w:pStyle w:val="Obsah1"/>
        <w:rPr>
          <w:rFonts w:eastAsiaTheme="minorEastAsia"/>
          <w:b w:val="0"/>
          <w:sz w:val="22"/>
          <w:lang w:eastAsia="cs-CZ"/>
        </w:rPr>
      </w:pPr>
      <w:hyperlink w:anchor="_Toc120547468" w:history="1">
        <w:r w:rsidR="00BE7B50" w:rsidRPr="00D4761A">
          <w:rPr>
            <w:rStyle w:val="Hypertextovodkaz"/>
          </w:rPr>
          <w:t>5</w:t>
        </w:r>
        <w:r w:rsidR="00BE7B50" w:rsidRPr="00D4761A">
          <w:rPr>
            <w:rFonts w:eastAsiaTheme="minorEastAsia"/>
            <w:b w:val="0"/>
            <w:sz w:val="22"/>
            <w:lang w:eastAsia="cs-CZ"/>
          </w:rPr>
          <w:tab/>
        </w:r>
        <w:r w:rsidR="00BE7B50" w:rsidRPr="00D4761A">
          <w:rPr>
            <w:rStyle w:val="Hypertextovodkaz"/>
          </w:rPr>
          <w:t>Seznam tabulek</w:t>
        </w:r>
        <w:r w:rsidR="00BE7B50" w:rsidRPr="00D4761A">
          <w:rPr>
            <w:webHidden/>
          </w:rPr>
          <w:tab/>
        </w:r>
        <w:r w:rsidR="00BE7B50" w:rsidRPr="00D4761A">
          <w:rPr>
            <w:webHidden/>
          </w:rPr>
          <w:fldChar w:fldCharType="begin"/>
        </w:r>
        <w:r w:rsidR="00BE7B50" w:rsidRPr="00D4761A">
          <w:rPr>
            <w:webHidden/>
          </w:rPr>
          <w:instrText xml:space="preserve"> PAGEREF _Toc120547468 \h </w:instrText>
        </w:r>
        <w:r w:rsidR="00BE7B50" w:rsidRPr="00D4761A">
          <w:rPr>
            <w:webHidden/>
          </w:rPr>
        </w:r>
        <w:r w:rsidR="00BE7B50" w:rsidRPr="00D4761A">
          <w:rPr>
            <w:webHidden/>
          </w:rPr>
          <w:fldChar w:fldCharType="separate"/>
        </w:r>
        <w:r w:rsidR="00984F42" w:rsidRPr="00D4761A">
          <w:rPr>
            <w:webHidden/>
          </w:rPr>
          <w:t>42</w:t>
        </w:r>
        <w:r w:rsidR="00BE7B50" w:rsidRPr="00D4761A">
          <w:rPr>
            <w:webHidden/>
          </w:rPr>
          <w:fldChar w:fldCharType="end"/>
        </w:r>
      </w:hyperlink>
    </w:p>
    <w:p w14:paraId="0B76FAB3" w14:textId="3BC650A3" w:rsidR="00BE7B50" w:rsidRPr="00D4761A" w:rsidRDefault="001C07EF">
      <w:pPr>
        <w:pStyle w:val="Obsah1"/>
        <w:rPr>
          <w:rFonts w:eastAsiaTheme="minorEastAsia"/>
          <w:b w:val="0"/>
          <w:sz w:val="22"/>
          <w:lang w:eastAsia="cs-CZ"/>
        </w:rPr>
      </w:pPr>
      <w:hyperlink w:anchor="_Toc120547469" w:history="1">
        <w:r w:rsidR="00BE7B50" w:rsidRPr="00D4761A">
          <w:rPr>
            <w:rStyle w:val="Hypertextovodkaz"/>
          </w:rPr>
          <w:t>6</w:t>
        </w:r>
        <w:r w:rsidR="00BE7B50" w:rsidRPr="00D4761A">
          <w:rPr>
            <w:rFonts w:eastAsiaTheme="minorEastAsia"/>
            <w:b w:val="0"/>
            <w:sz w:val="22"/>
            <w:lang w:eastAsia="cs-CZ"/>
          </w:rPr>
          <w:tab/>
        </w:r>
        <w:r w:rsidR="00BE7B50" w:rsidRPr="00D4761A">
          <w:rPr>
            <w:rStyle w:val="Hypertextovodkaz"/>
          </w:rPr>
          <w:t>Seznam zkratek</w:t>
        </w:r>
        <w:r w:rsidR="00BE7B50" w:rsidRPr="00D4761A">
          <w:rPr>
            <w:webHidden/>
          </w:rPr>
          <w:tab/>
        </w:r>
        <w:r w:rsidR="00BE7B50" w:rsidRPr="00D4761A">
          <w:rPr>
            <w:webHidden/>
          </w:rPr>
          <w:fldChar w:fldCharType="begin"/>
        </w:r>
        <w:r w:rsidR="00BE7B50" w:rsidRPr="00D4761A">
          <w:rPr>
            <w:webHidden/>
          </w:rPr>
          <w:instrText xml:space="preserve"> PAGEREF _Toc120547469 \h </w:instrText>
        </w:r>
        <w:r w:rsidR="00BE7B50" w:rsidRPr="00D4761A">
          <w:rPr>
            <w:webHidden/>
          </w:rPr>
        </w:r>
        <w:r w:rsidR="00BE7B50" w:rsidRPr="00D4761A">
          <w:rPr>
            <w:webHidden/>
          </w:rPr>
          <w:fldChar w:fldCharType="separate"/>
        </w:r>
        <w:r w:rsidR="00984F42" w:rsidRPr="00D4761A">
          <w:rPr>
            <w:webHidden/>
          </w:rPr>
          <w:t>43</w:t>
        </w:r>
        <w:r w:rsidR="00BE7B50" w:rsidRPr="00D4761A">
          <w:rPr>
            <w:webHidden/>
          </w:rPr>
          <w:fldChar w:fldCharType="end"/>
        </w:r>
      </w:hyperlink>
    </w:p>
    <w:p w14:paraId="6E7C53EE" w14:textId="472D795E" w:rsidR="00BE7B50" w:rsidRPr="00D4761A" w:rsidRDefault="001C07EF">
      <w:pPr>
        <w:pStyle w:val="Obsah1"/>
        <w:rPr>
          <w:rFonts w:eastAsiaTheme="minorEastAsia"/>
          <w:b w:val="0"/>
          <w:sz w:val="22"/>
          <w:lang w:eastAsia="cs-CZ"/>
        </w:rPr>
      </w:pPr>
      <w:hyperlink w:anchor="_Toc120547470" w:history="1">
        <w:r w:rsidR="00BE7B50" w:rsidRPr="00D4761A">
          <w:rPr>
            <w:rStyle w:val="Hypertextovodkaz"/>
          </w:rPr>
          <w:t>7</w:t>
        </w:r>
        <w:r w:rsidR="00BE7B50" w:rsidRPr="00D4761A">
          <w:rPr>
            <w:rFonts w:eastAsiaTheme="minorEastAsia"/>
            <w:b w:val="0"/>
            <w:sz w:val="22"/>
            <w:lang w:eastAsia="cs-CZ"/>
          </w:rPr>
          <w:tab/>
        </w:r>
        <w:r w:rsidR="00BE7B50" w:rsidRPr="00D4761A">
          <w:rPr>
            <w:rStyle w:val="Hypertextovodkaz"/>
          </w:rPr>
          <w:t>Literatura</w:t>
        </w:r>
        <w:r w:rsidR="00BE7B50" w:rsidRPr="00D4761A">
          <w:rPr>
            <w:webHidden/>
          </w:rPr>
          <w:tab/>
        </w:r>
        <w:r w:rsidR="00BE7B50" w:rsidRPr="00D4761A">
          <w:rPr>
            <w:webHidden/>
          </w:rPr>
          <w:fldChar w:fldCharType="begin"/>
        </w:r>
        <w:r w:rsidR="00BE7B50" w:rsidRPr="00D4761A">
          <w:rPr>
            <w:webHidden/>
          </w:rPr>
          <w:instrText xml:space="preserve"> PAGEREF _Toc120547470 \h </w:instrText>
        </w:r>
        <w:r w:rsidR="00BE7B50" w:rsidRPr="00D4761A">
          <w:rPr>
            <w:webHidden/>
          </w:rPr>
        </w:r>
        <w:r w:rsidR="00BE7B50" w:rsidRPr="00D4761A">
          <w:rPr>
            <w:webHidden/>
          </w:rPr>
          <w:fldChar w:fldCharType="separate"/>
        </w:r>
        <w:r w:rsidR="00984F42" w:rsidRPr="00D4761A">
          <w:rPr>
            <w:webHidden/>
          </w:rPr>
          <w:t>45</w:t>
        </w:r>
        <w:r w:rsidR="00BE7B50" w:rsidRPr="00D4761A">
          <w:rPr>
            <w:webHidden/>
          </w:rPr>
          <w:fldChar w:fldCharType="end"/>
        </w:r>
      </w:hyperlink>
    </w:p>
    <w:p w14:paraId="32ACC66D" w14:textId="4CB731F9" w:rsidR="00BE7B50" w:rsidRPr="00D4761A" w:rsidRDefault="001C07EF">
      <w:pPr>
        <w:pStyle w:val="Obsah1"/>
        <w:rPr>
          <w:rFonts w:eastAsiaTheme="minorEastAsia"/>
          <w:b w:val="0"/>
          <w:sz w:val="22"/>
          <w:lang w:eastAsia="cs-CZ"/>
        </w:rPr>
      </w:pPr>
      <w:hyperlink w:anchor="_Toc120547471" w:history="1">
        <w:r w:rsidR="00BE7B50" w:rsidRPr="00D4761A">
          <w:rPr>
            <w:rStyle w:val="Hypertextovodkaz"/>
          </w:rPr>
          <w:t>8</w:t>
        </w:r>
        <w:r w:rsidR="00BE7B50" w:rsidRPr="00D4761A">
          <w:rPr>
            <w:rFonts w:eastAsiaTheme="minorEastAsia"/>
            <w:b w:val="0"/>
            <w:sz w:val="22"/>
            <w:lang w:eastAsia="cs-CZ"/>
          </w:rPr>
          <w:tab/>
        </w:r>
        <w:r w:rsidR="00BE7B50" w:rsidRPr="00D4761A">
          <w:rPr>
            <w:rStyle w:val="Hypertextovodkaz"/>
          </w:rPr>
          <w:t>Seznam publikační a přednáškové aktivity (kongresové prezentace s abstraktem pouze jako první autor)</w:t>
        </w:r>
        <w:r w:rsidR="00BE7B50" w:rsidRPr="00D4761A">
          <w:rPr>
            <w:webHidden/>
          </w:rPr>
          <w:tab/>
        </w:r>
        <w:r w:rsidR="00BE7B50" w:rsidRPr="00D4761A">
          <w:rPr>
            <w:webHidden/>
          </w:rPr>
          <w:fldChar w:fldCharType="begin"/>
        </w:r>
        <w:r w:rsidR="00BE7B50" w:rsidRPr="00D4761A">
          <w:rPr>
            <w:webHidden/>
          </w:rPr>
          <w:instrText xml:space="preserve"> PAGEREF _Toc120547471 \h </w:instrText>
        </w:r>
        <w:r w:rsidR="00BE7B50" w:rsidRPr="00D4761A">
          <w:rPr>
            <w:webHidden/>
          </w:rPr>
        </w:r>
        <w:r w:rsidR="00BE7B50" w:rsidRPr="00D4761A">
          <w:rPr>
            <w:webHidden/>
          </w:rPr>
          <w:fldChar w:fldCharType="separate"/>
        </w:r>
        <w:r w:rsidR="00984F42" w:rsidRPr="00D4761A">
          <w:rPr>
            <w:webHidden/>
          </w:rPr>
          <w:t>66</w:t>
        </w:r>
        <w:r w:rsidR="00BE7B50" w:rsidRPr="00D4761A">
          <w:rPr>
            <w:webHidden/>
          </w:rPr>
          <w:fldChar w:fldCharType="end"/>
        </w:r>
      </w:hyperlink>
    </w:p>
    <w:p w14:paraId="2B8DC215" w14:textId="2251ED7C" w:rsidR="0052528B" w:rsidRPr="00D4761A" w:rsidRDefault="006208B9" w:rsidP="00AF5A33">
      <w:pPr>
        <w:rPr>
          <w:rFonts w:cstheme="minorHAnsi"/>
          <w:szCs w:val="24"/>
        </w:rPr>
      </w:pPr>
      <w:r w:rsidRPr="00D4761A">
        <w:rPr>
          <w:rFonts w:cstheme="minorHAnsi"/>
          <w:szCs w:val="24"/>
        </w:rPr>
        <w:fldChar w:fldCharType="end"/>
      </w:r>
    </w:p>
    <w:p w14:paraId="184DFAE7" w14:textId="601FF2ED" w:rsidR="00597804" w:rsidRPr="00D4761A" w:rsidRDefault="00672ED4" w:rsidP="00672ED4">
      <w:pPr>
        <w:pStyle w:val="Nadpis1"/>
        <w:numPr>
          <w:ilvl w:val="0"/>
          <w:numId w:val="0"/>
        </w:numPr>
        <w:ind w:left="432" w:hanging="432"/>
      </w:pPr>
      <w:bookmarkStart w:id="0" w:name="_Toc120547421"/>
      <w:r w:rsidRPr="00D4761A">
        <w:lastRenderedPageBreak/>
        <w:t>Cíle práce</w:t>
      </w:r>
      <w:bookmarkEnd w:id="0"/>
    </w:p>
    <w:p w14:paraId="168FCD56" w14:textId="32A09D00" w:rsidR="00616138" w:rsidRPr="00D4761A" w:rsidRDefault="00616138" w:rsidP="00616138">
      <w:pPr>
        <w:rPr>
          <w:rFonts w:cstheme="minorHAnsi"/>
          <w:szCs w:val="24"/>
        </w:rPr>
      </w:pPr>
      <w:r w:rsidRPr="00D4761A">
        <w:rPr>
          <w:rFonts w:cstheme="minorHAnsi"/>
          <w:szCs w:val="24"/>
        </w:rPr>
        <w:t xml:space="preserve">V teoretické části stručně definovat současné možnosti farmakologické </w:t>
      </w:r>
      <w:r w:rsidR="00672ED4" w:rsidRPr="00D4761A">
        <w:rPr>
          <w:rFonts w:cstheme="minorHAnsi"/>
          <w:szCs w:val="24"/>
        </w:rPr>
        <w:t>a </w:t>
      </w:r>
      <w:r w:rsidRPr="00D4761A">
        <w:rPr>
          <w:rFonts w:cstheme="minorHAnsi"/>
          <w:szCs w:val="24"/>
        </w:rPr>
        <w:t>nefarmakologické terapie pacientů se srdečním selháním se sníženou ejekční frakcí levé komory</w:t>
      </w:r>
    </w:p>
    <w:p w14:paraId="25C5187D" w14:textId="77777777" w:rsidR="00616138" w:rsidRPr="00D4761A" w:rsidRDefault="00616138" w:rsidP="00616138">
      <w:pPr>
        <w:rPr>
          <w:rFonts w:cstheme="minorHAnsi"/>
          <w:szCs w:val="24"/>
        </w:rPr>
      </w:pPr>
    </w:p>
    <w:p w14:paraId="30F7CA84" w14:textId="77777777" w:rsidR="00597804" w:rsidRPr="00D4761A" w:rsidRDefault="00616138" w:rsidP="00616138">
      <w:pPr>
        <w:rPr>
          <w:rFonts w:cstheme="minorHAnsi"/>
          <w:szCs w:val="24"/>
        </w:rPr>
      </w:pPr>
      <w:r w:rsidRPr="00D4761A">
        <w:rPr>
          <w:rFonts w:cstheme="minorHAnsi"/>
          <w:szCs w:val="24"/>
        </w:rPr>
        <w:t>V experimentální části 1:</w:t>
      </w:r>
    </w:p>
    <w:p w14:paraId="2D20F868" w14:textId="77777777" w:rsidR="00597804" w:rsidRPr="00D4761A" w:rsidRDefault="00597804" w:rsidP="00616138">
      <w:pPr>
        <w:rPr>
          <w:rFonts w:cstheme="minorHAnsi"/>
          <w:szCs w:val="24"/>
        </w:rPr>
      </w:pPr>
    </w:p>
    <w:p w14:paraId="79A5FF2C" w14:textId="77777777" w:rsidR="00597804" w:rsidRPr="00D4761A" w:rsidRDefault="00616138" w:rsidP="00616138">
      <w:pPr>
        <w:rPr>
          <w:rFonts w:cstheme="minorHAnsi"/>
          <w:szCs w:val="24"/>
        </w:rPr>
      </w:pPr>
      <w:r w:rsidRPr="00D4761A">
        <w:rPr>
          <w:rFonts w:cstheme="minorHAnsi"/>
          <w:szCs w:val="24"/>
        </w:rPr>
        <w:t>A/</w:t>
      </w:r>
    </w:p>
    <w:p w14:paraId="5A0B9A16" w14:textId="70FBC427" w:rsidR="00616138" w:rsidRPr="00D4761A" w:rsidRDefault="00616138" w:rsidP="00616138">
      <w:pPr>
        <w:rPr>
          <w:rFonts w:cstheme="minorHAnsi"/>
          <w:szCs w:val="24"/>
        </w:rPr>
      </w:pPr>
      <w:r w:rsidRPr="00D4761A">
        <w:rPr>
          <w:rFonts w:cstheme="minorHAnsi"/>
          <w:szCs w:val="24"/>
        </w:rPr>
        <w:t xml:space="preserve">porovnat základní charakteristiky ambulantních pacientů ze spádové oblasti Olomouckého kraje </w:t>
      </w:r>
      <w:r w:rsidR="00672ED4" w:rsidRPr="00D4761A">
        <w:rPr>
          <w:rFonts w:cstheme="minorHAnsi"/>
          <w:szCs w:val="24"/>
        </w:rPr>
        <w:t>a </w:t>
      </w:r>
      <w:r w:rsidRPr="00D4761A">
        <w:rPr>
          <w:rFonts w:cstheme="minorHAnsi"/>
          <w:szCs w:val="24"/>
        </w:rPr>
        <w:t>ambulantních pacientů z okresu Svitavy s daty ze studie Paradigm-HF</w:t>
      </w:r>
    </w:p>
    <w:p w14:paraId="0A233668" w14:textId="77777777" w:rsidR="00616138" w:rsidRPr="00D4761A" w:rsidRDefault="00616138" w:rsidP="00616138">
      <w:pPr>
        <w:rPr>
          <w:rFonts w:cstheme="minorHAnsi"/>
          <w:szCs w:val="24"/>
        </w:rPr>
      </w:pPr>
    </w:p>
    <w:p w14:paraId="2CB362AB" w14:textId="77777777" w:rsidR="00597804" w:rsidRPr="00D4761A" w:rsidRDefault="00616138" w:rsidP="00616138">
      <w:pPr>
        <w:rPr>
          <w:rFonts w:cstheme="minorHAnsi"/>
          <w:szCs w:val="24"/>
        </w:rPr>
      </w:pPr>
      <w:r w:rsidRPr="00D4761A">
        <w:rPr>
          <w:rFonts w:cstheme="minorHAnsi"/>
          <w:szCs w:val="24"/>
        </w:rPr>
        <w:t>B/</w:t>
      </w:r>
    </w:p>
    <w:p w14:paraId="651E4780" w14:textId="70FC1FF3" w:rsidR="00616138" w:rsidRPr="00D4761A" w:rsidRDefault="00616138" w:rsidP="00616138">
      <w:pPr>
        <w:rPr>
          <w:rFonts w:cstheme="minorHAnsi"/>
          <w:szCs w:val="24"/>
        </w:rPr>
      </w:pPr>
      <w:r w:rsidRPr="00D4761A">
        <w:rPr>
          <w:rFonts w:cstheme="minorHAnsi"/>
          <w:szCs w:val="24"/>
        </w:rPr>
        <w:t xml:space="preserve">porovnat reálnou farmakologickou </w:t>
      </w:r>
      <w:r w:rsidR="00672ED4" w:rsidRPr="00D4761A">
        <w:rPr>
          <w:rFonts w:cstheme="minorHAnsi"/>
          <w:szCs w:val="24"/>
        </w:rPr>
        <w:t>a </w:t>
      </w:r>
      <w:r w:rsidRPr="00D4761A">
        <w:rPr>
          <w:rFonts w:cstheme="minorHAnsi"/>
          <w:szCs w:val="24"/>
        </w:rPr>
        <w:t xml:space="preserve">nefarmakologickou terapii chronického srdečního selhání se sníženou ejekční frakcí levé komory </w:t>
      </w:r>
      <w:r w:rsidR="00672ED4" w:rsidRPr="00D4761A">
        <w:rPr>
          <w:rFonts w:cstheme="minorHAnsi"/>
          <w:szCs w:val="24"/>
        </w:rPr>
        <w:t>u </w:t>
      </w:r>
      <w:r w:rsidRPr="00D4761A">
        <w:rPr>
          <w:rFonts w:cstheme="minorHAnsi"/>
          <w:szCs w:val="24"/>
        </w:rPr>
        <w:t xml:space="preserve">ambulantních pacientů ze spádové oblasti Olomouckého kraje </w:t>
      </w:r>
      <w:r w:rsidR="00672ED4" w:rsidRPr="00D4761A">
        <w:rPr>
          <w:rFonts w:cstheme="minorHAnsi"/>
          <w:szCs w:val="24"/>
        </w:rPr>
        <w:t>a </w:t>
      </w:r>
      <w:r w:rsidRPr="00D4761A">
        <w:rPr>
          <w:rFonts w:cstheme="minorHAnsi"/>
          <w:szCs w:val="24"/>
        </w:rPr>
        <w:t>ambulantních pacientů z okresu Svitavy s daty ze studie Paradigm-HF</w:t>
      </w:r>
    </w:p>
    <w:p w14:paraId="55A9ED7D" w14:textId="77777777" w:rsidR="00616138" w:rsidRPr="00D4761A" w:rsidRDefault="00616138" w:rsidP="00616138">
      <w:pPr>
        <w:rPr>
          <w:rFonts w:cstheme="minorHAnsi"/>
          <w:szCs w:val="24"/>
        </w:rPr>
      </w:pPr>
    </w:p>
    <w:p w14:paraId="5031C5A1" w14:textId="77777777" w:rsidR="00597804" w:rsidRPr="00D4761A" w:rsidRDefault="00616138" w:rsidP="00616138">
      <w:pPr>
        <w:rPr>
          <w:rFonts w:cstheme="minorHAnsi"/>
          <w:szCs w:val="24"/>
        </w:rPr>
      </w:pPr>
      <w:r w:rsidRPr="00D4761A">
        <w:rPr>
          <w:rFonts w:cstheme="minorHAnsi"/>
          <w:szCs w:val="24"/>
        </w:rPr>
        <w:t>V experimentální části 2:</w:t>
      </w:r>
    </w:p>
    <w:p w14:paraId="301A1306" w14:textId="78DCF862" w:rsidR="00616138" w:rsidRPr="00D4761A" w:rsidRDefault="00616138" w:rsidP="00616138">
      <w:pPr>
        <w:rPr>
          <w:rFonts w:cstheme="minorHAnsi"/>
          <w:szCs w:val="24"/>
        </w:rPr>
      </w:pPr>
    </w:p>
    <w:p w14:paraId="282B4488" w14:textId="77777777" w:rsidR="00597804" w:rsidRPr="00D4761A" w:rsidRDefault="00616138" w:rsidP="00616138">
      <w:pPr>
        <w:rPr>
          <w:rFonts w:cstheme="minorHAnsi"/>
          <w:szCs w:val="24"/>
        </w:rPr>
      </w:pPr>
      <w:r w:rsidRPr="00D4761A">
        <w:rPr>
          <w:rFonts w:cstheme="minorHAnsi"/>
          <w:szCs w:val="24"/>
        </w:rPr>
        <w:t>C/</w:t>
      </w:r>
    </w:p>
    <w:p w14:paraId="2BAD353F" w14:textId="78E76E51" w:rsidR="00616138" w:rsidRPr="00D4761A" w:rsidRDefault="00616138" w:rsidP="00616138">
      <w:pPr>
        <w:rPr>
          <w:rFonts w:cstheme="minorHAnsi"/>
          <w:szCs w:val="24"/>
        </w:rPr>
      </w:pPr>
      <w:r w:rsidRPr="00D4761A">
        <w:rPr>
          <w:rFonts w:cstheme="minorHAnsi"/>
          <w:szCs w:val="24"/>
        </w:rPr>
        <w:t>zjistit adherenci pacientů k farmakoterapii v prospektivním registru pacientů (LEVEL-CHF) Ambulance srdečního selhání I. Interní kliniky-kardiologické Fakultní nemocnice Olomouc</w:t>
      </w:r>
    </w:p>
    <w:p w14:paraId="2EE08AD4" w14:textId="77777777" w:rsidR="00616138" w:rsidRPr="00D4761A" w:rsidRDefault="00616138" w:rsidP="00616138">
      <w:pPr>
        <w:rPr>
          <w:rFonts w:cstheme="minorHAnsi"/>
          <w:szCs w:val="24"/>
        </w:rPr>
      </w:pPr>
    </w:p>
    <w:p w14:paraId="773AB1CB" w14:textId="77777777" w:rsidR="00616138" w:rsidRPr="00D4761A" w:rsidRDefault="00616138" w:rsidP="00616138">
      <w:pPr>
        <w:rPr>
          <w:rFonts w:cstheme="minorHAnsi"/>
          <w:szCs w:val="24"/>
        </w:rPr>
      </w:pPr>
      <w:r w:rsidRPr="00D4761A">
        <w:rPr>
          <w:rFonts w:cstheme="minorHAnsi"/>
          <w:szCs w:val="24"/>
        </w:rPr>
        <w:t>D/</w:t>
      </w:r>
    </w:p>
    <w:p w14:paraId="21C39D3A" w14:textId="5DE7EFCC" w:rsidR="00616138" w:rsidRPr="00D4761A" w:rsidRDefault="00616138" w:rsidP="00616138">
      <w:pPr>
        <w:rPr>
          <w:rFonts w:cstheme="minorHAnsi"/>
          <w:szCs w:val="24"/>
        </w:rPr>
      </w:pPr>
      <w:r w:rsidRPr="00D4761A">
        <w:rPr>
          <w:rFonts w:cstheme="minorHAnsi"/>
          <w:szCs w:val="24"/>
        </w:rPr>
        <w:t xml:space="preserve">porovnat klinické </w:t>
      </w:r>
      <w:r w:rsidR="00672ED4" w:rsidRPr="00D4761A">
        <w:rPr>
          <w:rFonts w:cstheme="minorHAnsi"/>
          <w:szCs w:val="24"/>
        </w:rPr>
        <w:t>a </w:t>
      </w:r>
      <w:r w:rsidRPr="00D4761A">
        <w:rPr>
          <w:rFonts w:cstheme="minorHAnsi"/>
          <w:szCs w:val="24"/>
        </w:rPr>
        <w:t xml:space="preserve">laboratorní parametry mezi adherentními </w:t>
      </w:r>
      <w:r w:rsidR="00672ED4" w:rsidRPr="00D4761A">
        <w:rPr>
          <w:rFonts w:cstheme="minorHAnsi"/>
          <w:szCs w:val="24"/>
        </w:rPr>
        <w:t>a </w:t>
      </w:r>
      <w:r w:rsidRPr="00D4761A">
        <w:rPr>
          <w:rFonts w:cstheme="minorHAnsi"/>
          <w:szCs w:val="24"/>
        </w:rPr>
        <w:t>neadherentními pacienty, najít predik</w:t>
      </w:r>
      <w:r w:rsidR="00AA1F75" w:rsidRPr="00D4761A">
        <w:rPr>
          <w:rFonts w:cstheme="minorHAnsi"/>
          <w:szCs w:val="24"/>
        </w:rPr>
        <w:t>t</w:t>
      </w:r>
      <w:r w:rsidRPr="00D4761A">
        <w:rPr>
          <w:rFonts w:cstheme="minorHAnsi"/>
          <w:szCs w:val="24"/>
        </w:rPr>
        <w:t>or/y nonadherence</w:t>
      </w:r>
    </w:p>
    <w:p w14:paraId="220CBFA9" w14:textId="43B20C7B" w:rsidR="00AF5A33" w:rsidRPr="00D4761A" w:rsidRDefault="00AF5A33" w:rsidP="00AF5A33">
      <w:pPr>
        <w:rPr>
          <w:rFonts w:cstheme="minorHAnsi"/>
          <w:szCs w:val="24"/>
        </w:rPr>
      </w:pPr>
      <w:r w:rsidRPr="00D4761A">
        <w:rPr>
          <w:rFonts w:cstheme="minorHAnsi"/>
          <w:szCs w:val="24"/>
        </w:rPr>
        <w:br w:type="page"/>
      </w:r>
    </w:p>
    <w:p w14:paraId="5E217EA0" w14:textId="49DB1B1C" w:rsidR="00AF5A33" w:rsidRPr="00D4761A" w:rsidRDefault="00672ED4" w:rsidP="00672ED4">
      <w:pPr>
        <w:pStyle w:val="Nadpis1"/>
      </w:pPr>
      <w:bookmarkStart w:id="1" w:name="_Toc120547422"/>
      <w:r w:rsidRPr="00D4761A">
        <w:lastRenderedPageBreak/>
        <w:t>Úvod</w:t>
      </w:r>
      <w:bookmarkEnd w:id="1"/>
    </w:p>
    <w:p w14:paraId="177C8A96" w14:textId="5F3A7954" w:rsidR="00597804" w:rsidRPr="00D4761A" w:rsidRDefault="00B24EE7" w:rsidP="00672ED4">
      <w:pPr>
        <w:ind w:firstLine="708"/>
        <w:rPr>
          <w:rFonts w:cstheme="minorHAnsi"/>
          <w:szCs w:val="24"/>
        </w:rPr>
      </w:pPr>
      <w:r w:rsidRPr="00D4761A">
        <w:rPr>
          <w:rFonts w:cstheme="minorHAnsi"/>
          <w:szCs w:val="24"/>
        </w:rPr>
        <w:t>P</w:t>
      </w:r>
      <w:r w:rsidR="00AF5A33" w:rsidRPr="00D4761A">
        <w:rPr>
          <w:rFonts w:cstheme="minorHAnsi"/>
          <w:szCs w:val="24"/>
        </w:rPr>
        <w:t xml:space="preserve">řes </w:t>
      </w:r>
      <w:r w:rsidR="00E74871" w:rsidRPr="00D4761A">
        <w:rPr>
          <w:rFonts w:cstheme="minorHAnsi"/>
          <w:szCs w:val="24"/>
        </w:rPr>
        <w:t xml:space="preserve">nesporné </w:t>
      </w:r>
      <w:r w:rsidR="00AF5A33" w:rsidRPr="00D4761A">
        <w:rPr>
          <w:rFonts w:cstheme="minorHAnsi"/>
          <w:szCs w:val="24"/>
        </w:rPr>
        <w:t xml:space="preserve">pokroky v diagnostice </w:t>
      </w:r>
      <w:r w:rsidR="00672ED4" w:rsidRPr="00D4761A">
        <w:rPr>
          <w:rFonts w:cstheme="minorHAnsi"/>
          <w:szCs w:val="24"/>
        </w:rPr>
        <w:t>a </w:t>
      </w:r>
      <w:r w:rsidR="00AF5A33" w:rsidRPr="00D4761A">
        <w:rPr>
          <w:rFonts w:cstheme="minorHAnsi"/>
          <w:szCs w:val="24"/>
        </w:rPr>
        <w:t>léčbě kardiovaskulárních onemocnění v posledních 70 letech</w:t>
      </w:r>
      <w:r w:rsidR="00E74871" w:rsidRPr="00D4761A">
        <w:rPr>
          <w:rFonts w:cstheme="minorHAnsi"/>
          <w:szCs w:val="24"/>
        </w:rPr>
        <w:t xml:space="preserve"> zůstává srdeční selhání významným zdravotním </w:t>
      </w:r>
      <w:r w:rsidR="00672ED4" w:rsidRPr="00D4761A">
        <w:rPr>
          <w:rFonts w:cstheme="minorHAnsi"/>
          <w:szCs w:val="24"/>
        </w:rPr>
        <w:t>a </w:t>
      </w:r>
      <w:r w:rsidR="00E74871" w:rsidRPr="00D4761A">
        <w:rPr>
          <w:rFonts w:cstheme="minorHAnsi"/>
          <w:szCs w:val="24"/>
        </w:rPr>
        <w:t>socioekonomickým problémem</w:t>
      </w:r>
      <w:r w:rsidR="00AF5A33" w:rsidRPr="00D4761A">
        <w:rPr>
          <w:rFonts w:cstheme="minorHAnsi"/>
          <w:szCs w:val="24"/>
        </w:rPr>
        <w:t xml:space="preserve">. Incidence srdečního selhání </w:t>
      </w:r>
      <w:r w:rsidR="00672ED4" w:rsidRPr="00D4761A">
        <w:rPr>
          <w:rFonts w:cstheme="minorHAnsi"/>
          <w:szCs w:val="24"/>
        </w:rPr>
        <w:t>v </w:t>
      </w:r>
      <w:r w:rsidR="00AF5A33" w:rsidRPr="00D4761A">
        <w:rPr>
          <w:rFonts w:cstheme="minorHAnsi"/>
          <w:szCs w:val="24"/>
        </w:rPr>
        <w:t>České republice</w:t>
      </w:r>
      <w:r w:rsidR="00E74871" w:rsidRPr="00D4761A">
        <w:rPr>
          <w:rFonts w:cstheme="minorHAnsi"/>
          <w:szCs w:val="24"/>
        </w:rPr>
        <w:t xml:space="preserve">, podle </w:t>
      </w:r>
      <w:r w:rsidR="00AF5A33" w:rsidRPr="00D4761A">
        <w:rPr>
          <w:rFonts w:cstheme="minorHAnsi"/>
          <w:szCs w:val="24"/>
        </w:rPr>
        <w:t>dat zdravotních pojišťoven</w:t>
      </w:r>
      <w:r w:rsidR="00E74871" w:rsidRPr="00D4761A">
        <w:rPr>
          <w:rFonts w:cstheme="minorHAnsi"/>
          <w:szCs w:val="24"/>
        </w:rPr>
        <w:t>,</w:t>
      </w:r>
      <w:r w:rsidR="00AF5A33" w:rsidRPr="00D4761A">
        <w:rPr>
          <w:rFonts w:cstheme="minorHAnsi"/>
          <w:szCs w:val="24"/>
        </w:rPr>
        <w:t xml:space="preserve"> </w:t>
      </w:r>
      <w:r w:rsidR="00E74871" w:rsidRPr="00D4761A">
        <w:rPr>
          <w:rFonts w:cstheme="minorHAnsi"/>
          <w:szCs w:val="24"/>
        </w:rPr>
        <w:t xml:space="preserve">byla </w:t>
      </w:r>
      <w:r w:rsidR="00AF5A33" w:rsidRPr="00D4761A">
        <w:rPr>
          <w:rFonts w:cstheme="minorHAnsi"/>
          <w:szCs w:val="24"/>
        </w:rPr>
        <w:t>v roce 2016 544 osob/ 100 000 obyvatel, v roce 2018 551 osob/100</w:t>
      </w:r>
      <w:r w:rsidR="00DA234A" w:rsidRPr="00D4761A">
        <w:rPr>
          <w:rFonts w:cstheme="minorHAnsi"/>
          <w:szCs w:val="24"/>
        </w:rPr>
        <w:t> </w:t>
      </w:r>
      <w:r w:rsidR="00AF5A33" w:rsidRPr="00D4761A">
        <w:rPr>
          <w:rFonts w:cstheme="minorHAnsi"/>
          <w:szCs w:val="24"/>
        </w:rPr>
        <w:t xml:space="preserve">000 obyvatel (1). </w:t>
      </w:r>
      <w:r w:rsidR="007104A0" w:rsidRPr="00D4761A">
        <w:rPr>
          <w:rFonts w:cstheme="minorHAnsi"/>
          <w:szCs w:val="24"/>
        </w:rPr>
        <w:t>Stoupá p</w:t>
      </w:r>
      <w:r w:rsidR="00AF5A33" w:rsidRPr="00D4761A">
        <w:rPr>
          <w:rFonts w:cstheme="minorHAnsi"/>
          <w:szCs w:val="24"/>
        </w:rPr>
        <w:t xml:space="preserve">revalence </w:t>
      </w:r>
      <w:r w:rsidR="007104A0" w:rsidRPr="00D4761A">
        <w:rPr>
          <w:rFonts w:cstheme="minorHAnsi"/>
          <w:szCs w:val="24"/>
        </w:rPr>
        <w:t>srdečního selhání;</w:t>
      </w:r>
      <w:r w:rsidR="00AF5A33" w:rsidRPr="00D4761A">
        <w:rPr>
          <w:rFonts w:cstheme="minorHAnsi"/>
          <w:szCs w:val="24"/>
        </w:rPr>
        <w:t xml:space="preserve"> v roce 2012 </w:t>
      </w:r>
      <w:r w:rsidR="005614EE" w:rsidRPr="00D4761A">
        <w:rPr>
          <w:rFonts w:cstheme="minorHAnsi"/>
          <w:szCs w:val="24"/>
        </w:rPr>
        <w:t xml:space="preserve">byla </w:t>
      </w:r>
      <w:r w:rsidR="00AF5A33" w:rsidRPr="00D4761A">
        <w:rPr>
          <w:rFonts w:cstheme="minorHAnsi"/>
          <w:szCs w:val="24"/>
        </w:rPr>
        <w:t>1679 pacientů/100</w:t>
      </w:r>
      <w:r w:rsidR="00DA234A" w:rsidRPr="00D4761A">
        <w:rPr>
          <w:rFonts w:cstheme="minorHAnsi"/>
          <w:szCs w:val="24"/>
        </w:rPr>
        <w:t> </w:t>
      </w:r>
      <w:r w:rsidR="00AF5A33" w:rsidRPr="00D4761A">
        <w:rPr>
          <w:rFonts w:cstheme="minorHAnsi"/>
          <w:szCs w:val="24"/>
        </w:rPr>
        <w:t xml:space="preserve">000 obyvatel, </w:t>
      </w:r>
      <w:r w:rsidR="00672ED4" w:rsidRPr="00D4761A">
        <w:rPr>
          <w:rFonts w:cstheme="minorHAnsi"/>
          <w:szCs w:val="24"/>
        </w:rPr>
        <w:t>v </w:t>
      </w:r>
      <w:r w:rsidR="00AF5A33" w:rsidRPr="00D4761A">
        <w:rPr>
          <w:rFonts w:cstheme="minorHAnsi"/>
          <w:szCs w:val="24"/>
        </w:rPr>
        <w:t>roce 2018 již 2689/ 100 000 (1).</w:t>
      </w:r>
      <w:r w:rsidR="00597804" w:rsidRPr="00D4761A">
        <w:rPr>
          <w:rFonts w:cstheme="minorHAnsi"/>
          <w:szCs w:val="24"/>
        </w:rPr>
        <w:t xml:space="preserve"> </w:t>
      </w:r>
      <w:r w:rsidR="00917BD6" w:rsidRPr="00D4761A">
        <w:rPr>
          <w:rFonts w:cstheme="minorHAnsi"/>
          <w:szCs w:val="24"/>
        </w:rPr>
        <w:t xml:space="preserve">Výrazný nárůst prevalence srdečního selhání pozorujeme ve vyšších věkových skupinách, </w:t>
      </w:r>
      <w:r w:rsidR="00AF5A33" w:rsidRPr="00D4761A">
        <w:rPr>
          <w:rFonts w:cstheme="minorHAnsi"/>
          <w:szCs w:val="24"/>
        </w:rPr>
        <w:t xml:space="preserve">prevalence </w:t>
      </w:r>
      <w:r w:rsidR="00672ED4" w:rsidRPr="00D4761A">
        <w:rPr>
          <w:rFonts w:cstheme="minorHAnsi"/>
          <w:szCs w:val="24"/>
        </w:rPr>
        <w:t>u </w:t>
      </w:r>
      <w:r w:rsidR="00AF5A33" w:rsidRPr="00D4761A">
        <w:rPr>
          <w:rFonts w:cstheme="minorHAnsi"/>
          <w:szCs w:val="24"/>
        </w:rPr>
        <w:t>osob nad 60 let věku stoupá nad 10</w:t>
      </w:r>
      <w:r w:rsidR="00672ED4" w:rsidRPr="00D4761A">
        <w:rPr>
          <w:rFonts w:cstheme="minorHAnsi"/>
          <w:szCs w:val="24"/>
        </w:rPr>
        <w:t> %</w:t>
      </w:r>
      <w:r w:rsidR="00AF5A33" w:rsidRPr="00D4761A">
        <w:rPr>
          <w:rFonts w:cstheme="minorHAnsi"/>
          <w:szCs w:val="24"/>
        </w:rPr>
        <w:t xml:space="preserve"> (2).</w:t>
      </w:r>
      <w:r w:rsidR="00597804" w:rsidRPr="00D4761A">
        <w:rPr>
          <w:rFonts w:cstheme="minorHAnsi"/>
          <w:szCs w:val="24"/>
        </w:rPr>
        <w:t xml:space="preserve"> </w:t>
      </w:r>
      <w:r w:rsidR="00AF5A33" w:rsidRPr="00D4761A">
        <w:rPr>
          <w:rFonts w:cstheme="minorHAnsi"/>
          <w:szCs w:val="24"/>
        </w:rPr>
        <w:t>Pacienti se sníženou systolicko</w:t>
      </w:r>
      <w:r w:rsidR="00DA234A" w:rsidRPr="00D4761A">
        <w:rPr>
          <w:rFonts w:cstheme="minorHAnsi"/>
          <w:szCs w:val="24"/>
        </w:rPr>
        <w:t>u funkcí levé komory (HFrEF) re</w:t>
      </w:r>
      <w:r w:rsidR="00AF5A33" w:rsidRPr="00D4761A">
        <w:rPr>
          <w:rFonts w:cstheme="minorHAnsi"/>
          <w:szCs w:val="24"/>
        </w:rPr>
        <w:t>prezentují 60</w:t>
      </w:r>
      <w:r w:rsidR="00672ED4" w:rsidRPr="00D4761A">
        <w:rPr>
          <w:rFonts w:cstheme="minorHAnsi"/>
          <w:szCs w:val="24"/>
        </w:rPr>
        <w:t> %</w:t>
      </w:r>
      <w:r w:rsidR="00AF5A33" w:rsidRPr="00D4761A">
        <w:rPr>
          <w:rFonts w:cstheme="minorHAnsi"/>
          <w:szCs w:val="24"/>
        </w:rPr>
        <w:t xml:space="preserve"> pacientů se srdečním selháním, pacienti s </w:t>
      </w:r>
      <w:r w:rsidR="000B29AA" w:rsidRPr="00D4761A">
        <w:rPr>
          <w:rFonts w:cstheme="minorHAnsi"/>
          <w:szCs w:val="24"/>
        </w:rPr>
        <w:t>mírně</w:t>
      </w:r>
      <w:r w:rsidR="00AF5A33" w:rsidRPr="00D4761A">
        <w:rPr>
          <w:rFonts w:cstheme="minorHAnsi"/>
          <w:szCs w:val="24"/>
        </w:rPr>
        <w:t xml:space="preserve"> sníženou systolickou funkcí levé komory (HFmrEF) 24</w:t>
      </w:r>
      <w:r w:rsidR="00672ED4" w:rsidRPr="00D4761A">
        <w:rPr>
          <w:rFonts w:cstheme="minorHAnsi"/>
          <w:szCs w:val="24"/>
        </w:rPr>
        <w:t> %</w:t>
      </w:r>
      <w:r w:rsidR="00AF5A33" w:rsidRPr="00D4761A">
        <w:rPr>
          <w:rFonts w:cstheme="minorHAnsi"/>
          <w:szCs w:val="24"/>
        </w:rPr>
        <w:t xml:space="preserve"> populace pacientů se srdečním selháním, 16</w:t>
      </w:r>
      <w:r w:rsidR="00672ED4" w:rsidRPr="00D4761A">
        <w:rPr>
          <w:rFonts w:cstheme="minorHAnsi"/>
          <w:szCs w:val="24"/>
        </w:rPr>
        <w:t> %</w:t>
      </w:r>
      <w:r w:rsidR="00AF5A33" w:rsidRPr="00D4761A">
        <w:rPr>
          <w:rFonts w:cstheme="minorHAnsi"/>
          <w:szCs w:val="24"/>
        </w:rPr>
        <w:t xml:space="preserve"> procent tvoří pacienti se zachovalou systolickou funkcí levé komory (HFpEF) (3).</w:t>
      </w:r>
    </w:p>
    <w:p w14:paraId="087FACB3" w14:textId="7EE4B5DC" w:rsidR="00597804" w:rsidRPr="00D4761A" w:rsidRDefault="00917BD6" w:rsidP="00672ED4">
      <w:pPr>
        <w:ind w:firstLine="708"/>
        <w:rPr>
          <w:rFonts w:cstheme="minorHAnsi"/>
          <w:szCs w:val="24"/>
        </w:rPr>
      </w:pPr>
      <w:r w:rsidRPr="00D4761A">
        <w:rPr>
          <w:rFonts w:cstheme="minorHAnsi"/>
          <w:szCs w:val="24"/>
        </w:rPr>
        <w:t xml:space="preserve">Podle </w:t>
      </w:r>
      <w:r w:rsidR="00AF5A33" w:rsidRPr="00D4761A">
        <w:rPr>
          <w:rFonts w:cstheme="minorHAnsi"/>
          <w:szCs w:val="24"/>
        </w:rPr>
        <w:t xml:space="preserve">ESC-HF Long Term Registry </w:t>
      </w:r>
      <w:r w:rsidRPr="00D4761A">
        <w:rPr>
          <w:rFonts w:cstheme="minorHAnsi"/>
          <w:szCs w:val="24"/>
        </w:rPr>
        <w:t xml:space="preserve">byla </w:t>
      </w:r>
      <w:r w:rsidR="00672ED4" w:rsidRPr="00D4761A">
        <w:rPr>
          <w:rFonts w:cstheme="minorHAnsi"/>
          <w:szCs w:val="24"/>
        </w:rPr>
        <w:t>u </w:t>
      </w:r>
      <w:r w:rsidRPr="00D4761A">
        <w:rPr>
          <w:rFonts w:cstheme="minorHAnsi"/>
          <w:szCs w:val="24"/>
        </w:rPr>
        <w:t xml:space="preserve">evropských </w:t>
      </w:r>
      <w:r w:rsidR="00AF5A33" w:rsidRPr="00D4761A">
        <w:rPr>
          <w:rFonts w:cstheme="minorHAnsi"/>
          <w:szCs w:val="24"/>
        </w:rPr>
        <w:t>pacientů s</w:t>
      </w:r>
      <w:r w:rsidRPr="00D4761A">
        <w:rPr>
          <w:rFonts w:cstheme="minorHAnsi"/>
          <w:szCs w:val="24"/>
        </w:rPr>
        <w:t> </w:t>
      </w:r>
      <w:r w:rsidR="00AF5A33" w:rsidRPr="00D4761A">
        <w:rPr>
          <w:rFonts w:cstheme="minorHAnsi"/>
          <w:szCs w:val="24"/>
        </w:rPr>
        <w:t>HFrEF</w:t>
      </w:r>
      <w:r w:rsidRPr="00D4761A">
        <w:rPr>
          <w:rFonts w:cstheme="minorHAnsi"/>
          <w:szCs w:val="24"/>
        </w:rPr>
        <w:t xml:space="preserve"> roční mortalita</w:t>
      </w:r>
      <w:r w:rsidR="00AF5A33" w:rsidRPr="00D4761A">
        <w:rPr>
          <w:rFonts w:cstheme="minorHAnsi"/>
          <w:szCs w:val="24"/>
        </w:rPr>
        <w:t xml:space="preserve"> 8,8</w:t>
      </w:r>
      <w:r w:rsidR="00672ED4" w:rsidRPr="00D4761A">
        <w:rPr>
          <w:rFonts w:cstheme="minorHAnsi"/>
          <w:szCs w:val="24"/>
        </w:rPr>
        <w:t> %</w:t>
      </w:r>
      <w:r w:rsidR="00AF5A33" w:rsidRPr="00D4761A">
        <w:rPr>
          <w:rFonts w:cstheme="minorHAnsi"/>
          <w:szCs w:val="24"/>
        </w:rPr>
        <w:t>, s HFmrEF 7,6</w:t>
      </w:r>
      <w:r w:rsidR="00672ED4" w:rsidRPr="00D4761A">
        <w:rPr>
          <w:rFonts w:cstheme="minorHAnsi"/>
          <w:szCs w:val="24"/>
        </w:rPr>
        <w:t> %</w:t>
      </w:r>
      <w:r w:rsidR="00AF5A33" w:rsidRPr="00D4761A">
        <w:rPr>
          <w:rFonts w:cstheme="minorHAnsi"/>
          <w:szCs w:val="24"/>
        </w:rPr>
        <w:t xml:space="preserve"> </w:t>
      </w:r>
      <w:r w:rsidR="00672ED4" w:rsidRPr="00D4761A">
        <w:rPr>
          <w:rFonts w:cstheme="minorHAnsi"/>
          <w:szCs w:val="24"/>
        </w:rPr>
        <w:t>a </w:t>
      </w:r>
      <w:r w:rsidR="00AF5A33" w:rsidRPr="00D4761A">
        <w:rPr>
          <w:rFonts w:cstheme="minorHAnsi"/>
          <w:szCs w:val="24"/>
        </w:rPr>
        <w:t>s HFpEF 6,3</w:t>
      </w:r>
      <w:r w:rsidR="00672ED4" w:rsidRPr="00D4761A">
        <w:rPr>
          <w:rFonts w:cstheme="minorHAnsi"/>
          <w:szCs w:val="24"/>
        </w:rPr>
        <w:t> %</w:t>
      </w:r>
      <w:r w:rsidR="00AF5A33" w:rsidRPr="00D4761A">
        <w:rPr>
          <w:rFonts w:cstheme="minorHAnsi"/>
          <w:szCs w:val="24"/>
        </w:rPr>
        <w:t>.</w:t>
      </w:r>
      <w:r w:rsidR="00597804" w:rsidRPr="00D4761A">
        <w:rPr>
          <w:rFonts w:cstheme="minorHAnsi"/>
          <w:szCs w:val="24"/>
        </w:rPr>
        <w:t xml:space="preserve"> </w:t>
      </w:r>
      <w:r w:rsidR="003C49FC" w:rsidRPr="00D4761A">
        <w:rPr>
          <w:rFonts w:cstheme="minorHAnsi"/>
          <w:szCs w:val="24"/>
        </w:rPr>
        <w:t>P</w:t>
      </w:r>
      <w:r w:rsidR="00AF5A33" w:rsidRPr="00D4761A">
        <w:rPr>
          <w:rFonts w:cstheme="minorHAnsi"/>
          <w:szCs w:val="24"/>
        </w:rPr>
        <w:t>rediktor</w:t>
      </w:r>
      <w:r w:rsidR="003C49FC" w:rsidRPr="00D4761A">
        <w:rPr>
          <w:rFonts w:cstheme="minorHAnsi"/>
          <w:szCs w:val="24"/>
        </w:rPr>
        <w:t>em</w:t>
      </w:r>
      <w:r w:rsidR="00AF5A33" w:rsidRPr="00D4761A">
        <w:rPr>
          <w:rFonts w:cstheme="minorHAnsi"/>
          <w:szCs w:val="24"/>
        </w:rPr>
        <w:t xml:space="preserve"> úmrtí</w:t>
      </w:r>
      <w:r w:rsidR="003C49FC" w:rsidRPr="00D4761A">
        <w:rPr>
          <w:rFonts w:cstheme="minorHAnsi"/>
          <w:szCs w:val="24"/>
        </w:rPr>
        <w:t xml:space="preserve"> nezávislým na ejekční frakci levé komory byl</w:t>
      </w:r>
      <w:r w:rsidR="00AF5A33" w:rsidRPr="00D4761A">
        <w:rPr>
          <w:rFonts w:cstheme="minorHAnsi"/>
          <w:szCs w:val="24"/>
        </w:rPr>
        <w:t xml:space="preserve"> věk, funkční třída NYHA III-IV </w:t>
      </w:r>
      <w:r w:rsidR="003C49FC" w:rsidRPr="00D4761A">
        <w:rPr>
          <w:rFonts w:cstheme="minorHAnsi"/>
          <w:szCs w:val="24"/>
        </w:rPr>
        <w:t>a</w:t>
      </w:r>
      <w:r w:rsidR="00AF5A33" w:rsidRPr="00D4761A">
        <w:rPr>
          <w:rFonts w:cstheme="minorHAnsi"/>
          <w:szCs w:val="24"/>
        </w:rPr>
        <w:t xml:space="preserve"> přítomnost chronické renální insuficience (3). Recentně reportovaná roční mortalita </w:t>
      </w:r>
      <w:r w:rsidR="00672ED4" w:rsidRPr="00D4761A">
        <w:rPr>
          <w:rFonts w:cstheme="minorHAnsi"/>
          <w:szCs w:val="24"/>
        </w:rPr>
        <w:t>u </w:t>
      </w:r>
      <w:r w:rsidR="00AF5A33" w:rsidRPr="00D4761A">
        <w:rPr>
          <w:rFonts w:cstheme="minorHAnsi"/>
          <w:szCs w:val="24"/>
        </w:rPr>
        <w:t xml:space="preserve">pacientů se srdečním selháním v České republice </w:t>
      </w:r>
      <w:r w:rsidR="003C49FC" w:rsidRPr="00D4761A">
        <w:rPr>
          <w:rFonts w:cstheme="minorHAnsi"/>
          <w:szCs w:val="24"/>
        </w:rPr>
        <w:t>byla</w:t>
      </w:r>
      <w:r w:rsidR="00AF5A33" w:rsidRPr="00D4761A">
        <w:rPr>
          <w:rFonts w:cstheme="minorHAnsi"/>
          <w:szCs w:val="24"/>
        </w:rPr>
        <w:t xml:space="preserve"> výrazně vyšší </w:t>
      </w:r>
      <w:r w:rsidR="00672ED4" w:rsidRPr="00D4761A">
        <w:rPr>
          <w:rFonts w:cstheme="minorHAnsi"/>
          <w:szCs w:val="24"/>
        </w:rPr>
        <w:t>a </w:t>
      </w:r>
      <w:r w:rsidR="00AF5A33" w:rsidRPr="00D4761A">
        <w:rPr>
          <w:rFonts w:cstheme="minorHAnsi"/>
          <w:szCs w:val="24"/>
        </w:rPr>
        <w:t>to 15,9</w:t>
      </w:r>
      <w:r w:rsidR="00672ED4" w:rsidRPr="00D4761A">
        <w:rPr>
          <w:rFonts w:cstheme="minorHAnsi"/>
          <w:szCs w:val="24"/>
        </w:rPr>
        <w:t> %</w:t>
      </w:r>
      <w:r w:rsidR="00AF5A33" w:rsidRPr="00D4761A">
        <w:rPr>
          <w:rFonts w:cstheme="minorHAnsi"/>
          <w:szCs w:val="24"/>
        </w:rPr>
        <w:t xml:space="preserve"> </w:t>
      </w:r>
      <w:r w:rsidR="0019723D" w:rsidRPr="00D4761A">
        <w:rPr>
          <w:rFonts w:cstheme="minorHAnsi"/>
          <w:szCs w:val="24"/>
        </w:rPr>
        <w:t xml:space="preserve">(1) </w:t>
      </w:r>
      <w:r w:rsidR="00AF5A33" w:rsidRPr="00D4761A">
        <w:rPr>
          <w:rFonts w:cstheme="minorHAnsi"/>
          <w:szCs w:val="24"/>
        </w:rPr>
        <w:t>než v ESC-HF Lont Term Registry, kde byla reportována 8,1</w:t>
      </w:r>
      <w:r w:rsidR="00672ED4" w:rsidRPr="00D4761A">
        <w:rPr>
          <w:rFonts w:cstheme="minorHAnsi"/>
          <w:szCs w:val="24"/>
        </w:rPr>
        <w:t> %</w:t>
      </w:r>
      <w:r w:rsidR="00B9408C" w:rsidRPr="00D4761A">
        <w:rPr>
          <w:rFonts w:cstheme="minorHAnsi"/>
          <w:szCs w:val="24"/>
        </w:rPr>
        <w:t xml:space="preserve"> (3)</w:t>
      </w:r>
      <w:r w:rsidR="00AF5A33" w:rsidRPr="00D4761A">
        <w:rPr>
          <w:rFonts w:cstheme="minorHAnsi"/>
          <w:szCs w:val="24"/>
        </w:rPr>
        <w:t xml:space="preserve">. Pouze teoretickým vysvětlením rozdílu v mortalitě je selekční bias průřezové studie ESC-HF Long Term Registry, která zahrnovala pouze pacienty léčené kardiology nikoliv pacienty se srdečním selháním </w:t>
      </w:r>
      <w:r w:rsidR="00672ED4" w:rsidRPr="00D4761A">
        <w:rPr>
          <w:rFonts w:cstheme="minorHAnsi"/>
          <w:szCs w:val="24"/>
        </w:rPr>
        <w:t>u </w:t>
      </w:r>
      <w:r w:rsidR="00AF5A33" w:rsidRPr="00D4761A">
        <w:rPr>
          <w:rFonts w:cstheme="minorHAnsi"/>
          <w:szCs w:val="24"/>
        </w:rPr>
        <w:t>praktických lékařů, internistů, geriatrů.</w:t>
      </w:r>
      <w:r w:rsidR="00597804" w:rsidRPr="00D4761A">
        <w:rPr>
          <w:rFonts w:cstheme="minorHAnsi"/>
          <w:szCs w:val="24"/>
        </w:rPr>
        <w:t xml:space="preserve"> </w:t>
      </w:r>
      <w:r w:rsidR="00D47510" w:rsidRPr="00D4761A">
        <w:rPr>
          <w:rFonts w:cstheme="minorHAnsi"/>
          <w:szCs w:val="24"/>
        </w:rPr>
        <w:t>P</w:t>
      </w:r>
      <w:r w:rsidR="00D93809" w:rsidRPr="00D4761A">
        <w:rPr>
          <w:rFonts w:cstheme="minorHAnsi"/>
          <w:szCs w:val="24"/>
        </w:rPr>
        <w:t>rognostická d</w:t>
      </w:r>
      <w:r w:rsidR="00AF5A33" w:rsidRPr="00D4761A">
        <w:rPr>
          <w:rFonts w:cstheme="minorHAnsi"/>
          <w:szCs w:val="24"/>
        </w:rPr>
        <w:t>ata z</w:t>
      </w:r>
      <w:r w:rsidR="00A706D2" w:rsidRPr="00D4761A">
        <w:rPr>
          <w:rFonts w:cstheme="minorHAnsi"/>
          <w:szCs w:val="24"/>
        </w:rPr>
        <w:t> </w:t>
      </w:r>
      <w:r w:rsidR="00D47510" w:rsidRPr="00D4761A">
        <w:rPr>
          <w:rFonts w:cstheme="minorHAnsi"/>
          <w:szCs w:val="24"/>
        </w:rPr>
        <w:t>jiného</w:t>
      </w:r>
      <w:r w:rsidR="00A706D2" w:rsidRPr="00D4761A">
        <w:rPr>
          <w:rFonts w:cstheme="minorHAnsi"/>
          <w:szCs w:val="24"/>
        </w:rPr>
        <w:t>,</w:t>
      </w:r>
      <w:r w:rsidR="00D47510" w:rsidRPr="00D4761A">
        <w:rPr>
          <w:rFonts w:cstheme="minorHAnsi"/>
          <w:szCs w:val="24"/>
        </w:rPr>
        <w:t xml:space="preserve"> </w:t>
      </w:r>
      <w:r w:rsidR="00AF5A33" w:rsidRPr="00D4761A">
        <w:rPr>
          <w:rFonts w:cstheme="minorHAnsi"/>
          <w:szCs w:val="24"/>
        </w:rPr>
        <w:t xml:space="preserve">FAR-NHL </w:t>
      </w:r>
      <w:r w:rsidR="00D93809" w:rsidRPr="00D4761A">
        <w:rPr>
          <w:rFonts w:cstheme="minorHAnsi"/>
          <w:szCs w:val="24"/>
        </w:rPr>
        <w:t xml:space="preserve">prospektivního </w:t>
      </w:r>
      <w:r w:rsidR="00AF5A33" w:rsidRPr="00D4761A">
        <w:rPr>
          <w:rFonts w:cstheme="minorHAnsi"/>
          <w:szCs w:val="24"/>
        </w:rPr>
        <w:t>registru</w:t>
      </w:r>
      <w:r w:rsidR="00A706D2" w:rsidRPr="00D4761A">
        <w:rPr>
          <w:rFonts w:cstheme="minorHAnsi"/>
          <w:szCs w:val="24"/>
        </w:rPr>
        <w:t>,</w:t>
      </w:r>
      <w:r w:rsidR="0034265E" w:rsidRPr="00D4761A">
        <w:rPr>
          <w:rFonts w:cstheme="minorHAnsi"/>
          <w:szCs w:val="24"/>
        </w:rPr>
        <w:t xml:space="preserve"> </w:t>
      </w:r>
      <w:r w:rsidR="00AF5A33" w:rsidRPr="00D4761A">
        <w:rPr>
          <w:rFonts w:cstheme="minorHAnsi"/>
          <w:szCs w:val="24"/>
        </w:rPr>
        <w:t>udáva</w:t>
      </w:r>
      <w:r w:rsidR="00D47510" w:rsidRPr="00D4761A">
        <w:rPr>
          <w:rFonts w:cstheme="minorHAnsi"/>
          <w:szCs w:val="24"/>
        </w:rPr>
        <w:t>la</w:t>
      </w:r>
      <w:r w:rsidR="00AF5A33" w:rsidRPr="00D4761A">
        <w:rPr>
          <w:rFonts w:cstheme="minorHAnsi"/>
          <w:szCs w:val="24"/>
        </w:rPr>
        <w:t xml:space="preserve"> </w:t>
      </w:r>
      <w:r w:rsidR="00D47510" w:rsidRPr="00D4761A">
        <w:rPr>
          <w:rFonts w:cstheme="minorHAnsi"/>
          <w:szCs w:val="24"/>
        </w:rPr>
        <w:t xml:space="preserve">dvouletou </w:t>
      </w:r>
      <w:r w:rsidR="00AF5A33" w:rsidRPr="00D4761A">
        <w:rPr>
          <w:rFonts w:cstheme="minorHAnsi"/>
          <w:szCs w:val="24"/>
        </w:rPr>
        <w:t>mortalitu 12,1</w:t>
      </w:r>
      <w:r w:rsidR="00672ED4" w:rsidRPr="00D4761A">
        <w:rPr>
          <w:rFonts w:cstheme="minorHAnsi"/>
          <w:szCs w:val="24"/>
        </w:rPr>
        <w:t> %</w:t>
      </w:r>
      <w:r w:rsidR="00AF5A33" w:rsidRPr="00D4761A">
        <w:rPr>
          <w:rFonts w:cstheme="minorHAnsi"/>
          <w:szCs w:val="24"/>
        </w:rPr>
        <w:t xml:space="preserve"> (4).</w:t>
      </w:r>
    </w:p>
    <w:p w14:paraId="1A268EB1" w14:textId="0F48B747" w:rsidR="00597804" w:rsidRPr="00D4761A" w:rsidRDefault="00D47510" w:rsidP="00672ED4">
      <w:pPr>
        <w:ind w:firstLine="708"/>
        <w:rPr>
          <w:rFonts w:cstheme="minorHAnsi"/>
          <w:szCs w:val="24"/>
        </w:rPr>
      </w:pPr>
      <w:r w:rsidRPr="00D4761A">
        <w:rPr>
          <w:rFonts w:cstheme="minorHAnsi"/>
          <w:szCs w:val="24"/>
        </w:rPr>
        <w:t>Mortalita srdečního selhání zůstává</w:t>
      </w:r>
      <w:r w:rsidR="000B29AA" w:rsidRPr="00D4761A">
        <w:rPr>
          <w:rFonts w:cstheme="minorHAnsi"/>
          <w:szCs w:val="24"/>
        </w:rPr>
        <w:t xml:space="preserve"> </w:t>
      </w:r>
      <w:r w:rsidR="00AF5A33" w:rsidRPr="00D4761A">
        <w:rPr>
          <w:rFonts w:cstheme="minorHAnsi"/>
          <w:szCs w:val="24"/>
        </w:rPr>
        <w:t xml:space="preserve">stále vysoká, </w:t>
      </w:r>
      <w:r w:rsidRPr="00D4761A">
        <w:rPr>
          <w:rFonts w:cstheme="minorHAnsi"/>
          <w:szCs w:val="24"/>
        </w:rPr>
        <w:t xml:space="preserve">přestože </w:t>
      </w:r>
      <w:r w:rsidR="00AF5A33" w:rsidRPr="00D4761A">
        <w:rPr>
          <w:rFonts w:cstheme="minorHAnsi"/>
          <w:szCs w:val="24"/>
        </w:rPr>
        <w:t xml:space="preserve">došlo k jejímu </w:t>
      </w:r>
      <w:r w:rsidR="0034116F" w:rsidRPr="00D4761A">
        <w:rPr>
          <w:rFonts w:cstheme="minorHAnsi"/>
          <w:szCs w:val="24"/>
        </w:rPr>
        <w:t>významnému ovlivnění</w:t>
      </w:r>
      <w:r w:rsidR="0034265E" w:rsidRPr="00D4761A">
        <w:rPr>
          <w:rFonts w:cstheme="minorHAnsi"/>
          <w:szCs w:val="24"/>
        </w:rPr>
        <w:t xml:space="preserve"> </w:t>
      </w:r>
      <w:r w:rsidR="00AF5A33" w:rsidRPr="00D4761A">
        <w:rPr>
          <w:rFonts w:cstheme="minorHAnsi"/>
          <w:szCs w:val="24"/>
        </w:rPr>
        <w:t>díky pokrokům</w:t>
      </w:r>
      <w:r w:rsidR="000B29AA" w:rsidRPr="00D4761A">
        <w:rPr>
          <w:rFonts w:cstheme="minorHAnsi"/>
          <w:szCs w:val="24"/>
        </w:rPr>
        <w:t xml:space="preserve"> </w:t>
      </w:r>
      <w:r w:rsidR="00AF5A33" w:rsidRPr="00D4761A">
        <w:rPr>
          <w:rFonts w:cstheme="minorHAnsi"/>
          <w:szCs w:val="24"/>
        </w:rPr>
        <w:t>v</w:t>
      </w:r>
      <w:r w:rsidR="000B29AA" w:rsidRPr="00D4761A">
        <w:rPr>
          <w:rFonts w:cstheme="minorHAnsi"/>
          <w:szCs w:val="24"/>
        </w:rPr>
        <w:t> </w:t>
      </w:r>
      <w:r w:rsidR="00AF5A33" w:rsidRPr="00D4761A">
        <w:rPr>
          <w:rFonts w:cstheme="minorHAnsi"/>
          <w:szCs w:val="24"/>
        </w:rPr>
        <w:t>terapii</w:t>
      </w:r>
      <w:r w:rsidR="000B29AA" w:rsidRPr="00D4761A">
        <w:rPr>
          <w:rFonts w:cstheme="minorHAnsi"/>
          <w:szCs w:val="24"/>
        </w:rPr>
        <w:t xml:space="preserve"> </w:t>
      </w:r>
      <w:r w:rsidR="00AF5A33" w:rsidRPr="00D4761A">
        <w:rPr>
          <w:rFonts w:cstheme="minorHAnsi"/>
          <w:szCs w:val="24"/>
        </w:rPr>
        <w:t xml:space="preserve">(5). </w:t>
      </w:r>
      <w:r w:rsidRPr="00D4761A">
        <w:rPr>
          <w:rFonts w:cstheme="minorHAnsi"/>
          <w:szCs w:val="24"/>
        </w:rPr>
        <w:t xml:space="preserve">Nové znalosti </w:t>
      </w:r>
      <w:r w:rsidR="00672ED4" w:rsidRPr="00D4761A">
        <w:rPr>
          <w:rFonts w:cstheme="minorHAnsi"/>
          <w:szCs w:val="24"/>
        </w:rPr>
        <w:t>o </w:t>
      </w:r>
      <w:r w:rsidRPr="00D4761A">
        <w:rPr>
          <w:rFonts w:cstheme="minorHAnsi"/>
          <w:szCs w:val="24"/>
        </w:rPr>
        <w:t>terapii srdečního selhání byly implementovány do doporučených postupů</w:t>
      </w:r>
      <w:r w:rsidR="00882CE6" w:rsidRPr="00D4761A">
        <w:rPr>
          <w:rFonts w:cstheme="minorHAnsi"/>
          <w:szCs w:val="24"/>
        </w:rPr>
        <w:t xml:space="preserve"> </w:t>
      </w:r>
      <w:r w:rsidR="00AF5A33" w:rsidRPr="00D4761A">
        <w:rPr>
          <w:rFonts w:cstheme="minorHAnsi"/>
          <w:szCs w:val="24"/>
        </w:rPr>
        <w:t xml:space="preserve">dvou nejvýznamnějších odborných společností Evropské kardiologické společnosti </w:t>
      </w:r>
      <w:r w:rsidR="00672ED4" w:rsidRPr="00D4761A">
        <w:rPr>
          <w:rFonts w:cstheme="minorHAnsi"/>
          <w:szCs w:val="24"/>
        </w:rPr>
        <w:t>a </w:t>
      </w:r>
      <w:r w:rsidR="00AF5A33" w:rsidRPr="00D4761A">
        <w:rPr>
          <w:rFonts w:cstheme="minorHAnsi"/>
          <w:szCs w:val="24"/>
        </w:rPr>
        <w:t>American College of Cardiology/American Heart Association (6, 7).</w:t>
      </w:r>
    </w:p>
    <w:p w14:paraId="3CED4C1A" w14:textId="4B1854DA" w:rsidR="00597804" w:rsidRPr="00D4761A" w:rsidRDefault="00AF5A33" w:rsidP="00672ED4">
      <w:pPr>
        <w:pStyle w:val="Nadpis1"/>
      </w:pPr>
      <w:bookmarkStart w:id="2" w:name="_Toc120547423"/>
      <w:r w:rsidRPr="00D4761A">
        <w:lastRenderedPageBreak/>
        <w:t>Chronické srdeční selhání</w:t>
      </w:r>
      <w:bookmarkEnd w:id="2"/>
    </w:p>
    <w:p w14:paraId="656A79CE" w14:textId="287B35B2" w:rsidR="00AF5A33" w:rsidRPr="00D4761A" w:rsidRDefault="00AF5A33" w:rsidP="00672ED4">
      <w:pPr>
        <w:pStyle w:val="Nadpis20"/>
      </w:pPr>
      <w:bookmarkStart w:id="3" w:name="_Toc120547424"/>
      <w:r w:rsidRPr="00D4761A">
        <w:t xml:space="preserve">Definice </w:t>
      </w:r>
      <w:r w:rsidR="00672ED4" w:rsidRPr="00D4761A">
        <w:t>a </w:t>
      </w:r>
      <w:r w:rsidRPr="00D4761A">
        <w:t>klasifikace chronického srdečního selhání</w:t>
      </w:r>
      <w:bookmarkEnd w:id="3"/>
    </w:p>
    <w:p w14:paraId="27C01385" w14:textId="3F806C72" w:rsidR="00597804" w:rsidRPr="00D4761A" w:rsidRDefault="00AF5A33" w:rsidP="001466B0">
      <w:pPr>
        <w:ind w:firstLine="708"/>
        <w:rPr>
          <w:rFonts w:cstheme="minorHAnsi"/>
          <w:szCs w:val="24"/>
        </w:rPr>
      </w:pPr>
      <w:r w:rsidRPr="00D4761A">
        <w:rPr>
          <w:rFonts w:cstheme="minorHAnsi"/>
          <w:szCs w:val="24"/>
        </w:rPr>
        <w:t xml:space="preserve">Srdeční selhání je klinický syndrom, který definují symptomy spolu s klinickými známkami srdečního selhání. Dominující symptomy jsou dušnost </w:t>
      </w:r>
      <w:r w:rsidR="00672ED4" w:rsidRPr="00D4761A">
        <w:rPr>
          <w:rFonts w:cstheme="minorHAnsi"/>
          <w:szCs w:val="24"/>
        </w:rPr>
        <w:t>a </w:t>
      </w:r>
      <w:r w:rsidRPr="00D4761A">
        <w:rPr>
          <w:rFonts w:cstheme="minorHAnsi"/>
          <w:szCs w:val="24"/>
        </w:rPr>
        <w:t>únava, dominující</w:t>
      </w:r>
      <w:r w:rsidR="00671C9A" w:rsidRPr="00D4761A">
        <w:rPr>
          <w:rFonts w:cstheme="minorHAnsi"/>
          <w:szCs w:val="24"/>
        </w:rPr>
        <w:t>mi</w:t>
      </w:r>
      <w:r w:rsidRPr="00D4761A">
        <w:rPr>
          <w:rFonts w:cstheme="minorHAnsi"/>
          <w:szCs w:val="24"/>
        </w:rPr>
        <w:t xml:space="preserve"> klinick</w:t>
      </w:r>
      <w:r w:rsidR="00671C9A" w:rsidRPr="00D4761A">
        <w:rPr>
          <w:rFonts w:cstheme="minorHAnsi"/>
          <w:szCs w:val="24"/>
        </w:rPr>
        <w:t>ými</w:t>
      </w:r>
      <w:r w:rsidRPr="00D4761A">
        <w:rPr>
          <w:rFonts w:cstheme="minorHAnsi"/>
          <w:szCs w:val="24"/>
        </w:rPr>
        <w:t xml:space="preserve"> známk</w:t>
      </w:r>
      <w:r w:rsidR="00671C9A" w:rsidRPr="00D4761A">
        <w:rPr>
          <w:rFonts w:cstheme="minorHAnsi"/>
          <w:szCs w:val="24"/>
        </w:rPr>
        <w:t>ami</w:t>
      </w:r>
      <w:r w:rsidRPr="00D4761A">
        <w:rPr>
          <w:rFonts w:cstheme="minorHAnsi"/>
          <w:szCs w:val="24"/>
        </w:rPr>
        <w:t xml:space="preserve"> jsou známky objemového přetížení – otoky dolních končetin, typický poslechový nález plic</w:t>
      </w:r>
      <w:r w:rsidR="00672ED4" w:rsidRPr="00D4761A">
        <w:rPr>
          <w:rFonts w:cstheme="minorHAnsi"/>
          <w:szCs w:val="24"/>
        </w:rPr>
        <w:t xml:space="preserve"> </w:t>
      </w:r>
      <w:r w:rsidRPr="00D4761A">
        <w:rPr>
          <w:rFonts w:cstheme="minorHAnsi"/>
          <w:szCs w:val="24"/>
        </w:rPr>
        <w:t xml:space="preserve">– chrůpky. Popis symptomů </w:t>
      </w:r>
      <w:r w:rsidR="00672ED4" w:rsidRPr="00D4761A">
        <w:rPr>
          <w:rFonts w:cstheme="minorHAnsi"/>
          <w:szCs w:val="24"/>
        </w:rPr>
        <w:t>a </w:t>
      </w:r>
      <w:r w:rsidRPr="00D4761A">
        <w:rPr>
          <w:rFonts w:cstheme="minorHAnsi"/>
          <w:szCs w:val="24"/>
        </w:rPr>
        <w:t>klinických známek shrnuje Tabulka</w:t>
      </w:r>
      <w:r w:rsidR="001466B0" w:rsidRPr="00D4761A">
        <w:rPr>
          <w:rFonts w:cstheme="minorHAnsi"/>
          <w:szCs w:val="24"/>
        </w:rPr>
        <w:t> </w:t>
      </w:r>
      <w:r w:rsidRPr="00D4761A">
        <w:rPr>
          <w:rFonts w:cstheme="minorHAnsi"/>
          <w:szCs w:val="24"/>
        </w:rPr>
        <w:t xml:space="preserve">1 </w:t>
      </w:r>
      <w:r w:rsidR="00672ED4" w:rsidRPr="00D4761A">
        <w:rPr>
          <w:rFonts w:cstheme="minorHAnsi"/>
          <w:szCs w:val="24"/>
        </w:rPr>
        <w:t>a </w:t>
      </w:r>
      <w:r w:rsidRPr="00D4761A">
        <w:rPr>
          <w:rFonts w:cstheme="minorHAnsi"/>
          <w:szCs w:val="24"/>
        </w:rPr>
        <w:t>Tabulka</w:t>
      </w:r>
      <w:r w:rsidR="001466B0" w:rsidRPr="00D4761A">
        <w:rPr>
          <w:rFonts w:cstheme="minorHAnsi"/>
          <w:szCs w:val="24"/>
        </w:rPr>
        <w:t> </w:t>
      </w:r>
      <w:r w:rsidRPr="00D4761A">
        <w:rPr>
          <w:rFonts w:cstheme="minorHAnsi"/>
          <w:szCs w:val="24"/>
        </w:rPr>
        <w:t>2.</w:t>
      </w:r>
    </w:p>
    <w:p w14:paraId="7E73E768" w14:textId="768D59EF" w:rsidR="00E2166F" w:rsidRPr="00D4761A" w:rsidRDefault="00E2166F" w:rsidP="00AF5A33">
      <w:pPr>
        <w:rPr>
          <w:rFonts w:cstheme="minorHAnsi"/>
          <w:szCs w:val="24"/>
        </w:rPr>
      </w:pPr>
    </w:p>
    <w:p w14:paraId="3F818208" w14:textId="5941943D" w:rsidR="00E2166F" w:rsidRPr="00D4761A" w:rsidRDefault="00E2166F" w:rsidP="00672ED4">
      <w:pPr>
        <w:keepNext/>
      </w:pPr>
      <w:r w:rsidRPr="00D4761A">
        <w:rPr>
          <w:b/>
        </w:rPr>
        <w:t>T</w:t>
      </w:r>
      <w:r w:rsidR="00CC2471" w:rsidRPr="00D4761A">
        <w:rPr>
          <w:b/>
        </w:rPr>
        <w:t>abulka </w:t>
      </w:r>
      <w:r w:rsidRPr="00D4761A">
        <w:rPr>
          <w:b/>
        </w:rPr>
        <w:t>1</w:t>
      </w:r>
      <w:r w:rsidRPr="00D4761A">
        <w:t xml:space="preserve"> – Popis symptomů </w:t>
      </w:r>
      <w:r w:rsidR="00672ED4" w:rsidRPr="00D4761A">
        <w:t>a </w:t>
      </w:r>
      <w:r w:rsidRPr="00D4761A">
        <w:t>klinických známek srdečního selhání</w:t>
      </w:r>
    </w:p>
    <w:tbl>
      <w:tblPr>
        <w:tblStyle w:val="Mkatabulky"/>
        <w:tblW w:w="5000" w:type="pct"/>
        <w:tblLook w:val="04A0" w:firstRow="1" w:lastRow="0" w:firstColumn="1" w:lastColumn="0" w:noHBand="0" w:noVBand="1"/>
      </w:tblPr>
      <w:tblGrid>
        <w:gridCol w:w="4531"/>
        <w:gridCol w:w="4531"/>
      </w:tblGrid>
      <w:tr w:rsidR="00597804" w:rsidRPr="00D4761A" w14:paraId="7CA06D3F" w14:textId="77777777" w:rsidTr="00CA3812">
        <w:tc>
          <w:tcPr>
            <w:tcW w:w="2500" w:type="pct"/>
            <w:noWrap/>
            <w:hideMark/>
          </w:tcPr>
          <w:p w14:paraId="6666537B" w14:textId="77777777" w:rsidR="00E2166F" w:rsidRPr="00D4761A" w:rsidRDefault="00E2166F" w:rsidP="00672ED4">
            <w:pPr>
              <w:keepNext/>
              <w:spacing w:line="240" w:lineRule="auto"/>
              <w:jc w:val="left"/>
              <w:rPr>
                <w:rFonts w:eastAsia="Times New Roman" w:cs="Times New Roman"/>
                <w:b/>
                <w:szCs w:val="24"/>
                <w:lang w:eastAsia="cs-CZ"/>
              </w:rPr>
            </w:pPr>
            <w:r w:rsidRPr="00D4761A">
              <w:rPr>
                <w:rFonts w:eastAsia="Times New Roman" w:cs="Times New Roman"/>
                <w:b/>
                <w:szCs w:val="24"/>
                <w:lang w:eastAsia="cs-CZ"/>
              </w:rPr>
              <w:t>Symptomy</w:t>
            </w:r>
          </w:p>
        </w:tc>
        <w:tc>
          <w:tcPr>
            <w:tcW w:w="2500" w:type="pct"/>
            <w:noWrap/>
            <w:hideMark/>
          </w:tcPr>
          <w:p w14:paraId="7E9D8912" w14:textId="77777777" w:rsidR="00E2166F" w:rsidRPr="00D4761A" w:rsidRDefault="00E2166F" w:rsidP="00672ED4">
            <w:pPr>
              <w:keepNext/>
              <w:spacing w:line="240" w:lineRule="auto"/>
              <w:jc w:val="left"/>
              <w:rPr>
                <w:rFonts w:eastAsia="Times New Roman" w:cs="Times New Roman"/>
                <w:b/>
                <w:szCs w:val="24"/>
                <w:lang w:eastAsia="cs-CZ"/>
              </w:rPr>
            </w:pPr>
            <w:r w:rsidRPr="00D4761A">
              <w:rPr>
                <w:rFonts w:eastAsia="Times New Roman" w:cs="Times New Roman"/>
                <w:b/>
                <w:szCs w:val="24"/>
                <w:lang w:eastAsia="cs-CZ"/>
              </w:rPr>
              <w:t>Fyzikální nález</w:t>
            </w:r>
          </w:p>
        </w:tc>
      </w:tr>
      <w:tr w:rsidR="00597804" w:rsidRPr="00D4761A" w14:paraId="5D036FAF" w14:textId="77777777" w:rsidTr="00CA3812">
        <w:tc>
          <w:tcPr>
            <w:tcW w:w="2500" w:type="pct"/>
            <w:noWrap/>
            <w:hideMark/>
          </w:tcPr>
          <w:p w14:paraId="318C17E1" w14:textId="77777777" w:rsidR="00E2166F" w:rsidRPr="00D4761A" w:rsidRDefault="00E2166F" w:rsidP="00672ED4">
            <w:pPr>
              <w:keepNext/>
              <w:spacing w:line="240" w:lineRule="auto"/>
              <w:jc w:val="left"/>
              <w:rPr>
                <w:rFonts w:eastAsia="Times New Roman" w:cs="Times New Roman"/>
                <w:b/>
                <w:szCs w:val="24"/>
                <w:lang w:eastAsia="cs-CZ"/>
              </w:rPr>
            </w:pPr>
            <w:r w:rsidRPr="00D4761A">
              <w:rPr>
                <w:rFonts w:eastAsia="Times New Roman" w:cs="Times New Roman"/>
                <w:b/>
                <w:szCs w:val="24"/>
                <w:lang w:eastAsia="cs-CZ"/>
              </w:rPr>
              <w:t>Typické</w:t>
            </w:r>
          </w:p>
        </w:tc>
        <w:tc>
          <w:tcPr>
            <w:tcW w:w="2500" w:type="pct"/>
            <w:noWrap/>
            <w:hideMark/>
          </w:tcPr>
          <w:p w14:paraId="667CCE4E" w14:textId="77777777" w:rsidR="00E2166F" w:rsidRPr="00D4761A" w:rsidRDefault="00E2166F" w:rsidP="00672ED4">
            <w:pPr>
              <w:keepNext/>
              <w:spacing w:line="240" w:lineRule="auto"/>
              <w:jc w:val="left"/>
              <w:rPr>
                <w:rFonts w:eastAsia="Times New Roman" w:cs="Times New Roman"/>
                <w:b/>
                <w:szCs w:val="24"/>
                <w:lang w:eastAsia="cs-CZ"/>
              </w:rPr>
            </w:pPr>
            <w:r w:rsidRPr="00D4761A">
              <w:rPr>
                <w:rFonts w:eastAsia="Times New Roman" w:cs="Times New Roman"/>
                <w:b/>
                <w:szCs w:val="24"/>
                <w:lang w:eastAsia="cs-CZ"/>
              </w:rPr>
              <w:t>Specifický</w:t>
            </w:r>
          </w:p>
        </w:tc>
      </w:tr>
      <w:tr w:rsidR="00597804" w:rsidRPr="00D4761A" w14:paraId="62FD39D3" w14:textId="77777777" w:rsidTr="00CA3812">
        <w:tc>
          <w:tcPr>
            <w:tcW w:w="2500" w:type="pct"/>
            <w:noWrap/>
            <w:hideMark/>
          </w:tcPr>
          <w:p w14:paraId="67E0753F" w14:textId="77777777" w:rsidR="00E2166F" w:rsidRPr="00D4761A" w:rsidRDefault="00671C9A" w:rsidP="00672ED4">
            <w:pPr>
              <w:pStyle w:val="Odstavecseseznamem"/>
              <w:keepNext/>
              <w:numPr>
                <w:ilvl w:val="0"/>
                <w:numId w:val="12"/>
              </w:numPr>
              <w:spacing w:line="240" w:lineRule="auto"/>
              <w:ind w:left="209" w:hanging="209"/>
              <w:jc w:val="left"/>
              <w:rPr>
                <w:rFonts w:eastAsia="Times New Roman" w:cs="Times New Roman"/>
                <w:szCs w:val="24"/>
                <w:lang w:eastAsia="cs-CZ"/>
              </w:rPr>
            </w:pPr>
            <w:r w:rsidRPr="00D4761A">
              <w:rPr>
                <w:rFonts w:eastAsia="Times New Roman" w:cs="Times New Roman"/>
                <w:szCs w:val="24"/>
                <w:lang w:eastAsia="cs-CZ"/>
              </w:rPr>
              <w:t>D</w:t>
            </w:r>
            <w:r w:rsidR="00E2166F" w:rsidRPr="00D4761A">
              <w:rPr>
                <w:rFonts w:eastAsia="Times New Roman" w:cs="Times New Roman"/>
                <w:szCs w:val="24"/>
                <w:lang w:eastAsia="cs-CZ"/>
              </w:rPr>
              <w:t>ušnost</w:t>
            </w:r>
          </w:p>
          <w:p w14:paraId="28FEE893" w14:textId="77777777" w:rsidR="00E2166F" w:rsidRPr="00D4761A" w:rsidRDefault="00E2166F" w:rsidP="00672ED4">
            <w:pPr>
              <w:pStyle w:val="Odstavecseseznamem"/>
              <w:keepNext/>
              <w:numPr>
                <w:ilvl w:val="0"/>
                <w:numId w:val="12"/>
              </w:numPr>
              <w:spacing w:line="240" w:lineRule="auto"/>
              <w:ind w:left="209" w:hanging="209"/>
              <w:jc w:val="left"/>
              <w:rPr>
                <w:rFonts w:eastAsia="Times New Roman" w:cs="Times New Roman"/>
                <w:szCs w:val="24"/>
                <w:lang w:eastAsia="cs-CZ"/>
              </w:rPr>
            </w:pPr>
            <w:r w:rsidRPr="00D4761A">
              <w:rPr>
                <w:rFonts w:eastAsia="Times New Roman" w:cs="Times New Roman"/>
                <w:szCs w:val="24"/>
                <w:lang w:eastAsia="cs-CZ"/>
              </w:rPr>
              <w:t>ortopnea</w:t>
            </w:r>
          </w:p>
          <w:p w14:paraId="562D1E73" w14:textId="77777777" w:rsidR="00E2166F" w:rsidRPr="00D4761A" w:rsidRDefault="00E2166F" w:rsidP="00672ED4">
            <w:pPr>
              <w:pStyle w:val="Odstavecseseznamem"/>
              <w:keepNext/>
              <w:numPr>
                <w:ilvl w:val="0"/>
                <w:numId w:val="12"/>
              </w:numPr>
              <w:spacing w:line="240" w:lineRule="auto"/>
              <w:ind w:left="209" w:hanging="209"/>
              <w:jc w:val="left"/>
              <w:rPr>
                <w:rFonts w:eastAsia="Times New Roman" w:cs="Times New Roman"/>
                <w:szCs w:val="24"/>
                <w:lang w:eastAsia="cs-CZ"/>
              </w:rPr>
            </w:pPr>
            <w:r w:rsidRPr="00D4761A">
              <w:rPr>
                <w:rFonts w:eastAsia="Times New Roman" w:cs="Times New Roman"/>
                <w:szCs w:val="24"/>
                <w:lang w:eastAsia="cs-CZ"/>
              </w:rPr>
              <w:t>paroxysmální noční dušnost</w:t>
            </w:r>
          </w:p>
          <w:p w14:paraId="1BF613D2" w14:textId="77777777" w:rsidR="00E2166F" w:rsidRPr="00D4761A" w:rsidRDefault="00E2166F" w:rsidP="00672ED4">
            <w:pPr>
              <w:pStyle w:val="Odstavecseseznamem"/>
              <w:keepNext/>
              <w:numPr>
                <w:ilvl w:val="0"/>
                <w:numId w:val="12"/>
              </w:numPr>
              <w:spacing w:line="240" w:lineRule="auto"/>
              <w:ind w:left="209" w:hanging="209"/>
              <w:jc w:val="left"/>
              <w:rPr>
                <w:rFonts w:eastAsia="Times New Roman" w:cs="Times New Roman"/>
                <w:szCs w:val="24"/>
                <w:lang w:eastAsia="cs-CZ"/>
              </w:rPr>
            </w:pPr>
            <w:r w:rsidRPr="00D4761A">
              <w:rPr>
                <w:rFonts w:eastAsia="Times New Roman" w:cs="Times New Roman"/>
                <w:szCs w:val="24"/>
                <w:lang w:eastAsia="cs-CZ"/>
              </w:rPr>
              <w:t>snížená tolerance námahy</w:t>
            </w:r>
          </w:p>
          <w:p w14:paraId="4A63244C" w14:textId="77777777" w:rsidR="00E2166F" w:rsidRPr="00D4761A" w:rsidRDefault="00E2166F" w:rsidP="00672ED4">
            <w:pPr>
              <w:pStyle w:val="Odstavecseseznamem"/>
              <w:keepNext/>
              <w:numPr>
                <w:ilvl w:val="0"/>
                <w:numId w:val="12"/>
              </w:numPr>
              <w:spacing w:line="240" w:lineRule="auto"/>
              <w:ind w:left="209" w:hanging="209"/>
              <w:jc w:val="left"/>
              <w:rPr>
                <w:rFonts w:eastAsia="Times New Roman" w:cs="Times New Roman"/>
                <w:szCs w:val="24"/>
                <w:lang w:eastAsia="cs-CZ"/>
              </w:rPr>
            </w:pPr>
            <w:r w:rsidRPr="00D4761A">
              <w:rPr>
                <w:rFonts w:eastAsia="Times New Roman" w:cs="Times New Roman"/>
                <w:szCs w:val="24"/>
                <w:lang w:eastAsia="cs-CZ"/>
              </w:rPr>
              <w:t>únava</w:t>
            </w:r>
          </w:p>
          <w:p w14:paraId="58745C9D" w14:textId="77777777" w:rsidR="00E2166F" w:rsidRPr="00D4761A" w:rsidRDefault="00E2166F" w:rsidP="00672ED4">
            <w:pPr>
              <w:pStyle w:val="Odstavecseseznamem"/>
              <w:keepNext/>
              <w:numPr>
                <w:ilvl w:val="0"/>
                <w:numId w:val="12"/>
              </w:numPr>
              <w:spacing w:line="240" w:lineRule="auto"/>
              <w:ind w:left="209" w:hanging="209"/>
              <w:jc w:val="left"/>
              <w:rPr>
                <w:rFonts w:eastAsia="Times New Roman" w:cs="Times New Roman"/>
                <w:szCs w:val="24"/>
                <w:lang w:eastAsia="cs-CZ"/>
              </w:rPr>
            </w:pPr>
            <w:r w:rsidRPr="00D4761A">
              <w:rPr>
                <w:rFonts w:eastAsia="Times New Roman" w:cs="Times New Roman"/>
                <w:szCs w:val="24"/>
                <w:lang w:eastAsia="cs-CZ"/>
              </w:rPr>
              <w:t>otoky kotníků</w:t>
            </w:r>
          </w:p>
        </w:tc>
        <w:tc>
          <w:tcPr>
            <w:tcW w:w="2500" w:type="pct"/>
            <w:noWrap/>
            <w:hideMark/>
          </w:tcPr>
          <w:p w14:paraId="0311C72F" w14:textId="77777777" w:rsidR="00E2166F" w:rsidRPr="00D4761A" w:rsidRDefault="00E2166F" w:rsidP="00672ED4">
            <w:pPr>
              <w:pStyle w:val="Odstavecseseznamem"/>
              <w:keepNext/>
              <w:numPr>
                <w:ilvl w:val="0"/>
                <w:numId w:val="12"/>
              </w:numPr>
              <w:spacing w:line="240" w:lineRule="auto"/>
              <w:ind w:left="209" w:hanging="209"/>
              <w:jc w:val="left"/>
              <w:rPr>
                <w:rFonts w:eastAsia="Times New Roman" w:cs="Times New Roman"/>
                <w:szCs w:val="24"/>
                <w:lang w:eastAsia="cs-CZ"/>
              </w:rPr>
            </w:pPr>
            <w:r w:rsidRPr="00D4761A">
              <w:rPr>
                <w:rFonts w:eastAsia="Times New Roman" w:cs="Times New Roman"/>
                <w:szCs w:val="24"/>
                <w:lang w:eastAsia="cs-CZ"/>
              </w:rPr>
              <w:t>zvýšená náplň krčních žil</w:t>
            </w:r>
          </w:p>
          <w:p w14:paraId="5C1308E0" w14:textId="77777777" w:rsidR="00E2166F" w:rsidRPr="00D4761A" w:rsidRDefault="00E2166F" w:rsidP="00672ED4">
            <w:pPr>
              <w:pStyle w:val="Odstavecseseznamem"/>
              <w:keepNext/>
              <w:numPr>
                <w:ilvl w:val="0"/>
                <w:numId w:val="12"/>
              </w:numPr>
              <w:spacing w:line="240" w:lineRule="auto"/>
              <w:ind w:left="209" w:hanging="209"/>
              <w:jc w:val="left"/>
              <w:rPr>
                <w:rFonts w:eastAsia="Times New Roman" w:cs="Times New Roman"/>
                <w:szCs w:val="24"/>
                <w:lang w:eastAsia="cs-CZ"/>
              </w:rPr>
            </w:pPr>
            <w:r w:rsidRPr="00D4761A">
              <w:rPr>
                <w:rFonts w:eastAsia="Times New Roman" w:cs="Times New Roman"/>
                <w:szCs w:val="24"/>
                <w:lang w:eastAsia="cs-CZ"/>
              </w:rPr>
              <w:t>hepatojugulární reflux</w:t>
            </w:r>
          </w:p>
          <w:p w14:paraId="6148590F" w14:textId="77777777" w:rsidR="00E2166F" w:rsidRPr="00D4761A" w:rsidRDefault="00E2166F" w:rsidP="00672ED4">
            <w:pPr>
              <w:pStyle w:val="Odstavecseseznamem"/>
              <w:keepNext/>
              <w:numPr>
                <w:ilvl w:val="0"/>
                <w:numId w:val="12"/>
              </w:numPr>
              <w:spacing w:line="240" w:lineRule="auto"/>
              <w:ind w:left="209" w:hanging="209"/>
              <w:jc w:val="left"/>
              <w:rPr>
                <w:rFonts w:eastAsia="Times New Roman" w:cs="Times New Roman"/>
                <w:szCs w:val="24"/>
                <w:lang w:eastAsia="cs-CZ"/>
              </w:rPr>
            </w:pPr>
            <w:r w:rsidRPr="00D4761A">
              <w:rPr>
                <w:rFonts w:eastAsia="Times New Roman" w:cs="Times New Roman"/>
                <w:szCs w:val="24"/>
                <w:lang w:eastAsia="cs-CZ"/>
              </w:rPr>
              <w:t>třetí srdeční ozva/cval</w:t>
            </w:r>
          </w:p>
          <w:p w14:paraId="2F8D8392" w14:textId="77777777" w:rsidR="00E2166F" w:rsidRPr="00D4761A" w:rsidRDefault="00E2166F" w:rsidP="00672ED4">
            <w:pPr>
              <w:pStyle w:val="Odstavecseseznamem"/>
              <w:keepNext/>
              <w:numPr>
                <w:ilvl w:val="0"/>
                <w:numId w:val="12"/>
              </w:numPr>
              <w:spacing w:line="240" w:lineRule="auto"/>
              <w:ind w:left="209" w:hanging="209"/>
              <w:jc w:val="left"/>
              <w:rPr>
                <w:rFonts w:eastAsia="Times New Roman" w:cs="Times New Roman"/>
                <w:szCs w:val="24"/>
                <w:lang w:eastAsia="cs-CZ"/>
              </w:rPr>
            </w:pPr>
            <w:r w:rsidRPr="00D4761A">
              <w:rPr>
                <w:rFonts w:eastAsia="Times New Roman" w:cs="Times New Roman"/>
                <w:szCs w:val="24"/>
                <w:lang w:eastAsia="cs-CZ"/>
              </w:rPr>
              <w:t>laterální posun hrotu srdečního</w:t>
            </w:r>
          </w:p>
        </w:tc>
      </w:tr>
      <w:tr w:rsidR="00597804" w:rsidRPr="00D4761A" w14:paraId="12DA0BE9" w14:textId="77777777" w:rsidTr="00CA3812">
        <w:tc>
          <w:tcPr>
            <w:tcW w:w="2500" w:type="pct"/>
            <w:noWrap/>
            <w:hideMark/>
          </w:tcPr>
          <w:p w14:paraId="27A03FED" w14:textId="77777777" w:rsidR="00E2166F" w:rsidRPr="00D4761A" w:rsidRDefault="00E2166F" w:rsidP="00672ED4">
            <w:pPr>
              <w:keepNext/>
              <w:spacing w:line="240" w:lineRule="auto"/>
              <w:jc w:val="left"/>
              <w:rPr>
                <w:rFonts w:eastAsia="Times New Roman" w:cs="Times New Roman"/>
                <w:b/>
                <w:szCs w:val="24"/>
                <w:lang w:eastAsia="cs-CZ"/>
              </w:rPr>
            </w:pPr>
            <w:r w:rsidRPr="00D4761A">
              <w:rPr>
                <w:rFonts w:eastAsia="Times New Roman" w:cs="Times New Roman"/>
                <w:b/>
                <w:szCs w:val="24"/>
                <w:lang w:eastAsia="cs-CZ"/>
              </w:rPr>
              <w:t>Méně typické</w:t>
            </w:r>
          </w:p>
        </w:tc>
        <w:tc>
          <w:tcPr>
            <w:tcW w:w="2500" w:type="pct"/>
            <w:noWrap/>
            <w:hideMark/>
          </w:tcPr>
          <w:p w14:paraId="49C12CA1" w14:textId="77777777" w:rsidR="00E2166F" w:rsidRPr="00D4761A" w:rsidRDefault="00E2166F" w:rsidP="00672ED4">
            <w:pPr>
              <w:keepNext/>
              <w:spacing w:line="240" w:lineRule="auto"/>
              <w:jc w:val="left"/>
              <w:rPr>
                <w:rFonts w:eastAsia="Times New Roman" w:cs="Times New Roman"/>
                <w:b/>
                <w:szCs w:val="24"/>
                <w:lang w:eastAsia="cs-CZ"/>
              </w:rPr>
            </w:pPr>
            <w:r w:rsidRPr="00D4761A">
              <w:rPr>
                <w:rFonts w:eastAsia="Times New Roman" w:cs="Times New Roman"/>
                <w:b/>
                <w:szCs w:val="24"/>
                <w:lang w:eastAsia="cs-CZ"/>
              </w:rPr>
              <w:t>Méně specifický</w:t>
            </w:r>
          </w:p>
        </w:tc>
      </w:tr>
      <w:tr w:rsidR="00E2166F" w:rsidRPr="00D4761A" w14:paraId="4D8A8B68" w14:textId="77777777" w:rsidTr="00CA3812">
        <w:tc>
          <w:tcPr>
            <w:tcW w:w="2500" w:type="pct"/>
            <w:noWrap/>
            <w:hideMark/>
          </w:tcPr>
          <w:p w14:paraId="5207A0F1" w14:textId="77777777" w:rsidR="00E2166F" w:rsidRPr="00D4761A" w:rsidRDefault="00E2166F" w:rsidP="00E2166F">
            <w:pPr>
              <w:pStyle w:val="Odstavecseseznamem"/>
              <w:numPr>
                <w:ilvl w:val="0"/>
                <w:numId w:val="12"/>
              </w:numPr>
              <w:spacing w:line="240" w:lineRule="auto"/>
              <w:ind w:left="209" w:hanging="209"/>
              <w:jc w:val="left"/>
              <w:rPr>
                <w:rFonts w:eastAsia="Times New Roman" w:cs="Times New Roman"/>
                <w:szCs w:val="24"/>
                <w:lang w:eastAsia="cs-CZ"/>
              </w:rPr>
            </w:pPr>
            <w:r w:rsidRPr="00D4761A">
              <w:rPr>
                <w:rFonts w:eastAsia="Times New Roman" w:cs="Times New Roman"/>
                <w:szCs w:val="24"/>
                <w:lang w:eastAsia="cs-CZ"/>
              </w:rPr>
              <w:t>noční kašel</w:t>
            </w:r>
          </w:p>
          <w:p w14:paraId="09B61957" w14:textId="77777777" w:rsidR="00E2166F" w:rsidRPr="00D4761A" w:rsidRDefault="00E2166F" w:rsidP="00E2166F">
            <w:pPr>
              <w:pStyle w:val="Odstavecseseznamem"/>
              <w:numPr>
                <w:ilvl w:val="0"/>
                <w:numId w:val="12"/>
              </w:numPr>
              <w:spacing w:line="240" w:lineRule="auto"/>
              <w:ind w:left="209" w:hanging="209"/>
              <w:jc w:val="left"/>
              <w:rPr>
                <w:rFonts w:eastAsia="Times New Roman" w:cs="Times New Roman"/>
                <w:szCs w:val="24"/>
                <w:lang w:eastAsia="cs-CZ"/>
              </w:rPr>
            </w:pPr>
            <w:r w:rsidRPr="00D4761A">
              <w:rPr>
                <w:rFonts w:eastAsia="Times New Roman" w:cs="Times New Roman"/>
                <w:szCs w:val="24"/>
                <w:lang w:eastAsia="cs-CZ"/>
              </w:rPr>
              <w:t>pískání při dýchání</w:t>
            </w:r>
          </w:p>
          <w:p w14:paraId="29F6E5A4" w14:textId="77777777" w:rsidR="00E2166F" w:rsidRPr="00D4761A" w:rsidRDefault="00E2166F" w:rsidP="00E2166F">
            <w:pPr>
              <w:pStyle w:val="Odstavecseseznamem"/>
              <w:numPr>
                <w:ilvl w:val="0"/>
                <w:numId w:val="12"/>
              </w:numPr>
              <w:spacing w:line="240" w:lineRule="auto"/>
              <w:ind w:left="209" w:hanging="209"/>
              <w:jc w:val="left"/>
              <w:rPr>
                <w:rFonts w:eastAsia="Times New Roman" w:cs="Times New Roman"/>
                <w:szCs w:val="24"/>
                <w:lang w:eastAsia="cs-CZ"/>
              </w:rPr>
            </w:pPr>
            <w:r w:rsidRPr="00D4761A">
              <w:rPr>
                <w:rFonts w:eastAsia="Times New Roman" w:cs="Times New Roman"/>
                <w:szCs w:val="24"/>
                <w:lang w:eastAsia="cs-CZ"/>
              </w:rPr>
              <w:t>plnost břicha</w:t>
            </w:r>
          </w:p>
          <w:p w14:paraId="7FD47F8B" w14:textId="1671603D" w:rsidR="00E2166F" w:rsidRPr="00D4761A" w:rsidRDefault="00E2166F" w:rsidP="00E2166F">
            <w:pPr>
              <w:pStyle w:val="Odstavecseseznamem"/>
              <w:numPr>
                <w:ilvl w:val="0"/>
                <w:numId w:val="12"/>
              </w:numPr>
              <w:spacing w:line="240" w:lineRule="auto"/>
              <w:ind w:left="209" w:hanging="209"/>
              <w:jc w:val="left"/>
              <w:rPr>
                <w:rFonts w:eastAsia="Times New Roman" w:cs="Times New Roman"/>
                <w:szCs w:val="24"/>
                <w:lang w:eastAsia="cs-CZ"/>
              </w:rPr>
            </w:pPr>
            <w:r w:rsidRPr="00D4761A">
              <w:rPr>
                <w:rFonts w:eastAsia="Times New Roman" w:cs="Times New Roman"/>
                <w:szCs w:val="24"/>
                <w:lang w:eastAsia="cs-CZ"/>
              </w:rPr>
              <w:t xml:space="preserve">snížená chuť </w:t>
            </w:r>
            <w:r w:rsidR="00672ED4" w:rsidRPr="00D4761A">
              <w:rPr>
                <w:rFonts w:eastAsia="Times New Roman" w:cs="Times New Roman"/>
                <w:szCs w:val="24"/>
                <w:lang w:eastAsia="cs-CZ"/>
              </w:rPr>
              <w:t>k </w:t>
            </w:r>
            <w:r w:rsidRPr="00D4761A">
              <w:rPr>
                <w:rFonts w:eastAsia="Times New Roman" w:cs="Times New Roman"/>
                <w:szCs w:val="24"/>
                <w:lang w:eastAsia="cs-CZ"/>
              </w:rPr>
              <w:t>jídlu</w:t>
            </w:r>
          </w:p>
          <w:p w14:paraId="162DF5D4" w14:textId="77777777" w:rsidR="00E2166F" w:rsidRPr="00D4761A" w:rsidRDefault="00E2166F" w:rsidP="00E2166F">
            <w:pPr>
              <w:pStyle w:val="Odstavecseseznamem"/>
              <w:numPr>
                <w:ilvl w:val="0"/>
                <w:numId w:val="12"/>
              </w:numPr>
              <w:spacing w:line="240" w:lineRule="auto"/>
              <w:ind w:left="209" w:hanging="209"/>
              <w:jc w:val="left"/>
              <w:rPr>
                <w:rFonts w:eastAsia="Times New Roman" w:cs="Times New Roman"/>
                <w:szCs w:val="24"/>
                <w:lang w:eastAsia="cs-CZ"/>
              </w:rPr>
            </w:pPr>
            <w:r w:rsidRPr="00D4761A">
              <w:rPr>
                <w:rFonts w:eastAsia="Times New Roman" w:cs="Times New Roman"/>
                <w:szCs w:val="24"/>
                <w:lang w:eastAsia="cs-CZ"/>
              </w:rPr>
              <w:t>zmatenost</w:t>
            </w:r>
          </w:p>
          <w:p w14:paraId="7C3C8314" w14:textId="77777777" w:rsidR="00E2166F" w:rsidRPr="00D4761A" w:rsidRDefault="00E2166F" w:rsidP="00E2166F">
            <w:pPr>
              <w:pStyle w:val="Odstavecseseznamem"/>
              <w:numPr>
                <w:ilvl w:val="0"/>
                <w:numId w:val="12"/>
              </w:numPr>
              <w:spacing w:line="240" w:lineRule="auto"/>
              <w:ind w:left="209" w:hanging="209"/>
              <w:jc w:val="left"/>
              <w:rPr>
                <w:rFonts w:eastAsia="Times New Roman" w:cs="Times New Roman"/>
                <w:szCs w:val="24"/>
                <w:lang w:eastAsia="cs-CZ"/>
              </w:rPr>
            </w:pPr>
            <w:r w:rsidRPr="00D4761A">
              <w:rPr>
                <w:rFonts w:eastAsia="Times New Roman" w:cs="Times New Roman"/>
                <w:szCs w:val="24"/>
                <w:lang w:eastAsia="cs-CZ"/>
              </w:rPr>
              <w:t>deprese</w:t>
            </w:r>
          </w:p>
          <w:p w14:paraId="387D97E4" w14:textId="77777777" w:rsidR="00E2166F" w:rsidRPr="00D4761A" w:rsidRDefault="00E2166F" w:rsidP="00E2166F">
            <w:pPr>
              <w:pStyle w:val="Odstavecseseznamem"/>
              <w:numPr>
                <w:ilvl w:val="0"/>
                <w:numId w:val="12"/>
              </w:numPr>
              <w:spacing w:line="240" w:lineRule="auto"/>
              <w:ind w:left="209" w:hanging="209"/>
              <w:jc w:val="left"/>
              <w:rPr>
                <w:rFonts w:eastAsia="Times New Roman" w:cs="Times New Roman"/>
                <w:szCs w:val="24"/>
                <w:lang w:eastAsia="cs-CZ"/>
              </w:rPr>
            </w:pPr>
            <w:r w:rsidRPr="00D4761A">
              <w:rPr>
                <w:rFonts w:eastAsia="Times New Roman" w:cs="Times New Roman"/>
                <w:szCs w:val="24"/>
                <w:lang w:eastAsia="cs-CZ"/>
              </w:rPr>
              <w:t>bušení srdce</w:t>
            </w:r>
          </w:p>
          <w:p w14:paraId="4538E8F5" w14:textId="77777777" w:rsidR="00E2166F" w:rsidRPr="00D4761A" w:rsidRDefault="00E2166F" w:rsidP="00E2166F">
            <w:pPr>
              <w:pStyle w:val="Odstavecseseznamem"/>
              <w:numPr>
                <w:ilvl w:val="0"/>
                <w:numId w:val="12"/>
              </w:numPr>
              <w:spacing w:line="240" w:lineRule="auto"/>
              <w:ind w:left="209" w:hanging="209"/>
              <w:jc w:val="left"/>
              <w:rPr>
                <w:rFonts w:eastAsia="Times New Roman" w:cs="Times New Roman"/>
                <w:szCs w:val="24"/>
                <w:lang w:eastAsia="cs-CZ"/>
              </w:rPr>
            </w:pPr>
            <w:r w:rsidRPr="00D4761A">
              <w:rPr>
                <w:rFonts w:eastAsia="Times New Roman" w:cs="Times New Roman"/>
                <w:szCs w:val="24"/>
                <w:lang w:eastAsia="cs-CZ"/>
              </w:rPr>
              <w:t>motání hlavy</w:t>
            </w:r>
          </w:p>
          <w:p w14:paraId="334DE4C2" w14:textId="77777777" w:rsidR="00E2166F" w:rsidRPr="00D4761A" w:rsidRDefault="00E2166F" w:rsidP="00E2166F">
            <w:pPr>
              <w:pStyle w:val="Odstavecseseznamem"/>
              <w:numPr>
                <w:ilvl w:val="0"/>
                <w:numId w:val="12"/>
              </w:numPr>
              <w:spacing w:line="240" w:lineRule="auto"/>
              <w:ind w:left="209" w:hanging="209"/>
              <w:jc w:val="left"/>
              <w:rPr>
                <w:rFonts w:eastAsia="Times New Roman" w:cs="Times New Roman"/>
                <w:szCs w:val="24"/>
                <w:lang w:eastAsia="cs-CZ"/>
              </w:rPr>
            </w:pPr>
            <w:r w:rsidRPr="00D4761A">
              <w:rPr>
                <w:rFonts w:eastAsia="Times New Roman" w:cs="Times New Roman"/>
                <w:szCs w:val="24"/>
                <w:lang w:eastAsia="cs-CZ"/>
              </w:rPr>
              <w:t>synkopa</w:t>
            </w:r>
          </w:p>
        </w:tc>
        <w:tc>
          <w:tcPr>
            <w:tcW w:w="2500" w:type="pct"/>
            <w:noWrap/>
            <w:hideMark/>
          </w:tcPr>
          <w:p w14:paraId="4E4DB394" w14:textId="77777777" w:rsidR="00E2166F" w:rsidRPr="00D4761A" w:rsidRDefault="00E2166F" w:rsidP="00E2166F">
            <w:pPr>
              <w:pStyle w:val="Odstavecseseznamem"/>
              <w:numPr>
                <w:ilvl w:val="0"/>
                <w:numId w:val="12"/>
              </w:numPr>
              <w:spacing w:line="240" w:lineRule="auto"/>
              <w:ind w:left="209" w:hanging="209"/>
              <w:jc w:val="left"/>
              <w:rPr>
                <w:rFonts w:eastAsia="Times New Roman" w:cs="Times New Roman"/>
                <w:szCs w:val="24"/>
                <w:lang w:eastAsia="cs-CZ"/>
              </w:rPr>
            </w:pPr>
            <w:r w:rsidRPr="00D4761A">
              <w:rPr>
                <w:rFonts w:eastAsia="Times New Roman" w:cs="Times New Roman"/>
                <w:szCs w:val="24"/>
                <w:lang w:eastAsia="cs-CZ"/>
              </w:rPr>
              <w:t>nárůst hmotnosti (nad 2 kg na týden)</w:t>
            </w:r>
          </w:p>
          <w:p w14:paraId="15EF0B16" w14:textId="77777777" w:rsidR="00E2166F" w:rsidRPr="00D4761A" w:rsidRDefault="00E2166F" w:rsidP="00E2166F">
            <w:pPr>
              <w:pStyle w:val="Odstavecseseznamem"/>
              <w:numPr>
                <w:ilvl w:val="0"/>
                <w:numId w:val="12"/>
              </w:numPr>
              <w:spacing w:line="240" w:lineRule="auto"/>
              <w:ind w:left="209" w:hanging="209"/>
              <w:jc w:val="left"/>
              <w:rPr>
                <w:rFonts w:eastAsia="Times New Roman" w:cs="Times New Roman"/>
                <w:szCs w:val="24"/>
                <w:lang w:eastAsia="cs-CZ"/>
              </w:rPr>
            </w:pPr>
            <w:r w:rsidRPr="00D4761A">
              <w:rPr>
                <w:rFonts w:eastAsia="Times New Roman" w:cs="Times New Roman"/>
                <w:szCs w:val="24"/>
                <w:lang w:eastAsia="cs-CZ"/>
              </w:rPr>
              <w:t>kachexie (pokročilé srdeční selhání)</w:t>
            </w:r>
          </w:p>
          <w:p w14:paraId="0E890810" w14:textId="77777777" w:rsidR="00E2166F" w:rsidRPr="00D4761A" w:rsidRDefault="00E2166F" w:rsidP="00E2166F">
            <w:pPr>
              <w:pStyle w:val="Odstavecseseznamem"/>
              <w:numPr>
                <w:ilvl w:val="0"/>
                <w:numId w:val="12"/>
              </w:numPr>
              <w:spacing w:line="240" w:lineRule="auto"/>
              <w:ind w:left="209" w:hanging="209"/>
              <w:jc w:val="left"/>
              <w:rPr>
                <w:rFonts w:eastAsia="Times New Roman" w:cs="Times New Roman"/>
                <w:szCs w:val="24"/>
                <w:lang w:eastAsia="cs-CZ"/>
              </w:rPr>
            </w:pPr>
            <w:r w:rsidRPr="00D4761A">
              <w:rPr>
                <w:rFonts w:eastAsia="Times New Roman" w:cs="Times New Roman"/>
                <w:szCs w:val="24"/>
                <w:lang w:eastAsia="cs-CZ"/>
              </w:rPr>
              <w:t>edém dolních končetin</w:t>
            </w:r>
          </w:p>
          <w:p w14:paraId="3A0702B6" w14:textId="77777777" w:rsidR="00E2166F" w:rsidRPr="00D4761A" w:rsidRDefault="00E2166F" w:rsidP="00E2166F">
            <w:pPr>
              <w:pStyle w:val="Odstavecseseznamem"/>
              <w:numPr>
                <w:ilvl w:val="0"/>
                <w:numId w:val="12"/>
              </w:numPr>
              <w:spacing w:line="240" w:lineRule="auto"/>
              <w:ind w:left="209" w:hanging="209"/>
              <w:jc w:val="left"/>
              <w:rPr>
                <w:rFonts w:eastAsia="Times New Roman" w:cs="Times New Roman"/>
                <w:szCs w:val="24"/>
                <w:lang w:eastAsia="cs-CZ"/>
              </w:rPr>
            </w:pPr>
            <w:r w:rsidRPr="00D4761A">
              <w:rPr>
                <w:rFonts w:eastAsia="Times New Roman" w:cs="Times New Roman"/>
                <w:szCs w:val="24"/>
                <w:lang w:eastAsia="cs-CZ"/>
              </w:rPr>
              <w:t>plicní chrůpky</w:t>
            </w:r>
          </w:p>
          <w:p w14:paraId="39FFE319" w14:textId="77777777" w:rsidR="00E2166F" w:rsidRPr="00D4761A" w:rsidRDefault="00E2166F" w:rsidP="00E2166F">
            <w:pPr>
              <w:pStyle w:val="Odstavecseseznamem"/>
              <w:numPr>
                <w:ilvl w:val="0"/>
                <w:numId w:val="12"/>
              </w:numPr>
              <w:spacing w:line="240" w:lineRule="auto"/>
              <w:ind w:left="209" w:hanging="209"/>
              <w:jc w:val="left"/>
              <w:rPr>
                <w:rFonts w:eastAsia="Times New Roman" w:cs="Times New Roman"/>
                <w:szCs w:val="24"/>
                <w:lang w:eastAsia="cs-CZ"/>
              </w:rPr>
            </w:pPr>
            <w:r w:rsidRPr="00D4761A">
              <w:rPr>
                <w:rFonts w:eastAsia="Times New Roman" w:cs="Times New Roman"/>
                <w:szCs w:val="24"/>
                <w:lang w:eastAsia="cs-CZ"/>
              </w:rPr>
              <w:t>srdeční šelest</w:t>
            </w:r>
          </w:p>
          <w:p w14:paraId="28B80DE6" w14:textId="77777777" w:rsidR="00E2166F" w:rsidRPr="00D4761A" w:rsidRDefault="00E2166F" w:rsidP="00E2166F">
            <w:pPr>
              <w:pStyle w:val="Odstavecseseznamem"/>
              <w:numPr>
                <w:ilvl w:val="0"/>
                <w:numId w:val="12"/>
              </w:numPr>
              <w:spacing w:line="240" w:lineRule="auto"/>
              <w:ind w:left="209" w:hanging="209"/>
              <w:jc w:val="left"/>
              <w:rPr>
                <w:rFonts w:eastAsia="Times New Roman" w:cs="Times New Roman"/>
                <w:szCs w:val="24"/>
                <w:lang w:eastAsia="cs-CZ"/>
              </w:rPr>
            </w:pPr>
            <w:r w:rsidRPr="00D4761A">
              <w:rPr>
                <w:rFonts w:eastAsia="Times New Roman" w:cs="Times New Roman"/>
                <w:szCs w:val="24"/>
                <w:lang w:eastAsia="cs-CZ"/>
              </w:rPr>
              <w:t>tachykardie</w:t>
            </w:r>
          </w:p>
          <w:p w14:paraId="37FA05E6" w14:textId="77777777" w:rsidR="00E2166F" w:rsidRPr="00D4761A" w:rsidRDefault="00E2166F" w:rsidP="00E2166F">
            <w:pPr>
              <w:pStyle w:val="Odstavecseseznamem"/>
              <w:numPr>
                <w:ilvl w:val="0"/>
                <w:numId w:val="12"/>
              </w:numPr>
              <w:spacing w:line="240" w:lineRule="auto"/>
              <w:ind w:left="209" w:hanging="209"/>
              <w:jc w:val="left"/>
              <w:rPr>
                <w:rFonts w:eastAsia="Times New Roman" w:cs="Times New Roman"/>
                <w:szCs w:val="24"/>
                <w:lang w:eastAsia="cs-CZ"/>
              </w:rPr>
            </w:pPr>
            <w:r w:rsidRPr="00D4761A">
              <w:rPr>
                <w:rFonts w:eastAsia="Times New Roman" w:cs="Times New Roman"/>
                <w:szCs w:val="24"/>
                <w:lang w:eastAsia="cs-CZ"/>
              </w:rPr>
              <w:t>nepravidelný puls</w:t>
            </w:r>
          </w:p>
          <w:p w14:paraId="0DC11E20" w14:textId="77777777" w:rsidR="00E2166F" w:rsidRPr="00D4761A" w:rsidRDefault="00E2166F" w:rsidP="00E2166F">
            <w:pPr>
              <w:pStyle w:val="Odstavecseseznamem"/>
              <w:numPr>
                <w:ilvl w:val="0"/>
                <w:numId w:val="12"/>
              </w:numPr>
              <w:spacing w:line="240" w:lineRule="auto"/>
              <w:ind w:left="209" w:hanging="209"/>
              <w:jc w:val="left"/>
              <w:rPr>
                <w:rFonts w:eastAsia="Times New Roman" w:cs="Times New Roman"/>
                <w:szCs w:val="24"/>
                <w:lang w:eastAsia="cs-CZ"/>
              </w:rPr>
            </w:pPr>
            <w:r w:rsidRPr="00D4761A">
              <w:rPr>
                <w:rFonts w:eastAsia="Times New Roman" w:cs="Times New Roman"/>
                <w:szCs w:val="24"/>
                <w:lang w:eastAsia="cs-CZ"/>
              </w:rPr>
              <w:t>hepatomegalie</w:t>
            </w:r>
          </w:p>
          <w:p w14:paraId="44AD75BC" w14:textId="77777777" w:rsidR="00E2166F" w:rsidRPr="00D4761A" w:rsidRDefault="00E2166F" w:rsidP="00E2166F">
            <w:pPr>
              <w:pStyle w:val="Odstavecseseznamem"/>
              <w:numPr>
                <w:ilvl w:val="0"/>
                <w:numId w:val="12"/>
              </w:numPr>
              <w:spacing w:line="240" w:lineRule="auto"/>
              <w:ind w:left="209" w:hanging="209"/>
              <w:jc w:val="left"/>
              <w:rPr>
                <w:rFonts w:eastAsia="Times New Roman" w:cs="Times New Roman"/>
                <w:szCs w:val="24"/>
                <w:lang w:eastAsia="cs-CZ"/>
              </w:rPr>
            </w:pPr>
            <w:r w:rsidRPr="00D4761A">
              <w:rPr>
                <w:rFonts w:eastAsia="Times New Roman" w:cs="Times New Roman"/>
                <w:szCs w:val="24"/>
                <w:lang w:eastAsia="cs-CZ"/>
              </w:rPr>
              <w:t>ascites</w:t>
            </w:r>
          </w:p>
        </w:tc>
      </w:tr>
    </w:tbl>
    <w:p w14:paraId="5712F404" w14:textId="77777777" w:rsidR="00E2166F" w:rsidRPr="00D4761A" w:rsidRDefault="00E2166F" w:rsidP="00AF5A33">
      <w:pPr>
        <w:rPr>
          <w:rFonts w:cstheme="minorHAnsi"/>
          <w:szCs w:val="24"/>
        </w:rPr>
      </w:pPr>
    </w:p>
    <w:p w14:paraId="0D281220" w14:textId="21F4FADD" w:rsidR="00E2166F" w:rsidRPr="00D4761A" w:rsidRDefault="00E2166F" w:rsidP="00672ED4">
      <w:pPr>
        <w:keepNext/>
      </w:pPr>
      <w:r w:rsidRPr="00D4761A">
        <w:rPr>
          <w:b/>
        </w:rPr>
        <w:t>T</w:t>
      </w:r>
      <w:r w:rsidR="00CC2471" w:rsidRPr="00D4761A">
        <w:rPr>
          <w:b/>
        </w:rPr>
        <w:t>abulka </w:t>
      </w:r>
      <w:r w:rsidRPr="00D4761A">
        <w:rPr>
          <w:b/>
        </w:rPr>
        <w:t>2</w:t>
      </w:r>
      <w:r w:rsidRPr="00D4761A">
        <w:t xml:space="preserve"> – Funkční klasifikace dle New York Heart Association (NYHA)</w:t>
      </w:r>
    </w:p>
    <w:tbl>
      <w:tblPr>
        <w:tblStyle w:val="Mkatabulky"/>
        <w:tblW w:w="5000" w:type="pct"/>
        <w:tblLook w:val="04A0" w:firstRow="1" w:lastRow="0" w:firstColumn="1" w:lastColumn="0" w:noHBand="0" w:noVBand="1"/>
      </w:tblPr>
      <w:tblGrid>
        <w:gridCol w:w="1414"/>
        <w:gridCol w:w="7648"/>
      </w:tblGrid>
      <w:tr w:rsidR="00597804" w:rsidRPr="00D4761A" w14:paraId="3D67AA13" w14:textId="77777777" w:rsidTr="00CA3812">
        <w:trPr>
          <w:cantSplit/>
        </w:trPr>
        <w:tc>
          <w:tcPr>
            <w:tcW w:w="780" w:type="pct"/>
            <w:vAlign w:val="center"/>
          </w:tcPr>
          <w:p w14:paraId="554C12D7" w14:textId="77777777" w:rsidR="00E2166F" w:rsidRPr="00D4761A" w:rsidRDefault="00E2166F" w:rsidP="00672ED4">
            <w:pPr>
              <w:keepNext/>
              <w:spacing w:line="240" w:lineRule="auto"/>
              <w:jc w:val="left"/>
              <w:rPr>
                <w:rFonts w:cs="Times New Roman"/>
                <w:b/>
                <w:szCs w:val="24"/>
              </w:rPr>
            </w:pPr>
            <w:r w:rsidRPr="00D4761A">
              <w:rPr>
                <w:rFonts w:cs="Times New Roman"/>
                <w:b/>
                <w:szCs w:val="24"/>
              </w:rPr>
              <w:t>NYHA I</w:t>
            </w:r>
          </w:p>
        </w:tc>
        <w:tc>
          <w:tcPr>
            <w:tcW w:w="4220" w:type="pct"/>
            <w:vAlign w:val="center"/>
          </w:tcPr>
          <w:p w14:paraId="627BAB4E" w14:textId="77777777" w:rsidR="00E2166F" w:rsidRPr="00D4761A" w:rsidRDefault="00E2166F" w:rsidP="00672ED4">
            <w:pPr>
              <w:keepNext/>
              <w:spacing w:line="240" w:lineRule="auto"/>
              <w:jc w:val="left"/>
              <w:rPr>
                <w:rFonts w:cs="Times New Roman"/>
                <w:szCs w:val="24"/>
              </w:rPr>
            </w:pPr>
            <w:r w:rsidRPr="00D4761A">
              <w:rPr>
                <w:rFonts w:cs="Times New Roman"/>
                <w:szCs w:val="24"/>
              </w:rPr>
              <w:t>Běžná fyzická aktivita nijak nelimituje pacienta, není námahová dušnost.</w:t>
            </w:r>
          </w:p>
        </w:tc>
      </w:tr>
      <w:tr w:rsidR="00597804" w:rsidRPr="00D4761A" w14:paraId="390973EA" w14:textId="77777777" w:rsidTr="00CA3812">
        <w:trPr>
          <w:cantSplit/>
        </w:trPr>
        <w:tc>
          <w:tcPr>
            <w:tcW w:w="780" w:type="pct"/>
            <w:vAlign w:val="center"/>
          </w:tcPr>
          <w:p w14:paraId="4CF47378" w14:textId="77777777" w:rsidR="00E2166F" w:rsidRPr="00D4761A" w:rsidRDefault="00E2166F" w:rsidP="00672ED4">
            <w:pPr>
              <w:keepNext/>
              <w:spacing w:line="240" w:lineRule="auto"/>
              <w:jc w:val="left"/>
              <w:rPr>
                <w:rFonts w:cs="Times New Roman"/>
                <w:b/>
                <w:szCs w:val="24"/>
              </w:rPr>
            </w:pPr>
            <w:r w:rsidRPr="00D4761A">
              <w:rPr>
                <w:rFonts w:cs="Times New Roman"/>
                <w:b/>
                <w:szCs w:val="24"/>
              </w:rPr>
              <w:t>NYHA II</w:t>
            </w:r>
          </w:p>
        </w:tc>
        <w:tc>
          <w:tcPr>
            <w:tcW w:w="4220" w:type="pct"/>
            <w:vAlign w:val="center"/>
          </w:tcPr>
          <w:p w14:paraId="58FE90E5" w14:textId="77777777" w:rsidR="00E2166F" w:rsidRPr="00D4761A" w:rsidRDefault="00E2166F" w:rsidP="00672ED4">
            <w:pPr>
              <w:keepNext/>
              <w:spacing w:line="240" w:lineRule="auto"/>
              <w:jc w:val="left"/>
              <w:rPr>
                <w:rFonts w:cs="Times New Roman"/>
                <w:szCs w:val="24"/>
              </w:rPr>
            </w:pPr>
            <w:r w:rsidRPr="00D4761A">
              <w:rPr>
                <w:rFonts w:cs="Times New Roman"/>
                <w:szCs w:val="24"/>
              </w:rPr>
              <w:t>Běžná fyzická aktivita lehce omezuje pacienta, je námahová dušnost.</w:t>
            </w:r>
          </w:p>
        </w:tc>
      </w:tr>
      <w:tr w:rsidR="00597804" w:rsidRPr="00D4761A" w14:paraId="69C11F7E" w14:textId="77777777" w:rsidTr="00CA3812">
        <w:trPr>
          <w:cantSplit/>
        </w:trPr>
        <w:tc>
          <w:tcPr>
            <w:tcW w:w="780" w:type="pct"/>
            <w:vAlign w:val="center"/>
          </w:tcPr>
          <w:p w14:paraId="3AB09FDD" w14:textId="77777777" w:rsidR="00E2166F" w:rsidRPr="00D4761A" w:rsidRDefault="00E2166F" w:rsidP="00672ED4">
            <w:pPr>
              <w:keepNext/>
              <w:spacing w:line="240" w:lineRule="auto"/>
              <w:jc w:val="left"/>
              <w:rPr>
                <w:rFonts w:cs="Times New Roman"/>
                <w:b/>
                <w:szCs w:val="24"/>
              </w:rPr>
            </w:pPr>
            <w:r w:rsidRPr="00D4761A">
              <w:rPr>
                <w:rFonts w:cs="Times New Roman"/>
                <w:b/>
                <w:szCs w:val="24"/>
              </w:rPr>
              <w:t>NYHA III</w:t>
            </w:r>
          </w:p>
        </w:tc>
        <w:tc>
          <w:tcPr>
            <w:tcW w:w="4220" w:type="pct"/>
            <w:vAlign w:val="center"/>
          </w:tcPr>
          <w:p w14:paraId="24F1C28B" w14:textId="77777777" w:rsidR="00E2166F" w:rsidRPr="00D4761A" w:rsidRDefault="00E2166F" w:rsidP="00672ED4">
            <w:pPr>
              <w:keepNext/>
              <w:spacing w:line="240" w:lineRule="auto"/>
              <w:jc w:val="left"/>
              <w:rPr>
                <w:rFonts w:cs="Times New Roman"/>
                <w:szCs w:val="24"/>
              </w:rPr>
            </w:pPr>
            <w:r w:rsidRPr="00D4761A">
              <w:rPr>
                <w:rFonts w:cs="Times New Roman"/>
                <w:szCs w:val="24"/>
              </w:rPr>
              <w:t>Běžná fyzická aktivita výrazně omezuje pacienta, je námahová dušnost při minimální námaze.</w:t>
            </w:r>
          </w:p>
        </w:tc>
      </w:tr>
      <w:tr w:rsidR="00E2166F" w:rsidRPr="00D4761A" w14:paraId="102B3D5B" w14:textId="77777777" w:rsidTr="00CA3812">
        <w:trPr>
          <w:cantSplit/>
        </w:trPr>
        <w:tc>
          <w:tcPr>
            <w:tcW w:w="780" w:type="pct"/>
            <w:vAlign w:val="center"/>
          </w:tcPr>
          <w:p w14:paraId="30E20C2D" w14:textId="77777777" w:rsidR="00E2166F" w:rsidRPr="00D4761A" w:rsidRDefault="00E2166F" w:rsidP="00CA3812">
            <w:pPr>
              <w:spacing w:line="240" w:lineRule="auto"/>
              <w:jc w:val="left"/>
              <w:rPr>
                <w:rFonts w:cs="Times New Roman"/>
                <w:b/>
                <w:szCs w:val="24"/>
              </w:rPr>
            </w:pPr>
            <w:r w:rsidRPr="00D4761A">
              <w:rPr>
                <w:rFonts w:cs="Times New Roman"/>
                <w:b/>
                <w:szCs w:val="24"/>
              </w:rPr>
              <w:t>NYHA IV</w:t>
            </w:r>
          </w:p>
        </w:tc>
        <w:tc>
          <w:tcPr>
            <w:tcW w:w="4220" w:type="pct"/>
            <w:vAlign w:val="center"/>
          </w:tcPr>
          <w:p w14:paraId="6AF9E74C" w14:textId="77777777" w:rsidR="00E2166F" w:rsidRPr="00D4761A" w:rsidRDefault="00E2166F" w:rsidP="00CA3812">
            <w:pPr>
              <w:spacing w:line="240" w:lineRule="auto"/>
              <w:jc w:val="left"/>
              <w:rPr>
                <w:rFonts w:cs="Times New Roman"/>
                <w:szCs w:val="24"/>
              </w:rPr>
            </w:pPr>
            <w:r w:rsidRPr="00D4761A">
              <w:rPr>
                <w:rFonts w:cs="Times New Roman"/>
                <w:szCs w:val="24"/>
              </w:rPr>
              <w:t>Jakákoliv fyzická aktivita výrazně omezuje pacienta, pacient může mít klidovou dušnost.</w:t>
            </w:r>
          </w:p>
        </w:tc>
      </w:tr>
    </w:tbl>
    <w:p w14:paraId="65DD9184" w14:textId="77777777" w:rsidR="00E2166F" w:rsidRPr="00D4761A" w:rsidRDefault="00E2166F" w:rsidP="00AF5A33">
      <w:pPr>
        <w:rPr>
          <w:rFonts w:cstheme="minorHAnsi"/>
          <w:szCs w:val="24"/>
        </w:rPr>
      </w:pPr>
    </w:p>
    <w:p w14:paraId="040E6861" w14:textId="4BB795CD" w:rsidR="00597804" w:rsidRPr="00D4761A" w:rsidRDefault="00AF5A33" w:rsidP="00672ED4">
      <w:pPr>
        <w:ind w:firstLine="708"/>
        <w:rPr>
          <w:rFonts w:cstheme="minorHAnsi"/>
          <w:szCs w:val="24"/>
        </w:rPr>
      </w:pPr>
      <w:r w:rsidRPr="00D4761A">
        <w:rPr>
          <w:rFonts w:cstheme="minorHAnsi"/>
          <w:szCs w:val="24"/>
        </w:rPr>
        <w:lastRenderedPageBreak/>
        <w:t xml:space="preserve">Patofyziologickým mechanismem klinické prezentace je teoretický koncept strukturální a/nebo funkční abnormality srdce, která vede k zvýšeným intrakardiálním tlakům a/nebo </w:t>
      </w:r>
      <w:r w:rsidR="00672ED4" w:rsidRPr="00D4761A">
        <w:rPr>
          <w:rFonts w:cstheme="minorHAnsi"/>
          <w:szCs w:val="24"/>
        </w:rPr>
        <w:t>i </w:t>
      </w:r>
      <w:r w:rsidRPr="00D4761A">
        <w:rPr>
          <w:rFonts w:cstheme="minorHAnsi"/>
          <w:szCs w:val="24"/>
        </w:rPr>
        <w:t xml:space="preserve">neadekvátnímu srdečnímu výdeji v klidu a/nebo v zátěži. Tento teoretický koncept nelze jednoduše </w:t>
      </w:r>
      <w:r w:rsidR="00672ED4" w:rsidRPr="00D4761A">
        <w:rPr>
          <w:rFonts w:cstheme="minorHAnsi"/>
          <w:szCs w:val="24"/>
        </w:rPr>
        <w:t>a </w:t>
      </w:r>
      <w:r w:rsidRPr="00D4761A">
        <w:rPr>
          <w:rFonts w:cstheme="minorHAnsi"/>
          <w:szCs w:val="24"/>
        </w:rPr>
        <w:t>prakticky v každodenní praxi aplikovat na stále se zvětšující počet pacient</w:t>
      </w:r>
      <w:r w:rsidR="00A538FF" w:rsidRPr="00D4761A">
        <w:rPr>
          <w:rFonts w:cstheme="minorHAnsi"/>
          <w:szCs w:val="24"/>
        </w:rPr>
        <w:t>ů</w:t>
      </w:r>
      <w:r w:rsidRPr="00D4761A">
        <w:rPr>
          <w:rFonts w:cstheme="minorHAnsi"/>
          <w:szCs w:val="24"/>
        </w:rPr>
        <w:t xml:space="preserve"> se srdečním selháním. Proto praktickým přístupem je použití vstupních klinických kritérií randomizovaných multicentrických kontrolovaných klinických studií, které přinesly zásadní změnu v mortalitě </w:t>
      </w:r>
      <w:r w:rsidR="00672ED4" w:rsidRPr="00D4761A">
        <w:rPr>
          <w:rFonts w:cstheme="minorHAnsi"/>
          <w:szCs w:val="24"/>
        </w:rPr>
        <w:t>a </w:t>
      </w:r>
      <w:r w:rsidRPr="00D4761A">
        <w:rPr>
          <w:rFonts w:cstheme="minorHAnsi"/>
          <w:szCs w:val="24"/>
        </w:rPr>
        <w:t>morbiditě pacientů se srdečním selháním (</w:t>
      </w:r>
      <w:bookmarkStart w:id="4" w:name="_Hlk117802599"/>
      <w:r w:rsidRPr="00D4761A">
        <w:rPr>
          <w:rFonts w:cstheme="minorHAnsi"/>
          <w:szCs w:val="24"/>
        </w:rPr>
        <w:t>Schéma</w:t>
      </w:r>
      <w:r w:rsidR="00CC2471" w:rsidRPr="00D4761A">
        <w:rPr>
          <w:rFonts w:cstheme="minorHAnsi"/>
          <w:szCs w:val="24"/>
        </w:rPr>
        <w:t> </w:t>
      </w:r>
      <w:r w:rsidRPr="00D4761A">
        <w:rPr>
          <w:rFonts w:cstheme="minorHAnsi"/>
          <w:szCs w:val="24"/>
        </w:rPr>
        <w:t>1</w:t>
      </w:r>
      <w:bookmarkEnd w:id="4"/>
      <w:r w:rsidRPr="00D4761A">
        <w:rPr>
          <w:rFonts w:cstheme="minorHAnsi"/>
          <w:szCs w:val="24"/>
        </w:rPr>
        <w:t>). Jako zásadní diskriminant slouží ejekční frakce (EF) levé komory, která definuje pacienty se sníženou ejekční frakcí levé komory (</w:t>
      </w:r>
      <w:bookmarkStart w:id="5" w:name="_Hlk115642580"/>
      <w:r w:rsidRPr="00D4761A">
        <w:rPr>
          <w:rFonts w:cstheme="minorHAnsi"/>
          <w:szCs w:val="24"/>
        </w:rPr>
        <w:t>heart failure with reduced ejection fraction – HFrEF</w:t>
      </w:r>
      <w:bookmarkEnd w:id="5"/>
      <w:r w:rsidRPr="00D4761A">
        <w:rPr>
          <w:rFonts w:cstheme="minorHAnsi"/>
          <w:szCs w:val="24"/>
        </w:rPr>
        <w:t>) s EF 40</w:t>
      </w:r>
      <w:r w:rsidR="00672ED4" w:rsidRPr="00D4761A">
        <w:rPr>
          <w:rFonts w:cstheme="minorHAnsi"/>
          <w:szCs w:val="24"/>
        </w:rPr>
        <w:t> %</w:t>
      </w:r>
      <w:r w:rsidRPr="00D4761A">
        <w:rPr>
          <w:rFonts w:cstheme="minorHAnsi"/>
          <w:szCs w:val="24"/>
        </w:rPr>
        <w:t xml:space="preserve"> nebo nižší, pacienty s </w:t>
      </w:r>
      <w:r w:rsidR="00CC20BE" w:rsidRPr="00D4761A">
        <w:rPr>
          <w:rFonts w:cstheme="minorHAnsi"/>
          <w:szCs w:val="24"/>
        </w:rPr>
        <w:t>mírně</w:t>
      </w:r>
      <w:r w:rsidRPr="00D4761A">
        <w:rPr>
          <w:rFonts w:cstheme="minorHAnsi"/>
          <w:szCs w:val="24"/>
        </w:rPr>
        <w:t xml:space="preserve"> sníženou ejekční frakcí levé komory (</w:t>
      </w:r>
      <w:bookmarkStart w:id="6" w:name="_Hlk115642654"/>
      <w:r w:rsidRPr="00D4761A">
        <w:rPr>
          <w:rFonts w:cstheme="minorHAnsi"/>
          <w:szCs w:val="24"/>
        </w:rPr>
        <w:t>heart failure with mildly reduced ejection fraction – HFmrEF) s EF 41-49</w:t>
      </w:r>
      <w:r w:rsidR="00672ED4" w:rsidRPr="00D4761A">
        <w:rPr>
          <w:rFonts w:cstheme="minorHAnsi"/>
          <w:szCs w:val="24"/>
        </w:rPr>
        <w:t> %</w:t>
      </w:r>
      <w:r w:rsidRPr="00D4761A">
        <w:rPr>
          <w:rFonts w:cstheme="minorHAnsi"/>
          <w:szCs w:val="24"/>
        </w:rPr>
        <w:t xml:space="preserve"> </w:t>
      </w:r>
      <w:r w:rsidR="00672ED4" w:rsidRPr="00D4761A">
        <w:rPr>
          <w:rFonts w:cstheme="minorHAnsi"/>
          <w:szCs w:val="24"/>
        </w:rPr>
        <w:t>a </w:t>
      </w:r>
      <w:r w:rsidRPr="00D4761A">
        <w:rPr>
          <w:rFonts w:cstheme="minorHAnsi"/>
          <w:szCs w:val="24"/>
        </w:rPr>
        <w:t xml:space="preserve">pacienty se zachovalou ejekční frakcí (heart failure with preserved ejection fraction – HFpEF) </w:t>
      </w:r>
      <w:bookmarkEnd w:id="6"/>
      <w:r w:rsidRPr="00D4761A">
        <w:rPr>
          <w:rFonts w:cstheme="minorHAnsi"/>
          <w:szCs w:val="24"/>
        </w:rPr>
        <w:t>s EF</w:t>
      </w:r>
      <w:r w:rsidR="00597804" w:rsidRPr="00D4761A">
        <w:rPr>
          <w:rFonts w:cstheme="minorHAnsi"/>
          <w:szCs w:val="24"/>
        </w:rPr>
        <w:t xml:space="preserve"> </w:t>
      </w:r>
      <w:r w:rsidRPr="00D4761A">
        <w:rPr>
          <w:rFonts w:cstheme="minorHAnsi"/>
          <w:szCs w:val="24"/>
        </w:rPr>
        <w:t>50</w:t>
      </w:r>
      <w:r w:rsidR="00672ED4" w:rsidRPr="00D4761A">
        <w:rPr>
          <w:rFonts w:cstheme="minorHAnsi"/>
          <w:szCs w:val="24"/>
        </w:rPr>
        <w:t> %</w:t>
      </w:r>
      <w:r w:rsidRPr="00D4761A">
        <w:rPr>
          <w:rFonts w:cstheme="minorHAnsi"/>
          <w:szCs w:val="24"/>
        </w:rPr>
        <w:t xml:space="preserve"> anebo vyšší.</w:t>
      </w:r>
    </w:p>
    <w:p w14:paraId="6AB05F45" w14:textId="3C2DF82E" w:rsidR="00597804" w:rsidRPr="00D4761A" w:rsidRDefault="00AF5A33" w:rsidP="00672ED4">
      <w:pPr>
        <w:ind w:firstLine="708"/>
        <w:rPr>
          <w:rFonts w:cstheme="minorHAnsi"/>
          <w:szCs w:val="24"/>
        </w:rPr>
      </w:pPr>
      <w:r w:rsidRPr="00D4761A">
        <w:rPr>
          <w:rFonts w:cstheme="minorHAnsi"/>
          <w:szCs w:val="24"/>
        </w:rPr>
        <w:t xml:space="preserve">Rozdíl mezi akutním </w:t>
      </w:r>
      <w:r w:rsidR="00672ED4" w:rsidRPr="00D4761A">
        <w:rPr>
          <w:rFonts w:cstheme="minorHAnsi"/>
          <w:szCs w:val="24"/>
        </w:rPr>
        <w:t>a </w:t>
      </w:r>
      <w:r w:rsidRPr="00D4761A">
        <w:rPr>
          <w:rFonts w:cstheme="minorHAnsi"/>
          <w:szCs w:val="24"/>
        </w:rPr>
        <w:t xml:space="preserve">chronickým </w:t>
      </w:r>
      <w:r w:rsidR="00671C9A" w:rsidRPr="00D4761A">
        <w:rPr>
          <w:rFonts w:cstheme="minorHAnsi"/>
          <w:szCs w:val="24"/>
        </w:rPr>
        <w:t xml:space="preserve">srdečním selháním </w:t>
      </w:r>
      <w:r w:rsidRPr="00D4761A">
        <w:rPr>
          <w:rFonts w:cstheme="minorHAnsi"/>
          <w:szCs w:val="24"/>
        </w:rPr>
        <w:t xml:space="preserve">nemá arbitrární časovou hranici. Akutní srdeční selhání je definováno jako stav, který přinutí daného pacienta vyhledat urgentní, neplánovanou péči ambulantní nebo nemocniční, kde je pacient vyšetřen neodkladně </w:t>
      </w:r>
      <w:r w:rsidR="00672ED4" w:rsidRPr="00D4761A">
        <w:rPr>
          <w:rFonts w:cstheme="minorHAnsi"/>
          <w:szCs w:val="24"/>
        </w:rPr>
        <w:t>a </w:t>
      </w:r>
      <w:r w:rsidRPr="00D4761A">
        <w:rPr>
          <w:rFonts w:cstheme="minorHAnsi"/>
          <w:szCs w:val="24"/>
        </w:rPr>
        <w:t xml:space="preserve">zároveň je zahájena léčba. Jistě do této skupiny se řadí </w:t>
      </w:r>
      <w:r w:rsidR="00D401D9" w:rsidRPr="00D4761A">
        <w:rPr>
          <w:rFonts w:cstheme="minorHAnsi"/>
          <w:szCs w:val="24"/>
        </w:rPr>
        <w:t xml:space="preserve">jak </w:t>
      </w:r>
      <w:r w:rsidRPr="00D4761A">
        <w:rPr>
          <w:rFonts w:cstheme="minorHAnsi"/>
          <w:szCs w:val="24"/>
        </w:rPr>
        <w:t>pacient s nově diagnostikovaným srdečním selháním</w:t>
      </w:r>
      <w:r w:rsidR="00D401D9" w:rsidRPr="00D4761A">
        <w:rPr>
          <w:rFonts w:cstheme="minorHAnsi"/>
          <w:szCs w:val="24"/>
        </w:rPr>
        <w:t>,</w:t>
      </w:r>
      <w:r w:rsidRPr="00D4761A">
        <w:rPr>
          <w:rFonts w:cstheme="minorHAnsi"/>
          <w:szCs w:val="24"/>
        </w:rPr>
        <w:t xml:space="preserve"> tak </w:t>
      </w:r>
      <w:r w:rsidR="00672ED4" w:rsidRPr="00D4761A">
        <w:rPr>
          <w:rFonts w:cstheme="minorHAnsi"/>
          <w:szCs w:val="24"/>
        </w:rPr>
        <w:t>i </w:t>
      </w:r>
      <w:r w:rsidRPr="00D4761A">
        <w:rPr>
          <w:rFonts w:cstheme="minorHAnsi"/>
          <w:szCs w:val="24"/>
        </w:rPr>
        <w:t>s akutním zhoršením chronického srdečního selhání.</w:t>
      </w:r>
    </w:p>
    <w:p w14:paraId="0099F1F2" w14:textId="37C70FA8" w:rsidR="00432779" w:rsidRPr="00D4761A" w:rsidRDefault="00432779" w:rsidP="00AF5A33">
      <w:pPr>
        <w:rPr>
          <w:rFonts w:cstheme="minorHAnsi"/>
          <w:szCs w:val="24"/>
        </w:rPr>
      </w:pPr>
    </w:p>
    <w:p w14:paraId="2F378B96" w14:textId="2BE406DF" w:rsidR="00432779" w:rsidRPr="00D4761A" w:rsidRDefault="00432779" w:rsidP="00672ED4">
      <w:pPr>
        <w:keepNext/>
      </w:pPr>
      <w:r w:rsidRPr="00D4761A">
        <w:rPr>
          <w:b/>
        </w:rPr>
        <w:lastRenderedPageBreak/>
        <w:t>S</w:t>
      </w:r>
      <w:r w:rsidR="00CC2471" w:rsidRPr="00D4761A">
        <w:rPr>
          <w:b/>
        </w:rPr>
        <w:t>chéma </w:t>
      </w:r>
      <w:r w:rsidRPr="00D4761A">
        <w:rPr>
          <w:b/>
        </w:rPr>
        <w:t>1</w:t>
      </w:r>
      <w:r w:rsidRPr="00D4761A">
        <w:t xml:space="preserve"> – Diagnostický algoritmus srdečního selhání</w:t>
      </w:r>
    </w:p>
    <w:p w14:paraId="00F2CDB7" w14:textId="73FE50F4" w:rsidR="00432779" w:rsidRPr="00D4761A" w:rsidRDefault="00C87265" w:rsidP="00597804">
      <w:r w:rsidRPr="00D4761A">
        <w:rPr>
          <w:noProof/>
          <w:lang w:eastAsia="cs-CZ"/>
        </w:rPr>
        <mc:AlternateContent>
          <mc:Choice Requires="wpc">
            <w:drawing>
              <wp:inline distT="0" distB="0" distL="0" distR="0" wp14:anchorId="4366BD56" wp14:editId="247EC84A">
                <wp:extent cx="5760085" cy="6713220"/>
                <wp:effectExtent l="0" t="0" r="0" b="11430"/>
                <wp:docPr id="37" name="Plátno 3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Obdélník: se zakulacenými rohy 2"/>
                        <wps:cNvSpPr>
                          <a:spLocks noChangeArrowheads="1"/>
                        </wps:cNvSpPr>
                        <wps:spPr bwMode="auto">
                          <a:xfrm>
                            <a:off x="876913" y="9500"/>
                            <a:ext cx="4319648" cy="321592"/>
                          </a:xfrm>
                          <a:prstGeom prst="roundRect">
                            <a:avLst>
                              <a:gd name="adj" fmla="val 16667"/>
                            </a:avLst>
                          </a:prstGeom>
                          <a:solidFill>
                            <a:schemeClr val="accent1">
                              <a:lumMod val="100000"/>
                              <a:lumOff val="0"/>
                            </a:schemeClr>
                          </a:solidFill>
                          <a:ln w="12700">
                            <a:solidFill>
                              <a:schemeClr val="accent1">
                                <a:lumMod val="50000"/>
                                <a:lumOff val="0"/>
                              </a:schemeClr>
                            </a:solidFill>
                            <a:miter lim="800000"/>
                            <a:headEnd/>
                            <a:tailEnd/>
                          </a:ln>
                        </wps:spPr>
                        <wps:txbx>
                          <w:txbxContent>
                            <w:p w14:paraId="616DDFE1" w14:textId="77777777" w:rsidR="001466B0" w:rsidRPr="007C14B8" w:rsidRDefault="001466B0" w:rsidP="00432779">
                              <w:pPr>
                                <w:spacing w:line="240" w:lineRule="auto"/>
                                <w:jc w:val="center"/>
                                <w:rPr>
                                  <w:rFonts w:cs="Times New Roman"/>
                                  <w:szCs w:val="24"/>
                                </w:rPr>
                              </w:pPr>
                              <w:r w:rsidRPr="007C14B8">
                                <w:rPr>
                                  <w:rFonts w:eastAsia="HelveticaCE-Bold" w:cs="Times New Roman"/>
                                  <w:b/>
                                  <w:bCs/>
                                  <w:szCs w:val="24"/>
                                </w:rPr>
                                <w:t>Diagnostický algoritmus pro srdeční selhání</w:t>
                              </w:r>
                            </w:p>
                          </w:txbxContent>
                        </wps:txbx>
                        <wps:bodyPr rot="0" vert="horz" wrap="square" lIns="91440" tIns="45720" rIns="91440" bIns="45720" anchor="ctr" anchorCtr="0" upright="1">
                          <a:spAutoFit/>
                        </wps:bodyPr>
                      </wps:wsp>
                      <wps:wsp>
                        <wps:cNvPr id="3" name="Obdélník: se zakulacenými rohy 3"/>
                        <wps:cNvSpPr>
                          <a:spLocks noChangeArrowheads="1"/>
                        </wps:cNvSpPr>
                        <wps:spPr bwMode="auto">
                          <a:xfrm>
                            <a:off x="1864928" y="483201"/>
                            <a:ext cx="2344334" cy="940148"/>
                          </a:xfrm>
                          <a:prstGeom prst="roundRect">
                            <a:avLst>
                              <a:gd name="adj" fmla="val 16667"/>
                            </a:avLst>
                          </a:prstGeom>
                          <a:solidFill>
                            <a:schemeClr val="accent1">
                              <a:lumMod val="100000"/>
                              <a:lumOff val="0"/>
                            </a:schemeClr>
                          </a:solidFill>
                          <a:ln w="12700">
                            <a:solidFill>
                              <a:schemeClr val="accent1">
                                <a:lumMod val="50000"/>
                                <a:lumOff val="0"/>
                              </a:schemeClr>
                            </a:solidFill>
                            <a:miter lim="800000"/>
                            <a:headEnd/>
                            <a:tailEnd/>
                          </a:ln>
                        </wps:spPr>
                        <wps:txbx>
                          <w:txbxContent>
                            <w:p w14:paraId="661579EC" w14:textId="77777777" w:rsidR="001466B0" w:rsidRPr="007C14B8" w:rsidRDefault="001466B0" w:rsidP="00432779">
                              <w:pPr>
                                <w:spacing w:line="240" w:lineRule="auto"/>
                                <w:jc w:val="left"/>
                                <w:rPr>
                                  <w:rFonts w:eastAsia="HelveticaCE-Bold" w:cs="Times New Roman"/>
                                  <w:b/>
                                  <w:bCs/>
                                  <w:szCs w:val="24"/>
                                </w:rPr>
                              </w:pPr>
                              <w:r w:rsidRPr="007C14B8">
                                <w:rPr>
                                  <w:rFonts w:eastAsia="HelveticaCE-Bold" w:cs="Times New Roman"/>
                                  <w:b/>
                                  <w:bCs/>
                                  <w:szCs w:val="24"/>
                                </w:rPr>
                                <w:t>Podezření na srdeční selhání</w:t>
                              </w:r>
                            </w:p>
                            <w:p w14:paraId="60F33FFA" w14:textId="77777777" w:rsidR="001466B0" w:rsidRPr="007C14B8" w:rsidRDefault="001466B0" w:rsidP="00432779">
                              <w:pPr>
                                <w:spacing w:line="240" w:lineRule="auto"/>
                                <w:jc w:val="left"/>
                                <w:rPr>
                                  <w:rFonts w:eastAsia="HelveticaCE-Bold" w:cs="Times New Roman"/>
                                  <w:bCs/>
                                  <w:szCs w:val="24"/>
                                </w:rPr>
                              </w:pPr>
                              <w:r w:rsidRPr="007C14B8">
                                <w:rPr>
                                  <w:rFonts w:eastAsia="HelveticaCE-Bold" w:cs="Times New Roman"/>
                                  <w:bCs/>
                                  <w:szCs w:val="24"/>
                                </w:rPr>
                                <w:t>• Rizikové faktory</w:t>
                              </w:r>
                            </w:p>
                            <w:p w14:paraId="6EEA5394" w14:textId="77777777" w:rsidR="001466B0" w:rsidRPr="007C14B8" w:rsidRDefault="001466B0" w:rsidP="00432779">
                              <w:pPr>
                                <w:spacing w:line="240" w:lineRule="auto"/>
                                <w:jc w:val="left"/>
                                <w:rPr>
                                  <w:rFonts w:eastAsia="HelveticaCE-Bold" w:cs="Times New Roman"/>
                                  <w:bCs/>
                                  <w:szCs w:val="24"/>
                                </w:rPr>
                              </w:pPr>
                              <w:r w:rsidRPr="007C14B8">
                                <w:rPr>
                                  <w:rFonts w:eastAsia="HelveticaCE-Bold" w:cs="Times New Roman"/>
                                  <w:bCs/>
                                  <w:szCs w:val="24"/>
                                </w:rPr>
                                <w:t>• Příznaky a/nebo známky</w:t>
                              </w:r>
                            </w:p>
                            <w:p w14:paraId="2E9534FA" w14:textId="77777777" w:rsidR="001466B0" w:rsidRPr="007C14B8" w:rsidRDefault="001466B0" w:rsidP="00432779">
                              <w:pPr>
                                <w:spacing w:line="240" w:lineRule="auto"/>
                                <w:jc w:val="left"/>
                                <w:rPr>
                                  <w:rFonts w:cs="Times New Roman"/>
                                  <w:szCs w:val="24"/>
                                </w:rPr>
                              </w:pPr>
                              <w:r w:rsidRPr="007C14B8">
                                <w:rPr>
                                  <w:rFonts w:eastAsia="HelveticaCE-Bold" w:cs="Times New Roman"/>
                                  <w:bCs/>
                                  <w:szCs w:val="24"/>
                                </w:rPr>
                                <w:t>• Abnormální EKG</w:t>
                              </w:r>
                            </w:p>
                          </w:txbxContent>
                        </wps:txbx>
                        <wps:bodyPr rot="0" vert="horz" wrap="square" lIns="91440" tIns="45720" rIns="91440" bIns="45720" anchor="ctr" anchorCtr="0" upright="1">
                          <a:spAutoFit/>
                        </wps:bodyPr>
                      </wps:wsp>
                      <wps:wsp>
                        <wps:cNvPr id="4" name="Obdélník: se zakulacenými rohy 4"/>
                        <wps:cNvSpPr>
                          <a:spLocks noChangeArrowheads="1"/>
                        </wps:cNvSpPr>
                        <wps:spPr bwMode="auto">
                          <a:xfrm>
                            <a:off x="1866228" y="1811605"/>
                            <a:ext cx="2340845" cy="527778"/>
                          </a:xfrm>
                          <a:prstGeom prst="roundRect">
                            <a:avLst>
                              <a:gd name="adj" fmla="val 16667"/>
                            </a:avLst>
                          </a:prstGeom>
                          <a:solidFill>
                            <a:srgbClr val="7030A0"/>
                          </a:solidFill>
                          <a:ln w="12700">
                            <a:solidFill>
                              <a:schemeClr val="accent1">
                                <a:lumMod val="50000"/>
                                <a:lumOff val="0"/>
                              </a:schemeClr>
                            </a:solidFill>
                            <a:miter lim="800000"/>
                            <a:headEnd/>
                            <a:tailEnd/>
                          </a:ln>
                        </wps:spPr>
                        <wps:txbx>
                          <w:txbxContent>
                            <w:p w14:paraId="7664BC47" w14:textId="77777777" w:rsidR="001466B0" w:rsidRPr="00995367" w:rsidRDefault="001466B0" w:rsidP="00432779">
                              <w:pPr>
                                <w:spacing w:line="240" w:lineRule="auto"/>
                                <w:jc w:val="center"/>
                                <w:rPr>
                                  <w:rFonts w:eastAsia="HelveticaCE-Bold" w:cs="Times New Roman"/>
                                  <w:bCs/>
                                  <w:szCs w:val="24"/>
                                </w:rPr>
                              </w:pPr>
                              <w:r w:rsidRPr="00995367">
                                <w:rPr>
                                  <w:rFonts w:eastAsia="HelveticaCE-Bold" w:cs="Times New Roman"/>
                                  <w:bCs/>
                                  <w:szCs w:val="24"/>
                                </w:rPr>
                                <w:t>NT-proBNP ≥ 125 pg/ml</w:t>
                              </w:r>
                            </w:p>
                            <w:p w14:paraId="1197DDDE" w14:textId="77777777" w:rsidR="001466B0" w:rsidRPr="00995367" w:rsidRDefault="001466B0" w:rsidP="00432779">
                              <w:pPr>
                                <w:spacing w:line="240" w:lineRule="auto"/>
                                <w:jc w:val="center"/>
                                <w:rPr>
                                  <w:rFonts w:cs="Times New Roman"/>
                                  <w:szCs w:val="24"/>
                                </w:rPr>
                              </w:pPr>
                              <w:r w:rsidRPr="00995367">
                                <w:rPr>
                                  <w:rFonts w:eastAsia="HelveticaCE-Bold" w:cs="Times New Roman"/>
                                  <w:bCs/>
                                  <w:szCs w:val="24"/>
                                </w:rPr>
                                <w:t>nebo BNP ≥ 35 pg/ml</w:t>
                              </w:r>
                            </w:p>
                          </w:txbxContent>
                        </wps:txbx>
                        <wps:bodyPr rot="0" vert="horz" wrap="square" lIns="91440" tIns="45720" rIns="91440" bIns="45720" anchor="ctr" anchorCtr="0" upright="1">
                          <a:spAutoFit/>
                        </wps:bodyPr>
                      </wps:wsp>
                      <wps:wsp>
                        <wps:cNvPr id="5" name="Obdélník: se zakulacenými rohy 5"/>
                        <wps:cNvSpPr>
                          <a:spLocks noChangeArrowheads="1"/>
                        </wps:cNvSpPr>
                        <wps:spPr bwMode="auto">
                          <a:xfrm>
                            <a:off x="1867428" y="2704608"/>
                            <a:ext cx="2339721" cy="321592"/>
                          </a:xfrm>
                          <a:prstGeom prst="roundRect">
                            <a:avLst>
                              <a:gd name="adj" fmla="val 16667"/>
                            </a:avLst>
                          </a:prstGeom>
                          <a:solidFill>
                            <a:schemeClr val="accent3">
                              <a:lumMod val="100000"/>
                              <a:lumOff val="0"/>
                            </a:schemeClr>
                          </a:solidFill>
                          <a:ln w="12700">
                            <a:solidFill>
                              <a:schemeClr val="accent3">
                                <a:lumMod val="50000"/>
                                <a:lumOff val="0"/>
                              </a:schemeClr>
                            </a:solidFill>
                            <a:miter lim="800000"/>
                            <a:headEnd/>
                            <a:tailEnd/>
                          </a:ln>
                        </wps:spPr>
                        <wps:txbx>
                          <w:txbxContent>
                            <w:p w14:paraId="1E03056C" w14:textId="77777777" w:rsidR="001466B0" w:rsidRPr="00995367" w:rsidRDefault="001466B0" w:rsidP="00432779">
                              <w:pPr>
                                <w:spacing w:line="240" w:lineRule="auto"/>
                                <w:jc w:val="center"/>
                                <w:rPr>
                                  <w:rFonts w:cs="Times New Roman"/>
                                  <w:szCs w:val="24"/>
                                </w:rPr>
                              </w:pPr>
                              <w:r w:rsidRPr="00995367">
                                <w:rPr>
                                  <w:rFonts w:eastAsia="HelveticaCE-Bold" w:cs="Times New Roman"/>
                                  <w:bCs/>
                                  <w:szCs w:val="24"/>
                                </w:rPr>
                                <w:t>Echokardiografie</w:t>
                              </w:r>
                            </w:p>
                          </w:txbxContent>
                        </wps:txbx>
                        <wps:bodyPr rot="0" vert="horz" wrap="square" lIns="91440" tIns="45720" rIns="91440" bIns="45720" anchor="ctr" anchorCtr="0" upright="1">
                          <a:spAutoFit/>
                        </wps:bodyPr>
                      </wps:wsp>
                      <wps:wsp>
                        <wps:cNvPr id="6" name="Obdélník: se zakulacenými rohy 6"/>
                        <wps:cNvSpPr>
                          <a:spLocks noChangeArrowheads="1"/>
                        </wps:cNvSpPr>
                        <wps:spPr bwMode="auto">
                          <a:xfrm>
                            <a:off x="1867428" y="3193210"/>
                            <a:ext cx="2339721" cy="321592"/>
                          </a:xfrm>
                          <a:prstGeom prst="roundRect">
                            <a:avLst>
                              <a:gd name="adj" fmla="val 16667"/>
                            </a:avLst>
                          </a:prstGeom>
                          <a:solidFill>
                            <a:srgbClr val="7030A0"/>
                          </a:solidFill>
                          <a:ln w="12700">
                            <a:solidFill>
                              <a:schemeClr val="accent1">
                                <a:lumMod val="50000"/>
                                <a:lumOff val="0"/>
                              </a:schemeClr>
                            </a:solidFill>
                            <a:miter lim="800000"/>
                            <a:headEnd/>
                            <a:tailEnd/>
                          </a:ln>
                        </wps:spPr>
                        <wps:txbx>
                          <w:txbxContent>
                            <w:p w14:paraId="458F8FCA" w14:textId="77777777" w:rsidR="001466B0" w:rsidRPr="00995367" w:rsidRDefault="001466B0" w:rsidP="00432779">
                              <w:pPr>
                                <w:spacing w:line="240" w:lineRule="auto"/>
                                <w:jc w:val="center"/>
                                <w:rPr>
                                  <w:rFonts w:cs="Times New Roman"/>
                                  <w:szCs w:val="24"/>
                                </w:rPr>
                              </w:pPr>
                              <w:r w:rsidRPr="00995367">
                                <w:rPr>
                                  <w:rFonts w:eastAsia="HelveticaCE-Bold" w:cs="Times New Roman"/>
                                  <w:bCs/>
                                  <w:szCs w:val="24"/>
                                </w:rPr>
                                <w:t>Abnormální nálezy</w:t>
                              </w:r>
                            </w:p>
                          </w:txbxContent>
                        </wps:txbx>
                        <wps:bodyPr rot="0" vert="horz" wrap="square" lIns="91440" tIns="45720" rIns="91440" bIns="45720" anchor="ctr" anchorCtr="0" upright="1">
                          <a:spAutoFit/>
                        </wps:bodyPr>
                      </wps:wsp>
                      <wps:wsp>
                        <wps:cNvPr id="7" name="Obdélník: se zakulacenými rohy 7"/>
                        <wps:cNvSpPr>
                          <a:spLocks noChangeArrowheads="1"/>
                        </wps:cNvSpPr>
                        <wps:spPr bwMode="auto">
                          <a:xfrm>
                            <a:off x="1865528" y="3913437"/>
                            <a:ext cx="2344334" cy="940148"/>
                          </a:xfrm>
                          <a:prstGeom prst="roundRect">
                            <a:avLst>
                              <a:gd name="adj" fmla="val 16667"/>
                            </a:avLst>
                          </a:prstGeom>
                          <a:solidFill>
                            <a:schemeClr val="accent3">
                              <a:lumMod val="100000"/>
                              <a:lumOff val="0"/>
                            </a:schemeClr>
                          </a:solidFill>
                          <a:ln w="12700">
                            <a:solidFill>
                              <a:schemeClr val="accent3">
                                <a:lumMod val="50000"/>
                                <a:lumOff val="0"/>
                              </a:schemeClr>
                            </a:solidFill>
                            <a:miter lim="800000"/>
                            <a:headEnd/>
                            <a:tailEnd/>
                          </a:ln>
                        </wps:spPr>
                        <wps:txbx>
                          <w:txbxContent>
                            <w:p w14:paraId="28F2056B" w14:textId="77777777" w:rsidR="001466B0" w:rsidRPr="00995367" w:rsidRDefault="001466B0" w:rsidP="00432779">
                              <w:pPr>
                                <w:spacing w:line="240" w:lineRule="auto"/>
                                <w:jc w:val="center"/>
                                <w:rPr>
                                  <w:rFonts w:eastAsia="HelveticaCE-Bold" w:cs="Times New Roman"/>
                                  <w:b/>
                                  <w:bCs/>
                                  <w:szCs w:val="24"/>
                                </w:rPr>
                              </w:pPr>
                              <w:r w:rsidRPr="00995367">
                                <w:rPr>
                                  <w:rFonts w:eastAsia="HelveticaCE-Bold" w:cs="Times New Roman"/>
                                  <w:b/>
                                  <w:bCs/>
                                  <w:szCs w:val="24"/>
                                </w:rPr>
                                <w:t>Srdeční selhání potvrzeno</w:t>
                              </w:r>
                            </w:p>
                            <w:p w14:paraId="67C6AADE" w14:textId="77777777" w:rsidR="001466B0" w:rsidRPr="00995367" w:rsidRDefault="001466B0" w:rsidP="00432779">
                              <w:pPr>
                                <w:spacing w:line="240" w:lineRule="auto"/>
                                <w:jc w:val="center"/>
                                <w:rPr>
                                  <w:rFonts w:cs="Times New Roman"/>
                                  <w:b/>
                                  <w:szCs w:val="24"/>
                                </w:rPr>
                              </w:pPr>
                              <w:r w:rsidRPr="00995367">
                                <w:rPr>
                                  <w:rFonts w:eastAsia="HelveticaCE-Bold" w:cs="Times New Roman"/>
                                  <w:b/>
                                  <w:bCs/>
                                  <w:szCs w:val="24"/>
                                </w:rPr>
                                <w:t>Definujte fenotyp srdečního selhání na základě měření</w:t>
                              </w:r>
                              <w:r w:rsidRPr="00995367">
                                <w:rPr>
                                  <w:rFonts w:eastAsia="HelveticaCE-Bold" w:cs="Times New Roman"/>
                                  <w:b/>
                                  <w:bCs/>
                                  <w:szCs w:val="24"/>
                                </w:rPr>
                                <w:br/>
                                <w:t>EF LK</w:t>
                              </w:r>
                            </w:p>
                          </w:txbxContent>
                        </wps:txbx>
                        <wps:bodyPr rot="0" vert="horz" wrap="square" lIns="91440" tIns="45720" rIns="91440" bIns="45720" anchor="ctr" anchorCtr="0" upright="1">
                          <a:spAutoFit/>
                        </wps:bodyPr>
                      </wps:wsp>
                      <wps:wsp>
                        <wps:cNvPr id="8" name="Obdélník: se zakulacenými rohy 8"/>
                        <wps:cNvSpPr>
                          <a:spLocks noChangeArrowheads="1"/>
                        </wps:cNvSpPr>
                        <wps:spPr bwMode="auto">
                          <a:xfrm>
                            <a:off x="1638224" y="5037415"/>
                            <a:ext cx="900647" cy="527778"/>
                          </a:xfrm>
                          <a:prstGeom prst="roundRect">
                            <a:avLst>
                              <a:gd name="adj" fmla="val 16667"/>
                            </a:avLst>
                          </a:prstGeom>
                          <a:solidFill>
                            <a:schemeClr val="accent1">
                              <a:lumMod val="100000"/>
                              <a:lumOff val="0"/>
                            </a:schemeClr>
                          </a:solidFill>
                          <a:ln w="12700">
                            <a:solidFill>
                              <a:schemeClr val="accent1">
                                <a:lumMod val="50000"/>
                                <a:lumOff val="0"/>
                              </a:schemeClr>
                            </a:solidFill>
                            <a:miter lim="800000"/>
                            <a:headEnd/>
                            <a:tailEnd/>
                          </a:ln>
                        </wps:spPr>
                        <wps:txbx>
                          <w:txbxContent>
                            <w:p w14:paraId="51DA35AC" w14:textId="1F1535A8" w:rsidR="001466B0" w:rsidRPr="00995367" w:rsidRDefault="001466B0" w:rsidP="00432779">
                              <w:pPr>
                                <w:spacing w:line="240" w:lineRule="auto"/>
                                <w:jc w:val="center"/>
                                <w:rPr>
                                  <w:rFonts w:eastAsia="HelveticaCE-Bold" w:cs="Times New Roman"/>
                                  <w:bCs/>
                                  <w:szCs w:val="24"/>
                                </w:rPr>
                              </w:pPr>
                              <w:r w:rsidRPr="00995367">
                                <w:rPr>
                                  <w:rFonts w:eastAsia="HelveticaCE-Bold" w:cs="Times New Roman"/>
                                  <w:bCs/>
                                  <w:szCs w:val="24"/>
                                </w:rPr>
                                <w:t>≤ 40</w:t>
                              </w:r>
                              <w:r>
                                <w:rPr>
                                  <w:rFonts w:eastAsia="HelveticaCE-Bold" w:cs="Times New Roman"/>
                                  <w:bCs/>
                                  <w:szCs w:val="24"/>
                                </w:rPr>
                                <w:t> %</w:t>
                              </w:r>
                            </w:p>
                            <w:p w14:paraId="3B49F63B" w14:textId="77777777" w:rsidR="001466B0" w:rsidRPr="00995367" w:rsidRDefault="001466B0" w:rsidP="00432779">
                              <w:pPr>
                                <w:spacing w:line="240" w:lineRule="auto"/>
                                <w:jc w:val="center"/>
                                <w:rPr>
                                  <w:rFonts w:cs="Times New Roman"/>
                                  <w:szCs w:val="24"/>
                                </w:rPr>
                              </w:pPr>
                              <w:r w:rsidRPr="00995367">
                                <w:rPr>
                                  <w:rFonts w:eastAsia="HelveticaCE-Bold" w:cs="Times New Roman"/>
                                  <w:bCs/>
                                  <w:szCs w:val="24"/>
                                </w:rPr>
                                <w:t>(HFrEF)</w:t>
                              </w:r>
                            </w:p>
                          </w:txbxContent>
                        </wps:txbx>
                        <wps:bodyPr rot="0" vert="horz" wrap="square" lIns="91440" tIns="45720" rIns="91440" bIns="45720" anchor="ctr" anchorCtr="0" upright="1">
                          <a:spAutoFit/>
                        </wps:bodyPr>
                      </wps:wsp>
                      <wps:wsp>
                        <wps:cNvPr id="9" name="Obdélník: se zakulacenými rohy 9"/>
                        <wps:cNvSpPr>
                          <a:spLocks noChangeArrowheads="1"/>
                        </wps:cNvSpPr>
                        <wps:spPr bwMode="auto">
                          <a:xfrm>
                            <a:off x="2586338" y="5037415"/>
                            <a:ext cx="901284" cy="527778"/>
                          </a:xfrm>
                          <a:prstGeom prst="roundRect">
                            <a:avLst>
                              <a:gd name="adj" fmla="val 16667"/>
                            </a:avLst>
                          </a:prstGeom>
                          <a:solidFill>
                            <a:schemeClr val="accent1">
                              <a:lumMod val="100000"/>
                              <a:lumOff val="0"/>
                            </a:schemeClr>
                          </a:solidFill>
                          <a:ln w="12700">
                            <a:solidFill>
                              <a:schemeClr val="accent1">
                                <a:lumMod val="50000"/>
                                <a:lumOff val="0"/>
                              </a:schemeClr>
                            </a:solidFill>
                            <a:miter lim="800000"/>
                            <a:headEnd/>
                            <a:tailEnd/>
                          </a:ln>
                        </wps:spPr>
                        <wps:txbx>
                          <w:txbxContent>
                            <w:p w14:paraId="58DB2589" w14:textId="329C81E2" w:rsidR="001466B0" w:rsidRPr="00995367" w:rsidRDefault="001466B0" w:rsidP="00432779">
                              <w:pPr>
                                <w:spacing w:line="240" w:lineRule="auto"/>
                                <w:jc w:val="center"/>
                                <w:rPr>
                                  <w:rFonts w:eastAsia="HelveticaCE-Bold" w:cs="Times New Roman"/>
                                  <w:bCs/>
                                  <w:szCs w:val="24"/>
                                </w:rPr>
                              </w:pPr>
                              <w:r w:rsidRPr="00995367">
                                <w:rPr>
                                  <w:rFonts w:eastAsia="HelveticaCE-Bold" w:cs="Times New Roman"/>
                                  <w:bCs/>
                                  <w:szCs w:val="24"/>
                                </w:rPr>
                                <w:t>41–49</w:t>
                              </w:r>
                              <w:r>
                                <w:rPr>
                                  <w:rFonts w:eastAsia="HelveticaCE-Bold" w:cs="Times New Roman"/>
                                  <w:bCs/>
                                  <w:szCs w:val="24"/>
                                </w:rPr>
                                <w:t> %</w:t>
                              </w:r>
                            </w:p>
                            <w:p w14:paraId="6A3BE2CA" w14:textId="77777777" w:rsidR="001466B0" w:rsidRPr="00995367" w:rsidRDefault="001466B0" w:rsidP="00432779">
                              <w:pPr>
                                <w:spacing w:line="240" w:lineRule="auto"/>
                                <w:jc w:val="center"/>
                                <w:rPr>
                                  <w:rFonts w:cs="Times New Roman"/>
                                  <w:szCs w:val="24"/>
                                </w:rPr>
                              </w:pPr>
                              <w:r w:rsidRPr="00995367">
                                <w:rPr>
                                  <w:rFonts w:eastAsia="HelveticaCE-Bold" w:cs="Times New Roman"/>
                                  <w:bCs/>
                                  <w:szCs w:val="24"/>
                                </w:rPr>
                                <w:t>(HFmrEF)</w:t>
                              </w:r>
                            </w:p>
                          </w:txbxContent>
                        </wps:txbx>
                        <wps:bodyPr rot="0" vert="horz" wrap="square" lIns="91440" tIns="45720" rIns="91440" bIns="45720" anchor="ctr" anchorCtr="0" upright="1">
                          <a:spAutoFit/>
                        </wps:bodyPr>
                      </wps:wsp>
                      <wps:wsp>
                        <wps:cNvPr id="10" name="Obdélník: se zakulacenými rohy 10"/>
                        <wps:cNvSpPr>
                          <a:spLocks noChangeArrowheads="1"/>
                        </wps:cNvSpPr>
                        <wps:spPr bwMode="auto">
                          <a:xfrm>
                            <a:off x="3543252" y="5036815"/>
                            <a:ext cx="900636" cy="527778"/>
                          </a:xfrm>
                          <a:prstGeom prst="roundRect">
                            <a:avLst>
                              <a:gd name="adj" fmla="val 16667"/>
                            </a:avLst>
                          </a:prstGeom>
                          <a:solidFill>
                            <a:schemeClr val="accent1">
                              <a:lumMod val="100000"/>
                              <a:lumOff val="0"/>
                            </a:schemeClr>
                          </a:solidFill>
                          <a:ln w="12700">
                            <a:solidFill>
                              <a:schemeClr val="accent1">
                                <a:lumMod val="50000"/>
                                <a:lumOff val="0"/>
                              </a:schemeClr>
                            </a:solidFill>
                            <a:miter lim="800000"/>
                            <a:headEnd/>
                            <a:tailEnd/>
                          </a:ln>
                        </wps:spPr>
                        <wps:txbx>
                          <w:txbxContent>
                            <w:p w14:paraId="23176DBE" w14:textId="6D94DFB5" w:rsidR="001466B0" w:rsidRPr="00995367" w:rsidRDefault="001466B0" w:rsidP="00432779">
                              <w:pPr>
                                <w:spacing w:line="240" w:lineRule="auto"/>
                                <w:jc w:val="center"/>
                                <w:rPr>
                                  <w:rFonts w:eastAsia="HelveticaCE-Bold" w:cs="Times New Roman"/>
                                  <w:bCs/>
                                  <w:szCs w:val="24"/>
                                </w:rPr>
                              </w:pPr>
                              <w:r w:rsidRPr="00995367">
                                <w:rPr>
                                  <w:rFonts w:eastAsia="HelveticaCE-Bold" w:cs="Times New Roman"/>
                                  <w:bCs/>
                                  <w:szCs w:val="24"/>
                                </w:rPr>
                                <w:t>≥ 50</w:t>
                              </w:r>
                              <w:r>
                                <w:rPr>
                                  <w:rFonts w:eastAsia="HelveticaCE-Bold" w:cs="Times New Roman"/>
                                  <w:bCs/>
                                  <w:szCs w:val="24"/>
                                </w:rPr>
                                <w:t> %</w:t>
                              </w:r>
                            </w:p>
                            <w:p w14:paraId="54D9E472" w14:textId="77777777" w:rsidR="001466B0" w:rsidRPr="00995367" w:rsidRDefault="001466B0" w:rsidP="00432779">
                              <w:pPr>
                                <w:spacing w:line="240" w:lineRule="auto"/>
                                <w:jc w:val="center"/>
                                <w:rPr>
                                  <w:rFonts w:cs="Times New Roman"/>
                                  <w:szCs w:val="24"/>
                                </w:rPr>
                              </w:pPr>
                              <w:r w:rsidRPr="00995367">
                                <w:rPr>
                                  <w:rFonts w:eastAsia="HelveticaCE-Bold" w:cs="Times New Roman"/>
                                  <w:bCs/>
                                  <w:szCs w:val="24"/>
                                </w:rPr>
                                <w:t>(HFpEF)</w:t>
                              </w:r>
                            </w:p>
                          </w:txbxContent>
                        </wps:txbx>
                        <wps:bodyPr rot="0" vert="horz" wrap="square" lIns="91440" tIns="45720" rIns="91440" bIns="45720" anchor="ctr" anchorCtr="0" upright="1">
                          <a:spAutoFit/>
                        </wps:bodyPr>
                      </wps:wsp>
                      <wps:wsp>
                        <wps:cNvPr id="11" name="Obdélník: se zakulacenými rohy 11"/>
                        <wps:cNvSpPr>
                          <a:spLocks noChangeArrowheads="1"/>
                        </wps:cNvSpPr>
                        <wps:spPr bwMode="auto">
                          <a:xfrm>
                            <a:off x="0" y="5747317"/>
                            <a:ext cx="1620751" cy="527778"/>
                          </a:xfrm>
                          <a:prstGeom prst="roundRect">
                            <a:avLst>
                              <a:gd name="adj" fmla="val 16667"/>
                            </a:avLst>
                          </a:prstGeom>
                          <a:solidFill>
                            <a:schemeClr val="accent3">
                              <a:lumMod val="100000"/>
                              <a:lumOff val="0"/>
                            </a:schemeClr>
                          </a:solidFill>
                          <a:ln w="12700">
                            <a:solidFill>
                              <a:schemeClr val="accent3">
                                <a:lumMod val="50000"/>
                                <a:lumOff val="0"/>
                              </a:schemeClr>
                            </a:solidFill>
                            <a:miter lim="800000"/>
                            <a:headEnd/>
                            <a:tailEnd/>
                          </a:ln>
                        </wps:spPr>
                        <wps:txbx>
                          <w:txbxContent>
                            <w:p w14:paraId="7DB8F337" w14:textId="77777777" w:rsidR="001466B0" w:rsidRPr="00995367" w:rsidRDefault="001466B0" w:rsidP="00432779">
                              <w:pPr>
                                <w:spacing w:line="240" w:lineRule="auto"/>
                                <w:jc w:val="center"/>
                                <w:rPr>
                                  <w:rFonts w:cs="Times New Roman"/>
                                  <w:szCs w:val="24"/>
                                </w:rPr>
                              </w:pPr>
                              <w:r w:rsidRPr="00995367">
                                <w:rPr>
                                  <w:rFonts w:eastAsia="HelveticaCE-Bold" w:cs="Times New Roman"/>
                                  <w:bCs/>
                                  <w:szCs w:val="24"/>
                                </w:rPr>
                                <w:t>Srdeční selhání</w:t>
                              </w:r>
                              <w:r w:rsidRPr="00995367">
                                <w:rPr>
                                  <w:rFonts w:eastAsia="HelveticaCE-Bold" w:cs="Times New Roman"/>
                                  <w:bCs/>
                                  <w:szCs w:val="24"/>
                                </w:rPr>
                                <w:br/>
                                <w:t>je nepravděpodobné</w:t>
                              </w:r>
                            </w:p>
                          </w:txbxContent>
                        </wps:txbx>
                        <wps:bodyPr rot="0" vert="horz" wrap="square" lIns="91440" tIns="45720" rIns="91440" bIns="45720" anchor="ctr" anchorCtr="0" upright="1">
                          <a:spAutoFit/>
                        </wps:bodyPr>
                      </wps:wsp>
                      <wps:wsp>
                        <wps:cNvPr id="12" name="Obdélník: se zakulacenými rohy 12"/>
                        <wps:cNvSpPr>
                          <a:spLocks noChangeArrowheads="1"/>
                        </wps:cNvSpPr>
                        <wps:spPr bwMode="auto">
                          <a:xfrm>
                            <a:off x="600" y="6377419"/>
                            <a:ext cx="1619624" cy="321592"/>
                          </a:xfrm>
                          <a:prstGeom prst="roundRect">
                            <a:avLst>
                              <a:gd name="adj" fmla="val 16667"/>
                            </a:avLst>
                          </a:prstGeom>
                          <a:solidFill>
                            <a:schemeClr val="accent3">
                              <a:lumMod val="100000"/>
                              <a:lumOff val="0"/>
                            </a:schemeClr>
                          </a:solidFill>
                          <a:ln w="12700">
                            <a:solidFill>
                              <a:schemeClr val="accent3">
                                <a:lumMod val="50000"/>
                                <a:lumOff val="0"/>
                              </a:schemeClr>
                            </a:solidFill>
                            <a:miter lim="800000"/>
                            <a:headEnd/>
                            <a:tailEnd/>
                          </a:ln>
                        </wps:spPr>
                        <wps:txbx>
                          <w:txbxContent>
                            <w:p w14:paraId="26107FAB" w14:textId="77777777" w:rsidR="001466B0" w:rsidRPr="00995367" w:rsidRDefault="001466B0" w:rsidP="00432779">
                              <w:pPr>
                                <w:spacing w:line="240" w:lineRule="auto"/>
                                <w:jc w:val="center"/>
                                <w:rPr>
                                  <w:rFonts w:cs="Times New Roman"/>
                                  <w:szCs w:val="24"/>
                                </w:rPr>
                              </w:pPr>
                              <w:r w:rsidRPr="00995367">
                                <w:rPr>
                                  <w:rFonts w:eastAsia="HelveticaCE-Bold" w:cs="Times New Roman"/>
                                  <w:bCs/>
                                  <w:szCs w:val="24"/>
                                </w:rPr>
                                <w:t>Zvážení jiné diagnózy</w:t>
                              </w:r>
                            </w:p>
                          </w:txbxContent>
                        </wps:txbx>
                        <wps:bodyPr rot="0" vert="horz" wrap="square" lIns="91440" tIns="45720" rIns="91440" bIns="45720" anchor="ctr" anchorCtr="0" upright="1">
                          <a:spAutoFit/>
                        </wps:bodyPr>
                      </wps:wsp>
                      <wps:wsp>
                        <wps:cNvPr id="13" name="Obdélník: se zakulacenými rohy 13"/>
                        <wps:cNvSpPr>
                          <a:spLocks noChangeArrowheads="1"/>
                        </wps:cNvSpPr>
                        <wps:spPr bwMode="auto">
                          <a:xfrm>
                            <a:off x="1857927" y="5748017"/>
                            <a:ext cx="2359248" cy="527778"/>
                          </a:xfrm>
                          <a:prstGeom prst="roundRect">
                            <a:avLst>
                              <a:gd name="adj" fmla="val 16667"/>
                            </a:avLst>
                          </a:prstGeom>
                          <a:solidFill>
                            <a:schemeClr val="accent3">
                              <a:lumMod val="100000"/>
                              <a:lumOff val="0"/>
                            </a:schemeClr>
                          </a:solidFill>
                          <a:ln w="12700">
                            <a:solidFill>
                              <a:schemeClr val="accent3">
                                <a:lumMod val="50000"/>
                                <a:lumOff val="0"/>
                              </a:schemeClr>
                            </a:solidFill>
                            <a:miter lim="800000"/>
                            <a:headEnd/>
                            <a:tailEnd/>
                          </a:ln>
                        </wps:spPr>
                        <wps:txbx>
                          <w:txbxContent>
                            <w:p w14:paraId="7FCFBB6C" w14:textId="06A81F7E" w:rsidR="001466B0" w:rsidRPr="00995367" w:rsidRDefault="001466B0" w:rsidP="00432779">
                              <w:pPr>
                                <w:spacing w:line="240" w:lineRule="auto"/>
                                <w:jc w:val="center"/>
                                <w:rPr>
                                  <w:rFonts w:cs="Times New Roman"/>
                                  <w:szCs w:val="24"/>
                                </w:rPr>
                              </w:pPr>
                              <w:r w:rsidRPr="00995367">
                                <w:rPr>
                                  <w:rFonts w:eastAsia="HelveticaCE-Bold" w:cs="Times New Roman"/>
                                  <w:bCs/>
                                  <w:szCs w:val="24"/>
                                </w:rPr>
                                <w:t>Určení etiologie</w:t>
                              </w:r>
                              <w:r w:rsidRPr="00995367">
                                <w:rPr>
                                  <w:rFonts w:eastAsia="HelveticaCE-Bold" w:cs="Times New Roman"/>
                                  <w:bCs/>
                                  <w:szCs w:val="24"/>
                                </w:rPr>
                                <w:br/>
                                <w:t>a</w:t>
                              </w:r>
                              <w:r>
                                <w:rPr>
                                  <w:rFonts w:eastAsia="HelveticaCE-Bold" w:cs="Times New Roman"/>
                                  <w:bCs/>
                                  <w:szCs w:val="24"/>
                                </w:rPr>
                                <w:t> </w:t>
                              </w:r>
                              <w:r w:rsidRPr="00995367">
                                <w:rPr>
                                  <w:rFonts w:eastAsia="HelveticaCE-Bold" w:cs="Times New Roman"/>
                                  <w:bCs/>
                                  <w:szCs w:val="24"/>
                                </w:rPr>
                                <w:t>zahájení léčby</w:t>
                              </w:r>
                            </w:p>
                          </w:txbxContent>
                        </wps:txbx>
                        <wps:bodyPr rot="0" vert="horz" wrap="square" lIns="91440" tIns="45720" rIns="91440" bIns="45720" anchor="ctr" anchorCtr="0" upright="1">
                          <a:spAutoFit/>
                        </wps:bodyPr>
                      </wps:wsp>
                      <wps:wsp>
                        <wps:cNvPr id="14" name="Obdélník 14"/>
                        <wps:cNvSpPr>
                          <a:spLocks noChangeArrowheads="1"/>
                        </wps:cNvSpPr>
                        <wps:spPr bwMode="auto">
                          <a:xfrm>
                            <a:off x="3195247" y="2323407"/>
                            <a:ext cx="2555338" cy="372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7A38BF3" w14:textId="4FD81589" w:rsidR="001466B0" w:rsidRPr="00995367" w:rsidRDefault="001466B0" w:rsidP="00432779">
                              <w:pPr>
                                <w:spacing w:line="240" w:lineRule="auto"/>
                                <w:jc w:val="left"/>
                                <w:rPr>
                                  <w:color w:val="000000" w:themeColor="text1"/>
                                </w:rPr>
                              </w:pPr>
                              <w:r w:rsidRPr="00995367">
                                <w:rPr>
                                  <w:rFonts w:eastAsia="HelveticaCE-Bold" w:cs="Times New Roman"/>
                                  <w:bCs/>
                                  <w:color w:val="000000" w:themeColor="text1"/>
                                  <w:szCs w:val="24"/>
                                </w:rPr>
                                <w:t>Nebo při silném podezření nebo</w:t>
                              </w:r>
                              <w:r w:rsidRPr="00995367">
                                <w:rPr>
                                  <w:rFonts w:eastAsia="HelveticaCE-Bold" w:cs="Times New Roman"/>
                                  <w:bCs/>
                                  <w:color w:val="000000" w:themeColor="text1"/>
                                  <w:szCs w:val="24"/>
                                </w:rPr>
                                <w:br/>
                                <w:t>pokud NT-proBNP/BNP není k</w:t>
                              </w:r>
                              <w:r>
                                <w:rPr>
                                  <w:rFonts w:eastAsia="HelveticaCE-Bold" w:cs="Times New Roman"/>
                                  <w:bCs/>
                                  <w:color w:val="000000" w:themeColor="text1"/>
                                  <w:szCs w:val="24"/>
                                </w:rPr>
                                <w:t> </w:t>
                              </w:r>
                              <w:r w:rsidRPr="00995367">
                                <w:rPr>
                                  <w:rFonts w:eastAsia="HelveticaCE-Bold" w:cs="Times New Roman"/>
                                  <w:bCs/>
                                  <w:color w:val="000000" w:themeColor="text1"/>
                                  <w:szCs w:val="24"/>
                                </w:rPr>
                                <w:t>dispozici</w:t>
                              </w:r>
                            </w:p>
                          </w:txbxContent>
                        </wps:txbx>
                        <wps:bodyPr rot="0" vert="horz" wrap="square" lIns="0" tIns="0" rIns="0" bIns="0" anchor="ctr" anchorCtr="0" upright="1">
                          <a:spAutoFit/>
                        </wps:bodyPr>
                      </wps:wsp>
                      <wps:wsp>
                        <wps:cNvPr id="15" name="Ovál 15"/>
                        <wps:cNvSpPr>
                          <a:spLocks noChangeArrowheads="1"/>
                        </wps:cNvSpPr>
                        <wps:spPr bwMode="auto">
                          <a:xfrm>
                            <a:off x="2902043" y="1436704"/>
                            <a:ext cx="270004" cy="270001"/>
                          </a:xfrm>
                          <a:prstGeom prst="ellipse">
                            <a:avLst/>
                          </a:prstGeom>
                          <a:solidFill>
                            <a:schemeClr val="accent6">
                              <a:lumMod val="100000"/>
                              <a:lumOff val="0"/>
                            </a:schemeClr>
                          </a:solidFill>
                          <a:ln w="12700">
                            <a:solidFill>
                              <a:schemeClr val="accent1">
                                <a:lumMod val="50000"/>
                                <a:lumOff val="0"/>
                              </a:schemeClr>
                            </a:solidFill>
                            <a:miter lim="800000"/>
                            <a:headEnd/>
                            <a:tailEnd/>
                          </a:ln>
                        </wps:spPr>
                        <wps:txbx>
                          <w:txbxContent>
                            <w:p w14:paraId="39E5F7CF" w14:textId="77777777" w:rsidR="001466B0" w:rsidRPr="00995367" w:rsidRDefault="001466B0" w:rsidP="00432779">
                              <w:pPr>
                                <w:spacing w:line="240" w:lineRule="auto"/>
                                <w:jc w:val="center"/>
                                <w:rPr>
                                  <w:b/>
                                </w:rPr>
                              </w:pPr>
                              <w:r w:rsidRPr="00995367">
                                <w:rPr>
                                  <w:b/>
                                </w:rPr>
                                <w:t>A</w:t>
                              </w:r>
                            </w:p>
                          </w:txbxContent>
                        </wps:txbx>
                        <wps:bodyPr rot="0" vert="horz" wrap="square" lIns="0" tIns="0" rIns="0" bIns="0" anchor="ctr" anchorCtr="0" upright="1">
                          <a:noAutofit/>
                        </wps:bodyPr>
                      </wps:wsp>
                      <wps:wsp>
                        <wps:cNvPr id="16" name="Ovál 16"/>
                        <wps:cNvSpPr>
                          <a:spLocks noChangeArrowheads="1"/>
                        </wps:cNvSpPr>
                        <wps:spPr bwMode="auto">
                          <a:xfrm>
                            <a:off x="1009715" y="1928806"/>
                            <a:ext cx="270004" cy="270001"/>
                          </a:xfrm>
                          <a:prstGeom prst="ellipse">
                            <a:avLst/>
                          </a:prstGeom>
                          <a:solidFill>
                            <a:schemeClr val="accent2">
                              <a:lumMod val="75000"/>
                              <a:lumOff val="0"/>
                            </a:schemeClr>
                          </a:solidFill>
                          <a:ln w="12700">
                            <a:solidFill>
                              <a:schemeClr val="accent1">
                                <a:lumMod val="50000"/>
                                <a:lumOff val="0"/>
                              </a:schemeClr>
                            </a:solidFill>
                            <a:miter lim="800000"/>
                            <a:headEnd/>
                            <a:tailEnd/>
                          </a:ln>
                        </wps:spPr>
                        <wps:txbx>
                          <w:txbxContent>
                            <w:p w14:paraId="03559F8F" w14:textId="77777777" w:rsidR="001466B0" w:rsidRPr="00995367" w:rsidRDefault="001466B0" w:rsidP="00432779">
                              <w:pPr>
                                <w:spacing w:line="240" w:lineRule="auto"/>
                                <w:jc w:val="center"/>
                                <w:rPr>
                                  <w:b/>
                                </w:rPr>
                              </w:pPr>
                              <w:r w:rsidRPr="00995367">
                                <w:rPr>
                                  <w:b/>
                                </w:rPr>
                                <w:t>N</w:t>
                              </w:r>
                            </w:p>
                          </w:txbxContent>
                        </wps:txbx>
                        <wps:bodyPr rot="0" vert="horz" wrap="square" lIns="0" tIns="0" rIns="0" bIns="0" anchor="ctr" anchorCtr="0" upright="1">
                          <a:noAutofit/>
                        </wps:bodyPr>
                      </wps:wsp>
                      <wps:wsp>
                        <wps:cNvPr id="17" name="Ovál 17"/>
                        <wps:cNvSpPr>
                          <a:spLocks noChangeArrowheads="1"/>
                        </wps:cNvSpPr>
                        <wps:spPr bwMode="auto">
                          <a:xfrm>
                            <a:off x="2902043" y="3569111"/>
                            <a:ext cx="270004" cy="270001"/>
                          </a:xfrm>
                          <a:prstGeom prst="ellipse">
                            <a:avLst/>
                          </a:prstGeom>
                          <a:solidFill>
                            <a:schemeClr val="accent6">
                              <a:lumMod val="100000"/>
                              <a:lumOff val="0"/>
                            </a:schemeClr>
                          </a:solidFill>
                          <a:ln w="12700">
                            <a:solidFill>
                              <a:schemeClr val="accent1">
                                <a:lumMod val="50000"/>
                                <a:lumOff val="0"/>
                              </a:schemeClr>
                            </a:solidFill>
                            <a:miter lim="800000"/>
                            <a:headEnd/>
                            <a:tailEnd/>
                          </a:ln>
                        </wps:spPr>
                        <wps:txbx>
                          <w:txbxContent>
                            <w:p w14:paraId="7C4B23AC" w14:textId="77777777" w:rsidR="001466B0" w:rsidRPr="00995367" w:rsidRDefault="001466B0" w:rsidP="00432779">
                              <w:pPr>
                                <w:spacing w:line="240" w:lineRule="auto"/>
                                <w:jc w:val="center"/>
                                <w:rPr>
                                  <w:b/>
                                </w:rPr>
                              </w:pPr>
                              <w:r w:rsidRPr="00995367">
                                <w:rPr>
                                  <w:b/>
                                </w:rPr>
                                <w:t>A</w:t>
                              </w:r>
                            </w:p>
                          </w:txbxContent>
                        </wps:txbx>
                        <wps:bodyPr rot="0" vert="horz" wrap="square" lIns="0" tIns="0" rIns="0" bIns="0" anchor="ctr" anchorCtr="0" upright="1">
                          <a:noAutofit/>
                        </wps:bodyPr>
                      </wps:wsp>
                      <wps:wsp>
                        <wps:cNvPr id="18" name="Ovál 18"/>
                        <wps:cNvSpPr>
                          <a:spLocks noChangeArrowheads="1"/>
                        </wps:cNvSpPr>
                        <wps:spPr bwMode="auto">
                          <a:xfrm>
                            <a:off x="1009715" y="3212310"/>
                            <a:ext cx="270004" cy="270001"/>
                          </a:xfrm>
                          <a:prstGeom prst="ellipse">
                            <a:avLst/>
                          </a:prstGeom>
                          <a:solidFill>
                            <a:schemeClr val="accent2">
                              <a:lumMod val="75000"/>
                              <a:lumOff val="0"/>
                            </a:schemeClr>
                          </a:solidFill>
                          <a:ln w="12700">
                            <a:solidFill>
                              <a:schemeClr val="accent1">
                                <a:lumMod val="50000"/>
                                <a:lumOff val="0"/>
                              </a:schemeClr>
                            </a:solidFill>
                            <a:miter lim="800000"/>
                            <a:headEnd/>
                            <a:tailEnd/>
                          </a:ln>
                        </wps:spPr>
                        <wps:txbx>
                          <w:txbxContent>
                            <w:p w14:paraId="664B7C8C" w14:textId="77777777" w:rsidR="001466B0" w:rsidRPr="00995367" w:rsidRDefault="001466B0" w:rsidP="00432779">
                              <w:pPr>
                                <w:spacing w:line="240" w:lineRule="auto"/>
                                <w:jc w:val="center"/>
                                <w:rPr>
                                  <w:b/>
                                </w:rPr>
                              </w:pPr>
                              <w:r w:rsidRPr="00995367">
                                <w:rPr>
                                  <w:b/>
                                </w:rPr>
                                <w:t>N</w:t>
                              </w:r>
                            </w:p>
                          </w:txbxContent>
                        </wps:txbx>
                        <wps:bodyPr rot="0" vert="horz" wrap="square" lIns="0" tIns="0" rIns="0" bIns="0" anchor="ctr" anchorCtr="0" upright="1">
                          <a:noAutofit/>
                        </wps:bodyPr>
                      </wps:wsp>
                      <wps:wsp>
                        <wps:cNvPr id="19" name="Přímá spojnice se šipkou 19"/>
                        <wps:cNvCnPr>
                          <a:cxnSpLocks noChangeShapeType="1"/>
                        </wps:cNvCnPr>
                        <wps:spPr bwMode="auto">
                          <a:xfrm flipH="1">
                            <a:off x="3036845" y="319101"/>
                            <a:ext cx="100" cy="16620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0" name="Přímá spojnice 20"/>
                        <wps:cNvCnPr>
                          <a:cxnSpLocks noChangeShapeType="1"/>
                        </wps:cNvCnPr>
                        <wps:spPr bwMode="auto">
                          <a:xfrm>
                            <a:off x="3036845" y="1377604"/>
                            <a:ext cx="200" cy="59100"/>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1" name="Přímá spojnice se šipkou 21"/>
                        <wps:cNvCnPr>
                          <a:cxnSpLocks noChangeShapeType="1"/>
                        </wps:cNvCnPr>
                        <wps:spPr bwMode="auto">
                          <a:xfrm flipH="1">
                            <a:off x="3036545" y="1706705"/>
                            <a:ext cx="200" cy="10520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2" name="Přímá spojnice se šipkou 22"/>
                        <wps:cNvCnPr>
                          <a:cxnSpLocks noChangeShapeType="1"/>
                          <a:stCxn id="4" idx="2"/>
                          <a:endCxn id="5" idx="0"/>
                        </wps:cNvCnPr>
                        <wps:spPr bwMode="auto">
                          <a:xfrm>
                            <a:off x="3036651" y="2339383"/>
                            <a:ext cx="638" cy="365225"/>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3" name="Přímá spojnice se šipkou 23"/>
                        <wps:cNvCnPr>
                          <a:cxnSpLocks noChangeShapeType="1"/>
                          <a:stCxn id="5" idx="2"/>
                          <a:endCxn id="6" idx="0"/>
                        </wps:cNvCnPr>
                        <wps:spPr bwMode="auto">
                          <a:xfrm>
                            <a:off x="3037289" y="3026200"/>
                            <a:ext cx="0" cy="16701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4" name="Přímá spojnice se šipkou 24"/>
                        <wps:cNvCnPr>
                          <a:cxnSpLocks noChangeShapeType="1"/>
                        </wps:cNvCnPr>
                        <wps:spPr bwMode="auto">
                          <a:xfrm>
                            <a:off x="3037045" y="3839111"/>
                            <a:ext cx="300" cy="10490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5" name="Přímá spojnice se šipkou 25"/>
                        <wps:cNvCnPr>
                          <a:cxnSpLocks noChangeShapeType="1"/>
                          <a:stCxn id="7" idx="2"/>
                          <a:endCxn id="9" idx="0"/>
                        </wps:cNvCnPr>
                        <wps:spPr bwMode="auto">
                          <a:xfrm flipH="1">
                            <a:off x="3036980" y="4853585"/>
                            <a:ext cx="715" cy="18383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6" name="Spojnice: pravoúhlá 26"/>
                        <wps:cNvCnPr>
                          <a:cxnSpLocks noChangeShapeType="1"/>
                          <a:stCxn id="7" idx="2"/>
                          <a:endCxn id="8" idx="0"/>
                        </wps:cNvCnPr>
                        <wps:spPr bwMode="auto">
                          <a:xfrm rot="5400000">
                            <a:off x="2471207" y="4470927"/>
                            <a:ext cx="183830" cy="949147"/>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7" name="Spojnice: pravoúhlá 27"/>
                        <wps:cNvCnPr>
                          <a:cxnSpLocks noChangeShapeType="1"/>
                          <a:stCxn id="7" idx="2"/>
                          <a:endCxn id="10" idx="0"/>
                        </wps:cNvCnPr>
                        <wps:spPr bwMode="auto">
                          <a:xfrm rot="16200000" flipH="1">
                            <a:off x="3424017" y="4467262"/>
                            <a:ext cx="183230" cy="955875"/>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8" name="Spojnice: pravoúhlá 28"/>
                        <wps:cNvCnPr>
                          <a:cxnSpLocks noChangeShapeType="1"/>
                        </wps:cNvCnPr>
                        <wps:spPr bwMode="auto">
                          <a:xfrm rot="16200000" flipH="1">
                            <a:off x="2460038" y="5171110"/>
                            <a:ext cx="206501" cy="948714"/>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9" name="Spojnice: pravoúhlá 29"/>
                        <wps:cNvCnPr>
                          <a:cxnSpLocks noChangeShapeType="1"/>
                        </wps:cNvCnPr>
                        <wps:spPr bwMode="auto">
                          <a:xfrm rot="5400000">
                            <a:off x="3412152" y="5167010"/>
                            <a:ext cx="207201" cy="956214"/>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0" name="Přímá spojnice se šipkou 30"/>
                        <wps:cNvCnPr>
                          <a:cxnSpLocks noChangeShapeType="1"/>
                        </wps:cNvCnPr>
                        <wps:spPr bwMode="auto">
                          <a:xfrm>
                            <a:off x="3037145" y="5542217"/>
                            <a:ext cx="500" cy="206501"/>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1" name="Přímá spojnice se šipkou 31"/>
                        <wps:cNvCnPr>
                          <a:cxnSpLocks noChangeShapeType="1"/>
                        </wps:cNvCnPr>
                        <wps:spPr bwMode="auto">
                          <a:xfrm>
                            <a:off x="810612" y="6251619"/>
                            <a:ext cx="0" cy="12580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2" name="Přímá spojnice 32"/>
                        <wps:cNvCnPr>
                          <a:cxnSpLocks noChangeShapeType="1"/>
                        </wps:cNvCnPr>
                        <wps:spPr bwMode="auto">
                          <a:xfrm flipH="1">
                            <a:off x="3037045" y="3502810"/>
                            <a:ext cx="300" cy="66300"/>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33" name="Přímá spojnice 33"/>
                        <wps:cNvCnPr>
                          <a:cxnSpLocks noChangeShapeType="1"/>
                        </wps:cNvCnPr>
                        <wps:spPr bwMode="auto">
                          <a:xfrm flipH="1" flipV="1">
                            <a:off x="1279719" y="3347310"/>
                            <a:ext cx="587709" cy="700"/>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34" name="Přímá spojnice 34"/>
                        <wps:cNvCnPr>
                          <a:cxnSpLocks noChangeShapeType="1"/>
                        </wps:cNvCnPr>
                        <wps:spPr bwMode="auto">
                          <a:xfrm flipH="1" flipV="1">
                            <a:off x="1279719" y="2063806"/>
                            <a:ext cx="587109" cy="100"/>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35" name="Spojnice: pravoúhlá 35"/>
                        <wps:cNvCnPr>
                          <a:cxnSpLocks noChangeShapeType="1"/>
                        </wps:cNvCnPr>
                        <wps:spPr bwMode="auto">
                          <a:xfrm rot="10800000" flipV="1">
                            <a:off x="810612" y="2063806"/>
                            <a:ext cx="199103" cy="3683911"/>
                          </a:xfrm>
                          <a:prstGeom prst="bentConnector2">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6" name="Spojnice: pravoúhlá 36"/>
                        <wps:cNvCnPr>
                          <a:cxnSpLocks noChangeShapeType="1"/>
                        </wps:cNvCnPr>
                        <wps:spPr bwMode="auto">
                          <a:xfrm rot="10800000" flipV="1">
                            <a:off x="810612" y="3347310"/>
                            <a:ext cx="199103" cy="2400407"/>
                          </a:xfrm>
                          <a:prstGeom prst="bentConnector2">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366BD56" id="Plátno 37" o:spid="_x0000_s1026" editas="canvas" style="width:453.55pt;height:528.6pt;mso-position-horizontal-relative:char;mso-position-vertical-relative:line" coordsize="57600,67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t2zGgoAAOpoAAAOAAAAZHJzL2Uyb0RvYy54bWzsXcuS28YV3acq/4DCPiK6G0+WKJdqHCWp&#10;smOV5WQPAuAQFggwAGY44z/JUsss/AOp8mrK/5XT3UATIEiKpDQgmYEXY5AQ8SDOuc9zm6+/eVgk&#10;2n2UF3GWTnTyytC1KA2yME5vJ/o/fnr3J1fXitJPQz/J0miiP0aF/s2bP/7h9Wo5jmg2z5IwyjUc&#10;JC3Gq+VEn5flcjwaFcE8WvjFq2wZpdg5y/KFX+JlfjsKc3+Foy+SETUMe7TK8nCZZ0FUFHj3W7lT&#10;fyOOP5tFQfnDbFZEpZZMdFxbKf7m4u+U/x29ee2Pb3N/OY+D6jL8E65i4ccpTqoO9a1f+tpdHncO&#10;tYiDPCuyWfkqyBajbDaLg0jcA+6GGBt3c+On934hbibAt1NfILa+4nGnt/y60+xdnCT4NkY4+pi/&#10;x/+/wvOJ8OZqiadTLNVzKr7s/B/m/jISt1WMg7/fv8+1OJzoVNdSfwGM/DANn/6TpE+/fhxrRaT9&#10;4n+8S/wgSp9+W8Rans0fNcqfG78ofPrD8n3O76BYfpcFHwstzW7mfnobvc3zbDWP/BAXS/i/x501&#10;PsBfFPioNl19n4U4q39XZuIRPszyBT8gHo72MNFdx/YI07XHie5ZRoWY6KHUAuw0GfFsExgPsJtR&#10;Ynni0kb+uD7KMi/Kv0TZQuMbEz3P7tLwR8BSnMq//64oBWzC6t798Gddmy0SgPDeTzRi27YjLt4f&#10;V/8Yx66PKW47S+KQPzvxgtMmuklyDR/GLQX41koiTpXcLXCf8n1i8P8k9vE+GCLfF2/h+IJ9/DD4&#10;0vCqeYYk1Vb4PqmDz596enyLJ559EZewFkm8wGPhB6nugT/lP6chnrE/Lv04kdu49CStHjt/0hIx&#10;5cP0oQLPNAsfAYA8k1YBVgwb8yz/RddWsAgTvfjXnZ9Hupb8LQWIPGKa3ISIF6blULzIm3umzT1+&#10;GuBQEz0oc12TL25KaXjulnl8O8e55JMplm8BvXdxWWNUXld15aBdT/wDxg/lH+uRf8S1TY+CYmCY&#10;6TKYSQncmoKUmSZjpqSgZxoEdOTf5EDBPRbg7BQUFl88SW6IByZK11R5QoD5UCaa/TLRphUTiUuI&#10;bVgdKhquaUkqWtRxnPNSMb+dKl/oGMx4qxzc/51LqyKowbNtiyyByEP5JBDdChSfL7KEZ3PMik8I&#10;qEzbEHTxx2vXxjyHkouOLtl5o8vu6S/DtakIaXBtLddmH05Fu1/XpqiIlA6ZXJVaXCoVX5prU3HO&#10;wKcWn5zD+STqCP25NsuqXBtD+cRk4uxN13b5WVvXt/RaOOme/jJcmwqRBiq2qIgSxaFRpojz+qKi&#10;zVxKkVKifmIZzDHJRtbmoYxuwo7wEuYFJG1DCfOQEqbI91SENDCxxUTvcCZ6PQaZ1HJtxmQlcwcT&#10;CXWrSubAxMMMwWX4RBVbDUxsMRFp1MFOUaZcPXlFZpmMWmg5Sq9ou9u8IkO2OnhF3lu9Ji6q4Grg&#10;YpuLKCQeGqAS1ZrpocMOG8FZ6JgOIxtpIrGp4VhVBfRCXWI3TxvSxBDt8jqyGmjYpuEROhfSp9DF&#10;hpyCE9FmDpJE8fjW9RpiQ+jCs8gLFroMRJSSprXQRXbZRSmbx1UDE9tMPELxAgVY1VvtwSES13I8&#10;ipKMdIuusekWKYPQrJadDW5xW3TaNQaXkSmuI6uBjW02blG9aET1fXqgHRp/FuWVUNCOMujKjI1o&#10;lFqWJQo4wgmiMy+1aHukZi2hp1SlNcWbSnUrpYpNGe5O8aK06SowOBJFcPFSwIgNKV7EhhQuYuP6&#10;RItI2+uk5v7pEwSzqjvRA2CoZ1DDlNpgYjIbGg7uJdZRE5fJ4j0RNIltKUTeKU2MkiReFlwaXcl9&#10;u5BpqXG35uX2eRUZXbnxhRhe5cHPRJk04zrf2dl1vmStwZCUUW2EHiiD1NhzOGlhYwlkva4hzn5m&#10;ytAOZRwOWknml6iQl05GOd+Xzpi1ykIyRpX7e2BM08kwC7MoMoI8M2MGJ7M911bhx0unzFoNISmj&#10;qvI9UKbpZCDlo6yj5jtHXDY4GTFwt1mdUtHHS2eMUi28//3fT78unj5pxTL7OcWAKJ+C/P1TvPyY&#10;3WmyMFt1SW9SOfsYPKQfNsYfxYzlT49LTDbKpKP1Ef5i9/SjNkMa8td6Pq2ag2QGs8VwByI3ZMpV&#10;7rt2QyCdTHQws4jJXB477U6MizL3+QzcTZamyJGzXGYNYsSxm/O00mQ+f2gz6/Txwy/ozhw+f6iV&#10;4qsv8xizqEmEicKJvohCzBJGmJPmW/I2t0woSh7w3fwp9Tf/x+cZZX+wC0DswwW1IOSPvzLqeNK7&#10;BWsE7Qi7k1jXYLMAxM9gLYnTvRn1FaLr8rCjestd7DSMF2ZZnh1GO42XxSfTeNrpGKjUbIggucUS&#10;ZRpiWIP1ukbrpdqq+xGoCqeIQ49wn9DAlDcPqciLUdCLQwz/i0PBAaZhvQcAE3ukRWqZy/0ed8P2&#10;2VzyIKrQzGOuKFytHS30vFUb1rYoFTgeHO1VOVrVd9wPVVWwPB2qNSC7UEUR8GtA1aEu4lYeEhq0&#10;DvvWUK1tKuytTMEGoF4VUFVLbj9QVZ3wOKDWC7JIM3yMgUSjRfpyGMduQYytfbmJ4YYhE+FJ4FXh&#10;Dg93VybSjCZVse043DV9OSq7O3w5zNppBnJnAOq5sIcwlaZrMcvdCEBFU4T3lYkLUA+gvb70WbXV&#10;PlRlmzHWfPLvs6f/zhMUc6gqdD0HWhESnohWsfyRZfLVlGRNpcrBoYQgEN9KxJqOwQVJSN7Wzr0C&#10;qsiaPBOrI4n9uz38FGtRqXqPlOdsXf8Koe96ASzVO8Zxty+AdYXp+zWmV6oFtgPdzZbYiXnVblvM&#10;x0i+BN5cRi7wvd02mxTLRtVItx0Esh2kU5hkiXTLcp3PJF0D0utl2K4R6apztQPpzU7WEUg/JtqV&#10;a9LtRy3FejFGPU1IHLSFRdCwts/UsC0I1Cr77DpSSzfY588vHniNqFXdox2oVeMYx0Ufx6N2SyjB&#10;TIKlMathO6KKAU2oYjXFGqqWTQeoHrrO5RVClXvSA7I7mQO1aqjP3HKChZRVBcsyKd3U3CMSlba0&#10;squyB7Njmdehv1lVXS6ov8lgYA7BXQ89qka53yWGjTEvXhewqcXHrNqxZwU6gsUDhlLW9TXV2Z62&#10;FPadrRu6rqBaBgUG26BTFVTb5pt7Td3QXn/+pdHZno4R9vWIIpFA/3NDGoTlwCHqrvpAjI9xb+AJ&#10;KTMKSNJ98pXDB0DlUk1zLq0PXy97ly/EvksCFMIt1pkSAKBIDahBANTQVZ4NUKplsz3/ZCf2ao7P&#10;P4lR/TTAVlPVCLe2Aot4EJTB2ooJP1t0F/dbq1atT0p8BxUjdItnA+Jn2jBY0+f5rZvoqRwMRPx6&#10;QddlNoGI8rRRDaMeWL4bgKh+8GMLEGFUxO/pCIVy9eM//Bd7mq+F/Hb9E0Vv/gcAAP//AwBQSwME&#10;FAAGAAgAAAAhAOiLO2/dAAAABgEAAA8AAABkcnMvZG93bnJldi54bWxMj0FPwkAQhe8m/ofNmHiT&#10;XUgErd0SYlAOHgxI4Dq0Y1vpzjbdLdR/78hFL5NM3st730vng2vUibpQe7YwHhlQxLkvai4tbD9e&#10;7h5AhYhcYOOZLHxTgHl2fZViUvgzr+m0iaWSEA4JWqhibBOtQ16RwzDyLbFon75zGOXtSl10eJZw&#10;1+iJMVPtsGZpqLCl54ry46Z3UrKO77l53emv6Wq177eL5RLfjtbe3gyLJ1CRhvhnhl98QYdMmA6+&#10;5yKoxoIMiZcr2qOZjUEdxGTuZxPQWar/42c/AAAA//8DAFBLAQItABQABgAIAAAAIQC2gziS/gAA&#10;AOEBAAATAAAAAAAAAAAAAAAAAAAAAABbQ29udGVudF9UeXBlc10ueG1sUEsBAi0AFAAGAAgAAAAh&#10;ADj9If/WAAAAlAEAAAsAAAAAAAAAAAAAAAAALwEAAF9yZWxzLy5yZWxzUEsBAi0AFAAGAAgAAAAh&#10;ACQy3bMaCgAA6mgAAA4AAAAAAAAAAAAAAAAALgIAAGRycy9lMm9Eb2MueG1sUEsBAi0AFAAGAAgA&#10;AAAhAOiLO2/dAAAABgEAAA8AAAAAAAAAAAAAAAAAdAwAAGRycy9kb3ducmV2LnhtbFBLBQYAAAAA&#10;BAAEAPMAAAB+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0;height:67132;visibility:visible;mso-wrap-style:square">
                  <v:fill o:detectmouseclick="t"/>
                  <v:path o:connecttype="none"/>
                </v:shape>
                <v:roundrect id="Obdélník: se zakulacenými rohy 2" o:spid="_x0000_s1028" style="position:absolute;left:8769;top:95;width:43196;height:32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JjEwAAAANoAAAAPAAAAZHJzL2Rvd25yZXYueG1sRI9Li8Iw&#10;FIX3A/6HcAV3Y1oXKtUo6iC4cOMDdHlprk2xuSlJRuu/N8LALA/n8XHmy8424kE+1I4V5MMMBHHp&#10;dM2VgvNp+z0FESKyxsYxKXhRgOWi9zXHQrsnH+hxjJVIIxwKVGBibAspQ2nIYhi6ljh5N+ctxiR9&#10;JbXHZxq3jRxl2VharDkRDLa0MVTej782QSbu+rP3mcnr9d3rc7fVl1eu1KDfrWYgInXxP/zX3mkF&#10;I/hcSTdALt4AAAD//wMAUEsBAi0AFAAGAAgAAAAhANvh9svuAAAAhQEAABMAAAAAAAAAAAAAAAAA&#10;AAAAAFtDb250ZW50X1R5cGVzXS54bWxQSwECLQAUAAYACAAAACEAWvQsW78AAAAVAQAACwAAAAAA&#10;AAAAAAAAAAAfAQAAX3JlbHMvLnJlbHNQSwECLQAUAAYACAAAACEAq4yYxMAAAADaAAAADwAAAAAA&#10;AAAAAAAAAAAHAgAAZHJzL2Rvd25yZXYueG1sUEsFBgAAAAADAAMAtwAAAPQCAAAAAA==&#10;" fillcolor="#4472c4 [3204]" strokecolor="#1f3763 [1604]" strokeweight="1pt">
                  <v:stroke joinstyle="miter"/>
                  <v:textbox style="mso-fit-shape-to-text:t">
                    <w:txbxContent>
                      <w:p w14:paraId="616DDFE1" w14:textId="77777777" w:rsidR="001466B0" w:rsidRPr="007C14B8" w:rsidRDefault="001466B0" w:rsidP="00432779">
                        <w:pPr>
                          <w:spacing w:line="240" w:lineRule="auto"/>
                          <w:jc w:val="center"/>
                          <w:rPr>
                            <w:rFonts w:cs="Times New Roman"/>
                            <w:szCs w:val="24"/>
                          </w:rPr>
                        </w:pPr>
                        <w:r w:rsidRPr="007C14B8">
                          <w:rPr>
                            <w:rFonts w:eastAsia="HelveticaCE-Bold" w:cs="Times New Roman"/>
                            <w:b/>
                            <w:bCs/>
                            <w:szCs w:val="24"/>
                          </w:rPr>
                          <w:t>Diagnostický algoritmus pro srdeční selhání</w:t>
                        </w:r>
                      </w:p>
                    </w:txbxContent>
                  </v:textbox>
                </v:roundrect>
                <v:roundrect id="Obdélník: se zakulacenými rohy 3" o:spid="_x0000_s1029" style="position:absolute;left:18649;top:4832;width:23443;height:94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D1fwgAAANoAAAAPAAAAZHJzL2Rvd25yZXYueG1sRI9LawIx&#10;FIX3Qv9DuIXuNDMtaJkaxbYMdOGmKrTLy+Q6GZzcDEk6j39vhILLw3l8nPV2tK3oyYfGsYJ8kYEg&#10;rpxuuFZwOpbzVxAhImtsHZOCiQJsNw+zNRbaDfxN/SHWIo1wKFCBibErpAyVIYth4Tri5J2dtxiT&#10;9LXUHoc0blv5nGVLabHhRDDY0Yeh6nL4swmycr+fe5+ZvHm/eH0aS/0z5Uo9PY67NxCRxngP/7e/&#10;tIIXuF1JN0BurgAAAP//AwBQSwECLQAUAAYACAAAACEA2+H2y+4AAACFAQAAEwAAAAAAAAAAAAAA&#10;AAAAAAAAW0NvbnRlbnRfVHlwZXNdLnhtbFBLAQItABQABgAIAAAAIQBa9CxbvwAAABUBAAALAAAA&#10;AAAAAAAAAAAAAB8BAABfcmVscy8ucmVsc1BLAQItABQABgAIAAAAIQDEwD1fwgAAANoAAAAPAAAA&#10;AAAAAAAAAAAAAAcCAABkcnMvZG93bnJldi54bWxQSwUGAAAAAAMAAwC3AAAA9gIAAAAA&#10;" fillcolor="#4472c4 [3204]" strokecolor="#1f3763 [1604]" strokeweight="1pt">
                  <v:stroke joinstyle="miter"/>
                  <v:textbox style="mso-fit-shape-to-text:t">
                    <w:txbxContent>
                      <w:p w14:paraId="661579EC" w14:textId="77777777" w:rsidR="001466B0" w:rsidRPr="007C14B8" w:rsidRDefault="001466B0" w:rsidP="00432779">
                        <w:pPr>
                          <w:spacing w:line="240" w:lineRule="auto"/>
                          <w:jc w:val="left"/>
                          <w:rPr>
                            <w:rFonts w:eastAsia="HelveticaCE-Bold" w:cs="Times New Roman"/>
                            <w:b/>
                            <w:bCs/>
                            <w:szCs w:val="24"/>
                          </w:rPr>
                        </w:pPr>
                        <w:r w:rsidRPr="007C14B8">
                          <w:rPr>
                            <w:rFonts w:eastAsia="HelveticaCE-Bold" w:cs="Times New Roman"/>
                            <w:b/>
                            <w:bCs/>
                            <w:szCs w:val="24"/>
                          </w:rPr>
                          <w:t>Podezření na srdeční selhání</w:t>
                        </w:r>
                      </w:p>
                      <w:p w14:paraId="60F33FFA" w14:textId="77777777" w:rsidR="001466B0" w:rsidRPr="007C14B8" w:rsidRDefault="001466B0" w:rsidP="00432779">
                        <w:pPr>
                          <w:spacing w:line="240" w:lineRule="auto"/>
                          <w:jc w:val="left"/>
                          <w:rPr>
                            <w:rFonts w:eastAsia="HelveticaCE-Bold" w:cs="Times New Roman"/>
                            <w:bCs/>
                            <w:szCs w:val="24"/>
                          </w:rPr>
                        </w:pPr>
                        <w:r w:rsidRPr="007C14B8">
                          <w:rPr>
                            <w:rFonts w:eastAsia="HelveticaCE-Bold" w:cs="Times New Roman"/>
                            <w:bCs/>
                            <w:szCs w:val="24"/>
                          </w:rPr>
                          <w:t>• Rizikové faktory</w:t>
                        </w:r>
                      </w:p>
                      <w:p w14:paraId="6EEA5394" w14:textId="77777777" w:rsidR="001466B0" w:rsidRPr="007C14B8" w:rsidRDefault="001466B0" w:rsidP="00432779">
                        <w:pPr>
                          <w:spacing w:line="240" w:lineRule="auto"/>
                          <w:jc w:val="left"/>
                          <w:rPr>
                            <w:rFonts w:eastAsia="HelveticaCE-Bold" w:cs="Times New Roman"/>
                            <w:bCs/>
                            <w:szCs w:val="24"/>
                          </w:rPr>
                        </w:pPr>
                        <w:r w:rsidRPr="007C14B8">
                          <w:rPr>
                            <w:rFonts w:eastAsia="HelveticaCE-Bold" w:cs="Times New Roman"/>
                            <w:bCs/>
                            <w:szCs w:val="24"/>
                          </w:rPr>
                          <w:t>• Příznaky a/nebo známky</w:t>
                        </w:r>
                      </w:p>
                      <w:p w14:paraId="2E9534FA" w14:textId="77777777" w:rsidR="001466B0" w:rsidRPr="007C14B8" w:rsidRDefault="001466B0" w:rsidP="00432779">
                        <w:pPr>
                          <w:spacing w:line="240" w:lineRule="auto"/>
                          <w:jc w:val="left"/>
                          <w:rPr>
                            <w:rFonts w:cs="Times New Roman"/>
                            <w:szCs w:val="24"/>
                          </w:rPr>
                        </w:pPr>
                        <w:r w:rsidRPr="007C14B8">
                          <w:rPr>
                            <w:rFonts w:eastAsia="HelveticaCE-Bold" w:cs="Times New Roman"/>
                            <w:bCs/>
                            <w:szCs w:val="24"/>
                          </w:rPr>
                          <w:t>• Abnormální EKG</w:t>
                        </w:r>
                      </w:p>
                    </w:txbxContent>
                  </v:textbox>
                </v:roundrect>
                <v:roundrect id="Obdélník: se zakulacenými rohy 4" o:spid="_x0000_s1030" style="position:absolute;left:18662;top:18116;width:23408;height:52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WKwwAAANoAAAAPAAAAZHJzL2Rvd25yZXYueG1sRI9RS8Mw&#10;FIXfBf9DuIIvsiWKlNEtG0UQisKY3djzpblrO5ubksSu/vtFGPh4OOd8h7PaTLYXI/nQOdbwPFcg&#10;iGtnOm40HPbvswWIEJEN9o5Jwy8F2Kzv71aYG3fhLxqr2IgE4ZCjhjbGIZcy1C1ZDHM3ECfv5LzF&#10;mKRvpPF4SXDbyxelMmmx47TQ4kBvLdXf1Y/VoM4f+89dyMaqnHxZZGF7VMWT1o8PU7EEEWmK/+Fb&#10;uzQaXuHvSroBcn0FAAD//wMAUEsBAi0AFAAGAAgAAAAhANvh9svuAAAAhQEAABMAAAAAAAAAAAAA&#10;AAAAAAAAAFtDb250ZW50X1R5cGVzXS54bWxQSwECLQAUAAYACAAAACEAWvQsW78AAAAVAQAACwAA&#10;AAAAAAAAAAAAAAAfAQAAX3JlbHMvLnJlbHNQSwECLQAUAAYACAAAACEAv9DVisMAAADaAAAADwAA&#10;AAAAAAAAAAAAAAAHAgAAZHJzL2Rvd25yZXYueG1sUEsFBgAAAAADAAMAtwAAAPcCAAAAAA==&#10;" fillcolor="#7030a0" strokecolor="#1f3763 [1604]" strokeweight="1pt">
                  <v:stroke joinstyle="miter"/>
                  <v:textbox style="mso-fit-shape-to-text:t">
                    <w:txbxContent>
                      <w:p w14:paraId="7664BC47" w14:textId="77777777" w:rsidR="001466B0" w:rsidRPr="00995367" w:rsidRDefault="001466B0" w:rsidP="00432779">
                        <w:pPr>
                          <w:spacing w:line="240" w:lineRule="auto"/>
                          <w:jc w:val="center"/>
                          <w:rPr>
                            <w:rFonts w:eastAsia="HelveticaCE-Bold" w:cs="Times New Roman"/>
                            <w:bCs/>
                            <w:szCs w:val="24"/>
                          </w:rPr>
                        </w:pPr>
                        <w:r w:rsidRPr="00995367">
                          <w:rPr>
                            <w:rFonts w:eastAsia="HelveticaCE-Bold" w:cs="Times New Roman"/>
                            <w:bCs/>
                            <w:szCs w:val="24"/>
                          </w:rPr>
                          <w:t>NT-proBNP ≥ 125 pg/ml</w:t>
                        </w:r>
                      </w:p>
                      <w:p w14:paraId="1197DDDE" w14:textId="77777777" w:rsidR="001466B0" w:rsidRPr="00995367" w:rsidRDefault="001466B0" w:rsidP="00432779">
                        <w:pPr>
                          <w:spacing w:line="240" w:lineRule="auto"/>
                          <w:jc w:val="center"/>
                          <w:rPr>
                            <w:rFonts w:cs="Times New Roman"/>
                            <w:szCs w:val="24"/>
                          </w:rPr>
                        </w:pPr>
                        <w:r w:rsidRPr="00995367">
                          <w:rPr>
                            <w:rFonts w:eastAsia="HelveticaCE-Bold" w:cs="Times New Roman"/>
                            <w:bCs/>
                            <w:szCs w:val="24"/>
                          </w:rPr>
                          <w:t>nebo BNP ≥ 35 pg/ml</w:t>
                        </w:r>
                      </w:p>
                    </w:txbxContent>
                  </v:textbox>
                </v:roundrect>
                <v:roundrect id="Obdélník: se zakulacenými rohy 5" o:spid="_x0000_s1031" style="position:absolute;left:18674;top:27046;width:23397;height:32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UmUwwAAANoAAAAPAAAAZHJzL2Rvd25yZXYueG1sRI9Ba8JA&#10;FITvQv/D8gredGPUpqSuYgW14CVNhV5fs88kNPs2ZFeN/94tCD0OM/MNs1j1phEX6lxtWcFkHIEg&#10;LqyuuVRw/NqOXkE4j6yxsUwKbuRgtXwaLDDV9sqfdMl9KQKEXYoKKu/bVEpXVGTQjW1LHLyT7Qz6&#10;ILtS6g6vAW4aGUfRizRYc1iosKVNRcVvfjYK3r+PWRKbZCZ3+TTLfuJkTfuDUsPnfv0GwlPv/8OP&#10;9odWMIe/K+EGyOUdAAD//wMAUEsBAi0AFAAGAAgAAAAhANvh9svuAAAAhQEAABMAAAAAAAAAAAAA&#10;AAAAAAAAAFtDb250ZW50X1R5cGVzXS54bWxQSwECLQAUAAYACAAAACEAWvQsW78AAAAVAQAACwAA&#10;AAAAAAAAAAAAAAAfAQAAX3JlbHMvLnJlbHNQSwECLQAUAAYACAAAACEA8zlJlMMAAADaAAAADwAA&#10;AAAAAAAAAAAAAAAHAgAAZHJzL2Rvd25yZXYueG1sUEsFBgAAAAADAAMAtwAAAPcCAAAAAA==&#10;" fillcolor="#a5a5a5 [3206]" strokecolor="#525252 [1606]" strokeweight="1pt">
                  <v:stroke joinstyle="miter"/>
                  <v:textbox style="mso-fit-shape-to-text:t">
                    <w:txbxContent>
                      <w:p w14:paraId="1E03056C" w14:textId="77777777" w:rsidR="001466B0" w:rsidRPr="00995367" w:rsidRDefault="001466B0" w:rsidP="00432779">
                        <w:pPr>
                          <w:spacing w:line="240" w:lineRule="auto"/>
                          <w:jc w:val="center"/>
                          <w:rPr>
                            <w:rFonts w:cs="Times New Roman"/>
                            <w:szCs w:val="24"/>
                          </w:rPr>
                        </w:pPr>
                        <w:r w:rsidRPr="00995367">
                          <w:rPr>
                            <w:rFonts w:eastAsia="HelveticaCE-Bold" w:cs="Times New Roman"/>
                            <w:bCs/>
                            <w:szCs w:val="24"/>
                          </w:rPr>
                          <w:t>Echokardiografie</w:t>
                        </w:r>
                      </w:p>
                    </w:txbxContent>
                  </v:textbox>
                </v:roundrect>
                <v:roundrect id="Obdélník: se zakulacenými rohy 6" o:spid="_x0000_s1032" style="position:absolute;left:18674;top:31932;width:23397;height:32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u5mwwAAANoAAAAPAAAAZHJzL2Rvd25yZXYueG1sRI/BasMw&#10;EETvhfyD2EAvJZGSgylOlGACAdNAaZ3S82JtbCfWykiq4/59VSj0OMzMG2a7n2wvRvKhc6xhtVQg&#10;iGtnOm40fJyPi2cQISIb7B2Thm8KsN/NHraYG3fndxqr2IgE4ZCjhjbGIZcy1C1ZDEs3ECfv4rzF&#10;mKRvpPF4T3Dby7VSmbTYcVpocaBDS/Wt+rIa1PXlfHoL2ViVky+LLLx+quJJ68f5VGxARJrif/iv&#10;XRoNGfxeSTdA7n4AAAD//wMAUEsBAi0AFAAGAAgAAAAhANvh9svuAAAAhQEAABMAAAAAAAAAAAAA&#10;AAAAAAAAAFtDb250ZW50X1R5cGVzXS54bWxQSwECLQAUAAYACAAAACEAWvQsW78AAAAVAQAACwAA&#10;AAAAAAAAAAAAAAAfAQAAX3JlbHMvLnJlbHNQSwECLQAUAAYACAAAACEAIE7uZsMAAADaAAAADwAA&#10;AAAAAAAAAAAAAAAHAgAAZHJzL2Rvd25yZXYueG1sUEsFBgAAAAADAAMAtwAAAPcCAAAAAA==&#10;" fillcolor="#7030a0" strokecolor="#1f3763 [1604]" strokeweight="1pt">
                  <v:stroke joinstyle="miter"/>
                  <v:textbox style="mso-fit-shape-to-text:t">
                    <w:txbxContent>
                      <w:p w14:paraId="458F8FCA" w14:textId="77777777" w:rsidR="001466B0" w:rsidRPr="00995367" w:rsidRDefault="001466B0" w:rsidP="00432779">
                        <w:pPr>
                          <w:spacing w:line="240" w:lineRule="auto"/>
                          <w:jc w:val="center"/>
                          <w:rPr>
                            <w:rFonts w:cs="Times New Roman"/>
                            <w:szCs w:val="24"/>
                          </w:rPr>
                        </w:pPr>
                        <w:r w:rsidRPr="00995367">
                          <w:rPr>
                            <w:rFonts w:eastAsia="HelveticaCE-Bold" w:cs="Times New Roman"/>
                            <w:bCs/>
                            <w:szCs w:val="24"/>
                          </w:rPr>
                          <w:t>Abnormální nálezy</w:t>
                        </w:r>
                      </w:p>
                    </w:txbxContent>
                  </v:textbox>
                </v:roundrect>
                <v:roundrect id="Obdélník: se zakulacenými rohy 7" o:spid="_x0000_s1033" style="position:absolute;left:18655;top:39134;width:23443;height:94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3J4xAAAANoAAAAPAAAAZHJzL2Rvd25yZXYueG1sRI9Pa8JA&#10;FMTvQr/D8gredNNUTEmzEVvoH/ASU8HrM/uahGbfhuyq8dt3BcHjMDO/YbLVaDpxosG1lhU8zSMQ&#10;xJXVLdcKdj8fsxcQziNr7CyTggs5WOUPkwxTbc+8pVPpaxEg7FJU0Hjfp1K6qiGDbm574uD92sGg&#10;D3KopR7wHOCmk3EULaXBlsNCgz29N1T9lUej4G2/K5LYJAv5WT4XxSFO1vS1UWr6OK5fQXga/T18&#10;a39rBQlcr4QbIPN/AAAA//8DAFBLAQItABQABgAIAAAAIQDb4fbL7gAAAIUBAAATAAAAAAAAAAAA&#10;AAAAAAAAAABbQ29udGVudF9UeXBlc10ueG1sUEsBAi0AFAAGAAgAAAAhAFr0LFu/AAAAFQEAAAsA&#10;AAAAAAAAAAAAAAAAHwEAAF9yZWxzLy5yZWxzUEsBAi0AFAAGAAgAAAAhAGyncnjEAAAA2gAAAA8A&#10;AAAAAAAAAAAAAAAABwIAAGRycy9kb3ducmV2LnhtbFBLBQYAAAAAAwADALcAAAD4AgAAAAA=&#10;" fillcolor="#a5a5a5 [3206]" strokecolor="#525252 [1606]" strokeweight="1pt">
                  <v:stroke joinstyle="miter"/>
                  <v:textbox style="mso-fit-shape-to-text:t">
                    <w:txbxContent>
                      <w:p w14:paraId="28F2056B" w14:textId="77777777" w:rsidR="001466B0" w:rsidRPr="00995367" w:rsidRDefault="001466B0" w:rsidP="00432779">
                        <w:pPr>
                          <w:spacing w:line="240" w:lineRule="auto"/>
                          <w:jc w:val="center"/>
                          <w:rPr>
                            <w:rFonts w:eastAsia="HelveticaCE-Bold" w:cs="Times New Roman"/>
                            <w:b/>
                            <w:bCs/>
                            <w:szCs w:val="24"/>
                          </w:rPr>
                        </w:pPr>
                        <w:r w:rsidRPr="00995367">
                          <w:rPr>
                            <w:rFonts w:eastAsia="HelveticaCE-Bold" w:cs="Times New Roman"/>
                            <w:b/>
                            <w:bCs/>
                            <w:szCs w:val="24"/>
                          </w:rPr>
                          <w:t>Srdeční selhání potvrzeno</w:t>
                        </w:r>
                      </w:p>
                      <w:p w14:paraId="67C6AADE" w14:textId="77777777" w:rsidR="001466B0" w:rsidRPr="00995367" w:rsidRDefault="001466B0" w:rsidP="00432779">
                        <w:pPr>
                          <w:spacing w:line="240" w:lineRule="auto"/>
                          <w:jc w:val="center"/>
                          <w:rPr>
                            <w:rFonts w:cs="Times New Roman"/>
                            <w:b/>
                            <w:szCs w:val="24"/>
                          </w:rPr>
                        </w:pPr>
                        <w:r w:rsidRPr="00995367">
                          <w:rPr>
                            <w:rFonts w:eastAsia="HelveticaCE-Bold" w:cs="Times New Roman"/>
                            <w:b/>
                            <w:bCs/>
                            <w:szCs w:val="24"/>
                          </w:rPr>
                          <w:t>Definujte fenotyp srdečního selhání na základě měření</w:t>
                        </w:r>
                        <w:r w:rsidRPr="00995367">
                          <w:rPr>
                            <w:rFonts w:eastAsia="HelveticaCE-Bold" w:cs="Times New Roman"/>
                            <w:b/>
                            <w:bCs/>
                            <w:szCs w:val="24"/>
                          </w:rPr>
                          <w:br/>
                          <w:t>EF LK</w:t>
                        </w:r>
                      </w:p>
                    </w:txbxContent>
                  </v:textbox>
                </v:roundrect>
                <v:roundrect id="Obdélník: se zakulacenými rohy 8" o:spid="_x0000_s1034" style="position:absolute;left:16382;top:50374;width:9006;height:52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K8uvwAAANoAAAAPAAAAZHJzL2Rvd25yZXYueG1sRE87b8Iw&#10;EN6R+h+sq9QNnHQoVcBEfQipAwsUCcZTfI2jxOfIdiH8e26o1PHT917Xkx/UhWLqAhsoFwUo4ibY&#10;jlsDx+/t/BVUysgWh8Bk4EYJ6s3DbI2VDVfe0+WQWyUhnCo04HIeK61T48hjWoSRWLifED1mgbHV&#10;NuJVwv2gn4viRXvsWBocjvThqOkPv15KluH8uYuFK7v3PtrjtLWnW2nM0+P0tgKVacr/4j/3lzUg&#10;W+WK3AC9uQMAAP//AwBQSwECLQAUAAYACAAAACEA2+H2y+4AAACFAQAAEwAAAAAAAAAAAAAAAAAA&#10;AAAAW0NvbnRlbnRfVHlwZXNdLnhtbFBLAQItABQABgAIAAAAIQBa9CxbvwAAABUBAAALAAAAAAAA&#10;AAAAAAAAAB8BAABfcmVscy8ucmVsc1BLAQItABQABgAIAAAAIQDKZK8uvwAAANoAAAAPAAAAAAAA&#10;AAAAAAAAAAcCAABkcnMvZG93bnJldi54bWxQSwUGAAAAAAMAAwC3AAAA8wIAAAAA&#10;" fillcolor="#4472c4 [3204]" strokecolor="#1f3763 [1604]" strokeweight="1pt">
                  <v:stroke joinstyle="miter"/>
                  <v:textbox style="mso-fit-shape-to-text:t">
                    <w:txbxContent>
                      <w:p w14:paraId="51DA35AC" w14:textId="1F1535A8" w:rsidR="001466B0" w:rsidRPr="00995367" w:rsidRDefault="001466B0" w:rsidP="00432779">
                        <w:pPr>
                          <w:spacing w:line="240" w:lineRule="auto"/>
                          <w:jc w:val="center"/>
                          <w:rPr>
                            <w:rFonts w:eastAsia="HelveticaCE-Bold" w:cs="Times New Roman"/>
                            <w:bCs/>
                            <w:szCs w:val="24"/>
                          </w:rPr>
                        </w:pPr>
                        <w:r w:rsidRPr="00995367">
                          <w:rPr>
                            <w:rFonts w:eastAsia="HelveticaCE-Bold" w:cs="Times New Roman"/>
                            <w:bCs/>
                            <w:szCs w:val="24"/>
                          </w:rPr>
                          <w:t>≤ 40</w:t>
                        </w:r>
                        <w:r>
                          <w:rPr>
                            <w:rFonts w:eastAsia="HelveticaCE-Bold" w:cs="Times New Roman"/>
                            <w:bCs/>
                            <w:szCs w:val="24"/>
                          </w:rPr>
                          <w:t> %</w:t>
                        </w:r>
                      </w:p>
                      <w:p w14:paraId="3B49F63B" w14:textId="77777777" w:rsidR="001466B0" w:rsidRPr="00995367" w:rsidRDefault="001466B0" w:rsidP="00432779">
                        <w:pPr>
                          <w:spacing w:line="240" w:lineRule="auto"/>
                          <w:jc w:val="center"/>
                          <w:rPr>
                            <w:rFonts w:cs="Times New Roman"/>
                            <w:szCs w:val="24"/>
                          </w:rPr>
                        </w:pPr>
                        <w:r w:rsidRPr="00995367">
                          <w:rPr>
                            <w:rFonts w:eastAsia="HelveticaCE-Bold" w:cs="Times New Roman"/>
                            <w:bCs/>
                            <w:szCs w:val="24"/>
                          </w:rPr>
                          <w:t>(HFrEF)</w:t>
                        </w:r>
                      </w:p>
                    </w:txbxContent>
                  </v:textbox>
                </v:roundrect>
                <v:roundrect id="Obdélník: se zakulacenými rohy 9" o:spid="_x0000_s1035" style="position:absolute;left:25863;top:50374;width:9013;height:52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Aq1wgAAANoAAAAPAAAAZHJzL2Rvd25yZXYueG1sRI9LawIx&#10;FIX3Qv9DuIXuNDNdVDs1im0Z6MJNVWiXl8l1Mji5GZJ0Hv/eCAWXh/P4OOvtaFvRkw+NYwX5IgNB&#10;XDndcK3gdCznKxAhImtsHZOCiQJsNw+zNRbaDfxN/SHWIo1wKFCBibErpAyVIYth4Tri5J2dtxiT&#10;9LXUHoc0blv5nGUv0mLDiWCwow9D1eXwZxNk6X4/9z4zefN+8fo0lvpnypV6ehx3byAijfEe/m9/&#10;aQWvcLuSboDcXAEAAP//AwBQSwECLQAUAAYACAAAACEA2+H2y+4AAACFAQAAEwAAAAAAAAAAAAAA&#10;AAAAAAAAW0NvbnRlbnRfVHlwZXNdLnhtbFBLAQItABQABgAIAAAAIQBa9CxbvwAAABUBAAALAAAA&#10;AAAAAAAAAAAAAB8BAABfcmVscy8ucmVsc1BLAQItABQABgAIAAAAIQClKAq1wgAAANoAAAAPAAAA&#10;AAAAAAAAAAAAAAcCAABkcnMvZG93bnJldi54bWxQSwUGAAAAAAMAAwC3AAAA9gIAAAAA&#10;" fillcolor="#4472c4 [3204]" strokecolor="#1f3763 [1604]" strokeweight="1pt">
                  <v:stroke joinstyle="miter"/>
                  <v:textbox style="mso-fit-shape-to-text:t">
                    <w:txbxContent>
                      <w:p w14:paraId="58DB2589" w14:textId="329C81E2" w:rsidR="001466B0" w:rsidRPr="00995367" w:rsidRDefault="001466B0" w:rsidP="00432779">
                        <w:pPr>
                          <w:spacing w:line="240" w:lineRule="auto"/>
                          <w:jc w:val="center"/>
                          <w:rPr>
                            <w:rFonts w:eastAsia="HelveticaCE-Bold" w:cs="Times New Roman"/>
                            <w:bCs/>
                            <w:szCs w:val="24"/>
                          </w:rPr>
                        </w:pPr>
                        <w:r w:rsidRPr="00995367">
                          <w:rPr>
                            <w:rFonts w:eastAsia="HelveticaCE-Bold" w:cs="Times New Roman"/>
                            <w:bCs/>
                            <w:szCs w:val="24"/>
                          </w:rPr>
                          <w:t>41–49</w:t>
                        </w:r>
                        <w:r>
                          <w:rPr>
                            <w:rFonts w:eastAsia="HelveticaCE-Bold" w:cs="Times New Roman"/>
                            <w:bCs/>
                            <w:szCs w:val="24"/>
                          </w:rPr>
                          <w:t> %</w:t>
                        </w:r>
                      </w:p>
                      <w:p w14:paraId="6A3BE2CA" w14:textId="77777777" w:rsidR="001466B0" w:rsidRPr="00995367" w:rsidRDefault="001466B0" w:rsidP="00432779">
                        <w:pPr>
                          <w:spacing w:line="240" w:lineRule="auto"/>
                          <w:jc w:val="center"/>
                          <w:rPr>
                            <w:rFonts w:cs="Times New Roman"/>
                            <w:szCs w:val="24"/>
                          </w:rPr>
                        </w:pPr>
                        <w:r w:rsidRPr="00995367">
                          <w:rPr>
                            <w:rFonts w:eastAsia="HelveticaCE-Bold" w:cs="Times New Roman"/>
                            <w:bCs/>
                            <w:szCs w:val="24"/>
                          </w:rPr>
                          <w:t>(HFmrEF)</w:t>
                        </w:r>
                      </w:p>
                    </w:txbxContent>
                  </v:textbox>
                </v:roundrect>
                <v:roundrect id="Obdélník: se zakulacenými rohy 10" o:spid="_x0000_s1036" style="position:absolute;left:35432;top:50368;width:9006;height:52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jF+wgAAANsAAAAPAAAAZHJzL2Rvd25yZXYueG1sRI9Nb8Iw&#10;DIbvSPsPkSftBml3GFMhVPsQ0g5cYEhwtBqvqdo4VZJB+ff4MGk3W34/Hq/ryQ/qQjF1gQ2UiwIU&#10;cRNsx62B4/d2/goqZWSLQ2AycKME9eZhtsbKhivv6XLIrZIQThUacDmPldapceQxLcJILLefED1m&#10;WWOrbcSrhPtBPxfFi/bYsTQ4HOnDUdMffr2ULMP5cxcLV3bvfbTHaWtPt9KYp8fpbQUq05T/xX/u&#10;Lyv4Qi+/yAB6cwcAAP//AwBQSwECLQAUAAYACAAAACEA2+H2y+4AAACFAQAAEwAAAAAAAAAAAAAA&#10;AAAAAAAAW0NvbnRlbnRfVHlwZXNdLnhtbFBLAQItABQABgAIAAAAIQBa9CxbvwAAABUBAAALAAAA&#10;AAAAAAAAAAAAAB8BAABfcmVscy8ucmVsc1BLAQItABQABgAIAAAAIQCRFjF+wgAAANsAAAAPAAAA&#10;AAAAAAAAAAAAAAcCAABkcnMvZG93bnJldi54bWxQSwUGAAAAAAMAAwC3AAAA9gIAAAAA&#10;" fillcolor="#4472c4 [3204]" strokecolor="#1f3763 [1604]" strokeweight="1pt">
                  <v:stroke joinstyle="miter"/>
                  <v:textbox style="mso-fit-shape-to-text:t">
                    <w:txbxContent>
                      <w:p w14:paraId="23176DBE" w14:textId="6D94DFB5" w:rsidR="001466B0" w:rsidRPr="00995367" w:rsidRDefault="001466B0" w:rsidP="00432779">
                        <w:pPr>
                          <w:spacing w:line="240" w:lineRule="auto"/>
                          <w:jc w:val="center"/>
                          <w:rPr>
                            <w:rFonts w:eastAsia="HelveticaCE-Bold" w:cs="Times New Roman"/>
                            <w:bCs/>
                            <w:szCs w:val="24"/>
                          </w:rPr>
                        </w:pPr>
                        <w:r w:rsidRPr="00995367">
                          <w:rPr>
                            <w:rFonts w:eastAsia="HelveticaCE-Bold" w:cs="Times New Roman"/>
                            <w:bCs/>
                            <w:szCs w:val="24"/>
                          </w:rPr>
                          <w:t>≥ 50</w:t>
                        </w:r>
                        <w:r>
                          <w:rPr>
                            <w:rFonts w:eastAsia="HelveticaCE-Bold" w:cs="Times New Roman"/>
                            <w:bCs/>
                            <w:szCs w:val="24"/>
                          </w:rPr>
                          <w:t> %</w:t>
                        </w:r>
                      </w:p>
                      <w:p w14:paraId="54D9E472" w14:textId="77777777" w:rsidR="001466B0" w:rsidRPr="00995367" w:rsidRDefault="001466B0" w:rsidP="00432779">
                        <w:pPr>
                          <w:spacing w:line="240" w:lineRule="auto"/>
                          <w:jc w:val="center"/>
                          <w:rPr>
                            <w:rFonts w:cs="Times New Roman"/>
                            <w:szCs w:val="24"/>
                          </w:rPr>
                        </w:pPr>
                        <w:r w:rsidRPr="00995367">
                          <w:rPr>
                            <w:rFonts w:eastAsia="HelveticaCE-Bold" w:cs="Times New Roman"/>
                            <w:bCs/>
                            <w:szCs w:val="24"/>
                          </w:rPr>
                          <w:t>(HFpEF)</w:t>
                        </w:r>
                      </w:p>
                    </w:txbxContent>
                  </v:textbox>
                </v:roundrect>
                <v:roundrect id="Obdélník: se zakulacenými rohy 11" o:spid="_x0000_s1037" style="position:absolute;top:57473;width:16207;height:52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Af9wgAAANsAAAAPAAAAZHJzL2Rvd25yZXYueG1sRE9Na8JA&#10;EL0L/Q/LFHrTjWlpJGYjttBW8JKmgtcxOybB7GzIbjX9965Q8DaP9znZajSdONPgWssK5rMIBHFl&#10;dcu1gt3Px3QBwnlkjZ1lUvBHDlb5wyTDVNsLf9O59LUIIexSVNB436dSuqohg25me+LAHe1g0Ac4&#10;1FIPeAnhppNxFL1Kgy2HhgZ7em+oOpW/RsHbflcksUle5Gf5XBSHOFnT11app8dxvQThafR38b97&#10;o8P8Odx+CQfI/AoAAP//AwBQSwECLQAUAAYACAAAACEA2+H2y+4AAACFAQAAEwAAAAAAAAAAAAAA&#10;AAAAAAAAW0NvbnRlbnRfVHlwZXNdLnhtbFBLAQItABQABgAIAAAAIQBa9CxbvwAAABUBAAALAAAA&#10;AAAAAAAAAAAAAB8BAABfcmVscy8ucmVsc1BLAQItABQABgAIAAAAIQDVVAf9wgAAANsAAAAPAAAA&#10;AAAAAAAAAAAAAAcCAABkcnMvZG93bnJldi54bWxQSwUGAAAAAAMAAwC3AAAA9gIAAAAA&#10;" fillcolor="#a5a5a5 [3206]" strokecolor="#525252 [1606]" strokeweight="1pt">
                  <v:stroke joinstyle="miter"/>
                  <v:textbox style="mso-fit-shape-to-text:t">
                    <w:txbxContent>
                      <w:p w14:paraId="7DB8F337" w14:textId="77777777" w:rsidR="001466B0" w:rsidRPr="00995367" w:rsidRDefault="001466B0" w:rsidP="00432779">
                        <w:pPr>
                          <w:spacing w:line="240" w:lineRule="auto"/>
                          <w:jc w:val="center"/>
                          <w:rPr>
                            <w:rFonts w:cs="Times New Roman"/>
                            <w:szCs w:val="24"/>
                          </w:rPr>
                        </w:pPr>
                        <w:r w:rsidRPr="00995367">
                          <w:rPr>
                            <w:rFonts w:eastAsia="HelveticaCE-Bold" w:cs="Times New Roman"/>
                            <w:bCs/>
                            <w:szCs w:val="24"/>
                          </w:rPr>
                          <w:t>Srdeční selhání</w:t>
                        </w:r>
                        <w:r w:rsidRPr="00995367">
                          <w:rPr>
                            <w:rFonts w:eastAsia="HelveticaCE-Bold" w:cs="Times New Roman"/>
                            <w:bCs/>
                            <w:szCs w:val="24"/>
                          </w:rPr>
                          <w:br/>
                          <w:t>je nepravděpodobné</w:t>
                        </w:r>
                      </w:p>
                    </w:txbxContent>
                  </v:textbox>
                </v:roundrect>
                <v:roundrect id="Obdélník: se zakulacenými rohy 12" o:spid="_x0000_s1038" style="position:absolute;left:6;top:63774;width:16196;height:32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pmKwQAAANsAAAAPAAAAZHJzL2Rvd25yZXYueG1sRE9Na8JA&#10;EL0L/Q/LFLzpxiimRFexBbXQS5oKXsfsmASzsyG7avz33YLQ2zze5yzXvWnEjTpXW1YwGUcgiAur&#10;ay4VHH62ozcQziNrbCyTggc5WK9eBktMtb3zN91yX4oQwi5FBZX3bSqlKyoy6Ma2JQ7c2XYGfYBd&#10;KXWH9xBuGhlH0VwarDk0VNjSR0XFJb8aBe/HQ5bEJpnJXT7NslOcbGj/pdTwtd8sQHjq/b/46f7U&#10;YX4Mf7+EA+TqFwAA//8DAFBLAQItABQABgAIAAAAIQDb4fbL7gAAAIUBAAATAAAAAAAAAAAAAAAA&#10;AAAAAABbQ29udGVudF9UeXBlc10ueG1sUEsBAi0AFAAGAAgAAAAhAFr0LFu/AAAAFQEAAAsAAAAA&#10;AAAAAAAAAAAAHwEAAF9yZWxzLy5yZWxzUEsBAi0AFAAGAAgAAAAhACWGmYrBAAAA2wAAAA8AAAAA&#10;AAAAAAAAAAAABwIAAGRycy9kb3ducmV2LnhtbFBLBQYAAAAAAwADALcAAAD1AgAAAAA=&#10;" fillcolor="#a5a5a5 [3206]" strokecolor="#525252 [1606]" strokeweight="1pt">
                  <v:stroke joinstyle="miter"/>
                  <v:textbox style="mso-fit-shape-to-text:t">
                    <w:txbxContent>
                      <w:p w14:paraId="26107FAB" w14:textId="77777777" w:rsidR="001466B0" w:rsidRPr="00995367" w:rsidRDefault="001466B0" w:rsidP="00432779">
                        <w:pPr>
                          <w:spacing w:line="240" w:lineRule="auto"/>
                          <w:jc w:val="center"/>
                          <w:rPr>
                            <w:rFonts w:cs="Times New Roman"/>
                            <w:szCs w:val="24"/>
                          </w:rPr>
                        </w:pPr>
                        <w:r w:rsidRPr="00995367">
                          <w:rPr>
                            <w:rFonts w:eastAsia="HelveticaCE-Bold" w:cs="Times New Roman"/>
                            <w:bCs/>
                            <w:szCs w:val="24"/>
                          </w:rPr>
                          <w:t>Zvážení jiné diagnózy</w:t>
                        </w:r>
                      </w:p>
                    </w:txbxContent>
                  </v:textbox>
                </v:roundrect>
                <v:roundrect id="Obdélník: se zakulacenými rohy 13" o:spid="_x0000_s1039" style="position:absolute;left:18579;top:57480;width:23592;height:52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jwRwgAAANsAAAAPAAAAZHJzL2Rvd25yZXYueG1sRE9Na8JA&#10;EL0X+h+WKXirm0YxJc1GrKAWeolR6HWanSah2dmQXTX++25B8DaP9znZcjSdONPgWssKXqYRCOLK&#10;6pZrBcfD5vkVhPPIGjvLpOBKDpb540OGqbYX3tO59LUIIexSVNB436dSuqohg25qe+LA/djBoA9w&#10;qKUe8BLCTSfjKFpIgy2HhgZ7WjdU/ZYno+D961gksUnmclvOiuI7Tla0+1Rq8jSu3kB4Gv1dfHN/&#10;6DB/Bv+/hANk/gcAAP//AwBQSwECLQAUAAYACAAAACEA2+H2y+4AAACFAQAAEwAAAAAAAAAAAAAA&#10;AAAAAAAAW0NvbnRlbnRfVHlwZXNdLnhtbFBLAQItABQABgAIAAAAIQBa9CxbvwAAABUBAAALAAAA&#10;AAAAAAAAAAAAAB8BAABfcmVscy8ucmVsc1BLAQItABQABgAIAAAAIQBKyjwRwgAAANsAAAAPAAAA&#10;AAAAAAAAAAAAAAcCAABkcnMvZG93bnJldi54bWxQSwUGAAAAAAMAAwC3AAAA9gIAAAAA&#10;" fillcolor="#a5a5a5 [3206]" strokecolor="#525252 [1606]" strokeweight="1pt">
                  <v:stroke joinstyle="miter"/>
                  <v:textbox style="mso-fit-shape-to-text:t">
                    <w:txbxContent>
                      <w:p w14:paraId="7FCFBB6C" w14:textId="06A81F7E" w:rsidR="001466B0" w:rsidRPr="00995367" w:rsidRDefault="001466B0" w:rsidP="00432779">
                        <w:pPr>
                          <w:spacing w:line="240" w:lineRule="auto"/>
                          <w:jc w:val="center"/>
                          <w:rPr>
                            <w:rFonts w:cs="Times New Roman"/>
                            <w:szCs w:val="24"/>
                          </w:rPr>
                        </w:pPr>
                        <w:r w:rsidRPr="00995367">
                          <w:rPr>
                            <w:rFonts w:eastAsia="HelveticaCE-Bold" w:cs="Times New Roman"/>
                            <w:bCs/>
                            <w:szCs w:val="24"/>
                          </w:rPr>
                          <w:t>Určení etiologie</w:t>
                        </w:r>
                        <w:r w:rsidRPr="00995367">
                          <w:rPr>
                            <w:rFonts w:eastAsia="HelveticaCE-Bold" w:cs="Times New Roman"/>
                            <w:bCs/>
                            <w:szCs w:val="24"/>
                          </w:rPr>
                          <w:br/>
                          <w:t>a</w:t>
                        </w:r>
                        <w:r>
                          <w:rPr>
                            <w:rFonts w:eastAsia="HelveticaCE-Bold" w:cs="Times New Roman"/>
                            <w:bCs/>
                            <w:szCs w:val="24"/>
                          </w:rPr>
                          <w:t> </w:t>
                        </w:r>
                        <w:r w:rsidRPr="00995367">
                          <w:rPr>
                            <w:rFonts w:eastAsia="HelveticaCE-Bold" w:cs="Times New Roman"/>
                            <w:bCs/>
                            <w:szCs w:val="24"/>
                          </w:rPr>
                          <w:t>zahájení léčby</w:t>
                        </w:r>
                      </w:p>
                    </w:txbxContent>
                  </v:textbox>
                </v:roundrect>
                <v:rect id="Obdélník 14" o:spid="_x0000_s1040" style="position:absolute;left:31952;top:23234;width:25553;height:3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f9ExQAAANsAAAAPAAAAZHJzL2Rvd25yZXYueG1sRI9La8Mw&#10;EITvhfwHsYHeGjmlbYITJYQ+wD3mYZPjYm1sE2tlLNV2/eurQiC3XWbm29n1djC16Kh1lWUF81kE&#10;gji3uuJCwen49bQE4TyyxtoyKfglB9vN5GGNsbY976k7+EIECLsYFZTeN7GULi/JoJvZhjhoF9sa&#10;9GFtC6lb7APc1PI5it6kwYrDhRIbei8pvx5+TKB8v6YuW4zZefzsxmQ/P36ki1Gpx+mwW4HwNPi7&#10;+ZZOdKj/Av+/hAHk5g8AAP//AwBQSwECLQAUAAYACAAAACEA2+H2y+4AAACFAQAAEwAAAAAAAAAA&#10;AAAAAAAAAAAAW0NvbnRlbnRfVHlwZXNdLnhtbFBLAQItABQABgAIAAAAIQBa9CxbvwAAABUBAAAL&#10;AAAAAAAAAAAAAAAAAB8BAABfcmVscy8ucmVsc1BLAQItABQABgAIAAAAIQA4Qf9ExQAAANsAAAAP&#10;AAAAAAAAAAAAAAAAAAcCAABkcnMvZG93bnJldi54bWxQSwUGAAAAAAMAAwC3AAAA+QIAAAAA&#10;" filled="f" stroked="f" strokeweight="1pt">
                  <v:textbox style="mso-fit-shape-to-text:t" inset="0,0,0,0">
                    <w:txbxContent>
                      <w:p w14:paraId="07A38BF3" w14:textId="4FD81589" w:rsidR="001466B0" w:rsidRPr="00995367" w:rsidRDefault="001466B0" w:rsidP="00432779">
                        <w:pPr>
                          <w:spacing w:line="240" w:lineRule="auto"/>
                          <w:jc w:val="left"/>
                          <w:rPr>
                            <w:color w:val="000000" w:themeColor="text1"/>
                          </w:rPr>
                        </w:pPr>
                        <w:r w:rsidRPr="00995367">
                          <w:rPr>
                            <w:rFonts w:eastAsia="HelveticaCE-Bold" w:cs="Times New Roman"/>
                            <w:bCs/>
                            <w:color w:val="000000" w:themeColor="text1"/>
                            <w:szCs w:val="24"/>
                          </w:rPr>
                          <w:t>Nebo při silném podezření nebo</w:t>
                        </w:r>
                        <w:r w:rsidRPr="00995367">
                          <w:rPr>
                            <w:rFonts w:eastAsia="HelveticaCE-Bold" w:cs="Times New Roman"/>
                            <w:bCs/>
                            <w:color w:val="000000" w:themeColor="text1"/>
                            <w:szCs w:val="24"/>
                          </w:rPr>
                          <w:br/>
                          <w:t>pokud NT-proBNP/BNP není k</w:t>
                        </w:r>
                        <w:r>
                          <w:rPr>
                            <w:rFonts w:eastAsia="HelveticaCE-Bold" w:cs="Times New Roman"/>
                            <w:bCs/>
                            <w:color w:val="000000" w:themeColor="text1"/>
                            <w:szCs w:val="24"/>
                          </w:rPr>
                          <w:t> </w:t>
                        </w:r>
                        <w:r w:rsidRPr="00995367">
                          <w:rPr>
                            <w:rFonts w:eastAsia="HelveticaCE-Bold" w:cs="Times New Roman"/>
                            <w:bCs/>
                            <w:color w:val="000000" w:themeColor="text1"/>
                            <w:szCs w:val="24"/>
                          </w:rPr>
                          <w:t>dispozici</w:t>
                        </w:r>
                      </w:p>
                    </w:txbxContent>
                  </v:textbox>
                </v:rect>
                <v:oval id="Ovál 15" o:spid="_x0000_s1041" style="position:absolute;left:29020;top:14367;width:2700;height:2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HVcwQAAANsAAAAPAAAAZHJzL2Rvd25yZXYueG1sRE9La8JA&#10;EL4X+h+WEbzpxoqlRFdZI4IX66N6H7PTJDQ7G7Krxn/fLQi9zcf3nNmis7W4UesrxwpGwwQEce5M&#10;xYWC09d68AHCB2SDtWNS8CAPi/nrywxT4+58oNsxFCKGsE9RQRlCk0rp85Is+qFriCP37VqLIcK2&#10;kKbFewy3tXxLkndpseLYUGJDWUn5z/FqFSx3+52+jE22Wn6etd7o8WSbsVL9XqenIAJ14V/8dG9M&#10;nD+Bv1/iAXL+CwAA//8DAFBLAQItABQABgAIAAAAIQDb4fbL7gAAAIUBAAATAAAAAAAAAAAAAAAA&#10;AAAAAABbQ29udGVudF9UeXBlc10ueG1sUEsBAi0AFAAGAAgAAAAhAFr0LFu/AAAAFQEAAAsAAAAA&#10;AAAAAAAAAAAAHwEAAF9yZWxzLy5yZWxzUEsBAi0AFAAGAAgAAAAhAFcgdVzBAAAA2wAAAA8AAAAA&#10;AAAAAAAAAAAABwIAAGRycy9kb3ducmV2LnhtbFBLBQYAAAAAAwADALcAAAD1AgAAAAA=&#10;" fillcolor="#70ad47 [3209]" strokecolor="#1f3763 [1604]" strokeweight="1pt">
                  <v:stroke joinstyle="miter"/>
                  <v:textbox inset="0,0,0,0">
                    <w:txbxContent>
                      <w:p w14:paraId="39E5F7CF" w14:textId="77777777" w:rsidR="001466B0" w:rsidRPr="00995367" w:rsidRDefault="001466B0" w:rsidP="00432779">
                        <w:pPr>
                          <w:spacing w:line="240" w:lineRule="auto"/>
                          <w:jc w:val="center"/>
                          <w:rPr>
                            <w:b/>
                          </w:rPr>
                        </w:pPr>
                        <w:r w:rsidRPr="00995367">
                          <w:rPr>
                            <w:b/>
                          </w:rPr>
                          <w:t>A</w:t>
                        </w:r>
                      </w:p>
                    </w:txbxContent>
                  </v:textbox>
                </v:oval>
                <v:oval id="Ovál 16" o:spid="_x0000_s1042" style="position:absolute;left:10097;top:19288;width:2700;height:2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0/JwQAAANsAAAAPAAAAZHJzL2Rvd25yZXYueG1sRE89a8Mw&#10;EN0L+Q/iAt1qORlMca2ENpCQKVC7ELod1sUSsU7GUhL731eFQrd7vM+rtpPrxZ3GYD0rWGU5COLW&#10;a8udgq9m//IKIkRkjb1nUjBTgO1m8VRhqf2DP+lex06kEA4lKjAxDqWUoTXkMGR+IE7cxY8OY4Jj&#10;J/WIjxTuernO80I6tJwaDA60M9Re65tT0HenW33+ZntYNfPU2OP6bD6cUs/L6f0NRKQp/ov/3Eed&#10;5hfw+0s6QG5+AAAA//8DAFBLAQItABQABgAIAAAAIQDb4fbL7gAAAIUBAAATAAAAAAAAAAAAAAAA&#10;AAAAAABbQ29udGVudF9UeXBlc10ueG1sUEsBAi0AFAAGAAgAAAAhAFr0LFu/AAAAFQEAAAsAAAAA&#10;AAAAAAAAAAAAHwEAAF9yZWxzLy5yZWxzUEsBAi0AFAAGAAgAAAAhABv3T8nBAAAA2wAAAA8AAAAA&#10;AAAAAAAAAAAABwIAAGRycy9kb3ducmV2LnhtbFBLBQYAAAAAAwADALcAAAD1AgAAAAA=&#10;" fillcolor="#c45911 [2405]" strokecolor="#1f3763 [1604]" strokeweight="1pt">
                  <v:stroke joinstyle="miter"/>
                  <v:textbox inset="0,0,0,0">
                    <w:txbxContent>
                      <w:p w14:paraId="03559F8F" w14:textId="77777777" w:rsidR="001466B0" w:rsidRPr="00995367" w:rsidRDefault="001466B0" w:rsidP="00432779">
                        <w:pPr>
                          <w:spacing w:line="240" w:lineRule="auto"/>
                          <w:jc w:val="center"/>
                          <w:rPr>
                            <w:b/>
                          </w:rPr>
                        </w:pPr>
                        <w:r w:rsidRPr="00995367">
                          <w:rPr>
                            <w:b/>
                          </w:rPr>
                          <w:t>N</w:t>
                        </w:r>
                      </w:p>
                    </w:txbxContent>
                  </v:textbox>
                </v:oval>
                <v:oval id="Ovál 17" o:spid="_x0000_s1043" style="position:absolute;left:29020;top:35691;width:2700;height:2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k6wwgAAANsAAAAPAAAAZHJzL2Rvd25yZXYueG1sRE9La8JA&#10;EL4X/A/LCL3VTZW2El1lTRG8WK2P+5idJsHsbMiumv57tyD0Nh/fc6bzztbiSq2vHCt4HSQgiHNn&#10;Ki4UHPbLlzEIH5AN1o5JwS95mM96T1NMjbvxN113oRAxhH2KCsoQmlRKn5dk0Q9cQxy5H9daDBG2&#10;hTQt3mK4reUwSd6lxYpjQ4kNZSXl593FKlhstht9Gpnsc/F11HqlR2/rjJV67nd6AiJQF/7FD/fK&#10;xPkf8PdLPEDO7gAAAP//AwBQSwECLQAUAAYACAAAACEA2+H2y+4AAACFAQAAEwAAAAAAAAAAAAAA&#10;AAAAAAAAW0NvbnRlbnRfVHlwZXNdLnhtbFBLAQItABQABgAIAAAAIQBa9CxbvwAAABUBAAALAAAA&#10;AAAAAAAAAAAAAB8BAABfcmVscy8ucmVsc1BLAQItABQABgAIAAAAIQDIvk6wwgAAANsAAAAPAAAA&#10;AAAAAAAAAAAAAAcCAABkcnMvZG93bnJldi54bWxQSwUGAAAAAAMAAwC3AAAA9gIAAAAA&#10;" fillcolor="#70ad47 [3209]" strokecolor="#1f3763 [1604]" strokeweight="1pt">
                  <v:stroke joinstyle="miter"/>
                  <v:textbox inset="0,0,0,0">
                    <w:txbxContent>
                      <w:p w14:paraId="7C4B23AC" w14:textId="77777777" w:rsidR="001466B0" w:rsidRPr="00995367" w:rsidRDefault="001466B0" w:rsidP="00432779">
                        <w:pPr>
                          <w:spacing w:line="240" w:lineRule="auto"/>
                          <w:jc w:val="center"/>
                          <w:rPr>
                            <w:b/>
                          </w:rPr>
                        </w:pPr>
                        <w:r w:rsidRPr="00995367">
                          <w:rPr>
                            <w:b/>
                          </w:rPr>
                          <w:t>A</w:t>
                        </w:r>
                      </w:p>
                    </w:txbxContent>
                  </v:textbox>
                </v:oval>
                <v:oval id="Ovál 18" o:spid="_x0000_s1044" style="position:absolute;left:10097;top:32123;width:2700;height:2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H4gwwAAANsAAAAPAAAAZHJzL2Rvd25yZXYueG1sRI9BawIx&#10;EIXvQv9DGKE3zeqhlK1RVGjxVOhuQXobNuMmuJksm6jrv+8cBG8zvDfvfbPajKFTVxqSj2xgMS9A&#10;ETfRem4N/Nafs3dQKSNb7CKTgTsl2KxfJissbbzxD12r3CoJ4VSiAZdzX2qdGkcB0zz2xKKd4hAw&#10;yzq02g54k/DQ6WVRvOmAnqXBYU97R825ugQDXft9qY5/7L8W9X2s/WF5dLtgzOt03H6AyjTmp/lx&#10;fbCCL7Dyiwyg1/8AAAD//wMAUEsBAi0AFAAGAAgAAAAhANvh9svuAAAAhQEAABMAAAAAAAAAAAAA&#10;AAAAAAAAAFtDb250ZW50X1R5cGVzXS54bWxQSwECLQAUAAYACAAAACEAWvQsW78AAAAVAQAACwAA&#10;AAAAAAAAAAAAAAAfAQAAX3JlbHMvLnJlbHNQSwECLQAUAAYACAAAACEABSR+IMMAAADbAAAADwAA&#10;AAAAAAAAAAAAAAAHAgAAZHJzL2Rvd25yZXYueG1sUEsFBgAAAAADAAMAtwAAAPcCAAAAAA==&#10;" fillcolor="#c45911 [2405]" strokecolor="#1f3763 [1604]" strokeweight="1pt">
                  <v:stroke joinstyle="miter"/>
                  <v:textbox inset="0,0,0,0">
                    <w:txbxContent>
                      <w:p w14:paraId="664B7C8C" w14:textId="77777777" w:rsidR="001466B0" w:rsidRPr="00995367" w:rsidRDefault="001466B0" w:rsidP="00432779">
                        <w:pPr>
                          <w:spacing w:line="240" w:lineRule="auto"/>
                          <w:jc w:val="center"/>
                          <w:rPr>
                            <w:b/>
                          </w:rPr>
                        </w:pPr>
                        <w:r w:rsidRPr="00995367">
                          <w:rPr>
                            <w:b/>
                          </w:rPr>
                          <w:t>N</w:t>
                        </w:r>
                      </w:p>
                    </w:txbxContent>
                  </v:textbox>
                </v:oval>
                <v:shapetype id="_x0000_t32" coordsize="21600,21600" o:spt="32" o:oned="t" path="m,l21600,21600e" filled="f">
                  <v:path arrowok="t" fillok="f" o:connecttype="none"/>
                  <o:lock v:ext="edit" shapetype="t"/>
                </v:shapetype>
                <v:shape id="Přímá spojnice se šipkou 19" o:spid="_x0000_s1045" type="#_x0000_t32" style="position:absolute;left:30368;top:3191;width:1;height:16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V7TxAAAANsAAAAPAAAAZHJzL2Rvd25yZXYueG1sRE9NT8JA&#10;EL2b8B82Y+KFyBYFI4WFYImJV8DEept0h26lO1u7ayn8eteExNu8vM9ZrHpbi45aXzlWMB4lIIgL&#10;pysuFbzvX++fQfiArLF2TArO5GG1HNwsMNXuxFvqdqEUMYR9igpMCE0qpS8MWfQj1xBH7uBaiyHC&#10;tpS6xVMMt7V8SJInabHi2GCwocxQcdz9WAWfh6nuXrJNVZg8e/wYTi7fX/lGqbvbfj0HEagP/+Kr&#10;+03H+TP4+yUeIJe/AAAA//8DAFBLAQItABQABgAIAAAAIQDb4fbL7gAAAIUBAAATAAAAAAAAAAAA&#10;AAAAAAAAAABbQ29udGVudF9UeXBlc10ueG1sUEsBAi0AFAAGAAgAAAAhAFr0LFu/AAAAFQEAAAsA&#10;AAAAAAAAAAAAAAAAHwEAAF9yZWxzLy5yZWxzUEsBAi0AFAAGAAgAAAAhAEPZXtPEAAAA2wAAAA8A&#10;AAAAAAAAAAAAAAAABwIAAGRycy9kb3ducmV2LnhtbFBLBQYAAAAAAwADALcAAAD4AgAAAAA=&#10;" strokecolor="#4472c4 [3204]" strokeweight=".5pt">
                  <v:stroke endarrow="block" joinstyle="miter"/>
                </v:shape>
                <v:line id="Přímá spojnice 20" o:spid="_x0000_s1046" style="position:absolute;visibility:visible;mso-wrap-style:square" from="30368,13776" to="30370,14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UqIwQAAANsAAAAPAAAAZHJzL2Rvd25yZXYueG1sRE/Pa8Iw&#10;FL4P9j+EJ3ibqRU6qUaRgWMnYU4PvT2a16bavHRN1tb/fjkMdvz4fm/3k23FQL1vHCtYLhIQxKXT&#10;DdcKLl/HlzUIH5A1to5JwYM87HfPT1vMtRv5k4ZzqEUMYZ+jAhNCl0vpS0MW/cJ1xJGrXG8xRNjX&#10;Uvc4xnDbyjRJMmmx4dhgsKM3Q+X9/GMVfGN5JFtc34dkNMMqq7rT661Qaj6bDhsQgabwL/5zf2gF&#10;aVwfv8QfIHe/AAAA//8DAFBLAQItABQABgAIAAAAIQDb4fbL7gAAAIUBAAATAAAAAAAAAAAAAAAA&#10;AAAAAABbQ29udGVudF9UeXBlc10ueG1sUEsBAi0AFAAGAAgAAAAhAFr0LFu/AAAAFQEAAAsAAAAA&#10;AAAAAAAAAAAAHwEAAF9yZWxzLy5yZWxzUEsBAi0AFAAGAAgAAAAhAJ0xSojBAAAA2wAAAA8AAAAA&#10;AAAAAAAAAAAABwIAAGRycy9kb3ducmV2LnhtbFBLBQYAAAAAAwADALcAAAD1AgAAAAA=&#10;" strokecolor="#4472c4 [3204]" strokeweight=".5pt">
                  <v:stroke joinstyle="miter"/>
                </v:line>
                <v:shape id="Přímá spojnice se šipkou 21" o:spid="_x0000_s1047" type="#_x0000_t32" style="position:absolute;left:30365;top:17067;width:2;height:10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5hoxQAAANsAAAAPAAAAZHJzL2Rvd25yZXYueG1sRI9Ba8JA&#10;FITvhf6H5Qleim60VSS6Shsp9FoV1Nsj+8xGs2/T7BrT/vquUOhxmJlvmMWqs5VoqfGlYwWjYQKC&#10;OHe65ELBbvs+mIHwAVlj5ZgUfJOH1fLxYYGpdjf+pHYTChEh7FNUYEKoUyl9bsiiH7qaOHon11gM&#10;UTaF1A3eItxWcpwkU2mx5LhgsKbMUH7ZXK2C42mi27dsXebmkD3vn15+vs6HtVL9Xvc6BxGoC//h&#10;v/aHVjAewf1L/AFy+QsAAP//AwBQSwECLQAUAAYACAAAACEA2+H2y+4AAACFAQAAEwAAAAAAAAAA&#10;AAAAAAAAAAAAW0NvbnRlbnRfVHlwZXNdLnhtbFBLAQItABQABgAIAAAAIQBa9CxbvwAAABUBAAAL&#10;AAAAAAAAAAAAAAAAAB8BAABfcmVscy8ucmVsc1BLAQItABQABgAIAAAAIQBzw5hoxQAAANsAAAAP&#10;AAAAAAAAAAAAAAAAAAcCAABkcnMvZG93bnJldi54bWxQSwUGAAAAAAMAAwC3AAAA+QIAAAAA&#10;" strokecolor="#4472c4 [3204]" strokeweight=".5pt">
                  <v:stroke endarrow="block" joinstyle="miter"/>
                </v:shape>
                <v:shape id="Přímá spojnice se šipkou 22" o:spid="_x0000_s1048" type="#_x0000_t32" style="position:absolute;left:30366;top:23393;width:6;height:36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S16wgAAANsAAAAPAAAAZHJzL2Rvd25yZXYueG1sRI9Pa8JA&#10;EMXvhX6HZQq9iG4Mtmh0lVIo7dXUFo9DdswGs7MhO9X47buC4PHx/vx4q83gW3WiPjaBDUwnGSji&#10;KtiGawO774/xHFQUZIttYDJwoQib9ePDCgsbzrylUym1SiMcCzTgRLpC61g58hgnoSNO3iH0HiXJ&#10;vta2x3Ma963Os+xVe2w4ERx29O6oOpZ/PnFpl4/Kl9FidvzEn/2vk8tsKsY8Pw1vS1BCg9zDt/aX&#10;NZDncP2SfoBe/wMAAP//AwBQSwECLQAUAAYACAAAACEA2+H2y+4AAACFAQAAEwAAAAAAAAAAAAAA&#10;AAAAAAAAW0NvbnRlbnRfVHlwZXNdLnhtbFBLAQItABQABgAIAAAAIQBa9CxbvwAAABUBAAALAAAA&#10;AAAAAAAAAAAAAB8BAABfcmVscy8ucmVsc1BLAQItABQABgAIAAAAIQBVzS16wgAAANsAAAAPAAAA&#10;AAAAAAAAAAAAAAcCAABkcnMvZG93bnJldi54bWxQSwUGAAAAAAMAAwC3AAAA9gIAAAAA&#10;" strokecolor="#4472c4 [3204]" strokeweight=".5pt">
                  <v:stroke endarrow="block" joinstyle="miter"/>
                </v:shape>
                <v:shape id="Přímá spojnice se šipkou 23" o:spid="_x0000_s1049" type="#_x0000_t32" style="position:absolute;left:30372;top:30262;width:0;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YjhwwAAANsAAAAPAAAAZHJzL2Rvd25yZXYueG1sRI9Pa8JA&#10;EMXvQr/DMoVepG5MtbSpq5RCqVejLT0O2Wk2mJ0N2anGb+8KgsfH+/PjLVaDb9WB+tgENjCdZKCI&#10;q2Abrg3stp+PL6CiIFtsA5OBE0VYLe9GCyxsOPKGDqXUKo1wLNCAE+kKrWPlyGOchI44eX+h9yhJ&#10;9rW2PR7TuG91nmXP2mPDieCwow9H1b7894lLu3xczsevs/0Xfv/+ODnNpmLMw/3w/gZKaJBb+Npe&#10;WwP5E1y+pB+gl2cAAAD//wMAUEsBAi0AFAAGAAgAAAAhANvh9svuAAAAhQEAABMAAAAAAAAAAAAA&#10;AAAAAAAAAFtDb250ZW50X1R5cGVzXS54bWxQSwECLQAUAAYACAAAACEAWvQsW78AAAAVAQAACwAA&#10;AAAAAAAAAAAAAAAfAQAAX3JlbHMvLnJlbHNQSwECLQAUAAYACAAAACEAOoGI4cMAAADbAAAADwAA&#10;AAAAAAAAAAAAAAAHAgAAZHJzL2Rvd25yZXYueG1sUEsFBgAAAAADAAMAtwAAAPcCAAAAAA==&#10;" strokecolor="#4472c4 [3204]" strokeweight=".5pt">
                  <v:stroke endarrow="block" joinstyle="miter"/>
                </v:shape>
                <v:shape id="Přímá spojnice se šipkou 24" o:spid="_x0000_s1050" type="#_x0000_t32" style="position:absolute;left:30370;top:38391;width:3;height:10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BCVwgAAANsAAAAPAAAAZHJzL2Rvd25yZXYueG1sRI9Pa8JA&#10;EMXvBb/DMkIvUjeGVNrUVUqhtFejLT0O2Wk2mJ0N2anGb98VBI+P9+fHW21G36kjDbENbGAxz0AR&#10;18G23BjY794fnkBFQbbYBSYDZ4qwWU/uVljacOItHStpVBrhWKIBJ9KXWsfakcc4Dz1x8n7D4FGS&#10;HBptBzylcd/pPMuW2mPLieCwpzdH9aH684lL+3xWPc6ei8MHfv18OzkXCzHmfjq+voASGuUWvrY/&#10;rYG8gMuX9AP0+h8AAP//AwBQSwECLQAUAAYACAAAACEA2+H2y+4AAACFAQAAEwAAAAAAAAAAAAAA&#10;AAAAAAAAW0NvbnRlbnRfVHlwZXNdLnhtbFBLAQItABQABgAIAAAAIQBa9CxbvwAAABUBAAALAAAA&#10;AAAAAAAAAAAAAB8BAABfcmVscy8ucmVsc1BLAQItABQABgAIAAAAIQC1aBCVwgAAANsAAAAPAAAA&#10;AAAAAAAAAAAAAAcCAABkcnMvZG93bnJldi54bWxQSwUGAAAAAAMAAwC3AAAA9gIAAAAA&#10;" strokecolor="#4472c4 [3204]" strokeweight=".5pt">
                  <v:stroke endarrow="block" joinstyle="miter"/>
                </v:shape>
                <v:shape id="Přímá spojnice se šipkou 25" o:spid="_x0000_s1051" type="#_x0000_t32" style="position:absolute;left:30369;top:48535;width:7;height:18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5rxQAAANsAAAAPAAAAZHJzL2Rvd25yZXYueG1sRI9Ba8JA&#10;FITvhf6H5Qleim6qVUrqKjUieK0VtLdH9plNzb5Ns2uM/vquUOhxmJlvmNmis5VoqfGlYwXPwwQE&#10;ce50yYWC3ed68ArCB2SNlWNScCUPi/njwwxT7S78Qe02FCJC2KeowIRQp1L63JBFP3Q1cfSOrrEY&#10;omwKqRu8RLit5ChJptJiyXHBYE2Zofy0PVsFX8eJbpfZqszNIRvvn15uP9+HlVL9Xvf+BiJQF/7D&#10;f+2NVjCawP1L/AFy/gsAAP//AwBQSwECLQAUAAYACAAAACEA2+H2y+4AAACFAQAAEwAAAAAAAAAA&#10;AAAAAAAAAAAAW0NvbnRlbnRfVHlwZXNdLnhtbFBLAQItABQABgAIAAAAIQBa9CxbvwAAABUBAAAL&#10;AAAAAAAAAAAAAAAAAB8BAABfcmVscy8ucmVsc1BLAQItABQABgAIAAAAIQAM+J5rxQAAANsAAAAP&#10;AAAAAAAAAAAAAAAAAAcCAABkcnMvZG93bnJldi54bWxQSwUGAAAAAAMAAwC3AAAA+QIAAAAA&#10;" strokecolor="#4472c4 [3204]"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pojnice: pravoúhlá 26" o:spid="_x0000_s1052" type="#_x0000_t34" style="position:absolute;left:24711;top:44709;width:1839;height:949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9RAwgAAANsAAAAPAAAAZHJzL2Rvd25yZXYueG1sRI9LiwIx&#10;EITvgv8htOBNM46uuLNGEVEQ9+SD3Wsz6XngpDNMoo7/3giCx6KqvqLmy9ZU4kaNKy0rGA0jEMSp&#10;1SXnCs6n7WAGwnlkjZVlUvAgB8tFtzPHRNs7H+h29LkIEHYJKii8rxMpXVqQQTe0NXHwMtsY9EE2&#10;udQN3gPcVDKOoqk0WHJYKLCmdUHp5Xg1CrYT95V/j+vNf/bnM5qdzf53HyvV77WrHxCeWv8Jv9s7&#10;rSCewutL+AFy8QQAAP//AwBQSwECLQAUAAYACAAAACEA2+H2y+4AAACFAQAAEwAAAAAAAAAAAAAA&#10;AAAAAAAAW0NvbnRlbnRfVHlwZXNdLnhtbFBLAQItABQABgAIAAAAIQBa9CxbvwAAABUBAAALAAAA&#10;AAAAAAAAAAAAAB8BAABfcmVscy8ucmVsc1BLAQItABQABgAIAAAAIQCL19RAwgAAANsAAAAPAAAA&#10;AAAAAAAAAAAAAAcCAABkcnMvZG93bnJldi54bWxQSwUGAAAAAAMAAwC3AAAA9gIAAAAA&#10;" strokecolor="#4472c4 [3204]" strokeweight=".5pt">
                  <v:stroke endarrow="block"/>
                </v:shape>
                <v:shape id="Spojnice: pravoúhlá 27" o:spid="_x0000_s1053" type="#_x0000_t34" style="position:absolute;left:34239;top:44672;width:1833;height:955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ZcHxAAAANsAAAAPAAAAZHJzL2Rvd25yZXYueG1sRI9Ba8JA&#10;FITvhf6H5RV6q5sGaSW6hmAQvFal1Nsj+5pEs2/X7BqTf98tFHocZuYbZpWPphMD9b61rOB1loAg&#10;rqxuuVZwPGxfFiB8QNbYWSYFE3nI148PK8y0vfMHDftQiwhhn6GCJgSXSemrhgz6mXXE0fu2vcEQ&#10;ZV9L3eM9wk0n0yR5kwZbjgsNOto0VF32N6Ng/lVMVyfH6XI8nd2nXpTlcD4o9fw0FksQgcbwH/5r&#10;77SC9B1+v8QfINc/AAAA//8DAFBLAQItABQABgAIAAAAIQDb4fbL7gAAAIUBAAATAAAAAAAAAAAA&#10;AAAAAAAAAABbQ29udGVudF9UeXBlc10ueG1sUEsBAi0AFAAGAAgAAAAhAFr0LFu/AAAAFQEAAAsA&#10;AAAAAAAAAAAAAAAAHwEAAF9yZWxzLy5yZWxzUEsBAi0AFAAGAAgAAAAhAFIhlwfEAAAA2wAAAA8A&#10;AAAAAAAAAAAAAAAABwIAAGRycy9kb3ducmV2LnhtbFBLBQYAAAAAAwADALcAAAD4AgAAAAA=&#10;" strokecolor="#4472c4 [3204]" strokeweight=".5pt">
                  <v:stroke endarrow="block"/>
                </v:shape>
                <v:shape id="Spojnice: pravoúhlá 28" o:spid="_x0000_s1054" type="#_x0000_t34" style="position:absolute;left:24600;top:51711;width:2065;height:948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gN1vwAAANsAAAAPAAAAZHJzL2Rvd25yZXYueG1sRE/LisIw&#10;FN0L8w/hDrjTVBlEOqYiyoDbURHdXZo7fdjcZJpY2783C8Hl4bxX6940oqPWV5YVzKYJCOLc6ooL&#10;Bafjz2QJwgdkjY1lUjCQh3X2MVphqu2Df6k7hELEEPYpKihDcKmUPi/JoJ9aRxy5P9saDBG2hdQt&#10;PmK4aeQ8SRbSYMWxoURH25Ly2+FuFHxdNsO/k/1wO11rd9bL3a6rj0qNP/vNN4hAfXiLX+69VjCP&#10;Y+OX+ANk9gQAAP//AwBQSwECLQAUAAYACAAAACEA2+H2y+4AAACFAQAAEwAAAAAAAAAAAAAAAAAA&#10;AAAAW0NvbnRlbnRfVHlwZXNdLnhtbFBLAQItABQABgAIAAAAIQBa9CxbvwAAABUBAAALAAAAAAAA&#10;AAAAAAAAAB8BAABfcmVscy8ucmVsc1BLAQItABQABgAIAAAAIQAjvgN1vwAAANsAAAAPAAAAAAAA&#10;AAAAAAAAAAcCAABkcnMvZG93bnJldi54bWxQSwUGAAAAAAMAAwC3AAAA8wIAAAAA&#10;" strokecolor="#4472c4 [3204]" strokeweight=".5pt">
                  <v:stroke endarrow="block"/>
                </v:shape>
                <v:shape id="Spojnice: pravoúhlá 29" o:spid="_x0000_s1055" type="#_x0000_t34" style="position:absolute;left:34121;top:51670;width:2072;height:956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EAywgAAANsAAAAPAAAAZHJzL2Rvd25yZXYueG1sRI9LiwIx&#10;EITvC/6H0MLeNOO4io5GEVFY9OQDvTaTngdOOsMk6uy/N4Kwx6KqvqLmy9ZU4kGNKy0rGPQjEMSp&#10;1SXnCs6nbW8CwnlkjZVlUvBHDpaLztccE22ffKDH0eciQNglqKDwvk6kdGlBBl3f1sTBy2xj0AfZ&#10;5FI3+AxwU8k4isbSYMlhocCa1gWlt+PdKNj+uFE+Hdaba3bxGU3OZrffxUp9d9vVDISn1v+HP+1f&#10;rSCewvtL+AFy8QIAAP//AwBQSwECLQAUAAYACAAAACEA2+H2y+4AAACFAQAAEwAAAAAAAAAAAAAA&#10;AAAAAAAAW0NvbnRlbnRfVHlwZXNdLnhtbFBLAQItABQABgAIAAAAIQBa9CxbvwAAABUBAAALAAAA&#10;AAAAAAAAAAAAAB8BAABfcmVscy8ucmVsc1BLAQItABQABgAIAAAAIQD6SEAywgAAANsAAAAPAAAA&#10;AAAAAAAAAAAAAAcCAABkcnMvZG93bnJldi54bWxQSwUGAAAAAAMAAwC3AAAA9gIAAAAA&#10;" strokecolor="#4472c4 [3204]" strokeweight=".5pt">
                  <v:stroke endarrow="block"/>
                </v:shape>
                <v:shape id="Přímá spojnice se šipkou 30" o:spid="_x0000_s1056" type="#_x0000_t32" style="position:absolute;left:30371;top:55422;width:5;height:20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oBLwAAAANsAAAAPAAAAZHJzL2Rvd25yZXYueG1sRE9NS8NA&#10;EL0L/Q/LCF6K3bTWorHbUgTRq7EVj0N2zIZmZ0N2bNN/7xwEj4/3vd6OsTMnGnKb2MF8VoAhrpNv&#10;uXGw/3i5fQCTBdljl5gcXCjDdjO5WmPp05nf6VRJYzSEc4kOgkhfWpvrQBHzLPXEyn2nIaIoHBrr&#10;BzxreOzsoihWNmLL2hCwp+dA9bH6idpL+8W0up8+Lo+vePj6DHJZzsW5m+tx9wRGaJR/8Z/7zTu4&#10;0/X6RX+A3fwCAAD//wMAUEsBAi0AFAAGAAgAAAAhANvh9svuAAAAhQEAABMAAAAAAAAAAAAAAAAA&#10;AAAAAFtDb250ZW50X1R5cGVzXS54bWxQSwECLQAUAAYACAAAACEAWvQsW78AAAAVAQAACwAAAAAA&#10;AAAAAAAAAAAfAQAAX3JlbHMvLnJlbHNQSwECLQAUAAYACAAAACEAT4qAS8AAAADbAAAADwAAAAAA&#10;AAAAAAAAAAAHAgAAZHJzL2Rvd25yZXYueG1sUEsFBgAAAAADAAMAtwAAAPQCAAAAAA==&#10;" strokecolor="#4472c4 [3204]" strokeweight=".5pt">
                  <v:stroke endarrow="block" joinstyle="miter"/>
                </v:shape>
                <v:shape id="Přímá spojnice se šipkou 31" o:spid="_x0000_s1057" type="#_x0000_t32" style="position:absolute;left:8106;top:62516;width:0;height:12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iXQwwAAANsAAAAPAAAAZHJzL2Rvd25yZXYueG1sRI9Pa8JA&#10;EMXvQr/DMoVeRDexttjUVUqh1KupFY9DdpoNZmdDdqrx27uFgsfH+/PjLdeDb9WJ+tgENpBPM1DE&#10;VbAN1wZ2Xx+TBagoyBbbwGTgQhHWq7vREgsbzrylUym1SiMcCzTgRLpC61g58hinoSNO3k/oPUqS&#10;fa1tj+c07ls9y7Jn7bHhRHDY0buj6lj++sSl3WxcPo1f5sdP/D7snVzmuRjzcD+8vYISGuQW/m9v&#10;rIHHHP6+pB+gV1cAAAD//wMAUEsBAi0AFAAGAAgAAAAhANvh9svuAAAAhQEAABMAAAAAAAAAAAAA&#10;AAAAAAAAAFtDb250ZW50X1R5cGVzXS54bWxQSwECLQAUAAYACAAAACEAWvQsW78AAAAVAQAACwAA&#10;AAAAAAAAAAAAAAAfAQAAX3JlbHMvLnJlbHNQSwECLQAUAAYACAAAACEAIMYl0MMAAADbAAAADwAA&#10;AAAAAAAAAAAAAAAHAgAAZHJzL2Rvd25yZXYueG1sUEsFBgAAAAADAAMAtwAAAPcCAAAAAA==&#10;" strokecolor="#4472c4 [3204]" strokeweight=".5pt">
                  <v:stroke endarrow="block" joinstyle="miter"/>
                </v:shape>
                <v:line id="Přímá spojnice 32" o:spid="_x0000_s1058" style="position:absolute;flip:x;visibility:visible;mso-wrap-style:square" from="30370,35028" to="30373,35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Hu+xQAAANsAAAAPAAAAZHJzL2Rvd25yZXYueG1sRI9Ba8JA&#10;FITvBf/D8gRvzUZFSVPXUEoFQSpom4O3Z/Y1ic2+Ddk1pv++WxB6HGbmG2aVDaYRPXWutqxgGsUg&#10;iAuray4VfH5sHhMQziNrbCyTgh9ykK1HDytMtb3xgfqjL0WAsEtRQeV9m0rpiooMusi2xMH7sp1B&#10;H2RXSt3hLcBNI2dxvJQGaw4LFbb0WlHxfbwaBRv9fubkye1Pua2Xu+2lzd8WC6Um4+HlGYSnwf+H&#10;7+2tVjCfwd+X8APk+hcAAP//AwBQSwECLQAUAAYACAAAACEA2+H2y+4AAACFAQAAEwAAAAAAAAAA&#10;AAAAAAAAAAAAW0NvbnRlbnRfVHlwZXNdLnhtbFBLAQItABQABgAIAAAAIQBa9CxbvwAAABUBAAAL&#10;AAAAAAAAAAAAAAAAAB8BAABfcmVscy8ucmVsc1BLAQItABQABgAIAAAAIQDwpHu+xQAAANsAAAAP&#10;AAAAAAAAAAAAAAAAAAcCAABkcnMvZG93bnJldi54bWxQSwUGAAAAAAMAAwC3AAAA+QIAAAAA&#10;" strokecolor="#4472c4 [3204]" strokeweight=".5pt">
                  <v:stroke joinstyle="miter"/>
                </v:line>
                <v:line id="Přímá spojnice 33" o:spid="_x0000_s1059" style="position:absolute;flip:x y;visibility:visible;mso-wrap-style:square" from="12797,33473" to="18674,33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2lfxAAAANsAAAAPAAAAZHJzL2Rvd25yZXYueG1sRI/NasMw&#10;EITvhb6D2EIvpZHSUGOcKCEEAs0hh/zdF2trm1grR1Jjp09fBQI9DjPzDTNbDLYVV/KhcaxhPFIg&#10;iEtnGq40HA/r9xxEiMgGW8ek4UYBFvPnpxkWxvW8o+s+ViJBOBSooY6xK6QMZU0Ww8h1xMn7dt5i&#10;TNJX0njsE9y28kOpTFpsOC3U2NGqpvK8/7EaNvT72bydxtu8Ur1b55eLz1Sm9evLsJyCiDTE//Cj&#10;/WU0TCZw/5J+gJz/AQAA//8DAFBLAQItABQABgAIAAAAIQDb4fbL7gAAAIUBAAATAAAAAAAAAAAA&#10;AAAAAAAAAABbQ29udGVudF9UeXBlc10ueG1sUEsBAi0AFAAGAAgAAAAhAFr0LFu/AAAAFQEAAAsA&#10;AAAAAAAAAAAAAAAAHwEAAF9yZWxzLy5yZWxzUEsBAi0AFAAGAAgAAAAhADhraV/EAAAA2wAAAA8A&#10;AAAAAAAAAAAAAAAABwIAAGRycy9kb3ducmV2LnhtbFBLBQYAAAAAAwADALcAAAD4AgAAAAA=&#10;" strokecolor="#4472c4 [3204]" strokeweight=".5pt">
                  <v:stroke joinstyle="miter"/>
                </v:line>
                <v:line id="Přímá spojnice 34" o:spid="_x0000_s1060" style="position:absolute;flip:x y;visibility:visible;mso-wrap-style:square" from="12797,20638" to="18668,20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vErxAAAANsAAAAPAAAAZHJzL2Rvd25yZXYueG1sRI/NasMw&#10;EITvhbyD2EAvpZHyZ4wbJZRCoDnkkKS9L9bWNrVWjqTEbp8+KhRyHGbmG2a1GWwrruRD41jDdKJA&#10;EJfONFxp+Dhtn3MQISIbbB2Thh8KsFmPHlZYGNfzga7HWIkE4VCghjrGrpAylDVZDBPXESfvy3mL&#10;MUlfSeOxT3DbyplSmbTYcFqosaO3msrv48Vq2NHvsnn6nO7zSvVum5/PPlOZ1o/j4fUFRKQh3sP/&#10;7XejYb6Avy/pB8j1DQAA//8DAFBLAQItABQABgAIAAAAIQDb4fbL7gAAAIUBAAATAAAAAAAAAAAA&#10;AAAAAAAAAABbQ29udGVudF9UeXBlc10ueG1sUEsBAi0AFAAGAAgAAAAhAFr0LFu/AAAAFQEAAAsA&#10;AAAAAAAAAAAAAAAAHwEAAF9yZWxzLy5yZWxzUEsBAi0AFAAGAAgAAAAhALeC8SvEAAAA2wAAAA8A&#10;AAAAAAAAAAAAAAAABwIAAGRycy9kb3ducmV2LnhtbFBLBQYAAAAAAwADALcAAAD4AgAAAAA=&#10;" strokecolor="#4472c4 [3204]" strokeweight=".5pt">
                  <v:stroke joinstyle="miter"/>
                </v:line>
                <v:shapetype id="_x0000_t33" coordsize="21600,21600" o:spt="33" o:oned="t" path="m,l21600,r,21600e" filled="f">
                  <v:stroke joinstyle="miter"/>
                  <v:path arrowok="t" fillok="f" o:connecttype="none"/>
                  <o:lock v:ext="edit" shapetype="t"/>
                </v:shapetype>
                <v:shape id="Spojnice: pravoúhlá 35" o:spid="_x0000_s1061" type="#_x0000_t33" style="position:absolute;left:8106;top:20638;width:1991;height:3683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uJ8wwAAANsAAAAPAAAAZHJzL2Rvd25yZXYueG1sRI9Bi8Iw&#10;FITvwv6H8Ba8aaqiuNUoZVH0IMi6e/H2aJ5tsXnpNrGt/94IgsdhZr5hluvOlKKh2hWWFYyGEQji&#10;1OqCMwV/v9vBHITzyBpLy6TgTg7Wq4/eEmNtW/6h5uQzESDsYlSQe1/FUro0J4NuaCvi4F1sbdAH&#10;WWdS19gGuCnlOIpm0mDBYSHHir5zSq+nm1Fw/S+rc5Eemum9oYQ2x/lXtHNK9T+7ZAHCU+ff4Vd7&#10;rxVMpvD8En6AXD0AAAD//wMAUEsBAi0AFAAGAAgAAAAhANvh9svuAAAAhQEAABMAAAAAAAAAAAAA&#10;AAAAAAAAAFtDb250ZW50X1R5cGVzXS54bWxQSwECLQAUAAYACAAAACEAWvQsW78AAAAVAQAACwAA&#10;AAAAAAAAAAAAAAAfAQAAX3JlbHMvLnJlbHNQSwECLQAUAAYACAAAACEAz7rifMMAAADbAAAADwAA&#10;AAAAAAAAAAAAAAAHAgAAZHJzL2Rvd25yZXYueG1sUEsFBgAAAAADAAMAtwAAAPcCAAAAAA==&#10;" strokecolor="#4472c4 [3204]" strokeweight=".5pt">
                  <v:stroke endarrow="block"/>
                </v:shape>
                <v:shape id="Spojnice: pravoúhlá 36" o:spid="_x0000_s1062" type="#_x0000_t33" style="position:absolute;left:8106;top:33473;width:1991;height:24004;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wLwwAAANsAAAAPAAAAZHJzL2Rvd25yZXYueG1sRI9Bi8Iw&#10;FITvC/sfwlvwtqYqiluNUkTRgyDr7sXbo3m2xealNrGt/94IgsdhZr5h5svOlKKh2hWWFQz6EQji&#10;1OqCMwX/f5vvKQjnkTWWlknBnRwsF58fc4y1bfmXmqPPRICwi1FB7n0VS+nSnAy6vq2Ig3e2tUEf&#10;ZJ1JXWMb4KaUwyiaSIMFh4UcK1rllF6ON6Pgci2rU5Hum/G9oYTWh+lPtHVK9b66ZAbCU+ff4Vd7&#10;pxWMJvD8En6AXDwAAAD//wMAUEsBAi0AFAAGAAgAAAAhANvh9svuAAAAhQEAABMAAAAAAAAAAAAA&#10;AAAAAAAAAFtDb250ZW50X1R5cGVzXS54bWxQSwECLQAUAAYACAAAACEAWvQsW78AAAAVAQAACwAA&#10;AAAAAAAAAAAAAAAfAQAAX3JlbHMvLnJlbHNQSwECLQAUAAYACAAAACEAP2h8C8MAAADbAAAADwAA&#10;AAAAAAAAAAAAAAAHAgAAZHJzL2Rvd25yZXYueG1sUEsFBgAAAAADAAMAtwAAAPcCAAAAAA==&#10;" strokecolor="#4472c4 [3204]" strokeweight=".5pt">
                  <v:stroke endarrow="block"/>
                </v:shape>
                <w10:anchorlock/>
              </v:group>
            </w:pict>
          </mc:Fallback>
        </mc:AlternateContent>
      </w:r>
    </w:p>
    <w:p w14:paraId="7DCA9F3F" w14:textId="77777777" w:rsidR="00432779" w:rsidRPr="00D4761A" w:rsidRDefault="00432779" w:rsidP="00597804"/>
    <w:p w14:paraId="37559D81" w14:textId="2351CC3B" w:rsidR="00AF5A33" w:rsidRPr="00D4761A" w:rsidRDefault="00AF5A33" w:rsidP="00672ED4">
      <w:pPr>
        <w:pStyle w:val="Nadpis20"/>
      </w:pPr>
      <w:bookmarkStart w:id="7" w:name="_Toc120547425"/>
      <w:r w:rsidRPr="00D4761A">
        <w:lastRenderedPageBreak/>
        <w:t>Farmakoterapie chronického srdečního selhání se sníženou ejekční frakcí (HFrEF)</w:t>
      </w:r>
      <w:bookmarkEnd w:id="7"/>
    </w:p>
    <w:p w14:paraId="6A881FDF" w14:textId="37CF2152" w:rsidR="00AF5A33" w:rsidRPr="00D4761A" w:rsidRDefault="00AF5A33" w:rsidP="00672ED4">
      <w:pPr>
        <w:pStyle w:val="Nadpis30"/>
      </w:pPr>
      <w:bookmarkStart w:id="8" w:name="_Toc120547426"/>
      <w:r w:rsidRPr="00D4761A">
        <w:t>Diuretika</w:t>
      </w:r>
      <w:bookmarkEnd w:id="8"/>
    </w:p>
    <w:p w14:paraId="411A08C7" w14:textId="1712D430" w:rsidR="00597804" w:rsidRPr="00D4761A" w:rsidRDefault="00AF5A33" w:rsidP="00672ED4">
      <w:pPr>
        <w:ind w:firstLine="708"/>
        <w:rPr>
          <w:rFonts w:cstheme="minorHAnsi"/>
          <w:szCs w:val="24"/>
        </w:rPr>
      </w:pPr>
      <w:r w:rsidRPr="00D4761A">
        <w:rPr>
          <w:rFonts w:cstheme="minorHAnsi"/>
          <w:szCs w:val="24"/>
        </w:rPr>
        <w:t>Kličková diuretika reprezentuje v České republice jediná účinná látka</w:t>
      </w:r>
      <w:r w:rsidR="00153F02" w:rsidRPr="00D4761A">
        <w:rPr>
          <w:rFonts w:cstheme="minorHAnsi"/>
          <w:szCs w:val="24"/>
        </w:rPr>
        <w:t xml:space="preserve"> </w:t>
      </w:r>
      <w:r w:rsidR="00672ED4" w:rsidRPr="00D4761A">
        <w:rPr>
          <w:rFonts w:cstheme="minorHAnsi"/>
          <w:szCs w:val="24"/>
        </w:rPr>
        <w:t>a </w:t>
      </w:r>
      <w:r w:rsidRPr="00D4761A">
        <w:rPr>
          <w:rFonts w:cstheme="minorHAnsi"/>
          <w:szCs w:val="24"/>
        </w:rPr>
        <w:t>to</w:t>
      </w:r>
      <w:r w:rsidR="00D401D9" w:rsidRPr="00D4761A">
        <w:rPr>
          <w:rFonts w:cstheme="minorHAnsi"/>
          <w:szCs w:val="24"/>
        </w:rPr>
        <w:t>u</w:t>
      </w:r>
      <w:r w:rsidRPr="00D4761A">
        <w:rPr>
          <w:rFonts w:cstheme="minorHAnsi"/>
          <w:szCs w:val="24"/>
        </w:rPr>
        <w:t xml:space="preserve"> je furosemid, který snižuje známky objemového přetížení (kongesce) </w:t>
      </w:r>
      <w:r w:rsidR="00672ED4" w:rsidRPr="00D4761A">
        <w:rPr>
          <w:rFonts w:cstheme="minorHAnsi"/>
          <w:szCs w:val="24"/>
        </w:rPr>
        <w:t>u </w:t>
      </w:r>
      <w:r w:rsidRPr="00D4761A">
        <w:rPr>
          <w:rFonts w:cstheme="minorHAnsi"/>
          <w:szCs w:val="24"/>
        </w:rPr>
        <w:t>pacientů se srdečním selháním. Ačkoliv je furosemid každodenní terapií většiny populace pacientů se srdečním selháním s redukovanou ejekční frakcí</w:t>
      </w:r>
      <w:r w:rsidR="00D401D9" w:rsidRPr="00D4761A">
        <w:rPr>
          <w:rFonts w:cstheme="minorHAnsi"/>
          <w:szCs w:val="24"/>
        </w:rPr>
        <w:t>,</w:t>
      </w:r>
      <w:r w:rsidRPr="00D4761A">
        <w:rPr>
          <w:rFonts w:cstheme="minorHAnsi"/>
          <w:szCs w:val="24"/>
        </w:rPr>
        <w:t xml:space="preserve"> neexistují randomizované klinické studie prokazující jeho efekt na mortalitu </w:t>
      </w:r>
      <w:r w:rsidR="00672ED4" w:rsidRPr="00D4761A">
        <w:rPr>
          <w:rFonts w:cstheme="minorHAnsi"/>
          <w:szCs w:val="24"/>
        </w:rPr>
        <w:t>a </w:t>
      </w:r>
      <w:r w:rsidRPr="00D4761A">
        <w:rPr>
          <w:rFonts w:cstheme="minorHAnsi"/>
          <w:szCs w:val="24"/>
        </w:rPr>
        <w:t xml:space="preserve">morbiditu. </w:t>
      </w:r>
      <w:r w:rsidR="00D401D9" w:rsidRPr="00D4761A">
        <w:rPr>
          <w:rFonts w:cstheme="minorHAnsi"/>
          <w:szCs w:val="24"/>
        </w:rPr>
        <w:t>Kličkovým diuretikem byla léčena v</w:t>
      </w:r>
      <w:r w:rsidRPr="00D4761A">
        <w:rPr>
          <w:rFonts w:cstheme="minorHAnsi"/>
          <w:szCs w:val="24"/>
        </w:rPr>
        <w:t>ětšina pacientů zařazených do klinických studií pacientů s</w:t>
      </w:r>
      <w:r w:rsidR="00D401D9" w:rsidRPr="00D4761A">
        <w:rPr>
          <w:rFonts w:cstheme="minorHAnsi"/>
          <w:szCs w:val="24"/>
        </w:rPr>
        <w:t> </w:t>
      </w:r>
      <w:r w:rsidRPr="00D4761A">
        <w:rPr>
          <w:rFonts w:cstheme="minorHAnsi"/>
          <w:szCs w:val="24"/>
        </w:rPr>
        <w:t>HFrEF</w:t>
      </w:r>
      <w:r w:rsidR="00D401D9" w:rsidRPr="00D4761A">
        <w:rPr>
          <w:rFonts w:cstheme="minorHAnsi"/>
          <w:szCs w:val="24"/>
        </w:rPr>
        <w:t>.</w:t>
      </w:r>
      <w:r w:rsidR="00597804" w:rsidRPr="00D4761A">
        <w:rPr>
          <w:rFonts w:cstheme="minorHAnsi"/>
          <w:szCs w:val="24"/>
        </w:rPr>
        <w:t xml:space="preserve"> </w:t>
      </w:r>
      <w:r w:rsidRPr="00D4761A">
        <w:rPr>
          <w:rFonts w:cstheme="minorHAnsi"/>
          <w:szCs w:val="24"/>
        </w:rPr>
        <w:t xml:space="preserve">Cílem diuretické terapie </w:t>
      </w:r>
      <w:r w:rsidR="00D401D9" w:rsidRPr="00D4761A">
        <w:rPr>
          <w:rFonts w:cstheme="minorHAnsi"/>
          <w:szCs w:val="24"/>
        </w:rPr>
        <w:t>bylo</w:t>
      </w:r>
      <w:r w:rsidRPr="00D4761A">
        <w:rPr>
          <w:rFonts w:cstheme="minorHAnsi"/>
          <w:szCs w:val="24"/>
        </w:rPr>
        <w:t xml:space="preserve"> nalezení nejnižší účinné dávky diuretika k zachování euvolémie.</w:t>
      </w:r>
      <w:r w:rsidR="00597804" w:rsidRPr="00D4761A">
        <w:rPr>
          <w:rFonts w:cstheme="minorHAnsi"/>
          <w:szCs w:val="24"/>
        </w:rPr>
        <w:t xml:space="preserve"> </w:t>
      </w:r>
      <w:r w:rsidR="00D401D9" w:rsidRPr="00D4761A">
        <w:rPr>
          <w:rFonts w:cstheme="minorHAnsi"/>
          <w:szCs w:val="24"/>
        </w:rPr>
        <w:t>K</w:t>
      </w:r>
      <w:r w:rsidRPr="00D4761A">
        <w:rPr>
          <w:rFonts w:cstheme="minorHAnsi"/>
          <w:szCs w:val="24"/>
        </w:rPr>
        <w:t>ombinace kličkového diuretika s thiazidovým diuretikem má teoreticky vyšší diuretický efekt, randomizovaná klinická studie prokazující benefit této kombinace</w:t>
      </w:r>
      <w:r w:rsidR="00D401D9" w:rsidRPr="00D4761A">
        <w:rPr>
          <w:rFonts w:cstheme="minorHAnsi"/>
          <w:szCs w:val="24"/>
        </w:rPr>
        <w:t xml:space="preserve"> chybí</w:t>
      </w:r>
      <w:r w:rsidRPr="00D4761A">
        <w:rPr>
          <w:rFonts w:cstheme="minorHAnsi"/>
          <w:szCs w:val="24"/>
        </w:rPr>
        <w:t xml:space="preserve">. Diuretický efekt mají z patofyziologické podstaty účinku taktéž glifloziny, ARNI </w:t>
      </w:r>
      <w:r w:rsidR="00672ED4" w:rsidRPr="00D4761A">
        <w:rPr>
          <w:rFonts w:cstheme="minorHAnsi"/>
          <w:szCs w:val="24"/>
        </w:rPr>
        <w:t>a </w:t>
      </w:r>
      <w:r w:rsidRPr="00D4761A">
        <w:rPr>
          <w:rFonts w:cstheme="minorHAnsi"/>
          <w:szCs w:val="24"/>
        </w:rPr>
        <w:t>MRA.</w:t>
      </w:r>
    </w:p>
    <w:p w14:paraId="1DC5DEC4" w14:textId="08EC18F9" w:rsidR="00597804" w:rsidRPr="00D4761A" w:rsidRDefault="00AF5A33" w:rsidP="00672ED4">
      <w:pPr>
        <w:pStyle w:val="Nadpis30"/>
      </w:pPr>
      <w:bookmarkStart w:id="9" w:name="_Toc120547427"/>
      <w:r w:rsidRPr="00D4761A">
        <w:t>Betablokátory</w:t>
      </w:r>
      <w:bookmarkEnd w:id="9"/>
    </w:p>
    <w:p w14:paraId="5CA7C450" w14:textId="548CEB7C" w:rsidR="00AF5A33" w:rsidRPr="00D4761A" w:rsidRDefault="00AF5A33" w:rsidP="00672ED4">
      <w:pPr>
        <w:ind w:firstLine="708"/>
        <w:rPr>
          <w:rFonts w:cstheme="minorHAnsi"/>
          <w:szCs w:val="24"/>
        </w:rPr>
      </w:pPr>
      <w:r w:rsidRPr="00D4761A">
        <w:rPr>
          <w:rFonts w:cstheme="minorHAnsi"/>
          <w:szCs w:val="24"/>
        </w:rPr>
        <w:t xml:space="preserve">Betablokátory snižují mortalitu </w:t>
      </w:r>
      <w:r w:rsidR="00672ED4" w:rsidRPr="00D4761A">
        <w:rPr>
          <w:rFonts w:cstheme="minorHAnsi"/>
          <w:szCs w:val="24"/>
        </w:rPr>
        <w:t>a </w:t>
      </w:r>
      <w:r w:rsidRPr="00D4761A">
        <w:rPr>
          <w:rFonts w:cstheme="minorHAnsi"/>
          <w:szCs w:val="24"/>
        </w:rPr>
        <w:t xml:space="preserve">morbiditu </w:t>
      </w:r>
      <w:r w:rsidR="00672ED4" w:rsidRPr="00D4761A">
        <w:rPr>
          <w:rFonts w:cstheme="minorHAnsi"/>
          <w:szCs w:val="24"/>
        </w:rPr>
        <w:t>u </w:t>
      </w:r>
      <w:r w:rsidRPr="00D4761A">
        <w:rPr>
          <w:rFonts w:cstheme="minorHAnsi"/>
          <w:szCs w:val="24"/>
        </w:rPr>
        <w:t xml:space="preserve">pacientů s HFrEF v kombinaci s ACEi </w:t>
      </w:r>
      <w:r w:rsidR="00672ED4" w:rsidRPr="00D4761A">
        <w:rPr>
          <w:rFonts w:cstheme="minorHAnsi"/>
          <w:szCs w:val="24"/>
        </w:rPr>
        <w:t>a </w:t>
      </w:r>
      <w:r w:rsidRPr="00D4761A">
        <w:rPr>
          <w:rFonts w:cstheme="minorHAnsi"/>
          <w:szCs w:val="24"/>
        </w:rPr>
        <w:t xml:space="preserve">diuretiky (8-14). </w:t>
      </w:r>
      <w:r w:rsidR="00D401D9" w:rsidRPr="00D4761A">
        <w:rPr>
          <w:rFonts w:cstheme="minorHAnsi"/>
          <w:szCs w:val="24"/>
        </w:rPr>
        <w:t>Terapie</w:t>
      </w:r>
      <w:r w:rsidRPr="00D4761A">
        <w:rPr>
          <w:rFonts w:cstheme="minorHAnsi"/>
          <w:szCs w:val="24"/>
        </w:rPr>
        <w:t xml:space="preserve"> by měl</w:t>
      </w:r>
      <w:r w:rsidR="00D401D9" w:rsidRPr="00D4761A">
        <w:rPr>
          <w:rFonts w:cstheme="minorHAnsi"/>
          <w:szCs w:val="24"/>
        </w:rPr>
        <w:t>a</w:t>
      </w:r>
      <w:r w:rsidRPr="00D4761A">
        <w:rPr>
          <w:rFonts w:cstheme="minorHAnsi"/>
          <w:szCs w:val="24"/>
        </w:rPr>
        <w:t xml:space="preserve"> být započat</w:t>
      </w:r>
      <w:r w:rsidR="00D401D9" w:rsidRPr="00D4761A">
        <w:rPr>
          <w:rFonts w:cstheme="minorHAnsi"/>
          <w:szCs w:val="24"/>
        </w:rPr>
        <w:t>a</w:t>
      </w:r>
      <w:r w:rsidRPr="00D4761A">
        <w:rPr>
          <w:rFonts w:cstheme="minorHAnsi"/>
          <w:szCs w:val="24"/>
        </w:rPr>
        <w:t xml:space="preserve"> </w:t>
      </w:r>
      <w:r w:rsidR="00672ED4" w:rsidRPr="00D4761A">
        <w:rPr>
          <w:rFonts w:cstheme="minorHAnsi"/>
          <w:szCs w:val="24"/>
        </w:rPr>
        <w:t>u </w:t>
      </w:r>
      <w:r w:rsidRPr="00D4761A">
        <w:rPr>
          <w:rFonts w:cstheme="minorHAnsi"/>
          <w:szCs w:val="24"/>
        </w:rPr>
        <w:t>hemodynamicky stabilní</w:t>
      </w:r>
      <w:r w:rsidR="00D401D9" w:rsidRPr="00D4761A">
        <w:rPr>
          <w:rFonts w:cstheme="minorHAnsi"/>
          <w:szCs w:val="24"/>
        </w:rPr>
        <w:t>ch</w:t>
      </w:r>
      <w:r w:rsidRPr="00D4761A">
        <w:rPr>
          <w:rFonts w:cstheme="minorHAnsi"/>
          <w:szCs w:val="24"/>
        </w:rPr>
        <w:t xml:space="preserve"> euvolemických pacientů s postupnou up-titrací dávky. </w:t>
      </w:r>
      <w:r w:rsidR="00672ED4" w:rsidRPr="00D4761A">
        <w:rPr>
          <w:rFonts w:cstheme="minorHAnsi"/>
          <w:szCs w:val="24"/>
        </w:rPr>
        <w:t>U </w:t>
      </w:r>
      <w:r w:rsidRPr="00D4761A">
        <w:rPr>
          <w:rFonts w:cstheme="minorHAnsi"/>
          <w:szCs w:val="24"/>
        </w:rPr>
        <w:t xml:space="preserve">nově diagnostikovaných pacientů se srdečním selháním lze začít terapii betablokátorem nebo ACEi, neexistuje významný rozdíl mezi započetím terapie betablokátorem nebo ACEi (15). V retrospektivní metaanalýze bylo zjištěno, že snížení mortality </w:t>
      </w:r>
      <w:r w:rsidR="00672ED4" w:rsidRPr="00D4761A">
        <w:rPr>
          <w:rFonts w:cstheme="minorHAnsi"/>
          <w:szCs w:val="24"/>
        </w:rPr>
        <w:t>a </w:t>
      </w:r>
      <w:r w:rsidRPr="00D4761A">
        <w:rPr>
          <w:rFonts w:cstheme="minorHAnsi"/>
          <w:szCs w:val="24"/>
        </w:rPr>
        <w:t xml:space="preserve">morbidity betablokátorů není dosaženo </w:t>
      </w:r>
      <w:r w:rsidR="00672ED4" w:rsidRPr="00D4761A">
        <w:rPr>
          <w:rFonts w:cstheme="minorHAnsi"/>
          <w:szCs w:val="24"/>
        </w:rPr>
        <w:t>u </w:t>
      </w:r>
      <w:r w:rsidRPr="00D4761A">
        <w:rPr>
          <w:rFonts w:cstheme="minorHAnsi"/>
          <w:szCs w:val="24"/>
        </w:rPr>
        <w:t xml:space="preserve">pacientů s fibrilací síní </w:t>
      </w:r>
      <w:r w:rsidR="00672ED4" w:rsidRPr="00D4761A">
        <w:rPr>
          <w:rFonts w:cstheme="minorHAnsi"/>
          <w:szCs w:val="24"/>
        </w:rPr>
        <w:t>a </w:t>
      </w:r>
      <w:r w:rsidRPr="00D4761A">
        <w:rPr>
          <w:rFonts w:cstheme="minorHAnsi"/>
          <w:szCs w:val="24"/>
        </w:rPr>
        <w:t xml:space="preserve">HFrEF. Vzhledem k tomu, že nebyla nalezena asociace, která by zhoršila mortalitu </w:t>
      </w:r>
      <w:r w:rsidR="00672ED4" w:rsidRPr="00D4761A">
        <w:rPr>
          <w:rFonts w:cstheme="minorHAnsi"/>
          <w:szCs w:val="24"/>
        </w:rPr>
        <w:t>a </w:t>
      </w:r>
      <w:r w:rsidRPr="00D4761A">
        <w:rPr>
          <w:rFonts w:cstheme="minorHAnsi"/>
          <w:szCs w:val="24"/>
        </w:rPr>
        <w:t xml:space="preserve">morbiditu, není používání betablokátorů </w:t>
      </w:r>
      <w:r w:rsidR="00672ED4" w:rsidRPr="00D4761A">
        <w:rPr>
          <w:rFonts w:cstheme="minorHAnsi"/>
          <w:szCs w:val="24"/>
        </w:rPr>
        <w:t>u </w:t>
      </w:r>
      <w:r w:rsidRPr="00D4761A">
        <w:rPr>
          <w:rFonts w:cstheme="minorHAnsi"/>
          <w:szCs w:val="24"/>
        </w:rPr>
        <w:t>pacient</w:t>
      </w:r>
      <w:r w:rsidR="00672ED4" w:rsidRPr="00D4761A">
        <w:rPr>
          <w:rFonts w:cstheme="minorHAnsi"/>
          <w:szCs w:val="24"/>
        </w:rPr>
        <w:t>ů</w:t>
      </w:r>
      <w:r w:rsidRPr="00D4761A">
        <w:rPr>
          <w:rFonts w:cstheme="minorHAnsi"/>
          <w:szCs w:val="24"/>
        </w:rPr>
        <w:t xml:space="preserve"> s HFrEF </w:t>
      </w:r>
      <w:r w:rsidR="00672ED4" w:rsidRPr="00D4761A">
        <w:rPr>
          <w:rFonts w:cstheme="minorHAnsi"/>
          <w:szCs w:val="24"/>
        </w:rPr>
        <w:t>a </w:t>
      </w:r>
      <w:r w:rsidRPr="00D4761A">
        <w:rPr>
          <w:rFonts w:cstheme="minorHAnsi"/>
          <w:szCs w:val="24"/>
        </w:rPr>
        <w:t>fibrilací síní</w:t>
      </w:r>
      <w:r w:rsidR="0061670D" w:rsidRPr="00D4761A">
        <w:rPr>
          <w:rFonts w:cstheme="minorHAnsi"/>
          <w:szCs w:val="24"/>
        </w:rPr>
        <w:t xml:space="preserve"> omezené</w:t>
      </w:r>
      <w:r w:rsidRPr="00D4761A">
        <w:rPr>
          <w:rFonts w:cstheme="minorHAnsi"/>
          <w:szCs w:val="24"/>
        </w:rPr>
        <w:t xml:space="preserve"> (16).</w:t>
      </w:r>
    </w:p>
    <w:p w14:paraId="5128A831" w14:textId="1E20D8D2" w:rsidR="00597804" w:rsidRPr="00D4761A" w:rsidRDefault="00AF5A33" w:rsidP="00672ED4">
      <w:pPr>
        <w:pStyle w:val="Nadpis30"/>
      </w:pPr>
      <w:bookmarkStart w:id="10" w:name="_Toc120547428"/>
      <w:r w:rsidRPr="00D4761A">
        <w:t>Inhibitory angiotensin-konvertujícího enzymu (ACEi)</w:t>
      </w:r>
      <w:bookmarkEnd w:id="10"/>
    </w:p>
    <w:p w14:paraId="048FE772" w14:textId="4DABFA1F" w:rsidR="00597804" w:rsidRPr="00D4761A" w:rsidRDefault="00B459F6" w:rsidP="00672ED4">
      <w:pPr>
        <w:ind w:firstLine="708"/>
        <w:rPr>
          <w:rFonts w:cstheme="minorHAnsi"/>
          <w:szCs w:val="24"/>
        </w:rPr>
      </w:pPr>
      <w:r w:rsidRPr="00D4761A">
        <w:rPr>
          <w:rFonts w:cstheme="minorHAnsi"/>
          <w:szCs w:val="24"/>
        </w:rPr>
        <w:t>Inhibitory a</w:t>
      </w:r>
      <w:r w:rsidR="00AF5A33" w:rsidRPr="00D4761A">
        <w:rPr>
          <w:rFonts w:cstheme="minorHAnsi"/>
          <w:szCs w:val="24"/>
        </w:rPr>
        <w:t>ngiotensin-</w:t>
      </w:r>
      <w:r w:rsidRPr="00D4761A">
        <w:rPr>
          <w:rFonts w:cstheme="minorHAnsi"/>
          <w:szCs w:val="24"/>
        </w:rPr>
        <w:t xml:space="preserve">konvertujicího </w:t>
      </w:r>
      <w:r w:rsidR="00AF5A33" w:rsidRPr="00D4761A">
        <w:rPr>
          <w:rFonts w:cstheme="minorHAnsi"/>
          <w:szCs w:val="24"/>
        </w:rPr>
        <w:t>enzym</w:t>
      </w:r>
      <w:r w:rsidRPr="00D4761A">
        <w:rPr>
          <w:rFonts w:cstheme="minorHAnsi"/>
          <w:szCs w:val="24"/>
        </w:rPr>
        <w:t>u</w:t>
      </w:r>
      <w:r w:rsidR="00AF5A33" w:rsidRPr="00D4761A">
        <w:rPr>
          <w:rFonts w:cstheme="minorHAnsi"/>
          <w:szCs w:val="24"/>
        </w:rPr>
        <w:t xml:space="preserve"> jsou</w:t>
      </w:r>
      <w:r w:rsidR="00D01965" w:rsidRPr="00D4761A">
        <w:rPr>
          <w:rFonts w:cstheme="minorHAnsi"/>
          <w:szCs w:val="24"/>
        </w:rPr>
        <w:t xml:space="preserve"> první</w:t>
      </w:r>
      <w:r w:rsidR="00AF5A33" w:rsidRPr="00D4761A">
        <w:rPr>
          <w:rFonts w:cstheme="minorHAnsi"/>
          <w:szCs w:val="24"/>
        </w:rPr>
        <w:t xml:space="preserve"> farmaka, </w:t>
      </w:r>
      <w:r w:rsidR="00D01965" w:rsidRPr="00D4761A">
        <w:rPr>
          <w:rFonts w:cstheme="minorHAnsi"/>
          <w:szCs w:val="24"/>
        </w:rPr>
        <w:t xml:space="preserve">pro </w:t>
      </w:r>
      <w:r w:rsidR="00AF5A33" w:rsidRPr="00D4761A">
        <w:rPr>
          <w:rFonts w:cstheme="minorHAnsi"/>
          <w:szCs w:val="24"/>
        </w:rPr>
        <w:t xml:space="preserve">která </w:t>
      </w:r>
      <w:r w:rsidR="009A6D7F" w:rsidRPr="00D4761A">
        <w:rPr>
          <w:rFonts w:cstheme="minorHAnsi"/>
          <w:szCs w:val="24"/>
        </w:rPr>
        <w:t>prokazatelně snížila</w:t>
      </w:r>
      <w:r w:rsidR="00AF5A33" w:rsidRPr="00D4761A">
        <w:rPr>
          <w:rFonts w:cstheme="minorHAnsi"/>
          <w:szCs w:val="24"/>
        </w:rPr>
        <w:t xml:space="preserve"> morbiditu </w:t>
      </w:r>
      <w:r w:rsidR="00672ED4" w:rsidRPr="00D4761A">
        <w:rPr>
          <w:rFonts w:cstheme="minorHAnsi"/>
          <w:szCs w:val="24"/>
        </w:rPr>
        <w:t>a </w:t>
      </w:r>
      <w:r w:rsidR="00AF5A33" w:rsidRPr="00D4761A">
        <w:rPr>
          <w:rFonts w:cstheme="minorHAnsi"/>
          <w:szCs w:val="24"/>
        </w:rPr>
        <w:t>mortalitu symptomatických pacientů s HFrEF. Průlomová randomizovaná klinická studie CONSENSUS (17) použila enalapril</w:t>
      </w:r>
      <w:r w:rsidR="005F6849" w:rsidRPr="00D4761A">
        <w:rPr>
          <w:rFonts w:cstheme="minorHAnsi"/>
          <w:szCs w:val="24"/>
        </w:rPr>
        <w:t>, ale</w:t>
      </w:r>
      <w:r w:rsidR="00672ED4" w:rsidRPr="00D4761A">
        <w:rPr>
          <w:rFonts w:cstheme="minorHAnsi"/>
          <w:szCs w:val="24"/>
        </w:rPr>
        <w:t> </w:t>
      </w:r>
      <w:r w:rsidR="00AF5A33" w:rsidRPr="00D4761A">
        <w:rPr>
          <w:rFonts w:cstheme="minorHAnsi"/>
          <w:szCs w:val="24"/>
        </w:rPr>
        <w:t xml:space="preserve">byla provedena pouze </w:t>
      </w:r>
      <w:r w:rsidR="005F6849" w:rsidRPr="00D4761A">
        <w:rPr>
          <w:rFonts w:cstheme="minorHAnsi"/>
          <w:szCs w:val="24"/>
        </w:rPr>
        <w:t xml:space="preserve">na </w:t>
      </w:r>
      <w:r w:rsidR="00AF5A33" w:rsidRPr="00D4761A">
        <w:rPr>
          <w:rFonts w:cstheme="minorHAnsi"/>
          <w:szCs w:val="24"/>
        </w:rPr>
        <w:t xml:space="preserve">253 pacientech s HFrEF </w:t>
      </w:r>
      <w:r w:rsidR="00672ED4" w:rsidRPr="00D4761A">
        <w:rPr>
          <w:rFonts w:cstheme="minorHAnsi"/>
          <w:szCs w:val="24"/>
        </w:rPr>
        <w:t>s </w:t>
      </w:r>
      <w:r w:rsidR="00AF5A33" w:rsidRPr="00D4761A">
        <w:rPr>
          <w:rFonts w:cstheme="minorHAnsi"/>
          <w:szCs w:val="24"/>
        </w:rPr>
        <w:t>funkční třídou NYHA IV. Primárním cílem byla 6měsíční mortalita. Skupina léčena enalaprilem dosáhla 6měsíční mortality 26</w:t>
      </w:r>
      <w:r w:rsidR="00672ED4" w:rsidRPr="00D4761A">
        <w:rPr>
          <w:rFonts w:cstheme="minorHAnsi"/>
          <w:szCs w:val="24"/>
        </w:rPr>
        <w:t> %</w:t>
      </w:r>
      <w:r w:rsidR="00AF5A33" w:rsidRPr="00D4761A">
        <w:rPr>
          <w:rFonts w:cstheme="minorHAnsi"/>
          <w:szCs w:val="24"/>
        </w:rPr>
        <w:t>, placebem 44</w:t>
      </w:r>
      <w:r w:rsidR="00672ED4" w:rsidRPr="00D4761A">
        <w:rPr>
          <w:rFonts w:cstheme="minorHAnsi"/>
          <w:szCs w:val="24"/>
        </w:rPr>
        <w:t> %</w:t>
      </w:r>
      <w:r w:rsidR="00AF5A33" w:rsidRPr="00D4761A">
        <w:rPr>
          <w:rFonts w:cstheme="minorHAnsi"/>
          <w:szCs w:val="24"/>
        </w:rPr>
        <w:t xml:space="preserve">. Došlo k redukci </w:t>
      </w:r>
      <w:r w:rsidR="00AF5A33" w:rsidRPr="00D4761A">
        <w:rPr>
          <w:rFonts w:cstheme="minorHAnsi"/>
          <w:szCs w:val="24"/>
        </w:rPr>
        <w:lastRenderedPageBreak/>
        <w:t xml:space="preserve">mortality </w:t>
      </w:r>
      <w:r w:rsidR="00672ED4" w:rsidRPr="00D4761A">
        <w:rPr>
          <w:rFonts w:cstheme="minorHAnsi"/>
          <w:szCs w:val="24"/>
        </w:rPr>
        <w:t>o </w:t>
      </w:r>
      <w:r w:rsidR="00AF5A33" w:rsidRPr="00D4761A">
        <w:rPr>
          <w:rFonts w:cstheme="minorHAnsi"/>
          <w:szCs w:val="24"/>
        </w:rPr>
        <w:t>40</w:t>
      </w:r>
      <w:r w:rsidR="00672ED4" w:rsidRPr="00D4761A">
        <w:rPr>
          <w:rFonts w:cstheme="minorHAnsi"/>
          <w:szCs w:val="24"/>
        </w:rPr>
        <w:t> %</w:t>
      </w:r>
      <w:r w:rsidR="00AF5A33" w:rsidRPr="00D4761A">
        <w:rPr>
          <w:rFonts w:cstheme="minorHAnsi"/>
          <w:szCs w:val="24"/>
        </w:rPr>
        <w:t xml:space="preserve">. Tento zásadní efekt byl poté potvrzen </w:t>
      </w:r>
      <w:r w:rsidR="00672ED4" w:rsidRPr="00D4761A">
        <w:rPr>
          <w:rFonts w:cstheme="minorHAnsi"/>
          <w:szCs w:val="24"/>
        </w:rPr>
        <w:t>v </w:t>
      </w:r>
      <w:r w:rsidR="00AF5A33" w:rsidRPr="00D4761A">
        <w:rPr>
          <w:rFonts w:cstheme="minorHAnsi"/>
          <w:szCs w:val="24"/>
        </w:rPr>
        <w:t xml:space="preserve">dalších studiích, </w:t>
      </w:r>
      <w:r w:rsidR="00BB190F" w:rsidRPr="00D4761A">
        <w:rPr>
          <w:rFonts w:cstheme="minorHAnsi"/>
          <w:szCs w:val="24"/>
        </w:rPr>
        <w:t>například ve studii</w:t>
      </w:r>
      <w:r w:rsidR="00D01965" w:rsidRPr="00D4761A">
        <w:rPr>
          <w:rFonts w:cstheme="minorHAnsi"/>
          <w:szCs w:val="24"/>
        </w:rPr>
        <w:t xml:space="preserve">, </w:t>
      </w:r>
      <w:r w:rsidR="00AF5A33" w:rsidRPr="00D4761A">
        <w:rPr>
          <w:rFonts w:cstheme="minorHAnsi"/>
          <w:szCs w:val="24"/>
        </w:rPr>
        <w:t xml:space="preserve">která </w:t>
      </w:r>
      <w:r w:rsidR="009A6D7F" w:rsidRPr="00D4761A">
        <w:rPr>
          <w:rFonts w:cstheme="minorHAnsi"/>
          <w:szCs w:val="24"/>
        </w:rPr>
        <w:t>zahrnovala dominantně</w:t>
      </w:r>
      <w:r w:rsidR="00D01965" w:rsidRPr="00D4761A">
        <w:rPr>
          <w:rFonts w:cstheme="minorHAnsi"/>
          <w:szCs w:val="24"/>
        </w:rPr>
        <w:t xml:space="preserve"> pacienty </w:t>
      </w:r>
      <w:r w:rsidR="00672ED4" w:rsidRPr="00D4761A">
        <w:rPr>
          <w:rFonts w:cstheme="minorHAnsi"/>
          <w:szCs w:val="24"/>
        </w:rPr>
        <w:t>s </w:t>
      </w:r>
      <w:r w:rsidR="00AF5A33" w:rsidRPr="00D4761A">
        <w:rPr>
          <w:rFonts w:cstheme="minorHAnsi"/>
          <w:szCs w:val="24"/>
        </w:rPr>
        <w:t>funkční tříd</w:t>
      </w:r>
      <w:r w:rsidR="00D01965" w:rsidRPr="00D4761A">
        <w:rPr>
          <w:rFonts w:cstheme="minorHAnsi"/>
          <w:szCs w:val="24"/>
        </w:rPr>
        <w:t>ou</w:t>
      </w:r>
      <w:r w:rsidR="00AF5A33" w:rsidRPr="00D4761A">
        <w:rPr>
          <w:rFonts w:cstheme="minorHAnsi"/>
          <w:szCs w:val="24"/>
        </w:rPr>
        <w:t xml:space="preserve"> NYHA II-III (18).</w:t>
      </w:r>
    </w:p>
    <w:p w14:paraId="1B0D8489" w14:textId="3B66933F" w:rsidR="00AF5A33" w:rsidRPr="00D4761A" w:rsidRDefault="00AF5A33" w:rsidP="00672ED4">
      <w:pPr>
        <w:pStyle w:val="Nadpis30"/>
      </w:pPr>
      <w:bookmarkStart w:id="11" w:name="_Toc120547429"/>
      <w:r w:rsidRPr="00D4761A">
        <w:t>Blokátory receptoru AT1 pro angiotenzin II (ARB)</w:t>
      </w:r>
      <w:bookmarkEnd w:id="11"/>
    </w:p>
    <w:p w14:paraId="0BE78720" w14:textId="58D0B000" w:rsidR="00597804" w:rsidRPr="00D4761A" w:rsidRDefault="00AF5A33" w:rsidP="00672ED4">
      <w:pPr>
        <w:ind w:firstLine="708"/>
        <w:rPr>
          <w:rFonts w:cstheme="minorHAnsi"/>
          <w:szCs w:val="24"/>
        </w:rPr>
      </w:pPr>
      <w:r w:rsidRPr="00D4761A">
        <w:rPr>
          <w:rFonts w:cstheme="minorHAnsi"/>
          <w:szCs w:val="24"/>
        </w:rPr>
        <w:t xml:space="preserve">ARB již hrají minimální roli v léčbě symptomatických pacientů s HFrEF </w:t>
      </w:r>
      <w:r w:rsidR="00672ED4" w:rsidRPr="00D4761A">
        <w:rPr>
          <w:rFonts w:cstheme="minorHAnsi"/>
          <w:szCs w:val="24"/>
        </w:rPr>
        <w:t>a </w:t>
      </w:r>
      <w:r w:rsidRPr="00D4761A">
        <w:rPr>
          <w:rFonts w:cstheme="minorHAnsi"/>
          <w:szCs w:val="24"/>
        </w:rPr>
        <w:t xml:space="preserve">jsou de facto určeny pouze pro pacienty netolerující ARNI nebo ACEi. Candesartan (19) má evidenci zlepšení </w:t>
      </w:r>
      <w:r w:rsidR="009A6D7F" w:rsidRPr="00D4761A">
        <w:rPr>
          <w:rFonts w:cstheme="minorHAnsi"/>
          <w:szCs w:val="24"/>
        </w:rPr>
        <w:t>k</w:t>
      </w:r>
      <w:r w:rsidRPr="00D4761A">
        <w:rPr>
          <w:rFonts w:cstheme="minorHAnsi"/>
          <w:szCs w:val="24"/>
        </w:rPr>
        <w:t xml:space="preserve">ardiovaskulární mortality </w:t>
      </w:r>
      <w:r w:rsidR="00672ED4" w:rsidRPr="00D4761A">
        <w:rPr>
          <w:rFonts w:cstheme="minorHAnsi"/>
          <w:szCs w:val="24"/>
        </w:rPr>
        <w:t>a </w:t>
      </w:r>
      <w:r w:rsidRPr="00D4761A">
        <w:rPr>
          <w:rFonts w:cstheme="minorHAnsi"/>
          <w:szCs w:val="24"/>
        </w:rPr>
        <w:t xml:space="preserve">snížení nutnosti hospitalizace pro srdeční selhání. Žádný z ARBs ovšem nedosáhl </w:t>
      </w:r>
      <w:r w:rsidR="00AF5E66" w:rsidRPr="00D4761A">
        <w:rPr>
          <w:rFonts w:cstheme="minorHAnsi"/>
          <w:szCs w:val="24"/>
        </w:rPr>
        <w:t xml:space="preserve">ve studiích </w:t>
      </w:r>
      <w:r w:rsidRPr="00D4761A">
        <w:rPr>
          <w:rFonts w:cstheme="minorHAnsi"/>
          <w:szCs w:val="24"/>
        </w:rPr>
        <w:t xml:space="preserve">snížení celkové mortality na rozdíl od ACEi </w:t>
      </w:r>
      <w:r w:rsidR="00672ED4" w:rsidRPr="00D4761A">
        <w:rPr>
          <w:rFonts w:cstheme="minorHAnsi"/>
          <w:szCs w:val="24"/>
        </w:rPr>
        <w:t>a </w:t>
      </w:r>
      <w:r w:rsidRPr="00D4761A">
        <w:rPr>
          <w:rFonts w:cstheme="minorHAnsi"/>
          <w:szCs w:val="24"/>
        </w:rPr>
        <w:t>ARNI.</w:t>
      </w:r>
    </w:p>
    <w:p w14:paraId="2BAC72E1" w14:textId="37427C20" w:rsidR="00AF5A33" w:rsidRPr="00D4761A" w:rsidRDefault="00AF5A33" w:rsidP="00672ED4">
      <w:pPr>
        <w:pStyle w:val="Nadpis30"/>
      </w:pPr>
      <w:bookmarkStart w:id="12" w:name="_Toc120547430"/>
      <w:r w:rsidRPr="00D4761A">
        <w:t>Antagonisté mineralokortikoidních receptorů (MRA)</w:t>
      </w:r>
      <w:bookmarkEnd w:id="12"/>
    </w:p>
    <w:p w14:paraId="09B41961" w14:textId="6444C0A9" w:rsidR="00597804" w:rsidRPr="00D4761A" w:rsidRDefault="00AF5A33" w:rsidP="00672ED4">
      <w:pPr>
        <w:ind w:firstLine="708"/>
        <w:rPr>
          <w:rFonts w:cstheme="minorHAnsi"/>
          <w:szCs w:val="24"/>
        </w:rPr>
      </w:pPr>
      <w:r w:rsidRPr="00D4761A">
        <w:rPr>
          <w:rFonts w:cstheme="minorHAnsi"/>
          <w:szCs w:val="24"/>
        </w:rPr>
        <w:t xml:space="preserve">Spironolakton </w:t>
      </w:r>
      <w:r w:rsidR="00672ED4" w:rsidRPr="00D4761A">
        <w:rPr>
          <w:rFonts w:cstheme="minorHAnsi"/>
          <w:szCs w:val="24"/>
        </w:rPr>
        <w:t>a </w:t>
      </w:r>
      <w:r w:rsidRPr="00D4761A">
        <w:rPr>
          <w:rFonts w:cstheme="minorHAnsi"/>
          <w:szCs w:val="24"/>
        </w:rPr>
        <w:t xml:space="preserve">eplerenon jsou doposud hlavní zástupci skupiny MRA s klinickou evidencí snížení mortality, nutnosti hospitalizace pro srdeční selhání spolu se zlepšením symptomů srdečního selhání. Spironolakton byl testován </w:t>
      </w:r>
      <w:r w:rsidR="00672ED4" w:rsidRPr="00D4761A">
        <w:rPr>
          <w:rFonts w:cstheme="minorHAnsi"/>
          <w:szCs w:val="24"/>
        </w:rPr>
        <w:t>u </w:t>
      </w:r>
      <w:r w:rsidRPr="00D4761A">
        <w:rPr>
          <w:rFonts w:cstheme="minorHAnsi"/>
          <w:szCs w:val="24"/>
        </w:rPr>
        <w:t>pacientů s HFrEF ve funkční třídě NYHA III-IV (20).</w:t>
      </w:r>
      <w:r w:rsidR="00597804" w:rsidRPr="00D4761A">
        <w:rPr>
          <w:rFonts w:cstheme="minorHAnsi"/>
          <w:szCs w:val="24"/>
        </w:rPr>
        <w:t xml:space="preserve"> </w:t>
      </w:r>
      <w:r w:rsidRPr="00D4761A">
        <w:rPr>
          <w:rFonts w:cstheme="minorHAnsi"/>
          <w:szCs w:val="24"/>
        </w:rPr>
        <w:t xml:space="preserve">Eplerenon byl testován </w:t>
      </w:r>
      <w:r w:rsidR="00672ED4" w:rsidRPr="00D4761A">
        <w:rPr>
          <w:rFonts w:cstheme="minorHAnsi"/>
          <w:szCs w:val="24"/>
        </w:rPr>
        <w:t>u </w:t>
      </w:r>
      <w:r w:rsidRPr="00D4761A">
        <w:rPr>
          <w:rFonts w:cstheme="minorHAnsi"/>
          <w:szCs w:val="24"/>
        </w:rPr>
        <w:t xml:space="preserve">pacientů s HFrEF ve funkční třídě NYHA II (21). Stejně jako </w:t>
      </w:r>
      <w:r w:rsidR="00672ED4" w:rsidRPr="00D4761A">
        <w:rPr>
          <w:rFonts w:cstheme="minorHAnsi"/>
          <w:szCs w:val="24"/>
        </w:rPr>
        <w:t>u </w:t>
      </w:r>
      <w:r w:rsidRPr="00D4761A">
        <w:rPr>
          <w:rFonts w:cstheme="minorHAnsi"/>
          <w:szCs w:val="24"/>
        </w:rPr>
        <w:t xml:space="preserve">ACEi/MRA může omezit použití MRA renální insuficience </w:t>
      </w:r>
      <w:r w:rsidR="00672ED4" w:rsidRPr="00D4761A">
        <w:rPr>
          <w:rFonts w:cstheme="minorHAnsi"/>
          <w:szCs w:val="24"/>
        </w:rPr>
        <w:t>a </w:t>
      </w:r>
      <w:r w:rsidRPr="00D4761A">
        <w:rPr>
          <w:rFonts w:cstheme="minorHAnsi"/>
          <w:szCs w:val="24"/>
        </w:rPr>
        <w:t>hyperkalémie.</w:t>
      </w:r>
    </w:p>
    <w:p w14:paraId="3BFC9DB4" w14:textId="0CA096CB" w:rsidR="00597804" w:rsidRPr="00D4761A" w:rsidRDefault="00AF5A33" w:rsidP="00672ED4">
      <w:pPr>
        <w:pStyle w:val="Nadpis30"/>
      </w:pPr>
      <w:bookmarkStart w:id="13" w:name="_Toc120547431"/>
      <w:r w:rsidRPr="00D4761A">
        <w:t xml:space="preserve">Inhibitor receptoru angiotenzinu </w:t>
      </w:r>
      <w:r w:rsidR="00672ED4" w:rsidRPr="00D4761A">
        <w:t>a </w:t>
      </w:r>
      <w:r w:rsidRPr="00D4761A">
        <w:t>neprilysinu (ARNI)</w:t>
      </w:r>
      <w:bookmarkEnd w:id="13"/>
    </w:p>
    <w:p w14:paraId="1D116144" w14:textId="6F1D86C9" w:rsidR="00597804" w:rsidRPr="00D4761A" w:rsidRDefault="00AF5A33" w:rsidP="00672ED4">
      <w:pPr>
        <w:ind w:firstLine="708"/>
        <w:rPr>
          <w:rFonts w:cstheme="minorHAnsi"/>
          <w:szCs w:val="24"/>
        </w:rPr>
      </w:pPr>
      <w:r w:rsidRPr="00D4761A">
        <w:rPr>
          <w:rFonts w:cstheme="minorHAnsi"/>
          <w:szCs w:val="24"/>
        </w:rPr>
        <w:t xml:space="preserve">ARNI je reprezentována sacubitrilem-valsartanem, který v průlomové studii Paradigm-HF prokázal redukce jak kompozitního cíle (kardiovaskulární mortalita, riziko hospitalizace pro srdeční selhání), tak snížení celkové mortality pacientů s HFrEF dominantně ve funkční třídě NYHA II-III </w:t>
      </w:r>
      <w:r w:rsidR="00672ED4" w:rsidRPr="00D4761A">
        <w:rPr>
          <w:rFonts w:cstheme="minorHAnsi"/>
          <w:szCs w:val="24"/>
        </w:rPr>
        <w:t>u </w:t>
      </w:r>
      <w:r w:rsidRPr="00D4761A">
        <w:rPr>
          <w:rFonts w:cstheme="minorHAnsi"/>
          <w:szCs w:val="24"/>
        </w:rPr>
        <w:t>ambulantních pacientů, kteří byli léčeni optimální farmakoterapií (22).</w:t>
      </w:r>
      <w:r w:rsidR="00597804" w:rsidRPr="00D4761A">
        <w:rPr>
          <w:rFonts w:cstheme="minorHAnsi"/>
          <w:szCs w:val="24"/>
        </w:rPr>
        <w:t xml:space="preserve"> </w:t>
      </w:r>
      <w:r w:rsidRPr="00D4761A">
        <w:rPr>
          <w:rFonts w:cstheme="minorHAnsi"/>
          <w:szCs w:val="24"/>
        </w:rPr>
        <w:t xml:space="preserve">Vzhledem k impresivním výsledkům studie Paradigm-HF byl vyzkoušen sacubitril-valsartan </w:t>
      </w:r>
      <w:r w:rsidR="00672ED4" w:rsidRPr="00D4761A">
        <w:rPr>
          <w:rFonts w:cstheme="minorHAnsi"/>
          <w:szCs w:val="24"/>
        </w:rPr>
        <w:t>i u </w:t>
      </w:r>
      <w:r w:rsidRPr="00D4761A">
        <w:rPr>
          <w:rFonts w:cstheme="minorHAnsi"/>
          <w:szCs w:val="24"/>
        </w:rPr>
        <w:t>pacientů hospitalizovaných pro akutní srdeční selhání, kdy po hemodynamické kompenzaci byl</w:t>
      </w:r>
      <w:r w:rsidR="008F457E" w:rsidRPr="00D4761A">
        <w:rPr>
          <w:rFonts w:cstheme="minorHAnsi"/>
          <w:szCs w:val="24"/>
        </w:rPr>
        <w:t>o</w:t>
      </w:r>
      <w:r w:rsidRPr="00D4761A">
        <w:rPr>
          <w:rFonts w:cstheme="minorHAnsi"/>
          <w:szCs w:val="24"/>
        </w:rPr>
        <w:t xml:space="preserve"> provedeno nasazení enalaprilu nebo sacubitril-valsartanu </w:t>
      </w:r>
      <w:r w:rsidR="00672ED4" w:rsidRPr="00D4761A">
        <w:rPr>
          <w:rFonts w:cstheme="minorHAnsi"/>
          <w:szCs w:val="24"/>
        </w:rPr>
        <w:t>a </w:t>
      </w:r>
      <w:r w:rsidR="00D831DD" w:rsidRPr="00D4761A">
        <w:rPr>
          <w:rFonts w:cstheme="minorHAnsi"/>
          <w:szCs w:val="24"/>
        </w:rPr>
        <w:t xml:space="preserve">byl </w:t>
      </w:r>
      <w:r w:rsidRPr="00D4761A">
        <w:rPr>
          <w:rFonts w:cstheme="minorHAnsi"/>
          <w:szCs w:val="24"/>
        </w:rPr>
        <w:t>sledován pokles NTproBNP s výsledkem favorizujícím sacubitril-valsartan (23).</w:t>
      </w:r>
      <w:r w:rsidR="00597804" w:rsidRPr="00D4761A">
        <w:rPr>
          <w:rFonts w:cstheme="minorHAnsi"/>
          <w:szCs w:val="24"/>
        </w:rPr>
        <w:t xml:space="preserve"> </w:t>
      </w:r>
      <w:r w:rsidRPr="00D4761A">
        <w:rPr>
          <w:rFonts w:cstheme="minorHAnsi"/>
          <w:szCs w:val="24"/>
        </w:rPr>
        <w:t xml:space="preserve">Dalším cílem studie </w:t>
      </w:r>
      <w:r w:rsidR="00672ED4" w:rsidRPr="00D4761A">
        <w:rPr>
          <w:rFonts w:cstheme="minorHAnsi"/>
          <w:szCs w:val="24"/>
        </w:rPr>
        <w:t>u </w:t>
      </w:r>
      <w:r w:rsidRPr="00D4761A">
        <w:rPr>
          <w:rFonts w:cstheme="minorHAnsi"/>
          <w:szCs w:val="24"/>
        </w:rPr>
        <w:t>hospitalizovaných pacientů s akutním srdečním selháním bylo časové posouzení nasazení ARNI po hemodynamické</w:t>
      </w:r>
      <w:r w:rsidR="00DB6FD0" w:rsidRPr="00D4761A">
        <w:rPr>
          <w:rFonts w:cstheme="minorHAnsi"/>
          <w:szCs w:val="24"/>
        </w:rPr>
        <w:t xml:space="preserve"> </w:t>
      </w:r>
      <w:r w:rsidRPr="00D4761A">
        <w:rPr>
          <w:rFonts w:cstheme="minorHAnsi"/>
          <w:szCs w:val="24"/>
        </w:rPr>
        <w:t>stabilizaci</w:t>
      </w:r>
      <w:r w:rsidR="006B1744" w:rsidRPr="00D4761A">
        <w:rPr>
          <w:rFonts w:cstheme="minorHAnsi"/>
          <w:szCs w:val="24"/>
        </w:rPr>
        <w:t>.</w:t>
      </w:r>
      <w:r w:rsidRPr="00D4761A">
        <w:rPr>
          <w:rFonts w:cstheme="minorHAnsi"/>
          <w:szCs w:val="24"/>
        </w:rPr>
        <w:t xml:space="preserve"> </w:t>
      </w:r>
      <w:r w:rsidR="006B1744" w:rsidRPr="00D4761A">
        <w:rPr>
          <w:rFonts w:cstheme="minorHAnsi"/>
          <w:szCs w:val="24"/>
        </w:rPr>
        <w:t>V</w:t>
      </w:r>
      <w:r w:rsidRPr="00D4761A">
        <w:rPr>
          <w:rFonts w:cstheme="minorHAnsi"/>
          <w:szCs w:val="24"/>
        </w:rPr>
        <w:t>ýsledkem</w:t>
      </w:r>
      <w:r w:rsidR="006B1744" w:rsidRPr="00D4761A">
        <w:rPr>
          <w:rFonts w:cstheme="minorHAnsi"/>
          <w:szCs w:val="24"/>
        </w:rPr>
        <w:t xml:space="preserve"> je</w:t>
      </w:r>
      <w:r w:rsidRPr="00D4761A">
        <w:rPr>
          <w:rFonts w:cstheme="minorHAnsi"/>
          <w:szCs w:val="24"/>
        </w:rPr>
        <w:t xml:space="preserve">, že není zásadní rozdíl </w:t>
      </w:r>
      <w:r w:rsidR="006B1744" w:rsidRPr="00D4761A">
        <w:rPr>
          <w:rFonts w:cstheme="minorHAnsi"/>
          <w:szCs w:val="24"/>
        </w:rPr>
        <w:t>mezi</w:t>
      </w:r>
      <w:r w:rsidR="00672ED4" w:rsidRPr="00D4761A">
        <w:rPr>
          <w:rFonts w:cstheme="minorHAnsi"/>
          <w:szCs w:val="24"/>
        </w:rPr>
        <w:t> </w:t>
      </w:r>
      <w:r w:rsidRPr="00D4761A">
        <w:rPr>
          <w:rFonts w:cstheme="minorHAnsi"/>
          <w:szCs w:val="24"/>
        </w:rPr>
        <w:t>časn</w:t>
      </w:r>
      <w:r w:rsidR="006B1744" w:rsidRPr="00D4761A">
        <w:rPr>
          <w:rFonts w:cstheme="minorHAnsi"/>
          <w:szCs w:val="24"/>
        </w:rPr>
        <w:t>ým</w:t>
      </w:r>
      <w:r w:rsidRPr="00D4761A">
        <w:rPr>
          <w:rFonts w:cstheme="minorHAnsi"/>
          <w:szCs w:val="24"/>
        </w:rPr>
        <w:t xml:space="preserve"> nebo odložen</w:t>
      </w:r>
      <w:r w:rsidR="006B1744" w:rsidRPr="00D4761A">
        <w:rPr>
          <w:rFonts w:cstheme="minorHAnsi"/>
          <w:szCs w:val="24"/>
        </w:rPr>
        <w:t>ým</w:t>
      </w:r>
      <w:r w:rsidRPr="00D4761A">
        <w:rPr>
          <w:rFonts w:cstheme="minorHAnsi"/>
          <w:szCs w:val="24"/>
        </w:rPr>
        <w:t xml:space="preserve"> nasazení</w:t>
      </w:r>
      <w:r w:rsidR="006B1744" w:rsidRPr="00D4761A">
        <w:rPr>
          <w:rFonts w:cstheme="minorHAnsi"/>
          <w:szCs w:val="24"/>
        </w:rPr>
        <w:t>m</w:t>
      </w:r>
      <w:r w:rsidRPr="00D4761A">
        <w:rPr>
          <w:rFonts w:cstheme="minorHAnsi"/>
          <w:szCs w:val="24"/>
        </w:rPr>
        <w:t xml:space="preserve"> ARNI v dosažení maximální dávky ARNI za 10 týdnů od propuštění (24).</w:t>
      </w:r>
    </w:p>
    <w:p w14:paraId="5CCCEDCE" w14:textId="07C5A1F2" w:rsidR="00AF5A33" w:rsidRPr="00D4761A" w:rsidRDefault="00AF5A33" w:rsidP="00672ED4">
      <w:pPr>
        <w:pStyle w:val="Nadpis30"/>
      </w:pPr>
      <w:bookmarkStart w:id="14" w:name="_Toc120547432"/>
      <w:r w:rsidRPr="00D4761A">
        <w:lastRenderedPageBreak/>
        <w:t>Inhibitory SGLT2 (glifloziny)</w:t>
      </w:r>
      <w:bookmarkEnd w:id="14"/>
    </w:p>
    <w:p w14:paraId="5EFD2DB1" w14:textId="5182C7D9" w:rsidR="00597804" w:rsidRPr="00D4761A" w:rsidRDefault="00AF5A33" w:rsidP="00672ED4">
      <w:pPr>
        <w:ind w:firstLine="708"/>
        <w:rPr>
          <w:rFonts w:cstheme="minorHAnsi"/>
          <w:szCs w:val="24"/>
        </w:rPr>
      </w:pPr>
      <w:r w:rsidRPr="00D4761A">
        <w:rPr>
          <w:rFonts w:cstheme="minorHAnsi"/>
          <w:szCs w:val="24"/>
        </w:rPr>
        <w:t xml:space="preserve">Původně </w:t>
      </w:r>
      <w:r w:rsidR="001F0F6A" w:rsidRPr="00D4761A">
        <w:rPr>
          <w:rFonts w:cstheme="minorHAnsi"/>
          <w:szCs w:val="24"/>
        </w:rPr>
        <w:t>ta</w:t>
      </w:r>
      <w:r w:rsidR="009A60BB" w:rsidRPr="00D4761A">
        <w:rPr>
          <w:rFonts w:cstheme="minorHAnsi"/>
          <w:szCs w:val="24"/>
        </w:rPr>
        <w:t>t</w:t>
      </w:r>
      <w:r w:rsidR="001F0F6A" w:rsidRPr="00D4761A">
        <w:rPr>
          <w:rFonts w:cstheme="minorHAnsi"/>
          <w:szCs w:val="24"/>
        </w:rPr>
        <w:t>o léčiva</w:t>
      </w:r>
      <w:r w:rsidR="009A60BB" w:rsidRPr="00D4761A">
        <w:rPr>
          <w:rFonts w:cstheme="minorHAnsi"/>
          <w:szCs w:val="24"/>
        </w:rPr>
        <w:t xml:space="preserve">, která ovlivňují transport glukosy v proximálním tubulu, byla navržena </w:t>
      </w:r>
      <w:r w:rsidR="00672ED4" w:rsidRPr="00D4761A">
        <w:rPr>
          <w:rFonts w:cstheme="minorHAnsi"/>
          <w:szCs w:val="24"/>
        </w:rPr>
        <w:t>k </w:t>
      </w:r>
      <w:r w:rsidRPr="00D4761A">
        <w:rPr>
          <w:rFonts w:cstheme="minorHAnsi"/>
          <w:szCs w:val="24"/>
        </w:rPr>
        <w:t>farmakoterapii diabetu mellitu</w:t>
      </w:r>
      <w:r w:rsidR="00AF5E66" w:rsidRPr="00D4761A">
        <w:rPr>
          <w:rFonts w:cstheme="minorHAnsi"/>
          <w:szCs w:val="24"/>
        </w:rPr>
        <w:t xml:space="preserve"> (DM)</w:t>
      </w:r>
      <w:r w:rsidR="009A60BB" w:rsidRPr="00D4761A">
        <w:rPr>
          <w:rFonts w:cstheme="minorHAnsi"/>
          <w:szCs w:val="24"/>
        </w:rPr>
        <w:t>.</w:t>
      </w:r>
      <w:r w:rsidR="00597804" w:rsidRPr="00D4761A">
        <w:rPr>
          <w:rFonts w:cstheme="minorHAnsi"/>
          <w:szCs w:val="24"/>
        </w:rPr>
        <w:t xml:space="preserve"> </w:t>
      </w:r>
      <w:r w:rsidRPr="00D4761A">
        <w:rPr>
          <w:rFonts w:cstheme="minorHAnsi"/>
          <w:szCs w:val="24"/>
        </w:rPr>
        <w:t>V rámci sledování</w:t>
      </w:r>
      <w:r w:rsidR="00DB40F8" w:rsidRPr="00D4761A">
        <w:rPr>
          <w:rFonts w:cstheme="minorHAnsi"/>
          <w:szCs w:val="24"/>
        </w:rPr>
        <w:t xml:space="preserve"> </w:t>
      </w:r>
      <w:r w:rsidRPr="00D4761A">
        <w:rPr>
          <w:rFonts w:cstheme="minorHAnsi"/>
          <w:szCs w:val="24"/>
        </w:rPr>
        <w:t xml:space="preserve">pacientů s DM </w:t>
      </w:r>
      <w:r w:rsidR="00672ED4" w:rsidRPr="00D4761A">
        <w:rPr>
          <w:rFonts w:cstheme="minorHAnsi"/>
          <w:szCs w:val="24"/>
        </w:rPr>
        <w:t>a </w:t>
      </w:r>
      <w:r w:rsidRPr="00D4761A">
        <w:rPr>
          <w:rFonts w:cstheme="minorHAnsi"/>
          <w:szCs w:val="24"/>
        </w:rPr>
        <w:t xml:space="preserve">vysokým kardiovaskulárním rizikem </w:t>
      </w:r>
      <w:r w:rsidR="009A60BB" w:rsidRPr="00D4761A">
        <w:rPr>
          <w:rFonts w:cstheme="minorHAnsi"/>
          <w:szCs w:val="24"/>
        </w:rPr>
        <w:t xml:space="preserve">léčených inhibitory SGLT2 </w:t>
      </w:r>
      <w:r w:rsidRPr="00D4761A">
        <w:rPr>
          <w:rFonts w:cstheme="minorHAnsi"/>
          <w:szCs w:val="24"/>
        </w:rPr>
        <w:t xml:space="preserve">bylo zjištěno výrazné snížení kardiovaskulární mortality (25), včetně snížení hospitalizací pro srdeční selhání až </w:t>
      </w:r>
      <w:r w:rsidR="00672ED4" w:rsidRPr="00D4761A">
        <w:rPr>
          <w:rFonts w:cstheme="minorHAnsi"/>
          <w:szCs w:val="24"/>
        </w:rPr>
        <w:t>o </w:t>
      </w:r>
      <w:r w:rsidRPr="00D4761A">
        <w:rPr>
          <w:rFonts w:cstheme="minorHAnsi"/>
          <w:szCs w:val="24"/>
        </w:rPr>
        <w:t>31</w:t>
      </w:r>
      <w:r w:rsidR="00672ED4" w:rsidRPr="00D4761A">
        <w:rPr>
          <w:rFonts w:cstheme="minorHAnsi"/>
          <w:szCs w:val="24"/>
        </w:rPr>
        <w:t> %</w:t>
      </w:r>
      <w:r w:rsidRPr="00D4761A">
        <w:rPr>
          <w:rFonts w:cstheme="minorHAnsi"/>
          <w:szCs w:val="24"/>
        </w:rPr>
        <w:t xml:space="preserve"> (pouze 10-14</w:t>
      </w:r>
      <w:r w:rsidR="00672ED4" w:rsidRPr="00D4761A">
        <w:rPr>
          <w:rFonts w:cstheme="minorHAnsi"/>
          <w:szCs w:val="24"/>
        </w:rPr>
        <w:t> %</w:t>
      </w:r>
      <w:r w:rsidRPr="00D4761A">
        <w:rPr>
          <w:rFonts w:cstheme="minorHAnsi"/>
          <w:szCs w:val="24"/>
        </w:rPr>
        <w:t xml:space="preserve"> sledovaných pacientů mělo srdeční selhání). Následné klinické randomizované studie </w:t>
      </w:r>
      <w:r w:rsidR="00672ED4" w:rsidRPr="00D4761A">
        <w:rPr>
          <w:rFonts w:cstheme="minorHAnsi"/>
          <w:szCs w:val="24"/>
        </w:rPr>
        <w:t>u </w:t>
      </w:r>
      <w:r w:rsidRPr="00D4761A">
        <w:rPr>
          <w:rFonts w:cstheme="minorHAnsi"/>
          <w:szCs w:val="24"/>
        </w:rPr>
        <w:t>pacientů bez DM prokázaly</w:t>
      </w:r>
      <w:r w:rsidR="009A60BB" w:rsidRPr="00D4761A">
        <w:rPr>
          <w:rFonts w:cstheme="minorHAnsi"/>
          <w:szCs w:val="24"/>
        </w:rPr>
        <w:t xml:space="preserve"> jak</w:t>
      </w:r>
      <w:r w:rsidRPr="00D4761A">
        <w:rPr>
          <w:rFonts w:cstheme="minorHAnsi"/>
          <w:szCs w:val="24"/>
        </w:rPr>
        <w:t xml:space="preserve"> snížení hospitalizací pro srdeční selhání, tak kardiovaskulární </w:t>
      </w:r>
      <w:r w:rsidR="00672ED4" w:rsidRPr="00D4761A">
        <w:rPr>
          <w:rFonts w:cstheme="minorHAnsi"/>
          <w:szCs w:val="24"/>
        </w:rPr>
        <w:t>a </w:t>
      </w:r>
      <w:r w:rsidRPr="00D4761A">
        <w:rPr>
          <w:rFonts w:cstheme="minorHAnsi"/>
          <w:szCs w:val="24"/>
        </w:rPr>
        <w:t xml:space="preserve">celkové mortality </w:t>
      </w:r>
      <w:r w:rsidR="00672ED4" w:rsidRPr="00D4761A">
        <w:rPr>
          <w:rFonts w:cstheme="minorHAnsi"/>
          <w:szCs w:val="24"/>
        </w:rPr>
        <w:t>u </w:t>
      </w:r>
      <w:r w:rsidRPr="00D4761A">
        <w:rPr>
          <w:rFonts w:cstheme="minorHAnsi"/>
          <w:szCs w:val="24"/>
        </w:rPr>
        <w:t xml:space="preserve">pacientů bez DM s HFrEF ve funkční třídě NYHA II </w:t>
      </w:r>
      <w:r w:rsidR="00672ED4" w:rsidRPr="00D4761A">
        <w:rPr>
          <w:rFonts w:cstheme="minorHAnsi"/>
          <w:szCs w:val="24"/>
        </w:rPr>
        <w:t>a </w:t>
      </w:r>
      <w:r w:rsidRPr="00D4761A">
        <w:rPr>
          <w:rFonts w:cstheme="minorHAnsi"/>
          <w:szCs w:val="24"/>
        </w:rPr>
        <w:t>v</w:t>
      </w:r>
      <w:r w:rsidR="00DA234A" w:rsidRPr="00D4761A">
        <w:rPr>
          <w:rFonts w:cstheme="minorHAnsi"/>
          <w:szCs w:val="24"/>
        </w:rPr>
        <w:t>y</w:t>
      </w:r>
      <w:r w:rsidRPr="00D4761A">
        <w:rPr>
          <w:rFonts w:cstheme="minorHAnsi"/>
          <w:szCs w:val="24"/>
        </w:rPr>
        <w:t>š</w:t>
      </w:r>
      <w:r w:rsidR="009A60BB" w:rsidRPr="00D4761A">
        <w:rPr>
          <w:rFonts w:cstheme="minorHAnsi"/>
          <w:szCs w:val="24"/>
        </w:rPr>
        <w:t>ší</w:t>
      </w:r>
      <w:r w:rsidRPr="00D4761A">
        <w:rPr>
          <w:rFonts w:cstheme="minorHAnsi"/>
          <w:szCs w:val="24"/>
        </w:rPr>
        <w:t xml:space="preserve"> </w:t>
      </w:r>
      <w:r w:rsidR="00672ED4" w:rsidRPr="00D4761A">
        <w:rPr>
          <w:rFonts w:cstheme="minorHAnsi"/>
          <w:szCs w:val="24"/>
        </w:rPr>
        <w:t>u </w:t>
      </w:r>
      <w:r w:rsidRPr="00D4761A">
        <w:rPr>
          <w:rFonts w:cstheme="minorHAnsi"/>
          <w:szCs w:val="24"/>
        </w:rPr>
        <w:t xml:space="preserve">dapagliflozinu (26). Empagliflozin nedosáhl snížení celkové mortality, dosáhl však snížení kompozitního výsledku (hospitalizace pro srdeční selhání </w:t>
      </w:r>
      <w:r w:rsidR="00672ED4" w:rsidRPr="00D4761A">
        <w:rPr>
          <w:rFonts w:cstheme="minorHAnsi"/>
          <w:szCs w:val="24"/>
        </w:rPr>
        <w:t>a </w:t>
      </w:r>
      <w:r w:rsidRPr="00D4761A">
        <w:rPr>
          <w:rFonts w:cstheme="minorHAnsi"/>
          <w:szCs w:val="24"/>
        </w:rPr>
        <w:t>kardiovaskulární úmrtí), v</w:t>
      </w:r>
      <w:r w:rsidR="009A60BB" w:rsidRPr="00D4761A">
        <w:rPr>
          <w:rFonts w:cstheme="minorHAnsi"/>
          <w:szCs w:val="24"/>
        </w:rPr>
        <w:t>e</w:t>
      </w:r>
      <w:r w:rsidRPr="00D4761A">
        <w:rPr>
          <w:rFonts w:cstheme="minorHAnsi"/>
          <w:szCs w:val="24"/>
        </w:rPr>
        <w:t> kterém dominoval efekt redukce hospitalizací pro srdeční selhání (27). Empagliflozin se ovšem stal první farmakoterapií srdečního selhání, která akceptovala do studie pacienty s GFR pod 30 m</w:t>
      </w:r>
      <w:r w:rsidR="00DA234A" w:rsidRPr="00D4761A">
        <w:rPr>
          <w:rFonts w:cstheme="minorHAnsi"/>
          <w:szCs w:val="24"/>
        </w:rPr>
        <w:t>l</w:t>
      </w:r>
      <w:r w:rsidRPr="00D4761A">
        <w:rPr>
          <w:rFonts w:cstheme="minorHAnsi"/>
          <w:szCs w:val="24"/>
        </w:rPr>
        <w:t>/min (nad 20 m</w:t>
      </w:r>
      <w:r w:rsidR="00DA234A" w:rsidRPr="00D4761A">
        <w:rPr>
          <w:rFonts w:cstheme="minorHAnsi"/>
          <w:szCs w:val="24"/>
        </w:rPr>
        <w:t>l</w:t>
      </w:r>
      <w:r w:rsidRPr="00D4761A">
        <w:rPr>
          <w:rFonts w:cstheme="minorHAnsi"/>
          <w:szCs w:val="24"/>
        </w:rPr>
        <w:t xml:space="preserve">/min). Efekt dapagliflozinu </w:t>
      </w:r>
      <w:r w:rsidR="00672ED4" w:rsidRPr="00D4761A">
        <w:rPr>
          <w:rFonts w:cstheme="minorHAnsi"/>
          <w:szCs w:val="24"/>
        </w:rPr>
        <w:t>i </w:t>
      </w:r>
      <w:r w:rsidRPr="00D4761A">
        <w:rPr>
          <w:rFonts w:cstheme="minorHAnsi"/>
          <w:szCs w:val="24"/>
        </w:rPr>
        <w:t xml:space="preserve">empagliflozinu na HFrEF </w:t>
      </w:r>
      <w:r w:rsidR="009A60BB" w:rsidRPr="00D4761A">
        <w:rPr>
          <w:rFonts w:cstheme="minorHAnsi"/>
          <w:szCs w:val="24"/>
        </w:rPr>
        <w:t>byl</w:t>
      </w:r>
      <w:r w:rsidRPr="00D4761A">
        <w:rPr>
          <w:rFonts w:cstheme="minorHAnsi"/>
          <w:szCs w:val="24"/>
        </w:rPr>
        <w:t xml:space="preserve"> nezávislý na přítomnosti či absenci DM.</w:t>
      </w:r>
      <w:r w:rsidR="00597804" w:rsidRPr="00D4761A">
        <w:rPr>
          <w:rFonts w:cstheme="minorHAnsi"/>
          <w:szCs w:val="24"/>
        </w:rPr>
        <w:t xml:space="preserve"> </w:t>
      </w:r>
      <w:r w:rsidR="00546154" w:rsidRPr="00D4761A">
        <w:rPr>
          <w:rFonts w:cstheme="minorHAnsi"/>
          <w:szCs w:val="24"/>
        </w:rPr>
        <w:t xml:space="preserve">S podáváním </w:t>
      </w:r>
      <w:r w:rsidRPr="00D4761A">
        <w:rPr>
          <w:rFonts w:cstheme="minorHAnsi"/>
          <w:szCs w:val="24"/>
        </w:rPr>
        <w:t xml:space="preserve">gliflozinů </w:t>
      </w:r>
      <w:r w:rsidR="00546154" w:rsidRPr="00D4761A">
        <w:rPr>
          <w:rFonts w:cstheme="minorHAnsi"/>
          <w:szCs w:val="24"/>
        </w:rPr>
        <w:t xml:space="preserve">je spojováno zvýšené </w:t>
      </w:r>
      <w:r w:rsidR="00DB40F8" w:rsidRPr="00D4761A">
        <w:rPr>
          <w:rFonts w:cstheme="minorHAnsi"/>
          <w:szCs w:val="24"/>
        </w:rPr>
        <w:t>riziko močové</w:t>
      </w:r>
      <w:r w:rsidRPr="00D4761A">
        <w:rPr>
          <w:rFonts w:cstheme="minorHAnsi"/>
          <w:szCs w:val="24"/>
        </w:rPr>
        <w:t xml:space="preserve"> infekce</w:t>
      </w:r>
      <w:r w:rsidR="00546154" w:rsidRPr="00D4761A">
        <w:rPr>
          <w:rFonts w:cstheme="minorHAnsi"/>
          <w:szCs w:val="24"/>
        </w:rPr>
        <w:t xml:space="preserve"> </w:t>
      </w:r>
      <w:r w:rsidR="00672ED4" w:rsidRPr="00D4761A">
        <w:rPr>
          <w:rFonts w:cstheme="minorHAnsi"/>
          <w:szCs w:val="24"/>
        </w:rPr>
        <w:t>a </w:t>
      </w:r>
      <w:r w:rsidRPr="00D4761A">
        <w:rPr>
          <w:rFonts w:cstheme="minorHAnsi"/>
          <w:szCs w:val="24"/>
        </w:rPr>
        <w:t>euvolemick</w:t>
      </w:r>
      <w:r w:rsidR="00546154" w:rsidRPr="00D4761A">
        <w:rPr>
          <w:rFonts w:cstheme="minorHAnsi"/>
          <w:szCs w:val="24"/>
        </w:rPr>
        <w:t>é</w:t>
      </w:r>
      <w:r w:rsidRPr="00D4761A">
        <w:rPr>
          <w:rFonts w:cstheme="minorHAnsi"/>
          <w:szCs w:val="24"/>
        </w:rPr>
        <w:t xml:space="preserve"> ketoacidóz</w:t>
      </w:r>
      <w:r w:rsidR="00546154" w:rsidRPr="00D4761A">
        <w:rPr>
          <w:rFonts w:cstheme="minorHAnsi"/>
          <w:szCs w:val="24"/>
        </w:rPr>
        <w:t>y</w:t>
      </w:r>
      <w:r w:rsidRPr="00D4761A">
        <w:rPr>
          <w:rFonts w:cstheme="minorHAnsi"/>
          <w:szCs w:val="24"/>
        </w:rPr>
        <w:t>.</w:t>
      </w:r>
    </w:p>
    <w:p w14:paraId="32BA428C" w14:textId="43E27D3B" w:rsidR="00AF5A33" w:rsidRPr="00D4761A" w:rsidRDefault="00AF5A33" w:rsidP="00672ED4">
      <w:pPr>
        <w:pStyle w:val="Nadpis30"/>
      </w:pPr>
      <w:bookmarkStart w:id="15" w:name="_Toc120547433"/>
      <w:r w:rsidRPr="00D4761A">
        <w:t>Hydralazin/isosorbid dinitrát</w:t>
      </w:r>
      <w:bookmarkEnd w:id="15"/>
    </w:p>
    <w:p w14:paraId="2E97D2E5" w14:textId="06CC9149" w:rsidR="00AF5A33" w:rsidRPr="00D4761A" w:rsidRDefault="00AF5A33" w:rsidP="00672ED4">
      <w:pPr>
        <w:ind w:firstLine="708"/>
        <w:rPr>
          <w:rFonts w:cstheme="minorHAnsi"/>
          <w:szCs w:val="24"/>
        </w:rPr>
      </w:pPr>
      <w:r w:rsidRPr="00D4761A">
        <w:rPr>
          <w:rFonts w:cstheme="minorHAnsi"/>
          <w:szCs w:val="24"/>
        </w:rPr>
        <w:t xml:space="preserve">Tato kombinační terapie je založena na </w:t>
      </w:r>
      <w:r w:rsidR="00546154" w:rsidRPr="00D4761A">
        <w:rPr>
          <w:rFonts w:cstheme="minorHAnsi"/>
          <w:szCs w:val="24"/>
        </w:rPr>
        <w:t xml:space="preserve">datech </w:t>
      </w:r>
      <w:r w:rsidRPr="00D4761A">
        <w:rPr>
          <w:rFonts w:cstheme="minorHAnsi"/>
          <w:szCs w:val="24"/>
        </w:rPr>
        <w:t xml:space="preserve">dvou klinických studií z prostředí zdravotnické péče </w:t>
      </w:r>
      <w:r w:rsidR="00672ED4" w:rsidRPr="00D4761A">
        <w:rPr>
          <w:rFonts w:cstheme="minorHAnsi"/>
          <w:szCs w:val="24"/>
        </w:rPr>
        <w:t>o </w:t>
      </w:r>
      <w:r w:rsidRPr="00D4761A">
        <w:rPr>
          <w:rFonts w:cstheme="minorHAnsi"/>
          <w:szCs w:val="24"/>
        </w:rPr>
        <w:t>válečné veterány v Spojených státech amerických. Studovanou kohortou byl</w:t>
      </w:r>
      <w:r w:rsidR="00546154" w:rsidRPr="00D4761A">
        <w:rPr>
          <w:rFonts w:cstheme="minorHAnsi"/>
          <w:szCs w:val="24"/>
        </w:rPr>
        <w:t>i</w:t>
      </w:r>
      <w:r w:rsidRPr="00D4761A">
        <w:rPr>
          <w:rFonts w:cstheme="minorHAnsi"/>
          <w:szCs w:val="24"/>
        </w:rPr>
        <w:t xml:space="preserve"> afro-američtí veteráni na standartní terapii betablokátorem, ACEi </w:t>
      </w:r>
      <w:r w:rsidR="00672ED4" w:rsidRPr="00D4761A">
        <w:rPr>
          <w:rFonts w:cstheme="minorHAnsi"/>
          <w:szCs w:val="24"/>
        </w:rPr>
        <w:t>a </w:t>
      </w:r>
      <w:r w:rsidRPr="00D4761A">
        <w:rPr>
          <w:rFonts w:cstheme="minorHAnsi"/>
          <w:szCs w:val="24"/>
        </w:rPr>
        <w:t xml:space="preserve">MRA, </w:t>
      </w:r>
      <w:r w:rsidR="00672ED4" w:rsidRPr="00D4761A">
        <w:rPr>
          <w:rFonts w:cstheme="minorHAnsi"/>
          <w:szCs w:val="24"/>
        </w:rPr>
        <w:t>u </w:t>
      </w:r>
      <w:r w:rsidRPr="00D4761A">
        <w:rPr>
          <w:rFonts w:cstheme="minorHAnsi"/>
          <w:szCs w:val="24"/>
        </w:rPr>
        <w:t xml:space="preserve">kterých kombinace hydralazinu </w:t>
      </w:r>
      <w:r w:rsidR="00672ED4" w:rsidRPr="00D4761A">
        <w:rPr>
          <w:rFonts w:cstheme="minorHAnsi"/>
          <w:szCs w:val="24"/>
        </w:rPr>
        <w:t>a </w:t>
      </w:r>
      <w:r w:rsidRPr="00D4761A">
        <w:rPr>
          <w:rFonts w:cstheme="minorHAnsi"/>
          <w:szCs w:val="24"/>
        </w:rPr>
        <w:t xml:space="preserve">isosorbidu vedla k snížení kombinovaného cíle celkové mortality </w:t>
      </w:r>
      <w:r w:rsidR="00672ED4" w:rsidRPr="00D4761A">
        <w:rPr>
          <w:rFonts w:cstheme="minorHAnsi"/>
          <w:szCs w:val="24"/>
        </w:rPr>
        <w:t>a </w:t>
      </w:r>
      <w:r w:rsidRPr="00D4761A">
        <w:rPr>
          <w:rFonts w:cstheme="minorHAnsi"/>
          <w:szCs w:val="24"/>
        </w:rPr>
        <w:t>redukce hospitalizací pro srdeční selhání (28).</w:t>
      </w:r>
    </w:p>
    <w:p w14:paraId="5494284B" w14:textId="62EB22BD" w:rsidR="00AF5A33" w:rsidRPr="00D4761A" w:rsidRDefault="00AF5A33" w:rsidP="00672ED4">
      <w:pPr>
        <w:pStyle w:val="Nadpis30"/>
      </w:pPr>
      <w:bookmarkStart w:id="16" w:name="_Toc120547434"/>
      <w:r w:rsidRPr="00D4761A">
        <w:t>Stimulátor solubilní guanylátcyklázy</w:t>
      </w:r>
      <w:bookmarkEnd w:id="16"/>
    </w:p>
    <w:p w14:paraId="52DAA873" w14:textId="574091C9" w:rsidR="00AF5A33" w:rsidRPr="00D4761A" w:rsidRDefault="00AF5A33" w:rsidP="00672ED4">
      <w:pPr>
        <w:ind w:firstLine="708"/>
        <w:rPr>
          <w:rFonts w:cstheme="minorHAnsi"/>
          <w:szCs w:val="24"/>
        </w:rPr>
      </w:pPr>
      <w:r w:rsidRPr="00D4761A">
        <w:rPr>
          <w:rFonts w:cstheme="minorHAnsi"/>
          <w:szCs w:val="24"/>
        </w:rPr>
        <w:t xml:space="preserve">Jediným zástupcem je vericiguat, který </w:t>
      </w:r>
      <w:r w:rsidR="00672ED4" w:rsidRPr="00D4761A">
        <w:rPr>
          <w:rFonts w:cstheme="minorHAnsi"/>
          <w:szCs w:val="24"/>
        </w:rPr>
        <w:t>u </w:t>
      </w:r>
      <w:r w:rsidRPr="00D4761A">
        <w:rPr>
          <w:rFonts w:cstheme="minorHAnsi"/>
          <w:szCs w:val="24"/>
        </w:rPr>
        <w:t>pacientů s ejekční frakcí levé komory pod 45</w:t>
      </w:r>
      <w:r w:rsidR="00672ED4" w:rsidRPr="00D4761A">
        <w:rPr>
          <w:rFonts w:cstheme="minorHAnsi"/>
          <w:szCs w:val="24"/>
        </w:rPr>
        <w:t> %</w:t>
      </w:r>
      <w:r w:rsidRPr="00D4761A">
        <w:rPr>
          <w:rFonts w:cstheme="minorHAnsi"/>
          <w:szCs w:val="24"/>
        </w:rPr>
        <w:t xml:space="preserve"> ve funkční třídě NYHA II-IV snížil kombinovaný cíl kardiovaskulární mortality </w:t>
      </w:r>
      <w:r w:rsidR="00672ED4" w:rsidRPr="00D4761A">
        <w:rPr>
          <w:rFonts w:cstheme="minorHAnsi"/>
          <w:szCs w:val="24"/>
        </w:rPr>
        <w:t>a </w:t>
      </w:r>
      <w:r w:rsidRPr="00D4761A">
        <w:rPr>
          <w:rFonts w:cstheme="minorHAnsi"/>
          <w:szCs w:val="24"/>
        </w:rPr>
        <w:t>hospitalizace pro srdeční selhání (29).</w:t>
      </w:r>
      <w:r w:rsidR="00597804" w:rsidRPr="00D4761A">
        <w:rPr>
          <w:rFonts w:cstheme="minorHAnsi"/>
          <w:szCs w:val="24"/>
        </w:rPr>
        <w:t xml:space="preserve"> </w:t>
      </w:r>
      <w:r w:rsidR="00546154" w:rsidRPr="00D4761A">
        <w:rPr>
          <w:rFonts w:cstheme="minorHAnsi"/>
          <w:szCs w:val="24"/>
        </w:rPr>
        <w:t>V</w:t>
      </w:r>
      <w:r w:rsidRPr="00D4761A">
        <w:rPr>
          <w:rFonts w:cstheme="minorHAnsi"/>
          <w:szCs w:val="24"/>
        </w:rPr>
        <w:t xml:space="preserve"> intervenované skupině pacientů </w:t>
      </w:r>
      <w:r w:rsidR="00546154" w:rsidRPr="00D4761A">
        <w:rPr>
          <w:rFonts w:cstheme="minorHAnsi"/>
          <w:szCs w:val="24"/>
        </w:rPr>
        <w:t>nebyla snížena celková mortalita</w:t>
      </w:r>
      <w:r w:rsidR="00DB40F8" w:rsidRPr="00D4761A">
        <w:rPr>
          <w:rFonts w:cstheme="minorHAnsi"/>
          <w:szCs w:val="24"/>
        </w:rPr>
        <w:t>.</w:t>
      </w:r>
    </w:p>
    <w:p w14:paraId="42BA677B" w14:textId="71A0927C" w:rsidR="00AF5A33" w:rsidRPr="00D4761A" w:rsidRDefault="00AF5A33" w:rsidP="00672ED4">
      <w:pPr>
        <w:pStyle w:val="Nadpis30"/>
      </w:pPr>
      <w:bookmarkStart w:id="17" w:name="_Toc120547435"/>
      <w:r w:rsidRPr="00D4761A">
        <w:lastRenderedPageBreak/>
        <w:t>Ivabradin</w:t>
      </w:r>
      <w:bookmarkEnd w:id="17"/>
    </w:p>
    <w:p w14:paraId="64229A6B" w14:textId="6EB4E172" w:rsidR="00597804" w:rsidRPr="00D4761A" w:rsidRDefault="00C775BC" w:rsidP="00672ED4">
      <w:pPr>
        <w:ind w:firstLine="708"/>
        <w:rPr>
          <w:rFonts w:cstheme="minorHAnsi"/>
          <w:szCs w:val="24"/>
        </w:rPr>
      </w:pPr>
      <w:r w:rsidRPr="00D4761A">
        <w:rPr>
          <w:rFonts w:cstheme="minorHAnsi"/>
          <w:szCs w:val="24"/>
        </w:rPr>
        <w:t>Při použití i</w:t>
      </w:r>
      <w:r w:rsidR="00AF5A33" w:rsidRPr="00D4761A">
        <w:rPr>
          <w:rFonts w:cstheme="minorHAnsi"/>
          <w:szCs w:val="24"/>
        </w:rPr>
        <w:t>vabradin</w:t>
      </w:r>
      <w:r w:rsidRPr="00D4761A">
        <w:rPr>
          <w:rFonts w:cstheme="minorHAnsi"/>
          <w:szCs w:val="24"/>
        </w:rPr>
        <w:t xml:space="preserve">u </w:t>
      </w:r>
      <w:r w:rsidR="00823009" w:rsidRPr="00D4761A">
        <w:rPr>
          <w:rFonts w:cstheme="minorHAnsi"/>
          <w:szCs w:val="24"/>
        </w:rPr>
        <w:t>byla testována</w:t>
      </w:r>
      <w:r w:rsidR="00AF5A33" w:rsidRPr="00D4761A">
        <w:rPr>
          <w:rFonts w:cstheme="minorHAnsi"/>
          <w:szCs w:val="24"/>
        </w:rPr>
        <w:t xml:space="preserve"> hypotéz</w:t>
      </w:r>
      <w:r w:rsidRPr="00D4761A">
        <w:rPr>
          <w:rFonts w:cstheme="minorHAnsi"/>
          <w:szCs w:val="24"/>
        </w:rPr>
        <w:t>a</w:t>
      </w:r>
      <w:r w:rsidR="00AF5A33" w:rsidRPr="00D4761A">
        <w:rPr>
          <w:rFonts w:cstheme="minorHAnsi"/>
          <w:szCs w:val="24"/>
        </w:rPr>
        <w:t xml:space="preserve">, že redukce tepové frekvence </w:t>
      </w:r>
      <w:r w:rsidRPr="00D4761A">
        <w:rPr>
          <w:rFonts w:cstheme="minorHAnsi"/>
          <w:szCs w:val="24"/>
        </w:rPr>
        <w:t>na hodnoty ≤</w:t>
      </w:r>
      <w:r w:rsidR="00AF5A33" w:rsidRPr="00D4761A">
        <w:rPr>
          <w:rFonts w:cstheme="minorHAnsi"/>
          <w:szCs w:val="24"/>
        </w:rPr>
        <w:t xml:space="preserve">70/min </w:t>
      </w:r>
      <w:r w:rsidR="00672ED4" w:rsidRPr="00D4761A">
        <w:rPr>
          <w:rFonts w:cstheme="minorHAnsi"/>
          <w:szCs w:val="24"/>
        </w:rPr>
        <w:t>u </w:t>
      </w:r>
      <w:r w:rsidR="00AF5A33" w:rsidRPr="00D4761A">
        <w:rPr>
          <w:rFonts w:cstheme="minorHAnsi"/>
          <w:szCs w:val="24"/>
        </w:rPr>
        <w:t xml:space="preserve">pacientů s HFrEF ve funkční třídě NYHA II </w:t>
      </w:r>
      <w:r w:rsidR="00672ED4" w:rsidRPr="00D4761A">
        <w:rPr>
          <w:rFonts w:cstheme="minorHAnsi"/>
          <w:szCs w:val="24"/>
        </w:rPr>
        <w:t>a </w:t>
      </w:r>
      <w:r w:rsidR="00AF5A33" w:rsidRPr="00D4761A">
        <w:rPr>
          <w:rFonts w:cstheme="minorHAnsi"/>
          <w:szCs w:val="24"/>
        </w:rPr>
        <w:t xml:space="preserve">III bude redukovat kombinaci kardiovaskulární mortality </w:t>
      </w:r>
      <w:r w:rsidR="00672ED4" w:rsidRPr="00D4761A">
        <w:rPr>
          <w:rFonts w:cstheme="minorHAnsi"/>
          <w:szCs w:val="24"/>
        </w:rPr>
        <w:t>a </w:t>
      </w:r>
      <w:r w:rsidR="00AF5A33" w:rsidRPr="00D4761A">
        <w:rPr>
          <w:rFonts w:cstheme="minorHAnsi"/>
          <w:szCs w:val="24"/>
        </w:rPr>
        <w:t>počtu hospitalizací pro srdeční selhání, což potvrdila stud</w:t>
      </w:r>
      <w:r w:rsidR="00823009" w:rsidRPr="00D4761A">
        <w:rPr>
          <w:rFonts w:cstheme="minorHAnsi"/>
          <w:szCs w:val="24"/>
        </w:rPr>
        <w:t>i</w:t>
      </w:r>
      <w:r w:rsidR="00AF5A33" w:rsidRPr="00D4761A">
        <w:rPr>
          <w:rFonts w:cstheme="minorHAnsi"/>
          <w:szCs w:val="24"/>
        </w:rPr>
        <w:t xml:space="preserve">e SHIFT (30). Ivabradin je však účinný pouze </w:t>
      </w:r>
      <w:r w:rsidR="00672ED4" w:rsidRPr="00D4761A">
        <w:rPr>
          <w:rFonts w:cstheme="minorHAnsi"/>
          <w:szCs w:val="24"/>
        </w:rPr>
        <w:t>u </w:t>
      </w:r>
      <w:r w:rsidR="00AF5A33" w:rsidRPr="00D4761A">
        <w:rPr>
          <w:rFonts w:cstheme="minorHAnsi"/>
          <w:szCs w:val="24"/>
        </w:rPr>
        <w:t>pacientů se sinusovým rytmem, protože ovlivňuje If kanál v sinoatriálním uzlu.</w:t>
      </w:r>
      <w:r w:rsidR="00597804" w:rsidRPr="00D4761A">
        <w:rPr>
          <w:rFonts w:cstheme="minorHAnsi"/>
          <w:szCs w:val="24"/>
        </w:rPr>
        <w:t xml:space="preserve"> </w:t>
      </w:r>
      <w:r w:rsidR="00AF5A33" w:rsidRPr="00D4761A">
        <w:rPr>
          <w:rFonts w:cstheme="minorHAnsi"/>
          <w:szCs w:val="24"/>
        </w:rPr>
        <w:t xml:space="preserve">Zásadní limitací studie SHIFT byla nízká dávka betablokátorů </w:t>
      </w:r>
      <w:r w:rsidR="00672ED4" w:rsidRPr="00D4761A">
        <w:rPr>
          <w:rFonts w:cstheme="minorHAnsi"/>
          <w:szCs w:val="24"/>
        </w:rPr>
        <w:t>u </w:t>
      </w:r>
      <w:r w:rsidR="00AF5A33" w:rsidRPr="00D4761A">
        <w:rPr>
          <w:rFonts w:cstheme="minorHAnsi"/>
          <w:szCs w:val="24"/>
        </w:rPr>
        <w:t>randomizované kohorty pacientů, která de facto prokazovala neoptimální management pacientů.</w:t>
      </w:r>
    </w:p>
    <w:p w14:paraId="2F780FAE" w14:textId="3820997B" w:rsidR="00AF5A33" w:rsidRPr="00D4761A" w:rsidRDefault="00AF5A33" w:rsidP="00672ED4">
      <w:pPr>
        <w:pStyle w:val="Nadpis30"/>
      </w:pPr>
      <w:bookmarkStart w:id="18" w:name="_Toc120547436"/>
      <w:r w:rsidRPr="00D4761A">
        <w:t>Digoxin</w:t>
      </w:r>
      <w:bookmarkEnd w:id="18"/>
    </w:p>
    <w:p w14:paraId="5278F479" w14:textId="25C3A3EC" w:rsidR="00597804" w:rsidRPr="00D4761A" w:rsidRDefault="00AF5A33" w:rsidP="00672ED4">
      <w:pPr>
        <w:ind w:firstLine="708"/>
        <w:rPr>
          <w:rFonts w:cstheme="minorHAnsi"/>
          <w:szCs w:val="24"/>
        </w:rPr>
      </w:pPr>
      <w:r w:rsidRPr="00D4761A">
        <w:rPr>
          <w:rFonts w:cstheme="minorHAnsi"/>
          <w:szCs w:val="24"/>
        </w:rPr>
        <w:t xml:space="preserve">Ačkoliv je digoxin nejdéle používaný lék pacientů se srdečním selháním, není klinická evidence </w:t>
      </w:r>
      <w:r w:rsidR="00672ED4" w:rsidRPr="00D4761A">
        <w:rPr>
          <w:rFonts w:cstheme="minorHAnsi"/>
          <w:szCs w:val="24"/>
        </w:rPr>
        <w:t>o </w:t>
      </w:r>
      <w:r w:rsidRPr="00D4761A">
        <w:rPr>
          <w:rFonts w:cstheme="minorHAnsi"/>
          <w:szCs w:val="24"/>
        </w:rPr>
        <w:t xml:space="preserve">snížení celkové mortality </w:t>
      </w:r>
      <w:r w:rsidR="00672ED4" w:rsidRPr="00D4761A">
        <w:rPr>
          <w:rFonts w:cstheme="minorHAnsi"/>
          <w:szCs w:val="24"/>
        </w:rPr>
        <w:t>u </w:t>
      </w:r>
      <w:r w:rsidRPr="00D4761A">
        <w:rPr>
          <w:rFonts w:cstheme="minorHAnsi"/>
          <w:szCs w:val="24"/>
        </w:rPr>
        <w:t xml:space="preserve">pacientů s HFrEF se sinusovým rytmem. Multicentrická randomizovaná studie DIG </w:t>
      </w:r>
      <w:r w:rsidR="00672ED4" w:rsidRPr="00D4761A">
        <w:rPr>
          <w:rFonts w:cstheme="minorHAnsi"/>
          <w:szCs w:val="24"/>
        </w:rPr>
        <w:t>u </w:t>
      </w:r>
      <w:r w:rsidR="00FC3030" w:rsidRPr="00D4761A">
        <w:rPr>
          <w:rFonts w:cstheme="minorHAnsi"/>
          <w:szCs w:val="24"/>
        </w:rPr>
        <w:t>těchto</w:t>
      </w:r>
      <w:r w:rsidRPr="00D4761A">
        <w:rPr>
          <w:rFonts w:cstheme="minorHAnsi"/>
          <w:szCs w:val="24"/>
        </w:rPr>
        <w:t xml:space="preserve"> pacie</w:t>
      </w:r>
      <w:r w:rsidR="00FC3030" w:rsidRPr="00D4761A">
        <w:rPr>
          <w:rFonts w:cstheme="minorHAnsi"/>
          <w:szCs w:val="24"/>
        </w:rPr>
        <w:t>ntů</w:t>
      </w:r>
      <w:r w:rsidR="008021C9" w:rsidRPr="00D4761A">
        <w:rPr>
          <w:rFonts w:cstheme="minorHAnsi"/>
          <w:szCs w:val="24"/>
        </w:rPr>
        <w:t xml:space="preserve"> </w:t>
      </w:r>
      <w:r w:rsidRPr="00D4761A">
        <w:rPr>
          <w:rFonts w:cstheme="minorHAnsi"/>
          <w:szCs w:val="24"/>
        </w:rPr>
        <w:t xml:space="preserve">prokázala snížení počtu hospitalizací </w:t>
      </w:r>
      <w:r w:rsidR="00672ED4" w:rsidRPr="00D4761A">
        <w:rPr>
          <w:rFonts w:cstheme="minorHAnsi"/>
          <w:szCs w:val="24"/>
        </w:rPr>
        <w:t>a </w:t>
      </w:r>
      <w:r w:rsidRPr="00D4761A">
        <w:rPr>
          <w:rFonts w:cstheme="minorHAnsi"/>
          <w:szCs w:val="24"/>
        </w:rPr>
        <w:t>počtu hospitalizací pro srdeční selhání (31). Z pohledu dnešní terapie srdečního selhání je zásadní ten fakt, že pacienti ve studii DIG nebyli léčeni betablokátory. Vliv digoxinu na pacienty se HFrEF s fibrilací síní nebyl testován v kontrolovaných klinických studiích.</w:t>
      </w:r>
    </w:p>
    <w:p w14:paraId="4C0BFFE1" w14:textId="55ACD5E1" w:rsidR="00AF5A33" w:rsidRPr="00D4761A" w:rsidRDefault="00AF5A33" w:rsidP="00672ED4">
      <w:pPr>
        <w:pStyle w:val="Nadpis30"/>
      </w:pPr>
      <w:bookmarkStart w:id="19" w:name="_Toc120547437"/>
      <w:r w:rsidRPr="00D4761A">
        <w:t>Aktivátory kardiálního myozinu</w:t>
      </w:r>
      <w:bookmarkEnd w:id="19"/>
    </w:p>
    <w:p w14:paraId="29B2D0CC" w14:textId="098793D6" w:rsidR="00597804" w:rsidRPr="00D4761A" w:rsidRDefault="00AF5A33" w:rsidP="00672ED4">
      <w:pPr>
        <w:ind w:firstLine="708"/>
        <w:rPr>
          <w:rFonts w:cstheme="minorHAnsi"/>
          <w:szCs w:val="24"/>
        </w:rPr>
      </w:pPr>
      <w:r w:rsidRPr="00D4761A">
        <w:rPr>
          <w:rFonts w:cstheme="minorHAnsi"/>
          <w:szCs w:val="24"/>
        </w:rPr>
        <w:t>Jediný zástupce je omecamtiv mecarbil, který byl testován ve studii v GALACTIC-HF, kde by</w:t>
      </w:r>
      <w:r w:rsidR="00FC3030" w:rsidRPr="00D4761A">
        <w:rPr>
          <w:rFonts w:cstheme="minorHAnsi"/>
          <w:szCs w:val="24"/>
        </w:rPr>
        <w:t>l</w:t>
      </w:r>
      <w:r w:rsidRPr="00D4761A">
        <w:rPr>
          <w:rFonts w:cstheme="minorHAnsi"/>
          <w:szCs w:val="24"/>
        </w:rPr>
        <w:t xml:space="preserve"> kompozitní výsledek kardiovaskulární smrt nebo hospitalizace pro srdeční selhání (32). Studie byla hodnocena v režimu </w:t>
      </w:r>
      <w:r w:rsidR="008F6BAF" w:rsidRPr="00D4761A">
        <w:rPr>
          <w:rFonts w:cstheme="minorHAnsi"/>
          <w:szCs w:val="24"/>
        </w:rPr>
        <w:t xml:space="preserve">času </w:t>
      </w:r>
      <w:r w:rsidR="00672ED4" w:rsidRPr="00D4761A">
        <w:rPr>
          <w:rFonts w:cstheme="minorHAnsi"/>
          <w:szCs w:val="24"/>
        </w:rPr>
        <w:t>k </w:t>
      </w:r>
      <w:r w:rsidRPr="00D4761A">
        <w:rPr>
          <w:rFonts w:cstheme="minorHAnsi"/>
          <w:szCs w:val="24"/>
        </w:rPr>
        <w:t>první události (time to event analysis), přičemž váha události byla stejná pro kardiovaskulární smrt nebo hospitalizaci pro srdeční selhání.</w:t>
      </w:r>
      <w:r w:rsidR="00597804" w:rsidRPr="00D4761A">
        <w:rPr>
          <w:rFonts w:cstheme="minorHAnsi"/>
          <w:szCs w:val="24"/>
        </w:rPr>
        <w:t xml:space="preserve"> </w:t>
      </w:r>
      <w:r w:rsidRPr="00D4761A">
        <w:rPr>
          <w:rFonts w:cstheme="minorHAnsi"/>
          <w:szCs w:val="24"/>
        </w:rPr>
        <w:t>Kompozitní výsledek byl redukován, kardiovaskulární mortalita nikoliv.</w:t>
      </w:r>
    </w:p>
    <w:p w14:paraId="5B3BFD0E" w14:textId="6295FC8A" w:rsidR="00597804" w:rsidRPr="00D4761A" w:rsidRDefault="00AF5A33" w:rsidP="00672ED4">
      <w:pPr>
        <w:pStyle w:val="Nadpis30"/>
      </w:pPr>
      <w:bookmarkStart w:id="20" w:name="_Toc120547438"/>
      <w:r w:rsidRPr="00D4761A">
        <w:t>Intravenózní formy železa</w:t>
      </w:r>
      <w:bookmarkEnd w:id="20"/>
    </w:p>
    <w:p w14:paraId="66F4C14A" w14:textId="1CA84A8A" w:rsidR="00AF5A33" w:rsidRPr="00D4761A" w:rsidRDefault="00AF5A33" w:rsidP="00672ED4">
      <w:pPr>
        <w:ind w:firstLine="708"/>
        <w:rPr>
          <w:rFonts w:cstheme="minorHAnsi"/>
          <w:szCs w:val="24"/>
        </w:rPr>
      </w:pPr>
      <w:r w:rsidRPr="00D4761A">
        <w:rPr>
          <w:rFonts w:cstheme="minorHAnsi"/>
          <w:szCs w:val="24"/>
        </w:rPr>
        <w:t xml:space="preserve">Myšlenka korekce anemie </w:t>
      </w:r>
      <w:r w:rsidR="00672ED4" w:rsidRPr="00D4761A">
        <w:rPr>
          <w:rFonts w:cstheme="minorHAnsi"/>
          <w:szCs w:val="24"/>
        </w:rPr>
        <w:t>a </w:t>
      </w:r>
      <w:r w:rsidRPr="00D4761A">
        <w:rPr>
          <w:rFonts w:cstheme="minorHAnsi"/>
          <w:szCs w:val="24"/>
        </w:rPr>
        <w:t>deficitu železa byla publikována již v devadesátých letech 20.</w:t>
      </w:r>
      <w:r w:rsidR="00672ED4" w:rsidRPr="00D4761A">
        <w:rPr>
          <w:rFonts w:cstheme="minorHAnsi"/>
          <w:szCs w:val="24"/>
        </w:rPr>
        <w:t> </w:t>
      </w:r>
      <w:r w:rsidRPr="00D4761A">
        <w:rPr>
          <w:rFonts w:cstheme="minorHAnsi"/>
          <w:szCs w:val="24"/>
        </w:rPr>
        <w:t xml:space="preserve">století </w:t>
      </w:r>
      <w:r w:rsidR="00672ED4" w:rsidRPr="00D4761A">
        <w:rPr>
          <w:rFonts w:cstheme="minorHAnsi"/>
          <w:szCs w:val="24"/>
        </w:rPr>
        <w:t>a </w:t>
      </w:r>
      <w:r w:rsidRPr="00D4761A">
        <w:rPr>
          <w:rFonts w:cstheme="minorHAnsi"/>
          <w:szCs w:val="24"/>
        </w:rPr>
        <w:t xml:space="preserve">byla spjata s použitím erythropoetinu </w:t>
      </w:r>
      <w:r w:rsidR="00672ED4" w:rsidRPr="00D4761A">
        <w:rPr>
          <w:rFonts w:cstheme="minorHAnsi"/>
          <w:szCs w:val="24"/>
        </w:rPr>
        <w:t>a </w:t>
      </w:r>
      <w:r w:rsidRPr="00D4761A">
        <w:rPr>
          <w:rFonts w:cstheme="minorHAnsi"/>
          <w:szCs w:val="24"/>
        </w:rPr>
        <w:t xml:space="preserve">intravenózního železa s výsledkem zlepšení funkční třídy </w:t>
      </w:r>
      <w:r w:rsidR="00672ED4" w:rsidRPr="00D4761A">
        <w:rPr>
          <w:rFonts w:cstheme="minorHAnsi"/>
          <w:szCs w:val="24"/>
        </w:rPr>
        <w:t>a </w:t>
      </w:r>
      <w:r w:rsidRPr="00D4761A">
        <w:rPr>
          <w:rFonts w:cstheme="minorHAnsi"/>
          <w:szCs w:val="24"/>
        </w:rPr>
        <w:t xml:space="preserve">ejekční frakce levé komory </w:t>
      </w:r>
      <w:r w:rsidR="00672ED4" w:rsidRPr="00D4761A">
        <w:rPr>
          <w:rFonts w:cstheme="minorHAnsi"/>
          <w:szCs w:val="24"/>
        </w:rPr>
        <w:t>u </w:t>
      </w:r>
      <w:r w:rsidRPr="00D4761A">
        <w:rPr>
          <w:rFonts w:cstheme="minorHAnsi"/>
          <w:szCs w:val="24"/>
        </w:rPr>
        <w:t xml:space="preserve">pacientů </w:t>
      </w:r>
      <w:r w:rsidR="00672ED4" w:rsidRPr="00D4761A">
        <w:rPr>
          <w:rFonts w:cstheme="minorHAnsi"/>
          <w:szCs w:val="24"/>
        </w:rPr>
        <w:t>s </w:t>
      </w:r>
      <w:r w:rsidRPr="00D4761A">
        <w:rPr>
          <w:rFonts w:cstheme="minorHAnsi"/>
          <w:szCs w:val="24"/>
        </w:rPr>
        <w:t xml:space="preserve">HFrEF (33). Následně multicentrická, randomizovaná studie s derivátem erythropoetinu darbepoetinem-alfa ovšem </w:t>
      </w:r>
      <w:r w:rsidR="00672ED4" w:rsidRPr="00D4761A">
        <w:rPr>
          <w:rFonts w:cstheme="minorHAnsi"/>
          <w:szCs w:val="24"/>
        </w:rPr>
        <w:t>u </w:t>
      </w:r>
      <w:r w:rsidRPr="00D4761A">
        <w:rPr>
          <w:rFonts w:cstheme="minorHAnsi"/>
          <w:szCs w:val="24"/>
        </w:rPr>
        <w:t xml:space="preserve">pacientů s HFrER </w:t>
      </w:r>
      <w:r w:rsidR="00672ED4" w:rsidRPr="00D4761A">
        <w:rPr>
          <w:rFonts w:cstheme="minorHAnsi"/>
          <w:szCs w:val="24"/>
        </w:rPr>
        <w:t>a </w:t>
      </w:r>
      <w:r w:rsidRPr="00D4761A">
        <w:rPr>
          <w:rFonts w:cstheme="minorHAnsi"/>
          <w:szCs w:val="24"/>
        </w:rPr>
        <w:t xml:space="preserve">anemií neprokázala redukci kompozitního cíle celkové mortality </w:t>
      </w:r>
      <w:r w:rsidR="00672ED4" w:rsidRPr="00D4761A">
        <w:rPr>
          <w:rFonts w:cstheme="minorHAnsi"/>
          <w:szCs w:val="24"/>
        </w:rPr>
        <w:t>a </w:t>
      </w:r>
      <w:r w:rsidRPr="00D4761A">
        <w:rPr>
          <w:rFonts w:cstheme="minorHAnsi"/>
          <w:szCs w:val="24"/>
        </w:rPr>
        <w:t xml:space="preserve">hospitalizace pro srdeční selhání (34). Naopak prokázala vyšší riziko mrtvice </w:t>
      </w:r>
      <w:r w:rsidR="00672ED4" w:rsidRPr="00D4761A">
        <w:rPr>
          <w:rFonts w:cstheme="minorHAnsi"/>
          <w:szCs w:val="24"/>
        </w:rPr>
        <w:lastRenderedPageBreak/>
        <w:t>a </w:t>
      </w:r>
      <w:r w:rsidRPr="00D4761A">
        <w:rPr>
          <w:rFonts w:cstheme="minorHAnsi"/>
          <w:szCs w:val="24"/>
        </w:rPr>
        <w:t>tromboembolických příhod.</w:t>
      </w:r>
      <w:r w:rsidR="00597804" w:rsidRPr="00D4761A">
        <w:rPr>
          <w:rFonts w:cstheme="minorHAnsi"/>
          <w:szCs w:val="24"/>
        </w:rPr>
        <w:t xml:space="preserve"> </w:t>
      </w:r>
      <w:r w:rsidRPr="00D4761A">
        <w:rPr>
          <w:rFonts w:cstheme="minorHAnsi"/>
          <w:szCs w:val="24"/>
        </w:rPr>
        <w:t xml:space="preserve">Před publikací studie s darbepoetinem byla publikována nerandomizovaná studie na minimálním počtu pacientů s HFrEF, kteří byli léčeni pouze intravenózním železem s příznivým vlivem na kvalitu života </w:t>
      </w:r>
      <w:r w:rsidR="00672ED4" w:rsidRPr="00D4761A">
        <w:rPr>
          <w:rFonts w:cstheme="minorHAnsi"/>
          <w:szCs w:val="24"/>
        </w:rPr>
        <w:t>a </w:t>
      </w:r>
      <w:r w:rsidRPr="00D4761A">
        <w:rPr>
          <w:rFonts w:cstheme="minorHAnsi"/>
          <w:szCs w:val="24"/>
        </w:rPr>
        <w:t xml:space="preserve">toleranci zátěže (35). Tato studie vzbudila zájem </w:t>
      </w:r>
      <w:r w:rsidR="00672ED4" w:rsidRPr="00D4761A">
        <w:rPr>
          <w:rFonts w:cstheme="minorHAnsi"/>
          <w:szCs w:val="24"/>
        </w:rPr>
        <w:t>o </w:t>
      </w:r>
      <w:r w:rsidRPr="00D4761A">
        <w:rPr>
          <w:rFonts w:cstheme="minorHAnsi"/>
          <w:szCs w:val="24"/>
        </w:rPr>
        <w:t xml:space="preserve">použití samotného železa </w:t>
      </w:r>
      <w:r w:rsidR="00672ED4" w:rsidRPr="00D4761A">
        <w:rPr>
          <w:rFonts w:cstheme="minorHAnsi"/>
          <w:szCs w:val="24"/>
        </w:rPr>
        <w:t>a </w:t>
      </w:r>
      <w:r w:rsidRPr="00D4761A">
        <w:rPr>
          <w:rFonts w:cstheme="minorHAnsi"/>
          <w:szCs w:val="24"/>
        </w:rPr>
        <w:t>vyústila ve studii FAIR-HF dokazující zlepšení funkční třídy NYHA,</w:t>
      </w:r>
      <w:r w:rsidR="000D00C3" w:rsidRPr="00D4761A">
        <w:rPr>
          <w:rFonts w:cstheme="minorHAnsi"/>
          <w:szCs w:val="24"/>
        </w:rPr>
        <w:t xml:space="preserve"> </w:t>
      </w:r>
      <w:r w:rsidRPr="00D4761A">
        <w:rPr>
          <w:rFonts w:cstheme="minorHAnsi"/>
          <w:szCs w:val="24"/>
        </w:rPr>
        <w:t>kvalit</w:t>
      </w:r>
      <w:r w:rsidR="00FC3030" w:rsidRPr="00D4761A">
        <w:rPr>
          <w:rFonts w:cstheme="minorHAnsi"/>
          <w:szCs w:val="24"/>
        </w:rPr>
        <w:t>y</w:t>
      </w:r>
      <w:r w:rsidRPr="00D4761A">
        <w:rPr>
          <w:rFonts w:cstheme="minorHAnsi"/>
          <w:szCs w:val="24"/>
        </w:rPr>
        <w:t xml:space="preserve"> života (KCCQ), </w:t>
      </w:r>
      <w:r w:rsidR="00FC3030" w:rsidRPr="00D4761A">
        <w:rPr>
          <w:rFonts w:cstheme="minorHAnsi"/>
          <w:szCs w:val="24"/>
        </w:rPr>
        <w:t>šesti</w:t>
      </w:r>
      <w:r w:rsidR="00C31627" w:rsidRPr="00D4761A">
        <w:rPr>
          <w:rFonts w:cstheme="minorHAnsi"/>
          <w:szCs w:val="24"/>
        </w:rPr>
        <w:t>minutového</w:t>
      </w:r>
      <w:r w:rsidRPr="00D4761A">
        <w:rPr>
          <w:rFonts w:cstheme="minorHAnsi"/>
          <w:szCs w:val="24"/>
        </w:rPr>
        <w:t xml:space="preserve"> testu chůze (36). Podobné výsledky použití intravenózního železa </w:t>
      </w:r>
      <w:r w:rsidR="00672ED4" w:rsidRPr="00D4761A">
        <w:rPr>
          <w:rFonts w:cstheme="minorHAnsi"/>
          <w:szCs w:val="24"/>
        </w:rPr>
        <w:t>u </w:t>
      </w:r>
      <w:r w:rsidRPr="00D4761A">
        <w:rPr>
          <w:rFonts w:cstheme="minorHAnsi"/>
          <w:szCs w:val="24"/>
        </w:rPr>
        <w:t xml:space="preserve">pacientů s HFrEF, HFmrEF prokázala studie CONFIRM-HF (37). EFFECT-HF </w:t>
      </w:r>
      <w:r w:rsidR="00672ED4" w:rsidRPr="00D4761A">
        <w:rPr>
          <w:rFonts w:cstheme="minorHAnsi"/>
          <w:szCs w:val="24"/>
        </w:rPr>
        <w:t>u </w:t>
      </w:r>
      <w:r w:rsidRPr="00D4761A">
        <w:rPr>
          <w:rFonts w:cstheme="minorHAnsi"/>
          <w:szCs w:val="24"/>
        </w:rPr>
        <w:t xml:space="preserve">podobné kohorty pacientů prokázala zlepšení v maximální spotřebě kyslíku </w:t>
      </w:r>
      <w:r w:rsidR="00672ED4" w:rsidRPr="00D4761A">
        <w:rPr>
          <w:rFonts w:cstheme="minorHAnsi"/>
          <w:szCs w:val="24"/>
        </w:rPr>
        <w:t>u </w:t>
      </w:r>
      <w:r w:rsidRPr="00D4761A">
        <w:rPr>
          <w:rFonts w:cstheme="minorHAnsi"/>
          <w:szCs w:val="24"/>
        </w:rPr>
        <w:t xml:space="preserve">spiroergometrického vyšetření (38). Zásadní bude výsledek probíhající studie FAIR-HF2, který odpoví na otázku, zdali léčba intravenózním železem ovlivňuje kompozitní cíl snížení kardiovaskulární mortality </w:t>
      </w:r>
      <w:r w:rsidR="00672ED4" w:rsidRPr="00D4761A">
        <w:rPr>
          <w:rFonts w:cstheme="minorHAnsi"/>
          <w:szCs w:val="24"/>
        </w:rPr>
        <w:t>a </w:t>
      </w:r>
      <w:r w:rsidRPr="00D4761A">
        <w:rPr>
          <w:rFonts w:cstheme="minorHAnsi"/>
          <w:szCs w:val="24"/>
        </w:rPr>
        <w:t>hospitalizací pro srdeční selhání s očekávaným výsledkem v květnu 2024.</w:t>
      </w:r>
    </w:p>
    <w:p w14:paraId="569522F5" w14:textId="7F404375" w:rsidR="00597804" w:rsidRPr="00D4761A" w:rsidRDefault="00AF5A33" w:rsidP="00672ED4">
      <w:pPr>
        <w:pStyle w:val="Nadpis30"/>
      </w:pPr>
      <w:bookmarkStart w:id="21" w:name="_Toc120547439"/>
      <w:r w:rsidRPr="00D4761A">
        <w:t>Vybraná neúčinná farmakoterapie chronického srdečního selhání</w:t>
      </w:r>
      <w:bookmarkEnd w:id="21"/>
    </w:p>
    <w:p w14:paraId="4D891211" w14:textId="5F68C99A" w:rsidR="00597804" w:rsidRPr="00D4761A" w:rsidRDefault="00AF5A33" w:rsidP="00672ED4">
      <w:pPr>
        <w:pStyle w:val="Nadpis4"/>
      </w:pPr>
      <w:r w:rsidRPr="00D4761A">
        <w:t>Antikoagulační terapie</w:t>
      </w:r>
    </w:p>
    <w:p w14:paraId="425E3CBE" w14:textId="364C5E87" w:rsidR="00AF5A33" w:rsidRPr="00D4761A" w:rsidRDefault="00AF5A33" w:rsidP="00672ED4">
      <w:pPr>
        <w:ind w:firstLine="708"/>
        <w:rPr>
          <w:rFonts w:cstheme="minorHAnsi"/>
          <w:szCs w:val="24"/>
        </w:rPr>
      </w:pPr>
      <w:r w:rsidRPr="00D4761A">
        <w:rPr>
          <w:rFonts w:cstheme="minorHAnsi"/>
          <w:szCs w:val="24"/>
        </w:rPr>
        <w:t>Z omezeného počtu retrospektivních kohort pacientů ne</w:t>
      </w:r>
      <w:r w:rsidR="005E56A6" w:rsidRPr="00D4761A">
        <w:rPr>
          <w:rFonts w:cstheme="minorHAnsi"/>
          <w:szCs w:val="24"/>
        </w:rPr>
        <w:t>máme</w:t>
      </w:r>
      <w:r w:rsidRPr="00D4761A">
        <w:rPr>
          <w:rFonts w:cstheme="minorHAnsi"/>
          <w:szCs w:val="24"/>
        </w:rPr>
        <w:t xml:space="preserve"> jednoznačný důkaz, že </w:t>
      </w:r>
      <w:r w:rsidR="00672ED4" w:rsidRPr="00D4761A">
        <w:rPr>
          <w:rFonts w:cstheme="minorHAnsi"/>
          <w:szCs w:val="24"/>
        </w:rPr>
        <w:t>u </w:t>
      </w:r>
      <w:r w:rsidR="005E56A6" w:rsidRPr="00D4761A">
        <w:rPr>
          <w:rFonts w:cstheme="minorHAnsi"/>
          <w:szCs w:val="24"/>
        </w:rPr>
        <w:t xml:space="preserve">pacientů s HFrEF </w:t>
      </w:r>
      <w:r w:rsidRPr="00D4761A">
        <w:rPr>
          <w:rFonts w:cstheme="minorHAnsi"/>
          <w:szCs w:val="24"/>
        </w:rPr>
        <w:t>antikoagulační terapie warfarinem</w:t>
      </w:r>
      <w:r w:rsidR="00A83B47" w:rsidRPr="00D4761A">
        <w:rPr>
          <w:rFonts w:cstheme="minorHAnsi"/>
          <w:szCs w:val="24"/>
        </w:rPr>
        <w:t xml:space="preserve"> </w:t>
      </w:r>
      <w:r w:rsidRPr="00D4761A">
        <w:rPr>
          <w:rFonts w:cstheme="minorHAnsi"/>
          <w:szCs w:val="24"/>
        </w:rPr>
        <w:t>zásadně snižuje riziko tromboembolických událostí</w:t>
      </w:r>
      <w:r w:rsidR="008F6BAF" w:rsidRPr="00D4761A">
        <w:rPr>
          <w:rFonts w:cstheme="minorHAnsi"/>
          <w:szCs w:val="24"/>
        </w:rPr>
        <w:t xml:space="preserve"> </w:t>
      </w:r>
      <w:r w:rsidRPr="00D4761A">
        <w:rPr>
          <w:rFonts w:cstheme="minorHAnsi"/>
          <w:szCs w:val="24"/>
        </w:rPr>
        <w:t xml:space="preserve">(39,40). Z post hoc dat z velkých randomizovaných studií jsou výsledky protichůdné. Například analýza SOLVD studie prokázala snížení mortality </w:t>
      </w:r>
      <w:r w:rsidR="00672ED4" w:rsidRPr="00D4761A">
        <w:rPr>
          <w:rFonts w:cstheme="minorHAnsi"/>
          <w:szCs w:val="24"/>
        </w:rPr>
        <w:t>a </w:t>
      </w:r>
      <w:r w:rsidRPr="00D4761A">
        <w:rPr>
          <w:rFonts w:cstheme="minorHAnsi"/>
          <w:szCs w:val="24"/>
        </w:rPr>
        <w:t xml:space="preserve">morbidity </w:t>
      </w:r>
      <w:r w:rsidR="00672ED4" w:rsidRPr="00D4761A">
        <w:rPr>
          <w:rFonts w:cstheme="minorHAnsi"/>
          <w:szCs w:val="24"/>
        </w:rPr>
        <w:t>u </w:t>
      </w:r>
      <w:r w:rsidRPr="00D4761A">
        <w:rPr>
          <w:rFonts w:cstheme="minorHAnsi"/>
          <w:szCs w:val="24"/>
        </w:rPr>
        <w:t>pacientů léčených warfarinem (41).</w:t>
      </w:r>
      <w:r w:rsidR="00597804" w:rsidRPr="00D4761A">
        <w:rPr>
          <w:rFonts w:cstheme="minorHAnsi"/>
          <w:szCs w:val="24"/>
        </w:rPr>
        <w:t xml:space="preserve"> </w:t>
      </w:r>
      <w:r w:rsidRPr="00D4761A">
        <w:rPr>
          <w:rFonts w:cstheme="minorHAnsi"/>
          <w:szCs w:val="24"/>
        </w:rPr>
        <w:t>Prospektivní randomizovaná data chybí. Klinické randomizovan</w:t>
      </w:r>
      <w:r w:rsidR="00DA234A" w:rsidRPr="00D4761A">
        <w:rPr>
          <w:rFonts w:cstheme="minorHAnsi"/>
          <w:szCs w:val="24"/>
        </w:rPr>
        <w:t>é</w:t>
      </w:r>
      <w:r w:rsidRPr="00D4761A">
        <w:rPr>
          <w:rFonts w:cstheme="minorHAnsi"/>
          <w:szCs w:val="24"/>
        </w:rPr>
        <w:t xml:space="preserve"> studie porovnávaly efekt antikoagulace </w:t>
      </w:r>
      <w:r w:rsidR="00672ED4" w:rsidRPr="00D4761A">
        <w:rPr>
          <w:rFonts w:cstheme="minorHAnsi"/>
          <w:szCs w:val="24"/>
        </w:rPr>
        <w:t>a </w:t>
      </w:r>
      <w:r w:rsidRPr="00D4761A">
        <w:rPr>
          <w:rFonts w:cstheme="minorHAnsi"/>
          <w:szCs w:val="24"/>
        </w:rPr>
        <w:t xml:space="preserve">antiagregace </w:t>
      </w:r>
      <w:r w:rsidR="00672ED4" w:rsidRPr="00D4761A">
        <w:rPr>
          <w:rFonts w:cstheme="minorHAnsi"/>
          <w:szCs w:val="24"/>
        </w:rPr>
        <w:t>u </w:t>
      </w:r>
      <w:r w:rsidRPr="00D4761A">
        <w:rPr>
          <w:rFonts w:cstheme="minorHAnsi"/>
          <w:szCs w:val="24"/>
        </w:rPr>
        <w:t xml:space="preserve">pacientů s HFrEF </w:t>
      </w:r>
      <w:r w:rsidR="00672ED4" w:rsidRPr="00D4761A">
        <w:rPr>
          <w:rFonts w:cstheme="minorHAnsi"/>
          <w:szCs w:val="24"/>
        </w:rPr>
        <w:t>a </w:t>
      </w:r>
      <w:r w:rsidRPr="00D4761A">
        <w:rPr>
          <w:rFonts w:cstheme="minorHAnsi"/>
          <w:szCs w:val="24"/>
        </w:rPr>
        <w:t>sinusovým rytmem (42,43). Warfarin sice snižuje riziko CMP více v porovnání s ASA či clopidogrelem, ale tento benefit je vyrovnán vyšším rizikem krvácení, včetně krvácení do CNS.</w:t>
      </w:r>
    </w:p>
    <w:p w14:paraId="3BB2441B" w14:textId="3F7097A7" w:rsidR="00597804" w:rsidRPr="00D4761A" w:rsidRDefault="00AF5A33" w:rsidP="00672ED4">
      <w:pPr>
        <w:ind w:firstLine="708"/>
        <w:rPr>
          <w:rFonts w:cstheme="minorHAnsi"/>
          <w:szCs w:val="24"/>
        </w:rPr>
      </w:pPr>
      <w:r w:rsidRPr="00D4761A">
        <w:rPr>
          <w:rFonts w:cstheme="minorHAnsi"/>
          <w:szCs w:val="24"/>
        </w:rPr>
        <w:t xml:space="preserve">Další krokem bylo použití </w:t>
      </w:r>
      <w:r w:rsidR="00075990" w:rsidRPr="00D4761A">
        <w:rPr>
          <w:rFonts w:cstheme="minorHAnsi"/>
          <w:szCs w:val="24"/>
        </w:rPr>
        <w:t>selektivních inhibitorů</w:t>
      </w:r>
      <w:r w:rsidRPr="00D4761A">
        <w:rPr>
          <w:rFonts w:cstheme="minorHAnsi"/>
          <w:szCs w:val="24"/>
        </w:rPr>
        <w:t xml:space="preserve"> faktor</w:t>
      </w:r>
      <w:r w:rsidR="00075990" w:rsidRPr="00D4761A">
        <w:rPr>
          <w:rFonts w:cstheme="minorHAnsi"/>
          <w:szCs w:val="24"/>
        </w:rPr>
        <w:t>u</w:t>
      </w:r>
      <w:r w:rsidRPr="00D4761A">
        <w:rPr>
          <w:rFonts w:cstheme="minorHAnsi"/>
          <w:szCs w:val="24"/>
        </w:rPr>
        <w:t xml:space="preserve"> Xa </w:t>
      </w:r>
      <w:r w:rsidR="00672ED4" w:rsidRPr="00D4761A">
        <w:rPr>
          <w:rFonts w:cstheme="minorHAnsi"/>
          <w:szCs w:val="24"/>
        </w:rPr>
        <w:t>u </w:t>
      </w:r>
      <w:r w:rsidRPr="00D4761A">
        <w:rPr>
          <w:rFonts w:cstheme="minorHAnsi"/>
          <w:szCs w:val="24"/>
        </w:rPr>
        <w:t>pacientů s HFrEF, koronární nemocí, kteří nemají fibrilaci síní.</w:t>
      </w:r>
      <w:r w:rsidR="008A143E" w:rsidRPr="00D4761A">
        <w:rPr>
          <w:rFonts w:cstheme="minorHAnsi"/>
          <w:szCs w:val="24"/>
        </w:rPr>
        <w:t xml:space="preserve"> Ani</w:t>
      </w:r>
      <w:r w:rsidR="00A83B47" w:rsidRPr="00D4761A">
        <w:rPr>
          <w:rFonts w:cstheme="minorHAnsi"/>
          <w:szCs w:val="24"/>
        </w:rPr>
        <w:t xml:space="preserve"> </w:t>
      </w:r>
      <w:r w:rsidR="008A143E" w:rsidRPr="00D4761A">
        <w:rPr>
          <w:rFonts w:cstheme="minorHAnsi"/>
          <w:szCs w:val="24"/>
        </w:rPr>
        <w:t>t</w:t>
      </w:r>
      <w:r w:rsidRPr="00D4761A">
        <w:rPr>
          <w:rFonts w:cstheme="minorHAnsi"/>
          <w:szCs w:val="24"/>
        </w:rPr>
        <w:t xml:space="preserve">ato studie </w:t>
      </w:r>
      <w:r w:rsidR="00075990" w:rsidRPr="00D4761A">
        <w:rPr>
          <w:rFonts w:cstheme="minorHAnsi"/>
          <w:szCs w:val="24"/>
        </w:rPr>
        <w:t xml:space="preserve">neprokázala </w:t>
      </w:r>
      <w:r w:rsidR="00FE3609" w:rsidRPr="00D4761A">
        <w:rPr>
          <w:rFonts w:cstheme="minorHAnsi"/>
          <w:szCs w:val="24"/>
        </w:rPr>
        <w:t xml:space="preserve">jejich </w:t>
      </w:r>
      <w:r w:rsidR="008F6BAF" w:rsidRPr="00D4761A">
        <w:rPr>
          <w:rFonts w:cstheme="minorHAnsi"/>
          <w:szCs w:val="24"/>
        </w:rPr>
        <w:t>vliv na</w:t>
      </w:r>
      <w:r w:rsidR="00DA234A" w:rsidRPr="00D4761A">
        <w:rPr>
          <w:rFonts w:cstheme="minorHAnsi"/>
          <w:szCs w:val="24"/>
        </w:rPr>
        <w:t xml:space="preserve"> celkovou mortalitu, inc</w:t>
      </w:r>
      <w:r w:rsidRPr="00D4761A">
        <w:rPr>
          <w:rFonts w:cstheme="minorHAnsi"/>
          <w:szCs w:val="24"/>
        </w:rPr>
        <w:t>idenci CMP nebo infarktu myokardu (44).</w:t>
      </w:r>
    </w:p>
    <w:p w14:paraId="520AFA93" w14:textId="77777777" w:rsidR="00672ED4" w:rsidRPr="00D4761A" w:rsidRDefault="00672ED4" w:rsidP="00010B98">
      <w:pPr>
        <w:rPr>
          <w:rFonts w:cstheme="minorHAnsi"/>
          <w:szCs w:val="24"/>
        </w:rPr>
      </w:pPr>
    </w:p>
    <w:p w14:paraId="28AECFC6" w14:textId="42DC6BD8" w:rsidR="00597804" w:rsidRPr="00D4761A" w:rsidRDefault="00010B98" w:rsidP="00672ED4">
      <w:pPr>
        <w:ind w:firstLine="708"/>
        <w:rPr>
          <w:rFonts w:cstheme="minorHAnsi"/>
          <w:szCs w:val="24"/>
        </w:rPr>
      </w:pPr>
      <w:r w:rsidRPr="00D4761A">
        <w:rPr>
          <w:rFonts w:cstheme="minorHAnsi"/>
          <w:szCs w:val="24"/>
        </w:rPr>
        <w:t xml:space="preserve">Závěrem lze říci, že </w:t>
      </w:r>
      <w:r w:rsidR="00672ED4" w:rsidRPr="00D4761A">
        <w:rPr>
          <w:rFonts w:cstheme="minorHAnsi"/>
          <w:szCs w:val="24"/>
        </w:rPr>
        <w:t>u </w:t>
      </w:r>
      <w:r w:rsidRPr="00D4761A">
        <w:rPr>
          <w:rFonts w:cstheme="minorHAnsi"/>
          <w:szCs w:val="24"/>
        </w:rPr>
        <w:t xml:space="preserve">pacientů s HFrEF se sinusovým rytmem, kteří nemají specifické indikace k dlouhodobě antikoagulační terapii, antikoagulační terapie nepřináší žádný příznivý efekt na mortalitu </w:t>
      </w:r>
      <w:r w:rsidR="00672ED4" w:rsidRPr="00D4761A">
        <w:rPr>
          <w:rFonts w:cstheme="minorHAnsi"/>
          <w:szCs w:val="24"/>
        </w:rPr>
        <w:t>a </w:t>
      </w:r>
      <w:r w:rsidRPr="00D4761A">
        <w:rPr>
          <w:rFonts w:cstheme="minorHAnsi"/>
          <w:szCs w:val="24"/>
        </w:rPr>
        <w:t>morbiditu.</w:t>
      </w:r>
    </w:p>
    <w:p w14:paraId="5C1C5EA5" w14:textId="0A3BCD3F" w:rsidR="00AF5A33" w:rsidRPr="00D4761A" w:rsidRDefault="00AF5A33" w:rsidP="00672ED4">
      <w:pPr>
        <w:pStyle w:val="Nadpis4"/>
      </w:pPr>
      <w:r w:rsidRPr="00D4761A">
        <w:lastRenderedPageBreak/>
        <w:t>Druhá generace dihydropyridinových blokátorů kalciových kanálů</w:t>
      </w:r>
    </w:p>
    <w:p w14:paraId="4767BE6D" w14:textId="785B28DB" w:rsidR="00AF5A33" w:rsidRPr="00D4761A" w:rsidRDefault="00AF5A33" w:rsidP="00672ED4">
      <w:pPr>
        <w:ind w:firstLine="708"/>
        <w:rPr>
          <w:rFonts w:cstheme="minorHAnsi"/>
          <w:szCs w:val="24"/>
        </w:rPr>
      </w:pPr>
      <w:r w:rsidRPr="00D4761A">
        <w:rPr>
          <w:rFonts w:cstheme="minorHAnsi"/>
          <w:szCs w:val="24"/>
        </w:rPr>
        <w:t>Amlodipin má vyšší selektivní účinek na hladké svaly vaskulárního systému než na kardiomyocyty. To vedlo k hypotéze, že snížení</w:t>
      </w:r>
      <w:r w:rsidR="00010B98" w:rsidRPr="00D4761A">
        <w:rPr>
          <w:rFonts w:cstheme="minorHAnsi"/>
          <w:szCs w:val="24"/>
        </w:rPr>
        <w:t>m</w:t>
      </w:r>
      <w:r w:rsidRPr="00D4761A">
        <w:rPr>
          <w:rFonts w:cstheme="minorHAnsi"/>
          <w:szCs w:val="24"/>
        </w:rPr>
        <w:t xml:space="preserve"> periferní vazokonstrikce, </w:t>
      </w:r>
      <w:r w:rsidR="00010B98" w:rsidRPr="00D4761A">
        <w:rPr>
          <w:rFonts w:cstheme="minorHAnsi"/>
          <w:szCs w:val="24"/>
        </w:rPr>
        <w:t xml:space="preserve">dojde ke </w:t>
      </w:r>
      <w:r w:rsidRPr="00D4761A">
        <w:rPr>
          <w:rFonts w:cstheme="minorHAnsi"/>
          <w:szCs w:val="24"/>
        </w:rPr>
        <w:t>snížení</w:t>
      </w:r>
      <w:r w:rsidR="00010B98" w:rsidRPr="00D4761A">
        <w:rPr>
          <w:rFonts w:cstheme="minorHAnsi"/>
          <w:szCs w:val="24"/>
        </w:rPr>
        <w:t xml:space="preserve"> </w:t>
      </w:r>
      <w:r w:rsidRPr="00D4761A">
        <w:rPr>
          <w:rFonts w:cstheme="minorHAnsi"/>
          <w:szCs w:val="24"/>
        </w:rPr>
        <w:t xml:space="preserve">afterloadu s následným </w:t>
      </w:r>
      <w:r w:rsidR="00010B98" w:rsidRPr="00D4761A">
        <w:rPr>
          <w:rFonts w:cstheme="minorHAnsi"/>
          <w:szCs w:val="24"/>
        </w:rPr>
        <w:t xml:space="preserve">klinickým </w:t>
      </w:r>
      <w:r w:rsidRPr="00D4761A">
        <w:rPr>
          <w:rFonts w:cstheme="minorHAnsi"/>
          <w:szCs w:val="24"/>
        </w:rPr>
        <w:t xml:space="preserve">zlepšením pacientů s HFrEF. </w:t>
      </w:r>
      <w:r w:rsidR="00DC27F8" w:rsidRPr="00D4761A">
        <w:rPr>
          <w:rFonts w:cstheme="minorHAnsi"/>
          <w:szCs w:val="24"/>
        </w:rPr>
        <w:t>Výsledky s</w:t>
      </w:r>
      <w:r w:rsidRPr="00D4761A">
        <w:rPr>
          <w:rFonts w:cstheme="minorHAnsi"/>
          <w:szCs w:val="24"/>
        </w:rPr>
        <w:t>tudie PRAISE-</w:t>
      </w:r>
      <w:r w:rsidR="00A83B47" w:rsidRPr="00D4761A">
        <w:rPr>
          <w:rFonts w:cstheme="minorHAnsi"/>
          <w:szCs w:val="24"/>
        </w:rPr>
        <w:t>1 ukázaly</w:t>
      </w:r>
      <w:r w:rsidRPr="00D4761A">
        <w:rPr>
          <w:rFonts w:cstheme="minorHAnsi"/>
          <w:szCs w:val="24"/>
        </w:rPr>
        <w:t>, že amlodipin nezv</w:t>
      </w:r>
      <w:r w:rsidR="00DC27F8" w:rsidRPr="00D4761A">
        <w:rPr>
          <w:rFonts w:cstheme="minorHAnsi"/>
          <w:szCs w:val="24"/>
        </w:rPr>
        <w:t>y</w:t>
      </w:r>
      <w:r w:rsidRPr="00D4761A">
        <w:rPr>
          <w:rFonts w:cstheme="minorHAnsi"/>
          <w:szCs w:val="24"/>
        </w:rPr>
        <w:t xml:space="preserve">šoval mortalitu </w:t>
      </w:r>
      <w:r w:rsidR="00672ED4" w:rsidRPr="00D4761A">
        <w:rPr>
          <w:rFonts w:cstheme="minorHAnsi"/>
          <w:szCs w:val="24"/>
        </w:rPr>
        <w:t>a </w:t>
      </w:r>
      <w:r w:rsidRPr="00D4761A">
        <w:rPr>
          <w:rFonts w:cstheme="minorHAnsi"/>
          <w:szCs w:val="24"/>
        </w:rPr>
        <w:t xml:space="preserve">morbiditu </w:t>
      </w:r>
      <w:r w:rsidR="00672ED4" w:rsidRPr="00D4761A">
        <w:rPr>
          <w:rFonts w:cstheme="minorHAnsi"/>
          <w:szCs w:val="24"/>
        </w:rPr>
        <w:t>u </w:t>
      </w:r>
      <w:r w:rsidRPr="00D4761A">
        <w:rPr>
          <w:rFonts w:cstheme="minorHAnsi"/>
          <w:szCs w:val="24"/>
        </w:rPr>
        <w:t>pacientů s HFrEF (45).</w:t>
      </w:r>
      <w:r w:rsidR="00597804" w:rsidRPr="00D4761A">
        <w:rPr>
          <w:rFonts w:cstheme="minorHAnsi"/>
          <w:szCs w:val="24"/>
        </w:rPr>
        <w:t xml:space="preserve"> </w:t>
      </w:r>
      <w:r w:rsidRPr="00D4761A">
        <w:rPr>
          <w:rFonts w:cstheme="minorHAnsi"/>
          <w:szCs w:val="24"/>
        </w:rPr>
        <w:t xml:space="preserve">Při analýze podskupiny neischemických kardiomyopatií došlo ke snížení rizika mortality </w:t>
      </w:r>
      <w:r w:rsidR="00672ED4" w:rsidRPr="00D4761A">
        <w:rPr>
          <w:rFonts w:cstheme="minorHAnsi"/>
          <w:szCs w:val="24"/>
        </w:rPr>
        <w:t>a </w:t>
      </w:r>
      <w:r w:rsidRPr="00D4761A">
        <w:rPr>
          <w:rFonts w:cstheme="minorHAnsi"/>
          <w:szCs w:val="24"/>
        </w:rPr>
        <w:t xml:space="preserve">morbidity. Studie PRAISE-2 tuto hypotézu </w:t>
      </w:r>
      <w:r w:rsidR="00672ED4" w:rsidRPr="00D4761A">
        <w:rPr>
          <w:rFonts w:cstheme="minorHAnsi"/>
          <w:szCs w:val="24"/>
        </w:rPr>
        <w:t>o </w:t>
      </w:r>
      <w:r w:rsidRPr="00D4761A">
        <w:rPr>
          <w:rFonts w:cstheme="minorHAnsi"/>
          <w:szCs w:val="24"/>
        </w:rPr>
        <w:t xml:space="preserve">snížení rizika </w:t>
      </w:r>
      <w:r w:rsidR="00672ED4" w:rsidRPr="00D4761A">
        <w:rPr>
          <w:rFonts w:cstheme="minorHAnsi"/>
          <w:szCs w:val="24"/>
        </w:rPr>
        <w:t>u </w:t>
      </w:r>
      <w:r w:rsidRPr="00D4761A">
        <w:rPr>
          <w:rFonts w:cstheme="minorHAnsi"/>
          <w:szCs w:val="24"/>
        </w:rPr>
        <w:t>nonischemických kardiomyopatií nepotvrdila (46).</w:t>
      </w:r>
    </w:p>
    <w:p w14:paraId="33B3B821" w14:textId="333D9652" w:rsidR="00AF5A33" w:rsidRPr="00D4761A" w:rsidRDefault="00AF5A33" w:rsidP="00672ED4">
      <w:pPr>
        <w:pStyle w:val="Nadpis30"/>
      </w:pPr>
      <w:bookmarkStart w:id="22" w:name="_Toc120547440"/>
      <w:bookmarkStart w:id="23" w:name="_Hlk116249542"/>
      <w:r w:rsidRPr="00D4761A">
        <w:t>Uptitrace farmakoterapie</w:t>
      </w:r>
      <w:bookmarkEnd w:id="22"/>
    </w:p>
    <w:p w14:paraId="365D9E0E" w14:textId="53E1BFF5" w:rsidR="00597804" w:rsidRPr="00D4761A" w:rsidRDefault="00AF5A33" w:rsidP="00672ED4">
      <w:pPr>
        <w:ind w:firstLine="708"/>
      </w:pPr>
      <w:r w:rsidRPr="00D4761A">
        <w:t>Randomizované klinické studie s farmakoterapií při nasazení nově zkoušeného léku zahajovaly léčbu nižší dávkou léku, kterou poté dle protokolu navýšily (T</w:t>
      </w:r>
      <w:r w:rsidR="00CC2471" w:rsidRPr="00D4761A">
        <w:t>abulka </w:t>
      </w:r>
      <w:r w:rsidR="00E2166F" w:rsidRPr="00D4761A">
        <w:t>3</w:t>
      </w:r>
      <w:bookmarkStart w:id="24" w:name="_Hlk116253678"/>
      <w:r w:rsidR="00A83B47" w:rsidRPr="00D4761A">
        <w:t>).</w:t>
      </w:r>
      <w:bookmarkEnd w:id="24"/>
    </w:p>
    <w:p w14:paraId="1FB97BBB" w14:textId="55659DA5" w:rsidR="0044543E" w:rsidRPr="00D4761A" w:rsidRDefault="0044543E" w:rsidP="00597804"/>
    <w:p w14:paraId="29CC7141" w14:textId="62D588D7" w:rsidR="0044543E" w:rsidRPr="00D4761A" w:rsidRDefault="0044543E" w:rsidP="00672ED4">
      <w:pPr>
        <w:keepNext/>
      </w:pPr>
      <w:r w:rsidRPr="00D4761A">
        <w:rPr>
          <w:b/>
        </w:rPr>
        <w:t>T</w:t>
      </w:r>
      <w:r w:rsidR="00CC2471" w:rsidRPr="00D4761A">
        <w:rPr>
          <w:b/>
        </w:rPr>
        <w:t>abulka </w:t>
      </w:r>
      <w:r w:rsidRPr="00D4761A">
        <w:rPr>
          <w:b/>
        </w:rPr>
        <w:t>3</w:t>
      </w:r>
      <w:r w:rsidRPr="00D4761A">
        <w:t xml:space="preserve"> – Vstupní, cílová </w:t>
      </w:r>
      <w:r w:rsidR="00672ED4" w:rsidRPr="00D4761A">
        <w:t>a </w:t>
      </w:r>
      <w:r w:rsidRPr="00D4761A">
        <w:t xml:space="preserve">průměrná dávka </w:t>
      </w:r>
      <w:r w:rsidR="00672ED4" w:rsidRPr="00D4761A">
        <w:t>v </w:t>
      </w:r>
      <w:r w:rsidRPr="00D4761A">
        <w:t xml:space="preserve">klinických studiích převzato </w:t>
      </w:r>
      <w:r w:rsidR="00672ED4" w:rsidRPr="00D4761A">
        <w:t>z </w:t>
      </w:r>
      <w:r w:rsidRPr="00D4761A">
        <w:t>2022 AHA/ACC/HFSA Guideline for the Management of Heart Failure</w:t>
      </w:r>
    </w:p>
    <w:tbl>
      <w:tblPr>
        <w:tblStyle w:val="Mkatabulky"/>
        <w:tblW w:w="5000" w:type="pct"/>
        <w:tblLayout w:type="fixed"/>
        <w:tblLook w:val="04A0" w:firstRow="1" w:lastRow="0" w:firstColumn="1" w:lastColumn="0" w:noHBand="0" w:noVBand="1"/>
      </w:tblPr>
      <w:tblGrid>
        <w:gridCol w:w="2690"/>
        <w:gridCol w:w="2124"/>
        <w:gridCol w:w="2124"/>
        <w:gridCol w:w="2124"/>
      </w:tblGrid>
      <w:tr w:rsidR="00597804" w:rsidRPr="00D4761A" w14:paraId="2BC6912C" w14:textId="77777777" w:rsidTr="00CA3812">
        <w:trPr>
          <w:cantSplit/>
        </w:trPr>
        <w:tc>
          <w:tcPr>
            <w:tcW w:w="1484" w:type="pct"/>
            <w:noWrap/>
            <w:vAlign w:val="center"/>
            <w:hideMark/>
          </w:tcPr>
          <w:p w14:paraId="2321868F" w14:textId="77777777" w:rsidR="0044543E" w:rsidRPr="00D4761A" w:rsidRDefault="0044543E" w:rsidP="00672ED4">
            <w:pPr>
              <w:keepNext/>
              <w:spacing w:line="240" w:lineRule="auto"/>
              <w:jc w:val="left"/>
              <w:rPr>
                <w:rFonts w:eastAsia="Times New Roman" w:cs="Times New Roman"/>
                <w:b/>
                <w:szCs w:val="24"/>
                <w:lang w:eastAsia="cs-CZ"/>
              </w:rPr>
            </w:pPr>
            <w:r w:rsidRPr="00D4761A">
              <w:rPr>
                <w:rFonts w:eastAsia="Times New Roman" w:cs="Times New Roman"/>
                <w:b/>
                <w:szCs w:val="24"/>
                <w:lang w:eastAsia="cs-CZ"/>
              </w:rPr>
              <w:t>Léčivo</w:t>
            </w:r>
          </w:p>
        </w:tc>
        <w:tc>
          <w:tcPr>
            <w:tcW w:w="1172" w:type="pct"/>
            <w:noWrap/>
            <w:vAlign w:val="center"/>
            <w:hideMark/>
          </w:tcPr>
          <w:p w14:paraId="5833DB6A" w14:textId="77777777" w:rsidR="0044543E" w:rsidRPr="00D4761A" w:rsidRDefault="0044543E" w:rsidP="00672ED4">
            <w:pPr>
              <w:keepNext/>
              <w:spacing w:line="240" w:lineRule="auto"/>
              <w:jc w:val="center"/>
              <w:rPr>
                <w:rFonts w:eastAsia="Times New Roman" w:cs="Times New Roman"/>
                <w:b/>
                <w:szCs w:val="24"/>
                <w:lang w:eastAsia="cs-CZ"/>
              </w:rPr>
            </w:pPr>
            <w:r w:rsidRPr="00D4761A">
              <w:rPr>
                <w:rFonts w:eastAsia="Times New Roman" w:cs="Times New Roman"/>
                <w:b/>
                <w:szCs w:val="24"/>
                <w:lang w:eastAsia="cs-CZ"/>
              </w:rPr>
              <w:t>počáteční denní dávka (mg)</w:t>
            </w:r>
          </w:p>
        </w:tc>
        <w:tc>
          <w:tcPr>
            <w:tcW w:w="1172" w:type="pct"/>
            <w:noWrap/>
            <w:vAlign w:val="center"/>
            <w:hideMark/>
          </w:tcPr>
          <w:p w14:paraId="58754594" w14:textId="77777777" w:rsidR="0044543E" w:rsidRPr="00D4761A" w:rsidRDefault="0044543E" w:rsidP="00672ED4">
            <w:pPr>
              <w:keepNext/>
              <w:spacing w:line="240" w:lineRule="auto"/>
              <w:jc w:val="center"/>
              <w:rPr>
                <w:rFonts w:eastAsia="Times New Roman" w:cs="Times New Roman"/>
                <w:b/>
                <w:szCs w:val="24"/>
                <w:lang w:eastAsia="cs-CZ"/>
              </w:rPr>
            </w:pPr>
            <w:r w:rsidRPr="00D4761A">
              <w:rPr>
                <w:rFonts w:eastAsia="Times New Roman" w:cs="Times New Roman"/>
                <w:b/>
                <w:szCs w:val="24"/>
                <w:lang w:eastAsia="cs-CZ"/>
              </w:rPr>
              <w:t>cílová denní dávka (mg)</w:t>
            </w:r>
          </w:p>
        </w:tc>
        <w:tc>
          <w:tcPr>
            <w:tcW w:w="1172" w:type="pct"/>
            <w:noWrap/>
            <w:vAlign w:val="center"/>
            <w:hideMark/>
          </w:tcPr>
          <w:p w14:paraId="25FB10F7" w14:textId="77777777" w:rsidR="0044543E" w:rsidRPr="00D4761A" w:rsidRDefault="0044543E" w:rsidP="00672ED4">
            <w:pPr>
              <w:keepNext/>
              <w:spacing w:line="240" w:lineRule="auto"/>
              <w:jc w:val="center"/>
              <w:rPr>
                <w:rFonts w:eastAsia="Times New Roman" w:cs="Times New Roman"/>
                <w:b/>
                <w:szCs w:val="24"/>
                <w:lang w:eastAsia="cs-CZ"/>
              </w:rPr>
            </w:pPr>
            <w:r w:rsidRPr="00D4761A">
              <w:rPr>
                <w:rFonts w:eastAsia="Times New Roman" w:cs="Times New Roman"/>
                <w:b/>
                <w:szCs w:val="24"/>
                <w:lang w:eastAsia="cs-CZ"/>
              </w:rPr>
              <w:t>průměrná reálná denní dávka léčiva (mg)</w:t>
            </w:r>
          </w:p>
        </w:tc>
      </w:tr>
      <w:tr w:rsidR="00672ED4" w:rsidRPr="00D4761A" w14:paraId="0428835C" w14:textId="77777777" w:rsidTr="00672ED4">
        <w:trPr>
          <w:cantSplit/>
        </w:trPr>
        <w:tc>
          <w:tcPr>
            <w:tcW w:w="5000" w:type="pct"/>
            <w:gridSpan w:val="4"/>
            <w:noWrap/>
            <w:vAlign w:val="center"/>
            <w:hideMark/>
          </w:tcPr>
          <w:p w14:paraId="2884A7DD" w14:textId="3F222130" w:rsidR="00672ED4" w:rsidRPr="00D4761A" w:rsidRDefault="00672ED4" w:rsidP="00672ED4">
            <w:pPr>
              <w:keepNext/>
              <w:spacing w:line="240" w:lineRule="auto"/>
              <w:jc w:val="left"/>
              <w:rPr>
                <w:rFonts w:eastAsia="Times New Roman" w:cs="Times New Roman"/>
                <w:szCs w:val="24"/>
                <w:lang w:eastAsia="cs-CZ"/>
              </w:rPr>
            </w:pPr>
            <w:r w:rsidRPr="00D4761A">
              <w:rPr>
                <w:rFonts w:eastAsia="Times New Roman" w:cs="Times New Roman"/>
                <w:szCs w:val="24"/>
                <w:lang w:eastAsia="cs-CZ"/>
              </w:rPr>
              <w:t>Betablokátory</w:t>
            </w:r>
          </w:p>
        </w:tc>
      </w:tr>
      <w:tr w:rsidR="00597804" w:rsidRPr="00D4761A" w14:paraId="2527A94D" w14:textId="77777777" w:rsidTr="00CA3812">
        <w:trPr>
          <w:cantSplit/>
        </w:trPr>
        <w:tc>
          <w:tcPr>
            <w:tcW w:w="1484" w:type="pct"/>
            <w:noWrap/>
            <w:vAlign w:val="center"/>
            <w:hideMark/>
          </w:tcPr>
          <w:p w14:paraId="21440B22" w14:textId="77777777" w:rsidR="0044543E" w:rsidRPr="00D4761A" w:rsidRDefault="0044543E" w:rsidP="00672ED4">
            <w:pPr>
              <w:keepNext/>
              <w:spacing w:line="240" w:lineRule="auto"/>
              <w:jc w:val="left"/>
              <w:rPr>
                <w:rFonts w:eastAsia="Times New Roman" w:cs="Times New Roman"/>
                <w:szCs w:val="24"/>
                <w:lang w:eastAsia="cs-CZ"/>
              </w:rPr>
            </w:pPr>
            <w:r w:rsidRPr="00D4761A">
              <w:rPr>
                <w:rFonts w:eastAsia="Times New Roman" w:cs="Times New Roman"/>
                <w:szCs w:val="24"/>
                <w:lang w:eastAsia="cs-CZ"/>
              </w:rPr>
              <w:t xml:space="preserve"> bisoprolol</w:t>
            </w:r>
          </w:p>
        </w:tc>
        <w:tc>
          <w:tcPr>
            <w:tcW w:w="1172" w:type="pct"/>
            <w:noWrap/>
            <w:vAlign w:val="center"/>
            <w:hideMark/>
          </w:tcPr>
          <w:p w14:paraId="4A6BDF5B" w14:textId="77777777" w:rsidR="0044543E" w:rsidRPr="00D4761A" w:rsidRDefault="0044543E"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1,25</w:t>
            </w:r>
          </w:p>
        </w:tc>
        <w:tc>
          <w:tcPr>
            <w:tcW w:w="1172" w:type="pct"/>
            <w:noWrap/>
            <w:vAlign w:val="center"/>
            <w:hideMark/>
          </w:tcPr>
          <w:p w14:paraId="27649541" w14:textId="77777777" w:rsidR="0044543E" w:rsidRPr="00D4761A" w:rsidRDefault="0044543E"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10</w:t>
            </w:r>
          </w:p>
        </w:tc>
        <w:tc>
          <w:tcPr>
            <w:tcW w:w="1172" w:type="pct"/>
            <w:noWrap/>
            <w:vAlign w:val="center"/>
            <w:hideMark/>
          </w:tcPr>
          <w:p w14:paraId="58BEA75E" w14:textId="77777777" w:rsidR="0044543E" w:rsidRPr="00D4761A" w:rsidRDefault="0044543E"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8,6</w:t>
            </w:r>
          </w:p>
        </w:tc>
      </w:tr>
      <w:tr w:rsidR="00597804" w:rsidRPr="00D4761A" w14:paraId="721A285B" w14:textId="77777777" w:rsidTr="00CA3812">
        <w:trPr>
          <w:cantSplit/>
        </w:trPr>
        <w:tc>
          <w:tcPr>
            <w:tcW w:w="1484" w:type="pct"/>
            <w:noWrap/>
            <w:vAlign w:val="center"/>
            <w:hideMark/>
          </w:tcPr>
          <w:p w14:paraId="7D96B4E1" w14:textId="77777777" w:rsidR="0044543E" w:rsidRPr="00D4761A" w:rsidRDefault="0044543E" w:rsidP="00672ED4">
            <w:pPr>
              <w:keepNext/>
              <w:spacing w:line="240" w:lineRule="auto"/>
              <w:jc w:val="left"/>
              <w:rPr>
                <w:rFonts w:eastAsia="Times New Roman" w:cs="Times New Roman"/>
                <w:szCs w:val="24"/>
                <w:lang w:eastAsia="cs-CZ"/>
              </w:rPr>
            </w:pPr>
            <w:r w:rsidRPr="00D4761A">
              <w:rPr>
                <w:rFonts w:eastAsia="Times New Roman" w:cs="Times New Roman"/>
                <w:szCs w:val="24"/>
                <w:lang w:eastAsia="cs-CZ"/>
              </w:rPr>
              <w:t xml:space="preserve"> carvedilol</w:t>
            </w:r>
          </w:p>
        </w:tc>
        <w:tc>
          <w:tcPr>
            <w:tcW w:w="1172" w:type="pct"/>
            <w:noWrap/>
            <w:vAlign w:val="center"/>
            <w:hideMark/>
          </w:tcPr>
          <w:p w14:paraId="19A607A3" w14:textId="77777777" w:rsidR="0044543E" w:rsidRPr="00D4761A" w:rsidRDefault="0044543E"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3,125</w:t>
            </w:r>
          </w:p>
        </w:tc>
        <w:tc>
          <w:tcPr>
            <w:tcW w:w="1172" w:type="pct"/>
            <w:noWrap/>
            <w:vAlign w:val="center"/>
            <w:hideMark/>
          </w:tcPr>
          <w:p w14:paraId="117FC146" w14:textId="77777777" w:rsidR="0044543E" w:rsidRPr="00D4761A" w:rsidRDefault="0044543E"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50-100</w:t>
            </w:r>
          </w:p>
        </w:tc>
        <w:tc>
          <w:tcPr>
            <w:tcW w:w="1172" w:type="pct"/>
            <w:noWrap/>
            <w:vAlign w:val="center"/>
            <w:hideMark/>
          </w:tcPr>
          <w:p w14:paraId="6D2651B9" w14:textId="77777777" w:rsidR="0044543E" w:rsidRPr="00D4761A" w:rsidRDefault="0044543E"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37</w:t>
            </w:r>
          </w:p>
        </w:tc>
      </w:tr>
      <w:tr w:rsidR="00597804" w:rsidRPr="00D4761A" w14:paraId="4ABAFD3E" w14:textId="77777777" w:rsidTr="00CA3812">
        <w:trPr>
          <w:cantSplit/>
        </w:trPr>
        <w:tc>
          <w:tcPr>
            <w:tcW w:w="1484" w:type="pct"/>
            <w:noWrap/>
            <w:vAlign w:val="center"/>
            <w:hideMark/>
          </w:tcPr>
          <w:p w14:paraId="708B1887" w14:textId="2D110610" w:rsidR="0044543E" w:rsidRPr="00D4761A" w:rsidRDefault="0044543E" w:rsidP="00672ED4">
            <w:pPr>
              <w:keepNext/>
              <w:spacing w:line="240" w:lineRule="auto"/>
              <w:jc w:val="left"/>
              <w:rPr>
                <w:rFonts w:eastAsia="Times New Roman" w:cs="Times New Roman"/>
                <w:szCs w:val="24"/>
                <w:lang w:eastAsia="cs-CZ"/>
              </w:rPr>
            </w:pPr>
            <w:r w:rsidRPr="00D4761A">
              <w:rPr>
                <w:rFonts w:eastAsia="Times New Roman" w:cs="Times New Roman"/>
                <w:szCs w:val="24"/>
                <w:lang w:eastAsia="cs-CZ"/>
              </w:rPr>
              <w:t xml:space="preserve"> metoprolol </w:t>
            </w:r>
            <w:r w:rsidR="00672ED4" w:rsidRPr="00D4761A">
              <w:rPr>
                <w:rFonts w:eastAsia="Times New Roman" w:cs="Times New Roman"/>
                <w:szCs w:val="24"/>
                <w:lang w:eastAsia="cs-CZ"/>
              </w:rPr>
              <w:t>v </w:t>
            </w:r>
            <w:r w:rsidRPr="00D4761A">
              <w:rPr>
                <w:rFonts w:eastAsia="Times New Roman" w:cs="Times New Roman"/>
                <w:szCs w:val="24"/>
                <w:lang w:eastAsia="cs-CZ"/>
              </w:rPr>
              <w:t>ext. formě</w:t>
            </w:r>
          </w:p>
        </w:tc>
        <w:tc>
          <w:tcPr>
            <w:tcW w:w="1172" w:type="pct"/>
            <w:noWrap/>
            <w:vAlign w:val="center"/>
            <w:hideMark/>
          </w:tcPr>
          <w:p w14:paraId="2338DB6C" w14:textId="77777777" w:rsidR="0044543E" w:rsidRPr="00D4761A" w:rsidRDefault="0044543E"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12,5-25</w:t>
            </w:r>
          </w:p>
        </w:tc>
        <w:tc>
          <w:tcPr>
            <w:tcW w:w="1172" w:type="pct"/>
            <w:noWrap/>
            <w:vAlign w:val="center"/>
            <w:hideMark/>
          </w:tcPr>
          <w:p w14:paraId="574672C2" w14:textId="77777777" w:rsidR="0044543E" w:rsidRPr="00D4761A" w:rsidRDefault="0044543E"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200</w:t>
            </w:r>
          </w:p>
        </w:tc>
        <w:tc>
          <w:tcPr>
            <w:tcW w:w="1172" w:type="pct"/>
            <w:noWrap/>
            <w:vAlign w:val="center"/>
            <w:hideMark/>
          </w:tcPr>
          <w:p w14:paraId="44AD62FA" w14:textId="77777777" w:rsidR="0044543E" w:rsidRPr="00D4761A" w:rsidRDefault="0044543E"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159</w:t>
            </w:r>
          </w:p>
        </w:tc>
      </w:tr>
      <w:tr w:rsidR="00672ED4" w:rsidRPr="00D4761A" w14:paraId="5F1C988E" w14:textId="77777777" w:rsidTr="00672ED4">
        <w:trPr>
          <w:cantSplit/>
        </w:trPr>
        <w:tc>
          <w:tcPr>
            <w:tcW w:w="5000" w:type="pct"/>
            <w:gridSpan w:val="4"/>
            <w:noWrap/>
            <w:vAlign w:val="center"/>
            <w:hideMark/>
          </w:tcPr>
          <w:p w14:paraId="44C89C2F" w14:textId="7F894CF7" w:rsidR="00672ED4" w:rsidRPr="00D4761A" w:rsidRDefault="00672ED4" w:rsidP="00672ED4">
            <w:pPr>
              <w:keepNext/>
              <w:spacing w:line="240" w:lineRule="auto"/>
              <w:jc w:val="left"/>
              <w:rPr>
                <w:rFonts w:eastAsia="Times New Roman" w:cs="Times New Roman"/>
                <w:szCs w:val="24"/>
                <w:lang w:eastAsia="cs-CZ"/>
              </w:rPr>
            </w:pPr>
            <w:r w:rsidRPr="00D4761A">
              <w:rPr>
                <w:rFonts w:eastAsia="Times New Roman" w:cs="Times New Roman"/>
                <w:szCs w:val="24"/>
                <w:lang w:eastAsia="cs-CZ"/>
              </w:rPr>
              <w:t>Mineralocorticoid receptor antagonists</w:t>
            </w:r>
          </w:p>
        </w:tc>
      </w:tr>
      <w:tr w:rsidR="00597804" w:rsidRPr="00D4761A" w14:paraId="27049E19" w14:textId="77777777" w:rsidTr="00CA3812">
        <w:trPr>
          <w:cantSplit/>
        </w:trPr>
        <w:tc>
          <w:tcPr>
            <w:tcW w:w="1484" w:type="pct"/>
            <w:noWrap/>
            <w:vAlign w:val="center"/>
            <w:hideMark/>
          </w:tcPr>
          <w:p w14:paraId="6715657D" w14:textId="77777777" w:rsidR="0044543E" w:rsidRPr="00D4761A" w:rsidRDefault="0044543E" w:rsidP="00672ED4">
            <w:pPr>
              <w:keepNext/>
              <w:spacing w:line="240" w:lineRule="auto"/>
              <w:jc w:val="left"/>
              <w:rPr>
                <w:rFonts w:eastAsia="Times New Roman" w:cs="Times New Roman"/>
                <w:szCs w:val="24"/>
                <w:lang w:eastAsia="cs-CZ"/>
              </w:rPr>
            </w:pPr>
            <w:r w:rsidRPr="00D4761A">
              <w:rPr>
                <w:rFonts w:eastAsia="Times New Roman" w:cs="Times New Roman"/>
                <w:szCs w:val="24"/>
                <w:lang w:eastAsia="cs-CZ"/>
              </w:rPr>
              <w:t xml:space="preserve"> spironolakton</w:t>
            </w:r>
          </w:p>
        </w:tc>
        <w:tc>
          <w:tcPr>
            <w:tcW w:w="1172" w:type="pct"/>
            <w:noWrap/>
            <w:vAlign w:val="center"/>
            <w:hideMark/>
          </w:tcPr>
          <w:p w14:paraId="3AE34773" w14:textId="77777777" w:rsidR="0044543E" w:rsidRPr="00D4761A" w:rsidRDefault="0044543E"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12,5-25</w:t>
            </w:r>
          </w:p>
        </w:tc>
        <w:tc>
          <w:tcPr>
            <w:tcW w:w="1172" w:type="pct"/>
            <w:noWrap/>
            <w:vAlign w:val="center"/>
            <w:hideMark/>
          </w:tcPr>
          <w:p w14:paraId="3C38D4DA" w14:textId="77777777" w:rsidR="0044543E" w:rsidRPr="00D4761A" w:rsidRDefault="0044543E"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25-50</w:t>
            </w:r>
          </w:p>
        </w:tc>
        <w:tc>
          <w:tcPr>
            <w:tcW w:w="1172" w:type="pct"/>
            <w:noWrap/>
            <w:vAlign w:val="center"/>
            <w:hideMark/>
          </w:tcPr>
          <w:p w14:paraId="6B4A935F" w14:textId="77777777" w:rsidR="0044543E" w:rsidRPr="00D4761A" w:rsidRDefault="0044543E"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26</w:t>
            </w:r>
          </w:p>
        </w:tc>
      </w:tr>
      <w:tr w:rsidR="00597804" w:rsidRPr="00D4761A" w14:paraId="48DB2338" w14:textId="77777777" w:rsidTr="00CA3812">
        <w:trPr>
          <w:cantSplit/>
        </w:trPr>
        <w:tc>
          <w:tcPr>
            <w:tcW w:w="1484" w:type="pct"/>
            <w:noWrap/>
            <w:vAlign w:val="center"/>
            <w:hideMark/>
          </w:tcPr>
          <w:p w14:paraId="7731DED9" w14:textId="77777777" w:rsidR="0044543E" w:rsidRPr="00D4761A" w:rsidRDefault="0044543E" w:rsidP="00672ED4">
            <w:pPr>
              <w:keepNext/>
              <w:spacing w:line="240" w:lineRule="auto"/>
              <w:jc w:val="left"/>
              <w:rPr>
                <w:rFonts w:eastAsia="Times New Roman" w:cs="Times New Roman"/>
                <w:szCs w:val="24"/>
                <w:lang w:eastAsia="cs-CZ"/>
              </w:rPr>
            </w:pPr>
            <w:r w:rsidRPr="00D4761A">
              <w:rPr>
                <w:rFonts w:eastAsia="Times New Roman" w:cs="Times New Roman"/>
                <w:szCs w:val="24"/>
                <w:lang w:eastAsia="cs-CZ"/>
              </w:rPr>
              <w:t xml:space="preserve"> eplerenon</w:t>
            </w:r>
          </w:p>
        </w:tc>
        <w:tc>
          <w:tcPr>
            <w:tcW w:w="1172" w:type="pct"/>
            <w:noWrap/>
            <w:vAlign w:val="center"/>
            <w:hideMark/>
          </w:tcPr>
          <w:p w14:paraId="4F3F2CC2" w14:textId="77777777" w:rsidR="0044543E" w:rsidRPr="00D4761A" w:rsidRDefault="0044543E"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25</w:t>
            </w:r>
          </w:p>
        </w:tc>
        <w:tc>
          <w:tcPr>
            <w:tcW w:w="1172" w:type="pct"/>
            <w:noWrap/>
            <w:vAlign w:val="center"/>
            <w:hideMark/>
          </w:tcPr>
          <w:p w14:paraId="45A4E71E" w14:textId="77777777" w:rsidR="0044543E" w:rsidRPr="00D4761A" w:rsidRDefault="0044543E"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50</w:t>
            </w:r>
          </w:p>
        </w:tc>
        <w:tc>
          <w:tcPr>
            <w:tcW w:w="1172" w:type="pct"/>
            <w:noWrap/>
            <w:vAlign w:val="center"/>
            <w:hideMark/>
          </w:tcPr>
          <w:p w14:paraId="62433F2A" w14:textId="77777777" w:rsidR="0044543E" w:rsidRPr="00D4761A" w:rsidRDefault="0044543E"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42.6</w:t>
            </w:r>
          </w:p>
        </w:tc>
      </w:tr>
      <w:tr w:rsidR="00672ED4" w:rsidRPr="00D4761A" w14:paraId="64AD6C47" w14:textId="77777777" w:rsidTr="00672ED4">
        <w:trPr>
          <w:cantSplit/>
        </w:trPr>
        <w:tc>
          <w:tcPr>
            <w:tcW w:w="5000" w:type="pct"/>
            <w:gridSpan w:val="4"/>
            <w:noWrap/>
            <w:vAlign w:val="center"/>
            <w:hideMark/>
          </w:tcPr>
          <w:p w14:paraId="027885B0" w14:textId="4E3B68D4" w:rsidR="00672ED4" w:rsidRPr="00D4761A" w:rsidRDefault="00672ED4" w:rsidP="00672ED4">
            <w:pPr>
              <w:keepNext/>
              <w:spacing w:line="240" w:lineRule="auto"/>
              <w:jc w:val="left"/>
              <w:rPr>
                <w:rFonts w:eastAsia="Times New Roman" w:cs="Times New Roman"/>
                <w:szCs w:val="24"/>
                <w:lang w:eastAsia="cs-CZ"/>
              </w:rPr>
            </w:pPr>
            <w:r w:rsidRPr="00D4761A">
              <w:rPr>
                <w:rFonts w:eastAsia="Times New Roman" w:cs="Times New Roman"/>
                <w:szCs w:val="24"/>
                <w:lang w:eastAsia="cs-CZ"/>
              </w:rPr>
              <w:t>ACEi</w:t>
            </w:r>
          </w:p>
        </w:tc>
      </w:tr>
      <w:tr w:rsidR="00597804" w:rsidRPr="00D4761A" w14:paraId="2667CC75" w14:textId="77777777" w:rsidTr="00CA3812">
        <w:trPr>
          <w:cantSplit/>
        </w:trPr>
        <w:tc>
          <w:tcPr>
            <w:tcW w:w="1484" w:type="pct"/>
            <w:noWrap/>
            <w:vAlign w:val="center"/>
            <w:hideMark/>
          </w:tcPr>
          <w:p w14:paraId="6C1FDA9A" w14:textId="77777777" w:rsidR="0044543E" w:rsidRPr="00D4761A" w:rsidRDefault="0044543E" w:rsidP="00672ED4">
            <w:pPr>
              <w:keepNext/>
              <w:spacing w:line="240" w:lineRule="auto"/>
              <w:jc w:val="left"/>
              <w:rPr>
                <w:rFonts w:eastAsia="Times New Roman" w:cs="Times New Roman"/>
                <w:szCs w:val="24"/>
                <w:lang w:eastAsia="cs-CZ"/>
              </w:rPr>
            </w:pPr>
            <w:r w:rsidRPr="00D4761A">
              <w:rPr>
                <w:rFonts w:eastAsia="Times New Roman" w:cs="Times New Roman"/>
                <w:szCs w:val="24"/>
                <w:lang w:eastAsia="cs-CZ"/>
              </w:rPr>
              <w:t xml:space="preserve"> ramipril</w:t>
            </w:r>
          </w:p>
        </w:tc>
        <w:tc>
          <w:tcPr>
            <w:tcW w:w="1172" w:type="pct"/>
            <w:noWrap/>
            <w:vAlign w:val="center"/>
            <w:hideMark/>
          </w:tcPr>
          <w:p w14:paraId="1D122BA0" w14:textId="77777777" w:rsidR="0044543E" w:rsidRPr="00D4761A" w:rsidRDefault="0044543E"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1,25-2.5</w:t>
            </w:r>
          </w:p>
        </w:tc>
        <w:tc>
          <w:tcPr>
            <w:tcW w:w="1172" w:type="pct"/>
            <w:noWrap/>
            <w:vAlign w:val="center"/>
            <w:hideMark/>
          </w:tcPr>
          <w:p w14:paraId="5D205F55" w14:textId="77777777" w:rsidR="0044543E" w:rsidRPr="00D4761A" w:rsidRDefault="0044543E"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10</w:t>
            </w:r>
          </w:p>
        </w:tc>
        <w:tc>
          <w:tcPr>
            <w:tcW w:w="1172" w:type="pct"/>
            <w:noWrap/>
            <w:vAlign w:val="center"/>
            <w:hideMark/>
          </w:tcPr>
          <w:p w14:paraId="3DF62149" w14:textId="77777777" w:rsidR="0044543E" w:rsidRPr="00D4761A" w:rsidRDefault="0044543E"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N/A</w:t>
            </w:r>
          </w:p>
        </w:tc>
      </w:tr>
      <w:tr w:rsidR="00597804" w:rsidRPr="00D4761A" w14:paraId="27D22494" w14:textId="77777777" w:rsidTr="00CA3812">
        <w:trPr>
          <w:cantSplit/>
        </w:trPr>
        <w:tc>
          <w:tcPr>
            <w:tcW w:w="1484" w:type="pct"/>
            <w:noWrap/>
            <w:vAlign w:val="center"/>
            <w:hideMark/>
          </w:tcPr>
          <w:p w14:paraId="771B5D4C" w14:textId="77777777" w:rsidR="0044543E" w:rsidRPr="00D4761A" w:rsidRDefault="0044543E" w:rsidP="00672ED4">
            <w:pPr>
              <w:keepNext/>
              <w:spacing w:line="240" w:lineRule="auto"/>
              <w:jc w:val="left"/>
              <w:rPr>
                <w:rFonts w:eastAsia="Times New Roman" w:cs="Times New Roman"/>
                <w:szCs w:val="24"/>
                <w:lang w:eastAsia="cs-CZ"/>
              </w:rPr>
            </w:pPr>
            <w:r w:rsidRPr="00D4761A">
              <w:rPr>
                <w:rFonts w:eastAsia="Times New Roman" w:cs="Times New Roman"/>
                <w:szCs w:val="24"/>
                <w:lang w:eastAsia="cs-CZ"/>
              </w:rPr>
              <w:t xml:space="preserve"> perindopril</w:t>
            </w:r>
          </w:p>
        </w:tc>
        <w:tc>
          <w:tcPr>
            <w:tcW w:w="1172" w:type="pct"/>
            <w:noWrap/>
            <w:vAlign w:val="center"/>
            <w:hideMark/>
          </w:tcPr>
          <w:p w14:paraId="6FD720AC" w14:textId="77777777" w:rsidR="0044543E" w:rsidRPr="00D4761A" w:rsidRDefault="0044543E"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2</w:t>
            </w:r>
          </w:p>
        </w:tc>
        <w:tc>
          <w:tcPr>
            <w:tcW w:w="1172" w:type="pct"/>
            <w:noWrap/>
            <w:vAlign w:val="center"/>
            <w:hideMark/>
          </w:tcPr>
          <w:p w14:paraId="2B0D4E43" w14:textId="77777777" w:rsidR="0044543E" w:rsidRPr="00D4761A" w:rsidRDefault="0044543E"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8 až 16</w:t>
            </w:r>
          </w:p>
        </w:tc>
        <w:tc>
          <w:tcPr>
            <w:tcW w:w="1172" w:type="pct"/>
            <w:noWrap/>
            <w:vAlign w:val="center"/>
            <w:hideMark/>
          </w:tcPr>
          <w:p w14:paraId="388029D8" w14:textId="77777777" w:rsidR="0044543E" w:rsidRPr="00D4761A" w:rsidRDefault="0044543E"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N/A</w:t>
            </w:r>
          </w:p>
        </w:tc>
      </w:tr>
      <w:tr w:rsidR="00597804" w:rsidRPr="00D4761A" w14:paraId="71DB54EF" w14:textId="77777777" w:rsidTr="00CA3812">
        <w:trPr>
          <w:cantSplit/>
        </w:trPr>
        <w:tc>
          <w:tcPr>
            <w:tcW w:w="1484" w:type="pct"/>
            <w:noWrap/>
            <w:vAlign w:val="center"/>
            <w:hideMark/>
          </w:tcPr>
          <w:p w14:paraId="43D204D4" w14:textId="77777777" w:rsidR="0044543E" w:rsidRPr="00D4761A" w:rsidRDefault="0044543E" w:rsidP="00672ED4">
            <w:pPr>
              <w:keepNext/>
              <w:spacing w:line="240" w:lineRule="auto"/>
              <w:jc w:val="left"/>
              <w:rPr>
                <w:rFonts w:eastAsia="Times New Roman" w:cs="Times New Roman"/>
                <w:szCs w:val="24"/>
                <w:lang w:eastAsia="cs-CZ"/>
              </w:rPr>
            </w:pPr>
            <w:r w:rsidRPr="00D4761A">
              <w:rPr>
                <w:rFonts w:eastAsia="Times New Roman" w:cs="Times New Roman"/>
                <w:szCs w:val="24"/>
                <w:lang w:eastAsia="cs-CZ"/>
              </w:rPr>
              <w:t xml:space="preserve"> lisinopril</w:t>
            </w:r>
          </w:p>
        </w:tc>
        <w:tc>
          <w:tcPr>
            <w:tcW w:w="1172" w:type="pct"/>
            <w:noWrap/>
            <w:vAlign w:val="center"/>
            <w:hideMark/>
          </w:tcPr>
          <w:p w14:paraId="6B10024B" w14:textId="77777777" w:rsidR="0044543E" w:rsidRPr="00D4761A" w:rsidRDefault="0044543E"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2,5 až 5</w:t>
            </w:r>
          </w:p>
        </w:tc>
        <w:tc>
          <w:tcPr>
            <w:tcW w:w="1172" w:type="pct"/>
            <w:noWrap/>
            <w:vAlign w:val="center"/>
            <w:hideMark/>
          </w:tcPr>
          <w:p w14:paraId="6034E9CF" w14:textId="77777777" w:rsidR="0044543E" w:rsidRPr="00D4761A" w:rsidRDefault="0044543E"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20-40</w:t>
            </w:r>
          </w:p>
        </w:tc>
        <w:tc>
          <w:tcPr>
            <w:tcW w:w="1172" w:type="pct"/>
            <w:noWrap/>
            <w:vAlign w:val="center"/>
            <w:hideMark/>
          </w:tcPr>
          <w:p w14:paraId="68FAA00F" w14:textId="77777777" w:rsidR="0044543E" w:rsidRPr="00D4761A" w:rsidRDefault="0044543E"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32,5-35</w:t>
            </w:r>
          </w:p>
        </w:tc>
      </w:tr>
      <w:tr w:rsidR="00597804" w:rsidRPr="00D4761A" w14:paraId="5C611731" w14:textId="77777777" w:rsidTr="00CA3812">
        <w:trPr>
          <w:cantSplit/>
        </w:trPr>
        <w:tc>
          <w:tcPr>
            <w:tcW w:w="1484" w:type="pct"/>
            <w:noWrap/>
            <w:vAlign w:val="center"/>
            <w:hideMark/>
          </w:tcPr>
          <w:p w14:paraId="06564DD6" w14:textId="77777777" w:rsidR="0044543E" w:rsidRPr="00D4761A" w:rsidRDefault="0044543E" w:rsidP="00672ED4">
            <w:pPr>
              <w:keepNext/>
              <w:spacing w:line="240" w:lineRule="auto"/>
              <w:jc w:val="left"/>
              <w:rPr>
                <w:rFonts w:eastAsia="Times New Roman" w:cs="Times New Roman"/>
                <w:szCs w:val="24"/>
                <w:lang w:eastAsia="cs-CZ"/>
              </w:rPr>
            </w:pPr>
            <w:r w:rsidRPr="00D4761A">
              <w:rPr>
                <w:rFonts w:eastAsia="Times New Roman" w:cs="Times New Roman"/>
                <w:szCs w:val="24"/>
                <w:lang w:eastAsia="cs-CZ"/>
              </w:rPr>
              <w:t xml:space="preserve"> trandolapril</w:t>
            </w:r>
          </w:p>
        </w:tc>
        <w:tc>
          <w:tcPr>
            <w:tcW w:w="1172" w:type="pct"/>
            <w:noWrap/>
            <w:vAlign w:val="center"/>
            <w:hideMark/>
          </w:tcPr>
          <w:p w14:paraId="37F4CBB5" w14:textId="77777777" w:rsidR="0044543E" w:rsidRPr="00D4761A" w:rsidRDefault="0044543E"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w:t>
            </w:r>
          </w:p>
        </w:tc>
        <w:tc>
          <w:tcPr>
            <w:tcW w:w="1172" w:type="pct"/>
            <w:noWrap/>
            <w:vAlign w:val="center"/>
            <w:hideMark/>
          </w:tcPr>
          <w:p w14:paraId="4537A4BD" w14:textId="77777777" w:rsidR="0044543E" w:rsidRPr="00D4761A" w:rsidRDefault="0044543E"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4</w:t>
            </w:r>
          </w:p>
        </w:tc>
        <w:tc>
          <w:tcPr>
            <w:tcW w:w="1172" w:type="pct"/>
            <w:noWrap/>
            <w:vAlign w:val="center"/>
            <w:hideMark/>
          </w:tcPr>
          <w:p w14:paraId="02B7B32A" w14:textId="77777777" w:rsidR="0044543E" w:rsidRPr="00D4761A" w:rsidRDefault="0044543E"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N/A</w:t>
            </w:r>
          </w:p>
        </w:tc>
      </w:tr>
      <w:tr w:rsidR="00672ED4" w:rsidRPr="00D4761A" w14:paraId="1EC36794" w14:textId="77777777" w:rsidTr="00672ED4">
        <w:trPr>
          <w:cantSplit/>
        </w:trPr>
        <w:tc>
          <w:tcPr>
            <w:tcW w:w="5000" w:type="pct"/>
            <w:gridSpan w:val="4"/>
            <w:noWrap/>
            <w:vAlign w:val="center"/>
            <w:hideMark/>
          </w:tcPr>
          <w:p w14:paraId="112DA298" w14:textId="663EB5FF" w:rsidR="00672ED4" w:rsidRPr="00D4761A" w:rsidRDefault="00672ED4" w:rsidP="00672ED4">
            <w:pPr>
              <w:keepNext/>
              <w:spacing w:line="240" w:lineRule="auto"/>
              <w:jc w:val="left"/>
              <w:rPr>
                <w:rFonts w:eastAsia="Times New Roman" w:cs="Times New Roman"/>
                <w:szCs w:val="24"/>
                <w:lang w:eastAsia="cs-CZ"/>
              </w:rPr>
            </w:pPr>
            <w:r w:rsidRPr="00D4761A">
              <w:rPr>
                <w:rFonts w:eastAsia="Times New Roman" w:cs="Times New Roman"/>
                <w:szCs w:val="24"/>
                <w:lang w:eastAsia="cs-CZ"/>
              </w:rPr>
              <w:t>ARBs</w:t>
            </w:r>
          </w:p>
        </w:tc>
      </w:tr>
      <w:tr w:rsidR="00597804" w:rsidRPr="00D4761A" w14:paraId="5209F24A" w14:textId="77777777" w:rsidTr="00CA3812">
        <w:trPr>
          <w:cantSplit/>
        </w:trPr>
        <w:tc>
          <w:tcPr>
            <w:tcW w:w="1484" w:type="pct"/>
            <w:noWrap/>
            <w:vAlign w:val="center"/>
            <w:hideMark/>
          </w:tcPr>
          <w:p w14:paraId="496961BF" w14:textId="77777777" w:rsidR="0044543E" w:rsidRPr="00D4761A" w:rsidRDefault="0044543E" w:rsidP="00672ED4">
            <w:pPr>
              <w:keepNext/>
              <w:spacing w:line="240" w:lineRule="auto"/>
              <w:jc w:val="left"/>
              <w:rPr>
                <w:rFonts w:eastAsia="Times New Roman" w:cs="Times New Roman"/>
                <w:szCs w:val="24"/>
                <w:lang w:eastAsia="cs-CZ"/>
              </w:rPr>
            </w:pPr>
            <w:r w:rsidRPr="00D4761A">
              <w:rPr>
                <w:rFonts w:eastAsia="Times New Roman" w:cs="Times New Roman"/>
                <w:szCs w:val="24"/>
                <w:lang w:eastAsia="cs-CZ"/>
              </w:rPr>
              <w:t xml:space="preserve"> candesartan</w:t>
            </w:r>
          </w:p>
        </w:tc>
        <w:tc>
          <w:tcPr>
            <w:tcW w:w="1172" w:type="pct"/>
            <w:noWrap/>
            <w:vAlign w:val="center"/>
            <w:hideMark/>
          </w:tcPr>
          <w:p w14:paraId="6AD7B314" w14:textId="77777777" w:rsidR="0044543E" w:rsidRPr="00D4761A" w:rsidRDefault="0044543E"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4 až 8</w:t>
            </w:r>
          </w:p>
        </w:tc>
        <w:tc>
          <w:tcPr>
            <w:tcW w:w="1172" w:type="pct"/>
            <w:noWrap/>
            <w:vAlign w:val="center"/>
            <w:hideMark/>
          </w:tcPr>
          <w:p w14:paraId="6FFDE62C" w14:textId="77777777" w:rsidR="0044543E" w:rsidRPr="00D4761A" w:rsidRDefault="0044543E"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32</w:t>
            </w:r>
          </w:p>
        </w:tc>
        <w:tc>
          <w:tcPr>
            <w:tcW w:w="1172" w:type="pct"/>
            <w:noWrap/>
            <w:vAlign w:val="center"/>
            <w:hideMark/>
          </w:tcPr>
          <w:p w14:paraId="7A741300" w14:textId="77777777" w:rsidR="0044543E" w:rsidRPr="00D4761A" w:rsidRDefault="0044543E"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24</w:t>
            </w:r>
          </w:p>
        </w:tc>
      </w:tr>
      <w:tr w:rsidR="00597804" w:rsidRPr="00D4761A" w14:paraId="5168B5AB" w14:textId="77777777" w:rsidTr="00CA3812">
        <w:trPr>
          <w:cantSplit/>
        </w:trPr>
        <w:tc>
          <w:tcPr>
            <w:tcW w:w="1484" w:type="pct"/>
            <w:noWrap/>
            <w:vAlign w:val="center"/>
            <w:hideMark/>
          </w:tcPr>
          <w:p w14:paraId="62A0F47F" w14:textId="77777777" w:rsidR="0044543E" w:rsidRPr="00D4761A" w:rsidRDefault="0044543E" w:rsidP="00672ED4">
            <w:pPr>
              <w:keepNext/>
              <w:spacing w:line="240" w:lineRule="auto"/>
              <w:jc w:val="left"/>
              <w:rPr>
                <w:rFonts w:eastAsia="Times New Roman" w:cs="Times New Roman"/>
                <w:szCs w:val="24"/>
                <w:lang w:eastAsia="cs-CZ"/>
              </w:rPr>
            </w:pPr>
            <w:r w:rsidRPr="00D4761A">
              <w:rPr>
                <w:rFonts w:eastAsia="Times New Roman" w:cs="Times New Roman"/>
                <w:szCs w:val="24"/>
                <w:lang w:eastAsia="cs-CZ"/>
              </w:rPr>
              <w:t xml:space="preserve"> losartan</w:t>
            </w:r>
          </w:p>
        </w:tc>
        <w:tc>
          <w:tcPr>
            <w:tcW w:w="1172" w:type="pct"/>
            <w:noWrap/>
            <w:vAlign w:val="center"/>
            <w:hideMark/>
          </w:tcPr>
          <w:p w14:paraId="53D09064" w14:textId="77777777" w:rsidR="0044543E" w:rsidRPr="00D4761A" w:rsidRDefault="0044543E"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25-50</w:t>
            </w:r>
          </w:p>
        </w:tc>
        <w:tc>
          <w:tcPr>
            <w:tcW w:w="1172" w:type="pct"/>
            <w:noWrap/>
            <w:vAlign w:val="center"/>
            <w:hideMark/>
          </w:tcPr>
          <w:p w14:paraId="03402785" w14:textId="77777777" w:rsidR="0044543E" w:rsidRPr="00D4761A" w:rsidRDefault="0044543E"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50-150</w:t>
            </w:r>
          </w:p>
        </w:tc>
        <w:tc>
          <w:tcPr>
            <w:tcW w:w="1172" w:type="pct"/>
            <w:noWrap/>
            <w:vAlign w:val="center"/>
            <w:hideMark/>
          </w:tcPr>
          <w:p w14:paraId="4F38CEF7" w14:textId="77777777" w:rsidR="0044543E" w:rsidRPr="00D4761A" w:rsidRDefault="0044543E"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129</w:t>
            </w:r>
          </w:p>
        </w:tc>
      </w:tr>
      <w:tr w:rsidR="00597804" w:rsidRPr="00D4761A" w14:paraId="1C79E2B4" w14:textId="77777777" w:rsidTr="00CA3812">
        <w:trPr>
          <w:cantSplit/>
        </w:trPr>
        <w:tc>
          <w:tcPr>
            <w:tcW w:w="1484" w:type="pct"/>
            <w:noWrap/>
            <w:vAlign w:val="center"/>
            <w:hideMark/>
          </w:tcPr>
          <w:p w14:paraId="390E4D18" w14:textId="77777777" w:rsidR="0044543E" w:rsidRPr="00D4761A" w:rsidRDefault="0044543E" w:rsidP="00672ED4">
            <w:pPr>
              <w:keepNext/>
              <w:spacing w:line="240" w:lineRule="auto"/>
              <w:jc w:val="left"/>
              <w:rPr>
                <w:rFonts w:eastAsia="Times New Roman" w:cs="Times New Roman"/>
                <w:szCs w:val="24"/>
                <w:lang w:eastAsia="cs-CZ"/>
              </w:rPr>
            </w:pPr>
            <w:r w:rsidRPr="00D4761A">
              <w:rPr>
                <w:rFonts w:eastAsia="Times New Roman" w:cs="Times New Roman"/>
                <w:szCs w:val="24"/>
                <w:lang w:eastAsia="cs-CZ"/>
              </w:rPr>
              <w:t xml:space="preserve"> valsartan</w:t>
            </w:r>
          </w:p>
        </w:tc>
        <w:tc>
          <w:tcPr>
            <w:tcW w:w="1172" w:type="pct"/>
            <w:noWrap/>
            <w:vAlign w:val="center"/>
            <w:hideMark/>
          </w:tcPr>
          <w:p w14:paraId="74B061BD" w14:textId="77777777" w:rsidR="0044543E" w:rsidRPr="00D4761A" w:rsidRDefault="0044543E"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20-40</w:t>
            </w:r>
          </w:p>
        </w:tc>
        <w:tc>
          <w:tcPr>
            <w:tcW w:w="1172" w:type="pct"/>
            <w:noWrap/>
            <w:vAlign w:val="center"/>
            <w:hideMark/>
          </w:tcPr>
          <w:p w14:paraId="2DA28F90" w14:textId="77777777" w:rsidR="0044543E" w:rsidRPr="00D4761A" w:rsidRDefault="0044543E"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320</w:t>
            </w:r>
          </w:p>
        </w:tc>
        <w:tc>
          <w:tcPr>
            <w:tcW w:w="1172" w:type="pct"/>
            <w:noWrap/>
            <w:vAlign w:val="center"/>
            <w:hideMark/>
          </w:tcPr>
          <w:p w14:paraId="506A638C" w14:textId="77777777" w:rsidR="0044543E" w:rsidRPr="00D4761A" w:rsidRDefault="0044543E"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254</w:t>
            </w:r>
          </w:p>
        </w:tc>
      </w:tr>
      <w:tr w:rsidR="0044543E" w:rsidRPr="00D4761A" w14:paraId="650139FF" w14:textId="77777777" w:rsidTr="00CA3812">
        <w:trPr>
          <w:cantSplit/>
        </w:trPr>
        <w:tc>
          <w:tcPr>
            <w:tcW w:w="1484" w:type="pct"/>
            <w:noWrap/>
            <w:vAlign w:val="center"/>
            <w:hideMark/>
          </w:tcPr>
          <w:p w14:paraId="0AFADC00" w14:textId="77777777" w:rsidR="0044543E" w:rsidRPr="00D4761A" w:rsidRDefault="0044543E" w:rsidP="00672ED4">
            <w:pPr>
              <w:keepNext/>
              <w:spacing w:line="240" w:lineRule="auto"/>
              <w:jc w:val="left"/>
              <w:rPr>
                <w:rFonts w:eastAsia="Times New Roman" w:cs="Times New Roman"/>
                <w:szCs w:val="24"/>
                <w:lang w:eastAsia="cs-CZ"/>
              </w:rPr>
            </w:pPr>
            <w:r w:rsidRPr="00D4761A">
              <w:rPr>
                <w:rFonts w:eastAsia="Times New Roman" w:cs="Times New Roman"/>
                <w:szCs w:val="24"/>
                <w:lang w:eastAsia="cs-CZ"/>
              </w:rPr>
              <w:t>ARNI</w:t>
            </w:r>
          </w:p>
        </w:tc>
        <w:tc>
          <w:tcPr>
            <w:tcW w:w="1172" w:type="pct"/>
            <w:noWrap/>
            <w:vAlign w:val="center"/>
            <w:hideMark/>
          </w:tcPr>
          <w:p w14:paraId="54D69FD9" w14:textId="77777777" w:rsidR="0044543E" w:rsidRPr="00D4761A" w:rsidRDefault="0044543E"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49/51</w:t>
            </w:r>
          </w:p>
        </w:tc>
        <w:tc>
          <w:tcPr>
            <w:tcW w:w="1172" w:type="pct"/>
            <w:noWrap/>
            <w:vAlign w:val="center"/>
            <w:hideMark/>
          </w:tcPr>
          <w:p w14:paraId="48BF3C58" w14:textId="77777777" w:rsidR="0044543E" w:rsidRPr="00D4761A" w:rsidRDefault="0044543E"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194/206</w:t>
            </w:r>
          </w:p>
        </w:tc>
        <w:tc>
          <w:tcPr>
            <w:tcW w:w="1172" w:type="pct"/>
            <w:noWrap/>
            <w:vAlign w:val="center"/>
            <w:hideMark/>
          </w:tcPr>
          <w:p w14:paraId="6B7AE71D" w14:textId="77777777" w:rsidR="0044543E" w:rsidRPr="00D4761A" w:rsidRDefault="0044543E"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182/193</w:t>
            </w:r>
          </w:p>
        </w:tc>
      </w:tr>
    </w:tbl>
    <w:p w14:paraId="7B1ACC37" w14:textId="222B3284" w:rsidR="0044543E" w:rsidRPr="00D4761A" w:rsidRDefault="00B56B13" w:rsidP="0044543E">
      <w:pPr>
        <w:rPr>
          <w:rFonts w:cstheme="minorHAnsi"/>
          <w:szCs w:val="24"/>
        </w:rPr>
      </w:pPr>
      <w:r w:rsidRPr="00D4761A">
        <w:rPr>
          <w:rFonts w:cstheme="minorHAnsi"/>
          <w:szCs w:val="24"/>
        </w:rPr>
        <w:t>NNT – number needed to treat</w:t>
      </w:r>
    </w:p>
    <w:p w14:paraId="6E3DBAB5" w14:textId="77777777" w:rsidR="00B56B13" w:rsidRPr="00D4761A" w:rsidRDefault="00B56B13" w:rsidP="0044543E">
      <w:pPr>
        <w:rPr>
          <w:rFonts w:cstheme="minorHAnsi"/>
          <w:szCs w:val="24"/>
        </w:rPr>
      </w:pPr>
    </w:p>
    <w:p w14:paraId="4E195F5A" w14:textId="6533E768" w:rsidR="00AF5A33" w:rsidRPr="00D4761A" w:rsidRDefault="00AF5A33" w:rsidP="00672ED4">
      <w:pPr>
        <w:ind w:firstLine="708"/>
        <w:rPr>
          <w:rFonts w:cstheme="minorHAnsi"/>
          <w:szCs w:val="24"/>
        </w:rPr>
      </w:pPr>
      <w:r w:rsidRPr="00D4761A">
        <w:rPr>
          <w:rFonts w:cstheme="minorHAnsi"/>
          <w:szCs w:val="24"/>
        </w:rPr>
        <w:lastRenderedPageBreak/>
        <w:t xml:space="preserve">Je tedy zásadní cílit na maximálně tolerované dávky léků, protože pouze tak lze </w:t>
      </w:r>
      <w:r w:rsidR="00A83B47" w:rsidRPr="00D4761A">
        <w:rPr>
          <w:rFonts w:cstheme="minorHAnsi"/>
          <w:szCs w:val="24"/>
        </w:rPr>
        <w:t>docílit efektu</w:t>
      </w:r>
      <w:r w:rsidRPr="00D4761A">
        <w:rPr>
          <w:rFonts w:cstheme="minorHAnsi"/>
          <w:szCs w:val="24"/>
        </w:rPr>
        <w:t>, který byl prokázán ve studiích (T</w:t>
      </w:r>
      <w:r w:rsidR="00CC2471" w:rsidRPr="00D4761A">
        <w:rPr>
          <w:rFonts w:cstheme="minorHAnsi"/>
          <w:szCs w:val="24"/>
        </w:rPr>
        <w:t>abulka </w:t>
      </w:r>
      <w:r w:rsidR="00E2166F" w:rsidRPr="00D4761A">
        <w:rPr>
          <w:rFonts w:cstheme="minorHAnsi"/>
          <w:szCs w:val="24"/>
        </w:rPr>
        <w:t>4</w:t>
      </w:r>
      <w:r w:rsidR="00A83B47" w:rsidRPr="00D4761A">
        <w:rPr>
          <w:rFonts w:cstheme="minorHAnsi"/>
          <w:szCs w:val="24"/>
        </w:rPr>
        <w:t>)</w:t>
      </w:r>
      <w:r w:rsidRPr="00D4761A">
        <w:rPr>
          <w:rFonts w:cstheme="minorHAnsi"/>
          <w:szCs w:val="24"/>
        </w:rPr>
        <w:t>.</w:t>
      </w:r>
      <w:r w:rsidR="00597804" w:rsidRPr="00D4761A">
        <w:rPr>
          <w:rFonts w:cstheme="minorHAnsi"/>
          <w:szCs w:val="24"/>
        </w:rPr>
        <w:t xml:space="preserve"> </w:t>
      </w:r>
      <w:r w:rsidRPr="00D4761A">
        <w:rPr>
          <w:rFonts w:cstheme="minorHAnsi"/>
          <w:szCs w:val="24"/>
        </w:rPr>
        <w:t xml:space="preserve">Existují důkazy </w:t>
      </w:r>
      <w:r w:rsidR="00672ED4" w:rsidRPr="00D4761A">
        <w:rPr>
          <w:rFonts w:cstheme="minorHAnsi"/>
          <w:szCs w:val="24"/>
        </w:rPr>
        <w:t>o </w:t>
      </w:r>
      <w:r w:rsidRPr="00D4761A">
        <w:rPr>
          <w:rFonts w:cstheme="minorHAnsi"/>
          <w:szCs w:val="24"/>
        </w:rPr>
        <w:t>tom, že efekt farmakoterapie je závislý na dávce léku (47-49).</w:t>
      </w:r>
    </w:p>
    <w:p w14:paraId="3E6BE5D3" w14:textId="77777777" w:rsidR="0044543E" w:rsidRPr="00D4761A" w:rsidRDefault="0044543E" w:rsidP="00597804"/>
    <w:p w14:paraId="4C5C993B" w14:textId="51AAE47A" w:rsidR="00E2166F" w:rsidRPr="00D4761A" w:rsidRDefault="00E2166F" w:rsidP="00672ED4">
      <w:pPr>
        <w:keepNext/>
      </w:pPr>
      <w:r w:rsidRPr="00D4761A">
        <w:rPr>
          <w:b/>
        </w:rPr>
        <w:t>T</w:t>
      </w:r>
      <w:r w:rsidR="00CC2471" w:rsidRPr="00D4761A">
        <w:rPr>
          <w:b/>
        </w:rPr>
        <w:t>abulka </w:t>
      </w:r>
      <w:r w:rsidRPr="00D4761A">
        <w:rPr>
          <w:b/>
        </w:rPr>
        <w:t>4</w:t>
      </w:r>
      <w:r w:rsidRPr="00D4761A">
        <w:t xml:space="preserve"> – Benefit </w:t>
      </w:r>
      <w:r w:rsidR="00672ED4" w:rsidRPr="00D4761A">
        <w:t>z </w:t>
      </w:r>
      <w:r w:rsidRPr="00D4761A">
        <w:t xml:space="preserve">farmakoterapie dle výsledků klinických studií (převzato </w:t>
      </w:r>
      <w:r w:rsidR="00672ED4" w:rsidRPr="00D4761A">
        <w:t>z </w:t>
      </w:r>
      <w:r w:rsidRPr="00D4761A">
        <w:t>2022 AHA/ACC/HFSA Guideline for the Management of Heart Failure)</w:t>
      </w:r>
    </w:p>
    <w:tbl>
      <w:tblPr>
        <w:tblStyle w:val="Mkatabulky"/>
        <w:tblW w:w="5000" w:type="pct"/>
        <w:tblLook w:val="04A0" w:firstRow="1" w:lastRow="0" w:firstColumn="1" w:lastColumn="0" w:noHBand="0" w:noVBand="1"/>
      </w:tblPr>
      <w:tblGrid>
        <w:gridCol w:w="3612"/>
        <w:gridCol w:w="1386"/>
        <w:gridCol w:w="1441"/>
        <w:gridCol w:w="1258"/>
        <w:gridCol w:w="1365"/>
      </w:tblGrid>
      <w:tr w:rsidR="00597804" w:rsidRPr="00D4761A" w14:paraId="0C751409" w14:textId="77777777" w:rsidTr="00CA3812">
        <w:trPr>
          <w:cantSplit/>
        </w:trPr>
        <w:tc>
          <w:tcPr>
            <w:tcW w:w="1993" w:type="pct"/>
            <w:vAlign w:val="center"/>
            <w:hideMark/>
          </w:tcPr>
          <w:p w14:paraId="176F5483" w14:textId="77777777" w:rsidR="00E2166F" w:rsidRPr="00D4761A" w:rsidRDefault="00E2166F" w:rsidP="00672ED4">
            <w:pPr>
              <w:keepNext/>
              <w:spacing w:line="240" w:lineRule="auto"/>
              <w:jc w:val="left"/>
              <w:rPr>
                <w:rFonts w:eastAsia="Times New Roman" w:cs="Times New Roman"/>
                <w:b/>
                <w:szCs w:val="24"/>
                <w:lang w:eastAsia="cs-CZ"/>
              </w:rPr>
            </w:pPr>
            <w:r w:rsidRPr="00D4761A">
              <w:rPr>
                <w:rFonts w:eastAsia="Times New Roman" w:cs="Times New Roman"/>
                <w:b/>
                <w:szCs w:val="24"/>
                <w:lang w:eastAsia="cs-CZ"/>
              </w:rPr>
              <w:t>Terapie</w:t>
            </w:r>
          </w:p>
        </w:tc>
        <w:tc>
          <w:tcPr>
            <w:tcW w:w="765" w:type="pct"/>
            <w:vAlign w:val="center"/>
            <w:hideMark/>
          </w:tcPr>
          <w:p w14:paraId="2509E488" w14:textId="77777777" w:rsidR="00E2166F" w:rsidRPr="00D4761A" w:rsidRDefault="00E2166F" w:rsidP="00672ED4">
            <w:pPr>
              <w:keepNext/>
              <w:spacing w:line="240" w:lineRule="auto"/>
              <w:jc w:val="center"/>
              <w:rPr>
                <w:rFonts w:eastAsia="Times New Roman" w:cs="Times New Roman"/>
                <w:b/>
                <w:szCs w:val="24"/>
                <w:lang w:eastAsia="cs-CZ"/>
              </w:rPr>
            </w:pPr>
            <w:r w:rsidRPr="00D4761A">
              <w:rPr>
                <w:rFonts w:eastAsia="Times New Roman" w:cs="Times New Roman"/>
                <w:b/>
                <w:szCs w:val="24"/>
                <w:lang w:eastAsia="cs-CZ"/>
              </w:rPr>
              <w:t>Snížení relativního rizika smrti (%)</w:t>
            </w:r>
          </w:p>
        </w:tc>
        <w:tc>
          <w:tcPr>
            <w:tcW w:w="795" w:type="pct"/>
            <w:vAlign w:val="center"/>
            <w:hideMark/>
          </w:tcPr>
          <w:p w14:paraId="0790FF11" w14:textId="08D8D5E6" w:rsidR="00E2166F" w:rsidRPr="00D4761A" w:rsidRDefault="00E2166F" w:rsidP="00672ED4">
            <w:pPr>
              <w:keepNext/>
              <w:spacing w:line="240" w:lineRule="auto"/>
              <w:jc w:val="center"/>
              <w:rPr>
                <w:rFonts w:eastAsia="Times New Roman" w:cs="Times New Roman"/>
                <w:b/>
                <w:szCs w:val="24"/>
                <w:lang w:eastAsia="cs-CZ"/>
              </w:rPr>
            </w:pPr>
            <w:r w:rsidRPr="00D4761A">
              <w:rPr>
                <w:rFonts w:eastAsia="Times New Roman" w:cs="Times New Roman"/>
                <w:b/>
                <w:szCs w:val="24"/>
                <w:lang w:eastAsia="cs-CZ"/>
              </w:rPr>
              <w:t xml:space="preserve">NNT nutné </w:t>
            </w:r>
            <w:r w:rsidR="00672ED4" w:rsidRPr="00D4761A">
              <w:rPr>
                <w:rFonts w:eastAsia="Times New Roman" w:cs="Times New Roman"/>
                <w:b/>
                <w:szCs w:val="24"/>
                <w:lang w:eastAsia="cs-CZ"/>
              </w:rPr>
              <w:t>k </w:t>
            </w:r>
            <w:r w:rsidRPr="00D4761A">
              <w:rPr>
                <w:rFonts w:eastAsia="Times New Roman" w:cs="Times New Roman"/>
                <w:b/>
                <w:szCs w:val="24"/>
                <w:lang w:eastAsia="cs-CZ"/>
              </w:rPr>
              <w:t>redukci mortality po průměrnou dobu trvání studie</w:t>
            </w:r>
          </w:p>
        </w:tc>
        <w:tc>
          <w:tcPr>
            <w:tcW w:w="694" w:type="pct"/>
            <w:vAlign w:val="center"/>
            <w:hideMark/>
          </w:tcPr>
          <w:p w14:paraId="6095D17E" w14:textId="48F1E7D7" w:rsidR="00E2166F" w:rsidRPr="00D4761A" w:rsidRDefault="00E2166F" w:rsidP="00672ED4">
            <w:pPr>
              <w:keepNext/>
              <w:spacing w:line="240" w:lineRule="auto"/>
              <w:jc w:val="center"/>
              <w:rPr>
                <w:rFonts w:eastAsia="Times New Roman" w:cs="Times New Roman"/>
                <w:b/>
                <w:szCs w:val="24"/>
                <w:lang w:eastAsia="cs-CZ"/>
              </w:rPr>
            </w:pPr>
            <w:r w:rsidRPr="00D4761A">
              <w:rPr>
                <w:rFonts w:eastAsia="Times New Roman" w:cs="Times New Roman"/>
                <w:b/>
                <w:szCs w:val="24"/>
                <w:lang w:eastAsia="cs-CZ"/>
              </w:rPr>
              <w:t xml:space="preserve">NNT </w:t>
            </w:r>
            <w:r w:rsidR="00672ED4" w:rsidRPr="00D4761A">
              <w:rPr>
                <w:rFonts w:eastAsia="Times New Roman" w:cs="Times New Roman"/>
                <w:b/>
                <w:szCs w:val="24"/>
                <w:lang w:eastAsia="cs-CZ"/>
              </w:rPr>
              <w:t>k </w:t>
            </w:r>
            <w:r w:rsidRPr="00D4761A">
              <w:rPr>
                <w:rFonts w:eastAsia="Times New Roman" w:cs="Times New Roman"/>
                <w:b/>
                <w:szCs w:val="24"/>
                <w:lang w:eastAsia="cs-CZ"/>
              </w:rPr>
              <w:t>redukci mortality do jednoho roku</w:t>
            </w:r>
          </w:p>
        </w:tc>
        <w:tc>
          <w:tcPr>
            <w:tcW w:w="753" w:type="pct"/>
            <w:vAlign w:val="center"/>
            <w:hideMark/>
          </w:tcPr>
          <w:p w14:paraId="6E92AFF4" w14:textId="4D879C06" w:rsidR="00E2166F" w:rsidRPr="00D4761A" w:rsidRDefault="00E2166F" w:rsidP="00672ED4">
            <w:pPr>
              <w:keepNext/>
              <w:spacing w:line="240" w:lineRule="auto"/>
              <w:jc w:val="center"/>
              <w:rPr>
                <w:rFonts w:eastAsia="Times New Roman" w:cs="Times New Roman"/>
                <w:b/>
                <w:szCs w:val="24"/>
                <w:lang w:eastAsia="cs-CZ"/>
              </w:rPr>
            </w:pPr>
            <w:r w:rsidRPr="00D4761A">
              <w:rPr>
                <w:rFonts w:eastAsia="Times New Roman" w:cs="Times New Roman"/>
                <w:b/>
                <w:szCs w:val="24"/>
                <w:lang w:eastAsia="cs-CZ"/>
              </w:rPr>
              <w:t xml:space="preserve">NNT </w:t>
            </w:r>
            <w:r w:rsidR="00672ED4" w:rsidRPr="00D4761A">
              <w:rPr>
                <w:rFonts w:eastAsia="Times New Roman" w:cs="Times New Roman"/>
                <w:b/>
                <w:szCs w:val="24"/>
                <w:lang w:eastAsia="cs-CZ"/>
              </w:rPr>
              <w:t>k </w:t>
            </w:r>
            <w:r w:rsidRPr="00D4761A">
              <w:rPr>
                <w:rFonts w:eastAsia="Times New Roman" w:cs="Times New Roman"/>
                <w:b/>
                <w:szCs w:val="24"/>
                <w:lang w:eastAsia="cs-CZ"/>
              </w:rPr>
              <w:t>redukci mortality do 36 měsíců</w:t>
            </w:r>
          </w:p>
        </w:tc>
      </w:tr>
      <w:tr w:rsidR="00597804" w:rsidRPr="00D4761A" w14:paraId="1BF1A42F" w14:textId="77777777" w:rsidTr="00CA3812">
        <w:trPr>
          <w:cantSplit/>
        </w:trPr>
        <w:tc>
          <w:tcPr>
            <w:tcW w:w="1993" w:type="pct"/>
            <w:vAlign w:val="center"/>
            <w:hideMark/>
          </w:tcPr>
          <w:p w14:paraId="028E626F" w14:textId="77777777" w:rsidR="00E2166F" w:rsidRPr="00D4761A" w:rsidRDefault="00E2166F" w:rsidP="00672ED4">
            <w:pPr>
              <w:keepNext/>
              <w:spacing w:line="240" w:lineRule="auto"/>
              <w:jc w:val="left"/>
              <w:rPr>
                <w:rFonts w:eastAsia="Times New Roman" w:cs="Times New Roman"/>
                <w:szCs w:val="24"/>
                <w:lang w:eastAsia="cs-CZ"/>
              </w:rPr>
            </w:pPr>
            <w:r w:rsidRPr="00D4761A">
              <w:rPr>
                <w:rFonts w:eastAsia="Times New Roman" w:cs="Times New Roman"/>
                <w:szCs w:val="24"/>
                <w:lang w:eastAsia="cs-CZ"/>
              </w:rPr>
              <w:t>Inhibitory angiotensin-konvertujícího enzymu</w:t>
            </w:r>
          </w:p>
        </w:tc>
        <w:tc>
          <w:tcPr>
            <w:tcW w:w="765" w:type="pct"/>
            <w:vAlign w:val="center"/>
            <w:hideMark/>
          </w:tcPr>
          <w:p w14:paraId="2B62E28A" w14:textId="77777777" w:rsidR="00E2166F" w:rsidRPr="00D4761A" w:rsidRDefault="00E2166F"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17</w:t>
            </w:r>
          </w:p>
        </w:tc>
        <w:tc>
          <w:tcPr>
            <w:tcW w:w="795" w:type="pct"/>
            <w:vAlign w:val="center"/>
            <w:hideMark/>
          </w:tcPr>
          <w:p w14:paraId="0B99940B" w14:textId="77777777" w:rsidR="00E2166F" w:rsidRPr="00D4761A" w:rsidRDefault="00E2166F"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22 po dobu 42 měsíců</w:t>
            </w:r>
          </w:p>
        </w:tc>
        <w:tc>
          <w:tcPr>
            <w:tcW w:w="694" w:type="pct"/>
            <w:vAlign w:val="center"/>
            <w:hideMark/>
          </w:tcPr>
          <w:p w14:paraId="1DD10E30" w14:textId="77777777" w:rsidR="00E2166F" w:rsidRPr="00D4761A" w:rsidRDefault="00E2166F"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77</w:t>
            </w:r>
          </w:p>
        </w:tc>
        <w:tc>
          <w:tcPr>
            <w:tcW w:w="753" w:type="pct"/>
            <w:vAlign w:val="center"/>
            <w:hideMark/>
          </w:tcPr>
          <w:p w14:paraId="781A1702" w14:textId="77777777" w:rsidR="00E2166F" w:rsidRPr="00D4761A" w:rsidRDefault="00E2166F"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26</w:t>
            </w:r>
          </w:p>
        </w:tc>
      </w:tr>
      <w:tr w:rsidR="00597804" w:rsidRPr="00D4761A" w14:paraId="63DC89AB" w14:textId="77777777" w:rsidTr="00CA3812">
        <w:trPr>
          <w:cantSplit/>
        </w:trPr>
        <w:tc>
          <w:tcPr>
            <w:tcW w:w="1993" w:type="pct"/>
            <w:vAlign w:val="center"/>
            <w:hideMark/>
          </w:tcPr>
          <w:p w14:paraId="20346DAD" w14:textId="77777777" w:rsidR="00E2166F" w:rsidRPr="00D4761A" w:rsidRDefault="00E2166F" w:rsidP="00672ED4">
            <w:pPr>
              <w:keepNext/>
              <w:spacing w:line="240" w:lineRule="auto"/>
              <w:jc w:val="left"/>
              <w:rPr>
                <w:rFonts w:eastAsia="Times New Roman" w:cs="Times New Roman"/>
                <w:szCs w:val="24"/>
                <w:lang w:eastAsia="cs-CZ"/>
              </w:rPr>
            </w:pPr>
            <w:r w:rsidRPr="00D4761A">
              <w:rPr>
                <w:rFonts w:eastAsia="Times New Roman" w:cs="Times New Roman"/>
                <w:szCs w:val="24"/>
                <w:lang w:eastAsia="cs-CZ"/>
              </w:rPr>
              <w:t>Angiotensin receptor-neprilysin inhibitor</w:t>
            </w:r>
          </w:p>
        </w:tc>
        <w:tc>
          <w:tcPr>
            <w:tcW w:w="765" w:type="pct"/>
            <w:vAlign w:val="center"/>
            <w:hideMark/>
          </w:tcPr>
          <w:p w14:paraId="16604E15" w14:textId="77777777" w:rsidR="00E2166F" w:rsidRPr="00D4761A" w:rsidRDefault="00E2166F"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16</w:t>
            </w:r>
          </w:p>
        </w:tc>
        <w:tc>
          <w:tcPr>
            <w:tcW w:w="795" w:type="pct"/>
            <w:vAlign w:val="center"/>
            <w:hideMark/>
          </w:tcPr>
          <w:p w14:paraId="07A03301" w14:textId="77777777" w:rsidR="00E2166F" w:rsidRPr="00D4761A" w:rsidRDefault="00E2166F"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36 po dobu 27 měsíců</w:t>
            </w:r>
          </w:p>
        </w:tc>
        <w:tc>
          <w:tcPr>
            <w:tcW w:w="694" w:type="pct"/>
            <w:vAlign w:val="center"/>
            <w:hideMark/>
          </w:tcPr>
          <w:p w14:paraId="27D169C2" w14:textId="77777777" w:rsidR="00E2166F" w:rsidRPr="00D4761A" w:rsidRDefault="00E2166F"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80</w:t>
            </w:r>
          </w:p>
        </w:tc>
        <w:tc>
          <w:tcPr>
            <w:tcW w:w="753" w:type="pct"/>
            <w:vAlign w:val="center"/>
            <w:hideMark/>
          </w:tcPr>
          <w:p w14:paraId="27D2FA64" w14:textId="77777777" w:rsidR="00E2166F" w:rsidRPr="00D4761A" w:rsidRDefault="00E2166F"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27</w:t>
            </w:r>
          </w:p>
        </w:tc>
      </w:tr>
      <w:tr w:rsidR="00597804" w:rsidRPr="00D4761A" w14:paraId="295BE595" w14:textId="77777777" w:rsidTr="00CA3812">
        <w:trPr>
          <w:cantSplit/>
        </w:trPr>
        <w:tc>
          <w:tcPr>
            <w:tcW w:w="1993" w:type="pct"/>
            <w:vAlign w:val="center"/>
            <w:hideMark/>
          </w:tcPr>
          <w:p w14:paraId="1E9A5FEE" w14:textId="77777777" w:rsidR="00E2166F" w:rsidRPr="00D4761A" w:rsidRDefault="00E2166F" w:rsidP="00672ED4">
            <w:pPr>
              <w:keepNext/>
              <w:spacing w:line="240" w:lineRule="auto"/>
              <w:jc w:val="left"/>
              <w:rPr>
                <w:rFonts w:eastAsia="Times New Roman" w:cs="Times New Roman"/>
                <w:szCs w:val="24"/>
                <w:lang w:eastAsia="cs-CZ"/>
              </w:rPr>
            </w:pPr>
            <w:r w:rsidRPr="00D4761A">
              <w:rPr>
                <w:rFonts w:eastAsia="Times New Roman" w:cs="Times New Roman"/>
                <w:szCs w:val="24"/>
                <w:lang w:eastAsia="cs-CZ"/>
              </w:rPr>
              <w:t>Betablokátory</w:t>
            </w:r>
          </w:p>
        </w:tc>
        <w:tc>
          <w:tcPr>
            <w:tcW w:w="765" w:type="pct"/>
            <w:vAlign w:val="center"/>
            <w:hideMark/>
          </w:tcPr>
          <w:p w14:paraId="235EFC23" w14:textId="77777777" w:rsidR="00E2166F" w:rsidRPr="00D4761A" w:rsidRDefault="00E2166F"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34</w:t>
            </w:r>
          </w:p>
        </w:tc>
        <w:tc>
          <w:tcPr>
            <w:tcW w:w="795" w:type="pct"/>
            <w:vAlign w:val="center"/>
            <w:hideMark/>
          </w:tcPr>
          <w:p w14:paraId="0DFB99EB" w14:textId="77777777" w:rsidR="00E2166F" w:rsidRPr="00D4761A" w:rsidRDefault="00E2166F"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28 po dobu 12 měsíců</w:t>
            </w:r>
          </w:p>
        </w:tc>
        <w:tc>
          <w:tcPr>
            <w:tcW w:w="694" w:type="pct"/>
            <w:vAlign w:val="center"/>
            <w:hideMark/>
          </w:tcPr>
          <w:p w14:paraId="084C7FA0" w14:textId="77777777" w:rsidR="00E2166F" w:rsidRPr="00D4761A" w:rsidRDefault="00E2166F"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28</w:t>
            </w:r>
          </w:p>
        </w:tc>
        <w:tc>
          <w:tcPr>
            <w:tcW w:w="753" w:type="pct"/>
            <w:vAlign w:val="center"/>
            <w:hideMark/>
          </w:tcPr>
          <w:p w14:paraId="79C8D9E3" w14:textId="77777777" w:rsidR="00E2166F" w:rsidRPr="00D4761A" w:rsidRDefault="00E2166F"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9</w:t>
            </w:r>
          </w:p>
        </w:tc>
      </w:tr>
      <w:tr w:rsidR="00597804" w:rsidRPr="00D4761A" w14:paraId="332D1851" w14:textId="77777777" w:rsidTr="00CA3812">
        <w:trPr>
          <w:cantSplit/>
        </w:trPr>
        <w:tc>
          <w:tcPr>
            <w:tcW w:w="1993" w:type="pct"/>
            <w:vAlign w:val="center"/>
            <w:hideMark/>
          </w:tcPr>
          <w:p w14:paraId="45835261" w14:textId="77777777" w:rsidR="00E2166F" w:rsidRPr="00D4761A" w:rsidRDefault="00E2166F" w:rsidP="00672ED4">
            <w:pPr>
              <w:keepNext/>
              <w:spacing w:line="240" w:lineRule="auto"/>
              <w:jc w:val="left"/>
              <w:rPr>
                <w:rFonts w:eastAsia="Times New Roman" w:cs="Times New Roman"/>
                <w:szCs w:val="24"/>
                <w:lang w:eastAsia="cs-CZ"/>
              </w:rPr>
            </w:pPr>
            <w:r w:rsidRPr="00D4761A">
              <w:rPr>
                <w:rFonts w:eastAsia="Times New Roman" w:cs="Times New Roman"/>
                <w:szCs w:val="24"/>
                <w:lang w:eastAsia="cs-CZ"/>
              </w:rPr>
              <w:t>Antagonisté mineralokortikoidních receptorů</w:t>
            </w:r>
          </w:p>
        </w:tc>
        <w:tc>
          <w:tcPr>
            <w:tcW w:w="765" w:type="pct"/>
            <w:vAlign w:val="center"/>
            <w:hideMark/>
          </w:tcPr>
          <w:p w14:paraId="59FC377E" w14:textId="77777777" w:rsidR="00E2166F" w:rsidRPr="00D4761A" w:rsidRDefault="00E2166F"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30</w:t>
            </w:r>
          </w:p>
        </w:tc>
        <w:tc>
          <w:tcPr>
            <w:tcW w:w="795" w:type="pct"/>
            <w:vAlign w:val="center"/>
            <w:hideMark/>
          </w:tcPr>
          <w:p w14:paraId="3BE9B7F6" w14:textId="77777777" w:rsidR="00E2166F" w:rsidRPr="00D4761A" w:rsidRDefault="00E2166F"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9 po dobu 24 měsíců</w:t>
            </w:r>
          </w:p>
        </w:tc>
        <w:tc>
          <w:tcPr>
            <w:tcW w:w="694" w:type="pct"/>
            <w:vAlign w:val="center"/>
            <w:hideMark/>
          </w:tcPr>
          <w:p w14:paraId="10433462" w14:textId="77777777" w:rsidR="00E2166F" w:rsidRPr="00D4761A" w:rsidRDefault="00E2166F"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18</w:t>
            </w:r>
          </w:p>
        </w:tc>
        <w:tc>
          <w:tcPr>
            <w:tcW w:w="753" w:type="pct"/>
            <w:vAlign w:val="center"/>
            <w:hideMark/>
          </w:tcPr>
          <w:p w14:paraId="7D3D492C" w14:textId="77777777" w:rsidR="00E2166F" w:rsidRPr="00D4761A" w:rsidRDefault="00E2166F"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6</w:t>
            </w:r>
          </w:p>
        </w:tc>
      </w:tr>
      <w:tr w:rsidR="00597804" w:rsidRPr="00D4761A" w14:paraId="0D699DB6" w14:textId="77777777" w:rsidTr="00CA3812">
        <w:trPr>
          <w:cantSplit/>
        </w:trPr>
        <w:tc>
          <w:tcPr>
            <w:tcW w:w="1993" w:type="pct"/>
            <w:vAlign w:val="center"/>
            <w:hideMark/>
          </w:tcPr>
          <w:p w14:paraId="640AB4AA" w14:textId="77777777" w:rsidR="00E2166F" w:rsidRPr="00D4761A" w:rsidRDefault="00E2166F" w:rsidP="00672ED4">
            <w:pPr>
              <w:keepNext/>
              <w:spacing w:line="240" w:lineRule="auto"/>
              <w:jc w:val="left"/>
              <w:rPr>
                <w:rFonts w:eastAsia="Times New Roman" w:cs="Times New Roman"/>
                <w:szCs w:val="24"/>
                <w:lang w:eastAsia="cs-CZ"/>
              </w:rPr>
            </w:pPr>
            <w:r w:rsidRPr="00D4761A">
              <w:rPr>
                <w:rFonts w:eastAsia="Times New Roman" w:cs="Times New Roman"/>
                <w:szCs w:val="24"/>
                <w:lang w:eastAsia="cs-CZ"/>
              </w:rPr>
              <w:t>SGLT2i (dapagliflozin, empagliglozin)</w:t>
            </w:r>
          </w:p>
        </w:tc>
        <w:tc>
          <w:tcPr>
            <w:tcW w:w="765" w:type="pct"/>
            <w:vAlign w:val="center"/>
            <w:hideMark/>
          </w:tcPr>
          <w:p w14:paraId="09C1C46A" w14:textId="77777777" w:rsidR="00E2166F" w:rsidRPr="00D4761A" w:rsidRDefault="00E2166F"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17</w:t>
            </w:r>
          </w:p>
        </w:tc>
        <w:tc>
          <w:tcPr>
            <w:tcW w:w="795" w:type="pct"/>
            <w:vAlign w:val="center"/>
            <w:hideMark/>
          </w:tcPr>
          <w:p w14:paraId="6998C423" w14:textId="77777777" w:rsidR="00E2166F" w:rsidRPr="00D4761A" w:rsidRDefault="00E2166F"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43 po dobu 18 měsíců</w:t>
            </w:r>
          </w:p>
        </w:tc>
        <w:tc>
          <w:tcPr>
            <w:tcW w:w="694" w:type="pct"/>
            <w:vAlign w:val="center"/>
            <w:hideMark/>
          </w:tcPr>
          <w:p w14:paraId="24A9644F" w14:textId="77777777" w:rsidR="00E2166F" w:rsidRPr="00D4761A" w:rsidRDefault="00E2166F"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63</w:t>
            </w:r>
          </w:p>
        </w:tc>
        <w:tc>
          <w:tcPr>
            <w:tcW w:w="753" w:type="pct"/>
            <w:vAlign w:val="center"/>
            <w:hideMark/>
          </w:tcPr>
          <w:p w14:paraId="1179EC44" w14:textId="77777777" w:rsidR="00E2166F" w:rsidRPr="00D4761A" w:rsidRDefault="00E2166F"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22</w:t>
            </w:r>
          </w:p>
        </w:tc>
      </w:tr>
      <w:tr w:rsidR="00597804" w:rsidRPr="00D4761A" w14:paraId="4F8247A4" w14:textId="77777777" w:rsidTr="00CA3812">
        <w:trPr>
          <w:cantSplit/>
        </w:trPr>
        <w:tc>
          <w:tcPr>
            <w:tcW w:w="1993" w:type="pct"/>
            <w:vAlign w:val="center"/>
            <w:hideMark/>
          </w:tcPr>
          <w:p w14:paraId="27D3FAA7" w14:textId="77777777" w:rsidR="00E2166F" w:rsidRPr="00D4761A" w:rsidRDefault="00E2166F" w:rsidP="00672ED4">
            <w:pPr>
              <w:keepNext/>
              <w:spacing w:line="240" w:lineRule="auto"/>
              <w:jc w:val="left"/>
              <w:rPr>
                <w:rFonts w:eastAsia="Times New Roman" w:cs="Times New Roman"/>
                <w:szCs w:val="24"/>
                <w:lang w:eastAsia="cs-CZ"/>
              </w:rPr>
            </w:pPr>
            <w:r w:rsidRPr="00D4761A">
              <w:rPr>
                <w:rFonts w:eastAsia="Times New Roman" w:cs="Times New Roman"/>
                <w:szCs w:val="24"/>
                <w:lang w:eastAsia="cs-CZ"/>
              </w:rPr>
              <w:t>Resynchronizační terapie (CRT)</w:t>
            </w:r>
          </w:p>
        </w:tc>
        <w:tc>
          <w:tcPr>
            <w:tcW w:w="765" w:type="pct"/>
            <w:vAlign w:val="center"/>
            <w:hideMark/>
          </w:tcPr>
          <w:p w14:paraId="0A43A09A" w14:textId="77777777" w:rsidR="00E2166F" w:rsidRPr="00D4761A" w:rsidRDefault="00E2166F"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36</w:t>
            </w:r>
          </w:p>
        </w:tc>
        <w:tc>
          <w:tcPr>
            <w:tcW w:w="795" w:type="pct"/>
            <w:vAlign w:val="center"/>
            <w:hideMark/>
          </w:tcPr>
          <w:p w14:paraId="5F74F5CE" w14:textId="77777777" w:rsidR="00E2166F" w:rsidRPr="00D4761A" w:rsidRDefault="00E2166F"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12 po dobu 24 měsíců</w:t>
            </w:r>
          </w:p>
        </w:tc>
        <w:tc>
          <w:tcPr>
            <w:tcW w:w="694" w:type="pct"/>
            <w:vAlign w:val="center"/>
            <w:hideMark/>
          </w:tcPr>
          <w:p w14:paraId="2506D314" w14:textId="77777777" w:rsidR="00E2166F" w:rsidRPr="00D4761A" w:rsidRDefault="00E2166F"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24</w:t>
            </w:r>
          </w:p>
        </w:tc>
        <w:tc>
          <w:tcPr>
            <w:tcW w:w="753" w:type="pct"/>
            <w:vAlign w:val="center"/>
            <w:hideMark/>
          </w:tcPr>
          <w:p w14:paraId="11DC67AE" w14:textId="77777777" w:rsidR="00E2166F" w:rsidRPr="00D4761A" w:rsidRDefault="00E2166F" w:rsidP="00672ED4">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8</w:t>
            </w:r>
          </w:p>
        </w:tc>
      </w:tr>
      <w:tr w:rsidR="00E2166F" w:rsidRPr="00D4761A" w14:paraId="2718CFB1" w14:textId="77777777" w:rsidTr="00CA3812">
        <w:trPr>
          <w:cantSplit/>
        </w:trPr>
        <w:tc>
          <w:tcPr>
            <w:tcW w:w="1993" w:type="pct"/>
            <w:vAlign w:val="center"/>
            <w:hideMark/>
          </w:tcPr>
          <w:p w14:paraId="540338B7" w14:textId="22D02F0D" w:rsidR="00E2166F" w:rsidRPr="00D4761A" w:rsidRDefault="00E2166F" w:rsidP="00DA234A">
            <w:pPr>
              <w:spacing w:line="240" w:lineRule="auto"/>
              <w:jc w:val="left"/>
              <w:rPr>
                <w:rFonts w:eastAsia="Times New Roman" w:cs="Times New Roman"/>
                <w:szCs w:val="24"/>
                <w:lang w:eastAsia="cs-CZ"/>
              </w:rPr>
            </w:pPr>
            <w:r w:rsidRPr="00D4761A">
              <w:rPr>
                <w:rFonts w:eastAsia="Times New Roman" w:cs="Times New Roman"/>
                <w:szCs w:val="24"/>
                <w:lang w:eastAsia="cs-CZ"/>
              </w:rPr>
              <w:t>Implantabilní kardioverter</w:t>
            </w:r>
            <w:r w:rsidR="00DA234A" w:rsidRPr="00D4761A">
              <w:rPr>
                <w:rFonts w:eastAsia="Times New Roman" w:cs="Times New Roman"/>
                <w:szCs w:val="24"/>
                <w:lang w:eastAsia="cs-CZ"/>
              </w:rPr>
              <w:t>-</w:t>
            </w:r>
            <w:r w:rsidRPr="00D4761A">
              <w:rPr>
                <w:rFonts w:eastAsia="Times New Roman" w:cs="Times New Roman"/>
                <w:szCs w:val="24"/>
                <w:lang w:eastAsia="cs-CZ"/>
              </w:rPr>
              <w:t>defibrilátor (ICD)</w:t>
            </w:r>
          </w:p>
        </w:tc>
        <w:tc>
          <w:tcPr>
            <w:tcW w:w="765" w:type="pct"/>
            <w:vAlign w:val="center"/>
            <w:hideMark/>
          </w:tcPr>
          <w:p w14:paraId="1AA3B207" w14:textId="77777777" w:rsidR="00E2166F" w:rsidRPr="00D4761A" w:rsidRDefault="00E2166F" w:rsidP="00CA3812">
            <w:pPr>
              <w:spacing w:line="240" w:lineRule="auto"/>
              <w:jc w:val="center"/>
              <w:rPr>
                <w:rFonts w:eastAsia="Times New Roman" w:cs="Times New Roman"/>
                <w:szCs w:val="24"/>
                <w:lang w:eastAsia="cs-CZ"/>
              </w:rPr>
            </w:pPr>
            <w:r w:rsidRPr="00D4761A">
              <w:rPr>
                <w:rFonts w:eastAsia="Times New Roman" w:cs="Times New Roman"/>
                <w:szCs w:val="24"/>
                <w:lang w:eastAsia="cs-CZ"/>
              </w:rPr>
              <w:t>23</w:t>
            </w:r>
          </w:p>
        </w:tc>
        <w:tc>
          <w:tcPr>
            <w:tcW w:w="795" w:type="pct"/>
            <w:vAlign w:val="center"/>
            <w:hideMark/>
          </w:tcPr>
          <w:p w14:paraId="14F17F73" w14:textId="77777777" w:rsidR="00E2166F" w:rsidRPr="00D4761A" w:rsidRDefault="00E2166F" w:rsidP="00CA3812">
            <w:pPr>
              <w:spacing w:line="240" w:lineRule="auto"/>
              <w:jc w:val="center"/>
              <w:rPr>
                <w:rFonts w:eastAsia="Times New Roman" w:cs="Times New Roman"/>
                <w:szCs w:val="24"/>
                <w:lang w:eastAsia="cs-CZ"/>
              </w:rPr>
            </w:pPr>
            <w:r w:rsidRPr="00D4761A">
              <w:rPr>
                <w:rFonts w:eastAsia="Times New Roman" w:cs="Times New Roman"/>
                <w:szCs w:val="24"/>
                <w:lang w:eastAsia="cs-CZ"/>
              </w:rPr>
              <w:t>14 po dobu 60 měsíců</w:t>
            </w:r>
          </w:p>
        </w:tc>
        <w:tc>
          <w:tcPr>
            <w:tcW w:w="694" w:type="pct"/>
            <w:vAlign w:val="center"/>
            <w:hideMark/>
          </w:tcPr>
          <w:p w14:paraId="0FB32E81" w14:textId="77777777" w:rsidR="00E2166F" w:rsidRPr="00D4761A" w:rsidRDefault="00E2166F" w:rsidP="00CA3812">
            <w:pPr>
              <w:spacing w:line="240" w:lineRule="auto"/>
              <w:jc w:val="center"/>
              <w:rPr>
                <w:rFonts w:eastAsia="Times New Roman" w:cs="Times New Roman"/>
                <w:szCs w:val="24"/>
                <w:lang w:eastAsia="cs-CZ"/>
              </w:rPr>
            </w:pPr>
            <w:r w:rsidRPr="00D4761A">
              <w:rPr>
                <w:rFonts w:eastAsia="Times New Roman" w:cs="Times New Roman"/>
                <w:szCs w:val="24"/>
                <w:lang w:eastAsia="cs-CZ"/>
              </w:rPr>
              <w:t>70</w:t>
            </w:r>
          </w:p>
        </w:tc>
        <w:tc>
          <w:tcPr>
            <w:tcW w:w="753" w:type="pct"/>
            <w:vAlign w:val="center"/>
            <w:hideMark/>
          </w:tcPr>
          <w:p w14:paraId="680BC887" w14:textId="77777777" w:rsidR="00E2166F" w:rsidRPr="00D4761A" w:rsidRDefault="00E2166F" w:rsidP="00CA3812">
            <w:pPr>
              <w:spacing w:line="240" w:lineRule="auto"/>
              <w:jc w:val="center"/>
              <w:rPr>
                <w:rFonts w:eastAsia="Times New Roman" w:cs="Times New Roman"/>
                <w:szCs w:val="24"/>
                <w:lang w:eastAsia="cs-CZ"/>
              </w:rPr>
            </w:pPr>
            <w:r w:rsidRPr="00D4761A">
              <w:rPr>
                <w:rFonts w:eastAsia="Times New Roman" w:cs="Times New Roman"/>
                <w:szCs w:val="24"/>
                <w:lang w:eastAsia="cs-CZ"/>
              </w:rPr>
              <w:t>23</w:t>
            </w:r>
          </w:p>
        </w:tc>
      </w:tr>
    </w:tbl>
    <w:p w14:paraId="7DE47B4F" w14:textId="77777777" w:rsidR="00E2166F" w:rsidRPr="00D4761A" w:rsidRDefault="00E2166F" w:rsidP="00AF5A33">
      <w:pPr>
        <w:rPr>
          <w:rFonts w:cstheme="minorHAnsi"/>
          <w:szCs w:val="24"/>
        </w:rPr>
      </w:pPr>
    </w:p>
    <w:p w14:paraId="6F521EE8" w14:textId="1CCC9FF7" w:rsidR="00AF5A33" w:rsidRPr="00D4761A" w:rsidRDefault="00AF5A33" w:rsidP="00672ED4">
      <w:pPr>
        <w:pStyle w:val="Nadpis20"/>
      </w:pPr>
      <w:bookmarkStart w:id="25" w:name="_Toc120547441"/>
      <w:bookmarkEnd w:id="23"/>
      <w:r w:rsidRPr="00D4761A">
        <w:t>Nefarmakologická terapie chronického srdečního selhání se sníženou ejekční frakcí (HFrEF)</w:t>
      </w:r>
      <w:bookmarkEnd w:id="25"/>
    </w:p>
    <w:p w14:paraId="79D863E5" w14:textId="10B57779" w:rsidR="00AF5A33" w:rsidRPr="00D4761A" w:rsidRDefault="00AF5A33" w:rsidP="00672ED4">
      <w:pPr>
        <w:pStyle w:val="Nadpis30"/>
      </w:pPr>
      <w:bookmarkStart w:id="26" w:name="_Toc120547442"/>
      <w:r w:rsidRPr="00D4761A">
        <w:t>Implantabilní kardioverter-defibrilator (ICD)</w:t>
      </w:r>
      <w:bookmarkEnd w:id="26"/>
    </w:p>
    <w:p w14:paraId="0AA29A68" w14:textId="1358ED03" w:rsidR="00597804" w:rsidRPr="00D4761A" w:rsidRDefault="00AF5A33" w:rsidP="00672ED4">
      <w:pPr>
        <w:ind w:firstLine="708"/>
        <w:rPr>
          <w:rFonts w:cstheme="minorHAnsi"/>
          <w:szCs w:val="24"/>
        </w:rPr>
      </w:pPr>
      <w:bookmarkStart w:id="27" w:name="_Hlk119357198"/>
      <w:r w:rsidRPr="00D4761A">
        <w:rPr>
          <w:rFonts w:cstheme="minorHAnsi"/>
          <w:szCs w:val="24"/>
        </w:rPr>
        <w:t xml:space="preserve">První přesvědčivá data </w:t>
      </w:r>
      <w:r w:rsidR="00672ED4" w:rsidRPr="00D4761A">
        <w:rPr>
          <w:rFonts w:cstheme="minorHAnsi"/>
          <w:szCs w:val="24"/>
        </w:rPr>
        <w:t>o </w:t>
      </w:r>
      <w:r w:rsidRPr="00D4761A">
        <w:rPr>
          <w:rFonts w:cstheme="minorHAnsi"/>
          <w:szCs w:val="24"/>
        </w:rPr>
        <w:t xml:space="preserve">účinnosti ICD byla získána ve studiích </w:t>
      </w:r>
      <w:r w:rsidR="00672ED4" w:rsidRPr="00D4761A">
        <w:rPr>
          <w:rFonts w:cstheme="minorHAnsi"/>
          <w:szCs w:val="24"/>
        </w:rPr>
        <w:t>u </w:t>
      </w:r>
      <w:r w:rsidRPr="00D4761A">
        <w:rPr>
          <w:rFonts w:cstheme="minorHAnsi"/>
          <w:szCs w:val="24"/>
        </w:rPr>
        <w:t xml:space="preserve">pacientů, kteří přežili srdeční zástavu (50-52). Dalším krokem bylo použití ICD </w:t>
      </w:r>
      <w:r w:rsidR="00672ED4" w:rsidRPr="00D4761A">
        <w:rPr>
          <w:rFonts w:cstheme="minorHAnsi"/>
          <w:szCs w:val="24"/>
        </w:rPr>
        <w:t>u </w:t>
      </w:r>
      <w:r w:rsidRPr="00D4761A">
        <w:rPr>
          <w:rFonts w:cstheme="minorHAnsi"/>
          <w:szCs w:val="24"/>
        </w:rPr>
        <w:t>pacientů s vysokým rizikem náhlé smrti. Studie MADIT definovala pacienty v riziku jako pacienty s EF LK 35</w:t>
      </w:r>
      <w:r w:rsidR="00672ED4" w:rsidRPr="00D4761A">
        <w:rPr>
          <w:rFonts w:cstheme="minorHAnsi"/>
          <w:szCs w:val="24"/>
        </w:rPr>
        <w:t> %</w:t>
      </w:r>
      <w:r w:rsidRPr="00D4761A">
        <w:rPr>
          <w:rFonts w:cstheme="minorHAnsi"/>
          <w:szCs w:val="24"/>
        </w:rPr>
        <w:t xml:space="preserve"> nebo méně, </w:t>
      </w:r>
      <w:r w:rsidR="00672ED4" w:rsidRPr="00D4761A">
        <w:rPr>
          <w:rFonts w:cstheme="minorHAnsi"/>
          <w:szCs w:val="24"/>
        </w:rPr>
        <w:t>s </w:t>
      </w:r>
      <w:r w:rsidRPr="00D4761A">
        <w:rPr>
          <w:rFonts w:cstheme="minorHAnsi"/>
          <w:szCs w:val="24"/>
        </w:rPr>
        <w:t xml:space="preserve">předchozím infarktem myokardu </w:t>
      </w:r>
      <w:r w:rsidR="00672ED4" w:rsidRPr="00D4761A">
        <w:rPr>
          <w:rFonts w:cstheme="minorHAnsi"/>
          <w:szCs w:val="24"/>
        </w:rPr>
        <w:t>a </w:t>
      </w:r>
      <w:r w:rsidRPr="00D4761A">
        <w:rPr>
          <w:rFonts w:cstheme="minorHAnsi"/>
          <w:szCs w:val="24"/>
        </w:rPr>
        <w:t xml:space="preserve">nesetrvalou komorovou arytmií s potřebou elektrofyziologického testování </w:t>
      </w:r>
      <w:r w:rsidR="00672ED4" w:rsidRPr="00D4761A">
        <w:rPr>
          <w:rFonts w:cstheme="minorHAnsi"/>
          <w:szCs w:val="24"/>
        </w:rPr>
        <w:t>a </w:t>
      </w:r>
      <w:r w:rsidRPr="00D4761A">
        <w:rPr>
          <w:rFonts w:cstheme="minorHAnsi"/>
          <w:szCs w:val="24"/>
        </w:rPr>
        <w:t>inducibilitou setrvalé komorové arytmie (53).</w:t>
      </w:r>
      <w:r w:rsidR="00597804" w:rsidRPr="00D4761A">
        <w:rPr>
          <w:rFonts w:cstheme="minorHAnsi"/>
          <w:szCs w:val="24"/>
        </w:rPr>
        <w:t xml:space="preserve"> </w:t>
      </w:r>
      <w:r w:rsidRPr="00D4761A">
        <w:rPr>
          <w:rFonts w:cstheme="minorHAnsi"/>
          <w:szCs w:val="24"/>
        </w:rPr>
        <w:t xml:space="preserve">Studie MUSTT </w:t>
      </w:r>
      <w:r w:rsidRPr="00D4761A">
        <w:rPr>
          <w:rFonts w:cstheme="minorHAnsi"/>
          <w:szCs w:val="24"/>
        </w:rPr>
        <w:lastRenderedPageBreak/>
        <w:t>potvrzuje definici rizika, posouvá EF LK na 40</w:t>
      </w:r>
      <w:r w:rsidR="00672ED4" w:rsidRPr="00D4761A">
        <w:rPr>
          <w:rFonts w:cstheme="minorHAnsi"/>
          <w:szCs w:val="24"/>
        </w:rPr>
        <w:t> %</w:t>
      </w:r>
      <w:r w:rsidRPr="00D4761A">
        <w:rPr>
          <w:rFonts w:cstheme="minorHAnsi"/>
          <w:szCs w:val="24"/>
        </w:rPr>
        <w:t xml:space="preserve"> nebo méně (54).</w:t>
      </w:r>
      <w:r w:rsidR="00597804" w:rsidRPr="00D4761A">
        <w:rPr>
          <w:rFonts w:cstheme="minorHAnsi"/>
          <w:szCs w:val="24"/>
        </w:rPr>
        <w:t xml:space="preserve"> </w:t>
      </w:r>
      <w:r w:rsidRPr="00D4761A">
        <w:rPr>
          <w:rFonts w:cstheme="minorHAnsi"/>
          <w:szCs w:val="24"/>
        </w:rPr>
        <w:t xml:space="preserve">Finálně MADIT – II prokázala mortalitní benefit ICD </w:t>
      </w:r>
      <w:r w:rsidR="00672ED4" w:rsidRPr="00D4761A">
        <w:rPr>
          <w:rFonts w:cstheme="minorHAnsi"/>
          <w:szCs w:val="24"/>
        </w:rPr>
        <w:t>u </w:t>
      </w:r>
      <w:r w:rsidRPr="00D4761A">
        <w:rPr>
          <w:rFonts w:cstheme="minorHAnsi"/>
          <w:szCs w:val="24"/>
        </w:rPr>
        <w:t>pacientů s EF LK 30</w:t>
      </w:r>
      <w:r w:rsidR="00672ED4" w:rsidRPr="00D4761A">
        <w:rPr>
          <w:rFonts w:cstheme="minorHAnsi"/>
          <w:szCs w:val="24"/>
        </w:rPr>
        <w:t> %</w:t>
      </w:r>
      <w:r w:rsidRPr="00D4761A">
        <w:rPr>
          <w:rFonts w:cstheme="minorHAnsi"/>
          <w:szCs w:val="24"/>
        </w:rPr>
        <w:t xml:space="preserve"> nebo méně, funkční třídy NYHA I-III, bez nutnosti elektrofyziologického testování či přítomnosti nesetrvalých komorových arytmií (55).</w:t>
      </w:r>
    </w:p>
    <w:bookmarkEnd w:id="27"/>
    <w:p w14:paraId="5C778A30" w14:textId="46C65D19" w:rsidR="00597804" w:rsidRPr="00D4761A" w:rsidRDefault="00AF5A33" w:rsidP="00672ED4">
      <w:pPr>
        <w:ind w:firstLine="708"/>
        <w:rPr>
          <w:rFonts w:cstheme="minorHAnsi"/>
          <w:szCs w:val="24"/>
        </w:rPr>
      </w:pPr>
      <w:r w:rsidRPr="00D4761A">
        <w:rPr>
          <w:rFonts w:cstheme="minorHAnsi"/>
          <w:szCs w:val="24"/>
        </w:rPr>
        <w:t>Populaci s neischemickou kardiomyopatií v riziku náhlé smrti definovala studie DEFINITE jako pacienty s EF LK 36</w:t>
      </w:r>
      <w:r w:rsidR="00672ED4" w:rsidRPr="00D4761A">
        <w:rPr>
          <w:rFonts w:cstheme="minorHAnsi"/>
          <w:szCs w:val="24"/>
        </w:rPr>
        <w:t> %</w:t>
      </w:r>
      <w:r w:rsidRPr="00D4761A">
        <w:rPr>
          <w:rFonts w:cstheme="minorHAnsi"/>
          <w:szCs w:val="24"/>
        </w:rPr>
        <w:t xml:space="preserve"> nebo méně, s nesetrvalými komorovými tachykardiemi nebo četnými komorovými extrasystolami (56).</w:t>
      </w:r>
      <w:r w:rsidR="00597804" w:rsidRPr="00D4761A">
        <w:rPr>
          <w:rFonts w:cstheme="minorHAnsi"/>
          <w:szCs w:val="24"/>
        </w:rPr>
        <w:t xml:space="preserve"> </w:t>
      </w:r>
      <w:r w:rsidR="00672ED4" w:rsidRPr="00D4761A">
        <w:rPr>
          <w:rFonts w:cstheme="minorHAnsi"/>
          <w:szCs w:val="24"/>
        </w:rPr>
        <w:t>U </w:t>
      </w:r>
      <w:r w:rsidRPr="00D4761A">
        <w:rPr>
          <w:rFonts w:cstheme="minorHAnsi"/>
          <w:szCs w:val="24"/>
        </w:rPr>
        <w:t xml:space="preserve">této populace bylo sníženo riziko náhlé smrti, nikoliv však celkové mortality. Studie SCD-HEFT potvrdila </w:t>
      </w:r>
      <w:r w:rsidR="00672ED4" w:rsidRPr="00D4761A">
        <w:rPr>
          <w:rFonts w:cstheme="minorHAnsi"/>
          <w:szCs w:val="24"/>
        </w:rPr>
        <w:t>u </w:t>
      </w:r>
      <w:r w:rsidRPr="00D4761A">
        <w:rPr>
          <w:rFonts w:cstheme="minorHAnsi"/>
          <w:szCs w:val="24"/>
        </w:rPr>
        <w:t xml:space="preserve">populace s neischemickou kardiomyopatií mortalitní benefit ICD terapie (57). Studie DANISH 16 let po publikaci studie SCD-HEFT znovu zjišťovala mortalitní benefit </w:t>
      </w:r>
      <w:r w:rsidR="00672ED4" w:rsidRPr="00D4761A">
        <w:rPr>
          <w:rFonts w:cstheme="minorHAnsi"/>
          <w:szCs w:val="24"/>
        </w:rPr>
        <w:t>u </w:t>
      </w:r>
      <w:r w:rsidRPr="00D4761A">
        <w:rPr>
          <w:rFonts w:cstheme="minorHAnsi"/>
          <w:szCs w:val="24"/>
        </w:rPr>
        <w:t>pacientů s neischemickou kardiomyopatií s EF LK 35</w:t>
      </w:r>
      <w:r w:rsidR="00672ED4" w:rsidRPr="00D4761A">
        <w:rPr>
          <w:rFonts w:cstheme="minorHAnsi"/>
          <w:szCs w:val="24"/>
        </w:rPr>
        <w:t> %</w:t>
      </w:r>
      <w:r w:rsidRPr="00D4761A">
        <w:rPr>
          <w:rFonts w:cstheme="minorHAnsi"/>
          <w:szCs w:val="24"/>
        </w:rPr>
        <w:t xml:space="preserve"> nebo méně </w:t>
      </w:r>
      <w:r w:rsidR="00672ED4" w:rsidRPr="00D4761A">
        <w:rPr>
          <w:rFonts w:cstheme="minorHAnsi"/>
          <w:szCs w:val="24"/>
        </w:rPr>
        <w:t>a </w:t>
      </w:r>
      <w:r w:rsidRPr="00D4761A">
        <w:rPr>
          <w:rFonts w:cstheme="minorHAnsi"/>
          <w:szCs w:val="24"/>
        </w:rPr>
        <w:t>nenalezla mortalitní benefit. Je nutno ovšem zdůraznit, že 58</w:t>
      </w:r>
      <w:r w:rsidR="00672ED4" w:rsidRPr="00D4761A">
        <w:rPr>
          <w:rFonts w:cstheme="minorHAnsi"/>
          <w:szCs w:val="24"/>
        </w:rPr>
        <w:t> %</w:t>
      </w:r>
      <w:r w:rsidRPr="00D4761A">
        <w:rPr>
          <w:rFonts w:cstheme="minorHAnsi"/>
          <w:szCs w:val="24"/>
        </w:rPr>
        <w:t xml:space="preserve"> sledovaných pacientů mělo resynchronizační terapii (58). Tento vysoký podíl resynchronizační léčby pravděpodobně snížil efekt ICD terapie na celkovou mortalitu.</w:t>
      </w:r>
    </w:p>
    <w:p w14:paraId="20E19CBF" w14:textId="39A4ED47" w:rsidR="00AF5A33" w:rsidRPr="00D4761A" w:rsidRDefault="00AF5A33" w:rsidP="002F477B">
      <w:pPr>
        <w:pStyle w:val="Nadpis30"/>
      </w:pPr>
      <w:bookmarkStart w:id="28" w:name="_Toc120547443"/>
      <w:r w:rsidRPr="00D4761A">
        <w:t>Srdeční resynchronizační terapie (CRT)</w:t>
      </w:r>
      <w:bookmarkEnd w:id="28"/>
    </w:p>
    <w:p w14:paraId="3F8782E2" w14:textId="2DFE1F52" w:rsidR="00597804" w:rsidRPr="00D4761A" w:rsidRDefault="00AF5A33" w:rsidP="00672ED4">
      <w:pPr>
        <w:ind w:firstLine="708"/>
        <w:rPr>
          <w:rFonts w:cstheme="minorHAnsi"/>
          <w:szCs w:val="24"/>
        </w:rPr>
      </w:pPr>
      <w:r w:rsidRPr="00D4761A">
        <w:rPr>
          <w:rFonts w:cstheme="minorHAnsi"/>
          <w:szCs w:val="24"/>
        </w:rPr>
        <w:t>Patofyziologický koncept pro resynchronizační terapii je odvozen z retrospektivních studií, které prokázaly, že progrese srdečního selhání nesnižuje pouze kontraktilitu myokardu, ale také se projevuje v</w:t>
      </w:r>
      <w:r w:rsidR="00830201" w:rsidRPr="00D4761A">
        <w:rPr>
          <w:rFonts w:cstheme="minorHAnsi"/>
          <w:szCs w:val="24"/>
        </w:rPr>
        <w:t>e</w:t>
      </w:r>
      <w:r w:rsidRPr="00D4761A">
        <w:rPr>
          <w:rFonts w:cstheme="minorHAnsi"/>
          <w:szCs w:val="24"/>
        </w:rPr>
        <w:t> změně aktivace myokardu.</w:t>
      </w:r>
      <w:r w:rsidR="00597804" w:rsidRPr="00D4761A">
        <w:rPr>
          <w:rFonts w:cstheme="minorHAnsi"/>
          <w:szCs w:val="24"/>
        </w:rPr>
        <w:t xml:space="preserve"> </w:t>
      </w:r>
      <w:r w:rsidRPr="00D4761A">
        <w:rPr>
          <w:rFonts w:cstheme="minorHAnsi"/>
          <w:szCs w:val="24"/>
        </w:rPr>
        <w:t xml:space="preserve">Nápadné je zpoždění mezi začátkem kontrakce levé </w:t>
      </w:r>
      <w:r w:rsidR="00672ED4" w:rsidRPr="00D4761A">
        <w:rPr>
          <w:rFonts w:cstheme="minorHAnsi"/>
          <w:szCs w:val="24"/>
        </w:rPr>
        <w:t>a </w:t>
      </w:r>
      <w:r w:rsidRPr="00D4761A">
        <w:rPr>
          <w:rFonts w:cstheme="minorHAnsi"/>
          <w:szCs w:val="24"/>
        </w:rPr>
        <w:t>pravé komory, tato interventrikulární dyssynchronie se projeví prodloužení QRS komplexu na povrchovém elektrokardiogramu. První randomizovaná klinická studie MIRACLE sledovala pacienty NYHA III, IV s EF LK 35</w:t>
      </w:r>
      <w:r w:rsidR="00672ED4" w:rsidRPr="00D4761A">
        <w:rPr>
          <w:rFonts w:cstheme="minorHAnsi"/>
          <w:szCs w:val="24"/>
        </w:rPr>
        <w:t> %</w:t>
      </w:r>
      <w:r w:rsidRPr="00D4761A">
        <w:rPr>
          <w:rFonts w:cstheme="minorHAnsi"/>
          <w:szCs w:val="24"/>
        </w:rPr>
        <w:t xml:space="preserve"> nebo méně s QRS vyšším než 130</w:t>
      </w:r>
      <w:r w:rsidR="00CC2471" w:rsidRPr="00D4761A">
        <w:rPr>
          <w:rFonts w:cstheme="minorHAnsi"/>
          <w:szCs w:val="24"/>
        </w:rPr>
        <w:t> ms</w:t>
      </w:r>
      <w:r w:rsidRPr="00D4761A">
        <w:rPr>
          <w:rFonts w:cstheme="minorHAnsi"/>
          <w:szCs w:val="24"/>
        </w:rPr>
        <w:t xml:space="preserve"> (59). Cílem bylo zhodnocení změny funkční třídy, 6MWT, EF LK </w:t>
      </w:r>
      <w:r w:rsidR="00672ED4" w:rsidRPr="00D4761A">
        <w:rPr>
          <w:rFonts w:cstheme="minorHAnsi"/>
          <w:szCs w:val="24"/>
        </w:rPr>
        <w:t>a </w:t>
      </w:r>
      <w:r w:rsidRPr="00D4761A">
        <w:rPr>
          <w:rFonts w:cstheme="minorHAnsi"/>
          <w:szCs w:val="24"/>
        </w:rPr>
        <w:t xml:space="preserve">kvality života. Tyto všechny parametry byly zlepšeny po 6 měsících sledování. V další studii COMPANION byl již stanoven </w:t>
      </w:r>
      <w:r w:rsidR="00672ED4" w:rsidRPr="00D4761A">
        <w:rPr>
          <w:rFonts w:cstheme="minorHAnsi"/>
          <w:szCs w:val="24"/>
        </w:rPr>
        <w:t>u </w:t>
      </w:r>
      <w:r w:rsidRPr="00D4761A">
        <w:rPr>
          <w:rFonts w:cstheme="minorHAnsi"/>
          <w:szCs w:val="24"/>
        </w:rPr>
        <w:t xml:space="preserve">pacientů NYHA III </w:t>
      </w:r>
      <w:r w:rsidR="00672ED4" w:rsidRPr="00D4761A">
        <w:rPr>
          <w:rFonts w:cstheme="minorHAnsi"/>
          <w:szCs w:val="24"/>
        </w:rPr>
        <w:t>a </w:t>
      </w:r>
      <w:r w:rsidRPr="00D4761A">
        <w:rPr>
          <w:rFonts w:cstheme="minorHAnsi"/>
          <w:szCs w:val="24"/>
        </w:rPr>
        <w:t>IV, EF LK 35</w:t>
      </w:r>
      <w:r w:rsidR="00672ED4" w:rsidRPr="00D4761A">
        <w:rPr>
          <w:rFonts w:cstheme="minorHAnsi"/>
          <w:szCs w:val="24"/>
        </w:rPr>
        <w:t> %</w:t>
      </w:r>
      <w:r w:rsidRPr="00D4761A">
        <w:rPr>
          <w:rFonts w:cstheme="minorHAnsi"/>
          <w:szCs w:val="24"/>
        </w:rPr>
        <w:t xml:space="preserve"> </w:t>
      </w:r>
      <w:r w:rsidR="00672ED4" w:rsidRPr="00D4761A">
        <w:rPr>
          <w:rFonts w:cstheme="minorHAnsi"/>
          <w:szCs w:val="24"/>
        </w:rPr>
        <w:t>a </w:t>
      </w:r>
      <w:r w:rsidRPr="00D4761A">
        <w:rPr>
          <w:rFonts w:cstheme="minorHAnsi"/>
          <w:szCs w:val="24"/>
        </w:rPr>
        <w:t xml:space="preserve">méně </w:t>
      </w:r>
      <w:r w:rsidR="00672ED4" w:rsidRPr="00D4761A">
        <w:rPr>
          <w:rFonts w:cstheme="minorHAnsi"/>
          <w:szCs w:val="24"/>
        </w:rPr>
        <w:t>a </w:t>
      </w:r>
      <w:r w:rsidRPr="00D4761A">
        <w:rPr>
          <w:rFonts w:cstheme="minorHAnsi"/>
          <w:szCs w:val="24"/>
        </w:rPr>
        <w:t>QRS nad 120</w:t>
      </w:r>
      <w:r w:rsidR="00CC2471" w:rsidRPr="00D4761A">
        <w:rPr>
          <w:rFonts w:cstheme="minorHAnsi"/>
          <w:szCs w:val="24"/>
        </w:rPr>
        <w:t> ms</w:t>
      </w:r>
      <w:r w:rsidRPr="00D4761A">
        <w:rPr>
          <w:rFonts w:cstheme="minorHAnsi"/>
          <w:szCs w:val="24"/>
        </w:rPr>
        <w:t xml:space="preserve"> primární cíl smrt nebo hospitalizace z jakéhokoliv důvodu po 12 měsících terapie (60). Pacienti byli randomizováni do tří skupin (standardní terapie, stand. terapie + CRT-P, stand. terapie CRT-D). Primární cíl byl snížen, celková mortalita však nebyla ve větvi CRT-P snížena, na rozdíl od CRT-D.</w:t>
      </w:r>
    </w:p>
    <w:p w14:paraId="655DBFE6" w14:textId="66D32617" w:rsidR="00AF5A33" w:rsidRPr="00D4761A" w:rsidRDefault="00AF5A33" w:rsidP="002F477B">
      <w:pPr>
        <w:ind w:firstLine="708"/>
        <w:rPr>
          <w:rFonts w:cstheme="minorHAnsi"/>
          <w:szCs w:val="24"/>
        </w:rPr>
      </w:pPr>
      <w:r w:rsidRPr="00D4761A">
        <w:rPr>
          <w:rFonts w:cstheme="minorHAnsi"/>
          <w:szCs w:val="24"/>
        </w:rPr>
        <w:t>Další</w:t>
      </w:r>
      <w:r w:rsidR="00B65256" w:rsidRPr="00D4761A">
        <w:rPr>
          <w:rFonts w:cstheme="minorHAnsi"/>
          <w:szCs w:val="24"/>
        </w:rPr>
        <w:t>m</w:t>
      </w:r>
      <w:r w:rsidRPr="00D4761A">
        <w:rPr>
          <w:rFonts w:cstheme="minorHAnsi"/>
          <w:szCs w:val="24"/>
        </w:rPr>
        <w:t xml:space="preserve"> krokem bylo prokázání mortalitního benefitu samotného CRT-P, což prokázala studie CARE-HF znovu </w:t>
      </w:r>
      <w:r w:rsidR="00672ED4" w:rsidRPr="00D4761A">
        <w:rPr>
          <w:rFonts w:cstheme="minorHAnsi"/>
          <w:szCs w:val="24"/>
        </w:rPr>
        <w:t>u </w:t>
      </w:r>
      <w:r w:rsidRPr="00D4761A">
        <w:rPr>
          <w:rFonts w:cstheme="minorHAnsi"/>
          <w:szCs w:val="24"/>
        </w:rPr>
        <w:t xml:space="preserve">identických pacientů jako studie COMPANION, ale porovnáním standardní lékové terapie s CRT-P (61). Studie REVERSE prokázala benefit CRT </w:t>
      </w:r>
      <w:r w:rsidR="00672ED4" w:rsidRPr="00D4761A">
        <w:rPr>
          <w:rFonts w:cstheme="minorHAnsi"/>
          <w:szCs w:val="24"/>
        </w:rPr>
        <w:t>u </w:t>
      </w:r>
      <w:r w:rsidRPr="00D4761A">
        <w:rPr>
          <w:rFonts w:cstheme="minorHAnsi"/>
          <w:szCs w:val="24"/>
        </w:rPr>
        <w:t xml:space="preserve">pacientů ve funkční třídě NYHA </w:t>
      </w:r>
      <w:r w:rsidR="00672ED4" w:rsidRPr="00D4761A">
        <w:rPr>
          <w:rFonts w:cstheme="minorHAnsi"/>
          <w:szCs w:val="24"/>
        </w:rPr>
        <w:t>I a </w:t>
      </w:r>
      <w:r w:rsidRPr="00D4761A">
        <w:rPr>
          <w:rFonts w:cstheme="minorHAnsi"/>
          <w:szCs w:val="24"/>
        </w:rPr>
        <w:t>I</w:t>
      </w:r>
      <w:r w:rsidR="00A83B47" w:rsidRPr="00D4761A">
        <w:rPr>
          <w:rFonts w:cstheme="minorHAnsi"/>
          <w:szCs w:val="24"/>
        </w:rPr>
        <w:t>I</w:t>
      </w:r>
      <w:r w:rsidRPr="00D4761A">
        <w:rPr>
          <w:rFonts w:cstheme="minorHAnsi"/>
          <w:szCs w:val="24"/>
        </w:rPr>
        <w:t xml:space="preserve"> </w:t>
      </w:r>
      <w:r w:rsidR="00672ED4" w:rsidRPr="00D4761A">
        <w:rPr>
          <w:rFonts w:cstheme="minorHAnsi"/>
          <w:szCs w:val="24"/>
        </w:rPr>
        <w:t>a </w:t>
      </w:r>
      <w:r w:rsidRPr="00D4761A">
        <w:rPr>
          <w:rFonts w:cstheme="minorHAnsi"/>
          <w:szCs w:val="24"/>
        </w:rPr>
        <w:t>to v</w:t>
      </w:r>
      <w:r w:rsidR="002F477B" w:rsidRPr="00D4761A">
        <w:rPr>
          <w:rFonts w:cstheme="minorHAnsi"/>
          <w:szCs w:val="24"/>
        </w:rPr>
        <w:t xml:space="preserve">e </w:t>
      </w:r>
      <w:r w:rsidRPr="00D4761A">
        <w:rPr>
          <w:rFonts w:cstheme="minorHAnsi"/>
          <w:szCs w:val="24"/>
        </w:rPr>
        <w:t xml:space="preserve">snížení počtu hospitalizací pro srdeční selhání, zlepšení funkční třídy </w:t>
      </w:r>
      <w:r w:rsidR="00672ED4" w:rsidRPr="00D4761A">
        <w:rPr>
          <w:rFonts w:cstheme="minorHAnsi"/>
          <w:szCs w:val="24"/>
        </w:rPr>
        <w:t>a </w:t>
      </w:r>
      <w:r w:rsidRPr="00D4761A">
        <w:rPr>
          <w:rFonts w:cstheme="minorHAnsi"/>
          <w:szCs w:val="24"/>
        </w:rPr>
        <w:t>EF LK (62).</w:t>
      </w:r>
    </w:p>
    <w:p w14:paraId="5897B7B0" w14:textId="52C8E321" w:rsidR="00AF5A33" w:rsidRPr="00D4761A" w:rsidRDefault="00AF5A33" w:rsidP="002F477B">
      <w:pPr>
        <w:ind w:firstLine="708"/>
        <w:rPr>
          <w:rFonts w:cstheme="minorHAnsi"/>
          <w:szCs w:val="24"/>
        </w:rPr>
      </w:pPr>
      <w:r w:rsidRPr="00D4761A">
        <w:rPr>
          <w:rFonts w:cstheme="minorHAnsi"/>
          <w:szCs w:val="24"/>
        </w:rPr>
        <w:lastRenderedPageBreak/>
        <w:t>Poslední</w:t>
      </w:r>
      <w:r w:rsidR="00A3466D" w:rsidRPr="00D4761A">
        <w:rPr>
          <w:rFonts w:cstheme="minorHAnsi"/>
          <w:szCs w:val="24"/>
        </w:rPr>
        <w:t>m</w:t>
      </w:r>
      <w:r w:rsidRPr="00D4761A">
        <w:rPr>
          <w:rFonts w:cstheme="minorHAnsi"/>
          <w:szCs w:val="24"/>
        </w:rPr>
        <w:t xml:space="preserve"> krokem bylo dokázání snížení nikoliv hospitalizací pro srdeční selhání, ale kombinace mortality </w:t>
      </w:r>
      <w:r w:rsidR="00672ED4" w:rsidRPr="00D4761A">
        <w:rPr>
          <w:rFonts w:cstheme="minorHAnsi"/>
          <w:szCs w:val="24"/>
        </w:rPr>
        <w:t>a </w:t>
      </w:r>
      <w:r w:rsidRPr="00D4761A">
        <w:rPr>
          <w:rFonts w:cstheme="minorHAnsi"/>
          <w:szCs w:val="24"/>
        </w:rPr>
        <w:t>hospitalizací pro srdeční selhání.</w:t>
      </w:r>
      <w:r w:rsidR="00597804" w:rsidRPr="00D4761A">
        <w:rPr>
          <w:rFonts w:cstheme="minorHAnsi"/>
          <w:szCs w:val="24"/>
        </w:rPr>
        <w:t xml:space="preserve"> </w:t>
      </w:r>
      <w:r w:rsidRPr="00D4761A">
        <w:rPr>
          <w:rFonts w:cstheme="minorHAnsi"/>
          <w:szCs w:val="24"/>
        </w:rPr>
        <w:t xml:space="preserve">To bylo dosaženo ve studii MADIT-CRT </w:t>
      </w:r>
      <w:r w:rsidR="00672ED4" w:rsidRPr="00D4761A">
        <w:rPr>
          <w:rFonts w:cstheme="minorHAnsi"/>
          <w:szCs w:val="24"/>
        </w:rPr>
        <w:t>u </w:t>
      </w:r>
      <w:r w:rsidRPr="00D4761A">
        <w:rPr>
          <w:rFonts w:cstheme="minorHAnsi"/>
          <w:szCs w:val="24"/>
        </w:rPr>
        <w:t>pacientů funkční třídy NYHA I-II s EF LK 30</w:t>
      </w:r>
      <w:r w:rsidR="00672ED4" w:rsidRPr="00D4761A">
        <w:rPr>
          <w:rFonts w:cstheme="minorHAnsi"/>
          <w:szCs w:val="24"/>
        </w:rPr>
        <w:t> %</w:t>
      </w:r>
      <w:r w:rsidRPr="00D4761A">
        <w:rPr>
          <w:rFonts w:cstheme="minorHAnsi"/>
          <w:szCs w:val="24"/>
        </w:rPr>
        <w:t xml:space="preserve"> nebo méně s QRS trváním nad nebo rovno 130</w:t>
      </w:r>
      <w:r w:rsidR="00CC2471" w:rsidRPr="00D4761A">
        <w:rPr>
          <w:rFonts w:cstheme="minorHAnsi"/>
          <w:szCs w:val="24"/>
        </w:rPr>
        <w:t> ms</w:t>
      </w:r>
      <w:r w:rsidRPr="00D4761A">
        <w:rPr>
          <w:rFonts w:cstheme="minorHAnsi"/>
          <w:szCs w:val="24"/>
        </w:rPr>
        <w:t xml:space="preserve"> (63). Podobný výsledek byl dosažen </w:t>
      </w:r>
      <w:r w:rsidR="00672ED4" w:rsidRPr="00D4761A">
        <w:rPr>
          <w:rFonts w:cstheme="minorHAnsi"/>
          <w:szCs w:val="24"/>
        </w:rPr>
        <w:t>u </w:t>
      </w:r>
      <w:r w:rsidRPr="00D4761A">
        <w:rPr>
          <w:rFonts w:cstheme="minorHAnsi"/>
          <w:szCs w:val="24"/>
        </w:rPr>
        <w:t>pacientů třídy NYHA II-III s QRS rovno nebo více než 120</w:t>
      </w:r>
      <w:r w:rsidR="00CC2471" w:rsidRPr="00D4761A">
        <w:rPr>
          <w:rFonts w:cstheme="minorHAnsi"/>
          <w:szCs w:val="24"/>
        </w:rPr>
        <w:t> ms</w:t>
      </w:r>
      <w:r w:rsidRPr="00D4761A">
        <w:rPr>
          <w:rFonts w:cstheme="minorHAnsi"/>
          <w:szCs w:val="24"/>
        </w:rPr>
        <w:t xml:space="preserve"> nebo </w:t>
      </w:r>
      <w:r w:rsidR="00672ED4" w:rsidRPr="00D4761A">
        <w:rPr>
          <w:rFonts w:cstheme="minorHAnsi"/>
          <w:szCs w:val="24"/>
        </w:rPr>
        <w:t>u </w:t>
      </w:r>
      <w:r w:rsidRPr="00D4761A">
        <w:rPr>
          <w:rFonts w:cstheme="minorHAnsi"/>
          <w:szCs w:val="24"/>
        </w:rPr>
        <w:t>stimulovaného rytmu s QRS nad 200</w:t>
      </w:r>
      <w:r w:rsidR="00CC2471" w:rsidRPr="00D4761A">
        <w:rPr>
          <w:rFonts w:cstheme="minorHAnsi"/>
          <w:szCs w:val="24"/>
        </w:rPr>
        <w:t> ms</w:t>
      </w:r>
      <w:r w:rsidRPr="00D4761A">
        <w:rPr>
          <w:rFonts w:cstheme="minorHAnsi"/>
          <w:szCs w:val="24"/>
        </w:rPr>
        <w:t xml:space="preserve"> ve studii RAFT (64).</w:t>
      </w:r>
    </w:p>
    <w:p w14:paraId="537C0A30" w14:textId="5446EC93" w:rsidR="00597804" w:rsidRPr="00D4761A" w:rsidRDefault="00AF5A33" w:rsidP="002F477B">
      <w:pPr>
        <w:ind w:firstLine="708"/>
        <w:rPr>
          <w:rFonts w:cstheme="minorHAnsi"/>
          <w:szCs w:val="24"/>
        </w:rPr>
      </w:pPr>
      <w:r w:rsidRPr="00D4761A">
        <w:rPr>
          <w:rFonts w:cstheme="minorHAnsi"/>
          <w:szCs w:val="24"/>
        </w:rPr>
        <w:t xml:space="preserve">Pacienti s blokem levého Tawarova raménka (LBBB) profitují z CRT více než </w:t>
      </w:r>
      <w:r w:rsidR="004A7A73" w:rsidRPr="00D4761A">
        <w:rPr>
          <w:rFonts w:cstheme="minorHAnsi"/>
          <w:szCs w:val="24"/>
        </w:rPr>
        <w:t xml:space="preserve">ti s </w:t>
      </w:r>
      <w:r w:rsidRPr="00D4761A">
        <w:rPr>
          <w:rFonts w:cstheme="minorHAnsi"/>
          <w:szCs w:val="24"/>
        </w:rPr>
        <w:t>nespecifickou blokádou nebo s blokem pravého Tawarova raménka (RBBB) (65).</w:t>
      </w:r>
      <w:r w:rsidR="00597804" w:rsidRPr="00D4761A">
        <w:rPr>
          <w:rFonts w:cstheme="minorHAnsi"/>
          <w:szCs w:val="24"/>
        </w:rPr>
        <w:t xml:space="preserve"> </w:t>
      </w:r>
      <w:r w:rsidRPr="00D4761A">
        <w:rPr>
          <w:rFonts w:cstheme="minorHAnsi"/>
          <w:szCs w:val="24"/>
        </w:rPr>
        <w:t>Pacient</w:t>
      </w:r>
      <w:r w:rsidR="004A7A73" w:rsidRPr="00D4761A">
        <w:rPr>
          <w:rFonts w:cstheme="minorHAnsi"/>
          <w:szCs w:val="24"/>
        </w:rPr>
        <w:t>i</w:t>
      </w:r>
      <w:r w:rsidRPr="00D4761A">
        <w:rPr>
          <w:rFonts w:cstheme="minorHAnsi"/>
          <w:szCs w:val="24"/>
        </w:rPr>
        <w:t xml:space="preserve"> s širším QRS LBBB profitují z CRT více, ideální je QRS nad 150</w:t>
      </w:r>
      <w:r w:rsidR="00CC2471" w:rsidRPr="00D4761A">
        <w:rPr>
          <w:rFonts w:cstheme="minorHAnsi"/>
          <w:szCs w:val="24"/>
        </w:rPr>
        <w:t> ms</w:t>
      </w:r>
      <w:r w:rsidRPr="00D4761A">
        <w:rPr>
          <w:rFonts w:cstheme="minorHAnsi"/>
          <w:szCs w:val="24"/>
        </w:rPr>
        <w:t xml:space="preserve"> (66-69).</w:t>
      </w:r>
    </w:p>
    <w:p w14:paraId="6994F45D" w14:textId="6147470A" w:rsidR="00AF5A33" w:rsidRPr="00D4761A" w:rsidRDefault="00AF5A33" w:rsidP="002F477B">
      <w:pPr>
        <w:ind w:firstLine="708"/>
        <w:rPr>
          <w:rFonts w:cstheme="minorHAnsi"/>
          <w:szCs w:val="24"/>
        </w:rPr>
      </w:pPr>
      <w:r w:rsidRPr="00D4761A">
        <w:rPr>
          <w:rFonts w:cstheme="minorHAnsi"/>
          <w:szCs w:val="24"/>
        </w:rPr>
        <w:t>Pacienti s EF LK 50</w:t>
      </w:r>
      <w:r w:rsidR="00672ED4" w:rsidRPr="00D4761A">
        <w:rPr>
          <w:rFonts w:cstheme="minorHAnsi"/>
          <w:szCs w:val="24"/>
        </w:rPr>
        <w:t> %</w:t>
      </w:r>
      <w:r w:rsidRPr="00D4761A">
        <w:rPr>
          <w:rFonts w:cstheme="minorHAnsi"/>
          <w:szCs w:val="24"/>
        </w:rPr>
        <w:t xml:space="preserve"> </w:t>
      </w:r>
      <w:r w:rsidR="00672ED4" w:rsidRPr="00D4761A">
        <w:rPr>
          <w:rFonts w:cstheme="minorHAnsi"/>
          <w:szCs w:val="24"/>
        </w:rPr>
        <w:t>a </w:t>
      </w:r>
      <w:r w:rsidRPr="00D4761A">
        <w:rPr>
          <w:rFonts w:cstheme="minorHAnsi"/>
          <w:szCs w:val="24"/>
        </w:rPr>
        <w:t>méně, ve funkční třídě NYHA I-III s atrioventrikulárním blokem profitují z implantace CRT v</w:t>
      </w:r>
      <w:r w:rsidR="00C723AE" w:rsidRPr="00D4761A">
        <w:rPr>
          <w:rFonts w:cstheme="minorHAnsi"/>
          <w:szCs w:val="24"/>
        </w:rPr>
        <w:t xml:space="preserve">e srovnání </w:t>
      </w:r>
      <w:r w:rsidRPr="00D4761A">
        <w:rPr>
          <w:rFonts w:cstheme="minorHAnsi"/>
          <w:szCs w:val="24"/>
        </w:rPr>
        <w:t xml:space="preserve">s pravostrannou stimulací. </w:t>
      </w:r>
      <w:r w:rsidR="00672ED4" w:rsidRPr="00D4761A">
        <w:rPr>
          <w:rFonts w:cstheme="minorHAnsi"/>
          <w:szCs w:val="24"/>
        </w:rPr>
        <w:t>U </w:t>
      </w:r>
      <w:r w:rsidRPr="00D4761A">
        <w:rPr>
          <w:rFonts w:cstheme="minorHAnsi"/>
          <w:szCs w:val="24"/>
        </w:rPr>
        <w:t xml:space="preserve">těchto pacientů CRT snižuje riziko smrti, hospitalizace pro srdeční selhání </w:t>
      </w:r>
      <w:r w:rsidR="00672ED4" w:rsidRPr="00D4761A">
        <w:rPr>
          <w:rFonts w:cstheme="minorHAnsi"/>
          <w:szCs w:val="24"/>
        </w:rPr>
        <w:t>a </w:t>
      </w:r>
      <w:r w:rsidRPr="00D4761A">
        <w:rPr>
          <w:rFonts w:cstheme="minorHAnsi"/>
          <w:szCs w:val="24"/>
        </w:rPr>
        <w:t>zvětšení endsystolického objemu LK (70).</w:t>
      </w:r>
    </w:p>
    <w:p w14:paraId="126F727F" w14:textId="0D961D79" w:rsidR="00AF5A33" w:rsidRPr="00D4761A" w:rsidRDefault="00AF5A33" w:rsidP="002F477B">
      <w:pPr>
        <w:ind w:firstLine="708"/>
        <w:rPr>
          <w:rFonts w:cstheme="minorHAnsi"/>
          <w:szCs w:val="24"/>
        </w:rPr>
      </w:pPr>
      <w:r w:rsidRPr="00D4761A">
        <w:rPr>
          <w:rFonts w:cstheme="minorHAnsi"/>
          <w:szCs w:val="24"/>
        </w:rPr>
        <w:t>Ve studiích s CRT, kde byl</w:t>
      </w:r>
      <w:r w:rsidR="00C723AE" w:rsidRPr="00D4761A">
        <w:rPr>
          <w:rFonts w:cstheme="minorHAnsi"/>
          <w:szCs w:val="24"/>
        </w:rPr>
        <w:t>i</w:t>
      </w:r>
      <w:r w:rsidRPr="00D4761A">
        <w:rPr>
          <w:rFonts w:cstheme="minorHAnsi"/>
          <w:szCs w:val="24"/>
        </w:rPr>
        <w:t xml:space="preserve"> sledováni pacienti s fibrilací síní s HFrEF </w:t>
      </w:r>
      <w:r w:rsidR="00672ED4" w:rsidRPr="00D4761A">
        <w:rPr>
          <w:rFonts w:cstheme="minorHAnsi"/>
          <w:szCs w:val="24"/>
        </w:rPr>
        <w:t>a </w:t>
      </w:r>
      <w:r w:rsidRPr="00D4761A">
        <w:rPr>
          <w:rFonts w:cstheme="minorHAnsi"/>
          <w:szCs w:val="24"/>
        </w:rPr>
        <w:t xml:space="preserve">prodlouženým QRS, byl prokázán benefit pro tuto podskupinu (71,72). Analýza pacientů ze studie COMPANION nenalezla CRT benefit </w:t>
      </w:r>
      <w:r w:rsidR="00672ED4" w:rsidRPr="00D4761A">
        <w:rPr>
          <w:rFonts w:cstheme="minorHAnsi"/>
          <w:szCs w:val="24"/>
        </w:rPr>
        <w:t>u </w:t>
      </w:r>
      <w:r w:rsidRPr="00D4761A">
        <w:rPr>
          <w:rFonts w:cstheme="minorHAnsi"/>
          <w:szCs w:val="24"/>
        </w:rPr>
        <w:t>pacientů s permanentní fibrilací síní (73).</w:t>
      </w:r>
    </w:p>
    <w:p w14:paraId="042B676A" w14:textId="722BB9FC" w:rsidR="00597804" w:rsidRPr="00D4761A" w:rsidRDefault="00AF5A33" w:rsidP="002F477B">
      <w:pPr>
        <w:ind w:firstLine="708"/>
        <w:rPr>
          <w:rFonts w:cstheme="minorHAnsi"/>
          <w:szCs w:val="24"/>
        </w:rPr>
      </w:pPr>
      <w:r w:rsidRPr="00D4761A">
        <w:rPr>
          <w:rFonts w:cstheme="minorHAnsi"/>
          <w:szCs w:val="24"/>
        </w:rPr>
        <w:t xml:space="preserve">Studie PAVE nalezla benefit CRT </w:t>
      </w:r>
      <w:r w:rsidR="00672ED4" w:rsidRPr="00D4761A">
        <w:rPr>
          <w:rFonts w:cstheme="minorHAnsi"/>
          <w:szCs w:val="24"/>
        </w:rPr>
        <w:t>u </w:t>
      </w:r>
      <w:r w:rsidRPr="00D4761A">
        <w:rPr>
          <w:rFonts w:cstheme="minorHAnsi"/>
          <w:szCs w:val="24"/>
        </w:rPr>
        <w:t>pacientů s fibrilací síní, ve funkční třídě NYHA II-III s průměrnou EF LK 46</w:t>
      </w:r>
      <w:r w:rsidR="00672ED4" w:rsidRPr="00D4761A">
        <w:rPr>
          <w:rFonts w:cstheme="minorHAnsi"/>
          <w:szCs w:val="24"/>
        </w:rPr>
        <w:t> %</w:t>
      </w:r>
      <w:r w:rsidRPr="00D4761A">
        <w:rPr>
          <w:rFonts w:cstheme="minorHAnsi"/>
          <w:szCs w:val="24"/>
        </w:rPr>
        <w:t xml:space="preserve">, kteří podstoupili ablaci atrioventrikulárního uzlu v porovnání s pravostrannou stimulací těchto pacientů (74). </w:t>
      </w:r>
      <w:r w:rsidR="00672ED4" w:rsidRPr="00D4761A">
        <w:rPr>
          <w:rFonts w:cstheme="minorHAnsi"/>
          <w:szCs w:val="24"/>
        </w:rPr>
        <w:t>U </w:t>
      </w:r>
      <w:r w:rsidRPr="00D4761A">
        <w:rPr>
          <w:rFonts w:cstheme="minorHAnsi"/>
          <w:szCs w:val="24"/>
        </w:rPr>
        <w:t xml:space="preserve">pacientů s CRT </w:t>
      </w:r>
      <w:r w:rsidR="00A71285" w:rsidRPr="00D4761A">
        <w:rPr>
          <w:rFonts w:cstheme="minorHAnsi"/>
          <w:szCs w:val="24"/>
        </w:rPr>
        <w:t xml:space="preserve">však </w:t>
      </w:r>
      <w:r w:rsidRPr="00D4761A">
        <w:rPr>
          <w:rFonts w:cstheme="minorHAnsi"/>
          <w:szCs w:val="24"/>
        </w:rPr>
        <w:t xml:space="preserve">došlo ke zlepšení 6MWT </w:t>
      </w:r>
      <w:r w:rsidR="00672ED4" w:rsidRPr="00D4761A">
        <w:rPr>
          <w:rFonts w:cstheme="minorHAnsi"/>
          <w:szCs w:val="24"/>
        </w:rPr>
        <w:t>a </w:t>
      </w:r>
      <w:r w:rsidRPr="00D4761A">
        <w:rPr>
          <w:rFonts w:cstheme="minorHAnsi"/>
          <w:szCs w:val="24"/>
        </w:rPr>
        <w:t>EF LK.</w:t>
      </w:r>
    </w:p>
    <w:p w14:paraId="713FBCE7" w14:textId="4B98FE52" w:rsidR="00AF5A33" w:rsidRPr="00D4761A" w:rsidRDefault="00AF5A33" w:rsidP="002F477B">
      <w:pPr>
        <w:pStyle w:val="Nadpis30"/>
      </w:pPr>
      <w:bookmarkStart w:id="29" w:name="_Toc120547444"/>
      <w:r w:rsidRPr="00D4761A">
        <w:t>Modulace kardiální kontraktility (CCM)</w:t>
      </w:r>
      <w:bookmarkEnd w:id="29"/>
    </w:p>
    <w:p w14:paraId="353EDD62" w14:textId="52FE6199" w:rsidR="00AF5A33" w:rsidRPr="00D4761A" w:rsidRDefault="00AF5A33" w:rsidP="002F477B">
      <w:pPr>
        <w:ind w:firstLine="708"/>
        <w:rPr>
          <w:rFonts w:cstheme="minorHAnsi"/>
          <w:szCs w:val="24"/>
        </w:rPr>
      </w:pPr>
      <w:r w:rsidRPr="00D4761A">
        <w:rPr>
          <w:rFonts w:cstheme="minorHAnsi"/>
          <w:szCs w:val="24"/>
        </w:rPr>
        <w:t xml:space="preserve">Jedná se koncept aplikace elektrické stimulace septa pravé komory v době absolutní refrakterní periody, stimulace je s vysokou voltáží </w:t>
      </w:r>
      <w:r w:rsidR="00672ED4" w:rsidRPr="00D4761A">
        <w:rPr>
          <w:rFonts w:cstheme="minorHAnsi"/>
          <w:szCs w:val="24"/>
        </w:rPr>
        <w:t>a </w:t>
      </w:r>
      <w:r w:rsidRPr="00D4761A">
        <w:rPr>
          <w:rFonts w:cstheme="minorHAnsi"/>
          <w:szCs w:val="24"/>
        </w:rPr>
        <w:t xml:space="preserve">dlouhým časem aplikace. Tato metoda má FDA souhlas </w:t>
      </w:r>
      <w:r w:rsidR="00672ED4" w:rsidRPr="00D4761A">
        <w:rPr>
          <w:rFonts w:cstheme="minorHAnsi"/>
          <w:szCs w:val="24"/>
        </w:rPr>
        <w:t>u </w:t>
      </w:r>
      <w:r w:rsidRPr="00D4761A">
        <w:rPr>
          <w:rFonts w:cstheme="minorHAnsi"/>
          <w:szCs w:val="24"/>
        </w:rPr>
        <w:t>pacientů s EF LK 25-45</w:t>
      </w:r>
      <w:r w:rsidR="00672ED4" w:rsidRPr="00D4761A">
        <w:rPr>
          <w:rFonts w:cstheme="minorHAnsi"/>
          <w:szCs w:val="24"/>
        </w:rPr>
        <w:t> %</w:t>
      </w:r>
      <w:r w:rsidRPr="00D4761A">
        <w:rPr>
          <w:rFonts w:cstheme="minorHAnsi"/>
          <w:szCs w:val="24"/>
        </w:rPr>
        <w:t xml:space="preserve">, ve funkční třídě NYHA III, kteří nejsou kandidáti CRT. Randomizované studie prokázaly zlepšení tolerance zátěže </w:t>
      </w:r>
      <w:r w:rsidR="00672ED4" w:rsidRPr="00D4761A">
        <w:rPr>
          <w:rFonts w:cstheme="minorHAnsi"/>
          <w:szCs w:val="24"/>
        </w:rPr>
        <w:t>a </w:t>
      </w:r>
      <w:r w:rsidRPr="00D4761A">
        <w:rPr>
          <w:rFonts w:cstheme="minorHAnsi"/>
          <w:szCs w:val="24"/>
        </w:rPr>
        <w:t>kvality života pacientů, nikoliv mortalitní benefit nebo snížení počtu hospitalizací pro srdeční selhání (75-77).</w:t>
      </w:r>
    </w:p>
    <w:p w14:paraId="2474D0AC" w14:textId="30D6E174" w:rsidR="00AF5A33" w:rsidRPr="00D4761A" w:rsidRDefault="00AF5A33" w:rsidP="002F477B">
      <w:pPr>
        <w:pStyle w:val="Nadpis30"/>
      </w:pPr>
      <w:bookmarkStart w:id="30" w:name="_Toc120547445"/>
      <w:r w:rsidRPr="00D4761A">
        <w:t>Revaskularizace</w:t>
      </w:r>
      <w:bookmarkEnd w:id="30"/>
    </w:p>
    <w:p w14:paraId="30762DA1" w14:textId="312A46C2" w:rsidR="00AF5A33" w:rsidRPr="00D4761A" w:rsidRDefault="00AF5A33" w:rsidP="002F477B">
      <w:pPr>
        <w:ind w:firstLine="708"/>
        <w:rPr>
          <w:rFonts w:cstheme="minorHAnsi"/>
          <w:szCs w:val="24"/>
        </w:rPr>
      </w:pPr>
      <w:r w:rsidRPr="00D4761A">
        <w:rPr>
          <w:rFonts w:cstheme="minorHAnsi"/>
          <w:szCs w:val="24"/>
        </w:rPr>
        <w:t>Studie STICH ukázala, že pacienti s HFrEF na optimální farmakoterapii s koronární nemoc</w:t>
      </w:r>
      <w:r w:rsidR="006B50BB" w:rsidRPr="00D4761A">
        <w:rPr>
          <w:rFonts w:cstheme="minorHAnsi"/>
          <w:szCs w:val="24"/>
        </w:rPr>
        <w:t>í</w:t>
      </w:r>
      <w:r w:rsidRPr="00D4761A">
        <w:rPr>
          <w:rFonts w:cstheme="minorHAnsi"/>
          <w:szCs w:val="24"/>
        </w:rPr>
        <w:t xml:space="preserve">, kterou lze chirurgicky revaskularizovat (CABG) </w:t>
      </w:r>
      <w:r w:rsidR="00672ED4" w:rsidRPr="00D4761A">
        <w:rPr>
          <w:rFonts w:cstheme="minorHAnsi"/>
          <w:szCs w:val="24"/>
        </w:rPr>
        <w:t>a </w:t>
      </w:r>
      <w:r w:rsidRPr="00D4761A">
        <w:rPr>
          <w:rFonts w:cstheme="minorHAnsi"/>
          <w:szCs w:val="24"/>
        </w:rPr>
        <w:t xml:space="preserve">revaskularizace je provedena, mají z krátkodobého pohledu (průměrné sledování 56 měsíců) stejnou mortalitu jako ti, co jsou </w:t>
      </w:r>
      <w:r w:rsidRPr="00D4761A">
        <w:rPr>
          <w:rFonts w:cstheme="minorHAnsi"/>
          <w:szCs w:val="24"/>
        </w:rPr>
        <w:lastRenderedPageBreak/>
        <w:t xml:space="preserve">léčeni pouze optimální farmakoterapií (78). V dlouhodobém horizontu (průměrné sledování 9,8 roku) se ovšem situace mění </w:t>
      </w:r>
      <w:r w:rsidR="00672ED4" w:rsidRPr="00D4761A">
        <w:rPr>
          <w:rFonts w:cstheme="minorHAnsi"/>
          <w:szCs w:val="24"/>
        </w:rPr>
        <w:t>a </w:t>
      </w:r>
      <w:r w:rsidRPr="00D4761A">
        <w:rPr>
          <w:rFonts w:cstheme="minorHAnsi"/>
          <w:szCs w:val="24"/>
        </w:rPr>
        <w:t xml:space="preserve">celková mortalita se </w:t>
      </w:r>
      <w:r w:rsidR="00672ED4" w:rsidRPr="00D4761A">
        <w:rPr>
          <w:rFonts w:cstheme="minorHAnsi"/>
          <w:szCs w:val="24"/>
        </w:rPr>
        <w:t>u </w:t>
      </w:r>
      <w:r w:rsidRPr="00D4761A">
        <w:rPr>
          <w:rFonts w:cstheme="minorHAnsi"/>
          <w:szCs w:val="24"/>
        </w:rPr>
        <w:t>pacientů s CABG je snížena (79).</w:t>
      </w:r>
    </w:p>
    <w:p w14:paraId="5A36B339" w14:textId="0180B8F4" w:rsidR="00597804" w:rsidRPr="00D4761A" w:rsidRDefault="00AF5A33" w:rsidP="002F477B">
      <w:pPr>
        <w:ind w:firstLine="708"/>
        <w:rPr>
          <w:rFonts w:cstheme="minorHAnsi"/>
          <w:szCs w:val="24"/>
        </w:rPr>
      </w:pPr>
      <w:r w:rsidRPr="00D4761A">
        <w:rPr>
          <w:rFonts w:cstheme="minorHAnsi"/>
          <w:szCs w:val="24"/>
        </w:rPr>
        <w:t xml:space="preserve">Recentně publikovaná studie REVIVED-BCIS2, která </w:t>
      </w:r>
      <w:r w:rsidR="00672ED4" w:rsidRPr="00D4761A">
        <w:rPr>
          <w:rFonts w:cstheme="minorHAnsi"/>
          <w:szCs w:val="24"/>
        </w:rPr>
        <w:t>u </w:t>
      </w:r>
      <w:r w:rsidRPr="00D4761A">
        <w:rPr>
          <w:rFonts w:cstheme="minorHAnsi"/>
          <w:szCs w:val="24"/>
        </w:rPr>
        <w:t>pacientů s HFrEF s EF LK</w:t>
      </w:r>
      <w:r w:rsidR="00597804" w:rsidRPr="00D4761A">
        <w:rPr>
          <w:rFonts w:cstheme="minorHAnsi"/>
          <w:szCs w:val="24"/>
        </w:rPr>
        <w:t xml:space="preserve"> </w:t>
      </w:r>
      <w:r w:rsidRPr="00D4761A">
        <w:rPr>
          <w:rFonts w:cstheme="minorHAnsi"/>
          <w:szCs w:val="24"/>
        </w:rPr>
        <w:t>35</w:t>
      </w:r>
      <w:r w:rsidR="00672ED4" w:rsidRPr="00D4761A">
        <w:rPr>
          <w:rFonts w:cstheme="minorHAnsi"/>
          <w:szCs w:val="24"/>
        </w:rPr>
        <w:t> %</w:t>
      </w:r>
      <w:r w:rsidRPr="00D4761A">
        <w:rPr>
          <w:rFonts w:cstheme="minorHAnsi"/>
          <w:szCs w:val="24"/>
        </w:rPr>
        <w:t xml:space="preserve"> nebo méně s koronární nemocí (technicky řešitelná PCI) spolu s důkazem viability minimálně 4 dysfunkční</w:t>
      </w:r>
      <w:r w:rsidR="00D83353" w:rsidRPr="00D4761A">
        <w:rPr>
          <w:rFonts w:cstheme="minorHAnsi"/>
          <w:szCs w:val="24"/>
        </w:rPr>
        <w:t>ch</w:t>
      </w:r>
      <w:r w:rsidRPr="00D4761A">
        <w:rPr>
          <w:rFonts w:cstheme="minorHAnsi"/>
          <w:szCs w:val="24"/>
        </w:rPr>
        <w:t xml:space="preserve"> segmentů LK, randomizovala pacienty na optimální farmakoterapii s PCI </w:t>
      </w:r>
      <w:r w:rsidR="00672ED4" w:rsidRPr="00D4761A">
        <w:rPr>
          <w:rFonts w:cstheme="minorHAnsi"/>
          <w:szCs w:val="24"/>
        </w:rPr>
        <w:t>a </w:t>
      </w:r>
      <w:r w:rsidRPr="00D4761A">
        <w:rPr>
          <w:rFonts w:cstheme="minorHAnsi"/>
          <w:szCs w:val="24"/>
        </w:rPr>
        <w:t>na optimální farmakoterapii pouze.</w:t>
      </w:r>
      <w:r w:rsidR="00597804" w:rsidRPr="00D4761A">
        <w:rPr>
          <w:rFonts w:cstheme="minorHAnsi"/>
          <w:szCs w:val="24"/>
        </w:rPr>
        <w:t xml:space="preserve"> </w:t>
      </w:r>
      <w:r w:rsidRPr="00D4761A">
        <w:rPr>
          <w:rFonts w:cstheme="minorHAnsi"/>
          <w:szCs w:val="24"/>
        </w:rPr>
        <w:t>Po průměrném sledování pacientů po dobu 41 měsíců nebyl nalezen signifikantní rozdíl v smrti z jakékoliv příčiny nebo hospitalizaci pro srdeční selhání (80). Tedy výsledek je podobný krátkodobému sledování po CABG. Dlouhodobý efekt PCI není ještě znám.</w:t>
      </w:r>
    </w:p>
    <w:p w14:paraId="4F53E0FA" w14:textId="44401DDF" w:rsidR="00AF5A33" w:rsidRPr="00D4761A" w:rsidRDefault="00AF5A33" w:rsidP="002F477B">
      <w:pPr>
        <w:ind w:firstLine="708"/>
        <w:rPr>
          <w:rFonts w:cstheme="minorHAnsi"/>
          <w:szCs w:val="24"/>
        </w:rPr>
      </w:pPr>
      <w:bookmarkStart w:id="31" w:name="_Hlk119358314"/>
      <w:r w:rsidRPr="00D4761A">
        <w:rPr>
          <w:rFonts w:cstheme="minorHAnsi"/>
          <w:szCs w:val="24"/>
        </w:rPr>
        <w:t xml:space="preserve">Většina randomizovaných klinických studií porovnávající efekt chirurgické </w:t>
      </w:r>
      <w:r w:rsidR="00672ED4" w:rsidRPr="00D4761A">
        <w:rPr>
          <w:rFonts w:cstheme="minorHAnsi"/>
          <w:szCs w:val="24"/>
        </w:rPr>
        <w:t>a </w:t>
      </w:r>
      <w:r w:rsidRPr="00D4761A">
        <w:rPr>
          <w:rFonts w:cstheme="minorHAnsi"/>
          <w:szCs w:val="24"/>
        </w:rPr>
        <w:t>endovaskulární revaskularizace signifikantní koronární nemoci (nemoc kmene levé věnčité tepny, nemoc tří tepen) vyloučila pacienty s HFrEF anebo reprezentovali pouze velmi malé procento sledovaných pacientů. Příkladem je studie SYNTAX, která zahrnula pouze 2,5</w:t>
      </w:r>
      <w:r w:rsidR="00672ED4" w:rsidRPr="00D4761A">
        <w:rPr>
          <w:rFonts w:cstheme="minorHAnsi"/>
          <w:szCs w:val="24"/>
        </w:rPr>
        <w:t> %</w:t>
      </w:r>
      <w:r w:rsidRPr="00D4761A">
        <w:rPr>
          <w:rFonts w:cstheme="minorHAnsi"/>
          <w:szCs w:val="24"/>
        </w:rPr>
        <w:t xml:space="preserve"> pacientů s EF LK pod 30</w:t>
      </w:r>
      <w:r w:rsidR="00672ED4" w:rsidRPr="00D4761A">
        <w:rPr>
          <w:rFonts w:cstheme="minorHAnsi"/>
          <w:szCs w:val="24"/>
        </w:rPr>
        <w:t> %</w:t>
      </w:r>
      <w:r w:rsidRPr="00D4761A">
        <w:rPr>
          <w:rFonts w:cstheme="minorHAnsi"/>
          <w:szCs w:val="24"/>
        </w:rPr>
        <w:t xml:space="preserve"> (81).</w:t>
      </w:r>
    </w:p>
    <w:p w14:paraId="5FEABDEC" w14:textId="276879B3" w:rsidR="00AF5A33" w:rsidRPr="00D4761A" w:rsidRDefault="00AF5A33" w:rsidP="002F477B">
      <w:pPr>
        <w:ind w:firstLine="708"/>
        <w:rPr>
          <w:rFonts w:cstheme="minorHAnsi"/>
          <w:szCs w:val="24"/>
        </w:rPr>
      </w:pPr>
      <w:r w:rsidRPr="00D4761A">
        <w:rPr>
          <w:rFonts w:cstheme="minorHAnsi"/>
          <w:szCs w:val="24"/>
        </w:rPr>
        <w:t xml:space="preserve">Tedy nezbývá než pohled </w:t>
      </w:r>
      <w:r w:rsidR="00672ED4" w:rsidRPr="00D4761A">
        <w:rPr>
          <w:rFonts w:cstheme="minorHAnsi"/>
          <w:szCs w:val="24"/>
        </w:rPr>
        <w:t>z </w:t>
      </w:r>
      <w:r w:rsidRPr="00D4761A">
        <w:rPr>
          <w:rFonts w:cstheme="minorHAnsi"/>
          <w:szCs w:val="24"/>
        </w:rPr>
        <w:t xml:space="preserve">rozsáhlých registrů, kdy zůstává CABG statisticky lepší volbou než PCI pro pacienty s HFrEF, nemocí kmene levé věnčité tepny </w:t>
      </w:r>
      <w:r w:rsidR="00672ED4" w:rsidRPr="00D4761A">
        <w:rPr>
          <w:rFonts w:cstheme="minorHAnsi"/>
          <w:szCs w:val="24"/>
        </w:rPr>
        <w:t>a </w:t>
      </w:r>
      <w:r w:rsidRPr="00D4761A">
        <w:rPr>
          <w:rFonts w:cstheme="minorHAnsi"/>
          <w:szCs w:val="24"/>
        </w:rPr>
        <w:t xml:space="preserve">diabetem mellitus (82). Stejně tak pro pacienty s nemocí kmene levé tepny </w:t>
      </w:r>
      <w:r w:rsidR="00672ED4" w:rsidRPr="00D4761A">
        <w:rPr>
          <w:rFonts w:cstheme="minorHAnsi"/>
          <w:szCs w:val="24"/>
        </w:rPr>
        <w:t>a </w:t>
      </w:r>
      <w:r w:rsidRPr="00D4761A">
        <w:rPr>
          <w:rFonts w:cstheme="minorHAnsi"/>
          <w:szCs w:val="24"/>
        </w:rPr>
        <w:t>HFrEF s EF LK pod 45</w:t>
      </w:r>
      <w:r w:rsidR="00672ED4" w:rsidRPr="00D4761A">
        <w:rPr>
          <w:rFonts w:cstheme="minorHAnsi"/>
          <w:szCs w:val="24"/>
        </w:rPr>
        <w:t> %</w:t>
      </w:r>
      <w:r w:rsidRPr="00D4761A">
        <w:rPr>
          <w:rFonts w:cstheme="minorHAnsi"/>
          <w:szCs w:val="24"/>
        </w:rPr>
        <w:t xml:space="preserve"> (83).</w:t>
      </w:r>
    </w:p>
    <w:p w14:paraId="434C3D36" w14:textId="3E93F0E3" w:rsidR="00AF5A33" w:rsidRPr="00D4761A" w:rsidRDefault="00AF5A33" w:rsidP="002F477B">
      <w:pPr>
        <w:pStyle w:val="Nadpis30"/>
      </w:pPr>
      <w:bookmarkStart w:id="32" w:name="_Toc120547446"/>
      <w:bookmarkEnd w:id="31"/>
      <w:r w:rsidRPr="00D4761A">
        <w:t xml:space="preserve">Sekundární mitrální regurgitace </w:t>
      </w:r>
      <w:r w:rsidR="00672ED4" w:rsidRPr="00D4761A">
        <w:t>u </w:t>
      </w:r>
      <w:r w:rsidRPr="00D4761A">
        <w:t>pacienta s HFrEF</w:t>
      </w:r>
      <w:bookmarkEnd w:id="32"/>
    </w:p>
    <w:p w14:paraId="46904FFE" w14:textId="5F8360AF" w:rsidR="00597804" w:rsidRPr="00D4761A" w:rsidRDefault="00AF5A33" w:rsidP="002F477B">
      <w:pPr>
        <w:ind w:firstLine="708"/>
        <w:rPr>
          <w:rFonts w:cstheme="minorHAnsi"/>
          <w:szCs w:val="24"/>
        </w:rPr>
      </w:pPr>
      <w:bookmarkStart w:id="33" w:name="_Hlk119358983"/>
      <w:r w:rsidRPr="00D4761A">
        <w:rPr>
          <w:rFonts w:cstheme="minorHAnsi"/>
          <w:szCs w:val="24"/>
        </w:rPr>
        <w:t>Pacienti se sekundární (funkční) mitrální regurgitací s HFrEF by měli být léčeni optimální lékovou terapi</w:t>
      </w:r>
      <w:r w:rsidR="006D3585" w:rsidRPr="00D4761A">
        <w:rPr>
          <w:rFonts w:cstheme="minorHAnsi"/>
          <w:szCs w:val="24"/>
        </w:rPr>
        <w:t>í</w:t>
      </w:r>
      <w:r w:rsidRPr="00D4761A">
        <w:rPr>
          <w:rFonts w:cstheme="minorHAnsi"/>
          <w:szCs w:val="24"/>
        </w:rPr>
        <w:t xml:space="preserve">, která se podílí na snížení tíže mitrální regurgitace (84-86). </w:t>
      </w:r>
      <w:r w:rsidR="00672ED4" w:rsidRPr="00D4761A">
        <w:rPr>
          <w:rFonts w:cstheme="minorHAnsi"/>
          <w:szCs w:val="24"/>
        </w:rPr>
        <w:t>U </w:t>
      </w:r>
      <w:r w:rsidRPr="00D4761A">
        <w:rPr>
          <w:rFonts w:cstheme="minorHAnsi"/>
          <w:szCs w:val="24"/>
        </w:rPr>
        <w:t>responderů CRT je prokázáno výrazné zlepšení sekundární regurgitace (87-90).</w:t>
      </w:r>
      <w:r w:rsidR="00597804" w:rsidRPr="00D4761A">
        <w:rPr>
          <w:rFonts w:cstheme="minorHAnsi"/>
          <w:szCs w:val="24"/>
        </w:rPr>
        <w:t xml:space="preserve"> </w:t>
      </w:r>
      <w:r w:rsidRPr="00D4761A">
        <w:rPr>
          <w:rFonts w:cstheme="minorHAnsi"/>
          <w:szCs w:val="24"/>
        </w:rPr>
        <w:t xml:space="preserve">Pokud se významnost funkční mitrální regurgitace (FMR) s optimální lékovou či CRT terapií nezmění </w:t>
      </w:r>
      <w:r w:rsidR="00672ED4" w:rsidRPr="00D4761A">
        <w:rPr>
          <w:rFonts w:cstheme="minorHAnsi"/>
          <w:szCs w:val="24"/>
        </w:rPr>
        <w:t>a </w:t>
      </w:r>
      <w:r w:rsidRPr="00D4761A">
        <w:rPr>
          <w:rFonts w:cstheme="minorHAnsi"/>
          <w:szCs w:val="24"/>
        </w:rPr>
        <w:t>přetrvává těžká FMR, tak je to známka nepříznivé prognózy (91,92).</w:t>
      </w:r>
      <w:r w:rsidR="00597804" w:rsidRPr="00D4761A">
        <w:rPr>
          <w:rFonts w:cstheme="minorHAnsi"/>
          <w:szCs w:val="24"/>
        </w:rPr>
        <w:t xml:space="preserve"> </w:t>
      </w:r>
      <w:r w:rsidRPr="00D4761A">
        <w:rPr>
          <w:rFonts w:cstheme="minorHAnsi"/>
          <w:szCs w:val="24"/>
        </w:rPr>
        <w:t>Pro tyto pacienty ovšem chirurgické řešení (náhrada chlopně, plastika chlopně) nepřináší ve většině případů zásadní benefit, respektive chybí data z randomizovaných klinických studií (93,94). Existují výjimky</w:t>
      </w:r>
      <w:r w:rsidR="002F477B" w:rsidRPr="00D4761A">
        <w:rPr>
          <w:rFonts w:cstheme="minorHAnsi"/>
          <w:szCs w:val="24"/>
        </w:rPr>
        <w:t>,</w:t>
      </w:r>
      <w:r w:rsidRPr="00D4761A">
        <w:rPr>
          <w:rFonts w:cstheme="minorHAnsi"/>
          <w:szCs w:val="24"/>
        </w:rPr>
        <w:t xml:space="preserve"> jako jsou pacienti s těžkou FMR, kteří jsou indikováni k CABG (95).</w:t>
      </w:r>
    </w:p>
    <w:p w14:paraId="41257746" w14:textId="78F0BD05" w:rsidR="006B50BB" w:rsidRPr="00D4761A" w:rsidRDefault="006B50BB" w:rsidP="00AF5A33">
      <w:pPr>
        <w:rPr>
          <w:rFonts w:cstheme="minorHAnsi"/>
          <w:szCs w:val="24"/>
        </w:rPr>
      </w:pPr>
    </w:p>
    <w:p w14:paraId="6E9F6B30" w14:textId="00C93E53" w:rsidR="00597804" w:rsidRPr="00D4761A" w:rsidRDefault="00AF5A33" w:rsidP="002F477B">
      <w:pPr>
        <w:ind w:firstLine="708"/>
        <w:rPr>
          <w:rFonts w:cstheme="minorHAnsi"/>
          <w:szCs w:val="24"/>
        </w:rPr>
      </w:pPr>
      <w:r w:rsidRPr="00D4761A">
        <w:rPr>
          <w:rFonts w:cstheme="minorHAnsi"/>
          <w:szCs w:val="24"/>
        </w:rPr>
        <w:t>Zásadní změnu přinesla studie COAPT (96). Ta randomizovala pacienty funkční třídy NYHA II-IV s EF LK 20</w:t>
      </w:r>
      <w:r w:rsidR="00672ED4" w:rsidRPr="00D4761A">
        <w:rPr>
          <w:rFonts w:cstheme="minorHAnsi"/>
          <w:szCs w:val="24"/>
        </w:rPr>
        <w:t> %</w:t>
      </w:r>
      <w:r w:rsidRPr="00D4761A">
        <w:rPr>
          <w:rFonts w:cstheme="minorHAnsi"/>
          <w:szCs w:val="24"/>
        </w:rPr>
        <w:t xml:space="preserve"> až 50</w:t>
      </w:r>
      <w:r w:rsidR="00672ED4" w:rsidRPr="00D4761A">
        <w:rPr>
          <w:rFonts w:cstheme="minorHAnsi"/>
          <w:szCs w:val="24"/>
        </w:rPr>
        <w:t> %</w:t>
      </w:r>
      <w:r w:rsidRPr="00D4761A">
        <w:rPr>
          <w:rFonts w:cstheme="minorHAnsi"/>
          <w:szCs w:val="24"/>
        </w:rPr>
        <w:t xml:space="preserve">, s end-diastolickým rozměrem LK rovno nebo méně než 70 mm, se středně až těžkou (3+) nebo těžkou sekundární mitrální regurgitací (4+), s PASP rovno nebo méně než 70 mm Hg do skupiny optimální farmakoterapie spolu s provedením TEER </w:t>
      </w:r>
      <w:r w:rsidRPr="00D4761A">
        <w:rPr>
          <w:rFonts w:cstheme="minorHAnsi"/>
          <w:szCs w:val="24"/>
        </w:rPr>
        <w:lastRenderedPageBreak/>
        <w:t xml:space="preserve">(transcatheter mitral valve edge-to-edge repair) pomocí MitraClip </w:t>
      </w:r>
      <w:r w:rsidR="00672ED4" w:rsidRPr="00D4761A">
        <w:rPr>
          <w:rFonts w:cstheme="minorHAnsi"/>
          <w:szCs w:val="24"/>
        </w:rPr>
        <w:t>a </w:t>
      </w:r>
      <w:r w:rsidRPr="00D4761A">
        <w:rPr>
          <w:rFonts w:cstheme="minorHAnsi"/>
          <w:szCs w:val="24"/>
        </w:rPr>
        <w:t xml:space="preserve">skupiny s optimální farmakoterapií pouze. V studii COAPT byly zařazeni pacienti s ischemickou </w:t>
      </w:r>
      <w:r w:rsidR="00672ED4" w:rsidRPr="00D4761A">
        <w:rPr>
          <w:rFonts w:cstheme="minorHAnsi"/>
          <w:szCs w:val="24"/>
        </w:rPr>
        <w:t>i </w:t>
      </w:r>
      <w:r w:rsidRPr="00D4761A">
        <w:rPr>
          <w:rFonts w:cstheme="minorHAnsi"/>
          <w:szCs w:val="24"/>
        </w:rPr>
        <w:t xml:space="preserve">neischemickou kardiomyopatií. CRT bylo zastoupeno v obou skupinách </w:t>
      </w:r>
      <w:r w:rsidR="00672ED4" w:rsidRPr="00D4761A">
        <w:rPr>
          <w:rFonts w:cstheme="minorHAnsi"/>
          <w:szCs w:val="24"/>
        </w:rPr>
        <w:t>u </w:t>
      </w:r>
      <w:r w:rsidRPr="00D4761A">
        <w:rPr>
          <w:rFonts w:cstheme="minorHAnsi"/>
          <w:szCs w:val="24"/>
        </w:rPr>
        <w:t>30</w:t>
      </w:r>
      <w:r w:rsidR="00672ED4" w:rsidRPr="00D4761A">
        <w:rPr>
          <w:rFonts w:cstheme="minorHAnsi"/>
          <w:szCs w:val="24"/>
        </w:rPr>
        <w:t> %</w:t>
      </w:r>
      <w:r w:rsidRPr="00D4761A">
        <w:rPr>
          <w:rFonts w:cstheme="minorHAnsi"/>
          <w:szCs w:val="24"/>
        </w:rPr>
        <w:t xml:space="preserve"> pacientů. Procedurální bezpečnost MitraClipu byla již známa (97,98). </w:t>
      </w:r>
      <w:r w:rsidR="00553F8F" w:rsidRPr="00D4761A">
        <w:rPr>
          <w:rFonts w:cstheme="minorHAnsi"/>
          <w:szCs w:val="24"/>
        </w:rPr>
        <w:t>Primárním cílem bylo zhodnocení počtu hospitalizací pro srdeční selhání.</w:t>
      </w:r>
      <w:r w:rsidR="00EC2FA3" w:rsidRPr="00D4761A">
        <w:rPr>
          <w:rFonts w:cstheme="minorHAnsi"/>
          <w:szCs w:val="24"/>
        </w:rPr>
        <w:t xml:space="preserve"> V intervenované skupině došlo k redukci hospitalizací.</w:t>
      </w:r>
      <w:r w:rsidR="00553F8F" w:rsidRPr="00D4761A">
        <w:rPr>
          <w:rFonts w:cstheme="minorHAnsi"/>
          <w:szCs w:val="24"/>
        </w:rPr>
        <w:t xml:space="preserve"> </w:t>
      </w:r>
      <w:r w:rsidRPr="00D4761A">
        <w:rPr>
          <w:rFonts w:cstheme="minorHAnsi"/>
          <w:szCs w:val="24"/>
        </w:rPr>
        <w:t xml:space="preserve">Ačkoliv nebyl COAPT v primárním cíli navržen k zhodnocení celkové mortality, ta byla </w:t>
      </w:r>
      <w:r w:rsidR="00672ED4" w:rsidRPr="00D4761A">
        <w:rPr>
          <w:rFonts w:cstheme="minorHAnsi"/>
          <w:szCs w:val="24"/>
        </w:rPr>
        <w:t>u </w:t>
      </w:r>
      <w:r w:rsidRPr="00D4761A">
        <w:rPr>
          <w:rFonts w:cstheme="minorHAnsi"/>
          <w:szCs w:val="24"/>
        </w:rPr>
        <w:t xml:space="preserve">intervenované skupiny </w:t>
      </w:r>
      <w:r w:rsidR="00EC2FA3" w:rsidRPr="00D4761A">
        <w:rPr>
          <w:rFonts w:cstheme="minorHAnsi"/>
          <w:szCs w:val="24"/>
        </w:rPr>
        <w:t xml:space="preserve">taktéž </w:t>
      </w:r>
      <w:r w:rsidRPr="00D4761A">
        <w:rPr>
          <w:rFonts w:cstheme="minorHAnsi"/>
          <w:szCs w:val="24"/>
        </w:rPr>
        <w:t>snížena. NNT k zabránění 1 úmrtí během 24 měsíců bylo 5,9 (95</w:t>
      </w:r>
      <w:r w:rsidR="00672ED4" w:rsidRPr="00D4761A">
        <w:rPr>
          <w:rFonts w:cstheme="minorHAnsi"/>
          <w:szCs w:val="24"/>
        </w:rPr>
        <w:t> %</w:t>
      </w:r>
      <w:r w:rsidRPr="00D4761A">
        <w:rPr>
          <w:rFonts w:cstheme="minorHAnsi"/>
          <w:szCs w:val="24"/>
        </w:rPr>
        <w:t xml:space="preserve"> CI, 3,9 do 11,7).</w:t>
      </w:r>
    </w:p>
    <w:p w14:paraId="4F0E61D0" w14:textId="4312FB69" w:rsidR="00597804" w:rsidRPr="00D4761A" w:rsidRDefault="00AF5A33" w:rsidP="002F477B">
      <w:pPr>
        <w:ind w:firstLine="708"/>
        <w:rPr>
          <w:rFonts w:cstheme="minorHAnsi"/>
          <w:szCs w:val="24"/>
        </w:rPr>
      </w:pPr>
      <w:r w:rsidRPr="00D4761A">
        <w:rPr>
          <w:rFonts w:cstheme="minorHAnsi"/>
          <w:szCs w:val="24"/>
        </w:rPr>
        <w:t xml:space="preserve">Překvapivě další studie MITRA-FR </w:t>
      </w:r>
      <w:r w:rsidR="00672ED4" w:rsidRPr="00D4761A">
        <w:rPr>
          <w:rFonts w:cstheme="minorHAnsi"/>
          <w:szCs w:val="24"/>
        </w:rPr>
        <w:t>u </w:t>
      </w:r>
      <w:r w:rsidRPr="00D4761A">
        <w:rPr>
          <w:rFonts w:cstheme="minorHAnsi"/>
          <w:szCs w:val="24"/>
        </w:rPr>
        <w:t xml:space="preserve">pacientů s HFrEF </w:t>
      </w:r>
      <w:r w:rsidR="00672ED4" w:rsidRPr="00D4761A">
        <w:rPr>
          <w:rFonts w:cstheme="minorHAnsi"/>
          <w:szCs w:val="24"/>
        </w:rPr>
        <w:t>a </w:t>
      </w:r>
      <w:r w:rsidRPr="00D4761A">
        <w:rPr>
          <w:rFonts w:cstheme="minorHAnsi"/>
          <w:szCs w:val="24"/>
        </w:rPr>
        <w:t xml:space="preserve">těžkou </w:t>
      </w:r>
      <w:r w:rsidR="00203980" w:rsidRPr="00D4761A">
        <w:rPr>
          <w:rFonts w:cstheme="minorHAnsi"/>
          <w:szCs w:val="24"/>
        </w:rPr>
        <w:t>F</w:t>
      </w:r>
      <w:r w:rsidRPr="00D4761A">
        <w:rPr>
          <w:rFonts w:cstheme="minorHAnsi"/>
          <w:szCs w:val="24"/>
        </w:rPr>
        <w:t xml:space="preserve">MR neprokázala benefit </w:t>
      </w:r>
      <w:r w:rsidR="00341A44" w:rsidRPr="00D4761A">
        <w:rPr>
          <w:rFonts w:cstheme="minorHAnsi"/>
          <w:szCs w:val="24"/>
        </w:rPr>
        <w:t>implantace</w:t>
      </w:r>
      <w:r w:rsidRPr="00D4761A">
        <w:rPr>
          <w:rFonts w:cstheme="minorHAnsi"/>
          <w:szCs w:val="24"/>
        </w:rPr>
        <w:t xml:space="preserve"> MitraClip</w:t>
      </w:r>
      <w:r w:rsidR="00341A44" w:rsidRPr="00D4761A">
        <w:rPr>
          <w:rFonts w:cstheme="minorHAnsi"/>
          <w:szCs w:val="24"/>
        </w:rPr>
        <w:t>u</w:t>
      </w:r>
      <w:r w:rsidRPr="00D4761A">
        <w:rPr>
          <w:rFonts w:cstheme="minorHAnsi"/>
          <w:szCs w:val="24"/>
        </w:rPr>
        <w:t xml:space="preserve"> (99). Primárním cílem bylo zhodnocení celkové mortality </w:t>
      </w:r>
      <w:r w:rsidR="00672ED4" w:rsidRPr="00D4761A">
        <w:rPr>
          <w:rFonts w:cstheme="minorHAnsi"/>
          <w:szCs w:val="24"/>
        </w:rPr>
        <w:t>a </w:t>
      </w:r>
      <w:r w:rsidRPr="00D4761A">
        <w:rPr>
          <w:rFonts w:cstheme="minorHAnsi"/>
          <w:szCs w:val="24"/>
        </w:rPr>
        <w:t xml:space="preserve">neplánovaných hospitalizací. Zásadním rozdílem ve studovaných kohortách pacientů COAPT </w:t>
      </w:r>
      <w:r w:rsidR="00672ED4" w:rsidRPr="00D4761A">
        <w:rPr>
          <w:rFonts w:cstheme="minorHAnsi"/>
          <w:szCs w:val="24"/>
        </w:rPr>
        <w:t>a </w:t>
      </w:r>
      <w:r w:rsidRPr="00D4761A">
        <w:rPr>
          <w:rFonts w:cstheme="minorHAnsi"/>
          <w:szCs w:val="24"/>
        </w:rPr>
        <w:t xml:space="preserve">MITRA-FR bylo v hodnocení tíže mitrální regurgitace. Pacienti v COAPT měli výrazně menší end-diastolický objem LK </w:t>
      </w:r>
      <w:r w:rsidR="00672ED4" w:rsidRPr="00D4761A">
        <w:rPr>
          <w:rFonts w:cstheme="minorHAnsi"/>
          <w:szCs w:val="24"/>
        </w:rPr>
        <w:t>a </w:t>
      </w:r>
      <w:r w:rsidRPr="00D4761A">
        <w:rPr>
          <w:rFonts w:cstheme="minorHAnsi"/>
          <w:szCs w:val="24"/>
        </w:rPr>
        <w:t>větší EROA než v MITRA-FR (100).</w:t>
      </w:r>
    </w:p>
    <w:p w14:paraId="187783C9" w14:textId="2BCC1B4D" w:rsidR="00597804" w:rsidRPr="00D4761A" w:rsidRDefault="00AF5A33" w:rsidP="002F477B">
      <w:pPr>
        <w:pStyle w:val="Nadpis30"/>
      </w:pPr>
      <w:bookmarkStart w:id="34" w:name="_Toc120547447"/>
      <w:bookmarkEnd w:id="33"/>
      <w:r w:rsidRPr="00D4761A">
        <w:t>Dlouhodobé mechanické srdeční podpory</w:t>
      </w:r>
      <w:bookmarkEnd w:id="34"/>
    </w:p>
    <w:p w14:paraId="02C3262F" w14:textId="11A91D23" w:rsidR="00597804" w:rsidRPr="00D4761A" w:rsidRDefault="00AF5A33" w:rsidP="002F477B">
      <w:pPr>
        <w:ind w:firstLine="708"/>
        <w:rPr>
          <w:rFonts w:cstheme="minorHAnsi"/>
          <w:szCs w:val="24"/>
        </w:rPr>
      </w:pPr>
      <w:bookmarkStart w:id="35" w:name="_Hlk119361591"/>
      <w:r w:rsidRPr="00D4761A">
        <w:rPr>
          <w:rFonts w:cstheme="minorHAnsi"/>
          <w:szCs w:val="24"/>
        </w:rPr>
        <w:t>Rozvoj mechanických srdečních podpor (MSP) začal zavedením mimotělního oběhu (101). Bylo třeba zhruba dalších 50 let vývoje MSP k potvrzení mortalitního benefitu dlouhodobé levostranné mechanické podpory (LVAD – left ventricular assist device) u pacientů s pokročilým srdečním selháním. Studie Rematch, která byla publikována v roce 2001, potvrdila zásadní rozdíl v přežití po 12 měsících od randomizace u pacientů třídy NYHA IV splňujících indikace k transplantaci srdce (102). Přežití 52</w:t>
      </w:r>
      <w:r w:rsidR="00672ED4" w:rsidRPr="00D4761A">
        <w:rPr>
          <w:rFonts w:cstheme="minorHAnsi"/>
          <w:szCs w:val="24"/>
        </w:rPr>
        <w:t> %</w:t>
      </w:r>
      <w:r w:rsidRPr="00D4761A">
        <w:rPr>
          <w:rFonts w:cstheme="minorHAnsi"/>
          <w:szCs w:val="24"/>
        </w:rPr>
        <w:t xml:space="preserve"> s podporou vs. 25</w:t>
      </w:r>
      <w:r w:rsidR="00672ED4" w:rsidRPr="00D4761A">
        <w:rPr>
          <w:rFonts w:cstheme="minorHAnsi"/>
          <w:szCs w:val="24"/>
        </w:rPr>
        <w:t> %</w:t>
      </w:r>
      <w:r w:rsidRPr="00D4761A">
        <w:rPr>
          <w:rFonts w:cstheme="minorHAnsi"/>
          <w:szCs w:val="24"/>
        </w:rPr>
        <w:t xml:space="preserve"> bez podpory tak zvýšilo šanci k provedení transplantace srdce </w:t>
      </w:r>
      <w:r w:rsidR="00672ED4" w:rsidRPr="00D4761A">
        <w:rPr>
          <w:rFonts w:cstheme="minorHAnsi"/>
          <w:szCs w:val="24"/>
        </w:rPr>
        <w:t>u </w:t>
      </w:r>
      <w:r w:rsidRPr="00D4761A">
        <w:rPr>
          <w:rFonts w:cstheme="minorHAnsi"/>
          <w:szCs w:val="24"/>
        </w:rPr>
        <w:t>pacientů na čekacích listinách k transplantaci srdce (BTT – bridge to transplant).</w:t>
      </w:r>
    </w:p>
    <w:p w14:paraId="5E964F57" w14:textId="15F74E42" w:rsidR="00AF5A33" w:rsidRPr="00D4761A" w:rsidRDefault="00AF5A33" w:rsidP="002F477B">
      <w:pPr>
        <w:ind w:firstLine="708"/>
        <w:rPr>
          <w:rFonts w:cstheme="minorHAnsi"/>
          <w:szCs w:val="24"/>
        </w:rPr>
      </w:pPr>
      <w:r w:rsidRPr="00D4761A">
        <w:rPr>
          <w:rFonts w:cstheme="minorHAnsi"/>
          <w:szCs w:val="24"/>
        </w:rPr>
        <w:t xml:space="preserve">Další technologická vylepšení MSP, </w:t>
      </w:r>
      <w:r w:rsidR="00672ED4" w:rsidRPr="00D4761A">
        <w:rPr>
          <w:rFonts w:cstheme="minorHAnsi"/>
          <w:szCs w:val="24"/>
        </w:rPr>
        <w:t>a </w:t>
      </w:r>
      <w:r w:rsidRPr="00D4761A">
        <w:rPr>
          <w:rFonts w:cstheme="minorHAnsi"/>
          <w:szCs w:val="24"/>
        </w:rPr>
        <w:t>to zvláště využití principu magnetické levitace</w:t>
      </w:r>
      <w:r w:rsidR="00AD71CB" w:rsidRPr="00D4761A">
        <w:rPr>
          <w:rFonts w:cstheme="minorHAnsi"/>
          <w:szCs w:val="24"/>
        </w:rPr>
        <w:t>,</w:t>
      </w:r>
      <w:r w:rsidRPr="00D4761A">
        <w:rPr>
          <w:rFonts w:cstheme="minorHAnsi"/>
          <w:szCs w:val="24"/>
        </w:rPr>
        <w:t xml:space="preserve"> vedlo </w:t>
      </w:r>
      <w:r w:rsidR="00672ED4" w:rsidRPr="00D4761A">
        <w:rPr>
          <w:rFonts w:cstheme="minorHAnsi"/>
          <w:szCs w:val="24"/>
        </w:rPr>
        <w:t>k </w:t>
      </w:r>
      <w:r w:rsidRPr="00D4761A">
        <w:rPr>
          <w:rFonts w:cstheme="minorHAnsi"/>
          <w:szCs w:val="24"/>
        </w:rPr>
        <w:t>zmenšení velikosti čerpadel řádově o stovky procent (Thoratec HeartMate 1–1250 gramů, Thoratec HeartMate 3–200 gramů). Zmenšení vedlo k výrazné redukci perioperačních chirurgických komplikací spolu s t</w:t>
      </w:r>
      <w:r w:rsidR="00AD71CB" w:rsidRPr="00D4761A">
        <w:rPr>
          <w:rFonts w:cstheme="minorHAnsi"/>
          <w:szCs w:val="24"/>
        </w:rPr>
        <w:t>éměř</w:t>
      </w:r>
      <w:r w:rsidRPr="00D4761A">
        <w:rPr>
          <w:rFonts w:cstheme="minorHAnsi"/>
          <w:szCs w:val="24"/>
        </w:rPr>
        <w:t xml:space="preserve"> anatomicky neomezenou možností implantace v dospělé populaci. Efektem principu magnetické levitace je výrazně vyšší hematologická kompatibilita, která přinesla prakticky úplnou eliminaci dříve obávané trombózy čerpadla (0,6</w:t>
      </w:r>
      <w:r w:rsidR="00672ED4" w:rsidRPr="00D4761A">
        <w:rPr>
          <w:rFonts w:cstheme="minorHAnsi"/>
          <w:szCs w:val="24"/>
        </w:rPr>
        <w:t> %</w:t>
      </w:r>
      <w:r w:rsidRPr="00D4761A">
        <w:rPr>
          <w:rFonts w:cstheme="minorHAnsi"/>
          <w:szCs w:val="24"/>
        </w:rPr>
        <w:t xml:space="preserve"> pacientů za 24 měsíců) </w:t>
      </w:r>
      <w:r w:rsidR="00672ED4" w:rsidRPr="00D4761A">
        <w:rPr>
          <w:rFonts w:cstheme="minorHAnsi"/>
          <w:szCs w:val="24"/>
        </w:rPr>
        <w:t>a </w:t>
      </w:r>
      <w:r w:rsidRPr="00D4761A">
        <w:rPr>
          <w:rFonts w:cstheme="minorHAnsi"/>
          <w:szCs w:val="24"/>
        </w:rPr>
        <w:t xml:space="preserve">významnou redukci tromboembolických komplikací, především cévních mozkových příhod. To umožnuje v případě krvácivých komplikací liberálnější snížení celkové hodnoty INR při nutné dlouhodobé antikoagulační </w:t>
      </w:r>
      <w:r w:rsidRPr="00D4761A">
        <w:rPr>
          <w:rFonts w:cstheme="minorHAnsi"/>
          <w:szCs w:val="24"/>
        </w:rPr>
        <w:lastRenderedPageBreak/>
        <w:t xml:space="preserve">terapii warfarinem ke snížení rizika pokračujícího krvácení. V pilotních studiích bezpečnosti byly dokonce testovány protokoly snížené intenzity antikoagulace jako standardní terapeutický přístup (indication independent </w:t>
      </w:r>
      <w:r w:rsidR="006B50BB" w:rsidRPr="00D4761A">
        <w:rPr>
          <w:rFonts w:cstheme="minorHAnsi"/>
          <w:szCs w:val="24"/>
        </w:rPr>
        <w:t>strat</w:t>
      </w:r>
      <w:r w:rsidR="00296F99" w:rsidRPr="00D4761A">
        <w:rPr>
          <w:rFonts w:cstheme="minorHAnsi"/>
          <w:szCs w:val="24"/>
        </w:rPr>
        <w:t>e</w:t>
      </w:r>
      <w:r w:rsidR="006B50BB" w:rsidRPr="00D4761A">
        <w:rPr>
          <w:rFonts w:cstheme="minorHAnsi"/>
          <w:szCs w:val="24"/>
        </w:rPr>
        <w:t>gy) ref.</w:t>
      </w:r>
      <w:r w:rsidR="00B71B18" w:rsidRPr="00D4761A">
        <w:rPr>
          <w:rFonts w:cstheme="minorHAnsi"/>
          <w:szCs w:val="24"/>
        </w:rPr>
        <w:t xml:space="preserve"> </w:t>
      </w:r>
      <w:r w:rsidRPr="00D4761A">
        <w:rPr>
          <w:rFonts w:cstheme="minorHAnsi"/>
          <w:szCs w:val="24"/>
        </w:rPr>
        <w:t>103. Slabým místem je z technického pohledu nutnost externího zdroje energie pro LVAD (S</w:t>
      </w:r>
      <w:r w:rsidR="00CC2471" w:rsidRPr="00D4761A">
        <w:rPr>
          <w:rFonts w:cstheme="minorHAnsi"/>
          <w:szCs w:val="24"/>
        </w:rPr>
        <w:t>chéma </w:t>
      </w:r>
      <w:r w:rsidRPr="00D4761A">
        <w:rPr>
          <w:rFonts w:cstheme="minorHAnsi"/>
          <w:szCs w:val="24"/>
        </w:rPr>
        <w:t>2). Probíhá intenzivní výzkum na bezdrátovém přenosu energie (104), který by eliminoval riziko infekce výstupního kabelu.</w:t>
      </w:r>
    </w:p>
    <w:p w14:paraId="35091E20" w14:textId="77777777" w:rsidR="002F477B" w:rsidRPr="00D4761A" w:rsidRDefault="002F477B" w:rsidP="002F477B">
      <w:pPr>
        <w:rPr>
          <w:rFonts w:cstheme="minorHAnsi"/>
          <w:szCs w:val="24"/>
        </w:rPr>
      </w:pPr>
    </w:p>
    <w:p w14:paraId="5040301D" w14:textId="390041AD" w:rsidR="002F477B" w:rsidRPr="00D4761A" w:rsidRDefault="00E2166F" w:rsidP="002F477B">
      <w:pPr>
        <w:keepNext/>
        <w:rPr>
          <w:rFonts w:cstheme="minorHAnsi"/>
          <w:szCs w:val="24"/>
        </w:rPr>
      </w:pPr>
      <w:r w:rsidRPr="00D4761A">
        <w:rPr>
          <w:rFonts w:cstheme="minorHAnsi"/>
          <w:b/>
          <w:szCs w:val="24"/>
        </w:rPr>
        <w:t>S</w:t>
      </w:r>
      <w:r w:rsidR="00CC2471" w:rsidRPr="00D4761A">
        <w:rPr>
          <w:rFonts w:cstheme="minorHAnsi"/>
          <w:b/>
          <w:szCs w:val="24"/>
        </w:rPr>
        <w:t>chéma </w:t>
      </w:r>
      <w:r w:rsidRPr="00D4761A">
        <w:rPr>
          <w:rFonts w:cstheme="minorHAnsi"/>
          <w:b/>
          <w:szCs w:val="24"/>
        </w:rPr>
        <w:t>2</w:t>
      </w:r>
      <w:r w:rsidRPr="00D4761A">
        <w:rPr>
          <w:rFonts w:cstheme="minorHAnsi"/>
          <w:szCs w:val="24"/>
        </w:rPr>
        <w:t xml:space="preserve"> – LVAD a jeho zapojení</w:t>
      </w:r>
    </w:p>
    <w:p w14:paraId="7D2EAFCD" w14:textId="4982ABE4" w:rsidR="00E2166F" w:rsidRPr="00D4761A" w:rsidRDefault="00E2166F" w:rsidP="00AF5A33">
      <w:pPr>
        <w:rPr>
          <w:rFonts w:cstheme="minorHAnsi"/>
          <w:szCs w:val="24"/>
        </w:rPr>
      </w:pPr>
      <w:r w:rsidRPr="00D4761A">
        <w:rPr>
          <w:rFonts w:cstheme="minorHAnsi"/>
          <w:noProof/>
          <w:szCs w:val="24"/>
          <w:lang w:eastAsia="cs-CZ"/>
        </w:rPr>
        <w:drawing>
          <wp:inline distT="0" distB="0" distL="0" distR="0" wp14:anchorId="0E771C1F" wp14:editId="0A7E929A">
            <wp:extent cx="5219700" cy="5334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19700" cy="5334000"/>
                    </a:xfrm>
                    <a:prstGeom prst="rect">
                      <a:avLst/>
                    </a:prstGeom>
                    <a:noFill/>
                    <a:ln>
                      <a:noFill/>
                    </a:ln>
                  </pic:spPr>
                </pic:pic>
              </a:graphicData>
            </a:graphic>
          </wp:inline>
        </w:drawing>
      </w:r>
    </w:p>
    <w:bookmarkEnd w:id="35"/>
    <w:p w14:paraId="031B4157" w14:textId="77777777" w:rsidR="00AF5A33" w:rsidRPr="00D4761A" w:rsidRDefault="00AF5A33" w:rsidP="00AF5A33">
      <w:pPr>
        <w:rPr>
          <w:rFonts w:cstheme="minorHAnsi"/>
          <w:szCs w:val="24"/>
        </w:rPr>
      </w:pPr>
    </w:p>
    <w:p w14:paraId="52E9FD37" w14:textId="3777E439" w:rsidR="00597804" w:rsidRPr="00D4761A" w:rsidRDefault="00AF5A33" w:rsidP="002F477B">
      <w:pPr>
        <w:ind w:firstLine="708"/>
        <w:rPr>
          <w:rFonts w:cstheme="minorHAnsi"/>
          <w:szCs w:val="24"/>
        </w:rPr>
      </w:pPr>
      <w:bookmarkStart w:id="36" w:name="_Hlk119361609"/>
      <w:r w:rsidRPr="00D4761A">
        <w:rPr>
          <w:rFonts w:cstheme="minorHAnsi"/>
          <w:szCs w:val="24"/>
        </w:rPr>
        <w:t>Bylo tedy pouze otázkou času, kdy se MPS u biologicky starších pacientů stane rovnocennou alternativou srdeční transplantace (destinační terapie). Zásadním důkazem této možnosti léčby je studie z roku 2018, kdy 82</w:t>
      </w:r>
      <w:r w:rsidR="00672ED4" w:rsidRPr="00D4761A">
        <w:rPr>
          <w:rFonts w:cstheme="minorHAnsi"/>
          <w:szCs w:val="24"/>
        </w:rPr>
        <w:t> %</w:t>
      </w:r>
      <w:r w:rsidRPr="00D4761A">
        <w:rPr>
          <w:rFonts w:cstheme="minorHAnsi"/>
          <w:szCs w:val="24"/>
        </w:rPr>
        <w:t xml:space="preserve"> zařazených pacientů (průměrný věk 59 let) </w:t>
      </w:r>
      <w:r w:rsidRPr="00D4761A">
        <w:rPr>
          <w:rFonts w:cstheme="minorHAnsi"/>
          <w:szCs w:val="24"/>
        </w:rPr>
        <w:lastRenderedPageBreak/>
        <w:t>přežilo bez limitujícího neurologického deficitu dva roky terapie (105). Podobná věková skupina s transplantací srdce mezi lednem 2016 a červnem 2017 dosáhla 12měsíčního přežití v 77,9</w:t>
      </w:r>
      <w:r w:rsidR="00672ED4" w:rsidRPr="00D4761A">
        <w:rPr>
          <w:rFonts w:cstheme="minorHAnsi"/>
          <w:szCs w:val="24"/>
        </w:rPr>
        <w:t> %</w:t>
      </w:r>
      <w:r w:rsidRPr="00D4761A">
        <w:rPr>
          <w:rFonts w:cstheme="minorHAnsi"/>
          <w:szCs w:val="24"/>
        </w:rPr>
        <w:t xml:space="preserve"> a </w:t>
      </w:r>
      <w:r w:rsidR="006B50BB" w:rsidRPr="00D4761A">
        <w:rPr>
          <w:rFonts w:cstheme="minorHAnsi"/>
          <w:szCs w:val="24"/>
        </w:rPr>
        <w:t>36měsíčního</w:t>
      </w:r>
      <w:r w:rsidRPr="00D4761A">
        <w:rPr>
          <w:rFonts w:cstheme="minorHAnsi"/>
          <w:szCs w:val="24"/>
        </w:rPr>
        <w:t xml:space="preserve"> přežití v 73</w:t>
      </w:r>
      <w:r w:rsidR="00672ED4" w:rsidRPr="00D4761A">
        <w:rPr>
          <w:rFonts w:cstheme="minorHAnsi"/>
          <w:szCs w:val="24"/>
        </w:rPr>
        <w:t> %</w:t>
      </w:r>
      <w:r w:rsidRPr="00D4761A">
        <w:rPr>
          <w:rFonts w:cstheme="minorHAnsi"/>
          <w:szCs w:val="24"/>
        </w:rPr>
        <w:t xml:space="preserve"> (106). Reálná praxe mimo kontrolované studie nalézá podobn</w:t>
      </w:r>
      <w:r w:rsidR="00FA6B36" w:rsidRPr="00D4761A">
        <w:rPr>
          <w:rFonts w:cstheme="minorHAnsi"/>
          <w:szCs w:val="24"/>
        </w:rPr>
        <w:t>é</w:t>
      </w:r>
      <w:r w:rsidRPr="00D4761A">
        <w:rPr>
          <w:rFonts w:cstheme="minorHAnsi"/>
          <w:szCs w:val="24"/>
        </w:rPr>
        <w:t xml:space="preserve"> výsledky (107). Dlouhodobá mechanická srdeční podpora (MSP) se postupně stává reálnou možností léčby pro selektovanou skupinu pacientů s pokročilým chronickým srdečním selháním (108).</w:t>
      </w:r>
      <w:r w:rsidR="006B50BB" w:rsidRPr="00D4761A">
        <w:rPr>
          <w:rFonts w:cstheme="minorHAnsi"/>
          <w:szCs w:val="24"/>
        </w:rPr>
        <w:t xml:space="preserve"> </w:t>
      </w:r>
      <w:r w:rsidRPr="00D4761A">
        <w:rPr>
          <w:rFonts w:cstheme="minorHAnsi"/>
          <w:szCs w:val="24"/>
        </w:rPr>
        <w:t>Indikace k MSP v režimu destinační terapie jsou velmi podobné indikacím k transplantaci srdce (T</w:t>
      </w:r>
      <w:r w:rsidR="00CC2471" w:rsidRPr="00D4761A">
        <w:rPr>
          <w:rFonts w:cstheme="minorHAnsi"/>
          <w:szCs w:val="24"/>
        </w:rPr>
        <w:t>abulka </w:t>
      </w:r>
      <w:r w:rsidR="0044543E" w:rsidRPr="00D4761A">
        <w:rPr>
          <w:rFonts w:cstheme="minorHAnsi"/>
          <w:szCs w:val="24"/>
        </w:rPr>
        <w:t>5</w:t>
      </w:r>
      <w:r w:rsidRPr="00D4761A">
        <w:rPr>
          <w:rFonts w:cstheme="minorHAnsi"/>
          <w:szCs w:val="24"/>
        </w:rPr>
        <w:t>).</w:t>
      </w:r>
    </w:p>
    <w:bookmarkEnd w:id="36"/>
    <w:p w14:paraId="63BBD2E0" w14:textId="68139939" w:rsidR="00AF5A33" w:rsidRPr="00D4761A" w:rsidRDefault="00AF5A33" w:rsidP="00AF5A33">
      <w:pPr>
        <w:rPr>
          <w:rFonts w:cstheme="minorHAnsi"/>
          <w:szCs w:val="24"/>
        </w:rPr>
      </w:pPr>
    </w:p>
    <w:p w14:paraId="3795D7FB" w14:textId="13DE976B" w:rsidR="00AF5A33" w:rsidRPr="00D4761A" w:rsidRDefault="00AF5A33" w:rsidP="002F477B">
      <w:pPr>
        <w:keepNext/>
        <w:rPr>
          <w:rFonts w:cstheme="minorHAnsi"/>
          <w:szCs w:val="24"/>
        </w:rPr>
      </w:pPr>
      <w:r w:rsidRPr="00D4761A">
        <w:rPr>
          <w:rFonts w:cstheme="minorHAnsi"/>
          <w:b/>
          <w:szCs w:val="24"/>
        </w:rPr>
        <w:t>T</w:t>
      </w:r>
      <w:r w:rsidR="00CC2471" w:rsidRPr="00D4761A">
        <w:rPr>
          <w:rFonts w:cstheme="minorHAnsi"/>
          <w:b/>
          <w:szCs w:val="24"/>
        </w:rPr>
        <w:t>abulka </w:t>
      </w:r>
      <w:r w:rsidR="0044543E" w:rsidRPr="00D4761A">
        <w:rPr>
          <w:rFonts w:cstheme="minorHAnsi"/>
          <w:b/>
          <w:szCs w:val="24"/>
        </w:rPr>
        <w:t>5</w:t>
      </w:r>
      <w:r w:rsidRPr="00D4761A">
        <w:rPr>
          <w:rFonts w:cstheme="minorHAnsi"/>
          <w:szCs w:val="24"/>
        </w:rPr>
        <w:t xml:space="preserve"> – </w:t>
      </w:r>
      <w:bookmarkStart w:id="37" w:name="_Hlk116253739"/>
      <w:r w:rsidRPr="00D4761A">
        <w:rPr>
          <w:rFonts w:cstheme="minorHAnsi"/>
          <w:szCs w:val="24"/>
        </w:rPr>
        <w:t>Indikační kritéria dlouhodobé mechanické srdeční podpory levé komory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F5A33" w:rsidRPr="00D4761A" w14:paraId="130D703E" w14:textId="77777777" w:rsidTr="00AF5A33">
        <w:tc>
          <w:tcPr>
            <w:tcW w:w="5000" w:type="pct"/>
            <w:shd w:val="clear" w:color="auto" w:fill="auto"/>
          </w:tcPr>
          <w:bookmarkEnd w:id="37"/>
          <w:p w14:paraId="0A8B94A6" w14:textId="77777777" w:rsidR="00AF5A33" w:rsidRPr="00D4761A" w:rsidRDefault="00AF5A33" w:rsidP="002F477B">
            <w:pPr>
              <w:spacing w:line="240" w:lineRule="auto"/>
              <w:rPr>
                <w:rFonts w:cstheme="minorHAnsi"/>
                <w:szCs w:val="24"/>
              </w:rPr>
            </w:pPr>
            <w:r w:rsidRPr="00D4761A">
              <w:rPr>
                <w:rFonts w:cstheme="minorHAnsi"/>
                <w:szCs w:val="24"/>
              </w:rPr>
              <w:t>Pacienti s &gt;2 měsíci trvání závažných symptomů (funkční klasifikace NYHA III-IV) i přes optimální farmakoterapii a přístrojovou léčbou s více než jedním z následujících kritérií:</w:t>
            </w:r>
          </w:p>
          <w:p w14:paraId="27D25D54" w14:textId="57A917BD" w:rsidR="00AF5A33" w:rsidRPr="00D4761A" w:rsidRDefault="00AF5A33" w:rsidP="002F477B">
            <w:pPr>
              <w:numPr>
                <w:ilvl w:val="0"/>
                <w:numId w:val="5"/>
              </w:numPr>
              <w:spacing w:line="240" w:lineRule="auto"/>
              <w:rPr>
                <w:rFonts w:cstheme="minorHAnsi"/>
                <w:szCs w:val="24"/>
              </w:rPr>
            </w:pPr>
            <w:r w:rsidRPr="00D4761A">
              <w:rPr>
                <w:rFonts w:cstheme="minorHAnsi"/>
                <w:szCs w:val="24"/>
              </w:rPr>
              <w:t>ejekční frakce (EF) levé komory &lt; 25%, případně V</w:t>
            </w:r>
            <w:r w:rsidR="002F477B" w:rsidRPr="00D4761A">
              <w:rPr>
                <w:rFonts w:cstheme="minorHAnsi"/>
                <w:szCs w:val="24"/>
              </w:rPr>
              <w:t>O</w:t>
            </w:r>
            <w:r w:rsidRPr="00D4761A">
              <w:rPr>
                <w:rFonts w:cstheme="minorHAnsi"/>
                <w:szCs w:val="24"/>
                <w:vertAlign w:val="subscript"/>
              </w:rPr>
              <w:t>2</w:t>
            </w:r>
            <w:r w:rsidRPr="00D4761A">
              <w:rPr>
                <w:rFonts w:cstheme="minorHAnsi"/>
                <w:szCs w:val="24"/>
              </w:rPr>
              <w:t xml:space="preserve"> max méně než 12 mL/kg/min</w:t>
            </w:r>
          </w:p>
          <w:p w14:paraId="4C531BC2" w14:textId="77777777" w:rsidR="00AF5A33" w:rsidRPr="00D4761A" w:rsidRDefault="00AF5A33" w:rsidP="002F477B">
            <w:pPr>
              <w:numPr>
                <w:ilvl w:val="0"/>
                <w:numId w:val="5"/>
              </w:numPr>
              <w:spacing w:line="240" w:lineRule="auto"/>
              <w:rPr>
                <w:rFonts w:cstheme="minorHAnsi"/>
                <w:szCs w:val="24"/>
              </w:rPr>
            </w:pPr>
            <w:r w:rsidRPr="00D4761A">
              <w:rPr>
                <w:rFonts w:cstheme="minorHAnsi"/>
                <w:szCs w:val="24"/>
              </w:rPr>
              <w:t>≥3 hospitalizace pro srdeční selhání v předchozích 12ti měsících bez zjevné vyvolávající příčiny</w:t>
            </w:r>
          </w:p>
          <w:p w14:paraId="2B5CBCD1" w14:textId="77777777" w:rsidR="00AF5A33" w:rsidRPr="00D4761A" w:rsidRDefault="00AF5A33" w:rsidP="002F477B">
            <w:pPr>
              <w:numPr>
                <w:ilvl w:val="0"/>
                <w:numId w:val="5"/>
              </w:numPr>
              <w:spacing w:line="240" w:lineRule="auto"/>
              <w:rPr>
                <w:rFonts w:cstheme="minorHAnsi"/>
                <w:szCs w:val="24"/>
              </w:rPr>
            </w:pPr>
            <w:r w:rsidRPr="00D4761A">
              <w:rPr>
                <w:rFonts w:cstheme="minorHAnsi"/>
                <w:szCs w:val="24"/>
              </w:rPr>
              <w:t>závislost na intravenózní léčbě pozitivně inotropními léčivy</w:t>
            </w:r>
          </w:p>
          <w:p w14:paraId="1FC46183" w14:textId="77777777" w:rsidR="00AF5A33" w:rsidRPr="00D4761A" w:rsidRDefault="00AF5A33" w:rsidP="002F477B">
            <w:pPr>
              <w:numPr>
                <w:ilvl w:val="0"/>
                <w:numId w:val="5"/>
              </w:numPr>
              <w:spacing w:line="240" w:lineRule="auto"/>
              <w:rPr>
                <w:rFonts w:cstheme="minorHAnsi"/>
                <w:szCs w:val="24"/>
              </w:rPr>
            </w:pPr>
            <w:r w:rsidRPr="00D4761A">
              <w:rPr>
                <w:rFonts w:cstheme="minorHAnsi"/>
                <w:szCs w:val="24"/>
              </w:rPr>
              <w:t>progredující orgánová dysfunkce (zhoršování renálních nebo jaterních funkcí) způsobená hypoperfuzí nikoli neadekvátním plnícím tlakem (PCWP ≥20mm HG a STK ≤80-90 mm Hg nebo Cl≤2l/min/m</w:t>
            </w:r>
            <w:r w:rsidRPr="00D4761A">
              <w:rPr>
                <w:rFonts w:cstheme="minorHAnsi"/>
                <w:szCs w:val="24"/>
                <w:vertAlign w:val="superscript"/>
              </w:rPr>
              <w:t>2</w:t>
            </w:r>
            <w:r w:rsidRPr="00D4761A">
              <w:rPr>
                <w:rFonts w:cstheme="minorHAnsi"/>
                <w:szCs w:val="24"/>
              </w:rPr>
              <w:t>)</w:t>
            </w:r>
          </w:p>
          <w:p w14:paraId="4BDDB249" w14:textId="77777777" w:rsidR="00AF5A33" w:rsidRPr="00D4761A" w:rsidRDefault="00AF5A33" w:rsidP="002F477B">
            <w:pPr>
              <w:numPr>
                <w:ilvl w:val="0"/>
                <w:numId w:val="5"/>
              </w:numPr>
              <w:spacing w:line="240" w:lineRule="auto"/>
              <w:rPr>
                <w:rFonts w:cstheme="minorHAnsi"/>
                <w:szCs w:val="24"/>
              </w:rPr>
            </w:pPr>
            <w:r w:rsidRPr="00D4761A">
              <w:rPr>
                <w:rFonts w:cstheme="minorHAnsi"/>
                <w:szCs w:val="24"/>
              </w:rPr>
              <w:t>absence těžké dysfunkce pravé komory spolu s těžkou trikuspidální regurgitací</w:t>
            </w:r>
          </w:p>
        </w:tc>
      </w:tr>
    </w:tbl>
    <w:p w14:paraId="0597A636" w14:textId="77777777" w:rsidR="00AF5A33" w:rsidRPr="00D4761A" w:rsidRDefault="00AF5A33" w:rsidP="00AF5A33">
      <w:pPr>
        <w:rPr>
          <w:rFonts w:cstheme="minorHAnsi"/>
          <w:szCs w:val="24"/>
        </w:rPr>
      </w:pPr>
    </w:p>
    <w:p w14:paraId="2ABB8EE5" w14:textId="21065CE4" w:rsidR="00597804" w:rsidRPr="00D4761A" w:rsidRDefault="00AF5A33" w:rsidP="00AF5A33">
      <w:pPr>
        <w:rPr>
          <w:rFonts w:cstheme="minorHAnsi"/>
          <w:szCs w:val="24"/>
        </w:rPr>
      </w:pPr>
      <w:r w:rsidRPr="00D4761A">
        <w:rPr>
          <w:rFonts w:cstheme="minorHAnsi"/>
          <w:szCs w:val="24"/>
        </w:rPr>
        <w:t>Z praktického pohledu indikací k MSP se osvědčila stra</w:t>
      </w:r>
      <w:r w:rsidR="00DD6BDE" w:rsidRPr="00D4761A">
        <w:rPr>
          <w:rFonts w:cstheme="minorHAnsi"/>
          <w:szCs w:val="24"/>
        </w:rPr>
        <w:t>ti</w:t>
      </w:r>
      <w:r w:rsidRPr="00D4761A">
        <w:rPr>
          <w:rFonts w:cstheme="minorHAnsi"/>
          <w:szCs w:val="24"/>
        </w:rPr>
        <w:t>fikace pacien</w:t>
      </w:r>
      <w:r w:rsidR="00DD6BDE" w:rsidRPr="00D4761A">
        <w:rPr>
          <w:rFonts w:cstheme="minorHAnsi"/>
          <w:szCs w:val="24"/>
        </w:rPr>
        <w:t>t</w:t>
      </w:r>
      <w:r w:rsidRPr="00D4761A">
        <w:rPr>
          <w:rFonts w:cstheme="minorHAnsi"/>
          <w:szCs w:val="24"/>
        </w:rPr>
        <w:t xml:space="preserve">ů </w:t>
      </w:r>
      <w:bookmarkStart w:id="38" w:name="_Hlk116319226"/>
      <w:r w:rsidRPr="00D4761A">
        <w:rPr>
          <w:rFonts w:cstheme="minorHAnsi"/>
          <w:szCs w:val="24"/>
        </w:rPr>
        <w:t xml:space="preserve">dle INTERMACS (Interagency Registry for Mechanically Assisted Circulatory </w:t>
      </w:r>
      <w:bookmarkEnd w:id="38"/>
      <w:r w:rsidRPr="00D4761A">
        <w:rPr>
          <w:rFonts w:cstheme="minorHAnsi"/>
          <w:szCs w:val="24"/>
        </w:rPr>
        <w:t>Support) registru (T</w:t>
      </w:r>
      <w:r w:rsidR="00CC2471" w:rsidRPr="00D4761A">
        <w:rPr>
          <w:rFonts w:cstheme="minorHAnsi"/>
          <w:szCs w:val="24"/>
        </w:rPr>
        <w:t>abulka </w:t>
      </w:r>
      <w:r w:rsidR="00A80886" w:rsidRPr="00D4761A">
        <w:rPr>
          <w:rFonts w:cstheme="minorHAnsi"/>
          <w:szCs w:val="24"/>
        </w:rPr>
        <w:t>6</w:t>
      </w:r>
      <w:r w:rsidRPr="00D4761A">
        <w:rPr>
          <w:rFonts w:cstheme="minorHAnsi"/>
          <w:szCs w:val="24"/>
        </w:rPr>
        <w:t xml:space="preserve">). INTERMACS je prvním registrem implantací dlouhodobých MCS </w:t>
      </w:r>
      <w:r w:rsidR="00672ED4" w:rsidRPr="00D4761A">
        <w:rPr>
          <w:rFonts w:cstheme="minorHAnsi"/>
          <w:szCs w:val="24"/>
        </w:rPr>
        <w:t>a </w:t>
      </w:r>
      <w:r w:rsidRPr="00D4761A">
        <w:rPr>
          <w:rFonts w:cstheme="minorHAnsi"/>
          <w:szCs w:val="24"/>
        </w:rPr>
        <w:t>již od roku 2008 pravidelně zveřejňuje informace o všech implantovaných srdečních podporách</w:t>
      </w:r>
      <w:r w:rsidR="00AE5EA2" w:rsidRPr="00D4761A">
        <w:rPr>
          <w:rFonts w:cstheme="minorHAnsi"/>
          <w:szCs w:val="24"/>
        </w:rPr>
        <w:t xml:space="preserve"> v</w:t>
      </w:r>
      <w:r w:rsidR="00327800" w:rsidRPr="00D4761A">
        <w:rPr>
          <w:rFonts w:cstheme="minorHAnsi"/>
          <w:szCs w:val="24"/>
        </w:rPr>
        <w:t xml:space="preserve"> USA</w:t>
      </w:r>
      <w:r w:rsidRPr="00D4761A">
        <w:rPr>
          <w:rFonts w:cstheme="minorHAnsi"/>
          <w:szCs w:val="24"/>
        </w:rPr>
        <w:t xml:space="preserve"> (109,110). Pacienti </w:t>
      </w:r>
      <w:r w:rsidR="00672ED4" w:rsidRPr="00D4761A">
        <w:rPr>
          <w:rFonts w:cstheme="minorHAnsi"/>
          <w:szCs w:val="24"/>
        </w:rPr>
        <w:t>s </w:t>
      </w:r>
      <w:r w:rsidRPr="00D4761A">
        <w:rPr>
          <w:rFonts w:cstheme="minorHAnsi"/>
          <w:szCs w:val="24"/>
        </w:rPr>
        <w:t xml:space="preserve">INTERMACS profilem 2-4 jsou vhodní kandidáti dlouhodobé MCS, v selektivních případech </w:t>
      </w:r>
      <w:r w:rsidR="00672ED4" w:rsidRPr="00D4761A">
        <w:rPr>
          <w:rFonts w:cstheme="minorHAnsi"/>
          <w:szCs w:val="24"/>
        </w:rPr>
        <w:t>i </w:t>
      </w:r>
      <w:r w:rsidRPr="00D4761A">
        <w:rPr>
          <w:rFonts w:cstheme="minorHAnsi"/>
          <w:szCs w:val="24"/>
        </w:rPr>
        <w:t>pacienti v INTERMACS 5-6 pokud jsou vysoce rizikov</w:t>
      </w:r>
      <w:r w:rsidR="00352E20" w:rsidRPr="00D4761A">
        <w:rPr>
          <w:rFonts w:cstheme="minorHAnsi"/>
          <w:szCs w:val="24"/>
        </w:rPr>
        <w:t>í</w:t>
      </w:r>
      <w:r w:rsidRPr="00D4761A">
        <w:rPr>
          <w:rFonts w:cstheme="minorHAnsi"/>
          <w:szCs w:val="24"/>
        </w:rPr>
        <w:t xml:space="preserve"> pro další progresi srdečního selhání.</w:t>
      </w:r>
    </w:p>
    <w:p w14:paraId="3AC7263F" w14:textId="54826DCF" w:rsidR="00AF5A33" w:rsidRPr="00D4761A" w:rsidRDefault="00AF5A33" w:rsidP="00AF5A33">
      <w:pPr>
        <w:rPr>
          <w:rFonts w:cstheme="minorHAnsi"/>
          <w:szCs w:val="24"/>
        </w:rPr>
      </w:pPr>
    </w:p>
    <w:p w14:paraId="05130C84" w14:textId="5CD486FE" w:rsidR="00AF5A33" w:rsidRPr="00D4761A" w:rsidRDefault="00AF5A33" w:rsidP="002F477B">
      <w:pPr>
        <w:keepNext/>
        <w:rPr>
          <w:rFonts w:cstheme="minorHAnsi"/>
          <w:szCs w:val="24"/>
        </w:rPr>
      </w:pPr>
      <w:r w:rsidRPr="00D4761A">
        <w:rPr>
          <w:rFonts w:cstheme="minorHAnsi"/>
          <w:b/>
          <w:szCs w:val="24"/>
        </w:rPr>
        <w:lastRenderedPageBreak/>
        <w:t>T</w:t>
      </w:r>
      <w:r w:rsidR="00CC2471" w:rsidRPr="00D4761A">
        <w:rPr>
          <w:rFonts w:cstheme="minorHAnsi"/>
          <w:b/>
          <w:szCs w:val="24"/>
        </w:rPr>
        <w:t>abulka </w:t>
      </w:r>
      <w:r w:rsidR="0044543E" w:rsidRPr="00D4761A">
        <w:rPr>
          <w:rFonts w:cstheme="minorHAnsi"/>
          <w:szCs w:val="24"/>
        </w:rPr>
        <w:t>6</w:t>
      </w:r>
      <w:r w:rsidRPr="00D4761A">
        <w:rPr>
          <w:rFonts w:cstheme="minorHAnsi"/>
          <w:szCs w:val="24"/>
        </w:rPr>
        <w:t xml:space="preserve"> – INTERMACS profily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2624"/>
        <w:gridCol w:w="5033"/>
      </w:tblGrid>
      <w:tr w:rsidR="00597804" w:rsidRPr="00D4761A" w14:paraId="1FB53368" w14:textId="77777777" w:rsidTr="00AF5A33">
        <w:trPr>
          <w:cantSplit/>
        </w:trPr>
        <w:tc>
          <w:tcPr>
            <w:tcW w:w="0" w:type="auto"/>
            <w:shd w:val="clear" w:color="auto" w:fill="auto"/>
            <w:vAlign w:val="center"/>
          </w:tcPr>
          <w:p w14:paraId="46D3DE52" w14:textId="77777777" w:rsidR="00AF5A33" w:rsidRPr="00D4761A" w:rsidRDefault="00AF5A33" w:rsidP="002F477B">
            <w:pPr>
              <w:keepNext/>
              <w:spacing w:line="240" w:lineRule="auto"/>
              <w:jc w:val="center"/>
              <w:rPr>
                <w:rFonts w:cstheme="minorHAnsi"/>
                <w:b/>
                <w:szCs w:val="24"/>
              </w:rPr>
            </w:pPr>
            <w:r w:rsidRPr="00D4761A">
              <w:rPr>
                <w:rFonts w:cstheme="minorHAnsi"/>
                <w:b/>
                <w:szCs w:val="24"/>
              </w:rPr>
              <w:t>Profil</w:t>
            </w:r>
            <w:r w:rsidRPr="00D4761A">
              <w:rPr>
                <w:rFonts w:cstheme="minorHAnsi"/>
                <w:b/>
                <w:szCs w:val="24"/>
              </w:rPr>
              <w:br/>
              <w:t>INTERMACS</w:t>
            </w:r>
          </w:p>
        </w:tc>
        <w:tc>
          <w:tcPr>
            <w:tcW w:w="0" w:type="auto"/>
            <w:shd w:val="clear" w:color="auto" w:fill="auto"/>
            <w:vAlign w:val="center"/>
          </w:tcPr>
          <w:p w14:paraId="4904DCBC" w14:textId="77777777" w:rsidR="00AF5A33" w:rsidRPr="00D4761A" w:rsidRDefault="00AF5A33" w:rsidP="002F477B">
            <w:pPr>
              <w:keepNext/>
              <w:spacing w:line="240" w:lineRule="auto"/>
              <w:rPr>
                <w:rFonts w:cstheme="minorHAnsi"/>
                <w:b/>
                <w:szCs w:val="24"/>
              </w:rPr>
            </w:pPr>
            <w:r w:rsidRPr="00D4761A">
              <w:rPr>
                <w:rFonts w:cstheme="minorHAnsi"/>
                <w:b/>
                <w:szCs w:val="24"/>
              </w:rPr>
              <w:t>Definice</w:t>
            </w:r>
          </w:p>
        </w:tc>
        <w:tc>
          <w:tcPr>
            <w:tcW w:w="0" w:type="auto"/>
            <w:shd w:val="clear" w:color="auto" w:fill="auto"/>
            <w:vAlign w:val="center"/>
          </w:tcPr>
          <w:p w14:paraId="5A94F62E" w14:textId="77777777" w:rsidR="00AF5A33" w:rsidRPr="00D4761A" w:rsidRDefault="00AF5A33" w:rsidP="002F477B">
            <w:pPr>
              <w:keepNext/>
              <w:spacing w:line="240" w:lineRule="auto"/>
              <w:rPr>
                <w:rFonts w:cstheme="minorHAnsi"/>
                <w:b/>
                <w:szCs w:val="24"/>
              </w:rPr>
            </w:pPr>
            <w:r w:rsidRPr="00D4761A">
              <w:rPr>
                <w:rFonts w:cstheme="minorHAnsi"/>
                <w:b/>
                <w:szCs w:val="24"/>
              </w:rPr>
              <w:t>Popis</w:t>
            </w:r>
          </w:p>
        </w:tc>
      </w:tr>
      <w:tr w:rsidR="00597804" w:rsidRPr="00D4761A" w14:paraId="576DF05B" w14:textId="77777777" w:rsidTr="00AF5A33">
        <w:trPr>
          <w:cantSplit/>
        </w:trPr>
        <w:tc>
          <w:tcPr>
            <w:tcW w:w="0" w:type="auto"/>
            <w:shd w:val="clear" w:color="auto" w:fill="auto"/>
            <w:vAlign w:val="center"/>
          </w:tcPr>
          <w:p w14:paraId="0581D774" w14:textId="77777777" w:rsidR="00AF5A33" w:rsidRPr="00D4761A" w:rsidRDefault="00AF5A33" w:rsidP="002F477B">
            <w:pPr>
              <w:keepNext/>
              <w:spacing w:line="240" w:lineRule="auto"/>
              <w:jc w:val="center"/>
              <w:rPr>
                <w:rFonts w:cstheme="minorHAnsi"/>
                <w:szCs w:val="24"/>
              </w:rPr>
            </w:pPr>
            <w:r w:rsidRPr="00D4761A">
              <w:rPr>
                <w:rFonts w:cstheme="minorHAnsi"/>
                <w:szCs w:val="24"/>
              </w:rPr>
              <w:t>1</w:t>
            </w:r>
          </w:p>
        </w:tc>
        <w:tc>
          <w:tcPr>
            <w:tcW w:w="0" w:type="auto"/>
            <w:shd w:val="clear" w:color="auto" w:fill="auto"/>
            <w:vAlign w:val="center"/>
          </w:tcPr>
          <w:p w14:paraId="6133393B" w14:textId="77777777" w:rsidR="00AF5A33" w:rsidRPr="00D4761A" w:rsidRDefault="00AF5A33" w:rsidP="002F477B">
            <w:pPr>
              <w:keepNext/>
              <w:spacing w:line="240" w:lineRule="auto"/>
              <w:rPr>
                <w:rFonts w:cstheme="minorHAnsi"/>
                <w:szCs w:val="24"/>
              </w:rPr>
            </w:pPr>
            <w:r w:rsidRPr="00D4761A">
              <w:rPr>
                <w:rFonts w:cstheme="minorHAnsi"/>
                <w:szCs w:val="24"/>
              </w:rPr>
              <w:t>Kardiogenní šok, kritický stav</w:t>
            </w:r>
          </w:p>
        </w:tc>
        <w:tc>
          <w:tcPr>
            <w:tcW w:w="0" w:type="auto"/>
            <w:shd w:val="clear" w:color="auto" w:fill="auto"/>
            <w:vAlign w:val="center"/>
          </w:tcPr>
          <w:p w14:paraId="05278034" w14:textId="77777777" w:rsidR="00AF5A33" w:rsidRPr="00D4761A" w:rsidRDefault="00AF5A33" w:rsidP="002F477B">
            <w:pPr>
              <w:keepNext/>
              <w:spacing w:line="240" w:lineRule="auto"/>
              <w:rPr>
                <w:rFonts w:cstheme="minorHAnsi"/>
                <w:szCs w:val="24"/>
              </w:rPr>
            </w:pPr>
            <w:r w:rsidRPr="00D4761A">
              <w:rPr>
                <w:rFonts w:cstheme="minorHAnsi"/>
                <w:szCs w:val="24"/>
              </w:rPr>
              <w:t>Refrakterní kardiogenní šok na maximalizované terapii</w:t>
            </w:r>
          </w:p>
        </w:tc>
      </w:tr>
      <w:tr w:rsidR="00597804" w:rsidRPr="00D4761A" w14:paraId="35BB7970" w14:textId="77777777" w:rsidTr="00AF5A33">
        <w:trPr>
          <w:cantSplit/>
        </w:trPr>
        <w:tc>
          <w:tcPr>
            <w:tcW w:w="0" w:type="auto"/>
            <w:shd w:val="clear" w:color="auto" w:fill="auto"/>
            <w:vAlign w:val="center"/>
          </w:tcPr>
          <w:p w14:paraId="2FAAA601" w14:textId="77777777" w:rsidR="00AF5A33" w:rsidRPr="00D4761A" w:rsidRDefault="00AF5A33" w:rsidP="002F477B">
            <w:pPr>
              <w:keepNext/>
              <w:spacing w:line="240" w:lineRule="auto"/>
              <w:jc w:val="center"/>
              <w:rPr>
                <w:rFonts w:cstheme="minorHAnsi"/>
                <w:szCs w:val="24"/>
              </w:rPr>
            </w:pPr>
            <w:r w:rsidRPr="00D4761A">
              <w:rPr>
                <w:rFonts w:cstheme="minorHAnsi"/>
                <w:szCs w:val="24"/>
              </w:rPr>
              <w:t>2</w:t>
            </w:r>
          </w:p>
        </w:tc>
        <w:tc>
          <w:tcPr>
            <w:tcW w:w="0" w:type="auto"/>
            <w:shd w:val="clear" w:color="auto" w:fill="auto"/>
            <w:vAlign w:val="center"/>
          </w:tcPr>
          <w:p w14:paraId="40AF5120" w14:textId="77777777" w:rsidR="00AF5A33" w:rsidRPr="00D4761A" w:rsidRDefault="00AF5A33" w:rsidP="002F477B">
            <w:pPr>
              <w:keepNext/>
              <w:spacing w:line="240" w:lineRule="auto"/>
              <w:rPr>
                <w:rFonts w:cstheme="minorHAnsi"/>
                <w:szCs w:val="24"/>
              </w:rPr>
            </w:pPr>
            <w:r w:rsidRPr="00D4761A">
              <w:rPr>
                <w:rFonts w:cstheme="minorHAnsi"/>
                <w:szCs w:val="24"/>
              </w:rPr>
              <w:t>Postupně se zhoršující na inotropní podpoře</w:t>
            </w:r>
          </w:p>
        </w:tc>
        <w:tc>
          <w:tcPr>
            <w:tcW w:w="0" w:type="auto"/>
            <w:shd w:val="clear" w:color="auto" w:fill="auto"/>
            <w:vAlign w:val="center"/>
          </w:tcPr>
          <w:p w14:paraId="20C80D85" w14:textId="114E0B4B" w:rsidR="00AF5A33" w:rsidRPr="00D4761A" w:rsidRDefault="00AF5A33" w:rsidP="002F477B">
            <w:pPr>
              <w:keepNext/>
              <w:spacing w:line="240" w:lineRule="auto"/>
              <w:rPr>
                <w:rFonts w:cstheme="minorHAnsi"/>
                <w:szCs w:val="24"/>
              </w:rPr>
            </w:pPr>
            <w:r w:rsidRPr="00D4761A">
              <w:rPr>
                <w:rFonts w:cstheme="minorHAnsi"/>
                <w:szCs w:val="24"/>
              </w:rPr>
              <w:t xml:space="preserve">Funkční třída NYHA IV, nutná hospitalizace </w:t>
            </w:r>
            <w:r w:rsidR="00672ED4" w:rsidRPr="00D4761A">
              <w:rPr>
                <w:rFonts w:cstheme="minorHAnsi"/>
                <w:szCs w:val="24"/>
              </w:rPr>
              <w:t>s </w:t>
            </w:r>
            <w:r w:rsidRPr="00D4761A">
              <w:rPr>
                <w:rFonts w:cstheme="minorHAnsi"/>
                <w:szCs w:val="24"/>
              </w:rPr>
              <w:t>dependencí na inotropní podpoře, která již nezabraňuje orgánové dysfunkci</w:t>
            </w:r>
          </w:p>
        </w:tc>
      </w:tr>
      <w:tr w:rsidR="00597804" w:rsidRPr="00D4761A" w14:paraId="3DAEF117" w14:textId="77777777" w:rsidTr="00AF5A33">
        <w:trPr>
          <w:cantSplit/>
        </w:trPr>
        <w:tc>
          <w:tcPr>
            <w:tcW w:w="0" w:type="auto"/>
            <w:shd w:val="clear" w:color="auto" w:fill="auto"/>
            <w:vAlign w:val="center"/>
          </w:tcPr>
          <w:p w14:paraId="742E9A85" w14:textId="77777777" w:rsidR="00AF5A33" w:rsidRPr="00D4761A" w:rsidRDefault="00AF5A33" w:rsidP="002F477B">
            <w:pPr>
              <w:keepNext/>
              <w:spacing w:line="240" w:lineRule="auto"/>
              <w:jc w:val="center"/>
              <w:rPr>
                <w:rFonts w:cstheme="minorHAnsi"/>
                <w:szCs w:val="24"/>
              </w:rPr>
            </w:pPr>
            <w:r w:rsidRPr="00D4761A">
              <w:rPr>
                <w:rFonts w:cstheme="minorHAnsi"/>
                <w:szCs w:val="24"/>
              </w:rPr>
              <w:t>3</w:t>
            </w:r>
          </w:p>
        </w:tc>
        <w:tc>
          <w:tcPr>
            <w:tcW w:w="0" w:type="auto"/>
            <w:shd w:val="clear" w:color="auto" w:fill="auto"/>
            <w:vAlign w:val="center"/>
          </w:tcPr>
          <w:p w14:paraId="3AEAE28B" w14:textId="77777777" w:rsidR="00AF5A33" w:rsidRPr="00D4761A" w:rsidRDefault="00AF5A33" w:rsidP="002F477B">
            <w:pPr>
              <w:keepNext/>
              <w:spacing w:line="240" w:lineRule="auto"/>
              <w:rPr>
                <w:rFonts w:cstheme="minorHAnsi"/>
                <w:szCs w:val="24"/>
              </w:rPr>
            </w:pPr>
            <w:r w:rsidRPr="00D4761A">
              <w:rPr>
                <w:rFonts w:cstheme="minorHAnsi"/>
                <w:szCs w:val="24"/>
              </w:rPr>
              <w:t>Stabilní na inotropní podpoře</w:t>
            </w:r>
          </w:p>
        </w:tc>
        <w:tc>
          <w:tcPr>
            <w:tcW w:w="0" w:type="auto"/>
            <w:shd w:val="clear" w:color="auto" w:fill="auto"/>
            <w:vAlign w:val="center"/>
          </w:tcPr>
          <w:p w14:paraId="6001BCA5" w14:textId="3DC5D2EC" w:rsidR="00AF5A33" w:rsidRPr="00D4761A" w:rsidRDefault="00AF5A33" w:rsidP="002F477B">
            <w:pPr>
              <w:keepNext/>
              <w:spacing w:line="240" w:lineRule="auto"/>
              <w:rPr>
                <w:rFonts w:cstheme="minorHAnsi"/>
                <w:szCs w:val="24"/>
              </w:rPr>
            </w:pPr>
            <w:r w:rsidRPr="00D4761A">
              <w:rPr>
                <w:rFonts w:cstheme="minorHAnsi"/>
                <w:szCs w:val="24"/>
              </w:rPr>
              <w:t xml:space="preserve">Funkční třída NYHA IV, nutná hospitalizace </w:t>
            </w:r>
            <w:r w:rsidR="00672ED4" w:rsidRPr="00D4761A">
              <w:rPr>
                <w:rFonts w:cstheme="minorHAnsi"/>
                <w:szCs w:val="24"/>
              </w:rPr>
              <w:t>s </w:t>
            </w:r>
            <w:r w:rsidRPr="00D4761A">
              <w:rPr>
                <w:rFonts w:cstheme="minorHAnsi"/>
                <w:szCs w:val="24"/>
              </w:rPr>
              <w:t>dependencí na inotropní podpoře</w:t>
            </w:r>
          </w:p>
        </w:tc>
      </w:tr>
      <w:tr w:rsidR="00597804" w:rsidRPr="00D4761A" w14:paraId="7044CF37" w14:textId="77777777" w:rsidTr="00AF5A33">
        <w:trPr>
          <w:cantSplit/>
        </w:trPr>
        <w:tc>
          <w:tcPr>
            <w:tcW w:w="0" w:type="auto"/>
            <w:shd w:val="clear" w:color="auto" w:fill="auto"/>
            <w:vAlign w:val="center"/>
          </w:tcPr>
          <w:p w14:paraId="7B63CF73" w14:textId="77777777" w:rsidR="00AF5A33" w:rsidRPr="00D4761A" w:rsidRDefault="00AF5A33" w:rsidP="002F477B">
            <w:pPr>
              <w:keepNext/>
              <w:spacing w:line="240" w:lineRule="auto"/>
              <w:jc w:val="center"/>
              <w:rPr>
                <w:rFonts w:cstheme="minorHAnsi"/>
                <w:szCs w:val="24"/>
              </w:rPr>
            </w:pPr>
            <w:r w:rsidRPr="00D4761A">
              <w:rPr>
                <w:rFonts w:cstheme="minorHAnsi"/>
                <w:szCs w:val="24"/>
              </w:rPr>
              <w:t>4</w:t>
            </w:r>
          </w:p>
        </w:tc>
        <w:tc>
          <w:tcPr>
            <w:tcW w:w="0" w:type="auto"/>
            <w:shd w:val="clear" w:color="auto" w:fill="auto"/>
            <w:vAlign w:val="center"/>
          </w:tcPr>
          <w:p w14:paraId="3F1A75A6" w14:textId="77777777" w:rsidR="00AF5A33" w:rsidRPr="00D4761A" w:rsidRDefault="00AF5A33" w:rsidP="002F477B">
            <w:pPr>
              <w:keepNext/>
              <w:spacing w:line="240" w:lineRule="auto"/>
              <w:rPr>
                <w:rFonts w:cstheme="minorHAnsi"/>
                <w:szCs w:val="24"/>
              </w:rPr>
            </w:pPr>
            <w:r w:rsidRPr="00D4761A">
              <w:rPr>
                <w:rFonts w:cstheme="minorHAnsi"/>
                <w:szCs w:val="24"/>
              </w:rPr>
              <w:t>Frekventní rehospitalizace</w:t>
            </w:r>
          </w:p>
        </w:tc>
        <w:tc>
          <w:tcPr>
            <w:tcW w:w="0" w:type="auto"/>
            <w:shd w:val="clear" w:color="auto" w:fill="auto"/>
            <w:vAlign w:val="center"/>
          </w:tcPr>
          <w:p w14:paraId="75203958" w14:textId="5302B1A0" w:rsidR="00AF5A33" w:rsidRPr="00D4761A" w:rsidRDefault="00AF5A33" w:rsidP="002F477B">
            <w:pPr>
              <w:keepNext/>
              <w:spacing w:line="240" w:lineRule="auto"/>
              <w:rPr>
                <w:rFonts w:cstheme="minorHAnsi"/>
                <w:szCs w:val="24"/>
              </w:rPr>
            </w:pPr>
            <w:r w:rsidRPr="00D4761A">
              <w:rPr>
                <w:rFonts w:cstheme="minorHAnsi"/>
                <w:szCs w:val="24"/>
              </w:rPr>
              <w:t xml:space="preserve">Funkční třída NYHA IV, časté hospitalizace </w:t>
            </w:r>
            <w:r w:rsidR="00672ED4" w:rsidRPr="00D4761A">
              <w:rPr>
                <w:rFonts w:cstheme="minorHAnsi"/>
                <w:szCs w:val="24"/>
              </w:rPr>
              <w:t>s </w:t>
            </w:r>
            <w:r w:rsidRPr="00D4761A">
              <w:rPr>
                <w:rFonts w:cstheme="minorHAnsi"/>
                <w:szCs w:val="24"/>
              </w:rPr>
              <w:t>nutností použití inotropní podpory, dlouhodobé objemové přetížení</w:t>
            </w:r>
          </w:p>
        </w:tc>
      </w:tr>
      <w:tr w:rsidR="00597804" w:rsidRPr="00D4761A" w14:paraId="3B10A6F3" w14:textId="77777777" w:rsidTr="00AF5A33">
        <w:trPr>
          <w:cantSplit/>
        </w:trPr>
        <w:tc>
          <w:tcPr>
            <w:tcW w:w="0" w:type="auto"/>
            <w:shd w:val="clear" w:color="auto" w:fill="auto"/>
            <w:vAlign w:val="center"/>
          </w:tcPr>
          <w:p w14:paraId="1ACE60B3" w14:textId="77777777" w:rsidR="00AF5A33" w:rsidRPr="00D4761A" w:rsidRDefault="00AF5A33" w:rsidP="002F477B">
            <w:pPr>
              <w:keepNext/>
              <w:spacing w:line="240" w:lineRule="auto"/>
              <w:jc w:val="center"/>
              <w:rPr>
                <w:rFonts w:cstheme="minorHAnsi"/>
                <w:szCs w:val="24"/>
              </w:rPr>
            </w:pPr>
            <w:r w:rsidRPr="00D4761A">
              <w:rPr>
                <w:rFonts w:cstheme="minorHAnsi"/>
                <w:szCs w:val="24"/>
              </w:rPr>
              <w:t>5</w:t>
            </w:r>
          </w:p>
        </w:tc>
        <w:tc>
          <w:tcPr>
            <w:tcW w:w="0" w:type="auto"/>
            <w:shd w:val="clear" w:color="auto" w:fill="auto"/>
            <w:vAlign w:val="center"/>
          </w:tcPr>
          <w:p w14:paraId="7A608645" w14:textId="26B338A1" w:rsidR="00AF5A33" w:rsidRPr="00D4761A" w:rsidRDefault="00AF5A33" w:rsidP="002F477B">
            <w:pPr>
              <w:keepNext/>
              <w:spacing w:line="240" w:lineRule="auto"/>
              <w:rPr>
                <w:rFonts w:cstheme="minorHAnsi"/>
                <w:szCs w:val="24"/>
              </w:rPr>
            </w:pPr>
            <w:r w:rsidRPr="00D4761A">
              <w:rPr>
                <w:rFonts w:cstheme="minorHAnsi"/>
                <w:szCs w:val="24"/>
              </w:rPr>
              <w:t xml:space="preserve">Nevychází </w:t>
            </w:r>
            <w:r w:rsidR="00672ED4" w:rsidRPr="00D4761A">
              <w:rPr>
                <w:rFonts w:cstheme="minorHAnsi"/>
                <w:szCs w:val="24"/>
              </w:rPr>
              <w:t>z </w:t>
            </w:r>
            <w:r w:rsidRPr="00D4761A">
              <w:rPr>
                <w:rFonts w:cstheme="minorHAnsi"/>
                <w:szCs w:val="24"/>
              </w:rPr>
              <w:t>bydliště</w:t>
            </w:r>
          </w:p>
        </w:tc>
        <w:tc>
          <w:tcPr>
            <w:tcW w:w="0" w:type="auto"/>
            <w:shd w:val="clear" w:color="auto" w:fill="auto"/>
            <w:vAlign w:val="center"/>
          </w:tcPr>
          <w:p w14:paraId="640BFDB3" w14:textId="26160644" w:rsidR="00AF5A33" w:rsidRPr="00D4761A" w:rsidRDefault="00AF5A33" w:rsidP="002F477B">
            <w:pPr>
              <w:keepNext/>
              <w:spacing w:line="240" w:lineRule="auto"/>
              <w:rPr>
                <w:rFonts w:cstheme="minorHAnsi"/>
                <w:szCs w:val="24"/>
              </w:rPr>
            </w:pPr>
            <w:r w:rsidRPr="00D4761A">
              <w:rPr>
                <w:rFonts w:cstheme="minorHAnsi"/>
                <w:szCs w:val="24"/>
              </w:rPr>
              <w:t xml:space="preserve">Funkční třída NYHA III </w:t>
            </w:r>
            <w:r w:rsidR="00672ED4" w:rsidRPr="00D4761A">
              <w:rPr>
                <w:rFonts w:cstheme="minorHAnsi"/>
                <w:szCs w:val="24"/>
              </w:rPr>
              <w:t>s </w:t>
            </w:r>
            <w:r w:rsidRPr="00D4761A">
              <w:rPr>
                <w:rFonts w:cstheme="minorHAnsi"/>
                <w:szCs w:val="24"/>
              </w:rPr>
              <w:t>objemovým přetížením při adekvátní terapii</w:t>
            </w:r>
          </w:p>
        </w:tc>
      </w:tr>
      <w:tr w:rsidR="00597804" w:rsidRPr="00D4761A" w14:paraId="672ACB12" w14:textId="77777777" w:rsidTr="00AF5A33">
        <w:trPr>
          <w:cantSplit/>
        </w:trPr>
        <w:tc>
          <w:tcPr>
            <w:tcW w:w="0" w:type="auto"/>
            <w:shd w:val="clear" w:color="auto" w:fill="auto"/>
            <w:vAlign w:val="center"/>
          </w:tcPr>
          <w:p w14:paraId="08E199D6" w14:textId="77777777" w:rsidR="00AF5A33" w:rsidRPr="00D4761A" w:rsidRDefault="00AF5A33" w:rsidP="002F477B">
            <w:pPr>
              <w:keepNext/>
              <w:spacing w:line="240" w:lineRule="auto"/>
              <w:jc w:val="center"/>
              <w:rPr>
                <w:rFonts w:cstheme="minorHAnsi"/>
                <w:szCs w:val="24"/>
              </w:rPr>
            </w:pPr>
            <w:r w:rsidRPr="00D4761A">
              <w:rPr>
                <w:rFonts w:cstheme="minorHAnsi"/>
                <w:szCs w:val="24"/>
              </w:rPr>
              <w:t>6</w:t>
            </w:r>
          </w:p>
        </w:tc>
        <w:tc>
          <w:tcPr>
            <w:tcW w:w="0" w:type="auto"/>
            <w:shd w:val="clear" w:color="auto" w:fill="auto"/>
            <w:vAlign w:val="center"/>
          </w:tcPr>
          <w:p w14:paraId="51D76D40" w14:textId="05887463" w:rsidR="00AF5A33" w:rsidRPr="00D4761A" w:rsidRDefault="00AF5A33" w:rsidP="002F477B">
            <w:pPr>
              <w:keepNext/>
              <w:spacing w:line="240" w:lineRule="auto"/>
              <w:rPr>
                <w:rFonts w:cstheme="minorHAnsi"/>
                <w:szCs w:val="24"/>
              </w:rPr>
            </w:pPr>
            <w:r w:rsidRPr="00D4761A">
              <w:rPr>
                <w:rFonts w:cstheme="minorHAnsi"/>
                <w:szCs w:val="24"/>
              </w:rPr>
              <w:t xml:space="preserve">Vyjde </w:t>
            </w:r>
            <w:r w:rsidR="00672ED4" w:rsidRPr="00D4761A">
              <w:rPr>
                <w:rFonts w:cstheme="minorHAnsi"/>
                <w:szCs w:val="24"/>
              </w:rPr>
              <w:t>z </w:t>
            </w:r>
            <w:r w:rsidRPr="00D4761A">
              <w:rPr>
                <w:rFonts w:cstheme="minorHAnsi"/>
                <w:szCs w:val="24"/>
              </w:rPr>
              <w:t>bydliště, daleko nedojde</w:t>
            </w:r>
          </w:p>
        </w:tc>
        <w:tc>
          <w:tcPr>
            <w:tcW w:w="0" w:type="auto"/>
            <w:shd w:val="clear" w:color="auto" w:fill="auto"/>
            <w:vAlign w:val="center"/>
          </w:tcPr>
          <w:p w14:paraId="5087072B" w14:textId="77777777" w:rsidR="00AF5A33" w:rsidRPr="00D4761A" w:rsidRDefault="00AF5A33" w:rsidP="002F477B">
            <w:pPr>
              <w:keepNext/>
              <w:spacing w:line="240" w:lineRule="auto"/>
              <w:rPr>
                <w:rFonts w:cstheme="minorHAnsi"/>
                <w:szCs w:val="24"/>
              </w:rPr>
            </w:pPr>
            <w:r w:rsidRPr="00D4761A">
              <w:rPr>
                <w:rFonts w:cstheme="minorHAnsi"/>
                <w:szCs w:val="24"/>
              </w:rPr>
              <w:t>Funkční třída III, bez známek nynějšího objemového přetížení při adekvátní terapii</w:t>
            </w:r>
          </w:p>
        </w:tc>
      </w:tr>
      <w:tr w:rsidR="00AF5A33" w:rsidRPr="00D4761A" w14:paraId="40D9DED1" w14:textId="77777777" w:rsidTr="00AF5A33">
        <w:trPr>
          <w:cantSplit/>
        </w:trPr>
        <w:tc>
          <w:tcPr>
            <w:tcW w:w="0" w:type="auto"/>
            <w:shd w:val="clear" w:color="auto" w:fill="auto"/>
            <w:vAlign w:val="center"/>
          </w:tcPr>
          <w:p w14:paraId="6FBD5232" w14:textId="77777777" w:rsidR="00AF5A33" w:rsidRPr="00D4761A" w:rsidRDefault="00AF5A33" w:rsidP="002F477B">
            <w:pPr>
              <w:spacing w:line="240" w:lineRule="auto"/>
              <w:jc w:val="center"/>
              <w:rPr>
                <w:rFonts w:cstheme="minorHAnsi"/>
                <w:szCs w:val="24"/>
              </w:rPr>
            </w:pPr>
            <w:r w:rsidRPr="00D4761A">
              <w:rPr>
                <w:rFonts w:cstheme="minorHAnsi"/>
                <w:szCs w:val="24"/>
              </w:rPr>
              <w:t>7</w:t>
            </w:r>
          </w:p>
        </w:tc>
        <w:tc>
          <w:tcPr>
            <w:tcW w:w="0" w:type="auto"/>
            <w:shd w:val="clear" w:color="auto" w:fill="auto"/>
            <w:vAlign w:val="center"/>
          </w:tcPr>
          <w:p w14:paraId="4D072E24" w14:textId="01423F46" w:rsidR="00AF5A33" w:rsidRPr="00D4761A" w:rsidRDefault="00AF5A33" w:rsidP="002F477B">
            <w:pPr>
              <w:spacing w:line="240" w:lineRule="auto"/>
              <w:rPr>
                <w:rFonts w:cstheme="minorHAnsi"/>
                <w:szCs w:val="24"/>
              </w:rPr>
            </w:pPr>
            <w:r w:rsidRPr="00D4761A">
              <w:rPr>
                <w:rFonts w:cstheme="minorHAnsi"/>
                <w:szCs w:val="24"/>
              </w:rPr>
              <w:t xml:space="preserve">Vyjde </w:t>
            </w:r>
            <w:r w:rsidR="00672ED4" w:rsidRPr="00D4761A">
              <w:rPr>
                <w:rFonts w:cstheme="minorHAnsi"/>
                <w:szCs w:val="24"/>
              </w:rPr>
              <w:t>z </w:t>
            </w:r>
            <w:r w:rsidRPr="00D4761A">
              <w:rPr>
                <w:rFonts w:cstheme="minorHAnsi"/>
                <w:szCs w:val="24"/>
              </w:rPr>
              <w:t xml:space="preserve">bydliště, vyšší fyzická zátěž </w:t>
            </w:r>
            <w:r w:rsidR="00672ED4" w:rsidRPr="00D4761A">
              <w:rPr>
                <w:rFonts w:cstheme="minorHAnsi"/>
                <w:szCs w:val="24"/>
              </w:rPr>
              <w:t>s </w:t>
            </w:r>
            <w:r w:rsidRPr="00D4761A">
              <w:rPr>
                <w:rFonts w:cstheme="minorHAnsi"/>
                <w:szCs w:val="24"/>
              </w:rPr>
              <w:t>obtížemi</w:t>
            </w:r>
          </w:p>
        </w:tc>
        <w:tc>
          <w:tcPr>
            <w:tcW w:w="0" w:type="auto"/>
            <w:shd w:val="clear" w:color="auto" w:fill="auto"/>
            <w:vAlign w:val="center"/>
          </w:tcPr>
          <w:p w14:paraId="2781FD29" w14:textId="77777777" w:rsidR="00AF5A33" w:rsidRPr="00D4761A" w:rsidRDefault="00AF5A33" w:rsidP="002F477B">
            <w:pPr>
              <w:spacing w:line="240" w:lineRule="auto"/>
              <w:rPr>
                <w:rFonts w:cstheme="minorHAnsi"/>
                <w:szCs w:val="24"/>
              </w:rPr>
            </w:pPr>
            <w:r w:rsidRPr="00D4761A">
              <w:rPr>
                <w:rFonts w:cstheme="minorHAnsi"/>
                <w:szCs w:val="24"/>
              </w:rPr>
              <w:t>Funkční třída III, bez známek nedávného objemového přetížení při adekvátní terapii</w:t>
            </w:r>
          </w:p>
        </w:tc>
      </w:tr>
    </w:tbl>
    <w:p w14:paraId="0145D85D" w14:textId="77777777" w:rsidR="00AF5A33" w:rsidRPr="00D4761A" w:rsidRDefault="00AF5A33" w:rsidP="00AF5A33">
      <w:pPr>
        <w:rPr>
          <w:rFonts w:cstheme="minorHAnsi"/>
          <w:szCs w:val="24"/>
        </w:rPr>
      </w:pPr>
    </w:p>
    <w:p w14:paraId="6F8A127E" w14:textId="1A5CB709" w:rsidR="00AF5A33" w:rsidRPr="00D4761A" w:rsidRDefault="00AF5A33" w:rsidP="002F477B">
      <w:pPr>
        <w:ind w:firstLine="708"/>
        <w:rPr>
          <w:rFonts w:cstheme="minorHAnsi"/>
          <w:szCs w:val="24"/>
        </w:rPr>
      </w:pPr>
      <w:r w:rsidRPr="00D4761A">
        <w:rPr>
          <w:rFonts w:cstheme="minorHAnsi"/>
          <w:szCs w:val="24"/>
        </w:rPr>
        <w:t>Kontraindikace k trvalé mechanické srdeční podpoře jsou podobné jako u transplantace srdce. Věková hranice je však velmi individuální a je třeba spíš posoudit věk biologický než kalendářní. Absolutní kontraindikací je probíhající infekce, závažná malignita, poškození CNS, ireversibilní jaterní insuficience, nespolupráce pacienta, případně skrytý abusus. Naprostou nutností je spolupráce a dobré sociální zázemí případného příjemce podpory. Ischemická nemoc dolních končetin je často řešitelná a většinou nepředstavuje zásadní kontraindikaci k provedení MSP. Pouze její pokročilé formy jsou kontraindikací (riziko neřešitelné pooperační ischémie dolní končetiny).</w:t>
      </w:r>
      <w:r w:rsidR="00597804" w:rsidRPr="00D4761A">
        <w:rPr>
          <w:rFonts w:cstheme="minorHAnsi"/>
          <w:szCs w:val="24"/>
        </w:rPr>
        <w:t xml:space="preserve"> </w:t>
      </w:r>
      <w:r w:rsidRPr="00D4761A">
        <w:rPr>
          <w:rFonts w:cstheme="minorHAnsi"/>
          <w:szCs w:val="24"/>
        </w:rPr>
        <w:t>Klinická praxe MSP v indikaci destinační terapie v České republice z pohledu indikujícího mimo transplantační centra je popsána v přehledovém článku (111).</w:t>
      </w:r>
    </w:p>
    <w:p w14:paraId="6DFF5760" w14:textId="05B8A200" w:rsidR="00597804" w:rsidRPr="00D4761A" w:rsidRDefault="00AF5A33" w:rsidP="002F477B">
      <w:pPr>
        <w:pStyle w:val="Nadpis30"/>
      </w:pPr>
      <w:bookmarkStart w:id="39" w:name="_Toc120547448"/>
      <w:bookmarkStart w:id="40" w:name="_Hlk116245847"/>
      <w:r w:rsidRPr="00D4761A">
        <w:t>Transplantace srdce</w:t>
      </w:r>
      <w:bookmarkEnd w:id="39"/>
    </w:p>
    <w:p w14:paraId="4C93AC39" w14:textId="119AFC19" w:rsidR="00597804" w:rsidRPr="00D4761A" w:rsidRDefault="00AF5A33" w:rsidP="002F477B">
      <w:pPr>
        <w:ind w:firstLine="708"/>
        <w:rPr>
          <w:rFonts w:cstheme="minorHAnsi"/>
          <w:szCs w:val="24"/>
        </w:rPr>
      </w:pPr>
      <w:bookmarkStart w:id="41" w:name="_Hlk119363562"/>
      <w:r w:rsidRPr="00D4761A">
        <w:rPr>
          <w:rFonts w:cstheme="minorHAnsi"/>
          <w:szCs w:val="24"/>
        </w:rPr>
        <w:t>Přes pokroky v</w:t>
      </w:r>
      <w:r w:rsidR="00F5063E" w:rsidRPr="00D4761A">
        <w:rPr>
          <w:rFonts w:cstheme="minorHAnsi"/>
          <w:szCs w:val="24"/>
        </w:rPr>
        <w:t> </w:t>
      </w:r>
      <w:r w:rsidRPr="00D4761A">
        <w:rPr>
          <w:rFonts w:cstheme="minorHAnsi"/>
          <w:szCs w:val="24"/>
        </w:rPr>
        <w:t>MCS</w:t>
      </w:r>
      <w:r w:rsidR="00F5063E" w:rsidRPr="00D4761A">
        <w:rPr>
          <w:rFonts w:cstheme="minorHAnsi"/>
          <w:szCs w:val="24"/>
        </w:rPr>
        <w:t xml:space="preserve"> </w:t>
      </w:r>
      <w:r w:rsidRPr="00D4761A">
        <w:rPr>
          <w:rFonts w:cstheme="minorHAnsi"/>
          <w:szCs w:val="24"/>
        </w:rPr>
        <w:t>transplantace zůstává zlatým standardem terapie pokročilého srdečního selhání. Za 55 let od první transplantace srdce se roční přežití dlouhodobě pohybuje kolem 90</w:t>
      </w:r>
      <w:r w:rsidR="00672ED4" w:rsidRPr="00D4761A">
        <w:rPr>
          <w:rFonts w:cstheme="minorHAnsi"/>
          <w:szCs w:val="24"/>
        </w:rPr>
        <w:t> %</w:t>
      </w:r>
      <w:r w:rsidRPr="00D4761A">
        <w:rPr>
          <w:rFonts w:cstheme="minorHAnsi"/>
          <w:szCs w:val="24"/>
        </w:rPr>
        <w:t>, medián přežití po transplantaci je 12,5 roku (112-114).</w:t>
      </w:r>
      <w:r w:rsidR="00597804" w:rsidRPr="00D4761A">
        <w:rPr>
          <w:rFonts w:cstheme="minorHAnsi"/>
          <w:szCs w:val="24"/>
        </w:rPr>
        <w:t xml:space="preserve"> </w:t>
      </w:r>
      <w:r w:rsidR="00672ED4" w:rsidRPr="00D4761A">
        <w:rPr>
          <w:rFonts w:cstheme="minorHAnsi"/>
          <w:szCs w:val="24"/>
        </w:rPr>
        <w:t>I </w:t>
      </w:r>
      <w:r w:rsidRPr="00D4761A">
        <w:rPr>
          <w:rFonts w:cstheme="minorHAnsi"/>
          <w:szCs w:val="24"/>
        </w:rPr>
        <w:t xml:space="preserve">přes pokroky </w:t>
      </w:r>
      <w:r w:rsidR="00672ED4" w:rsidRPr="00D4761A">
        <w:rPr>
          <w:rFonts w:cstheme="minorHAnsi"/>
          <w:szCs w:val="24"/>
        </w:rPr>
        <w:t>v </w:t>
      </w:r>
      <w:r w:rsidRPr="00D4761A">
        <w:rPr>
          <w:rFonts w:cstheme="minorHAnsi"/>
          <w:szCs w:val="24"/>
        </w:rPr>
        <w:t>imunosupresivní léčbě</w:t>
      </w:r>
      <w:r w:rsidR="00B17F77" w:rsidRPr="00D4761A">
        <w:rPr>
          <w:rFonts w:cstheme="minorHAnsi"/>
          <w:szCs w:val="24"/>
        </w:rPr>
        <w:t xml:space="preserve"> </w:t>
      </w:r>
      <w:r w:rsidRPr="00D4761A">
        <w:rPr>
          <w:rFonts w:cstheme="minorHAnsi"/>
          <w:szCs w:val="24"/>
        </w:rPr>
        <w:t xml:space="preserve">není zcela vyřešen problém rejekce </w:t>
      </w:r>
      <w:r w:rsidR="00672ED4" w:rsidRPr="00D4761A">
        <w:rPr>
          <w:rFonts w:cstheme="minorHAnsi"/>
          <w:szCs w:val="24"/>
        </w:rPr>
        <w:t>a </w:t>
      </w:r>
      <w:r w:rsidRPr="00D4761A">
        <w:rPr>
          <w:rFonts w:cstheme="minorHAnsi"/>
          <w:szCs w:val="24"/>
        </w:rPr>
        <w:t xml:space="preserve">ani vedlejších účinků </w:t>
      </w:r>
      <w:r w:rsidRPr="00D4761A">
        <w:rPr>
          <w:rFonts w:cstheme="minorHAnsi"/>
          <w:szCs w:val="24"/>
        </w:rPr>
        <w:lastRenderedPageBreak/>
        <w:t xml:space="preserve">imunosupresivní léčby (renální selhání, malignita, DM). Přesto zásadní </w:t>
      </w:r>
      <w:r w:rsidR="00672ED4" w:rsidRPr="00D4761A">
        <w:rPr>
          <w:rFonts w:cstheme="minorHAnsi"/>
          <w:szCs w:val="24"/>
        </w:rPr>
        <w:t>a </w:t>
      </w:r>
      <w:r w:rsidRPr="00D4761A">
        <w:rPr>
          <w:rFonts w:cstheme="minorHAnsi"/>
          <w:szCs w:val="24"/>
        </w:rPr>
        <w:t>je</w:t>
      </w:r>
      <w:r w:rsidR="00752E12" w:rsidRPr="00D4761A">
        <w:rPr>
          <w:rFonts w:cstheme="minorHAnsi"/>
          <w:szCs w:val="24"/>
        </w:rPr>
        <w:t>n</w:t>
      </w:r>
      <w:r w:rsidRPr="00D4761A">
        <w:rPr>
          <w:rFonts w:cstheme="minorHAnsi"/>
          <w:szCs w:val="24"/>
        </w:rPr>
        <w:t xml:space="preserve"> velmi těžko překonatelnou překážkou je prohlubující se rozdíl mezi počtem dárců </w:t>
      </w:r>
      <w:r w:rsidR="00672ED4" w:rsidRPr="00D4761A">
        <w:rPr>
          <w:rFonts w:cstheme="minorHAnsi"/>
          <w:szCs w:val="24"/>
        </w:rPr>
        <w:t>a </w:t>
      </w:r>
      <w:r w:rsidRPr="00D4761A">
        <w:rPr>
          <w:rFonts w:cstheme="minorHAnsi"/>
          <w:szCs w:val="24"/>
        </w:rPr>
        <w:t>příjemců.</w:t>
      </w:r>
    </w:p>
    <w:p w14:paraId="1776BA80" w14:textId="172B9DBD" w:rsidR="00597804" w:rsidRPr="00D4761A" w:rsidRDefault="00AF5A33" w:rsidP="002F477B">
      <w:pPr>
        <w:pStyle w:val="Nadpis30"/>
      </w:pPr>
      <w:bookmarkStart w:id="42" w:name="_Toc120547449"/>
      <w:bookmarkEnd w:id="41"/>
      <w:r w:rsidRPr="00D4761A">
        <w:t>Paliativní terapie</w:t>
      </w:r>
      <w:bookmarkEnd w:id="42"/>
    </w:p>
    <w:p w14:paraId="172BB5EA" w14:textId="474CC07E" w:rsidR="00AF5A33" w:rsidRPr="00D4761A" w:rsidRDefault="00AF5A33" w:rsidP="002F477B">
      <w:pPr>
        <w:ind w:firstLine="708"/>
        <w:rPr>
          <w:rFonts w:cstheme="minorHAnsi"/>
          <w:szCs w:val="24"/>
        </w:rPr>
      </w:pPr>
      <w:r w:rsidRPr="00D4761A">
        <w:rPr>
          <w:rFonts w:cstheme="minorHAnsi"/>
          <w:szCs w:val="24"/>
        </w:rPr>
        <w:t xml:space="preserve">Se zvyšujícím se počtem pacientů se srdečním selháním se zvyšuje </w:t>
      </w:r>
      <w:r w:rsidR="00672ED4" w:rsidRPr="00D4761A">
        <w:rPr>
          <w:rFonts w:cstheme="minorHAnsi"/>
          <w:szCs w:val="24"/>
        </w:rPr>
        <w:t>i </w:t>
      </w:r>
      <w:r w:rsidRPr="00D4761A">
        <w:rPr>
          <w:rFonts w:cstheme="minorHAnsi"/>
          <w:szCs w:val="24"/>
        </w:rPr>
        <w:t>počet pacientů s pokročilým srdečním selháním, kteří nejsou vhodnými kandidáty MCS nebo transplantace srdce. Jejich kvalita života klesá</w:t>
      </w:r>
      <w:r w:rsidR="009B1263" w:rsidRPr="00D4761A">
        <w:rPr>
          <w:rFonts w:cstheme="minorHAnsi"/>
          <w:szCs w:val="24"/>
        </w:rPr>
        <w:t xml:space="preserve"> při progresi dušnosti </w:t>
      </w:r>
      <w:r w:rsidR="00672ED4" w:rsidRPr="00D4761A">
        <w:rPr>
          <w:rFonts w:cstheme="minorHAnsi"/>
          <w:szCs w:val="24"/>
        </w:rPr>
        <w:t>a </w:t>
      </w:r>
      <w:r w:rsidR="009B1263" w:rsidRPr="00D4761A">
        <w:rPr>
          <w:rFonts w:cstheme="minorHAnsi"/>
          <w:szCs w:val="24"/>
        </w:rPr>
        <w:t>bolesti</w:t>
      </w:r>
      <w:r w:rsidR="00352E20" w:rsidRPr="00D4761A">
        <w:rPr>
          <w:rFonts w:cstheme="minorHAnsi"/>
          <w:szCs w:val="24"/>
        </w:rPr>
        <w:t>.</w:t>
      </w:r>
      <w:r w:rsidR="00597804" w:rsidRPr="00D4761A">
        <w:rPr>
          <w:rFonts w:cstheme="minorHAnsi"/>
          <w:szCs w:val="24"/>
        </w:rPr>
        <w:t xml:space="preserve"> </w:t>
      </w:r>
      <w:r w:rsidR="009B1263" w:rsidRPr="00D4761A">
        <w:rPr>
          <w:rFonts w:cstheme="minorHAnsi"/>
          <w:szCs w:val="24"/>
        </w:rPr>
        <w:t>M</w:t>
      </w:r>
      <w:r w:rsidRPr="00D4761A">
        <w:rPr>
          <w:rFonts w:cstheme="minorHAnsi"/>
          <w:szCs w:val="24"/>
        </w:rPr>
        <w:t>ultidisciplinární paliativní péče</w:t>
      </w:r>
      <w:r w:rsidR="009B1263" w:rsidRPr="00D4761A">
        <w:rPr>
          <w:rFonts w:cstheme="minorHAnsi"/>
          <w:szCs w:val="24"/>
        </w:rPr>
        <w:t xml:space="preserve"> </w:t>
      </w:r>
      <w:r w:rsidR="00A80886" w:rsidRPr="00D4761A">
        <w:rPr>
          <w:rFonts w:cstheme="minorHAnsi"/>
          <w:szCs w:val="24"/>
        </w:rPr>
        <w:t>zlepšuje pacientům</w:t>
      </w:r>
      <w:r w:rsidRPr="00D4761A">
        <w:rPr>
          <w:rFonts w:cstheme="minorHAnsi"/>
          <w:szCs w:val="24"/>
        </w:rPr>
        <w:t xml:space="preserve"> kvalitu života </w:t>
      </w:r>
      <w:r w:rsidR="00672ED4" w:rsidRPr="00D4761A">
        <w:rPr>
          <w:rFonts w:cstheme="minorHAnsi"/>
          <w:szCs w:val="24"/>
        </w:rPr>
        <w:t>a </w:t>
      </w:r>
      <w:r w:rsidRPr="00D4761A">
        <w:rPr>
          <w:rFonts w:cstheme="minorHAnsi"/>
          <w:szCs w:val="24"/>
        </w:rPr>
        <w:t>snižuje počet hospitalizací pro symptomy pokročilého srdečního selhání (115).</w:t>
      </w:r>
    </w:p>
    <w:p w14:paraId="0E1B2870" w14:textId="77777777" w:rsidR="00597804" w:rsidRPr="00D4761A" w:rsidRDefault="00AF5A33" w:rsidP="002F477B">
      <w:pPr>
        <w:pStyle w:val="Nadpis1"/>
      </w:pPr>
      <w:bookmarkStart w:id="43" w:name="_Toc120547450"/>
      <w:r w:rsidRPr="00D4761A">
        <w:lastRenderedPageBreak/>
        <w:t>Experimentální část</w:t>
      </w:r>
      <w:bookmarkEnd w:id="43"/>
    </w:p>
    <w:p w14:paraId="50306CB8" w14:textId="77777777" w:rsidR="00597804" w:rsidRPr="00D4761A" w:rsidRDefault="00AF5A33" w:rsidP="002F477B">
      <w:pPr>
        <w:pStyle w:val="Nadpis20"/>
      </w:pPr>
      <w:bookmarkStart w:id="44" w:name="_Toc120547451"/>
      <w:bookmarkStart w:id="45" w:name="_Hlk119363940"/>
      <w:r w:rsidRPr="00D4761A">
        <w:t>Experimentální část 1</w:t>
      </w:r>
      <w:bookmarkEnd w:id="44"/>
    </w:p>
    <w:p w14:paraId="421AD932" w14:textId="1B29A3CC" w:rsidR="00597804" w:rsidRPr="00D4761A" w:rsidRDefault="00AF5A33" w:rsidP="002F477B">
      <w:pPr>
        <w:pStyle w:val="Nadpis30"/>
      </w:pPr>
      <w:bookmarkStart w:id="46" w:name="_Toc120547452"/>
      <w:bookmarkStart w:id="47" w:name="_Hlk119364702"/>
      <w:bookmarkEnd w:id="45"/>
      <w:r w:rsidRPr="00D4761A">
        <w:t>Cíl</w:t>
      </w:r>
      <w:bookmarkEnd w:id="46"/>
    </w:p>
    <w:p w14:paraId="1662D5B2" w14:textId="0024BC85" w:rsidR="00597804" w:rsidRPr="00D4761A" w:rsidRDefault="00AF5A33" w:rsidP="002F477B">
      <w:pPr>
        <w:ind w:firstLine="708"/>
        <w:rPr>
          <w:rFonts w:cstheme="minorHAnsi"/>
          <w:szCs w:val="24"/>
        </w:rPr>
      </w:pPr>
      <w:bookmarkStart w:id="48" w:name="_Hlk119364371"/>
      <w:r w:rsidRPr="00D4761A">
        <w:rPr>
          <w:rFonts w:cstheme="minorHAnsi"/>
          <w:szCs w:val="24"/>
        </w:rPr>
        <w:t xml:space="preserve">Cílem je retrospektivní porovnání demografických dat, farmakologické </w:t>
      </w:r>
      <w:r w:rsidR="00672ED4" w:rsidRPr="00D4761A">
        <w:rPr>
          <w:rFonts w:cstheme="minorHAnsi"/>
          <w:szCs w:val="24"/>
        </w:rPr>
        <w:t>a </w:t>
      </w:r>
      <w:r w:rsidRPr="00D4761A">
        <w:rPr>
          <w:rFonts w:cstheme="minorHAnsi"/>
          <w:szCs w:val="24"/>
        </w:rPr>
        <w:t>nefa</w:t>
      </w:r>
      <w:r w:rsidR="007A17B5" w:rsidRPr="00D4761A">
        <w:rPr>
          <w:rFonts w:cstheme="minorHAnsi"/>
          <w:szCs w:val="24"/>
        </w:rPr>
        <w:t xml:space="preserve">rmakologické terapie pacientů </w:t>
      </w:r>
      <w:r w:rsidR="00672ED4" w:rsidRPr="00D4761A">
        <w:rPr>
          <w:rFonts w:cstheme="minorHAnsi"/>
          <w:szCs w:val="24"/>
        </w:rPr>
        <w:t>s </w:t>
      </w:r>
      <w:r w:rsidRPr="00D4761A">
        <w:rPr>
          <w:rFonts w:cstheme="minorHAnsi"/>
          <w:szCs w:val="24"/>
        </w:rPr>
        <w:t>chronickým srdečním selháním se sníženou ejekční frakcí levé komor</w:t>
      </w:r>
      <w:r w:rsidR="009B1263" w:rsidRPr="00D4761A">
        <w:rPr>
          <w:rFonts w:cstheme="minorHAnsi"/>
          <w:szCs w:val="24"/>
        </w:rPr>
        <w:t>y</w:t>
      </w:r>
      <w:r w:rsidRPr="00D4761A">
        <w:rPr>
          <w:rFonts w:cstheme="minorHAnsi"/>
          <w:szCs w:val="24"/>
        </w:rPr>
        <w:t xml:space="preserve"> mezi dvěma kohortami pacientů.</w:t>
      </w:r>
    </w:p>
    <w:p w14:paraId="45A59D52" w14:textId="5FB6017A" w:rsidR="00597804" w:rsidRPr="00D4761A" w:rsidRDefault="00AF5A33" w:rsidP="002F477B">
      <w:pPr>
        <w:pStyle w:val="Nadpis30"/>
      </w:pPr>
      <w:bookmarkStart w:id="49" w:name="_Toc120547453"/>
      <w:bookmarkStart w:id="50" w:name="_Hlk119364498"/>
      <w:bookmarkEnd w:id="47"/>
      <w:bookmarkEnd w:id="48"/>
      <w:r w:rsidRPr="00D4761A">
        <w:t>Kohorta A</w:t>
      </w:r>
      <w:r w:rsidR="006208B9" w:rsidRPr="00D4761A">
        <w:t xml:space="preserve"> </w:t>
      </w:r>
      <w:r w:rsidRPr="00D4761A">
        <w:t>– data studie Paradigm-HF – podskupiny LCZ696, popis souboru</w:t>
      </w:r>
      <w:bookmarkEnd w:id="49"/>
    </w:p>
    <w:p w14:paraId="450DF24C" w14:textId="3064FB99" w:rsidR="00597804" w:rsidRPr="00D4761A" w:rsidRDefault="00AF5A33" w:rsidP="002F477B">
      <w:pPr>
        <w:ind w:firstLine="708"/>
        <w:rPr>
          <w:rFonts w:cstheme="minorHAnsi"/>
          <w:szCs w:val="24"/>
        </w:rPr>
      </w:pPr>
      <w:r w:rsidRPr="00D4761A">
        <w:rPr>
          <w:rFonts w:cstheme="minorHAnsi"/>
          <w:szCs w:val="24"/>
        </w:rPr>
        <w:t xml:space="preserve">Jedná se </w:t>
      </w:r>
      <w:r w:rsidR="00672ED4" w:rsidRPr="00D4761A">
        <w:rPr>
          <w:rFonts w:cstheme="minorHAnsi"/>
          <w:szCs w:val="24"/>
        </w:rPr>
        <w:t>o </w:t>
      </w:r>
      <w:r w:rsidRPr="00D4761A">
        <w:rPr>
          <w:rFonts w:cstheme="minorHAnsi"/>
          <w:szCs w:val="24"/>
        </w:rPr>
        <w:t>soubor 4 187 pacientů, kteří tvoří intervenovanou skupinu pacientů ve studii Paradigm-HF (22). Tato podskupina pacientů je pojmenována LCZ696 podle ve studii zkoušeného léku LCZ696, což je sacubitril/valsartan. Pacienti do této skupiny byli zařazováni od prosince 2009 do listopadu 2012 v 1043 pracovištích v 47 zemích.</w:t>
      </w:r>
    </w:p>
    <w:p w14:paraId="31A1D8D7" w14:textId="64637F15" w:rsidR="00AF5A33" w:rsidRPr="00D4761A" w:rsidRDefault="00AF5A33" w:rsidP="002F477B">
      <w:pPr>
        <w:pStyle w:val="Nadpis30"/>
      </w:pPr>
      <w:bookmarkStart w:id="51" w:name="_Toc120547454"/>
      <w:r w:rsidRPr="00D4761A">
        <w:t>Kohorta B</w:t>
      </w:r>
      <w:r w:rsidR="006208B9" w:rsidRPr="00D4761A">
        <w:t xml:space="preserve"> </w:t>
      </w:r>
      <w:r w:rsidRPr="00D4761A">
        <w:t>– lokální data ze spádové oblasti Olomouckého kraje spolu s pacienty z okresu Svitavy, popis souboru</w:t>
      </w:r>
      <w:bookmarkEnd w:id="51"/>
    </w:p>
    <w:p w14:paraId="29088740" w14:textId="416836C1" w:rsidR="00AF5A33" w:rsidRPr="00D4761A" w:rsidRDefault="00AF5A33" w:rsidP="002F477B">
      <w:pPr>
        <w:ind w:firstLine="708"/>
        <w:rPr>
          <w:rFonts w:cstheme="minorHAnsi"/>
          <w:szCs w:val="24"/>
        </w:rPr>
      </w:pPr>
      <w:r w:rsidRPr="00D4761A">
        <w:rPr>
          <w:rFonts w:cstheme="minorHAnsi"/>
          <w:szCs w:val="24"/>
        </w:rPr>
        <w:t xml:space="preserve">Jedná se </w:t>
      </w:r>
      <w:r w:rsidR="00672ED4" w:rsidRPr="00D4761A">
        <w:rPr>
          <w:rFonts w:cstheme="minorHAnsi"/>
          <w:szCs w:val="24"/>
        </w:rPr>
        <w:t>o </w:t>
      </w:r>
      <w:r w:rsidRPr="00D4761A">
        <w:rPr>
          <w:rFonts w:cstheme="minorHAnsi"/>
          <w:szCs w:val="24"/>
        </w:rPr>
        <w:t xml:space="preserve">soubor 104 pacientů, </w:t>
      </w:r>
      <w:r w:rsidR="00672ED4" w:rsidRPr="00D4761A">
        <w:rPr>
          <w:rFonts w:cstheme="minorHAnsi"/>
          <w:szCs w:val="24"/>
        </w:rPr>
        <w:t>u </w:t>
      </w:r>
      <w:r w:rsidRPr="00D4761A">
        <w:rPr>
          <w:rFonts w:cstheme="minorHAnsi"/>
          <w:szCs w:val="24"/>
        </w:rPr>
        <w:t>kterých byla získána retrospektivně klinická data z elektronických systémů lékařské dokumentace</w:t>
      </w:r>
      <w:r w:rsidR="002303B1" w:rsidRPr="00D4761A">
        <w:rPr>
          <w:rFonts w:cstheme="minorHAnsi"/>
          <w:szCs w:val="24"/>
        </w:rPr>
        <w:t xml:space="preserve"> (116)</w:t>
      </w:r>
      <w:r w:rsidRPr="00D4761A">
        <w:rPr>
          <w:rFonts w:cstheme="minorHAnsi"/>
          <w:szCs w:val="24"/>
        </w:rPr>
        <w:t xml:space="preserve">. Většina pacientů v tomto souboru byla léčena na I. </w:t>
      </w:r>
      <w:r w:rsidR="00293BE6" w:rsidRPr="00D4761A">
        <w:rPr>
          <w:rFonts w:cstheme="minorHAnsi"/>
          <w:szCs w:val="24"/>
        </w:rPr>
        <w:t>i</w:t>
      </w:r>
      <w:r w:rsidRPr="00D4761A">
        <w:rPr>
          <w:rFonts w:cstheme="minorHAnsi"/>
          <w:szCs w:val="24"/>
        </w:rPr>
        <w:t>nterní klinice Fakultní nemocnice Olomouc v Ambulanci srdečního selhání (84 pacientů). Menšina pacientů z celého souboru byl</w:t>
      </w:r>
      <w:r w:rsidR="00C47410" w:rsidRPr="00D4761A">
        <w:rPr>
          <w:rFonts w:cstheme="minorHAnsi"/>
          <w:szCs w:val="24"/>
        </w:rPr>
        <w:t>a</w:t>
      </w:r>
      <w:r w:rsidRPr="00D4761A">
        <w:rPr>
          <w:rFonts w:cstheme="minorHAnsi"/>
          <w:szCs w:val="24"/>
        </w:rPr>
        <w:t xml:space="preserve"> léčena v kardiologické ambulanci okresní nemocnice Svitavy (20 pacientů). Data byla sbírána od října 2016 do prosince 2019. Všichni pacienti v tomto souboru splnili úhradové podmínky </w:t>
      </w:r>
      <w:r w:rsidR="00672ED4" w:rsidRPr="00D4761A">
        <w:rPr>
          <w:rFonts w:cstheme="minorHAnsi"/>
          <w:szCs w:val="24"/>
        </w:rPr>
        <w:t>a </w:t>
      </w:r>
      <w:r w:rsidRPr="00D4761A">
        <w:rPr>
          <w:rFonts w:cstheme="minorHAnsi"/>
          <w:szCs w:val="24"/>
        </w:rPr>
        <w:t>byli indikováni k terapii sacubitrilem/valsartanem.</w:t>
      </w:r>
      <w:r w:rsidR="00AA1F75" w:rsidRPr="00D4761A">
        <w:rPr>
          <w:rFonts w:cstheme="minorHAnsi"/>
          <w:szCs w:val="24"/>
        </w:rPr>
        <w:t xml:space="preserve">  </w:t>
      </w:r>
    </w:p>
    <w:p w14:paraId="7F07A1D0" w14:textId="740BD45B" w:rsidR="00AF5A33" w:rsidRPr="00D4761A" w:rsidRDefault="00AF5A33" w:rsidP="002F477B">
      <w:pPr>
        <w:pStyle w:val="Nadpis30"/>
      </w:pPr>
      <w:bookmarkStart w:id="52" w:name="_Toc120547455"/>
      <w:r w:rsidRPr="00D4761A">
        <w:t>Statistická analýza</w:t>
      </w:r>
      <w:bookmarkEnd w:id="52"/>
    </w:p>
    <w:p w14:paraId="41644A89" w14:textId="3F8C348C" w:rsidR="00AB306B" w:rsidRPr="00D4761A" w:rsidRDefault="00AF5A33" w:rsidP="00AB306B">
      <w:pPr>
        <w:rPr>
          <w:rFonts w:cstheme="minorHAnsi"/>
          <w:szCs w:val="24"/>
        </w:rPr>
      </w:pPr>
      <w:r w:rsidRPr="00D4761A">
        <w:rPr>
          <w:rFonts w:cstheme="minorHAnsi"/>
          <w:szCs w:val="24"/>
        </w:rPr>
        <w:t xml:space="preserve">V statistické analýze obou kohort byla použita Paradigm-HF metodologie. Byl použit sladěný statistický přístup, aby bylo možné snadno porovnat základní charakteristiky </w:t>
      </w:r>
      <w:r w:rsidR="006162F4" w:rsidRPr="00D4761A">
        <w:rPr>
          <w:rFonts w:cstheme="minorHAnsi"/>
          <w:szCs w:val="24"/>
        </w:rPr>
        <w:t>pacientů MMR</w:t>
      </w:r>
      <w:r w:rsidRPr="00D4761A">
        <w:rPr>
          <w:rFonts w:cstheme="minorHAnsi"/>
          <w:szCs w:val="24"/>
        </w:rPr>
        <w:t xml:space="preserve"> </w:t>
      </w:r>
      <w:r w:rsidR="00672ED4" w:rsidRPr="00D4761A">
        <w:rPr>
          <w:rFonts w:cstheme="minorHAnsi"/>
          <w:szCs w:val="24"/>
        </w:rPr>
        <w:t>s </w:t>
      </w:r>
      <w:r w:rsidRPr="00D4761A">
        <w:rPr>
          <w:rFonts w:cstheme="minorHAnsi"/>
          <w:szCs w:val="24"/>
        </w:rPr>
        <w:t>předchozími studiemi. Spojité proměnné jsou uváděny jako průměr ± směrodatná odchylka</w:t>
      </w:r>
      <w:r w:rsidR="00AB306B" w:rsidRPr="00D4761A">
        <w:rPr>
          <w:rFonts w:cstheme="minorHAnsi"/>
          <w:szCs w:val="24"/>
        </w:rPr>
        <w:t xml:space="preserve">. </w:t>
      </w:r>
    </w:p>
    <w:p w14:paraId="00C8C358" w14:textId="1D364A7B" w:rsidR="00AB306B" w:rsidRPr="00D4761A" w:rsidRDefault="00AB306B" w:rsidP="00AB306B">
      <w:pPr>
        <w:rPr>
          <w:rFonts w:cstheme="minorHAnsi"/>
          <w:szCs w:val="24"/>
        </w:rPr>
      </w:pPr>
      <w:r w:rsidRPr="00D4761A">
        <w:rPr>
          <w:rFonts w:cstheme="minorHAnsi"/>
          <w:szCs w:val="24"/>
        </w:rPr>
        <w:lastRenderedPageBreak/>
        <w:t xml:space="preserve">Průměrný rozdíl mezi skupinami je porovnáván pomocí nepárového t-testu, který předpokládal nestejný rozptyl mezi skupinami. Statistická významnost byla definována jako </w:t>
      </w:r>
      <w:r w:rsidR="00AA1F75" w:rsidRPr="00D4761A">
        <w:rPr>
          <w:rFonts w:cstheme="minorHAnsi"/>
          <w:szCs w:val="24"/>
        </w:rPr>
        <w:t>p &lt;</w:t>
      </w:r>
      <w:r w:rsidRPr="00D4761A">
        <w:rPr>
          <w:rFonts w:cstheme="minorHAnsi"/>
          <w:szCs w:val="24"/>
        </w:rPr>
        <w:t>0,05. Hodnotu p lze vypočítat pouze pro spojité proměnné.</w:t>
      </w:r>
    </w:p>
    <w:p w14:paraId="62D7B606" w14:textId="4DE506FB" w:rsidR="00AF5A33" w:rsidRPr="00D4761A" w:rsidRDefault="00AB306B" w:rsidP="002F477B">
      <w:pPr>
        <w:ind w:firstLine="708"/>
        <w:rPr>
          <w:rFonts w:cstheme="minorHAnsi"/>
          <w:szCs w:val="24"/>
        </w:rPr>
      </w:pPr>
      <w:r w:rsidRPr="00D4761A">
        <w:rPr>
          <w:rFonts w:cstheme="minorHAnsi"/>
          <w:szCs w:val="24"/>
        </w:rPr>
        <w:t xml:space="preserve"> </w:t>
      </w:r>
      <w:r w:rsidR="00AF5A33" w:rsidRPr="00D4761A">
        <w:rPr>
          <w:rFonts w:cstheme="minorHAnsi"/>
          <w:szCs w:val="24"/>
        </w:rPr>
        <w:t xml:space="preserve"> </w:t>
      </w:r>
      <w:r w:rsidRPr="00D4761A">
        <w:rPr>
          <w:rFonts w:cstheme="minorHAnsi"/>
          <w:szCs w:val="24"/>
        </w:rPr>
        <w:t>K</w:t>
      </w:r>
      <w:r w:rsidR="00AF5A33" w:rsidRPr="00D4761A">
        <w:rPr>
          <w:rFonts w:cstheme="minorHAnsi"/>
          <w:szCs w:val="24"/>
        </w:rPr>
        <w:t xml:space="preserve">ategoriální proměnné jako absolutní počet výskytů </w:t>
      </w:r>
      <w:r w:rsidR="00672ED4" w:rsidRPr="00D4761A">
        <w:rPr>
          <w:rFonts w:cstheme="minorHAnsi"/>
          <w:szCs w:val="24"/>
        </w:rPr>
        <w:t>a </w:t>
      </w:r>
      <w:r w:rsidR="00AF5A33" w:rsidRPr="00D4761A">
        <w:rPr>
          <w:rFonts w:cstheme="minorHAnsi"/>
          <w:szCs w:val="24"/>
        </w:rPr>
        <w:t xml:space="preserve">procento </w:t>
      </w:r>
      <w:r w:rsidR="00672ED4" w:rsidRPr="00D4761A">
        <w:rPr>
          <w:rFonts w:cstheme="minorHAnsi"/>
          <w:szCs w:val="24"/>
        </w:rPr>
        <w:t>z </w:t>
      </w:r>
      <w:r w:rsidR="00AF5A33" w:rsidRPr="00D4761A">
        <w:rPr>
          <w:rFonts w:cstheme="minorHAnsi"/>
          <w:szCs w:val="24"/>
        </w:rPr>
        <w:t>celku. Kvůli zaokrouhlování nemusí být celková procenta 100. Pokud není uvedeno jinak, celkový počet záznamů je 104.</w:t>
      </w:r>
    </w:p>
    <w:p w14:paraId="25ABF96A" w14:textId="50A4105C" w:rsidR="00AF5A33" w:rsidRPr="00D4761A" w:rsidRDefault="00AF5A33" w:rsidP="002F477B">
      <w:pPr>
        <w:pStyle w:val="Nadpis30"/>
      </w:pPr>
      <w:bookmarkStart w:id="53" w:name="_Toc120547456"/>
      <w:bookmarkEnd w:id="50"/>
      <w:r w:rsidRPr="00D4761A">
        <w:lastRenderedPageBreak/>
        <w:t>Porovnání kohort A, B v základních charakteristikách souborů</w:t>
      </w:r>
      <w:r w:rsidR="006162F4" w:rsidRPr="00D4761A">
        <w:t xml:space="preserve"> (T</w:t>
      </w:r>
      <w:r w:rsidR="00CC2471" w:rsidRPr="00D4761A">
        <w:t>abulka </w:t>
      </w:r>
      <w:r w:rsidR="006162F4" w:rsidRPr="00D4761A">
        <w:t>7)</w:t>
      </w:r>
      <w:bookmarkEnd w:id="53"/>
    </w:p>
    <w:p w14:paraId="0700DB08" w14:textId="49881826" w:rsidR="00DC25BC" w:rsidRPr="00D4761A" w:rsidRDefault="00DC25BC" w:rsidP="006208B9">
      <w:pPr>
        <w:keepNext/>
      </w:pPr>
      <w:r w:rsidRPr="00D4761A">
        <w:rPr>
          <w:b/>
        </w:rPr>
        <w:t>T</w:t>
      </w:r>
      <w:r w:rsidR="00CC2471" w:rsidRPr="00D4761A">
        <w:rPr>
          <w:b/>
        </w:rPr>
        <w:t>abulka </w:t>
      </w:r>
      <w:r w:rsidRPr="00D4761A">
        <w:rPr>
          <w:b/>
        </w:rPr>
        <w:t>7</w:t>
      </w:r>
      <w:r w:rsidRPr="00D4761A">
        <w:t xml:space="preserve"> – Porovnání kohort A, B </w:t>
      </w:r>
      <w:r w:rsidR="00672ED4" w:rsidRPr="00D4761A">
        <w:t>v </w:t>
      </w:r>
      <w:r w:rsidRPr="00D4761A">
        <w:t>základních charakteristikách souborů*</w:t>
      </w:r>
    </w:p>
    <w:tbl>
      <w:tblPr>
        <w:tblStyle w:val="Mkatabulky"/>
        <w:tblW w:w="5000" w:type="pct"/>
        <w:tblLayout w:type="fixed"/>
        <w:tblLook w:val="04A0" w:firstRow="1" w:lastRow="0" w:firstColumn="1" w:lastColumn="0" w:noHBand="0" w:noVBand="1"/>
      </w:tblPr>
      <w:tblGrid>
        <w:gridCol w:w="5240"/>
        <w:gridCol w:w="2126"/>
        <w:gridCol w:w="1696"/>
      </w:tblGrid>
      <w:tr w:rsidR="00597804" w:rsidRPr="00D4761A" w14:paraId="4E7029E8" w14:textId="77777777" w:rsidTr="00CA3812">
        <w:trPr>
          <w:cantSplit/>
        </w:trPr>
        <w:tc>
          <w:tcPr>
            <w:tcW w:w="2891" w:type="pct"/>
            <w:noWrap/>
            <w:vAlign w:val="center"/>
            <w:hideMark/>
          </w:tcPr>
          <w:p w14:paraId="46DF64E6" w14:textId="77777777" w:rsidR="00DC25BC" w:rsidRPr="00D4761A" w:rsidRDefault="00DC25BC" w:rsidP="006208B9">
            <w:pPr>
              <w:keepNext/>
              <w:spacing w:line="240" w:lineRule="auto"/>
              <w:jc w:val="left"/>
              <w:rPr>
                <w:rFonts w:eastAsia="Times New Roman" w:cs="Times New Roman"/>
                <w:b/>
                <w:szCs w:val="24"/>
                <w:lang w:eastAsia="cs-CZ"/>
              </w:rPr>
            </w:pPr>
            <w:r w:rsidRPr="00D4761A">
              <w:rPr>
                <w:rFonts w:eastAsia="Times New Roman" w:cs="Times New Roman"/>
                <w:b/>
                <w:szCs w:val="24"/>
                <w:lang w:eastAsia="cs-CZ"/>
              </w:rPr>
              <w:t>Charakteristiky</w:t>
            </w:r>
          </w:p>
        </w:tc>
        <w:tc>
          <w:tcPr>
            <w:tcW w:w="1173" w:type="pct"/>
            <w:noWrap/>
            <w:vAlign w:val="center"/>
            <w:hideMark/>
          </w:tcPr>
          <w:p w14:paraId="032E9EBB" w14:textId="77777777" w:rsidR="00DC25BC" w:rsidRPr="00D4761A" w:rsidRDefault="00DC25BC" w:rsidP="006208B9">
            <w:pPr>
              <w:keepNext/>
              <w:spacing w:line="240" w:lineRule="auto"/>
              <w:jc w:val="center"/>
              <w:rPr>
                <w:rFonts w:eastAsia="Times New Roman" w:cs="Times New Roman"/>
                <w:b/>
                <w:szCs w:val="24"/>
                <w:lang w:eastAsia="cs-CZ"/>
              </w:rPr>
            </w:pPr>
            <w:r w:rsidRPr="00D4761A">
              <w:rPr>
                <w:rFonts w:eastAsia="Times New Roman" w:cs="Times New Roman"/>
                <w:b/>
                <w:szCs w:val="24"/>
                <w:lang w:eastAsia="cs-CZ"/>
              </w:rPr>
              <w:t>Paradigm HF</w:t>
            </w:r>
            <w:r w:rsidRPr="00D4761A">
              <w:rPr>
                <w:rFonts w:eastAsia="Times New Roman" w:cs="Times New Roman"/>
                <w:b/>
                <w:szCs w:val="24"/>
                <w:lang w:eastAsia="cs-CZ"/>
              </w:rPr>
              <w:br/>
              <w:t>LCZ696 (N=4187)</w:t>
            </w:r>
          </w:p>
        </w:tc>
        <w:tc>
          <w:tcPr>
            <w:tcW w:w="936" w:type="pct"/>
            <w:noWrap/>
            <w:vAlign w:val="center"/>
            <w:hideMark/>
          </w:tcPr>
          <w:p w14:paraId="2E8C10E0" w14:textId="77777777" w:rsidR="00DC25BC" w:rsidRPr="00D4761A" w:rsidRDefault="00DC25BC" w:rsidP="006208B9">
            <w:pPr>
              <w:keepNext/>
              <w:spacing w:line="240" w:lineRule="auto"/>
              <w:jc w:val="center"/>
              <w:rPr>
                <w:rFonts w:eastAsia="Times New Roman" w:cs="Times New Roman"/>
                <w:b/>
                <w:szCs w:val="24"/>
                <w:lang w:eastAsia="cs-CZ"/>
              </w:rPr>
            </w:pPr>
            <w:r w:rsidRPr="00D4761A">
              <w:rPr>
                <w:rFonts w:eastAsia="Times New Roman" w:cs="Times New Roman"/>
                <w:b/>
                <w:szCs w:val="24"/>
                <w:lang w:eastAsia="cs-CZ"/>
              </w:rPr>
              <w:t>MMR</w:t>
            </w:r>
            <w:r w:rsidRPr="00D4761A">
              <w:rPr>
                <w:rFonts w:eastAsia="Times New Roman" w:cs="Times New Roman"/>
                <w:b/>
                <w:szCs w:val="24"/>
                <w:lang w:eastAsia="cs-CZ"/>
              </w:rPr>
              <w:br/>
              <w:t>(N=104)</w:t>
            </w:r>
          </w:p>
        </w:tc>
      </w:tr>
      <w:tr w:rsidR="00597804" w:rsidRPr="00D4761A" w14:paraId="75899F9C" w14:textId="77777777" w:rsidTr="00CA3812">
        <w:trPr>
          <w:cantSplit/>
        </w:trPr>
        <w:tc>
          <w:tcPr>
            <w:tcW w:w="2891" w:type="pct"/>
            <w:noWrap/>
            <w:vAlign w:val="center"/>
            <w:hideMark/>
          </w:tcPr>
          <w:p w14:paraId="40049388"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Věk – roky</w:t>
            </w:r>
          </w:p>
        </w:tc>
        <w:tc>
          <w:tcPr>
            <w:tcW w:w="1173" w:type="pct"/>
            <w:noWrap/>
            <w:vAlign w:val="center"/>
            <w:hideMark/>
          </w:tcPr>
          <w:p w14:paraId="0A9C919D"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63,8±11,5</w:t>
            </w:r>
          </w:p>
        </w:tc>
        <w:tc>
          <w:tcPr>
            <w:tcW w:w="936" w:type="pct"/>
            <w:noWrap/>
            <w:vAlign w:val="center"/>
            <w:hideMark/>
          </w:tcPr>
          <w:p w14:paraId="338AF945"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60,5±10,7</w:t>
            </w:r>
          </w:p>
        </w:tc>
      </w:tr>
      <w:tr w:rsidR="00597804" w:rsidRPr="00D4761A" w14:paraId="183B41E4" w14:textId="77777777" w:rsidTr="00CA3812">
        <w:trPr>
          <w:cantSplit/>
        </w:trPr>
        <w:tc>
          <w:tcPr>
            <w:tcW w:w="2891" w:type="pct"/>
            <w:noWrap/>
            <w:vAlign w:val="center"/>
            <w:hideMark/>
          </w:tcPr>
          <w:p w14:paraId="3BBD11D1"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Ženy – počet pacientů (%)</w:t>
            </w:r>
          </w:p>
        </w:tc>
        <w:tc>
          <w:tcPr>
            <w:tcW w:w="1173" w:type="pct"/>
            <w:noWrap/>
            <w:vAlign w:val="center"/>
            <w:hideMark/>
          </w:tcPr>
          <w:p w14:paraId="5F61595D"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879 (21,0)</w:t>
            </w:r>
          </w:p>
        </w:tc>
        <w:tc>
          <w:tcPr>
            <w:tcW w:w="936" w:type="pct"/>
            <w:noWrap/>
            <w:vAlign w:val="center"/>
            <w:hideMark/>
          </w:tcPr>
          <w:p w14:paraId="34AE27D7"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17 (16,3)</w:t>
            </w:r>
          </w:p>
        </w:tc>
      </w:tr>
      <w:tr w:rsidR="00597804" w:rsidRPr="00D4761A" w14:paraId="3AEDF49F" w14:textId="77777777" w:rsidTr="00CA3812">
        <w:trPr>
          <w:cantSplit/>
        </w:trPr>
        <w:tc>
          <w:tcPr>
            <w:tcW w:w="2891" w:type="pct"/>
            <w:noWrap/>
            <w:vAlign w:val="center"/>
            <w:hideMark/>
          </w:tcPr>
          <w:p w14:paraId="345B990D"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Rasa nebo etnická skupina – počet pacientů (%)</w:t>
            </w:r>
          </w:p>
        </w:tc>
        <w:tc>
          <w:tcPr>
            <w:tcW w:w="1173" w:type="pct"/>
            <w:noWrap/>
            <w:vAlign w:val="center"/>
            <w:hideMark/>
          </w:tcPr>
          <w:p w14:paraId="390B5DAB" w14:textId="77777777" w:rsidR="00DC25BC" w:rsidRPr="00D4761A" w:rsidRDefault="00DC25BC" w:rsidP="006208B9">
            <w:pPr>
              <w:keepNext/>
              <w:spacing w:line="240" w:lineRule="auto"/>
              <w:jc w:val="center"/>
              <w:rPr>
                <w:rFonts w:eastAsia="Times New Roman" w:cs="Times New Roman"/>
                <w:szCs w:val="24"/>
                <w:lang w:eastAsia="cs-CZ"/>
              </w:rPr>
            </w:pPr>
          </w:p>
        </w:tc>
        <w:tc>
          <w:tcPr>
            <w:tcW w:w="936" w:type="pct"/>
            <w:noWrap/>
            <w:vAlign w:val="center"/>
            <w:hideMark/>
          </w:tcPr>
          <w:p w14:paraId="041529B7" w14:textId="77777777" w:rsidR="00DC25BC" w:rsidRPr="00D4761A" w:rsidRDefault="00DC25BC" w:rsidP="006208B9">
            <w:pPr>
              <w:keepNext/>
              <w:spacing w:line="240" w:lineRule="auto"/>
              <w:jc w:val="center"/>
              <w:rPr>
                <w:rFonts w:eastAsia="Times New Roman" w:cs="Times New Roman"/>
                <w:szCs w:val="24"/>
                <w:lang w:eastAsia="cs-CZ"/>
              </w:rPr>
            </w:pPr>
          </w:p>
        </w:tc>
      </w:tr>
      <w:tr w:rsidR="00597804" w:rsidRPr="00D4761A" w14:paraId="6CCD8746" w14:textId="77777777" w:rsidTr="00CA3812">
        <w:trPr>
          <w:cantSplit/>
        </w:trPr>
        <w:tc>
          <w:tcPr>
            <w:tcW w:w="2891" w:type="pct"/>
            <w:noWrap/>
            <w:vAlign w:val="center"/>
            <w:hideMark/>
          </w:tcPr>
          <w:p w14:paraId="55CE58DE"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Běloši</w:t>
            </w:r>
          </w:p>
        </w:tc>
        <w:tc>
          <w:tcPr>
            <w:tcW w:w="1173" w:type="pct"/>
            <w:noWrap/>
            <w:vAlign w:val="center"/>
            <w:hideMark/>
          </w:tcPr>
          <w:p w14:paraId="68342612"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2763 (66,0)</w:t>
            </w:r>
          </w:p>
        </w:tc>
        <w:tc>
          <w:tcPr>
            <w:tcW w:w="936" w:type="pct"/>
            <w:noWrap/>
            <w:vAlign w:val="center"/>
            <w:hideMark/>
          </w:tcPr>
          <w:p w14:paraId="33A5702F"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104 (100)</w:t>
            </w:r>
          </w:p>
        </w:tc>
      </w:tr>
      <w:tr w:rsidR="00597804" w:rsidRPr="00D4761A" w14:paraId="76FBEA94" w14:textId="77777777" w:rsidTr="00CA3812">
        <w:trPr>
          <w:cantSplit/>
        </w:trPr>
        <w:tc>
          <w:tcPr>
            <w:tcW w:w="2891" w:type="pct"/>
            <w:noWrap/>
            <w:vAlign w:val="center"/>
            <w:hideMark/>
          </w:tcPr>
          <w:p w14:paraId="23CB7E38"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Region – počet pacientů (%)</w:t>
            </w:r>
          </w:p>
        </w:tc>
        <w:tc>
          <w:tcPr>
            <w:tcW w:w="1173" w:type="pct"/>
            <w:noWrap/>
            <w:vAlign w:val="center"/>
            <w:hideMark/>
          </w:tcPr>
          <w:p w14:paraId="50B5F280" w14:textId="77777777" w:rsidR="00DC25BC" w:rsidRPr="00D4761A" w:rsidRDefault="00DC25BC" w:rsidP="006208B9">
            <w:pPr>
              <w:keepNext/>
              <w:spacing w:line="240" w:lineRule="auto"/>
              <w:jc w:val="center"/>
              <w:rPr>
                <w:rFonts w:eastAsia="Times New Roman" w:cs="Times New Roman"/>
                <w:szCs w:val="24"/>
                <w:lang w:eastAsia="cs-CZ"/>
              </w:rPr>
            </w:pPr>
          </w:p>
        </w:tc>
        <w:tc>
          <w:tcPr>
            <w:tcW w:w="936" w:type="pct"/>
            <w:noWrap/>
            <w:vAlign w:val="center"/>
            <w:hideMark/>
          </w:tcPr>
          <w:p w14:paraId="6F24EF44" w14:textId="77777777" w:rsidR="00DC25BC" w:rsidRPr="00D4761A" w:rsidRDefault="00DC25BC" w:rsidP="006208B9">
            <w:pPr>
              <w:keepNext/>
              <w:spacing w:line="240" w:lineRule="auto"/>
              <w:jc w:val="center"/>
              <w:rPr>
                <w:rFonts w:eastAsia="Times New Roman" w:cs="Times New Roman"/>
                <w:szCs w:val="24"/>
                <w:lang w:eastAsia="cs-CZ"/>
              </w:rPr>
            </w:pPr>
          </w:p>
        </w:tc>
      </w:tr>
      <w:tr w:rsidR="00597804" w:rsidRPr="00D4761A" w14:paraId="0BDC367B" w14:textId="77777777" w:rsidTr="00CA3812">
        <w:trPr>
          <w:cantSplit/>
        </w:trPr>
        <w:tc>
          <w:tcPr>
            <w:tcW w:w="2891" w:type="pct"/>
            <w:noWrap/>
            <w:vAlign w:val="center"/>
            <w:hideMark/>
          </w:tcPr>
          <w:p w14:paraId="396318BE"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Centrální Evropa</w:t>
            </w:r>
          </w:p>
        </w:tc>
        <w:tc>
          <w:tcPr>
            <w:tcW w:w="1173" w:type="pct"/>
            <w:noWrap/>
            <w:vAlign w:val="center"/>
            <w:hideMark/>
          </w:tcPr>
          <w:p w14:paraId="29B8F6EF"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1393 (33,3)</w:t>
            </w:r>
          </w:p>
        </w:tc>
        <w:tc>
          <w:tcPr>
            <w:tcW w:w="936" w:type="pct"/>
            <w:noWrap/>
            <w:vAlign w:val="center"/>
            <w:hideMark/>
          </w:tcPr>
          <w:p w14:paraId="37E5F45C"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104 (100)</w:t>
            </w:r>
          </w:p>
        </w:tc>
      </w:tr>
      <w:tr w:rsidR="00597804" w:rsidRPr="00D4761A" w14:paraId="74F9FEBD" w14:textId="77777777" w:rsidTr="00CA3812">
        <w:trPr>
          <w:cantSplit/>
        </w:trPr>
        <w:tc>
          <w:tcPr>
            <w:tcW w:w="2891" w:type="pct"/>
            <w:noWrap/>
            <w:vAlign w:val="center"/>
            <w:hideMark/>
          </w:tcPr>
          <w:p w14:paraId="1A22C3FC"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Systolický krevní tlak – mm Hg</w:t>
            </w:r>
          </w:p>
        </w:tc>
        <w:tc>
          <w:tcPr>
            <w:tcW w:w="1173" w:type="pct"/>
            <w:noWrap/>
            <w:vAlign w:val="center"/>
            <w:hideMark/>
          </w:tcPr>
          <w:p w14:paraId="42C54FF9"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122±15</w:t>
            </w:r>
          </w:p>
        </w:tc>
        <w:tc>
          <w:tcPr>
            <w:tcW w:w="936" w:type="pct"/>
            <w:noWrap/>
            <w:vAlign w:val="center"/>
            <w:hideMark/>
          </w:tcPr>
          <w:p w14:paraId="2699CA7E"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124,8±20,8</w:t>
            </w:r>
          </w:p>
        </w:tc>
      </w:tr>
      <w:tr w:rsidR="00597804" w:rsidRPr="00D4761A" w14:paraId="2E42DEA1" w14:textId="77777777" w:rsidTr="00CA3812">
        <w:trPr>
          <w:cantSplit/>
        </w:trPr>
        <w:tc>
          <w:tcPr>
            <w:tcW w:w="2891" w:type="pct"/>
            <w:noWrap/>
            <w:vAlign w:val="center"/>
            <w:hideMark/>
          </w:tcPr>
          <w:p w14:paraId="35AE96FD"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Srdeční frekvence – tepů/min</w:t>
            </w:r>
          </w:p>
        </w:tc>
        <w:tc>
          <w:tcPr>
            <w:tcW w:w="1173" w:type="pct"/>
            <w:noWrap/>
            <w:vAlign w:val="center"/>
            <w:hideMark/>
          </w:tcPr>
          <w:p w14:paraId="05E34B58"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72±12</w:t>
            </w:r>
          </w:p>
        </w:tc>
        <w:tc>
          <w:tcPr>
            <w:tcW w:w="936" w:type="pct"/>
            <w:noWrap/>
            <w:vAlign w:val="center"/>
            <w:hideMark/>
          </w:tcPr>
          <w:p w14:paraId="7BCE23DD"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73,5±12,7</w:t>
            </w:r>
          </w:p>
        </w:tc>
      </w:tr>
      <w:tr w:rsidR="00597804" w:rsidRPr="00D4761A" w14:paraId="1ADCD7F9" w14:textId="77777777" w:rsidTr="00CA3812">
        <w:trPr>
          <w:cantSplit/>
        </w:trPr>
        <w:tc>
          <w:tcPr>
            <w:tcW w:w="2891" w:type="pct"/>
            <w:noWrap/>
            <w:vAlign w:val="center"/>
            <w:hideMark/>
          </w:tcPr>
          <w:p w14:paraId="56639E61"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Body-mass index</w:t>
            </w:r>
          </w:p>
        </w:tc>
        <w:tc>
          <w:tcPr>
            <w:tcW w:w="1173" w:type="pct"/>
            <w:noWrap/>
            <w:vAlign w:val="center"/>
            <w:hideMark/>
          </w:tcPr>
          <w:p w14:paraId="46BFCB8D"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28,1±5,5</w:t>
            </w:r>
          </w:p>
        </w:tc>
        <w:tc>
          <w:tcPr>
            <w:tcW w:w="936" w:type="pct"/>
            <w:noWrap/>
            <w:vAlign w:val="center"/>
            <w:hideMark/>
          </w:tcPr>
          <w:p w14:paraId="46F0B1AB"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30,3±5,0</w:t>
            </w:r>
          </w:p>
        </w:tc>
      </w:tr>
      <w:tr w:rsidR="00597804" w:rsidRPr="00D4761A" w14:paraId="2CFEB05F" w14:textId="77777777" w:rsidTr="00CA3812">
        <w:trPr>
          <w:cantSplit/>
        </w:trPr>
        <w:tc>
          <w:tcPr>
            <w:tcW w:w="2891" w:type="pct"/>
            <w:noWrap/>
            <w:vAlign w:val="center"/>
            <w:hideMark/>
          </w:tcPr>
          <w:p w14:paraId="25561FAF" w14:textId="659B47BF"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 xml:space="preserve">Sérová hladina kreatininu – </w:t>
            </w:r>
            <w:r w:rsidR="00FF6BF5" w:rsidRPr="00D4761A">
              <w:rPr>
                <w:rFonts w:eastAsia="Times New Roman" w:cstheme="minorHAnsi"/>
                <w:lang w:eastAsia="cs-CZ"/>
              </w:rPr>
              <w:t>µmol/L</w:t>
            </w:r>
          </w:p>
        </w:tc>
        <w:tc>
          <w:tcPr>
            <w:tcW w:w="1173" w:type="pct"/>
            <w:noWrap/>
            <w:vAlign w:val="center"/>
            <w:hideMark/>
          </w:tcPr>
          <w:p w14:paraId="740A4733"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99,9±26,5</w:t>
            </w:r>
          </w:p>
        </w:tc>
        <w:tc>
          <w:tcPr>
            <w:tcW w:w="936" w:type="pct"/>
            <w:noWrap/>
            <w:vAlign w:val="center"/>
            <w:hideMark/>
          </w:tcPr>
          <w:p w14:paraId="495A6C6F"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101,9±36,0</w:t>
            </w:r>
          </w:p>
        </w:tc>
      </w:tr>
      <w:tr w:rsidR="00597804" w:rsidRPr="00D4761A" w14:paraId="314A109D" w14:textId="77777777" w:rsidTr="00CA3812">
        <w:trPr>
          <w:cantSplit/>
        </w:trPr>
        <w:tc>
          <w:tcPr>
            <w:tcW w:w="2891" w:type="pct"/>
            <w:noWrap/>
            <w:vAlign w:val="center"/>
            <w:hideMark/>
          </w:tcPr>
          <w:p w14:paraId="41C10261"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Klinické hodnocení srdečního selhání</w:t>
            </w:r>
          </w:p>
        </w:tc>
        <w:tc>
          <w:tcPr>
            <w:tcW w:w="1173" w:type="pct"/>
            <w:noWrap/>
            <w:vAlign w:val="center"/>
            <w:hideMark/>
          </w:tcPr>
          <w:p w14:paraId="24852339" w14:textId="77777777" w:rsidR="00DC25BC" w:rsidRPr="00D4761A" w:rsidRDefault="00DC25BC" w:rsidP="006208B9">
            <w:pPr>
              <w:keepNext/>
              <w:spacing w:line="240" w:lineRule="auto"/>
              <w:jc w:val="center"/>
              <w:rPr>
                <w:rFonts w:eastAsia="Times New Roman" w:cs="Times New Roman"/>
                <w:szCs w:val="24"/>
                <w:lang w:eastAsia="cs-CZ"/>
              </w:rPr>
            </w:pPr>
          </w:p>
        </w:tc>
        <w:tc>
          <w:tcPr>
            <w:tcW w:w="936" w:type="pct"/>
            <w:noWrap/>
            <w:vAlign w:val="center"/>
            <w:hideMark/>
          </w:tcPr>
          <w:p w14:paraId="22A50F56" w14:textId="77777777" w:rsidR="00DC25BC" w:rsidRPr="00D4761A" w:rsidRDefault="00DC25BC" w:rsidP="006208B9">
            <w:pPr>
              <w:keepNext/>
              <w:spacing w:line="240" w:lineRule="auto"/>
              <w:jc w:val="center"/>
              <w:rPr>
                <w:rFonts w:eastAsia="Times New Roman" w:cs="Times New Roman"/>
                <w:szCs w:val="24"/>
                <w:lang w:eastAsia="cs-CZ"/>
              </w:rPr>
            </w:pPr>
          </w:p>
        </w:tc>
      </w:tr>
      <w:tr w:rsidR="00597804" w:rsidRPr="00D4761A" w14:paraId="5C7CB75D" w14:textId="77777777" w:rsidTr="00CA3812">
        <w:trPr>
          <w:cantSplit/>
        </w:trPr>
        <w:tc>
          <w:tcPr>
            <w:tcW w:w="2891" w:type="pct"/>
            <w:noWrap/>
            <w:vAlign w:val="center"/>
            <w:hideMark/>
          </w:tcPr>
          <w:p w14:paraId="016C1D9F"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Ischemická kardiomyopatie – počet pacientů (%)</w:t>
            </w:r>
          </w:p>
        </w:tc>
        <w:tc>
          <w:tcPr>
            <w:tcW w:w="1173" w:type="pct"/>
            <w:noWrap/>
            <w:vAlign w:val="center"/>
            <w:hideMark/>
          </w:tcPr>
          <w:p w14:paraId="2BB91449"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2506 (59,9)</w:t>
            </w:r>
          </w:p>
        </w:tc>
        <w:tc>
          <w:tcPr>
            <w:tcW w:w="936" w:type="pct"/>
            <w:noWrap/>
            <w:vAlign w:val="center"/>
            <w:hideMark/>
          </w:tcPr>
          <w:p w14:paraId="764BFED9"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51 (49,0)</w:t>
            </w:r>
          </w:p>
        </w:tc>
      </w:tr>
      <w:tr w:rsidR="00597804" w:rsidRPr="00D4761A" w14:paraId="0E8C51FE" w14:textId="77777777" w:rsidTr="00CA3812">
        <w:trPr>
          <w:cantSplit/>
        </w:trPr>
        <w:tc>
          <w:tcPr>
            <w:tcW w:w="2891" w:type="pct"/>
            <w:noWrap/>
            <w:vAlign w:val="center"/>
            <w:hideMark/>
          </w:tcPr>
          <w:p w14:paraId="37935C01" w14:textId="0E5C1B60"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Ejekční frakce levé komory –</w:t>
            </w:r>
            <w:r w:rsidR="00672ED4" w:rsidRPr="00D4761A">
              <w:rPr>
                <w:rFonts w:eastAsia="Times New Roman" w:cs="Times New Roman"/>
                <w:szCs w:val="24"/>
                <w:lang w:eastAsia="cs-CZ"/>
              </w:rPr>
              <w:t> %</w:t>
            </w:r>
          </w:p>
        </w:tc>
        <w:tc>
          <w:tcPr>
            <w:tcW w:w="1173" w:type="pct"/>
            <w:noWrap/>
            <w:vAlign w:val="center"/>
            <w:hideMark/>
          </w:tcPr>
          <w:p w14:paraId="2B3D5773"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29,6±6,1</w:t>
            </w:r>
          </w:p>
        </w:tc>
        <w:tc>
          <w:tcPr>
            <w:tcW w:w="936" w:type="pct"/>
            <w:noWrap/>
            <w:vAlign w:val="center"/>
            <w:hideMark/>
          </w:tcPr>
          <w:p w14:paraId="6B509C62"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27,8±6,9</w:t>
            </w:r>
            <w:r w:rsidRPr="00D4761A">
              <w:rPr>
                <w:rFonts w:eastAsia="Times New Roman" w:cs="Times New Roman"/>
                <w:szCs w:val="24"/>
                <w:vertAlign w:val="superscript"/>
                <w:lang w:eastAsia="cs-CZ"/>
              </w:rPr>
              <w:t>**</w:t>
            </w:r>
          </w:p>
        </w:tc>
      </w:tr>
      <w:tr w:rsidR="00597804" w:rsidRPr="00D4761A" w14:paraId="464CEE9D" w14:textId="77777777" w:rsidTr="00CA3812">
        <w:trPr>
          <w:cantSplit/>
        </w:trPr>
        <w:tc>
          <w:tcPr>
            <w:tcW w:w="2891" w:type="pct"/>
            <w:noWrap/>
            <w:vAlign w:val="center"/>
            <w:hideMark/>
          </w:tcPr>
          <w:p w14:paraId="38323073"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Medián N-terminálního natriuretického propeptidu typu B (IQR) – pg/ml</w:t>
            </w:r>
          </w:p>
        </w:tc>
        <w:tc>
          <w:tcPr>
            <w:tcW w:w="1173" w:type="pct"/>
            <w:noWrap/>
            <w:vAlign w:val="center"/>
            <w:hideMark/>
          </w:tcPr>
          <w:p w14:paraId="787987F0"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1631</w:t>
            </w:r>
            <w:r w:rsidRPr="00D4761A">
              <w:rPr>
                <w:rFonts w:eastAsia="Times New Roman" w:cs="Times New Roman"/>
                <w:szCs w:val="24"/>
                <w:lang w:eastAsia="cs-CZ"/>
              </w:rPr>
              <w:br/>
              <w:t>(885–3154)</w:t>
            </w:r>
          </w:p>
        </w:tc>
        <w:tc>
          <w:tcPr>
            <w:tcW w:w="936" w:type="pct"/>
            <w:noWrap/>
            <w:vAlign w:val="center"/>
            <w:hideMark/>
          </w:tcPr>
          <w:p w14:paraId="6960EC0F"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2563,5</w:t>
            </w:r>
            <w:r w:rsidRPr="00D4761A">
              <w:rPr>
                <w:rFonts w:eastAsia="Times New Roman" w:cs="Times New Roman"/>
                <w:szCs w:val="24"/>
                <w:lang w:eastAsia="cs-CZ"/>
              </w:rPr>
              <w:br/>
              <w:t>(377–3536)</w:t>
            </w:r>
            <w:r w:rsidRPr="00D4761A">
              <w:rPr>
                <w:rFonts w:eastAsia="Times New Roman" w:cs="Times New Roman"/>
                <w:szCs w:val="24"/>
                <w:vertAlign w:val="superscript"/>
                <w:lang w:eastAsia="cs-CZ"/>
              </w:rPr>
              <w:t>***</w:t>
            </w:r>
          </w:p>
        </w:tc>
      </w:tr>
      <w:tr w:rsidR="00597804" w:rsidRPr="00D4761A" w14:paraId="6D7B90FB" w14:textId="77777777" w:rsidTr="00CA3812">
        <w:trPr>
          <w:cantSplit/>
        </w:trPr>
        <w:tc>
          <w:tcPr>
            <w:tcW w:w="2891" w:type="pct"/>
            <w:noWrap/>
            <w:vAlign w:val="center"/>
            <w:hideMark/>
          </w:tcPr>
          <w:p w14:paraId="106ADDD9" w14:textId="580F39B2"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Funkční třída NYHA</w:t>
            </w:r>
            <w:r w:rsidR="006208B9" w:rsidRPr="00D4761A">
              <w:rPr>
                <w:rFonts w:eastAsia="Times New Roman" w:cs="Times New Roman"/>
                <w:szCs w:val="24"/>
                <w:lang w:eastAsia="cs-CZ"/>
              </w:rPr>
              <w:t xml:space="preserve"> </w:t>
            </w:r>
            <w:r w:rsidRPr="00D4761A">
              <w:rPr>
                <w:rFonts w:eastAsia="Times New Roman" w:cs="Times New Roman"/>
                <w:szCs w:val="24"/>
                <w:lang w:eastAsia="cs-CZ"/>
              </w:rPr>
              <w:t>– počet pacientů (%)</w:t>
            </w:r>
          </w:p>
        </w:tc>
        <w:tc>
          <w:tcPr>
            <w:tcW w:w="1173" w:type="pct"/>
            <w:noWrap/>
            <w:vAlign w:val="center"/>
            <w:hideMark/>
          </w:tcPr>
          <w:p w14:paraId="6ECD7504" w14:textId="77777777" w:rsidR="00DC25BC" w:rsidRPr="00D4761A" w:rsidRDefault="00DC25BC" w:rsidP="006208B9">
            <w:pPr>
              <w:keepNext/>
              <w:spacing w:line="240" w:lineRule="auto"/>
              <w:jc w:val="center"/>
              <w:rPr>
                <w:rFonts w:eastAsia="Times New Roman" w:cs="Times New Roman"/>
                <w:szCs w:val="24"/>
                <w:lang w:eastAsia="cs-CZ"/>
              </w:rPr>
            </w:pPr>
          </w:p>
        </w:tc>
        <w:tc>
          <w:tcPr>
            <w:tcW w:w="936" w:type="pct"/>
            <w:noWrap/>
            <w:vAlign w:val="center"/>
            <w:hideMark/>
          </w:tcPr>
          <w:p w14:paraId="5B0F1A94" w14:textId="77777777" w:rsidR="00DC25BC" w:rsidRPr="00D4761A" w:rsidRDefault="00DC25BC" w:rsidP="006208B9">
            <w:pPr>
              <w:keepNext/>
              <w:spacing w:line="240" w:lineRule="auto"/>
              <w:jc w:val="center"/>
              <w:rPr>
                <w:rFonts w:eastAsia="Times New Roman" w:cs="Times New Roman"/>
                <w:szCs w:val="24"/>
                <w:lang w:eastAsia="cs-CZ"/>
              </w:rPr>
            </w:pPr>
          </w:p>
        </w:tc>
      </w:tr>
      <w:tr w:rsidR="00597804" w:rsidRPr="00D4761A" w14:paraId="29834227" w14:textId="77777777" w:rsidTr="00CA3812">
        <w:trPr>
          <w:cantSplit/>
        </w:trPr>
        <w:tc>
          <w:tcPr>
            <w:tcW w:w="2891" w:type="pct"/>
            <w:noWrap/>
            <w:vAlign w:val="center"/>
            <w:hideMark/>
          </w:tcPr>
          <w:p w14:paraId="3875D8A2"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I</w:t>
            </w:r>
          </w:p>
        </w:tc>
        <w:tc>
          <w:tcPr>
            <w:tcW w:w="1173" w:type="pct"/>
            <w:noWrap/>
            <w:vAlign w:val="center"/>
            <w:hideMark/>
          </w:tcPr>
          <w:p w14:paraId="1C04849D"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180 (4,3)</w:t>
            </w:r>
          </w:p>
        </w:tc>
        <w:tc>
          <w:tcPr>
            <w:tcW w:w="936" w:type="pct"/>
            <w:noWrap/>
            <w:vAlign w:val="center"/>
            <w:hideMark/>
          </w:tcPr>
          <w:p w14:paraId="746032A1"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5 (4,8)</w:t>
            </w:r>
          </w:p>
        </w:tc>
      </w:tr>
      <w:tr w:rsidR="00597804" w:rsidRPr="00D4761A" w14:paraId="2DDDE86A" w14:textId="77777777" w:rsidTr="00CA3812">
        <w:trPr>
          <w:cantSplit/>
        </w:trPr>
        <w:tc>
          <w:tcPr>
            <w:tcW w:w="2891" w:type="pct"/>
            <w:noWrap/>
            <w:vAlign w:val="center"/>
            <w:hideMark/>
          </w:tcPr>
          <w:p w14:paraId="2B8D88CB"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II</w:t>
            </w:r>
          </w:p>
        </w:tc>
        <w:tc>
          <w:tcPr>
            <w:tcW w:w="1173" w:type="pct"/>
            <w:noWrap/>
            <w:vAlign w:val="center"/>
            <w:hideMark/>
          </w:tcPr>
          <w:p w14:paraId="6FC5972E"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2998 (71,6)</w:t>
            </w:r>
          </w:p>
        </w:tc>
        <w:tc>
          <w:tcPr>
            <w:tcW w:w="936" w:type="pct"/>
            <w:noWrap/>
            <w:vAlign w:val="center"/>
            <w:hideMark/>
          </w:tcPr>
          <w:p w14:paraId="0A45ABD6"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62 (59,6)</w:t>
            </w:r>
          </w:p>
        </w:tc>
      </w:tr>
      <w:tr w:rsidR="00597804" w:rsidRPr="00D4761A" w14:paraId="2F7D4515" w14:textId="77777777" w:rsidTr="00CA3812">
        <w:trPr>
          <w:cantSplit/>
        </w:trPr>
        <w:tc>
          <w:tcPr>
            <w:tcW w:w="2891" w:type="pct"/>
            <w:noWrap/>
            <w:vAlign w:val="center"/>
            <w:hideMark/>
          </w:tcPr>
          <w:p w14:paraId="352A02C6"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III</w:t>
            </w:r>
          </w:p>
        </w:tc>
        <w:tc>
          <w:tcPr>
            <w:tcW w:w="1173" w:type="pct"/>
            <w:noWrap/>
            <w:vAlign w:val="center"/>
            <w:hideMark/>
          </w:tcPr>
          <w:p w14:paraId="27B93EB9"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969 (23,1)</w:t>
            </w:r>
          </w:p>
        </w:tc>
        <w:tc>
          <w:tcPr>
            <w:tcW w:w="936" w:type="pct"/>
            <w:noWrap/>
            <w:vAlign w:val="center"/>
            <w:hideMark/>
          </w:tcPr>
          <w:p w14:paraId="08A7FC0D"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34 (32,7)</w:t>
            </w:r>
          </w:p>
        </w:tc>
      </w:tr>
      <w:tr w:rsidR="00597804" w:rsidRPr="00D4761A" w14:paraId="72F3B030" w14:textId="77777777" w:rsidTr="00CA3812">
        <w:trPr>
          <w:cantSplit/>
        </w:trPr>
        <w:tc>
          <w:tcPr>
            <w:tcW w:w="2891" w:type="pct"/>
            <w:noWrap/>
            <w:vAlign w:val="center"/>
            <w:hideMark/>
          </w:tcPr>
          <w:p w14:paraId="73CFFF9B"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IV</w:t>
            </w:r>
          </w:p>
        </w:tc>
        <w:tc>
          <w:tcPr>
            <w:tcW w:w="1173" w:type="pct"/>
            <w:noWrap/>
            <w:vAlign w:val="center"/>
            <w:hideMark/>
          </w:tcPr>
          <w:p w14:paraId="0D8DDA5E"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33 (0,8)</w:t>
            </w:r>
          </w:p>
        </w:tc>
        <w:tc>
          <w:tcPr>
            <w:tcW w:w="936" w:type="pct"/>
            <w:noWrap/>
            <w:vAlign w:val="center"/>
            <w:hideMark/>
          </w:tcPr>
          <w:p w14:paraId="15FF01C5"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3 (2,9)</w:t>
            </w:r>
          </w:p>
        </w:tc>
      </w:tr>
      <w:tr w:rsidR="00597804" w:rsidRPr="00D4761A" w14:paraId="40FC4080" w14:textId="77777777" w:rsidTr="00CA3812">
        <w:trPr>
          <w:cantSplit/>
        </w:trPr>
        <w:tc>
          <w:tcPr>
            <w:tcW w:w="2891" w:type="pct"/>
            <w:noWrap/>
            <w:vAlign w:val="center"/>
            <w:hideMark/>
          </w:tcPr>
          <w:p w14:paraId="09BB2889"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Chybějící data</w:t>
            </w:r>
          </w:p>
        </w:tc>
        <w:tc>
          <w:tcPr>
            <w:tcW w:w="1173" w:type="pct"/>
            <w:noWrap/>
            <w:vAlign w:val="center"/>
            <w:hideMark/>
          </w:tcPr>
          <w:p w14:paraId="6C0ED66D"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7 (0,2)</w:t>
            </w:r>
          </w:p>
        </w:tc>
        <w:tc>
          <w:tcPr>
            <w:tcW w:w="936" w:type="pct"/>
            <w:noWrap/>
            <w:vAlign w:val="center"/>
            <w:hideMark/>
          </w:tcPr>
          <w:p w14:paraId="1044F874"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N/A</w:t>
            </w:r>
          </w:p>
        </w:tc>
      </w:tr>
      <w:tr w:rsidR="00597804" w:rsidRPr="00D4761A" w14:paraId="7DA41FAC" w14:textId="77777777" w:rsidTr="00CA3812">
        <w:trPr>
          <w:cantSplit/>
        </w:trPr>
        <w:tc>
          <w:tcPr>
            <w:tcW w:w="2891" w:type="pct"/>
            <w:noWrap/>
            <w:vAlign w:val="center"/>
            <w:hideMark/>
          </w:tcPr>
          <w:p w14:paraId="2843377B" w14:textId="5B253F2C"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Anamnéza</w:t>
            </w:r>
            <w:r w:rsidR="006208B9" w:rsidRPr="00D4761A">
              <w:rPr>
                <w:rFonts w:eastAsia="Times New Roman" w:cs="Times New Roman"/>
                <w:szCs w:val="24"/>
                <w:lang w:eastAsia="cs-CZ"/>
              </w:rPr>
              <w:t xml:space="preserve"> </w:t>
            </w:r>
            <w:r w:rsidRPr="00D4761A">
              <w:rPr>
                <w:rFonts w:eastAsia="Times New Roman" w:cs="Times New Roman"/>
                <w:szCs w:val="24"/>
                <w:lang w:eastAsia="cs-CZ"/>
              </w:rPr>
              <w:t>– počet pacientů (%)</w:t>
            </w:r>
          </w:p>
        </w:tc>
        <w:tc>
          <w:tcPr>
            <w:tcW w:w="1173" w:type="pct"/>
            <w:noWrap/>
            <w:vAlign w:val="center"/>
            <w:hideMark/>
          </w:tcPr>
          <w:p w14:paraId="35B44060" w14:textId="77777777" w:rsidR="00DC25BC" w:rsidRPr="00D4761A" w:rsidRDefault="00DC25BC" w:rsidP="006208B9">
            <w:pPr>
              <w:keepNext/>
              <w:spacing w:line="240" w:lineRule="auto"/>
              <w:jc w:val="center"/>
              <w:rPr>
                <w:rFonts w:eastAsia="Times New Roman" w:cs="Times New Roman"/>
                <w:szCs w:val="24"/>
                <w:lang w:eastAsia="cs-CZ"/>
              </w:rPr>
            </w:pPr>
          </w:p>
        </w:tc>
        <w:tc>
          <w:tcPr>
            <w:tcW w:w="936" w:type="pct"/>
            <w:noWrap/>
            <w:vAlign w:val="center"/>
            <w:hideMark/>
          </w:tcPr>
          <w:p w14:paraId="5F1682C8" w14:textId="77777777" w:rsidR="00DC25BC" w:rsidRPr="00D4761A" w:rsidRDefault="00DC25BC" w:rsidP="006208B9">
            <w:pPr>
              <w:keepNext/>
              <w:spacing w:line="240" w:lineRule="auto"/>
              <w:jc w:val="center"/>
              <w:rPr>
                <w:rFonts w:eastAsia="Times New Roman" w:cs="Times New Roman"/>
                <w:szCs w:val="24"/>
                <w:lang w:eastAsia="cs-CZ"/>
              </w:rPr>
            </w:pPr>
          </w:p>
        </w:tc>
      </w:tr>
      <w:tr w:rsidR="00597804" w:rsidRPr="00D4761A" w14:paraId="690DCDA0" w14:textId="77777777" w:rsidTr="00CA3812">
        <w:trPr>
          <w:cantSplit/>
        </w:trPr>
        <w:tc>
          <w:tcPr>
            <w:tcW w:w="2891" w:type="pct"/>
            <w:noWrap/>
            <w:vAlign w:val="center"/>
            <w:hideMark/>
          </w:tcPr>
          <w:p w14:paraId="1C6014B4"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Arteriální hypertenze</w:t>
            </w:r>
          </w:p>
        </w:tc>
        <w:tc>
          <w:tcPr>
            <w:tcW w:w="1173" w:type="pct"/>
            <w:noWrap/>
            <w:vAlign w:val="center"/>
            <w:hideMark/>
          </w:tcPr>
          <w:p w14:paraId="2D0703C0"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2969 (70,9)</w:t>
            </w:r>
          </w:p>
        </w:tc>
        <w:tc>
          <w:tcPr>
            <w:tcW w:w="936" w:type="pct"/>
            <w:noWrap/>
            <w:vAlign w:val="center"/>
            <w:hideMark/>
          </w:tcPr>
          <w:p w14:paraId="0127A5BC"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66 (63,5)</w:t>
            </w:r>
          </w:p>
        </w:tc>
      </w:tr>
      <w:tr w:rsidR="00597804" w:rsidRPr="00D4761A" w14:paraId="510D5E1F" w14:textId="77777777" w:rsidTr="00CA3812">
        <w:trPr>
          <w:cantSplit/>
        </w:trPr>
        <w:tc>
          <w:tcPr>
            <w:tcW w:w="2891" w:type="pct"/>
            <w:noWrap/>
            <w:vAlign w:val="center"/>
            <w:hideMark/>
          </w:tcPr>
          <w:p w14:paraId="51965309"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Diabetes mellitus</w:t>
            </w:r>
          </w:p>
        </w:tc>
        <w:tc>
          <w:tcPr>
            <w:tcW w:w="1173" w:type="pct"/>
            <w:noWrap/>
            <w:vAlign w:val="center"/>
            <w:hideMark/>
          </w:tcPr>
          <w:p w14:paraId="0EFC5265"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1451 (34,7)</w:t>
            </w:r>
          </w:p>
        </w:tc>
        <w:tc>
          <w:tcPr>
            <w:tcW w:w="936" w:type="pct"/>
            <w:noWrap/>
            <w:vAlign w:val="center"/>
            <w:hideMark/>
          </w:tcPr>
          <w:p w14:paraId="00F1A32B"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35 (33,7)</w:t>
            </w:r>
          </w:p>
        </w:tc>
      </w:tr>
      <w:tr w:rsidR="00597804" w:rsidRPr="00D4761A" w14:paraId="2EF68E58" w14:textId="77777777" w:rsidTr="00CA3812">
        <w:trPr>
          <w:cantSplit/>
        </w:trPr>
        <w:tc>
          <w:tcPr>
            <w:tcW w:w="2891" w:type="pct"/>
            <w:noWrap/>
            <w:vAlign w:val="center"/>
            <w:hideMark/>
          </w:tcPr>
          <w:p w14:paraId="08E09944"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Fibrilace síní</w:t>
            </w:r>
          </w:p>
        </w:tc>
        <w:tc>
          <w:tcPr>
            <w:tcW w:w="1173" w:type="pct"/>
            <w:noWrap/>
            <w:vAlign w:val="center"/>
            <w:hideMark/>
          </w:tcPr>
          <w:p w14:paraId="2B648804"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1517 (36,2)</w:t>
            </w:r>
          </w:p>
        </w:tc>
        <w:tc>
          <w:tcPr>
            <w:tcW w:w="936" w:type="pct"/>
            <w:noWrap/>
            <w:vAlign w:val="center"/>
            <w:hideMark/>
          </w:tcPr>
          <w:p w14:paraId="4AC2D1C7"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36 (34,6)</w:t>
            </w:r>
          </w:p>
        </w:tc>
      </w:tr>
      <w:tr w:rsidR="00597804" w:rsidRPr="00D4761A" w14:paraId="5A0ADC52" w14:textId="77777777" w:rsidTr="00CA3812">
        <w:trPr>
          <w:cantSplit/>
        </w:trPr>
        <w:tc>
          <w:tcPr>
            <w:tcW w:w="2891" w:type="pct"/>
            <w:noWrap/>
            <w:vAlign w:val="center"/>
            <w:hideMark/>
          </w:tcPr>
          <w:p w14:paraId="43BF91A5"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Hospitalizace pro srdeční selhání</w:t>
            </w:r>
          </w:p>
        </w:tc>
        <w:tc>
          <w:tcPr>
            <w:tcW w:w="1173" w:type="pct"/>
            <w:noWrap/>
            <w:vAlign w:val="center"/>
            <w:hideMark/>
          </w:tcPr>
          <w:p w14:paraId="27435251"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2607 (62,3)</w:t>
            </w:r>
          </w:p>
        </w:tc>
        <w:tc>
          <w:tcPr>
            <w:tcW w:w="936" w:type="pct"/>
            <w:noWrap/>
            <w:vAlign w:val="center"/>
            <w:hideMark/>
          </w:tcPr>
          <w:p w14:paraId="5CB9AC10"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31 (29,8)</w:t>
            </w:r>
          </w:p>
        </w:tc>
      </w:tr>
      <w:tr w:rsidR="00597804" w:rsidRPr="00D4761A" w14:paraId="2EE95FCB" w14:textId="77777777" w:rsidTr="00CA3812">
        <w:trPr>
          <w:cantSplit/>
        </w:trPr>
        <w:tc>
          <w:tcPr>
            <w:tcW w:w="2891" w:type="pct"/>
            <w:noWrap/>
            <w:vAlign w:val="center"/>
            <w:hideMark/>
          </w:tcPr>
          <w:p w14:paraId="6DB30EF4"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Infarkt myokardu</w:t>
            </w:r>
          </w:p>
        </w:tc>
        <w:tc>
          <w:tcPr>
            <w:tcW w:w="1173" w:type="pct"/>
            <w:noWrap/>
            <w:vAlign w:val="center"/>
            <w:hideMark/>
          </w:tcPr>
          <w:p w14:paraId="09518654"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1818 (43,4)</w:t>
            </w:r>
          </w:p>
        </w:tc>
        <w:tc>
          <w:tcPr>
            <w:tcW w:w="936" w:type="pct"/>
            <w:noWrap/>
            <w:vAlign w:val="center"/>
            <w:hideMark/>
          </w:tcPr>
          <w:p w14:paraId="179AF659"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49 (47,1)</w:t>
            </w:r>
          </w:p>
        </w:tc>
      </w:tr>
      <w:tr w:rsidR="00597804" w:rsidRPr="00D4761A" w14:paraId="59CC5336" w14:textId="77777777" w:rsidTr="00CA3812">
        <w:trPr>
          <w:cantSplit/>
        </w:trPr>
        <w:tc>
          <w:tcPr>
            <w:tcW w:w="2891" w:type="pct"/>
            <w:noWrap/>
            <w:vAlign w:val="center"/>
            <w:hideMark/>
          </w:tcPr>
          <w:p w14:paraId="4A0CAFB5"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Mrtvice</w:t>
            </w:r>
          </w:p>
        </w:tc>
        <w:tc>
          <w:tcPr>
            <w:tcW w:w="1173" w:type="pct"/>
            <w:noWrap/>
            <w:vAlign w:val="center"/>
            <w:hideMark/>
          </w:tcPr>
          <w:p w14:paraId="63BD9F19"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355 (8,5)</w:t>
            </w:r>
          </w:p>
        </w:tc>
        <w:tc>
          <w:tcPr>
            <w:tcW w:w="936" w:type="pct"/>
            <w:noWrap/>
            <w:vAlign w:val="center"/>
            <w:hideMark/>
          </w:tcPr>
          <w:p w14:paraId="7C8D74F2"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10 (9,6)</w:t>
            </w:r>
          </w:p>
        </w:tc>
      </w:tr>
    </w:tbl>
    <w:p w14:paraId="0EA11CA8" w14:textId="7F3FA97D" w:rsidR="00DC25BC" w:rsidRPr="00D4761A" w:rsidRDefault="00DC25BC" w:rsidP="00AF5A33">
      <w:pPr>
        <w:rPr>
          <w:rFonts w:cstheme="minorHAnsi"/>
          <w:szCs w:val="24"/>
        </w:rPr>
      </w:pPr>
      <w:r w:rsidRPr="00D4761A">
        <w:rPr>
          <w:rFonts w:cs="Times New Roman"/>
          <w:szCs w:val="24"/>
        </w:rPr>
        <w:t xml:space="preserve">*hodnoty jsou průměrné hodnoty ± standardní odchylky; **kalkulace </w:t>
      </w:r>
      <w:r w:rsidR="00672ED4" w:rsidRPr="00D4761A">
        <w:rPr>
          <w:rFonts w:cs="Times New Roman"/>
          <w:szCs w:val="24"/>
        </w:rPr>
        <w:t>z </w:t>
      </w:r>
      <w:r w:rsidRPr="00D4761A">
        <w:rPr>
          <w:rFonts w:cs="Times New Roman"/>
          <w:szCs w:val="24"/>
        </w:rPr>
        <w:t xml:space="preserve">102 pacientů; ***kalkulace </w:t>
      </w:r>
      <w:r w:rsidR="00672ED4" w:rsidRPr="00D4761A">
        <w:rPr>
          <w:rFonts w:cs="Times New Roman"/>
          <w:szCs w:val="24"/>
        </w:rPr>
        <w:t>z </w:t>
      </w:r>
      <w:r w:rsidRPr="00D4761A">
        <w:rPr>
          <w:rFonts w:cs="Times New Roman"/>
          <w:szCs w:val="24"/>
        </w:rPr>
        <w:t xml:space="preserve">67 pacientů; ****kalkulace </w:t>
      </w:r>
      <w:r w:rsidR="00672ED4" w:rsidRPr="00D4761A">
        <w:rPr>
          <w:rFonts w:cs="Times New Roman"/>
          <w:szCs w:val="24"/>
        </w:rPr>
        <w:t>z </w:t>
      </w:r>
      <w:r w:rsidRPr="00D4761A">
        <w:rPr>
          <w:rFonts w:cs="Times New Roman"/>
          <w:szCs w:val="24"/>
        </w:rPr>
        <w:t>82 pacientů; IQR= the interquartile range; MMR = Moravian Midlands Registry</w:t>
      </w:r>
    </w:p>
    <w:p w14:paraId="615A2814" w14:textId="1E889FA0" w:rsidR="00AF5A33" w:rsidRPr="00D4761A" w:rsidRDefault="00AF5A33" w:rsidP="002F477B">
      <w:pPr>
        <w:pStyle w:val="Nadpis30"/>
      </w:pPr>
      <w:bookmarkStart w:id="54" w:name="_Toc120547457"/>
      <w:r w:rsidRPr="00D4761A">
        <w:lastRenderedPageBreak/>
        <w:t xml:space="preserve">Porovnání kohort A, B ve farmakoterapii </w:t>
      </w:r>
      <w:r w:rsidR="00672ED4" w:rsidRPr="00D4761A">
        <w:t>a </w:t>
      </w:r>
      <w:r w:rsidRPr="00D4761A">
        <w:t>v nefarmakologické terapii</w:t>
      </w:r>
      <w:r w:rsidR="0010221E" w:rsidRPr="00D4761A">
        <w:t xml:space="preserve">, v dávkách vybraných léčiv, nejčastější betablokátory, jejich průměrná dávka v kohortě B </w:t>
      </w:r>
      <w:r w:rsidR="006162F4" w:rsidRPr="00D4761A">
        <w:t>(Tabulky 8–10)</w:t>
      </w:r>
      <w:bookmarkEnd w:id="54"/>
    </w:p>
    <w:p w14:paraId="5AC08452" w14:textId="4EE324F1" w:rsidR="00DC25BC" w:rsidRPr="00D4761A" w:rsidRDefault="00DC25BC" w:rsidP="006208B9">
      <w:pPr>
        <w:keepNext/>
      </w:pPr>
      <w:r w:rsidRPr="00D4761A">
        <w:rPr>
          <w:b/>
        </w:rPr>
        <w:t>T</w:t>
      </w:r>
      <w:r w:rsidR="00CC2471" w:rsidRPr="00D4761A">
        <w:rPr>
          <w:b/>
        </w:rPr>
        <w:t>abulka </w:t>
      </w:r>
      <w:r w:rsidRPr="00D4761A">
        <w:rPr>
          <w:b/>
        </w:rPr>
        <w:t>8</w:t>
      </w:r>
      <w:r w:rsidRPr="00D4761A">
        <w:t xml:space="preserve"> – Porovnání kohort A, B ve farmakoterapii </w:t>
      </w:r>
      <w:r w:rsidR="00672ED4" w:rsidRPr="00D4761A">
        <w:t>a v </w:t>
      </w:r>
      <w:r w:rsidRPr="00D4761A">
        <w:t>nefarmakologické terapii</w:t>
      </w:r>
    </w:p>
    <w:tbl>
      <w:tblPr>
        <w:tblStyle w:val="Mkatabulky"/>
        <w:tblW w:w="5000" w:type="pct"/>
        <w:tblLook w:val="04A0" w:firstRow="1" w:lastRow="0" w:firstColumn="1" w:lastColumn="0" w:noHBand="0" w:noVBand="1"/>
      </w:tblPr>
      <w:tblGrid>
        <w:gridCol w:w="6104"/>
        <w:gridCol w:w="1550"/>
        <w:gridCol w:w="1408"/>
      </w:tblGrid>
      <w:tr w:rsidR="00597804" w:rsidRPr="00D4761A" w14:paraId="02A0DA2C" w14:textId="77777777" w:rsidTr="00CA3812">
        <w:trPr>
          <w:cantSplit/>
        </w:trPr>
        <w:tc>
          <w:tcPr>
            <w:tcW w:w="3368" w:type="pct"/>
            <w:noWrap/>
            <w:vAlign w:val="center"/>
            <w:hideMark/>
          </w:tcPr>
          <w:p w14:paraId="26A11DB3" w14:textId="77777777" w:rsidR="00DC25BC" w:rsidRPr="00D4761A" w:rsidRDefault="00DC25BC" w:rsidP="006208B9">
            <w:pPr>
              <w:keepNext/>
              <w:spacing w:line="240" w:lineRule="auto"/>
              <w:jc w:val="left"/>
              <w:rPr>
                <w:rFonts w:eastAsia="Times New Roman" w:cs="Times New Roman"/>
                <w:b/>
                <w:szCs w:val="24"/>
                <w:lang w:eastAsia="cs-CZ"/>
              </w:rPr>
            </w:pPr>
            <w:r w:rsidRPr="00D4761A">
              <w:rPr>
                <w:rFonts w:eastAsia="Times New Roman" w:cs="Times New Roman"/>
                <w:b/>
                <w:szCs w:val="24"/>
                <w:lang w:eastAsia="cs-CZ"/>
              </w:rPr>
              <w:t>Farmakoterapie – počet pacientů (%)</w:t>
            </w:r>
          </w:p>
        </w:tc>
        <w:tc>
          <w:tcPr>
            <w:tcW w:w="855" w:type="pct"/>
            <w:noWrap/>
            <w:vAlign w:val="center"/>
            <w:hideMark/>
          </w:tcPr>
          <w:p w14:paraId="0DFD22B0" w14:textId="77777777" w:rsidR="00DC25BC" w:rsidRPr="00D4761A" w:rsidRDefault="00DC25BC" w:rsidP="006208B9">
            <w:pPr>
              <w:keepNext/>
              <w:spacing w:line="240" w:lineRule="auto"/>
              <w:jc w:val="center"/>
              <w:rPr>
                <w:rFonts w:eastAsia="Times New Roman" w:cs="Times New Roman"/>
                <w:b/>
                <w:szCs w:val="24"/>
                <w:lang w:eastAsia="cs-CZ"/>
              </w:rPr>
            </w:pPr>
          </w:p>
        </w:tc>
        <w:tc>
          <w:tcPr>
            <w:tcW w:w="777" w:type="pct"/>
            <w:noWrap/>
            <w:vAlign w:val="center"/>
            <w:hideMark/>
          </w:tcPr>
          <w:p w14:paraId="4328786E" w14:textId="77777777" w:rsidR="00DC25BC" w:rsidRPr="00D4761A" w:rsidRDefault="00DC25BC" w:rsidP="006208B9">
            <w:pPr>
              <w:keepNext/>
              <w:spacing w:line="240" w:lineRule="auto"/>
              <w:jc w:val="center"/>
              <w:rPr>
                <w:rFonts w:eastAsia="Times New Roman" w:cs="Times New Roman"/>
                <w:b/>
                <w:szCs w:val="24"/>
                <w:lang w:eastAsia="cs-CZ"/>
              </w:rPr>
            </w:pPr>
          </w:p>
        </w:tc>
      </w:tr>
      <w:tr w:rsidR="00597804" w:rsidRPr="00D4761A" w14:paraId="1859FBAF" w14:textId="77777777" w:rsidTr="00CA3812">
        <w:trPr>
          <w:cantSplit/>
        </w:trPr>
        <w:tc>
          <w:tcPr>
            <w:tcW w:w="3368" w:type="pct"/>
            <w:noWrap/>
            <w:vAlign w:val="center"/>
            <w:hideMark/>
          </w:tcPr>
          <w:p w14:paraId="6FDE8506"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Betablokátory</w:t>
            </w:r>
          </w:p>
        </w:tc>
        <w:tc>
          <w:tcPr>
            <w:tcW w:w="855" w:type="pct"/>
            <w:noWrap/>
            <w:vAlign w:val="center"/>
            <w:hideMark/>
          </w:tcPr>
          <w:p w14:paraId="46A23C7B"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3899 (93,1)</w:t>
            </w:r>
          </w:p>
        </w:tc>
        <w:tc>
          <w:tcPr>
            <w:tcW w:w="777" w:type="pct"/>
            <w:noWrap/>
            <w:vAlign w:val="center"/>
            <w:hideMark/>
          </w:tcPr>
          <w:p w14:paraId="58F70A7B"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100 (96,2)</w:t>
            </w:r>
          </w:p>
        </w:tc>
      </w:tr>
      <w:tr w:rsidR="00597804" w:rsidRPr="00D4761A" w14:paraId="40B95799" w14:textId="77777777" w:rsidTr="00CA3812">
        <w:trPr>
          <w:cantSplit/>
        </w:trPr>
        <w:tc>
          <w:tcPr>
            <w:tcW w:w="3368" w:type="pct"/>
            <w:noWrap/>
            <w:vAlign w:val="center"/>
            <w:hideMark/>
          </w:tcPr>
          <w:p w14:paraId="4F192ABC"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ACE inhibitory</w:t>
            </w:r>
          </w:p>
        </w:tc>
        <w:tc>
          <w:tcPr>
            <w:tcW w:w="855" w:type="pct"/>
            <w:noWrap/>
            <w:vAlign w:val="center"/>
            <w:hideMark/>
          </w:tcPr>
          <w:p w14:paraId="1389570D"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3266 (78,0)</w:t>
            </w:r>
          </w:p>
        </w:tc>
        <w:tc>
          <w:tcPr>
            <w:tcW w:w="777" w:type="pct"/>
            <w:noWrap/>
            <w:vAlign w:val="center"/>
            <w:hideMark/>
          </w:tcPr>
          <w:p w14:paraId="16DD3EA7"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74 (71,2)</w:t>
            </w:r>
          </w:p>
        </w:tc>
      </w:tr>
      <w:tr w:rsidR="00597804" w:rsidRPr="00D4761A" w14:paraId="2A27E267" w14:textId="77777777" w:rsidTr="00CA3812">
        <w:trPr>
          <w:cantSplit/>
        </w:trPr>
        <w:tc>
          <w:tcPr>
            <w:tcW w:w="3368" w:type="pct"/>
            <w:noWrap/>
            <w:vAlign w:val="center"/>
            <w:hideMark/>
          </w:tcPr>
          <w:p w14:paraId="216254A3"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ARB</w:t>
            </w:r>
          </w:p>
        </w:tc>
        <w:tc>
          <w:tcPr>
            <w:tcW w:w="855" w:type="pct"/>
            <w:noWrap/>
            <w:vAlign w:val="center"/>
            <w:hideMark/>
          </w:tcPr>
          <w:p w14:paraId="5455B2B4"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929 (22,2)</w:t>
            </w:r>
          </w:p>
        </w:tc>
        <w:tc>
          <w:tcPr>
            <w:tcW w:w="777" w:type="pct"/>
            <w:noWrap/>
            <w:vAlign w:val="center"/>
            <w:hideMark/>
          </w:tcPr>
          <w:p w14:paraId="76B573C9"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29 (27,9)</w:t>
            </w:r>
          </w:p>
        </w:tc>
      </w:tr>
      <w:tr w:rsidR="00597804" w:rsidRPr="00D4761A" w14:paraId="021D4A6B" w14:textId="77777777" w:rsidTr="00CA3812">
        <w:trPr>
          <w:cantSplit/>
        </w:trPr>
        <w:tc>
          <w:tcPr>
            <w:tcW w:w="3368" w:type="pct"/>
            <w:noWrap/>
            <w:vAlign w:val="center"/>
            <w:hideMark/>
          </w:tcPr>
          <w:p w14:paraId="572550F9"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Antagonisté mineralokortikoidních receptorů (MRA)</w:t>
            </w:r>
          </w:p>
        </w:tc>
        <w:tc>
          <w:tcPr>
            <w:tcW w:w="855" w:type="pct"/>
            <w:noWrap/>
            <w:vAlign w:val="center"/>
            <w:hideMark/>
          </w:tcPr>
          <w:p w14:paraId="4DA04C34"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2271 (54,2)</w:t>
            </w:r>
          </w:p>
        </w:tc>
        <w:tc>
          <w:tcPr>
            <w:tcW w:w="777" w:type="pct"/>
            <w:noWrap/>
            <w:vAlign w:val="center"/>
            <w:hideMark/>
          </w:tcPr>
          <w:p w14:paraId="19984860"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95 (91.4)</w:t>
            </w:r>
          </w:p>
        </w:tc>
      </w:tr>
      <w:tr w:rsidR="00597804" w:rsidRPr="00D4761A" w14:paraId="352456E1" w14:textId="77777777" w:rsidTr="00CA3812">
        <w:trPr>
          <w:cantSplit/>
        </w:trPr>
        <w:tc>
          <w:tcPr>
            <w:tcW w:w="3368" w:type="pct"/>
            <w:noWrap/>
            <w:vAlign w:val="center"/>
            <w:hideMark/>
          </w:tcPr>
          <w:p w14:paraId="38BC9F8C"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Diuretika</w:t>
            </w:r>
          </w:p>
        </w:tc>
        <w:tc>
          <w:tcPr>
            <w:tcW w:w="855" w:type="pct"/>
            <w:noWrap/>
            <w:vAlign w:val="center"/>
            <w:hideMark/>
          </w:tcPr>
          <w:p w14:paraId="37418BF0"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3363 (80.3)</w:t>
            </w:r>
          </w:p>
        </w:tc>
        <w:tc>
          <w:tcPr>
            <w:tcW w:w="777" w:type="pct"/>
            <w:noWrap/>
            <w:vAlign w:val="center"/>
            <w:hideMark/>
          </w:tcPr>
          <w:p w14:paraId="68A24B01"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82 (78,9)</w:t>
            </w:r>
          </w:p>
        </w:tc>
      </w:tr>
      <w:tr w:rsidR="00597804" w:rsidRPr="00D4761A" w14:paraId="2763ACC1" w14:textId="77777777" w:rsidTr="00CA3812">
        <w:trPr>
          <w:cantSplit/>
        </w:trPr>
        <w:tc>
          <w:tcPr>
            <w:tcW w:w="3368" w:type="pct"/>
            <w:noWrap/>
            <w:vAlign w:val="center"/>
            <w:hideMark/>
          </w:tcPr>
          <w:p w14:paraId="4E25D6B2"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Digoxin</w:t>
            </w:r>
          </w:p>
        </w:tc>
        <w:tc>
          <w:tcPr>
            <w:tcW w:w="855" w:type="pct"/>
            <w:noWrap/>
            <w:vAlign w:val="center"/>
            <w:hideMark/>
          </w:tcPr>
          <w:p w14:paraId="1CAA4627"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1223 (29,2)</w:t>
            </w:r>
          </w:p>
        </w:tc>
        <w:tc>
          <w:tcPr>
            <w:tcW w:w="777" w:type="pct"/>
            <w:noWrap/>
            <w:vAlign w:val="center"/>
            <w:hideMark/>
          </w:tcPr>
          <w:p w14:paraId="4B5217B1"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14 (13,5)</w:t>
            </w:r>
          </w:p>
        </w:tc>
      </w:tr>
      <w:tr w:rsidR="00597804" w:rsidRPr="00D4761A" w14:paraId="46EA0C3E" w14:textId="77777777" w:rsidTr="00CA3812">
        <w:trPr>
          <w:cantSplit/>
        </w:trPr>
        <w:tc>
          <w:tcPr>
            <w:tcW w:w="3368" w:type="pct"/>
            <w:noWrap/>
            <w:vAlign w:val="center"/>
            <w:hideMark/>
          </w:tcPr>
          <w:p w14:paraId="35E73E95" w14:textId="77777777" w:rsidR="00DC25BC" w:rsidRPr="00D4761A" w:rsidRDefault="00DC25BC" w:rsidP="006208B9">
            <w:pPr>
              <w:keepNext/>
              <w:spacing w:line="240" w:lineRule="auto"/>
              <w:jc w:val="left"/>
              <w:rPr>
                <w:rFonts w:eastAsia="Times New Roman" w:cs="Times New Roman"/>
                <w:b/>
                <w:szCs w:val="24"/>
                <w:lang w:eastAsia="cs-CZ"/>
              </w:rPr>
            </w:pPr>
            <w:r w:rsidRPr="00D4761A">
              <w:rPr>
                <w:rFonts w:eastAsia="Times New Roman" w:cs="Times New Roman"/>
                <w:b/>
                <w:szCs w:val="24"/>
                <w:lang w:eastAsia="cs-CZ"/>
              </w:rPr>
              <w:t>Nefarmakologická terapie</w:t>
            </w:r>
          </w:p>
        </w:tc>
        <w:tc>
          <w:tcPr>
            <w:tcW w:w="855" w:type="pct"/>
            <w:noWrap/>
            <w:vAlign w:val="center"/>
            <w:hideMark/>
          </w:tcPr>
          <w:p w14:paraId="0358A523" w14:textId="77777777" w:rsidR="00DC25BC" w:rsidRPr="00D4761A" w:rsidRDefault="00DC25BC" w:rsidP="006208B9">
            <w:pPr>
              <w:keepNext/>
              <w:spacing w:line="240" w:lineRule="auto"/>
              <w:jc w:val="center"/>
              <w:rPr>
                <w:rFonts w:eastAsia="Times New Roman" w:cs="Times New Roman"/>
                <w:b/>
                <w:szCs w:val="24"/>
                <w:lang w:eastAsia="cs-CZ"/>
              </w:rPr>
            </w:pPr>
          </w:p>
        </w:tc>
        <w:tc>
          <w:tcPr>
            <w:tcW w:w="777" w:type="pct"/>
            <w:noWrap/>
            <w:vAlign w:val="center"/>
            <w:hideMark/>
          </w:tcPr>
          <w:p w14:paraId="7AC3DC5E" w14:textId="77777777" w:rsidR="00DC25BC" w:rsidRPr="00D4761A" w:rsidRDefault="00DC25BC" w:rsidP="006208B9">
            <w:pPr>
              <w:keepNext/>
              <w:spacing w:line="240" w:lineRule="auto"/>
              <w:jc w:val="center"/>
              <w:rPr>
                <w:rFonts w:eastAsia="Times New Roman" w:cs="Times New Roman"/>
                <w:b/>
                <w:szCs w:val="24"/>
                <w:lang w:eastAsia="cs-CZ"/>
              </w:rPr>
            </w:pPr>
          </w:p>
        </w:tc>
      </w:tr>
      <w:tr w:rsidR="00597804" w:rsidRPr="00D4761A" w14:paraId="02CDCD17" w14:textId="77777777" w:rsidTr="00CA3812">
        <w:trPr>
          <w:cantSplit/>
        </w:trPr>
        <w:tc>
          <w:tcPr>
            <w:tcW w:w="3368" w:type="pct"/>
            <w:noWrap/>
            <w:vAlign w:val="center"/>
            <w:hideMark/>
          </w:tcPr>
          <w:p w14:paraId="1BE47760" w14:textId="17CC6F6A"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Implantabilní kardioverter</w:t>
            </w:r>
            <w:r w:rsidR="006208B9" w:rsidRPr="00D4761A">
              <w:rPr>
                <w:rFonts w:eastAsia="Times New Roman" w:cs="Times New Roman"/>
                <w:szCs w:val="24"/>
                <w:lang w:eastAsia="cs-CZ"/>
              </w:rPr>
              <w:t>-</w:t>
            </w:r>
            <w:r w:rsidRPr="00D4761A">
              <w:rPr>
                <w:rFonts w:eastAsia="Times New Roman" w:cs="Times New Roman"/>
                <w:szCs w:val="24"/>
                <w:lang w:eastAsia="cs-CZ"/>
              </w:rPr>
              <w:t>defibrilátor (ICD)</w:t>
            </w:r>
          </w:p>
        </w:tc>
        <w:tc>
          <w:tcPr>
            <w:tcW w:w="855" w:type="pct"/>
            <w:noWrap/>
            <w:vAlign w:val="center"/>
            <w:hideMark/>
          </w:tcPr>
          <w:p w14:paraId="26C450FA"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623 (14,9)</w:t>
            </w:r>
          </w:p>
        </w:tc>
        <w:tc>
          <w:tcPr>
            <w:tcW w:w="777" w:type="pct"/>
            <w:noWrap/>
            <w:vAlign w:val="center"/>
            <w:hideMark/>
          </w:tcPr>
          <w:p w14:paraId="54635C03"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63 (60,6)</w:t>
            </w:r>
          </w:p>
        </w:tc>
      </w:tr>
      <w:tr w:rsidR="00597804" w:rsidRPr="00D4761A" w14:paraId="0EE4D190" w14:textId="77777777" w:rsidTr="00CA3812">
        <w:trPr>
          <w:cantSplit/>
        </w:trPr>
        <w:tc>
          <w:tcPr>
            <w:tcW w:w="3368" w:type="pct"/>
            <w:noWrap/>
            <w:vAlign w:val="center"/>
            <w:hideMark/>
          </w:tcPr>
          <w:p w14:paraId="2C419158" w14:textId="77777777" w:rsidR="00DC25BC" w:rsidRPr="00D4761A" w:rsidRDefault="00DC25BC" w:rsidP="00CA3812">
            <w:pPr>
              <w:spacing w:line="240" w:lineRule="auto"/>
              <w:jc w:val="left"/>
              <w:rPr>
                <w:rFonts w:eastAsia="Times New Roman" w:cs="Times New Roman"/>
                <w:szCs w:val="24"/>
                <w:lang w:eastAsia="cs-CZ"/>
              </w:rPr>
            </w:pPr>
            <w:r w:rsidRPr="00D4761A">
              <w:rPr>
                <w:rFonts w:eastAsia="Times New Roman" w:cs="Times New Roman"/>
                <w:szCs w:val="24"/>
                <w:lang w:eastAsia="cs-CZ"/>
              </w:rPr>
              <w:t>Resynchronizační terapie (CRT)</w:t>
            </w:r>
          </w:p>
        </w:tc>
        <w:tc>
          <w:tcPr>
            <w:tcW w:w="855" w:type="pct"/>
            <w:noWrap/>
            <w:vAlign w:val="center"/>
            <w:hideMark/>
          </w:tcPr>
          <w:p w14:paraId="6A71BA54" w14:textId="77777777" w:rsidR="00DC25BC" w:rsidRPr="00D4761A" w:rsidRDefault="00DC25BC" w:rsidP="00CA3812">
            <w:pPr>
              <w:spacing w:line="240" w:lineRule="auto"/>
              <w:jc w:val="center"/>
              <w:rPr>
                <w:rFonts w:eastAsia="Times New Roman" w:cs="Times New Roman"/>
                <w:szCs w:val="24"/>
                <w:lang w:eastAsia="cs-CZ"/>
              </w:rPr>
            </w:pPr>
            <w:r w:rsidRPr="00D4761A">
              <w:rPr>
                <w:rFonts w:eastAsia="Times New Roman" w:cs="Times New Roman"/>
                <w:szCs w:val="24"/>
                <w:lang w:eastAsia="cs-CZ"/>
              </w:rPr>
              <w:t>292 (7,0)</w:t>
            </w:r>
          </w:p>
        </w:tc>
        <w:tc>
          <w:tcPr>
            <w:tcW w:w="777" w:type="pct"/>
            <w:noWrap/>
            <w:vAlign w:val="center"/>
            <w:hideMark/>
          </w:tcPr>
          <w:p w14:paraId="280625CC" w14:textId="77777777" w:rsidR="00DC25BC" w:rsidRPr="00D4761A" w:rsidRDefault="00DC25BC" w:rsidP="00CA3812">
            <w:pPr>
              <w:spacing w:line="240" w:lineRule="auto"/>
              <w:jc w:val="center"/>
              <w:rPr>
                <w:rFonts w:eastAsia="Times New Roman" w:cs="Times New Roman"/>
                <w:szCs w:val="24"/>
                <w:lang w:eastAsia="cs-CZ"/>
              </w:rPr>
            </w:pPr>
            <w:r w:rsidRPr="00D4761A">
              <w:rPr>
                <w:rFonts w:eastAsia="Times New Roman" w:cs="Times New Roman"/>
                <w:szCs w:val="24"/>
                <w:lang w:eastAsia="cs-CZ"/>
              </w:rPr>
              <w:t>27 (25,9)</w:t>
            </w:r>
          </w:p>
        </w:tc>
      </w:tr>
    </w:tbl>
    <w:p w14:paraId="7B483B9A" w14:textId="77777777" w:rsidR="00DC25BC" w:rsidRPr="00D4761A" w:rsidRDefault="00DC25BC" w:rsidP="00597804"/>
    <w:p w14:paraId="1D238F4A" w14:textId="3E07D22C" w:rsidR="00DC25BC" w:rsidRPr="00D4761A" w:rsidRDefault="00DC25BC" w:rsidP="006208B9">
      <w:pPr>
        <w:keepNext/>
      </w:pPr>
      <w:r w:rsidRPr="00D4761A">
        <w:rPr>
          <w:b/>
        </w:rPr>
        <w:t>T</w:t>
      </w:r>
      <w:r w:rsidR="00CC2471" w:rsidRPr="00D4761A">
        <w:rPr>
          <w:b/>
        </w:rPr>
        <w:t>abulka </w:t>
      </w:r>
      <w:r w:rsidRPr="00D4761A">
        <w:rPr>
          <w:b/>
        </w:rPr>
        <w:t>9</w:t>
      </w:r>
      <w:r w:rsidRPr="00D4761A">
        <w:t xml:space="preserve"> – Porovnání kohort A, B </w:t>
      </w:r>
      <w:r w:rsidR="00672ED4" w:rsidRPr="00D4761A">
        <w:t>v </w:t>
      </w:r>
      <w:r w:rsidRPr="00D4761A">
        <w:t>dávkách vybraných léčiv</w:t>
      </w:r>
    </w:p>
    <w:tbl>
      <w:tblPr>
        <w:tblStyle w:val="Mkatabulky"/>
        <w:tblW w:w="5000" w:type="pct"/>
        <w:tblLayout w:type="fixed"/>
        <w:tblLook w:val="04A0" w:firstRow="1" w:lastRow="0" w:firstColumn="1" w:lastColumn="0" w:noHBand="0" w:noVBand="1"/>
      </w:tblPr>
      <w:tblGrid>
        <w:gridCol w:w="1552"/>
        <w:gridCol w:w="1878"/>
        <w:gridCol w:w="1878"/>
        <w:gridCol w:w="1878"/>
        <w:gridCol w:w="1876"/>
      </w:tblGrid>
      <w:tr w:rsidR="00597804" w:rsidRPr="00D4761A" w14:paraId="4E7575DE" w14:textId="77777777" w:rsidTr="00CA3812">
        <w:trPr>
          <w:cantSplit/>
        </w:trPr>
        <w:tc>
          <w:tcPr>
            <w:tcW w:w="5000" w:type="pct"/>
            <w:gridSpan w:val="5"/>
            <w:noWrap/>
            <w:vAlign w:val="center"/>
            <w:hideMark/>
          </w:tcPr>
          <w:p w14:paraId="783CC599" w14:textId="5DCE78E4" w:rsidR="00DC25BC" w:rsidRPr="00D4761A" w:rsidRDefault="00DC25BC" w:rsidP="006208B9">
            <w:pPr>
              <w:keepNext/>
              <w:spacing w:line="240" w:lineRule="auto"/>
              <w:jc w:val="left"/>
              <w:rPr>
                <w:rFonts w:eastAsia="Times New Roman" w:cs="Times New Roman"/>
                <w:b/>
                <w:bCs/>
                <w:szCs w:val="24"/>
                <w:lang w:eastAsia="cs-CZ"/>
              </w:rPr>
            </w:pPr>
            <w:r w:rsidRPr="00D4761A">
              <w:rPr>
                <w:rFonts w:eastAsia="Times New Roman" w:cs="Times New Roman"/>
                <w:b/>
                <w:bCs/>
                <w:szCs w:val="24"/>
                <w:lang w:eastAsia="cs-CZ"/>
              </w:rPr>
              <w:t xml:space="preserve">Nejčastější používané ACE inhibitory – skríningová vizita Paradigm-HF/ před nasazením ARNI </w:t>
            </w:r>
            <w:r w:rsidR="00672ED4" w:rsidRPr="00D4761A">
              <w:rPr>
                <w:rFonts w:eastAsia="Times New Roman" w:cs="Times New Roman"/>
                <w:b/>
                <w:bCs/>
                <w:szCs w:val="24"/>
                <w:lang w:eastAsia="cs-CZ"/>
              </w:rPr>
              <w:t>v </w:t>
            </w:r>
            <w:r w:rsidRPr="00D4761A">
              <w:rPr>
                <w:rFonts w:eastAsia="Times New Roman" w:cs="Times New Roman"/>
                <w:b/>
                <w:bCs/>
                <w:szCs w:val="24"/>
                <w:lang w:eastAsia="cs-CZ"/>
              </w:rPr>
              <w:t>MMR</w:t>
            </w:r>
          </w:p>
        </w:tc>
      </w:tr>
      <w:tr w:rsidR="00597804" w:rsidRPr="00D4761A" w14:paraId="751F92F5" w14:textId="77777777" w:rsidTr="00CA3812">
        <w:trPr>
          <w:cantSplit/>
        </w:trPr>
        <w:tc>
          <w:tcPr>
            <w:tcW w:w="857" w:type="pct"/>
            <w:noWrap/>
            <w:vAlign w:val="center"/>
            <w:hideMark/>
          </w:tcPr>
          <w:p w14:paraId="0B37A616" w14:textId="77777777" w:rsidR="00DC25BC" w:rsidRPr="00D4761A" w:rsidRDefault="00DC25BC" w:rsidP="006208B9">
            <w:pPr>
              <w:keepNext/>
              <w:spacing w:line="240" w:lineRule="auto"/>
              <w:jc w:val="left"/>
              <w:rPr>
                <w:rFonts w:eastAsia="Times New Roman" w:cs="Times New Roman"/>
                <w:b/>
                <w:bCs/>
                <w:szCs w:val="24"/>
                <w:lang w:eastAsia="cs-CZ"/>
              </w:rPr>
            </w:pPr>
          </w:p>
        </w:tc>
        <w:tc>
          <w:tcPr>
            <w:tcW w:w="2072" w:type="pct"/>
            <w:gridSpan w:val="2"/>
            <w:noWrap/>
            <w:vAlign w:val="center"/>
            <w:hideMark/>
          </w:tcPr>
          <w:p w14:paraId="70EB44B3" w14:textId="77777777" w:rsidR="00DC25BC" w:rsidRPr="00D4761A" w:rsidRDefault="00DC25BC" w:rsidP="006208B9">
            <w:pPr>
              <w:keepNext/>
              <w:spacing w:line="240" w:lineRule="auto"/>
              <w:jc w:val="center"/>
              <w:rPr>
                <w:rFonts w:eastAsia="Times New Roman" w:cs="Times New Roman"/>
                <w:b/>
                <w:szCs w:val="24"/>
                <w:lang w:eastAsia="cs-CZ"/>
              </w:rPr>
            </w:pPr>
            <w:r w:rsidRPr="00D4761A">
              <w:rPr>
                <w:rFonts w:eastAsia="Times New Roman" w:cs="Times New Roman"/>
                <w:b/>
                <w:szCs w:val="24"/>
                <w:lang w:eastAsia="cs-CZ"/>
              </w:rPr>
              <w:t>Paradigm-HF Trial</w:t>
            </w:r>
          </w:p>
        </w:tc>
        <w:tc>
          <w:tcPr>
            <w:tcW w:w="2070" w:type="pct"/>
            <w:gridSpan w:val="2"/>
            <w:noWrap/>
            <w:vAlign w:val="center"/>
            <w:hideMark/>
          </w:tcPr>
          <w:p w14:paraId="0CB77566" w14:textId="77777777" w:rsidR="00DC25BC" w:rsidRPr="00D4761A" w:rsidRDefault="00DC25BC" w:rsidP="006208B9">
            <w:pPr>
              <w:keepNext/>
              <w:spacing w:line="240" w:lineRule="auto"/>
              <w:jc w:val="center"/>
              <w:rPr>
                <w:rFonts w:eastAsia="Times New Roman" w:cs="Times New Roman"/>
                <w:b/>
                <w:szCs w:val="24"/>
                <w:lang w:eastAsia="cs-CZ"/>
              </w:rPr>
            </w:pPr>
            <w:r w:rsidRPr="00D4761A">
              <w:rPr>
                <w:rFonts w:eastAsia="Times New Roman" w:cs="Times New Roman"/>
                <w:b/>
                <w:szCs w:val="24"/>
                <w:lang w:eastAsia="cs-CZ"/>
              </w:rPr>
              <w:t>MMR</w:t>
            </w:r>
          </w:p>
        </w:tc>
      </w:tr>
      <w:tr w:rsidR="00597804" w:rsidRPr="00D4761A" w14:paraId="4ABB76B4" w14:textId="77777777" w:rsidTr="00CA3812">
        <w:trPr>
          <w:cantSplit/>
        </w:trPr>
        <w:tc>
          <w:tcPr>
            <w:tcW w:w="857" w:type="pct"/>
            <w:noWrap/>
            <w:vAlign w:val="center"/>
            <w:hideMark/>
          </w:tcPr>
          <w:p w14:paraId="5755B717" w14:textId="77777777" w:rsidR="00DC25BC" w:rsidRPr="00D4761A" w:rsidRDefault="00DC25BC" w:rsidP="006208B9">
            <w:pPr>
              <w:keepNext/>
              <w:spacing w:line="240" w:lineRule="auto"/>
              <w:jc w:val="left"/>
              <w:rPr>
                <w:rFonts w:eastAsia="Times New Roman" w:cs="Times New Roman"/>
                <w:b/>
                <w:szCs w:val="24"/>
                <w:lang w:eastAsia="cs-CZ"/>
              </w:rPr>
            </w:pPr>
          </w:p>
        </w:tc>
        <w:tc>
          <w:tcPr>
            <w:tcW w:w="1036" w:type="pct"/>
            <w:noWrap/>
            <w:vAlign w:val="center"/>
            <w:hideMark/>
          </w:tcPr>
          <w:p w14:paraId="0E5DD163" w14:textId="77777777" w:rsidR="00DC25BC" w:rsidRPr="00D4761A" w:rsidRDefault="00DC25BC" w:rsidP="006208B9">
            <w:pPr>
              <w:keepNext/>
              <w:spacing w:line="240" w:lineRule="auto"/>
              <w:jc w:val="center"/>
              <w:rPr>
                <w:rFonts w:eastAsia="Times New Roman" w:cs="Times New Roman"/>
                <w:b/>
                <w:szCs w:val="24"/>
                <w:lang w:eastAsia="cs-CZ"/>
              </w:rPr>
            </w:pPr>
            <w:r w:rsidRPr="00D4761A">
              <w:rPr>
                <w:rFonts w:eastAsia="Times New Roman" w:cs="Times New Roman"/>
                <w:b/>
                <w:szCs w:val="24"/>
                <w:lang w:eastAsia="cs-CZ"/>
              </w:rPr>
              <w:t>počet pacientů (%)</w:t>
            </w:r>
          </w:p>
        </w:tc>
        <w:tc>
          <w:tcPr>
            <w:tcW w:w="1036" w:type="pct"/>
            <w:noWrap/>
            <w:vAlign w:val="center"/>
            <w:hideMark/>
          </w:tcPr>
          <w:p w14:paraId="4036893F" w14:textId="77777777" w:rsidR="00DC25BC" w:rsidRPr="00D4761A" w:rsidRDefault="00DC25BC" w:rsidP="006208B9">
            <w:pPr>
              <w:keepNext/>
              <w:spacing w:line="240" w:lineRule="auto"/>
              <w:jc w:val="center"/>
              <w:rPr>
                <w:rFonts w:eastAsia="Times New Roman" w:cs="Times New Roman"/>
                <w:b/>
                <w:szCs w:val="24"/>
                <w:lang w:eastAsia="cs-CZ"/>
              </w:rPr>
            </w:pPr>
            <w:r w:rsidRPr="00D4761A">
              <w:rPr>
                <w:rFonts w:eastAsia="Times New Roman" w:cs="Times New Roman"/>
                <w:b/>
                <w:szCs w:val="24"/>
                <w:lang w:eastAsia="cs-CZ"/>
              </w:rPr>
              <w:t>průměr (±SD) denní dávka (mg)</w:t>
            </w:r>
          </w:p>
        </w:tc>
        <w:tc>
          <w:tcPr>
            <w:tcW w:w="1036" w:type="pct"/>
            <w:noWrap/>
            <w:vAlign w:val="center"/>
            <w:hideMark/>
          </w:tcPr>
          <w:p w14:paraId="073C1E44" w14:textId="77777777" w:rsidR="00DC25BC" w:rsidRPr="00D4761A" w:rsidRDefault="00DC25BC" w:rsidP="006208B9">
            <w:pPr>
              <w:keepNext/>
              <w:spacing w:line="240" w:lineRule="auto"/>
              <w:jc w:val="center"/>
              <w:rPr>
                <w:rFonts w:eastAsia="Times New Roman" w:cs="Times New Roman"/>
                <w:b/>
                <w:szCs w:val="24"/>
                <w:lang w:eastAsia="cs-CZ"/>
              </w:rPr>
            </w:pPr>
            <w:r w:rsidRPr="00D4761A">
              <w:rPr>
                <w:rFonts w:eastAsia="Times New Roman" w:cs="Times New Roman"/>
                <w:b/>
                <w:szCs w:val="24"/>
                <w:lang w:eastAsia="cs-CZ"/>
              </w:rPr>
              <w:t>počet pacientů (%)</w:t>
            </w:r>
          </w:p>
        </w:tc>
        <w:tc>
          <w:tcPr>
            <w:tcW w:w="1035" w:type="pct"/>
            <w:noWrap/>
            <w:vAlign w:val="center"/>
            <w:hideMark/>
          </w:tcPr>
          <w:p w14:paraId="2861CB28" w14:textId="77777777" w:rsidR="00DC25BC" w:rsidRPr="00D4761A" w:rsidRDefault="00DC25BC" w:rsidP="006208B9">
            <w:pPr>
              <w:keepNext/>
              <w:spacing w:line="240" w:lineRule="auto"/>
              <w:jc w:val="center"/>
              <w:rPr>
                <w:rFonts w:eastAsia="Times New Roman" w:cs="Times New Roman"/>
                <w:b/>
                <w:szCs w:val="24"/>
                <w:lang w:eastAsia="cs-CZ"/>
              </w:rPr>
            </w:pPr>
            <w:r w:rsidRPr="00D4761A">
              <w:rPr>
                <w:rFonts w:eastAsia="Times New Roman" w:cs="Times New Roman"/>
                <w:b/>
                <w:szCs w:val="24"/>
                <w:lang w:eastAsia="cs-CZ"/>
              </w:rPr>
              <w:t>průměr (±SD) denní dávka (mg)</w:t>
            </w:r>
          </w:p>
        </w:tc>
      </w:tr>
      <w:tr w:rsidR="00597804" w:rsidRPr="00D4761A" w14:paraId="1C289D0E" w14:textId="77777777" w:rsidTr="00CA3812">
        <w:trPr>
          <w:cantSplit/>
        </w:trPr>
        <w:tc>
          <w:tcPr>
            <w:tcW w:w="857" w:type="pct"/>
            <w:noWrap/>
            <w:vAlign w:val="center"/>
            <w:hideMark/>
          </w:tcPr>
          <w:p w14:paraId="14C5A193"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Enalapril</w:t>
            </w:r>
          </w:p>
        </w:tc>
        <w:tc>
          <w:tcPr>
            <w:tcW w:w="1036" w:type="pct"/>
            <w:noWrap/>
            <w:vAlign w:val="center"/>
            <w:hideMark/>
          </w:tcPr>
          <w:p w14:paraId="7CD43122"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2185 (26,0)</w:t>
            </w:r>
          </w:p>
        </w:tc>
        <w:tc>
          <w:tcPr>
            <w:tcW w:w="1036" w:type="pct"/>
            <w:noWrap/>
            <w:vAlign w:val="center"/>
            <w:hideMark/>
          </w:tcPr>
          <w:p w14:paraId="736DD00C"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16,4 ± 8,3</w:t>
            </w:r>
          </w:p>
        </w:tc>
        <w:tc>
          <w:tcPr>
            <w:tcW w:w="1036" w:type="pct"/>
            <w:noWrap/>
            <w:vAlign w:val="center"/>
            <w:hideMark/>
          </w:tcPr>
          <w:p w14:paraId="56D34F60"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N/A</w:t>
            </w:r>
          </w:p>
        </w:tc>
        <w:tc>
          <w:tcPr>
            <w:tcW w:w="1035" w:type="pct"/>
            <w:noWrap/>
            <w:vAlign w:val="center"/>
            <w:hideMark/>
          </w:tcPr>
          <w:p w14:paraId="0398E8D3"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N/A</w:t>
            </w:r>
          </w:p>
        </w:tc>
      </w:tr>
      <w:tr w:rsidR="00597804" w:rsidRPr="00D4761A" w14:paraId="08532B7F" w14:textId="77777777" w:rsidTr="00CA3812">
        <w:trPr>
          <w:cantSplit/>
        </w:trPr>
        <w:tc>
          <w:tcPr>
            <w:tcW w:w="857" w:type="pct"/>
            <w:noWrap/>
            <w:vAlign w:val="center"/>
            <w:hideMark/>
          </w:tcPr>
          <w:p w14:paraId="5D1DD09D"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Ramipril</w:t>
            </w:r>
          </w:p>
        </w:tc>
        <w:tc>
          <w:tcPr>
            <w:tcW w:w="1036" w:type="pct"/>
            <w:noWrap/>
            <w:vAlign w:val="center"/>
            <w:hideMark/>
          </w:tcPr>
          <w:p w14:paraId="5BD90F85"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1871 (22,3)</w:t>
            </w:r>
          </w:p>
        </w:tc>
        <w:tc>
          <w:tcPr>
            <w:tcW w:w="1036" w:type="pct"/>
            <w:noWrap/>
            <w:vAlign w:val="center"/>
            <w:hideMark/>
          </w:tcPr>
          <w:p w14:paraId="31353E27"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7,0 ± 3,1</w:t>
            </w:r>
          </w:p>
        </w:tc>
        <w:tc>
          <w:tcPr>
            <w:tcW w:w="1036" w:type="pct"/>
            <w:noWrap/>
            <w:vAlign w:val="center"/>
            <w:hideMark/>
          </w:tcPr>
          <w:p w14:paraId="629E3A07"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42 (40,4)</w:t>
            </w:r>
          </w:p>
        </w:tc>
        <w:tc>
          <w:tcPr>
            <w:tcW w:w="1035" w:type="pct"/>
            <w:noWrap/>
            <w:vAlign w:val="center"/>
            <w:hideMark/>
          </w:tcPr>
          <w:p w14:paraId="6B2512E7"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4,8 ± 2,9</w:t>
            </w:r>
          </w:p>
        </w:tc>
      </w:tr>
      <w:tr w:rsidR="00597804" w:rsidRPr="00D4761A" w14:paraId="41E48AA1" w14:textId="77777777" w:rsidTr="00CA3812">
        <w:trPr>
          <w:cantSplit/>
        </w:trPr>
        <w:tc>
          <w:tcPr>
            <w:tcW w:w="857" w:type="pct"/>
            <w:noWrap/>
            <w:vAlign w:val="center"/>
            <w:hideMark/>
          </w:tcPr>
          <w:p w14:paraId="79B8591C"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Perindopril</w:t>
            </w:r>
          </w:p>
        </w:tc>
        <w:tc>
          <w:tcPr>
            <w:tcW w:w="1036" w:type="pct"/>
            <w:noWrap/>
            <w:vAlign w:val="center"/>
            <w:hideMark/>
          </w:tcPr>
          <w:p w14:paraId="303F8D4B"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1118 (13,3)</w:t>
            </w:r>
          </w:p>
        </w:tc>
        <w:tc>
          <w:tcPr>
            <w:tcW w:w="1036" w:type="pct"/>
            <w:noWrap/>
            <w:vAlign w:val="center"/>
            <w:hideMark/>
          </w:tcPr>
          <w:p w14:paraId="111C557C"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5,9 ± 2,7</w:t>
            </w:r>
          </w:p>
        </w:tc>
        <w:tc>
          <w:tcPr>
            <w:tcW w:w="1036" w:type="pct"/>
            <w:noWrap/>
            <w:vAlign w:val="center"/>
            <w:hideMark/>
          </w:tcPr>
          <w:p w14:paraId="0708245B"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28 (26,9)</w:t>
            </w:r>
          </w:p>
        </w:tc>
        <w:tc>
          <w:tcPr>
            <w:tcW w:w="1035" w:type="pct"/>
            <w:noWrap/>
            <w:vAlign w:val="center"/>
            <w:hideMark/>
          </w:tcPr>
          <w:p w14:paraId="5E677446"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6,3 ± 3,1</w:t>
            </w:r>
          </w:p>
        </w:tc>
      </w:tr>
      <w:tr w:rsidR="00597804" w:rsidRPr="00D4761A" w14:paraId="5C5AA20D" w14:textId="77777777" w:rsidTr="00CA3812">
        <w:trPr>
          <w:cantSplit/>
        </w:trPr>
        <w:tc>
          <w:tcPr>
            <w:tcW w:w="857" w:type="pct"/>
            <w:noWrap/>
            <w:vAlign w:val="center"/>
            <w:hideMark/>
          </w:tcPr>
          <w:p w14:paraId="77A71D39"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Lisinopril</w:t>
            </w:r>
          </w:p>
        </w:tc>
        <w:tc>
          <w:tcPr>
            <w:tcW w:w="1036" w:type="pct"/>
            <w:noWrap/>
            <w:vAlign w:val="center"/>
            <w:hideMark/>
          </w:tcPr>
          <w:p w14:paraId="611912A2"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576 (6,9)</w:t>
            </w:r>
          </w:p>
        </w:tc>
        <w:tc>
          <w:tcPr>
            <w:tcW w:w="1036" w:type="pct"/>
            <w:noWrap/>
            <w:vAlign w:val="center"/>
            <w:hideMark/>
          </w:tcPr>
          <w:p w14:paraId="19ECC5AB"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18,2 ± 12,1</w:t>
            </w:r>
          </w:p>
        </w:tc>
        <w:tc>
          <w:tcPr>
            <w:tcW w:w="1036" w:type="pct"/>
            <w:noWrap/>
            <w:vAlign w:val="center"/>
            <w:hideMark/>
          </w:tcPr>
          <w:p w14:paraId="2B67EB6B"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N/A</w:t>
            </w:r>
          </w:p>
        </w:tc>
        <w:tc>
          <w:tcPr>
            <w:tcW w:w="1035" w:type="pct"/>
            <w:noWrap/>
            <w:vAlign w:val="center"/>
            <w:hideMark/>
          </w:tcPr>
          <w:p w14:paraId="4CBF277C"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N/A</w:t>
            </w:r>
          </w:p>
        </w:tc>
      </w:tr>
      <w:tr w:rsidR="00597804" w:rsidRPr="00D4761A" w14:paraId="6FEC0D2F" w14:textId="77777777" w:rsidTr="00CA3812">
        <w:trPr>
          <w:cantSplit/>
        </w:trPr>
        <w:tc>
          <w:tcPr>
            <w:tcW w:w="5000" w:type="pct"/>
            <w:gridSpan w:val="5"/>
            <w:noWrap/>
            <w:vAlign w:val="center"/>
            <w:hideMark/>
          </w:tcPr>
          <w:p w14:paraId="1C07BD0B" w14:textId="47F04CD5" w:rsidR="00DC25BC" w:rsidRPr="00D4761A" w:rsidRDefault="00DC25BC" w:rsidP="006208B9">
            <w:pPr>
              <w:keepNext/>
              <w:spacing w:line="240" w:lineRule="auto"/>
              <w:jc w:val="left"/>
              <w:rPr>
                <w:rFonts w:eastAsia="Times New Roman" w:cs="Times New Roman"/>
                <w:b/>
                <w:bCs/>
                <w:szCs w:val="24"/>
                <w:lang w:eastAsia="cs-CZ"/>
              </w:rPr>
            </w:pPr>
            <w:r w:rsidRPr="00D4761A">
              <w:rPr>
                <w:rFonts w:eastAsia="Times New Roman" w:cs="Times New Roman"/>
                <w:b/>
                <w:bCs/>
                <w:szCs w:val="24"/>
                <w:lang w:eastAsia="cs-CZ"/>
              </w:rPr>
              <w:t xml:space="preserve">Nejčastější používané ARB – skríningová vizita Paradigm-HF/ před nasazením ARNI </w:t>
            </w:r>
            <w:r w:rsidR="00672ED4" w:rsidRPr="00D4761A">
              <w:rPr>
                <w:rFonts w:eastAsia="Times New Roman" w:cs="Times New Roman"/>
                <w:b/>
                <w:bCs/>
                <w:szCs w:val="24"/>
                <w:lang w:eastAsia="cs-CZ"/>
              </w:rPr>
              <w:t>v </w:t>
            </w:r>
            <w:r w:rsidRPr="00D4761A">
              <w:rPr>
                <w:rFonts w:eastAsia="Times New Roman" w:cs="Times New Roman"/>
                <w:b/>
                <w:bCs/>
                <w:szCs w:val="24"/>
                <w:lang w:eastAsia="cs-CZ"/>
              </w:rPr>
              <w:t>MMR</w:t>
            </w:r>
          </w:p>
        </w:tc>
      </w:tr>
      <w:tr w:rsidR="00597804" w:rsidRPr="00D4761A" w14:paraId="7ABFBA23" w14:textId="77777777" w:rsidTr="00CA3812">
        <w:trPr>
          <w:cantSplit/>
        </w:trPr>
        <w:tc>
          <w:tcPr>
            <w:tcW w:w="857" w:type="pct"/>
            <w:noWrap/>
            <w:vAlign w:val="center"/>
            <w:hideMark/>
          </w:tcPr>
          <w:p w14:paraId="4DC2BB22" w14:textId="77777777" w:rsidR="00DC25BC" w:rsidRPr="00D4761A" w:rsidRDefault="00DC25BC" w:rsidP="006208B9">
            <w:pPr>
              <w:keepNext/>
              <w:spacing w:line="240" w:lineRule="auto"/>
              <w:jc w:val="left"/>
              <w:rPr>
                <w:rFonts w:eastAsia="Times New Roman" w:cs="Times New Roman"/>
                <w:b/>
                <w:bCs/>
                <w:szCs w:val="24"/>
                <w:lang w:eastAsia="cs-CZ"/>
              </w:rPr>
            </w:pPr>
          </w:p>
        </w:tc>
        <w:tc>
          <w:tcPr>
            <w:tcW w:w="2071" w:type="pct"/>
            <w:gridSpan w:val="2"/>
            <w:noWrap/>
            <w:vAlign w:val="center"/>
            <w:hideMark/>
          </w:tcPr>
          <w:p w14:paraId="4291F951" w14:textId="77777777" w:rsidR="00DC25BC" w:rsidRPr="00D4761A" w:rsidRDefault="00DC25BC" w:rsidP="006208B9">
            <w:pPr>
              <w:keepNext/>
              <w:spacing w:line="240" w:lineRule="auto"/>
              <w:jc w:val="center"/>
              <w:rPr>
                <w:rFonts w:eastAsia="Times New Roman" w:cs="Times New Roman"/>
                <w:b/>
                <w:szCs w:val="24"/>
                <w:lang w:eastAsia="cs-CZ"/>
              </w:rPr>
            </w:pPr>
            <w:r w:rsidRPr="00D4761A">
              <w:rPr>
                <w:rFonts w:eastAsia="Times New Roman" w:cs="Times New Roman"/>
                <w:b/>
                <w:szCs w:val="24"/>
                <w:lang w:eastAsia="cs-CZ"/>
              </w:rPr>
              <w:t>Paradigm-HF Trial</w:t>
            </w:r>
          </w:p>
        </w:tc>
        <w:tc>
          <w:tcPr>
            <w:tcW w:w="2071" w:type="pct"/>
            <w:gridSpan w:val="2"/>
            <w:noWrap/>
            <w:vAlign w:val="center"/>
            <w:hideMark/>
          </w:tcPr>
          <w:p w14:paraId="75167CD4" w14:textId="77777777" w:rsidR="00DC25BC" w:rsidRPr="00D4761A" w:rsidRDefault="00DC25BC" w:rsidP="006208B9">
            <w:pPr>
              <w:keepNext/>
              <w:spacing w:line="240" w:lineRule="auto"/>
              <w:jc w:val="center"/>
              <w:rPr>
                <w:rFonts w:eastAsia="Times New Roman" w:cs="Times New Roman"/>
                <w:b/>
                <w:szCs w:val="24"/>
                <w:lang w:eastAsia="cs-CZ"/>
              </w:rPr>
            </w:pPr>
            <w:r w:rsidRPr="00D4761A">
              <w:rPr>
                <w:rFonts w:eastAsia="Times New Roman" w:cs="Times New Roman"/>
                <w:b/>
                <w:szCs w:val="24"/>
                <w:lang w:eastAsia="cs-CZ"/>
              </w:rPr>
              <w:t>MMR</w:t>
            </w:r>
          </w:p>
        </w:tc>
      </w:tr>
      <w:tr w:rsidR="00597804" w:rsidRPr="00D4761A" w14:paraId="0EB3E16C" w14:textId="77777777" w:rsidTr="00CA3812">
        <w:trPr>
          <w:cantSplit/>
        </w:trPr>
        <w:tc>
          <w:tcPr>
            <w:tcW w:w="857" w:type="pct"/>
            <w:noWrap/>
            <w:vAlign w:val="center"/>
            <w:hideMark/>
          </w:tcPr>
          <w:p w14:paraId="2854CAED" w14:textId="77777777" w:rsidR="00DC25BC" w:rsidRPr="00D4761A" w:rsidRDefault="00DC25BC" w:rsidP="006208B9">
            <w:pPr>
              <w:keepNext/>
              <w:spacing w:line="240" w:lineRule="auto"/>
              <w:jc w:val="left"/>
              <w:rPr>
                <w:rFonts w:eastAsia="Times New Roman" w:cs="Times New Roman"/>
                <w:b/>
                <w:szCs w:val="24"/>
                <w:lang w:eastAsia="cs-CZ"/>
              </w:rPr>
            </w:pPr>
          </w:p>
        </w:tc>
        <w:tc>
          <w:tcPr>
            <w:tcW w:w="1036" w:type="pct"/>
            <w:noWrap/>
            <w:vAlign w:val="center"/>
            <w:hideMark/>
          </w:tcPr>
          <w:p w14:paraId="57F9A376" w14:textId="77777777" w:rsidR="00DC25BC" w:rsidRPr="00D4761A" w:rsidRDefault="00DC25BC" w:rsidP="006208B9">
            <w:pPr>
              <w:keepNext/>
              <w:spacing w:line="240" w:lineRule="auto"/>
              <w:jc w:val="center"/>
              <w:rPr>
                <w:rFonts w:eastAsia="Times New Roman" w:cs="Times New Roman"/>
                <w:b/>
                <w:szCs w:val="24"/>
                <w:lang w:eastAsia="cs-CZ"/>
              </w:rPr>
            </w:pPr>
            <w:r w:rsidRPr="00D4761A">
              <w:rPr>
                <w:rFonts w:eastAsia="Times New Roman" w:cs="Times New Roman"/>
                <w:b/>
                <w:szCs w:val="24"/>
                <w:lang w:eastAsia="cs-CZ"/>
              </w:rPr>
              <w:t>počet pacientů (%)</w:t>
            </w:r>
          </w:p>
        </w:tc>
        <w:tc>
          <w:tcPr>
            <w:tcW w:w="1036" w:type="pct"/>
            <w:noWrap/>
            <w:vAlign w:val="center"/>
            <w:hideMark/>
          </w:tcPr>
          <w:p w14:paraId="1F00DD01" w14:textId="77777777" w:rsidR="00DC25BC" w:rsidRPr="00D4761A" w:rsidRDefault="00DC25BC" w:rsidP="006208B9">
            <w:pPr>
              <w:keepNext/>
              <w:spacing w:line="240" w:lineRule="auto"/>
              <w:jc w:val="center"/>
              <w:rPr>
                <w:rFonts w:eastAsia="Times New Roman" w:cs="Times New Roman"/>
                <w:b/>
                <w:szCs w:val="24"/>
                <w:lang w:eastAsia="cs-CZ"/>
              </w:rPr>
            </w:pPr>
            <w:r w:rsidRPr="00D4761A">
              <w:rPr>
                <w:rFonts w:eastAsia="Times New Roman" w:cs="Times New Roman"/>
                <w:b/>
                <w:szCs w:val="24"/>
                <w:lang w:eastAsia="cs-CZ"/>
              </w:rPr>
              <w:t>průměr (±SD) denní dávka (mg)</w:t>
            </w:r>
          </w:p>
        </w:tc>
        <w:tc>
          <w:tcPr>
            <w:tcW w:w="1036" w:type="pct"/>
            <w:noWrap/>
            <w:vAlign w:val="center"/>
            <w:hideMark/>
          </w:tcPr>
          <w:p w14:paraId="7F2B41DB" w14:textId="77777777" w:rsidR="00DC25BC" w:rsidRPr="00D4761A" w:rsidRDefault="00DC25BC" w:rsidP="006208B9">
            <w:pPr>
              <w:keepNext/>
              <w:spacing w:line="240" w:lineRule="auto"/>
              <w:jc w:val="center"/>
              <w:rPr>
                <w:rFonts w:eastAsia="Times New Roman" w:cs="Times New Roman"/>
                <w:b/>
                <w:szCs w:val="24"/>
                <w:lang w:eastAsia="cs-CZ"/>
              </w:rPr>
            </w:pPr>
            <w:r w:rsidRPr="00D4761A">
              <w:rPr>
                <w:rFonts w:eastAsia="Times New Roman" w:cs="Times New Roman"/>
                <w:b/>
                <w:szCs w:val="24"/>
                <w:lang w:eastAsia="cs-CZ"/>
              </w:rPr>
              <w:t>počet pacientů (%)</w:t>
            </w:r>
          </w:p>
        </w:tc>
        <w:tc>
          <w:tcPr>
            <w:tcW w:w="1036" w:type="pct"/>
            <w:noWrap/>
            <w:vAlign w:val="center"/>
            <w:hideMark/>
          </w:tcPr>
          <w:p w14:paraId="398A6E3D" w14:textId="77777777" w:rsidR="00DC25BC" w:rsidRPr="00D4761A" w:rsidRDefault="00DC25BC" w:rsidP="006208B9">
            <w:pPr>
              <w:keepNext/>
              <w:spacing w:line="240" w:lineRule="auto"/>
              <w:jc w:val="center"/>
              <w:rPr>
                <w:rFonts w:eastAsia="Times New Roman" w:cs="Times New Roman"/>
                <w:b/>
                <w:szCs w:val="24"/>
                <w:lang w:eastAsia="cs-CZ"/>
              </w:rPr>
            </w:pPr>
            <w:r w:rsidRPr="00D4761A">
              <w:rPr>
                <w:rFonts w:eastAsia="Times New Roman" w:cs="Times New Roman"/>
                <w:b/>
                <w:szCs w:val="24"/>
                <w:lang w:eastAsia="cs-CZ"/>
              </w:rPr>
              <w:t>průměr (±SD) denní dávka (mg)</w:t>
            </w:r>
          </w:p>
        </w:tc>
      </w:tr>
      <w:tr w:rsidR="00597804" w:rsidRPr="00D4761A" w14:paraId="598BB5F0" w14:textId="77777777" w:rsidTr="00CA3812">
        <w:trPr>
          <w:cantSplit/>
        </w:trPr>
        <w:tc>
          <w:tcPr>
            <w:tcW w:w="857" w:type="pct"/>
            <w:noWrap/>
            <w:vAlign w:val="center"/>
            <w:hideMark/>
          </w:tcPr>
          <w:p w14:paraId="25DB95BF"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Losartan</w:t>
            </w:r>
          </w:p>
        </w:tc>
        <w:tc>
          <w:tcPr>
            <w:tcW w:w="1036" w:type="pct"/>
            <w:noWrap/>
            <w:vAlign w:val="center"/>
            <w:hideMark/>
          </w:tcPr>
          <w:p w14:paraId="740C8BFD"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791 (9,4)</w:t>
            </w:r>
          </w:p>
        </w:tc>
        <w:tc>
          <w:tcPr>
            <w:tcW w:w="1036" w:type="pct"/>
            <w:noWrap/>
            <w:vAlign w:val="center"/>
            <w:hideMark/>
          </w:tcPr>
          <w:p w14:paraId="20634D51"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67,1 ± 30,2</w:t>
            </w:r>
          </w:p>
        </w:tc>
        <w:tc>
          <w:tcPr>
            <w:tcW w:w="1036" w:type="pct"/>
            <w:noWrap/>
            <w:vAlign w:val="center"/>
            <w:hideMark/>
          </w:tcPr>
          <w:p w14:paraId="1C99DF30"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6 (5,8)</w:t>
            </w:r>
          </w:p>
        </w:tc>
        <w:tc>
          <w:tcPr>
            <w:tcW w:w="1036" w:type="pct"/>
            <w:noWrap/>
            <w:vAlign w:val="center"/>
            <w:hideMark/>
          </w:tcPr>
          <w:p w14:paraId="56140835"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39,6 ± 32,0</w:t>
            </w:r>
          </w:p>
        </w:tc>
      </w:tr>
      <w:tr w:rsidR="00597804" w:rsidRPr="00D4761A" w14:paraId="5C8A6B54" w14:textId="77777777" w:rsidTr="00CA3812">
        <w:trPr>
          <w:cantSplit/>
        </w:trPr>
        <w:tc>
          <w:tcPr>
            <w:tcW w:w="857" w:type="pct"/>
            <w:noWrap/>
            <w:vAlign w:val="center"/>
            <w:hideMark/>
          </w:tcPr>
          <w:p w14:paraId="5FCFAC79"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Valsartan</w:t>
            </w:r>
          </w:p>
        </w:tc>
        <w:tc>
          <w:tcPr>
            <w:tcW w:w="1036" w:type="pct"/>
            <w:noWrap/>
            <w:vAlign w:val="center"/>
            <w:hideMark/>
          </w:tcPr>
          <w:p w14:paraId="3D189A90"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397 (4,7)</w:t>
            </w:r>
          </w:p>
        </w:tc>
        <w:tc>
          <w:tcPr>
            <w:tcW w:w="1036" w:type="pct"/>
            <w:noWrap/>
            <w:vAlign w:val="center"/>
            <w:hideMark/>
          </w:tcPr>
          <w:p w14:paraId="73EE62C5"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181,5 ± 71,1</w:t>
            </w:r>
          </w:p>
        </w:tc>
        <w:tc>
          <w:tcPr>
            <w:tcW w:w="1036" w:type="pct"/>
            <w:noWrap/>
            <w:vAlign w:val="center"/>
            <w:hideMark/>
          </w:tcPr>
          <w:p w14:paraId="1B502551"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11 (10,6)</w:t>
            </w:r>
          </w:p>
        </w:tc>
        <w:tc>
          <w:tcPr>
            <w:tcW w:w="1036" w:type="pct"/>
            <w:noWrap/>
            <w:vAlign w:val="center"/>
            <w:hideMark/>
          </w:tcPr>
          <w:p w14:paraId="6CB450BE"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130,9 ± 82,2</w:t>
            </w:r>
          </w:p>
        </w:tc>
      </w:tr>
      <w:tr w:rsidR="00597804" w:rsidRPr="00D4761A" w14:paraId="72A41147" w14:textId="77777777" w:rsidTr="00CA3812">
        <w:trPr>
          <w:cantSplit/>
        </w:trPr>
        <w:tc>
          <w:tcPr>
            <w:tcW w:w="857" w:type="pct"/>
            <w:noWrap/>
            <w:vAlign w:val="center"/>
            <w:hideMark/>
          </w:tcPr>
          <w:p w14:paraId="45445B58"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Telmisartan</w:t>
            </w:r>
          </w:p>
        </w:tc>
        <w:tc>
          <w:tcPr>
            <w:tcW w:w="1036" w:type="pct"/>
            <w:noWrap/>
            <w:vAlign w:val="center"/>
            <w:hideMark/>
          </w:tcPr>
          <w:p w14:paraId="6A711309"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196 (2,3)</w:t>
            </w:r>
          </w:p>
        </w:tc>
        <w:tc>
          <w:tcPr>
            <w:tcW w:w="1036" w:type="pct"/>
            <w:noWrap/>
            <w:vAlign w:val="center"/>
            <w:hideMark/>
          </w:tcPr>
          <w:p w14:paraId="0EF438D5"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60,1 ± 23,9</w:t>
            </w:r>
          </w:p>
        </w:tc>
        <w:tc>
          <w:tcPr>
            <w:tcW w:w="1036" w:type="pct"/>
            <w:noWrap/>
            <w:vAlign w:val="center"/>
            <w:hideMark/>
          </w:tcPr>
          <w:p w14:paraId="4A3500D2"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9 (8,7)</w:t>
            </w:r>
          </w:p>
        </w:tc>
        <w:tc>
          <w:tcPr>
            <w:tcW w:w="1036" w:type="pct"/>
            <w:noWrap/>
            <w:vAlign w:val="center"/>
            <w:hideMark/>
          </w:tcPr>
          <w:p w14:paraId="6E6D5007"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62,2 ± 21,1</w:t>
            </w:r>
          </w:p>
        </w:tc>
      </w:tr>
      <w:tr w:rsidR="00597804" w:rsidRPr="00D4761A" w14:paraId="60768C72" w14:textId="77777777" w:rsidTr="00CA3812">
        <w:trPr>
          <w:cantSplit/>
        </w:trPr>
        <w:tc>
          <w:tcPr>
            <w:tcW w:w="857" w:type="pct"/>
            <w:noWrap/>
            <w:vAlign w:val="center"/>
            <w:hideMark/>
          </w:tcPr>
          <w:p w14:paraId="1B37D0FF"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Candesartan</w:t>
            </w:r>
          </w:p>
        </w:tc>
        <w:tc>
          <w:tcPr>
            <w:tcW w:w="1036" w:type="pct"/>
            <w:noWrap/>
            <w:vAlign w:val="center"/>
            <w:hideMark/>
          </w:tcPr>
          <w:p w14:paraId="47599862"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188 (2,2)</w:t>
            </w:r>
          </w:p>
        </w:tc>
        <w:tc>
          <w:tcPr>
            <w:tcW w:w="1036" w:type="pct"/>
            <w:noWrap/>
            <w:vAlign w:val="center"/>
            <w:hideMark/>
          </w:tcPr>
          <w:p w14:paraId="5337C7F5"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20,0 ± 9,6</w:t>
            </w:r>
          </w:p>
        </w:tc>
        <w:tc>
          <w:tcPr>
            <w:tcW w:w="1036" w:type="pct"/>
            <w:noWrap/>
            <w:vAlign w:val="center"/>
            <w:hideMark/>
          </w:tcPr>
          <w:p w14:paraId="1DFEF279"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 (1)</w:t>
            </w:r>
          </w:p>
        </w:tc>
        <w:tc>
          <w:tcPr>
            <w:tcW w:w="1036" w:type="pct"/>
            <w:noWrap/>
            <w:vAlign w:val="center"/>
            <w:hideMark/>
          </w:tcPr>
          <w:p w14:paraId="58A8D815"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4*</w:t>
            </w:r>
          </w:p>
        </w:tc>
      </w:tr>
    </w:tbl>
    <w:p w14:paraId="3EF6E40E" w14:textId="39096F3D" w:rsidR="00DC25BC" w:rsidRPr="00D4761A" w:rsidRDefault="00DC25BC" w:rsidP="00597804">
      <w:r w:rsidRPr="00D4761A">
        <w:t xml:space="preserve">* dávka </w:t>
      </w:r>
      <w:r w:rsidR="00672ED4" w:rsidRPr="00D4761A">
        <w:t>u </w:t>
      </w:r>
      <w:r w:rsidRPr="00D4761A">
        <w:t>jednoho pacienta</w:t>
      </w:r>
    </w:p>
    <w:p w14:paraId="2097C37B" w14:textId="77777777" w:rsidR="00DC25BC" w:rsidRPr="00D4761A" w:rsidRDefault="00DC25BC" w:rsidP="00597804"/>
    <w:p w14:paraId="793309B7" w14:textId="7DD40C70" w:rsidR="00DC25BC" w:rsidRPr="00D4761A" w:rsidRDefault="00DC25BC" w:rsidP="006208B9">
      <w:pPr>
        <w:keepNext/>
      </w:pPr>
      <w:r w:rsidRPr="00D4761A">
        <w:rPr>
          <w:b/>
        </w:rPr>
        <w:lastRenderedPageBreak/>
        <w:t>T</w:t>
      </w:r>
      <w:r w:rsidR="00CC2471" w:rsidRPr="00D4761A">
        <w:rPr>
          <w:b/>
        </w:rPr>
        <w:t>abulka </w:t>
      </w:r>
      <w:r w:rsidRPr="00D4761A">
        <w:rPr>
          <w:b/>
        </w:rPr>
        <w:t>10</w:t>
      </w:r>
      <w:r w:rsidRPr="00D4761A">
        <w:t xml:space="preserve"> – Nejčastější používané betablokátory, jejich průměrné denní dávky </w:t>
      </w:r>
      <w:r w:rsidR="00672ED4" w:rsidRPr="00D4761A">
        <w:t>v </w:t>
      </w:r>
      <w:r w:rsidRPr="00D4761A">
        <w:t>kohortě B</w:t>
      </w:r>
    </w:p>
    <w:tbl>
      <w:tblPr>
        <w:tblStyle w:val="Mkatabulky"/>
        <w:tblW w:w="5000" w:type="pct"/>
        <w:tblLayout w:type="fixed"/>
        <w:tblLook w:val="04A0" w:firstRow="1" w:lastRow="0" w:firstColumn="1" w:lastColumn="0" w:noHBand="0" w:noVBand="1"/>
      </w:tblPr>
      <w:tblGrid>
        <w:gridCol w:w="1413"/>
        <w:gridCol w:w="1700"/>
        <w:gridCol w:w="1985"/>
        <w:gridCol w:w="1981"/>
        <w:gridCol w:w="1983"/>
      </w:tblGrid>
      <w:tr w:rsidR="00597804" w:rsidRPr="00D4761A" w14:paraId="521666C1" w14:textId="77777777" w:rsidTr="00CA3812">
        <w:trPr>
          <w:cantSplit/>
        </w:trPr>
        <w:tc>
          <w:tcPr>
            <w:tcW w:w="780" w:type="pct"/>
            <w:noWrap/>
            <w:vAlign w:val="center"/>
            <w:hideMark/>
          </w:tcPr>
          <w:p w14:paraId="3608AEFC" w14:textId="77777777" w:rsidR="00DC25BC" w:rsidRPr="00D4761A" w:rsidRDefault="00DC25BC" w:rsidP="006208B9">
            <w:pPr>
              <w:keepNext/>
              <w:spacing w:line="240" w:lineRule="auto"/>
              <w:jc w:val="left"/>
              <w:rPr>
                <w:rFonts w:eastAsia="Times New Roman" w:cs="Times New Roman"/>
                <w:szCs w:val="24"/>
                <w:lang w:eastAsia="cs-CZ"/>
              </w:rPr>
            </w:pPr>
          </w:p>
        </w:tc>
        <w:tc>
          <w:tcPr>
            <w:tcW w:w="938" w:type="pct"/>
            <w:noWrap/>
            <w:vAlign w:val="center"/>
            <w:hideMark/>
          </w:tcPr>
          <w:p w14:paraId="062DDCFB"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počet pacientů (%)</w:t>
            </w:r>
          </w:p>
        </w:tc>
        <w:tc>
          <w:tcPr>
            <w:tcW w:w="1095" w:type="pct"/>
            <w:noWrap/>
            <w:vAlign w:val="center"/>
            <w:hideMark/>
          </w:tcPr>
          <w:p w14:paraId="28833E16"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průměr (±SD) denní dávky (mg)</w:t>
            </w:r>
          </w:p>
        </w:tc>
        <w:tc>
          <w:tcPr>
            <w:tcW w:w="1093" w:type="pct"/>
            <w:noWrap/>
            <w:vAlign w:val="center"/>
            <w:hideMark/>
          </w:tcPr>
          <w:p w14:paraId="4DF18E9C"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minimální dávka</w:t>
            </w:r>
          </w:p>
        </w:tc>
        <w:tc>
          <w:tcPr>
            <w:tcW w:w="1094" w:type="pct"/>
            <w:noWrap/>
            <w:vAlign w:val="center"/>
            <w:hideMark/>
          </w:tcPr>
          <w:p w14:paraId="46F8CE7D"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maximální dávka</w:t>
            </w:r>
          </w:p>
        </w:tc>
      </w:tr>
      <w:tr w:rsidR="00597804" w:rsidRPr="00D4761A" w14:paraId="468A783A" w14:textId="77777777" w:rsidTr="00CA3812">
        <w:trPr>
          <w:cantSplit/>
        </w:trPr>
        <w:tc>
          <w:tcPr>
            <w:tcW w:w="780" w:type="pct"/>
            <w:noWrap/>
            <w:vAlign w:val="center"/>
            <w:hideMark/>
          </w:tcPr>
          <w:p w14:paraId="4070CFAF"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Metoprolol</w:t>
            </w:r>
          </w:p>
        </w:tc>
        <w:tc>
          <w:tcPr>
            <w:tcW w:w="938" w:type="pct"/>
            <w:noWrap/>
            <w:vAlign w:val="center"/>
            <w:hideMark/>
          </w:tcPr>
          <w:p w14:paraId="42DC30AF"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45(43,3)</w:t>
            </w:r>
          </w:p>
        </w:tc>
        <w:tc>
          <w:tcPr>
            <w:tcW w:w="1095" w:type="pct"/>
            <w:noWrap/>
            <w:vAlign w:val="center"/>
            <w:hideMark/>
          </w:tcPr>
          <w:p w14:paraId="144487B0"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87,11 ±64,43</w:t>
            </w:r>
          </w:p>
        </w:tc>
        <w:tc>
          <w:tcPr>
            <w:tcW w:w="1093" w:type="pct"/>
            <w:noWrap/>
            <w:vAlign w:val="center"/>
            <w:hideMark/>
          </w:tcPr>
          <w:p w14:paraId="241623CF"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12,5</w:t>
            </w:r>
          </w:p>
        </w:tc>
        <w:tc>
          <w:tcPr>
            <w:tcW w:w="1094" w:type="pct"/>
            <w:noWrap/>
            <w:vAlign w:val="center"/>
            <w:hideMark/>
          </w:tcPr>
          <w:p w14:paraId="006890DF"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300</w:t>
            </w:r>
          </w:p>
        </w:tc>
      </w:tr>
      <w:tr w:rsidR="00597804" w:rsidRPr="00D4761A" w14:paraId="053C5D41" w14:textId="77777777" w:rsidTr="00CA3812">
        <w:trPr>
          <w:cantSplit/>
        </w:trPr>
        <w:tc>
          <w:tcPr>
            <w:tcW w:w="780" w:type="pct"/>
            <w:noWrap/>
            <w:vAlign w:val="center"/>
            <w:hideMark/>
          </w:tcPr>
          <w:p w14:paraId="49333245"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Carvedilol</w:t>
            </w:r>
          </w:p>
        </w:tc>
        <w:tc>
          <w:tcPr>
            <w:tcW w:w="938" w:type="pct"/>
            <w:noWrap/>
            <w:vAlign w:val="center"/>
            <w:hideMark/>
          </w:tcPr>
          <w:p w14:paraId="4C1C6A31"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30 (28,8)</w:t>
            </w:r>
          </w:p>
        </w:tc>
        <w:tc>
          <w:tcPr>
            <w:tcW w:w="1095" w:type="pct"/>
            <w:noWrap/>
            <w:vAlign w:val="center"/>
            <w:hideMark/>
          </w:tcPr>
          <w:p w14:paraId="7922AD91"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29,98 ± 20,53</w:t>
            </w:r>
          </w:p>
        </w:tc>
        <w:tc>
          <w:tcPr>
            <w:tcW w:w="1093" w:type="pct"/>
            <w:noWrap/>
            <w:vAlign w:val="center"/>
            <w:hideMark/>
          </w:tcPr>
          <w:p w14:paraId="426996BA"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3,13</w:t>
            </w:r>
          </w:p>
        </w:tc>
        <w:tc>
          <w:tcPr>
            <w:tcW w:w="1094" w:type="pct"/>
            <w:noWrap/>
            <w:vAlign w:val="center"/>
            <w:hideMark/>
          </w:tcPr>
          <w:p w14:paraId="67C82B92"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75</w:t>
            </w:r>
          </w:p>
        </w:tc>
      </w:tr>
      <w:tr w:rsidR="00597804" w:rsidRPr="00D4761A" w14:paraId="5EE20693" w14:textId="77777777" w:rsidTr="00CA3812">
        <w:trPr>
          <w:cantSplit/>
        </w:trPr>
        <w:tc>
          <w:tcPr>
            <w:tcW w:w="780" w:type="pct"/>
            <w:noWrap/>
            <w:vAlign w:val="center"/>
            <w:hideMark/>
          </w:tcPr>
          <w:p w14:paraId="77D23896"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Bisoprolol</w:t>
            </w:r>
          </w:p>
        </w:tc>
        <w:tc>
          <w:tcPr>
            <w:tcW w:w="938" w:type="pct"/>
            <w:noWrap/>
            <w:vAlign w:val="center"/>
            <w:hideMark/>
          </w:tcPr>
          <w:p w14:paraId="56D1D89D"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23 (22,1)</w:t>
            </w:r>
          </w:p>
        </w:tc>
        <w:tc>
          <w:tcPr>
            <w:tcW w:w="1095" w:type="pct"/>
            <w:noWrap/>
            <w:vAlign w:val="center"/>
            <w:hideMark/>
          </w:tcPr>
          <w:p w14:paraId="4B6FDE45"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6,25 ± 4,05</w:t>
            </w:r>
          </w:p>
        </w:tc>
        <w:tc>
          <w:tcPr>
            <w:tcW w:w="1093" w:type="pct"/>
            <w:noWrap/>
            <w:vAlign w:val="center"/>
            <w:hideMark/>
          </w:tcPr>
          <w:p w14:paraId="1DAED1BD"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1,25</w:t>
            </w:r>
          </w:p>
        </w:tc>
        <w:tc>
          <w:tcPr>
            <w:tcW w:w="1094" w:type="pct"/>
            <w:noWrap/>
            <w:vAlign w:val="center"/>
            <w:hideMark/>
          </w:tcPr>
          <w:p w14:paraId="56B0FCE0"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15</w:t>
            </w:r>
          </w:p>
        </w:tc>
      </w:tr>
      <w:tr w:rsidR="00597804" w:rsidRPr="00D4761A" w14:paraId="4A38262C" w14:textId="77777777" w:rsidTr="00CA3812">
        <w:trPr>
          <w:cantSplit/>
        </w:trPr>
        <w:tc>
          <w:tcPr>
            <w:tcW w:w="780" w:type="pct"/>
            <w:noWrap/>
            <w:vAlign w:val="center"/>
            <w:hideMark/>
          </w:tcPr>
          <w:p w14:paraId="20231025"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Nebivolol*</w:t>
            </w:r>
          </w:p>
        </w:tc>
        <w:tc>
          <w:tcPr>
            <w:tcW w:w="938" w:type="pct"/>
            <w:noWrap/>
            <w:vAlign w:val="center"/>
            <w:hideMark/>
          </w:tcPr>
          <w:p w14:paraId="7C2F0DA4"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w:t>
            </w:r>
          </w:p>
        </w:tc>
        <w:tc>
          <w:tcPr>
            <w:tcW w:w="1095" w:type="pct"/>
            <w:noWrap/>
            <w:vAlign w:val="center"/>
            <w:hideMark/>
          </w:tcPr>
          <w:p w14:paraId="342B413E"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5</w:t>
            </w:r>
          </w:p>
        </w:tc>
        <w:tc>
          <w:tcPr>
            <w:tcW w:w="1093" w:type="pct"/>
            <w:noWrap/>
            <w:vAlign w:val="center"/>
            <w:hideMark/>
          </w:tcPr>
          <w:p w14:paraId="7A72BA51" w14:textId="77777777" w:rsidR="00DC25BC" w:rsidRPr="00D4761A" w:rsidRDefault="00DC25BC" w:rsidP="006208B9">
            <w:pPr>
              <w:keepNext/>
              <w:spacing w:line="240" w:lineRule="auto"/>
              <w:jc w:val="center"/>
              <w:rPr>
                <w:rFonts w:eastAsia="Times New Roman" w:cs="Times New Roman"/>
                <w:szCs w:val="24"/>
                <w:lang w:eastAsia="cs-CZ"/>
              </w:rPr>
            </w:pPr>
          </w:p>
        </w:tc>
        <w:tc>
          <w:tcPr>
            <w:tcW w:w="1094" w:type="pct"/>
            <w:noWrap/>
            <w:vAlign w:val="center"/>
            <w:hideMark/>
          </w:tcPr>
          <w:p w14:paraId="1E62AA9E" w14:textId="77777777" w:rsidR="00DC25BC" w:rsidRPr="00D4761A" w:rsidRDefault="00DC25BC" w:rsidP="006208B9">
            <w:pPr>
              <w:keepNext/>
              <w:spacing w:line="240" w:lineRule="auto"/>
              <w:jc w:val="center"/>
              <w:rPr>
                <w:rFonts w:eastAsia="Times New Roman" w:cs="Times New Roman"/>
                <w:szCs w:val="24"/>
                <w:lang w:eastAsia="cs-CZ"/>
              </w:rPr>
            </w:pPr>
          </w:p>
        </w:tc>
      </w:tr>
    </w:tbl>
    <w:p w14:paraId="671D375B" w14:textId="560904FA" w:rsidR="00DC25BC" w:rsidRPr="00D4761A" w:rsidRDefault="00DC25BC" w:rsidP="00597804">
      <w:r w:rsidRPr="00D4761A">
        <w:t xml:space="preserve">* dávka </w:t>
      </w:r>
      <w:r w:rsidR="00672ED4" w:rsidRPr="00D4761A">
        <w:t>u </w:t>
      </w:r>
      <w:r w:rsidRPr="00D4761A">
        <w:t>jednoho pacienta</w:t>
      </w:r>
    </w:p>
    <w:p w14:paraId="3DD5EBCF" w14:textId="7A6082E1" w:rsidR="009424A1" w:rsidRPr="00D4761A" w:rsidRDefault="00AF5A33" w:rsidP="002F477B">
      <w:pPr>
        <w:pStyle w:val="Nadpis30"/>
      </w:pPr>
      <w:bookmarkStart w:id="55" w:name="_Toc120547458"/>
      <w:r w:rsidRPr="00D4761A">
        <w:t xml:space="preserve">Diskuse včetně porovnání s ostatními relevantními daty z České republiky </w:t>
      </w:r>
      <w:r w:rsidR="009424A1" w:rsidRPr="00D4761A">
        <w:t>(Experimentální část 1)</w:t>
      </w:r>
      <w:bookmarkEnd w:id="55"/>
    </w:p>
    <w:p w14:paraId="4D9856C9" w14:textId="5914A97D" w:rsidR="00AF5A33" w:rsidRPr="00D4761A" w:rsidRDefault="00AF5A33" w:rsidP="002F477B">
      <w:pPr>
        <w:ind w:firstLine="708"/>
        <w:rPr>
          <w:rFonts w:cstheme="minorHAnsi"/>
          <w:szCs w:val="24"/>
        </w:rPr>
      </w:pPr>
      <w:r w:rsidRPr="00D4761A">
        <w:rPr>
          <w:rFonts w:cstheme="minorHAnsi"/>
          <w:szCs w:val="24"/>
        </w:rPr>
        <w:t>Pacienti v kohortě B byli v základních charakteristikách mladší (60,5 ± 10,7 vs 63,8 ± 11,5 roků</w:t>
      </w:r>
      <w:r w:rsidR="00BB1DF0" w:rsidRPr="00D4761A">
        <w:rPr>
          <w:rFonts w:cstheme="minorHAnsi"/>
          <w:szCs w:val="24"/>
        </w:rPr>
        <w:t>, p=</w:t>
      </w:r>
      <w:r w:rsidR="00BB1DF0" w:rsidRPr="00D4761A">
        <w:t>0.002</w:t>
      </w:r>
      <w:r w:rsidRPr="00D4761A">
        <w:rPr>
          <w:rFonts w:cstheme="minorHAnsi"/>
          <w:szCs w:val="24"/>
        </w:rPr>
        <w:t xml:space="preserve">), </w:t>
      </w:r>
      <w:r w:rsidR="00672ED4" w:rsidRPr="00D4761A">
        <w:rPr>
          <w:rFonts w:cstheme="minorHAnsi"/>
          <w:szCs w:val="24"/>
        </w:rPr>
        <w:t>s </w:t>
      </w:r>
      <w:r w:rsidRPr="00D4761A">
        <w:rPr>
          <w:rFonts w:cstheme="minorHAnsi"/>
          <w:szCs w:val="24"/>
        </w:rPr>
        <w:t>vyšším indexem tělesné hmotnosti (30,3 ± 5,0 vs 28,1 ± 5,5</w:t>
      </w:r>
      <w:r w:rsidR="00BB1DF0" w:rsidRPr="00D4761A">
        <w:rPr>
          <w:rFonts w:cstheme="minorHAnsi"/>
          <w:szCs w:val="24"/>
        </w:rPr>
        <w:t>,</w:t>
      </w:r>
      <w:r w:rsidR="00AA1F75" w:rsidRPr="00D4761A">
        <w:rPr>
          <w:szCs w:val="24"/>
        </w:rPr>
        <w:t xml:space="preserve"> p &lt;0.0001</w:t>
      </w:r>
      <w:r w:rsidRPr="00D4761A">
        <w:rPr>
          <w:rFonts w:cstheme="minorHAnsi"/>
          <w:szCs w:val="24"/>
        </w:rPr>
        <w:t xml:space="preserve">) </w:t>
      </w:r>
      <w:r w:rsidR="00672ED4" w:rsidRPr="00D4761A">
        <w:rPr>
          <w:rFonts w:cstheme="minorHAnsi"/>
          <w:szCs w:val="24"/>
        </w:rPr>
        <w:t>a </w:t>
      </w:r>
      <w:r w:rsidRPr="00D4761A">
        <w:rPr>
          <w:rFonts w:cstheme="minorHAnsi"/>
          <w:szCs w:val="24"/>
        </w:rPr>
        <w:t>vyšší hladinou sérového kreatininu (101,9 ± 36,0 vs 99,9 ± 26,5</w:t>
      </w:r>
      <w:r w:rsidR="00BB1DF0" w:rsidRPr="00D4761A">
        <w:rPr>
          <w:rFonts w:eastAsia="Times New Roman" w:cstheme="minorHAnsi"/>
          <w:lang w:eastAsia="cs-CZ"/>
        </w:rPr>
        <w:t xml:space="preserve"> µmol/L, </w:t>
      </w:r>
      <w:r w:rsidR="00AA1F75" w:rsidRPr="00D4761A">
        <w:rPr>
          <w:szCs w:val="24"/>
        </w:rPr>
        <w:t>p &lt;0.0001</w:t>
      </w:r>
      <w:r w:rsidRPr="00D4761A">
        <w:rPr>
          <w:rFonts w:cstheme="minorHAnsi"/>
          <w:szCs w:val="24"/>
        </w:rPr>
        <w:t xml:space="preserve">). Průměrný věk pacientů </w:t>
      </w:r>
      <w:r w:rsidR="00672ED4" w:rsidRPr="00D4761A">
        <w:rPr>
          <w:rFonts w:cstheme="minorHAnsi"/>
          <w:szCs w:val="24"/>
        </w:rPr>
        <w:t>s </w:t>
      </w:r>
      <w:r w:rsidRPr="00D4761A">
        <w:rPr>
          <w:rFonts w:cstheme="minorHAnsi"/>
          <w:szCs w:val="24"/>
        </w:rPr>
        <w:t xml:space="preserve">ischemickou kardiomyopatií v kohortě B je shodný </w:t>
      </w:r>
      <w:r w:rsidR="00672ED4" w:rsidRPr="00D4761A">
        <w:rPr>
          <w:rFonts w:cstheme="minorHAnsi"/>
          <w:szCs w:val="24"/>
        </w:rPr>
        <w:t>s </w:t>
      </w:r>
      <w:r w:rsidRPr="00D4761A">
        <w:rPr>
          <w:rFonts w:cstheme="minorHAnsi"/>
          <w:szCs w:val="24"/>
        </w:rPr>
        <w:t xml:space="preserve">věkem pacientů ze studie Paradigm-HF (63,8 ± 9,4 vs 63,8 ± 11,5). Pacienti </w:t>
      </w:r>
      <w:r w:rsidR="00672ED4" w:rsidRPr="00D4761A">
        <w:rPr>
          <w:rFonts w:cstheme="minorHAnsi"/>
          <w:szCs w:val="24"/>
        </w:rPr>
        <w:t>s </w:t>
      </w:r>
      <w:r w:rsidRPr="00D4761A">
        <w:rPr>
          <w:rFonts w:cstheme="minorHAnsi"/>
          <w:szCs w:val="24"/>
        </w:rPr>
        <w:t>neischemickou kardiomyopatií v kohortě B byli mladší (57,2 ± 11,0</w:t>
      </w:r>
      <w:r w:rsidR="00BB1DF0" w:rsidRPr="00D4761A">
        <w:rPr>
          <w:rFonts w:cstheme="minorHAnsi"/>
          <w:szCs w:val="24"/>
        </w:rPr>
        <w:t>,</w:t>
      </w:r>
      <w:r w:rsidR="00AA1F75" w:rsidRPr="00D4761A">
        <w:rPr>
          <w:szCs w:val="24"/>
        </w:rPr>
        <w:t xml:space="preserve"> p &lt;0.0001</w:t>
      </w:r>
      <w:r w:rsidRPr="00D4761A">
        <w:rPr>
          <w:rFonts w:cstheme="minorHAnsi"/>
          <w:szCs w:val="24"/>
        </w:rPr>
        <w:t>), což by mohlo vysvětlovat nižší průměrný věk všech pacien</w:t>
      </w:r>
      <w:r w:rsidR="001126E0" w:rsidRPr="00D4761A">
        <w:rPr>
          <w:rFonts w:cstheme="minorHAnsi"/>
          <w:szCs w:val="24"/>
        </w:rPr>
        <w:t>tů v</w:t>
      </w:r>
      <w:r w:rsidRPr="00D4761A">
        <w:rPr>
          <w:rFonts w:cstheme="minorHAnsi"/>
          <w:szCs w:val="24"/>
        </w:rPr>
        <w:t> kohortě B ve srovnání s kohortou A.</w:t>
      </w:r>
    </w:p>
    <w:p w14:paraId="200F9C00" w14:textId="3730C77B" w:rsidR="00597804" w:rsidRPr="00D4761A" w:rsidRDefault="00AF5A33" w:rsidP="002F477B">
      <w:pPr>
        <w:ind w:firstLine="708"/>
        <w:rPr>
          <w:rFonts w:cstheme="minorHAnsi"/>
          <w:szCs w:val="24"/>
        </w:rPr>
      </w:pPr>
      <w:r w:rsidRPr="00D4761A">
        <w:rPr>
          <w:rFonts w:cstheme="minorHAnsi"/>
          <w:szCs w:val="24"/>
        </w:rPr>
        <w:t>Prevalence diabetes mellitus (33,7</w:t>
      </w:r>
      <w:r w:rsidR="00672ED4" w:rsidRPr="00D4761A">
        <w:rPr>
          <w:rFonts w:cstheme="minorHAnsi"/>
          <w:szCs w:val="24"/>
        </w:rPr>
        <w:t> %</w:t>
      </w:r>
      <w:r w:rsidRPr="00D4761A">
        <w:rPr>
          <w:rFonts w:cstheme="minorHAnsi"/>
          <w:szCs w:val="24"/>
        </w:rPr>
        <w:t xml:space="preserve"> kohorta B vs 34,7</w:t>
      </w:r>
      <w:r w:rsidR="00672ED4" w:rsidRPr="00D4761A">
        <w:rPr>
          <w:rFonts w:cstheme="minorHAnsi"/>
          <w:szCs w:val="24"/>
        </w:rPr>
        <w:t> %</w:t>
      </w:r>
      <w:r w:rsidRPr="00D4761A">
        <w:rPr>
          <w:rFonts w:cstheme="minorHAnsi"/>
          <w:szCs w:val="24"/>
        </w:rPr>
        <w:t xml:space="preserve"> kohorta A) </w:t>
      </w:r>
      <w:r w:rsidR="00672ED4" w:rsidRPr="00D4761A">
        <w:rPr>
          <w:rFonts w:cstheme="minorHAnsi"/>
          <w:szCs w:val="24"/>
        </w:rPr>
        <w:t>a </w:t>
      </w:r>
      <w:r w:rsidRPr="00D4761A">
        <w:rPr>
          <w:rFonts w:cstheme="minorHAnsi"/>
          <w:szCs w:val="24"/>
        </w:rPr>
        <w:t>fibrilace síní (34,6</w:t>
      </w:r>
      <w:r w:rsidR="00672ED4" w:rsidRPr="00D4761A">
        <w:rPr>
          <w:rFonts w:cstheme="minorHAnsi"/>
          <w:szCs w:val="24"/>
        </w:rPr>
        <w:t> %</w:t>
      </w:r>
      <w:r w:rsidRPr="00D4761A">
        <w:rPr>
          <w:rFonts w:cstheme="minorHAnsi"/>
          <w:szCs w:val="24"/>
        </w:rPr>
        <w:t xml:space="preserve"> kohorta B vs 36,2</w:t>
      </w:r>
      <w:r w:rsidR="00672ED4" w:rsidRPr="00D4761A">
        <w:rPr>
          <w:rFonts w:cstheme="minorHAnsi"/>
          <w:szCs w:val="24"/>
        </w:rPr>
        <w:t> %</w:t>
      </w:r>
      <w:r w:rsidRPr="00D4761A">
        <w:rPr>
          <w:rFonts w:cstheme="minorHAnsi"/>
          <w:szCs w:val="24"/>
        </w:rPr>
        <w:t xml:space="preserve"> kohorta A) byla téměř identická. Jediná celostátní data uvádějí prevalenci diabetes mellitus </w:t>
      </w:r>
      <w:r w:rsidR="00672ED4" w:rsidRPr="00D4761A">
        <w:rPr>
          <w:rFonts w:cstheme="minorHAnsi"/>
          <w:szCs w:val="24"/>
        </w:rPr>
        <w:t>v </w:t>
      </w:r>
      <w:r w:rsidRPr="00D4761A">
        <w:rPr>
          <w:rFonts w:cstheme="minorHAnsi"/>
          <w:szCs w:val="24"/>
        </w:rPr>
        <w:t>populaci srdečního selhání 41</w:t>
      </w:r>
      <w:r w:rsidR="00672ED4" w:rsidRPr="00D4761A">
        <w:rPr>
          <w:rFonts w:cstheme="minorHAnsi"/>
          <w:szCs w:val="24"/>
        </w:rPr>
        <w:t> %</w:t>
      </w:r>
      <w:r w:rsidRPr="00D4761A">
        <w:rPr>
          <w:rFonts w:cstheme="minorHAnsi"/>
          <w:szCs w:val="24"/>
        </w:rPr>
        <w:t xml:space="preserve"> (11</w:t>
      </w:r>
      <w:r w:rsidR="00355862" w:rsidRPr="00D4761A">
        <w:rPr>
          <w:rFonts w:cstheme="minorHAnsi"/>
          <w:szCs w:val="24"/>
        </w:rPr>
        <w:t>7</w:t>
      </w:r>
      <w:r w:rsidRPr="00D4761A">
        <w:rPr>
          <w:rFonts w:cstheme="minorHAnsi"/>
          <w:szCs w:val="24"/>
        </w:rPr>
        <w:t xml:space="preserve">). Diagnóza arteriální hypertenze </w:t>
      </w:r>
      <w:r w:rsidR="00672ED4" w:rsidRPr="00D4761A">
        <w:rPr>
          <w:rFonts w:cstheme="minorHAnsi"/>
          <w:szCs w:val="24"/>
        </w:rPr>
        <w:t>a </w:t>
      </w:r>
      <w:r w:rsidRPr="00D4761A">
        <w:rPr>
          <w:rFonts w:cstheme="minorHAnsi"/>
          <w:szCs w:val="24"/>
        </w:rPr>
        <w:t xml:space="preserve">předchozí hospitalizace pro srdeční selhání byly </w:t>
      </w:r>
      <w:r w:rsidR="00672ED4" w:rsidRPr="00D4761A">
        <w:rPr>
          <w:rFonts w:cstheme="minorHAnsi"/>
          <w:szCs w:val="24"/>
        </w:rPr>
        <w:t>u </w:t>
      </w:r>
      <w:r w:rsidRPr="00D4761A">
        <w:rPr>
          <w:rFonts w:cstheme="minorHAnsi"/>
          <w:szCs w:val="24"/>
        </w:rPr>
        <w:t>pacientů v kohortě B méně časté než v kohortě A.</w:t>
      </w:r>
    </w:p>
    <w:p w14:paraId="6BE9829B" w14:textId="6F1B847D" w:rsidR="00AF5A33" w:rsidRPr="00D4761A" w:rsidRDefault="00AF5A33" w:rsidP="002F477B">
      <w:pPr>
        <w:ind w:firstLine="708"/>
        <w:rPr>
          <w:rFonts w:cstheme="minorHAnsi"/>
          <w:szCs w:val="24"/>
        </w:rPr>
      </w:pPr>
      <w:r w:rsidRPr="00D4761A">
        <w:rPr>
          <w:rFonts w:cstheme="minorHAnsi"/>
          <w:szCs w:val="24"/>
        </w:rPr>
        <w:t xml:space="preserve">Prevalence </w:t>
      </w:r>
      <w:r w:rsidR="00672ED4" w:rsidRPr="00D4761A">
        <w:rPr>
          <w:rFonts w:cstheme="minorHAnsi"/>
          <w:szCs w:val="24"/>
        </w:rPr>
        <w:t>v </w:t>
      </w:r>
      <w:r w:rsidRPr="00D4761A">
        <w:rPr>
          <w:rFonts w:cstheme="minorHAnsi"/>
          <w:szCs w:val="24"/>
        </w:rPr>
        <w:t xml:space="preserve">celostátní databázi na základě údajů </w:t>
      </w:r>
      <w:r w:rsidR="00672ED4" w:rsidRPr="00D4761A">
        <w:rPr>
          <w:rFonts w:cstheme="minorHAnsi"/>
          <w:szCs w:val="24"/>
        </w:rPr>
        <w:t>z </w:t>
      </w:r>
      <w:r w:rsidRPr="00D4761A">
        <w:rPr>
          <w:rFonts w:cstheme="minorHAnsi"/>
          <w:szCs w:val="24"/>
        </w:rPr>
        <w:t>Českého národního registru hrazených zdravotních služeb byla ve výše vybraných diagnózách výrazně vyšší. Arteriální hypertenze dosáhla 92,6</w:t>
      </w:r>
      <w:r w:rsidR="00672ED4" w:rsidRPr="00D4761A">
        <w:rPr>
          <w:rFonts w:cstheme="minorHAnsi"/>
          <w:szCs w:val="24"/>
        </w:rPr>
        <w:t> %</w:t>
      </w:r>
      <w:r w:rsidRPr="00D4761A">
        <w:rPr>
          <w:rFonts w:cstheme="minorHAnsi"/>
          <w:szCs w:val="24"/>
        </w:rPr>
        <w:t>, fibrilace síní 49,7</w:t>
      </w:r>
      <w:r w:rsidR="00672ED4" w:rsidRPr="00D4761A">
        <w:rPr>
          <w:rFonts w:cstheme="minorHAnsi"/>
          <w:szCs w:val="24"/>
        </w:rPr>
        <w:t> %</w:t>
      </w:r>
      <w:r w:rsidRPr="00D4761A">
        <w:rPr>
          <w:rFonts w:cstheme="minorHAnsi"/>
          <w:szCs w:val="24"/>
        </w:rPr>
        <w:t>, diabetes mellitus 41</w:t>
      </w:r>
      <w:r w:rsidR="00672ED4" w:rsidRPr="00D4761A">
        <w:rPr>
          <w:rFonts w:cstheme="minorHAnsi"/>
          <w:szCs w:val="24"/>
        </w:rPr>
        <w:t> %</w:t>
      </w:r>
      <w:r w:rsidRPr="00D4761A">
        <w:rPr>
          <w:rFonts w:cstheme="minorHAnsi"/>
          <w:szCs w:val="24"/>
        </w:rPr>
        <w:t xml:space="preserve"> </w:t>
      </w:r>
      <w:r w:rsidR="00672ED4" w:rsidRPr="00D4761A">
        <w:rPr>
          <w:rFonts w:cstheme="minorHAnsi"/>
          <w:szCs w:val="24"/>
        </w:rPr>
        <w:t>a </w:t>
      </w:r>
      <w:r w:rsidRPr="00D4761A">
        <w:rPr>
          <w:rFonts w:cstheme="minorHAnsi"/>
          <w:szCs w:val="24"/>
        </w:rPr>
        <w:t>cévní mozková příhoda 17,6</w:t>
      </w:r>
      <w:r w:rsidR="00672ED4" w:rsidRPr="00D4761A">
        <w:rPr>
          <w:rFonts w:cstheme="minorHAnsi"/>
          <w:szCs w:val="24"/>
        </w:rPr>
        <w:t> %</w:t>
      </w:r>
      <w:r w:rsidRPr="00D4761A">
        <w:rPr>
          <w:rFonts w:cstheme="minorHAnsi"/>
          <w:szCs w:val="24"/>
        </w:rPr>
        <w:t xml:space="preserve"> (1). Tyto rozdíly lze vysvětlit různými zdroji dat. </w:t>
      </w:r>
      <w:r w:rsidR="00672ED4" w:rsidRPr="00D4761A">
        <w:rPr>
          <w:rFonts w:cstheme="minorHAnsi"/>
          <w:szCs w:val="24"/>
        </w:rPr>
        <w:t>U </w:t>
      </w:r>
      <w:r w:rsidRPr="00D4761A">
        <w:rPr>
          <w:rFonts w:cstheme="minorHAnsi"/>
          <w:szCs w:val="24"/>
        </w:rPr>
        <w:t>pacientů v kohortě B jsme jako zdroj dat použili zdravotnickou dokumentaci</w:t>
      </w:r>
      <w:r w:rsidR="00EE7DB3" w:rsidRPr="00D4761A">
        <w:rPr>
          <w:rFonts w:cstheme="minorHAnsi"/>
          <w:szCs w:val="24"/>
        </w:rPr>
        <w:t>. Ú</w:t>
      </w:r>
      <w:r w:rsidRPr="00D4761A">
        <w:rPr>
          <w:rFonts w:cstheme="minorHAnsi"/>
          <w:szCs w:val="24"/>
        </w:rPr>
        <w:t xml:space="preserve">daje </w:t>
      </w:r>
      <w:r w:rsidR="00672ED4" w:rsidRPr="00D4761A">
        <w:rPr>
          <w:rFonts w:cstheme="minorHAnsi"/>
          <w:szCs w:val="24"/>
        </w:rPr>
        <w:t>z </w:t>
      </w:r>
      <w:r w:rsidRPr="00D4761A">
        <w:rPr>
          <w:rFonts w:cstheme="minorHAnsi"/>
          <w:szCs w:val="24"/>
        </w:rPr>
        <w:t xml:space="preserve">Českého národního registru hrazených zdravotních služeb vycházejí pouze </w:t>
      </w:r>
      <w:r w:rsidR="00672ED4" w:rsidRPr="00D4761A">
        <w:rPr>
          <w:rFonts w:cstheme="minorHAnsi"/>
          <w:szCs w:val="24"/>
        </w:rPr>
        <w:t>z </w:t>
      </w:r>
      <w:r w:rsidRPr="00D4761A">
        <w:rPr>
          <w:rFonts w:cstheme="minorHAnsi"/>
          <w:szCs w:val="24"/>
        </w:rPr>
        <w:t xml:space="preserve">fakturačních údajů </w:t>
      </w:r>
      <w:r w:rsidR="00672ED4" w:rsidRPr="00D4761A">
        <w:rPr>
          <w:rFonts w:cstheme="minorHAnsi"/>
          <w:szCs w:val="24"/>
        </w:rPr>
        <w:t>s </w:t>
      </w:r>
      <w:r w:rsidRPr="00D4761A">
        <w:rPr>
          <w:rFonts w:cstheme="minorHAnsi"/>
          <w:szCs w:val="24"/>
        </w:rPr>
        <w:t>použitím kódů Mezinárodní klasifikace nemocí (MKN-10).</w:t>
      </w:r>
    </w:p>
    <w:p w14:paraId="78445856" w14:textId="525B4514" w:rsidR="00AF5A33" w:rsidRPr="00D4761A" w:rsidRDefault="00AF5A33" w:rsidP="002F477B">
      <w:pPr>
        <w:ind w:firstLine="708"/>
        <w:rPr>
          <w:rFonts w:cstheme="minorHAnsi"/>
          <w:szCs w:val="24"/>
        </w:rPr>
      </w:pPr>
      <w:r w:rsidRPr="00D4761A">
        <w:rPr>
          <w:rFonts w:cstheme="minorHAnsi"/>
          <w:szCs w:val="24"/>
        </w:rPr>
        <w:t xml:space="preserve">Registr FAR-NHL zjišťuje podobně nižší prevalenci ischemické kardiomyopatie jako </w:t>
      </w:r>
      <w:r w:rsidR="00672ED4" w:rsidRPr="00D4761A">
        <w:rPr>
          <w:rFonts w:cstheme="minorHAnsi"/>
          <w:szCs w:val="24"/>
        </w:rPr>
        <w:t>u </w:t>
      </w:r>
      <w:r w:rsidRPr="00D4761A">
        <w:rPr>
          <w:rFonts w:cstheme="minorHAnsi"/>
          <w:szCs w:val="24"/>
        </w:rPr>
        <w:t>pacientů kohorty B (4). Může to souviset se sociálním fenoménem vysoké spotřeby alkoholu v České republice. Průměrná roční spotřeba je 9,87 litrů 100</w:t>
      </w:r>
      <w:r w:rsidR="00672ED4" w:rsidRPr="00D4761A">
        <w:rPr>
          <w:rFonts w:cstheme="minorHAnsi"/>
          <w:szCs w:val="24"/>
        </w:rPr>
        <w:t> %</w:t>
      </w:r>
      <w:r w:rsidRPr="00D4761A">
        <w:rPr>
          <w:rFonts w:cstheme="minorHAnsi"/>
          <w:szCs w:val="24"/>
        </w:rPr>
        <w:t xml:space="preserve"> etanolu na hlavu</w:t>
      </w:r>
      <w:r w:rsidR="00895D06" w:rsidRPr="00D4761A">
        <w:rPr>
          <w:rFonts w:cstheme="minorHAnsi"/>
          <w:szCs w:val="24"/>
        </w:rPr>
        <w:t xml:space="preserve"> </w:t>
      </w:r>
      <w:r w:rsidRPr="00D4761A">
        <w:rPr>
          <w:rFonts w:cstheme="minorHAnsi"/>
          <w:szCs w:val="24"/>
        </w:rPr>
        <w:t>(1</w:t>
      </w:r>
      <w:r w:rsidR="00DE3FDA" w:rsidRPr="00D4761A">
        <w:rPr>
          <w:rFonts w:cstheme="minorHAnsi"/>
          <w:szCs w:val="24"/>
        </w:rPr>
        <w:t>1</w:t>
      </w:r>
      <w:r w:rsidR="00355862" w:rsidRPr="00D4761A">
        <w:rPr>
          <w:rFonts w:cstheme="minorHAnsi"/>
          <w:szCs w:val="24"/>
        </w:rPr>
        <w:t>8</w:t>
      </w:r>
      <w:r w:rsidRPr="00D4761A">
        <w:rPr>
          <w:rFonts w:cstheme="minorHAnsi"/>
          <w:szCs w:val="24"/>
        </w:rPr>
        <w:t xml:space="preserve">). Pacienti </w:t>
      </w:r>
      <w:r w:rsidR="00672ED4" w:rsidRPr="00D4761A">
        <w:rPr>
          <w:rFonts w:cstheme="minorHAnsi"/>
          <w:szCs w:val="24"/>
        </w:rPr>
        <w:lastRenderedPageBreak/>
        <w:t>v </w:t>
      </w:r>
      <w:r w:rsidRPr="00D4761A">
        <w:rPr>
          <w:rFonts w:cstheme="minorHAnsi"/>
          <w:szCs w:val="24"/>
        </w:rPr>
        <w:t xml:space="preserve">registrech MMR </w:t>
      </w:r>
      <w:r w:rsidR="00672ED4" w:rsidRPr="00D4761A">
        <w:rPr>
          <w:rFonts w:cstheme="minorHAnsi"/>
          <w:szCs w:val="24"/>
        </w:rPr>
        <w:t>i </w:t>
      </w:r>
      <w:r w:rsidRPr="00D4761A">
        <w:rPr>
          <w:rFonts w:cstheme="minorHAnsi"/>
          <w:szCs w:val="24"/>
        </w:rPr>
        <w:t xml:space="preserve">FAR-NHL žijí </w:t>
      </w:r>
      <w:r w:rsidR="00672ED4" w:rsidRPr="00D4761A">
        <w:rPr>
          <w:rFonts w:cstheme="minorHAnsi"/>
          <w:szCs w:val="24"/>
        </w:rPr>
        <w:t>v </w:t>
      </w:r>
      <w:r w:rsidRPr="00D4761A">
        <w:rPr>
          <w:rFonts w:cstheme="minorHAnsi"/>
          <w:szCs w:val="24"/>
        </w:rPr>
        <w:t xml:space="preserve">oblastech </w:t>
      </w:r>
      <w:r w:rsidR="00672ED4" w:rsidRPr="00D4761A">
        <w:rPr>
          <w:rFonts w:cstheme="minorHAnsi"/>
          <w:szCs w:val="24"/>
        </w:rPr>
        <w:t>s </w:t>
      </w:r>
      <w:r w:rsidRPr="00D4761A">
        <w:rPr>
          <w:rFonts w:cstheme="minorHAnsi"/>
          <w:szCs w:val="24"/>
        </w:rPr>
        <w:t xml:space="preserve">předpokládaným vysokým příjmem etanolu ve srovnání </w:t>
      </w:r>
      <w:r w:rsidR="00672ED4" w:rsidRPr="00D4761A">
        <w:rPr>
          <w:rFonts w:cstheme="minorHAnsi"/>
          <w:szCs w:val="24"/>
        </w:rPr>
        <w:t>s </w:t>
      </w:r>
      <w:r w:rsidRPr="00D4761A">
        <w:rPr>
          <w:rFonts w:cstheme="minorHAnsi"/>
          <w:szCs w:val="24"/>
        </w:rPr>
        <w:t xml:space="preserve">ostatními částmi ČR. Je tedy možné, že vyšší podíl neischemické kardiomyopatie by mohl být způsoben dilatační kardiomyopatií </w:t>
      </w:r>
      <w:r w:rsidR="00672ED4" w:rsidRPr="00D4761A">
        <w:rPr>
          <w:rFonts w:cstheme="minorHAnsi"/>
          <w:szCs w:val="24"/>
        </w:rPr>
        <w:t>v </w:t>
      </w:r>
      <w:r w:rsidRPr="00D4761A">
        <w:rPr>
          <w:rFonts w:cstheme="minorHAnsi"/>
          <w:szCs w:val="24"/>
        </w:rPr>
        <w:t>důsledku abúzu alkoholu.</w:t>
      </w:r>
    </w:p>
    <w:p w14:paraId="6389F60F" w14:textId="77777777" w:rsidR="002F477B" w:rsidRPr="00D4761A" w:rsidRDefault="002F477B" w:rsidP="00AF5A33">
      <w:pPr>
        <w:rPr>
          <w:rFonts w:cstheme="minorHAnsi"/>
          <w:szCs w:val="24"/>
        </w:rPr>
      </w:pPr>
    </w:p>
    <w:p w14:paraId="52ED17C9" w14:textId="70914D88" w:rsidR="00AF5A33" w:rsidRPr="00D4761A" w:rsidRDefault="00672ED4" w:rsidP="002F477B">
      <w:pPr>
        <w:ind w:firstLine="708"/>
        <w:rPr>
          <w:rFonts w:cstheme="minorHAnsi"/>
          <w:szCs w:val="24"/>
        </w:rPr>
      </w:pPr>
      <w:r w:rsidRPr="00D4761A">
        <w:rPr>
          <w:rFonts w:cstheme="minorHAnsi"/>
          <w:szCs w:val="24"/>
        </w:rPr>
        <w:t>V </w:t>
      </w:r>
      <w:r w:rsidR="00AF5A33" w:rsidRPr="00D4761A">
        <w:rPr>
          <w:rFonts w:cstheme="minorHAnsi"/>
          <w:szCs w:val="24"/>
        </w:rPr>
        <w:t xml:space="preserve">klinickém hodnocení srdečního selhání měli pacienti kohorty B </w:t>
      </w:r>
      <w:r w:rsidR="00BB1DF0" w:rsidRPr="00D4761A">
        <w:rPr>
          <w:rFonts w:cstheme="minorHAnsi"/>
          <w:szCs w:val="24"/>
        </w:rPr>
        <w:t xml:space="preserve">tendenci k </w:t>
      </w:r>
      <w:r w:rsidR="00AF5A33" w:rsidRPr="00D4761A">
        <w:rPr>
          <w:rFonts w:cstheme="minorHAnsi"/>
          <w:szCs w:val="24"/>
        </w:rPr>
        <w:t>vyšší koncentraci N-terminálního natriuretického propeptidu typu B (2563,5 vs 1631 pg/ml</w:t>
      </w:r>
      <w:r w:rsidR="00BB1DF0" w:rsidRPr="00D4761A">
        <w:rPr>
          <w:rFonts w:cstheme="minorHAnsi"/>
          <w:szCs w:val="24"/>
        </w:rPr>
        <w:t xml:space="preserve">, </w:t>
      </w:r>
      <w:r w:rsidR="00BB1DF0" w:rsidRPr="00D4761A">
        <w:t>p= 0.07</w:t>
      </w:r>
      <w:r w:rsidR="00AF5A33" w:rsidRPr="00D4761A">
        <w:rPr>
          <w:rFonts w:cstheme="minorHAnsi"/>
          <w:szCs w:val="24"/>
        </w:rPr>
        <w:t>), nižší ejekční frakci levé komory (27,8</w:t>
      </w:r>
      <w:r w:rsidRPr="00D4761A">
        <w:rPr>
          <w:rFonts w:cstheme="minorHAnsi"/>
          <w:szCs w:val="24"/>
        </w:rPr>
        <w:t> %</w:t>
      </w:r>
      <w:r w:rsidR="00AF5A33" w:rsidRPr="00D4761A">
        <w:rPr>
          <w:rFonts w:cstheme="minorHAnsi"/>
          <w:szCs w:val="24"/>
        </w:rPr>
        <w:t xml:space="preserve"> vs 29,6</w:t>
      </w:r>
      <w:r w:rsidRPr="00D4761A">
        <w:rPr>
          <w:rFonts w:cstheme="minorHAnsi"/>
          <w:szCs w:val="24"/>
        </w:rPr>
        <w:t> %</w:t>
      </w:r>
      <w:r w:rsidR="00BB1DF0" w:rsidRPr="00D4761A">
        <w:rPr>
          <w:rFonts w:cstheme="minorHAnsi"/>
          <w:szCs w:val="24"/>
        </w:rPr>
        <w:t xml:space="preserve">, </w:t>
      </w:r>
      <w:r w:rsidR="00BB1DF0" w:rsidRPr="00D4761A">
        <w:t>p=0.04</w:t>
      </w:r>
      <w:r w:rsidR="00AF5A33" w:rsidRPr="00D4761A">
        <w:rPr>
          <w:rFonts w:cstheme="minorHAnsi"/>
          <w:szCs w:val="24"/>
        </w:rPr>
        <w:t xml:space="preserve">) </w:t>
      </w:r>
      <w:r w:rsidRPr="00D4761A">
        <w:rPr>
          <w:rFonts w:cstheme="minorHAnsi"/>
          <w:szCs w:val="24"/>
        </w:rPr>
        <w:t>a </w:t>
      </w:r>
      <w:r w:rsidR="00AF5A33" w:rsidRPr="00D4761A">
        <w:rPr>
          <w:rFonts w:cstheme="minorHAnsi"/>
          <w:szCs w:val="24"/>
        </w:rPr>
        <w:t>vyšší podíl pacientů ve funkční třídě NYHA III (32</w:t>
      </w:r>
      <w:r w:rsidR="002704B3" w:rsidRPr="00D4761A">
        <w:rPr>
          <w:rFonts w:cstheme="minorHAnsi"/>
          <w:szCs w:val="24"/>
        </w:rPr>
        <w:t>,7</w:t>
      </w:r>
      <w:r w:rsidRPr="00D4761A">
        <w:rPr>
          <w:rFonts w:cstheme="minorHAnsi"/>
          <w:szCs w:val="24"/>
        </w:rPr>
        <w:t> %</w:t>
      </w:r>
      <w:r w:rsidR="002704B3" w:rsidRPr="00D4761A">
        <w:rPr>
          <w:rFonts w:cstheme="minorHAnsi"/>
          <w:szCs w:val="24"/>
        </w:rPr>
        <w:t xml:space="preserve"> vs. 23,1</w:t>
      </w:r>
      <w:r w:rsidRPr="00D4761A">
        <w:rPr>
          <w:rFonts w:cstheme="minorHAnsi"/>
          <w:szCs w:val="24"/>
        </w:rPr>
        <w:t> %</w:t>
      </w:r>
      <w:r w:rsidR="002704B3" w:rsidRPr="00D4761A">
        <w:rPr>
          <w:rFonts w:cstheme="minorHAnsi"/>
          <w:szCs w:val="24"/>
        </w:rPr>
        <w:t xml:space="preserve">) než pacienti </w:t>
      </w:r>
      <w:r w:rsidRPr="00D4761A">
        <w:rPr>
          <w:rFonts w:cstheme="minorHAnsi"/>
          <w:szCs w:val="24"/>
        </w:rPr>
        <w:t>v </w:t>
      </w:r>
      <w:r w:rsidR="00AF5A33" w:rsidRPr="00D4761A">
        <w:rPr>
          <w:rFonts w:cstheme="minorHAnsi"/>
          <w:szCs w:val="24"/>
        </w:rPr>
        <w:t xml:space="preserve">kohortě A. Tento rozdíl je pravděpodobně vysvětlitelný selekčním zkreslením (selection bias). Pacienti odeslaní v kohortě B do obou ambulancí jsou </w:t>
      </w:r>
      <w:r w:rsidRPr="00D4761A">
        <w:rPr>
          <w:rFonts w:cstheme="minorHAnsi"/>
          <w:szCs w:val="24"/>
        </w:rPr>
        <w:t>v </w:t>
      </w:r>
      <w:r w:rsidR="00AF5A33" w:rsidRPr="00D4761A">
        <w:rPr>
          <w:rFonts w:cstheme="minorHAnsi"/>
          <w:szCs w:val="24"/>
        </w:rPr>
        <w:t xml:space="preserve">pokročilejším stádiu srdečního selhání </w:t>
      </w:r>
      <w:r w:rsidRPr="00D4761A">
        <w:rPr>
          <w:rFonts w:cstheme="minorHAnsi"/>
          <w:szCs w:val="24"/>
        </w:rPr>
        <w:t>a </w:t>
      </w:r>
      <w:r w:rsidR="00AF5A33" w:rsidRPr="00D4761A">
        <w:rPr>
          <w:rFonts w:cstheme="minorHAnsi"/>
          <w:szCs w:val="24"/>
        </w:rPr>
        <w:t xml:space="preserve">méně pokročilí pacienti zůstávají </w:t>
      </w:r>
      <w:r w:rsidRPr="00D4761A">
        <w:rPr>
          <w:rFonts w:cstheme="minorHAnsi"/>
          <w:szCs w:val="24"/>
        </w:rPr>
        <w:t>v </w:t>
      </w:r>
      <w:r w:rsidR="00AF5A33" w:rsidRPr="00D4761A">
        <w:rPr>
          <w:rFonts w:cstheme="minorHAnsi"/>
          <w:szCs w:val="24"/>
        </w:rPr>
        <w:t>péči místních internistů, kardiologů anebo praktických lékařů.</w:t>
      </w:r>
    </w:p>
    <w:p w14:paraId="6CB657C1" w14:textId="77777777" w:rsidR="00AF5A33" w:rsidRPr="00D4761A" w:rsidRDefault="00AF5A33" w:rsidP="00AF5A33">
      <w:pPr>
        <w:rPr>
          <w:rFonts w:cstheme="minorHAnsi"/>
          <w:szCs w:val="24"/>
        </w:rPr>
      </w:pPr>
    </w:p>
    <w:p w14:paraId="2A5169DF" w14:textId="5205C67D" w:rsidR="00AF5A33" w:rsidRPr="00D4761A" w:rsidRDefault="00AF5A33" w:rsidP="002F477B">
      <w:pPr>
        <w:ind w:firstLine="708"/>
        <w:rPr>
          <w:rFonts w:cstheme="minorHAnsi"/>
          <w:szCs w:val="24"/>
        </w:rPr>
      </w:pPr>
      <w:r w:rsidRPr="00D4761A">
        <w:rPr>
          <w:rFonts w:cstheme="minorHAnsi"/>
          <w:szCs w:val="24"/>
        </w:rPr>
        <w:t xml:space="preserve">Farmakoterapie obou skupin pacientů je velmi podobná </w:t>
      </w:r>
      <w:r w:rsidR="00672ED4" w:rsidRPr="00D4761A">
        <w:rPr>
          <w:rFonts w:cstheme="minorHAnsi"/>
          <w:szCs w:val="24"/>
        </w:rPr>
        <w:t>v </w:t>
      </w:r>
      <w:r w:rsidRPr="00D4761A">
        <w:rPr>
          <w:rFonts w:cstheme="minorHAnsi"/>
          <w:szCs w:val="24"/>
        </w:rPr>
        <w:t xml:space="preserve">užívání léků modifikujících mortalitu </w:t>
      </w:r>
      <w:r w:rsidR="00672ED4" w:rsidRPr="00D4761A">
        <w:rPr>
          <w:rFonts w:cstheme="minorHAnsi"/>
          <w:szCs w:val="24"/>
        </w:rPr>
        <w:t>a </w:t>
      </w:r>
      <w:r w:rsidRPr="00D4761A">
        <w:rPr>
          <w:rFonts w:cstheme="minorHAnsi"/>
          <w:szCs w:val="24"/>
        </w:rPr>
        <w:t xml:space="preserve">morbiditu. Ze srovnání vyplývá, že pacienti léčení v kohortě B byli léčeni z pohledu farmakoterapie stejně jako pacienti </w:t>
      </w:r>
      <w:r w:rsidR="00672ED4" w:rsidRPr="00D4761A">
        <w:rPr>
          <w:rFonts w:cstheme="minorHAnsi"/>
          <w:szCs w:val="24"/>
        </w:rPr>
        <w:t>v </w:t>
      </w:r>
      <w:r w:rsidRPr="00D4761A">
        <w:rPr>
          <w:rFonts w:cstheme="minorHAnsi"/>
          <w:szCs w:val="24"/>
        </w:rPr>
        <w:t>mezinárodní randomizované kontrolované klinické studii v kohortě A. To by mohl být cenný argument ve prospěch vytvoření celostátní sítě ambulantních center srdečního selhání (11</w:t>
      </w:r>
      <w:r w:rsidR="00355862" w:rsidRPr="00D4761A">
        <w:rPr>
          <w:rFonts w:cstheme="minorHAnsi"/>
          <w:szCs w:val="24"/>
        </w:rPr>
        <w:t>9</w:t>
      </w:r>
      <w:r w:rsidRPr="00D4761A">
        <w:rPr>
          <w:rFonts w:cstheme="minorHAnsi"/>
          <w:szCs w:val="24"/>
        </w:rPr>
        <w:t xml:space="preserve">). Bylo by zajímavé zjistit, zda existují rozdíly mezi centry </w:t>
      </w:r>
      <w:r w:rsidR="00672ED4" w:rsidRPr="00D4761A">
        <w:rPr>
          <w:rFonts w:cstheme="minorHAnsi"/>
          <w:szCs w:val="24"/>
        </w:rPr>
        <w:t>v </w:t>
      </w:r>
      <w:r w:rsidRPr="00D4761A">
        <w:rPr>
          <w:rFonts w:cstheme="minorHAnsi"/>
          <w:szCs w:val="24"/>
        </w:rPr>
        <w:t>terciárních nemocnicích versus okresních nemocnicích versus privátních ambulantních zařízeních, což ovšem počet pacientů v kohortě B neumožnuje. Vysokou prevalenci MRA v kohortě B lze vysvětlit socioekonomickým faktorem. Všem pacientům v kohortě B byl podán sacubitril-</w:t>
      </w:r>
      <w:r w:rsidR="006162F4" w:rsidRPr="00D4761A">
        <w:rPr>
          <w:rFonts w:cstheme="minorHAnsi"/>
          <w:szCs w:val="24"/>
        </w:rPr>
        <w:t>valsartan,</w:t>
      </w:r>
      <w:r w:rsidRPr="00D4761A">
        <w:rPr>
          <w:rFonts w:cstheme="minorHAnsi"/>
          <w:szCs w:val="24"/>
        </w:rPr>
        <w:t xml:space="preserve"> </w:t>
      </w:r>
      <w:r w:rsidR="00672ED4" w:rsidRPr="00D4761A">
        <w:rPr>
          <w:rFonts w:cstheme="minorHAnsi"/>
          <w:szCs w:val="24"/>
        </w:rPr>
        <w:t>a </w:t>
      </w:r>
      <w:r w:rsidRPr="00D4761A">
        <w:rPr>
          <w:rFonts w:cstheme="minorHAnsi"/>
          <w:szCs w:val="24"/>
        </w:rPr>
        <w:t>tudíž musela být respektována preskripční pravidla zdravotních pojišťoven pro jeho nasazení.</w:t>
      </w:r>
      <w:r w:rsidR="00597804" w:rsidRPr="00D4761A">
        <w:rPr>
          <w:rFonts w:cstheme="minorHAnsi"/>
          <w:szCs w:val="24"/>
        </w:rPr>
        <w:t xml:space="preserve"> </w:t>
      </w:r>
      <w:r w:rsidRPr="00D4761A">
        <w:rPr>
          <w:rFonts w:cstheme="minorHAnsi"/>
          <w:szCs w:val="24"/>
        </w:rPr>
        <w:t xml:space="preserve">Součástí těchto pravidel byla nutnost nasazení terapie antagonisty mineralokortikoidních receptorů (MRA) </w:t>
      </w:r>
      <w:r w:rsidR="00672ED4" w:rsidRPr="00D4761A">
        <w:rPr>
          <w:rFonts w:cstheme="minorHAnsi"/>
          <w:szCs w:val="24"/>
        </w:rPr>
        <w:t>u </w:t>
      </w:r>
      <w:r w:rsidRPr="00D4761A">
        <w:rPr>
          <w:rFonts w:cstheme="minorHAnsi"/>
          <w:szCs w:val="24"/>
        </w:rPr>
        <w:t xml:space="preserve">všech pacientů, kterým byl nasazen sacubitril/valsartan. Výjimku tvořili pacienti s prokázanou nesnášenlivostí na oba zástupce </w:t>
      </w:r>
      <w:r w:rsidR="00672ED4" w:rsidRPr="00D4761A">
        <w:rPr>
          <w:rFonts w:cstheme="minorHAnsi"/>
          <w:szCs w:val="24"/>
        </w:rPr>
        <w:t>z </w:t>
      </w:r>
      <w:r w:rsidRPr="00D4761A">
        <w:rPr>
          <w:rFonts w:cstheme="minorHAnsi"/>
          <w:szCs w:val="24"/>
        </w:rPr>
        <w:t>lékové skupiny MRA (9 pacientů).</w:t>
      </w:r>
      <w:r w:rsidR="00597804" w:rsidRPr="00D4761A">
        <w:rPr>
          <w:rFonts w:cstheme="minorHAnsi"/>
          <w:szCs w:val="24"/>
        </w:rPr>
        <w:t xml:space="preserve"> </w:t>
      </w:r>
      <w:r w:rsidRPr="00D4761A">
        <w:rPr>
          <w:rFonts w:cstheme="minorHAnsi"/>
          <w:szCs w:val="24"/>
        </w:rPr>
        <w:t>V kohortě B byl 21 (20,2</w:t>
      </w:r>
      <w:r w:rsidR="00672ED4" w:rsidRPr="00D4761A">
        <w:rPr>
          <w:rFonts w:cstheme="minorHAnsi"/>
          <w:szCs w:val="24"/>
        </w:rPr>
        <w:t> %</w:t>
      </w:r>
      <w:r w:rsidRPr="00D4761A">
        <w:rPr>
          <w:rFonts w:cstheme="minorHAnsi"/>
          <w:szCs w:val="24"/>
        </w:rPr>
        <w:t>) pacientů</w:t>
      </w:r>
      <w:r w:rsidR="00636B48" w:rsidRPr="00D4761A">
        <w:rPr>
          <w:rFonts w:cstheme="minorHAnsi"/>
          <w:szCs w:val="24"/>
        </w:rPr>
        <w:t>m</w:t>
      </w:r>
      <w:r w:rsidRPr="00D4761A">
        <w:rPr>
          <w:rFonts w:cstheme="minorHAnsi"/>
          <w:szCs w:val="24"/>
        </w:rPr>
        <w:t xml:space="preserve"> nasazen eplerenon </w:t>
      </w:r>
      <w:r w:rsidR="00672ED4" w:rsidRPr="00D4761A">
        <w:rPr>
          <w:rFonts w:cstheme="minorHAnsi"/>
          <w:szCs w:val="24"/>
        </w:rPr>
        <w:t>a </w:t>
      </w:r>
      <w:r w:rsidRPr="00D4761A">
        <w:rPr>
          <w:rFonts w:cstheme="minorHAnsi"/>
          <w:szCs w:val="24"/>
        </w:rPr>
        <w:t>74 pacientů (71,2</w:t>
      </w:r>
      <w:r w:rsidR="00672ED4" w:rsidRPr="00D4761A">
        <w:rPr>
          <w:rFonts w:cstheme="minorHAnsi"/>
          <w:szCs w:val="24"/>
        </w:rPr>
        <w:t> %</w:t>
      </w:r>
      <w:r w:rsidRPr="00D4761A">
        <w:rPr>
          <w:rFonts w:cstheme="minorHAnsi"/>
          <w:szCs w:val="24"/>
        </w:rPr>
        <w:t>) užívalo spironolakton. Vysoká prevalence MRA byla pravděpodobně výsledkem obav před případnou finanční pokutou zdravotních pojišťoven v případě nedodržení preskripčních kritérií při podávání sacubitril-valsartanu.</w:t>
      </w:r>
    </w:p>
    <w:p w14:paraId="10575313" w14:textId="617F3599" w:rsidR="00AF5A33" w:rsidRPr="00D4761A" w:rsidRDefault="00AF5A33" w:rsidP="002F477B">
      <w:pPr>
        <w:ind w:firstLine="708"/>
        <w:rPr>
          <w:rFonts w:cstheme="minorHAnsi"/>
          <w:szCs w:val="24"/>
        </w:rPr>
      </w:pPr>
      <w:r w:rsidRPr="00D4761A">
        <w:rPr>
          <w:rFonts w:cstheme="minorHAnsi"/>
          <w:szCs w:val="24"/>
        </w:rPr>
        <w:t xml:space="preserve">Dalším významným rozdílem je nižší prevalence terapie digoxinem </w:t>
      </w:r>
      <w:r w:rsidR="00672ED4" w:rsidRPr="00D4761A">
        <w:rPr>
          <w:rFonts w:cstheme="minorHAnsi"/>
          <w:szCs w:val="24"/>
        </w:rPr>
        <w:t>u </w:t>
      </w:r>
      <w:r w:rsidRPr="00D4761A">
        <w:rPr>
          <w:rFonts w:cstheme="minorHAnsi"/>
          <w:szCs w:val="24"/>
        </w:rPr>
        <w:t xml:space="preserve">pacientů v kohortě B. Domníváme se, že by mohlo jít </w:t>
      </w:r>
      <w:r w:rsidR="00672ED4" w:rsidRPr="00D4761A">
        <w:rPr>
          <w:rFonts w:cstheme="minorHAnsi"/>
          <w:szCs w:val="24"/>
        </w:rPr>
        <w:t>o </w:t>
      </w:r>
      <w:r w:rsidRPr="00D4761A">
        <w:rPr>
          <w:rFonts w:cstheme="minorHAnsi"/>
          <w:szCs w:val="24"/>
        </w:rPr>
        <w:t xml:space="preserve">důsledek vysokého využití resynchronizační terapie (CRT) </w:t>
      </w:r>
      <w:r w:rsidR="00672ED4" w:rsidRPr="00D4761A">
        <w:rPr>
          <w:rFonts w:cstheme="minorHAnsi"/>
          <w:szCs w:val="24"/>
        </w:rPr>
        <w:t>v </w:t>
      </w:r>
      <w:r w:rsidRPr="00D4761A">
        <w:rPr>
          <w:rFonts w:cstheme="minorHAnsi"/>
          <w:szCs w:val="24"/>
        </w:rPr>
        <w:t xml:space="preserve">kombinaci </w:t>
      </w:r>
      <w:r w:rsidR="00672ED4" w:rsidRPr="00D4761A">
        <w:rPr>
          <w:rFonts w:cstheme="minorHAnsi"/>
          <w:szCs w:val="24"/>
        </w:rPr>
        <w:t>s </w:t>
      </w:r>
      <w:r w:rsidRPr="00D4761A">
        <w:rPr>
          <w:rFonts w:cstheme="minorHAnsi"/>
          <w:szCs w:val="24"/>
        </w:rPr>
        <w:t xml:space="preserve">ablací atrioventrikulárního uzlu </w:t>
      </w:r>
      <w:r w:rsidR="00672ED4" w:rsidRPr="00D4761A">
        <w:rPr>
          <w:rFonts w:cstheme="minorHAnsi"/>
          <w:szCs w:val="24"/>
        </w:rPr>
        <w:t>u </w:t>
      </w:r>
      <w:r w:rsidRPr="00D4761A">
        <w:rPr>
          <w:rFonts w:cstheme="minorHAnsi"/>
          <w:szCs w:val="24"/>
        </w:rPr>
        <w:t xml:space="preserve">pacientů se srdečním selháním </w:t>
      </w:r>
      <w:r w:rsidR="00672ED4" w:rsidRPr="00D4761A">
        <w:rPr>
          <w:rFonts w:cstheme="minorHAnsi"/>
          <w:szCs w:val="24"/>
        </w:rPr>
        <w:t>a </w:t>
      </w:r>
      <w:r w:rsidRPr="00D4761A">
        <w:rPr>
          <w:rFonts w:cstheme="minorHAnsi"/>
          <w:szCs w:val="24"/>
        </w:rPr>
        <w:t>fibrilací síní.</w:t>
      </w:r>
    </w:p>
    <w:p w14:paraId="69C6C574" w14:textId="55BC9FDC" w:rsidR="00597804" w:rsidRPr="00D4761A" w:rsidRDefault="00AF5A33" w:rsidP="002F477B">
      <w:pPr>
        <w:ind w:firstLine="708"/>
        <w:rPr>
          <w:rFonts w:cstheme="minorHAnsi"/>
          <w:szCs w:val="24"/>
        </w:rPr>
      </w:pPr>
      <w:r w:rsidRPr="00D4761A">
        <w:rPr>
          <w:rFonts w:cstheme="minorHAnsi"/>
          <w:szCs w:val="24"/>
        </w:rPr>
        <w:lastRenderedPageBreak/>
        <w:t xml:space="preserve">Dále byl zjištěn výrazný rozdíl </w:t>
      </w:r>
      <w:r w:rsidR="00672ED4" w:rsidRPr="00D4761A">
        <w:rPr>
          <w:rFonts w:cstheme="minorHAnsi"/>
          <w:szCs w:val="24"/>
        </w:rPr>
        <w:t>v </w:t>
      </w:r>
      <w:r w:rsidRPr="00D4761A">
        <w:rPr>
          <w:rFonts w:cstheme="minorHAnsi"/>
          <w:szCs w:val="24"/>
        </w:rPr>
        <w:t xml:space="preserve">použití implantabilních kardioverter-defibrilátorů (ICD) </w:t>
      </w:r>
      <w:r w:rsidR="00672ED4" w:rsidRPr="00D4761A">
        <w:rPr>
          <w:rFonts w:cstheme="minorHAnsi"/>
          <w:szCs w:val="24"/>
        </w:rPr>
        <w:t>a </w:t>
      </w:r>
      <w:r w:rsidRPr="00D4761A">
        <w:rPr>
          <w:rFonts w:cstheme="minorHAnsi"/>
          <w:szCs w:val="24"/>
        </w:rPr>
        <w:t xml:space="preserve">srdeční resynchronizační terapie (CRT). Tento rozdíl lze částečně vysvětlit časovým rozdílem sedmi let mezi náborem pacientů do obou kohort. Za druhé studie Paradigm-HF (kohorta A) zahrnovala pacienty ze 47 zemí </w:t>
      </w:r>
      <w:r w:rsidR="00672ED4" w:rsidRPr="00D4761A">
        <w:rPr>
          <w:rFonts w:cstheme="minorHAnsi"/>
          <w:szCs w:val="24"/>
        </w:rPr>
        <w:t>s </w:t>
      </w:r>
      <w:r w:rsidRPr="00D4761A">
        <w:rPr>
          <w:rFonts w:cstheme="minorHAnsi"/>
          <w:szCs w:val="24"/>
        </w:rPr>
        <w:t xml:space="preserve">různými systémy zdravotní péče </w:t>
      </w:r>
      <w:r w:rsidR="00672ED4" w:rsidRPr="00D4761A">
        <w:rPr>
          <w:rFonts w:cstheme="minorHAnsi"/>
          <w:szCs w:val="24"/>
        </w:rPr>
        <w:t>a </w:t>
      </w:r>
      <w:r w:rsidRPr="00D4761A">
        <w:rPr>
          <w:rFonts w:cstheme="minorHAnsi"/>
          <w:szCs w:val="24"/>
        </w:rPr>
        <w:t xml:space="preserve">různými reálnými možnostmi péče </w:t>
      </w:r>
      <w:r w:rsidR="00672ED4" w:rsidRPr="00D4761A">
        <w:rPr>
          <w:rFonts w:cstheme="minorHAnsi"/>
          <w:szCs w:val="24"/>
        </w:rPr>
        <w:t>o </w:t>
      </w:r>
      <w:r w:rsidRPr="00D4761A">
        <w:rPr>
          <w:rFonts w:cstheme="minorHAnsi"/>
          <w:szCs w:val="24"/>
        </w:rPr>
        <w:t xml:space="preserve">pacienty. Odpovídá to známým údajům </w:t>
      </w:r>
      <w:r w:rsidR="00672ED4" w:rsidRPr="00D4761A">
        <w:rPr>
          <w:rFonts w:cstheme="minorHAnsi"/>
          <w:szCs w:val="24"/>
        </w:rPr>
        <w:t>o </w:t>
      </w:r>
      <w:r w:rsidRPr="00D4761A">
        <w:rPr>
          <w:rFonts w:cstheme="minorHAnsi"/>
          <w:szCs w:val="24"/>
        </w:rPr>
        <w:t xml:space="preserve">používání ICD/CRT publikovaným </w:t>
      </w:r>
      <w:r w:rsidR="00672ED4" w:rsidRPr="00D4761A">
        <w:rPr>
          <w:rFonts w:cstheme="minorHAnsi"/>
          <w:szCs w:val="24"/>
        </w:rPr>
        <w:t>v </w:t>
      </w:r>
      <w:r w:rsidRPr="00D4761A">
        <w:rPr>
          <w:rFonts w:cstheme="minorHAnsi"/>
          <w:szCs w:val="24"/>
        </w:rPr>
        <w:t xml:space="preserve">Bílé knize European Heart Rhythm Association (EHRA), která potvrzuje vysokou prevalenci přístrojové terapie </w:t>
      </w:r>
      <w:r w:rsidR="00672ED4" w:rsidRPr="00D4761A">
        <w:rPr>
          <w:rFonts w:cstheme="minorHAnsi"/>
          <w:szCs w:val="24"/>
        </w:rPr>
        <w:t>v </w:t>
      </w:r>
      <w:r w:rsidRPr="00D4761A">
        <w:rPr>
          <w:rFonts w:cstheme="minorHAnsi"/>
          <w:szCs w:val="24"/>
        </w:rPr>
        <w:t>České republice (1</w:t>
      </w:r>
      <w:r w:rsidR="00355862" w:rsidRPr="00D4761A">
        <w:rPr>
          <w:rFonts w:cstheme="minorHAnsi"/>
          <w:szCs w:val="24"/>
        </w:rPr>
        <w:t>20</w:t>
      </w:r>
      <w:r w:rsidRPr="00D4761A">
        <w:rPr>
          <w:rFonts w:cstheme="minorHAnsi"/>
          <w:szCs w:val="24"/>
        </w:rPr>
        <w:t>). Možnost účinné, ale zároveň finančně náročné nefarmakologické léčby srdečního selhání odpovídá ekonomicky silným státům Evropské unie.</w:t>
      </w:r>
    </w:p>
    <w:p w14:paraId="7BA4DC46" w14:textId="62E3F95E" w:rsidR="00AF5A33" w:rsidRPr="00D4761A" w:rsidRDefault="00AF5A33" w:rsidP="002F477B">
      <w:pPr>
        <w:ind w:firstLine="708"/>
        <w:rPr>
          <w:rFonts w:cstheme="minorHAnsi"/>
          <w:szCs w:val="24"/>
        </w:rPr>
      </w:pPr>
      <w:r w:rsidRPr="00D4761A">
        <w:rPr>
          <w:rFonts w:cstheme="minorHAnsi"/>
          <w:szCs w:val="24"/>
        </w:rPr>
        <w:t xml:space="preserve">Zásadní rozdíl </w:t>
      </w:r>
      <w:r w:rsidR="00672ED4" w:rsidRPr="00D4761A">
        <w:rPr>
          <w:rFonts w:cstheme="minorHAnsi"/>
          <w:szCs w:val="24"/>
        </w:rPr>
        <w:t>v </w:t>
      </w:r>
      <w:r w:rsidRPr="00D4761A">
        <w:rPr>
          <w:rFonts w:cstheme="minorHAnsi"/>
          <w:szCs w:val="24"/>
        </w:rPr>
        <w:t xml:space="preserve">populacích sledovaných kohort spočívá </w:t>
      </w:r>
      <w:r w:rsidR="00672ED4" w:rsidRPr="00D4761A">
        <w:rPr>
          <w:rFonts w:cstheme="minorHAnsi"/>
          <w:szCs w:val="24"/>
        </w:rPr>
        <w:t>v </w:t>
      </w:r>
      <w:r w:rsidRPr="00D4761A">
        <w:rPr>
          <w:rFonts w:cstheme="minorHAnsi"/>
          <w:szCs w:val="24"/>
        </w:rPr>
        <w:t xml:space="preserve">dávkování léků modifikujících mortalitu/morbiditu. </w:t>
      </w:r>
      <w:r w:rsidR="00672ED4" w:rsidRPr="00D4761A">
        <w:rPr>
          <w:rFonts w:cstheme="minorHAnsi"/>
          <w:szCs w:val="24"/>
        </w:rPr>
        <w:t>U </w:t>
      </w:r>
      <w:r w:rsidRPr="00D4761A">
        <w:rPr>
          <w:rFonts w:cstheme="minorHAnsi"/>
          <w:szCs w:val="24"/>
        </w:rPr>
        <w:t>pacientů v kohortě B byly nejčastějšími ACEi ramipril (40,4</w:t>
      </w:r>
      <w:r w:rsidR="00672ED4" w:rsidRPr="00D4761A">
        <w:rPr>
          <w:rFonts w:cstheme="minorHAnsi"/>
          <w:szCs w:val="24"/>
        </w:rPr>
        <w:t> %</w:t>
      </w:r>
      <w:r w:rsidRPr="00D4761A">
        <w:rPr>
          <w:rFonts w:cstheme="minorHAnsi"/>
          <w:szCs w:val="24"/>
        </w:rPr>
        <w:t xml:space="preserve">) </w:t>
      </w:r>
      <w:r w:rsidR="00672ED4" w:rsidRPr="00D4761A">
        <w:rPr>
          <w:rFonts w:cstheme="minorHAnsi"/>
          <w:szCs w:val="24"/>
        </w:rPr>
        <w:t>a </w:t>
      </w:r>
      <w:r w:rsidRPr="00D4761A">
        <w:rPr>
          <w:rFonts w:cstheme="minorHAnsi"/>
          <w:szCs w:val="24"/>
        </w:rPr>
        <w:t>perindopril (26,9</w:t>
      </w:r>
      <w:r w:rsidR="00672ED4" w:rsidRPr="00D4761A">
        <w:rPr>
          <w:rFonts w:cstheme="minorHAnsi"/>
          <w:szCs w:val="24"/>
        </w:rPr>
        <w:t> %</w:t>
      </w:r>
      <w:r w:rsidRPr="00D4761A">
        <w:rPr>
          <w:rFonts w:cstheme="minorHAnsi"/>
          <w:szCs w:val="24"/>
        </w:rPr>
        <w:t xml:space="preserve">). Tyto ACEi jsou také nejčastěji používané ACEi </w:t>
      </w:r>
      <w:r w:rsidR="00672ED4" w:rsidRPr="00D4761A">
        <w:rPr>
          <w:rFonts w:cstheme="minorHAnsi"/>
          <w:szCs w:val="24"/>
        </w:rPr>
        <w:t>v </w:t>
      </w:r>
      <w:r w:rsidRPr="00D4761A">
        <w:rPr>
          <w:rFonts w:cstheme="minorHAnsi"/>
          <w:szCs w:val="24"/>
        </w:rPr>
        <w:t xml:space="preserve">České republice (120). Zajímavé je, že dávka ramiprilu byla </w:t>
      </w:r>
      <w:r w:rsidR="00672ED4" w:rsidRPr="00D4761A">
        <w:rPr>
          <w:rFonts w:cstheme="minorHAnsi"/>
          <w:szCs w:val="24"/>
        </w:rPr>
        <w:t>u </w:t>
      </w:r>
      <w:r w:rsidRPr="00D4761A">
        <w:rPr>
          <w:rFonts w:cstheme="minorHAnsi"/>
          <w:szCs w:val="24"/>
        </w:rPr>
        <w:t xml:space="preserve">pacientů v kohortě B podstatně nižší než </w:t>
      </w:r>
      <w:r w:rsidR="00672ED4" w:rsidRPr="00D4761A">
        <w:rPr>
          <w:rFonts w:cstheme="minorHAnsi"/>
          <w:szCs w:val="24"/>
        </w:rPr>
        <w:t>u </w:t>
      </w:r>
      <w:r w:rsidRPr="00D4761A">
        <w:rPr>
          <w:rFonts w:cstheme="minorHAnsi"/>
          <w:szCs w:val="24"/>
        </w:rPr>
        <w:t>pacientů v kohortě A</w:t>
      </w:r>
      <w:r w:rsidR="00BB1DF0" w:rsidRPr="00D4761A">
        <w:rPr>
          <w:rFonts w:cstheme="minorHAnsi"/>
          <w:szCs w:val="24"/>
        </w:rPr>
        <w:t xml:space="preserve"> </w:t>
      </w:r>
      <w:r w:rsidR="00BB1DF0" w:rsidRPr="00D4761A">
        <w:t>(4.8 ± 2.9 vs 7.0 ± 3.1 mg,</w:t>
      </w:r>
      <w:r w:rsidR="00CF0706" w:rsidRPr="00D4761A">
        <w:rPr>
          <w:szCs w:val="24"/>
        </w:rPr>
        <w:t xml:space="preserve"> p &lt;0.0001</w:t>
      </w:r>
      <w:r w:rsidR="00BB1DF0" w:rsidRPr="00D4761A">
        <w:t>)</w:t>
      </w:r>
      <w:r w:rsidRPr="00D4761A">
        <w:rPr>
          <w:rFonts w:cstheme="minorHAnsi"/>
          <w:szCs w:val="24"/>
        </w:rPr>
        <w:t>, dávky perindoprilu byly ale podobné. Pro tento rozdíl není zřejmý zjevný důvod.</w:t>
      </w:r>
    </w:p>
    <w:p w14:paraId="7EA35F37" w14:textId="7E53D4F3" w:rsidR="00AF5A33" w:rsidRPr="00D4761A" w:rsidRDefault="00AF5A33" w:rsidP="002F477B">
      <w:pPr>
        <w:ind w:firstLine="708"/>
        <w:rPr>
          <w:rFonts w:cstheme="minorHAnsi"/>
          <w:szCs w:val="24"/>
        </w:rPr>
      </w:pPr>
      <w:r w:rsidRPr="00D4761A">
        <w:rPr>
          <w:rFonts w:cstheme="minorHAnsi"/>
          <w:szCs w:val="24"/>
        </w:rPr>
        <w:t>Nejčastěji předepisovaným ARB byl v kohortě B valsartan (10,6</w:t>
      </w:r>
      <w:r w:rsidR="00672ED4" w:rsidRPr="00D4761A">
        <w:rPr>
          <w:rFonts w:cstheme="minorHAnsi"/>
          <w:szCs w:val="24"/>
        </w:rPr>
        <w:t> %</w:t>
      </w:r>
      <w:r w:rsidRPr="00D4761A">
        <w:rPr>
          <w:rFonts w:cstheme="minorHAnsi"/>
          <w:szCs w:val="24"/>
        </w:rPr>
        <w:t>) následovaný telmisartanem (8,7</w:t>
      </w:r>
      <w:r w:rsidR="00672ED4" w:rsidRPr="00D4761A">
        <w:rPr>
          <w:rFonts w:cstheme="minorHAnsi"/>
          <w:szCs w:val="24"/>
        </w:rPr>
        <w:t> %</w:t>
      </w:r>
      <w:r w:rsidRPr="00D4761A">
        <w:rPr>
          <w:rFonts w:cstheme="minorHAnsi"/>
          <w:szCs w:val="24"/>
        </w:rPr>
        <w:t xml:space="preserve">) </w:t>
      </w:r>
      <w:r w:rsidR="00672ED4" w:rsidRPr="00D4761A">
        <w:rPr>
          <w:rFonts w:cstheme="minorHAnsi"/>
          <w:szCs w:val="24"/>
        </w:rPr>
        <w:t>a </w:t>
      </w:r>
      <w:r w:rsidRPr="00D4761A">
        <w:rPr>
          <w:rFonts w:cstheme="minorHAnsi"/>
          <w:szCs w:val="24"/>
        </w:rPr>
        <w:t>losartanem (5,8</w:t>
      </w:r>
      <w:r w:rsidR="00672ED4" w:rsidRPr="00D4761A">
        <w:rPr>
          <w:rFonts w:cstheme="minorHAnsi"/>
          <w:szCs w:val="24"/>
        </w:rPr>
        <w:t> %</w:t>
      </w:r>
      <w:r w:rsidRPr="00D4761A">
        <w:rPr>
          <w:rFonts w:cstheme="minorHAnsi"/>
          <w:szCs w:val="24"/>
        </w:rPr>
        <w:t>). Toto pořadí se liší se od národních údajů, kde je nejčastěji předepisovaným ARB telmisartan (12</w:t>
      </w:r>
      <w:r w:rsidR="00355862" w:rsidRPr="00D4761A">
        <w:rPr>
          <w:rFonts w:cstheme="minorHAnsi"/>
          <w:szCs w:val="24"/>
        </w:rPr>
        <w:t>1</w:t>
      </w:r>
      <w:r w:rsidRPr="00D4761A">
        <w:rPr>
          <w:rFonts w:cstheme="minorHAnsi"/>
          <w:szCs w:val="24"/>
        </w:rPr>
        <w:t xml:space="preserve">). </w:t>
      </w:r>
      <w:r w:rsidR="00672ED4" w:rsidRPr="00D4761A">
        <w:rPr>
          <w:rFonts w:cstheme="minorHAnsi"/>
          <w:szCs w:val="24"/>
        </w:rPr>
        <w:t>U </w:t>
      </w:r>
      <w:r w:rsidRPr="00D4761A">
        <w:rPr>
          <w:rFonts w:cstheme="minorHAnsi"/>
          <w:szCs w:val="24"/>
        </w:rPr>
        <w:t xml:space="preserve">pacientů kohorty B </w:t>
      </w:r>
      <w:r w:rsidR="00C5713E" w:rsidRPr="00D4761A">
        <w:rPr>
          <w:rFonts w:cstheme="minorHAnsi"/>
          <w:szCs w:val="24"/>
        </w:rPr>
        <w:t>je opět</w:t>
      </w:r>
      <w:r w:rsidRPr="00D4761A">
        <w:rPr>
          <w:rFonts w:cstheme="minorHAnsi"/>
          <w:szCs w:val="24"/>
        </w:rPr>
        <w:t xml:space="preserve"> </w:t>
      </w:r>
      <w:r w:rsidR="00BB1DF0" w:rsidRPr="00D4761A">
        <w:rPr>
          <w:rFonts w:cstheme="minorHAnsi"/>
          <w:szCs w:val="24"/>
        </w:rPr>
        <w:t xml:space="preserve">trend k </w:t>
      </w:r>
      <w:r w:rsidRPr="00D4761A">
        <w:rPr>
          <w:rFonts w:cstheme="minorHAnsi"/>
          <w:szCs w:val="24"/>
        </w:rPr>
        <w:t>nižší</w:t>
      </w:r>
      <w:r w:rsidR="00BB1DF0" w:rsidRPr="00D4761A">
        <w:rPr>
          <w:rFonts w:cstheme="minorHAnsi"/>
          <w:szCs w:val="24"/>
        </w:rPr>
        <w:t>m</w:t>
      </w:r>
      <w:r w:rsidRPr="00D4761A">
        <w:rPr>
          <w:rFonts w:cstheme="minorHAnsi"/>
          <w:szCs w:val="24"/>
        </w:rPr>
        <w:t xml:space="preserve"> dávk</w:t>
      </w:r>
      <w:r w:rsidR="00BB1DF0" w:rsidRPr="00D4761A">
        <w:rPr>
          <w:rFonts w:cstheme="minorHAnsi"/>
          <w:szCs w:val="24"/>
        </w:rPr>
        <w:t>ám</w:t>
      </w:r>
      <w:r w:rsidRPr="00D4761A">
        <w:rPr>
          <w:rFonts w:cstheme="minorHAnsi"/>
          <w:szCs w:val="24"/>
        </w:rPr>
        <w:t xml:space="preserve"> valsartanu </w:t>
      </w:r>
      <w:r w:rsidR="00672ED4" w:rsidRPr="00D4761A">
        <w:rPr>
          <w:rFonts w:cstheme="minorHAnsi"/>
          <w:szCs w:val="24"/>
        </w:rPr>
        <w:t>a </w:t>
      </w:r>
      <w:r w:rsidRPr="00D4761A">
        <w:rPr>
          <w:rFonts w:cstheme="minorHAnsi"/>
          <w:szCs w:val="24"/>
        </w:rPr>
        <w:t xml:space="preserve">losartanu, dávka telmisartanu je </w:t>
      </w:r>
      <w:r w:rsidR="00672ED4" w:rsidRPr="00D4761A">
        <w:rPr>
          <w:rFonts w:cstheme="minorHAnsi"/>
          <w:szCs w:val="24"/>
        </w:rPr>
        <w:t>v </w:t>
      </w:r>
      <w:r w:rsidRPr="00D4761A">
        <w:rPr>
          <w:rFonts w:cstheme="minorHAnsi"/>
          <w:szCs w:val="24"/>
        </w:rPr>
        <w:t>obou skupinách srovnatelná.</w:t>
      </w:r>
    </w:p>
    <w:p w14:paraId="5C88BB0A" w14:textId="3B76469B" w:rsidR="00AF5A33" w:rsidRPr="00D4761A" w:rsidRDefault="00AF5A33" w:rsidP="00A063D5">
      <w:pPr>
        <w:ind w:firstLine="708"/>
        <w:rPr>
          <w:rFonts w:cstheme="minorHAnsi"/>
          <w:szCs w:val="24"/>
        </w:rPr>
      </w:pPr>
      <w:r w:rsidRPr="00D4761A">
        <w:rPr>
          <w:rFonts w:cstheme="minorHAnsi"/>
          <w:szCs w:val="24"/>
        </w:rPr>
        <w:t xml:space="preserve">Nejčastějším betablokátorem </w:t>
      </w:r>
      <w:r w:rsidR="00672ED4" w:rsidRPr="00D4761A">
        <w:rPr>
          <w:rFonts w:cstheme="minorHAnsi"/>
          <w:szCs w:val="24"/>
        </w:rPr>
        <w:t>u </w:t>
      </w:r>
      <w:r w:rsidRPr="00D4761A">
        <w:rPr>
          <w:rFonts w:cstheme="minorHAnsi"/>
          <w:szCs w:val="24"/>
        </w:rPr>
        <w:t xml:space="preserve">pacientů </w:t>
      </w:r>
      <w:r w:rsidR="00672ED4" w:rsidRPr="00D4761A">
        <w:rPr>
          <w:rFonts w:cstheme="minorHAnsi"/>
          <w:szCs w:val="24"/>
        </w:rPr>
        <w:t>s </w:t>
      </w:r>
      <w:r w:rsidRPr="00D4761A">
        <w:rPr>
          <w:rFonts w:cstheme="minorHAnsi"/>
          <w:szCs w:val="24"/>
        </w:rPr>
        <w:t>MMR byl metoprolol (43,3</w:t>
      </w:r>
      <w:r w:rsidR="00672ED4" w:rsidRPr="00D4761A">
        <w:rPr>
          <w:rFonts w:cstheme="minorHAnsi"/>
          <w:szCs w:val="24"/>
        </w:rPr>
        <w:t> %</w:t>
      </w:r>
      <w:r w:rsidRPr="00D4761A">
        <w:rPr>
          <w:rFonts w:cstheme="minorHAnsi"/>
          <w:szCs w:val="24"/>
        </w:rPr>
        <w:t>), dále carvedilol (28,8</w:t>
      </w:r>
      <w:r w:rsidR="00672ED4" w:rsidRPr="00D4761A">
        <w:rPr>
          <w:rFonts w:cstheme="minorHAnsi"/>
          <w:szCs w:val="24"/>
        </w:rPr>
        <w:t> %</w:t>
      </w:r>
      <w:r w:rsidRPr="00D4761A">
        <w:rPr>
          <w:rFonts w:cstheme="minorHAnsi"/>
          <w:szCs w:val="24"/>
        </w:rPr>
        <w:t xml:space="preserve">) </w:t>
      </w:r>
      <w:r w:rsidR="00672ED4" w:rsidRPr="00D4761A">
        <w:rPr>
          <w:rFonts w:cstheme="minorHAnsi"/>
          <w:szCs w:val="24"/>
        </w:rPr>
        <w:t>a </w:t>
      </w:r>
      <w:r w:rsidRPr="00D4761A">
        <w:rPr>
          <w:rFonts w:cstheme="minorHAnsi"/>
          <w:szCs w:val="24"/>
        </w:rPr>
        <w:t>bisoprolol (22,1</w:t>
      </w:r>
      <w:r w:rsidR="00672ED4" w:rsidRPr="00D4761A">
        <w:rPr>
          <w:rFonts w:cstheme="minorHAnsi"/>
          <w:szCs w:val="24"/>
        </w:rPr>
        <w:t> %</w:t>
      </w:r>
      <w:r w:rsidRPr="00D4761A">
        <w:rPr>
          <w:rFonts w:cstheme="minorHAnsi"/>
          <w:szCs w:val="24"/>
        </w:rPr>
        <w:t xml:space="preserve">). Metoprolol je celorepublikově lídrem </w:t>
      </w:r>
      <w:r w:rsidR="00672ED4" w:rsidRPr="00D4761A">
        <w:rPr>
          <w:rFonts w:cstheme="minorHAnsi"/>
          <w:szCs w:val="24"/>
        </w:rPr>
        <w:t>v </w:t>
      </w:r>
      <w:r w:rsidRPr="00D4761A">
        <w:rPr>
          <w:rFonts w:cstheme="minorHAnsi"/>
          <w:szCs w:val="24"/>
        </w:rPr>
        <w:t>betablokátorech (30,7</w:t>
      </w:r>
      <w:r w:rsidR="00672ED4" w:rsidRPr="00D4761A">
        <w:rPr>
          <w:rFonts w:cstheme="minorHAnsi"/>
          <w:szCs w:val="24"/>
        </w:rPr>
        <w:t> %</w:t>
      </w:r>
      <w:r w:rsidRPr="00D4761A">
        <w:rPr>
          <w:rFonts w:cstheme="minorHAnsi"/>
          <w:szCs w:val="24"/>
        </w:rPr>
        <w:t>), následuje bisoprolol (28</w:t>
      </w:r>
      <w:r w:rsidR="00672ED4" w:rsidRPr="00D4761A">
        <w:rPr>
          <w:rFonts w:cstheme="minorHAnsi"/>
          <w:szCs w:val="24"/>
        </w:rPr>
        <w:t> %</w:t>
      </w:r>
      <w:r w:rsidRPr="00D4761A">
        <w:rPr>
          <w:rFonts w:cstheme="minorHAnsi"/>
          <w:szCs w:val="24"/>
        </w:rPr>
        <w:t xml:space="preserve">) </w:t>
      </w:r>
      <w:r w:rsidR="00672ED4" w:rsidRPr="00D4761A">
        <w:rPr>
          <w:rFonts w:cstheme="minorHAnsi"/>
          <w:szCs w:val="24"/>
        </w:rPr>
        <w:t>a </w:t>
      </w:r>
      <w:r w:rsidRPr="00D4761A">
        <w:rPr>
          <w:rFonts w:cstheme="minorHAnsi"/>
          <w:szCs w:val="24"/>
        </w:rPr>
        <w:t>carvedilol (9,8</w:t>
      </w:r>
      <w:r w:rsidR="00672ED4" w:rsidRPr="00D4761A">
        <w:rPr>
          <w:rFonts w:cstheme="minorHAnsi"/>
          <w:szCs w:val="24"/>
        </w:rPr>
        <w:t> %</w:t>
      </w:r>
      <w:r w:rsidRPr="00D4761A">
        <w:rPr>
          <w:rFonts w:cstheme="minorHAnsi"/>
          <w:szCs w:val="24"/>
        </w:rPr>
        <w:t>) dle dat plátců zdravotní péče v České republice (12</w:t>
      </w:r>
      <w:r w:rsidR="00355862" w:rsidRPr="00D4761A">
        <w:rPr>
          <w:rFonts w:cstheme="minorHAnsi"/>
          <w:szCs w:val="24"/>
        </w:rPr>
        <w:t>2</w:t>
      </w:r>
      <w:r w:rsidRPr="00D4761A">
        <w:rPr>
          <w:rFonts w:cstheme="minorHAnsi"/>
          <w:szCs w:val="24"/>
        </w:rPr>
        <w:t>).</w:t>
      </w:r>
    </w:p>
    <w:p w14:paraId="3BF56DE3" w14:textId="77777777" w:rsidR="00597804" w:rsidRPr="00D4761A" w:rsidRDefault="00AF5A33" w:rsidP="00A063D5">
      <w:pPr>
        <w:pStyle w:val="Nadpis20"/>
        <w:pageBreakBefore/>
      </w:pPr>
      <w:bookmarkStart w:id="56" w:name="_Toc120547459"/>
      <w:bookmarkStart w:id="57" w:name="_Hlk119365673"/>
      <w:r w:rsidRPr="00D4761A">
        <w:lastRenderedPageBreak/>
        <w:t>Experimentální část 2</w:t>
      </w:r>
      <w:bookmarkEnd w:id="56"/>
    </w:p>
    <w:p w14:paraId="07D181ED" w14:textId="2889C147" w:rsidR="00597804" w:rsidRPr="00D4761A" w:rsidRDefault="00AF5A33" w:rsidP="002F477B">
      <w:pPr>
        <w:pStyle w:val="Nadpis30"/>
      </w:pPr>
      <w:bookmarkStart w:id="58" w:name="_Toc120547460"/>
      <w:r w:rsidRPr="00D4761A">
        <w:t>Cíl</w:t>
      </w:r>
      <w:bookmarkEnd w:id="58"/>
    </w:p>
    <w:p w14:paraId="08A6BA90" w14:textId="3BBB72C0" w:rsidR="00AF5A33" w:rsidRPr="00D4761A" w:rsidRDefault="00AF5A33" w:rsidP="00A063D5">
      <w:pPr>
        <w:ind w:firstLine="708"/>
        <w:rPr>
          <w:rFonts w:cstheme="minorHAnsi"/>
          <w:szCs w:val="24"/>
        </w:rPr>
      </w:pPr>
      <w:bookmarkStart w:id="59" w:name="_Hlk119364332"/>
      <w:r w:rsidRPr="00D4761A">
        <w:rPr>
          <w:rFonts w:cstheme="minorHAnsi"/>
          <w:szCs w:val="24"/>
        </w:rPr>
        <w:t>Cílem je</w:t>
      </w:r>
      <w:r w:rsidRPr="00D4761A">
        <w:rPr>
          <w:rFonts w:cstheme="minorHAnsi"/>
          <w:b/>
          <w:bCs/>
          <w:szCs w:val="24"/>
        </w:rPr>
        <w:t xml:space="preserve"> </w:t>
      </w:r>
      <w:r w:rsidRPr="00D4761A">
        <w:rPr>
          <w:rFonts w:cstheme="minorHAnsi"/>
          <w:szCs w:val="24"/>
        </w:rPr>
        <w:t xml:space="preserve">prospektivní zjištění adherence k farmakoterapii srdečního selhání </w:t>
      </w:r>
      <w:r w:rsidR="00672ED4" w:rsidRPr="00D4761A">
        <w:rPr>
          <w:rFonts w:cstheme="minorHAnsi"/>
          <w:szCs w:val="24"/>
        </w:rPr>
        <w:t>u </w:t>
      </w:r>
      <w:r w:rsidRPr="00D4761A">
        <w:rPr>
          <w:rFonts w:cstheme="minorHAnsi"/>
          <w:szCs w:val="24"/>
        </w:rPr>
        <w:t>kohorty pacientů s chronickým srdečním selháním (LEVEL-CHF registry) (12</w:t>
      </w:r>
      <w:r w:rsidR="00355862" w:rsidRPr="00D4761A">
        <w:rPr>
          <w:rFonts w:cstheme="minorHAnsi"/>
          <w:szCs w:val="24"/>
        </w:rPr>
        <w:t>3</w:t>
      </w:r>
      <w:r w:rsidRPr="00D4761A">
        <w:rPr>
          <w:rFonts w:cstheme="minorHAnsi"/>
          <w:szCs w:val="24"/>
        </w:rPr>
        <w:t xml:space="preserve">). Sekundárním cílem je porovnání klinických </w:t>
      </w:r>
      <w:r w:rsidR="00672ED4" w:rsidRPr="00D4761A">
        <w:rPr>
          <w:rFonts w:cstheme="minorHAnsi"/>
          <w:szCs w:val="24"/>
        </w:rPr>
        <w:t>a </w:t>
      </w:r>
      <w:r w:rsidRPr="00D4761A">
        <w:rPr>
          <w:rFonts w:cstheme="minorHAnsi"/>
          <w:szCs w:val="24"/>
        </w:rPr>
        <w:t xml:space="preserve">biochemických parametrů mezi pacienty adherentními </w:t>
      </w:r>
      <w:r w:rsidR="00672ED4" w:rsidRPr="00D4761A">
        <w:rPr>
          <w:rFonts w:cstheme="minorHAnsi"/>
          <w:szCs w:val="24"/>
        </w:rPr>
        <w:t>a </w:t>
      </w:r>
      <w:r w:rsidRPr="00D4761A">
        <w:rPr>
          <w:rFonts w:cstheme="minorHAnsi"/>
          <w:szCs w:val="24"/>
        </w:rPr>
        <w:t xml:space="preserve">neadherentními </w:t>
      </w:r>
      <w:r w:rsidR="00672ED4" w:rsidRPr="00D4761A">
        <w:rPr>
          <w:rFonts w:cstheme="minorHAnsi"/>
          <w:szCs w:val="24"/>
        </w:rPr>
        <w:t>a </w:t>
      </w:r>
      <w:r w:rsidRPr="00D4761A">
        <w:rPr>
          <w:rFonts w:cstheme="minorHAnsi"/>
          <w:szCs w:val="24"/>
        </w:rPr>
        <w:t>nalezení prediktorů non-adherence.</w:t>
      </w:r>
    </w:p>
    <w:p w14:paraId="32F3986B" w14:textId="78C20991" w:rsidR="00597804" w:rsidRPr="00D4761A" w:rsidRDefault="00AF5A33" w:rsidP="002F477B">
      <w:pPr>
        <w:pStyle w:val="Nadpis30"/>
      </w:pPr>
      <w:bookmarkStart w:id="60" w:name="_Hlk118309947"/>
      <w:bookmarkStart w:id="61" w:name="_Toc120547461"/>
      <w:bookmarkEnd w:id="59"/>
      <w:r w:rsidRPr="00D4761A">
        <w:t>Charakteristika kohorty pacientů</w:t>
      </w:r>
      <w:bookmarkEnd w:id="60"/>
      <w:bookmarkEnd w:id="61"/>
    </w:p>
    <w:p w14:paraId="5AB0FC8F" w14:textId="07196C49" w:rsidR="00AF5A33" w:rsidRPr="00D4761A" w:rsidRDefault="00AF5A33" w:rsidP="00A063D5">
      <w:pPr>
        <w:ind w:firstLine="708"/>
        <w:rPr>
          <w:rFonts w:cstheme="minorHAnsi"/>
          <w:szCs w:val="24"/>
        </w:rPr>
      </w:pPr>
      <w:r w:rsidRPr="00D4761A">
        <w:rPr>
          <w:rFonts w:cstheme="minorHAnsi"/>
          <w:szCs w:val="24"/>
        </w:rPr>
        <w:t xml:space="preserve">Jedná se </w:t>
      </w:r>
      <w:r w:rsidR="00672ED4" w:rsidRPr="00D4761A">
        <w:rPr>
          <w:rFonts w:cstheme="minorHAnsi"/>
          <w:szCs w:val="24"/>
        </w:rPr>
        <w:t>o </w:t>
      </w:r>
      <w:r w:rsidRPr="00D4761A">
        <w:rPr>
          <w:rFonts w:cstheme="minorHAnsi"/>
          <w:szCs w:val="24"/>
        </w:rPr>
        <w:t xml:space="preserve">pacienty Ambulance srdečního selhání I. Interní kliniky-kardiologické Fakultní </w:t>
      </w:r>
      <w:r w:rsidR="008B5F36" w:rsidRPr="00D4761A">
        <w:rPr>
          <w:rFonts w:cstheme="minorHAnsi"/>
          <w:szCs w:val="24"/>
        </w:rPr>
        <w:t>n</w:t>
      </w:r>
      <w:r w:rsidRPr="00D4761A">
        <w:rPr>
          <w:rFonts w:cstheme="minorHAnsi"/>
          <w:szCs w:val="24"/>
        </w:rPr>
        <w:t xml:space="preserve">emocnice Olomouc, kteří již byli léčeni sledovanými léky </w:t>
      </w:r>
      <w:r w:rsidR="00672ED4" w:rsidRPr="00D4761A">
        <w:rPr>
          <w:rFonts w:cstheme="minorHAnsi"/>
          <w:szCs w:val="24"/>
        </w:rPr>
        <w:t>a </w:t>
      </w:r>
      <w:r w:rsidRPr="00D4761A">
        <w:rPr>
          <w:rFonts w:cstheme="minorHAnsi"/>
          <w:szCs w:val="24"/>
        </w:rPr>
        <w:t xml:space="preserve">přišli na kontrolní vyšetření. Náběr pacientů probíhal </w:t>
      </w:r>
      <w:r w:rsidR="00974A58" w:rsidRPr="00D4761A">
        <w:rPr>
          <w:rFonts w:cstheme="minorHAnsi"/>
          <w:szCs w:val="24"/>
        </w:rPr>
        <w:t>od</w:t>
      </w:r>
      <w:r w:rsidRPr="00D4761A">
        <w:rPr>
          <w:rFonts w:cstheme="minorHAnsi"/>
          <w:szCs w:val="24"/>
        </w:rPr>
        <w:t xml:space="preserve"> 11. lednem 2018 do 8. června 2018. Screeningem prošlo 296 pacientů, 280 splnilo kritéria srdečního selhání. Z 280 pacientů 6 odmítlo účast ve sledování, 274 bylo zařazeno. Z těchto 274 pacientů mělo 239 HFrEF, 24 pacientů HFmrEF </w:t>
      </w:r>
      <w:r w:rsidR="00672ED4" w:rsidRPr="00D4761A">
        <w:rPr>
          <w:rFonts w:cstheme="minorHAnsi"/>
          <w:szCs w:val="24"/>
        </w:rPr>
        <w:t>a </w:t>
      </w:r>
      <w:r w:rsidRPr="00D4761A">
        <w:rPr>
          <w:rFonts w:cstheme="minorHAnsi"/>
          <w:szCs w:val="24"/>
        </w:rPr>
        <w:t>11 pacientů HFpEF.</w:t>
      </w:r>
      <w:r w:rsidR="00597804" w:rsidRPr="00D4761A">
        <w:rPr>
          <w:rFonts w:cstheme="minorHAnsi"/>
          <w:szCs w:val="24"/>
        </w:rPr>
        <w:t xml:space="preserve"> </w:t>
      </w:r>
      <w:r w:rsidRPr="00D4761A">
        <w:rPr>
          <w:rFonts w:cstheme="minorHAnsi"/>
          <w:szCs w:val="24"/>
        </w:rPr>
        <w:t>Základní charakteristiky kohorty shrnuje T</w:t>
      </w:r>
      <w:r w:rsidR="00CC2471" w:rsidRPr="00D4761A">
        <w:rPr>
          <w:rFonts w:cstheme="minorHAnsi"/>
          <w:szCs w:val="24"/>
        </w:rPr>
        <w:t>abulka </w:t>
      </w:r>
      <w:r w:rsidRPr="00D4761A">
        <w:rPr>
          <w:rFonts w:cstheme="minorHAnsi"/>
          <w:szCs w:val="24"/>
        </w:rPr>
        <w:t>11.</w:t>
      </w:r>
    </w:p>
    <w:p w14:paraId="52D5D74F" w14:textId="77777777" w:rsidR="00DC25BC" w:rsidRPr="00D4761A" w:rsidRDefault="00DC25BC" w:rsidP="00AF5A33">
      <w:pPr>
        <w:rPr>
          <w:rFonts w:cstheme="minorHAnsi"/>
          <w:szCs w:val="24"/>
        </w:rPr>
      </w:pPr>
    </w:p>
    <w:p w14:paraId="70B1D7F9" w14:textId="62595D93" w:rsidR="00DC25BC" w:rsidRPr="00D4761A" w:rsidRDefault="00DC25BC" w:rsidP="006208B9">
      <w:pPr>
        <w:keepNext/>
      </w:pPr>
      <w:r w:rsidRPr="00D4761A">
        <w:rPr>
          <w:b/>
        </w:rPr>
        <w:lastRenderedPageBreak/>
        <w:t>T</w:t>
      </w:r>
      <w:r w:rsidR="00CC2471" w:rsidRPr="00D4761A">
        <w:rPr>
          <w:b/>
        </w:rPr>
        <w:t>abulka </w:t>
      </w:r>
      <w:r w:rsidRPr="00D4761A">
        <w:rPr>
          <w:b/>
        </w:rPr>
        <w:t>11</w:t>
      </w:r>
      <w:r w:rsidRPr="00D4761A">
        <w:t xml:space="preserve"> – Základní charakteristika kohorty LEVEL-CHF</w:t>
      </w:r>
    </w:p>
    <w:tbl>
      <w:tblPr>
        <w:tblStyle w:val="Mkatabulky"/>
        <w:tblW w:w="5000" w:type="pct"/>
        <w:tblLook w:val="04A0" w:firstRow="1" w:lastRow="0" w:firstColumn="1" w:lastColumn="0" w:noHBand="0" w:noVBand="1"/>
      </w:tblPr>
      <w:tblGrid>
        <w:gridCol w:w="5740"/>
        <w:gridCol w:w="3322"/>
      </w:tblGrid>
      <w:tr w:rsidR="00597804" w:rsidRPr="00D4761A" w14:paraId="4EE40707" w14:textId="77777777" w:rsidTr="00CA3812">
        <w:trPr>
          <w:cantSplit/>
        </w:trPr>
        <w:tc>
          <w:tcPr>
            <w:tcW w:w="3167" w:type="pct"/>
            <w:noWrap/>
            <w:vAlign w:val="center"/>
            <w:hideMark/>
          </w:tcPr>
          <w:p w14:paraId="71B76955" w14:textId="77777777" w:rsidR="00DC25BC" w:rsidRPr="00D4761A" w:rsidRDefault="00DC25BC" w:rsidP="006208B9">
            <w:pPr>
              <w:keepNext/>
              <w:spacing w:line="240" w:lineRule="auto"/>
              <w:jc w:val="left"/>
              <w:rPr>
                <w:rFonts w:eastAsia="Times New Roman" w:cs="Times New Roman"/>
                <w:b/>
                <w:szCs w:val="24"/>
                <w:lang w:eastAsia="cs-CZ"/>
              </w:rPr>
            </w:pPr>
            <w:r w:rsidRPr="00D4761A">
              <w:rPr>
                <w:rFonts w:eastAsia="Times New Roman" w:cs="Times New Roman"/>
                <w:b/>
                <w:szCs w:val="24"/>
                <w:lang w:eastAsia="cs-CZ"/>
              </w:rPr>
              <w:t>Základní charakteristika souboru*</w:t>
            </w:r>
          </w:p>
        </w:tc>
        <w:tc>
          <w:tcPr>
            <w:tcW w:w="1833" w:type="pct"/>
            <w:noWrap/>
            <w:vAlign w:val="center"/>
            <w:hideMark/>
          </w:tcPr>
          <w:p w14:paraId="2450E814" w14:textId="77777777" w:rsidR="00DC25BC" w:rsidRPr="00D4761A" w:rsidRDefault="00DC25BC" w:rsidP="006208B9">
            <w:pPr>
              <w:keepNext/>
              <w:spacing w:line="240" w:lineRule="auto"/>
              <w:jc w:val="center"/>
              <w:rPr>
                <w:rFonts w:eastAsia="Times New Roman" w:cs="Times New Roman"/>
                <w:b/>
                <w:szCs w:val="24"/>
                <w:lang w:eastAsia="cs-CZ"/>
              </w:rPr>
            </w:pPr>
          </w:p>
        </w:tc>
      </w:tr>
      <w:tr w:rsidR="00597804" w:rsidRPr="00D4761A" w14:paraId="2C02F291" w14:textId="77777777" w:rsidTr="00CA3812">
        <w:trPr>
          <w:cantSplit/>
        </w:trPr>
        <w:tc>
          <w:tcPr>
            <w:tcW w:w="3167" w:type="pct"/>
            <w:noWrap/>
            <w:vAlign w:val="center"/>
            <w:hideMark/>
          </w:tcPr>
          <w:p w14:paraId="1CEE877D" w14:textId="77777777" w:rsidR="00DC25BC" w:rsidRPr="00D4761A" w:rsidRDefault="00DC25BC" w:rsidP="006208B9">
            <w:pPr>
              <w:keepNext/>
              <w:spacing w:line="240" w:lineRule="auto"/>
              <w:jc w:val="left"/>
              <w:rPr>
                <w:rFonts w:eastAsia="Times New Roman" w:cs="Times New Roman"/>
                <w:b/>
                <w:szCs w:val="24"/>
                <w:lang w:eastAsia="cs-CZ"/>
              </w:rPr>
            </w:pPr>
            <w:r w:rsidRPr="00D4761A">
              <w:rPr>
                <w:rFonts w:eastAsia="Times New Roman" w:cs="Times New Roman"/>
                <w:b/>
                <w:szCs w:val="24"/>
                <w:lang w:eastAsia="cs-CZ"/>
              </w:rPr>
              <w:t>Charakteristiky</w:t>
            </w:r>
          </w:p>
        </w:tc>
        <w:tc>
          <w:tcPr>
            <w:tcW w:w="1833" w:type="pct"/>
            <w:noWrap/>
            <w:vAlign w:val="center"/>
            <w:hideMark/>
          </w:tcPr>
          <w:p w14:paraId="05D08820" w14:textId="77777777" w:rsidR="00DC25BC" w:rsidRPr="00D4761A" w:rsidRDefault="00DC25BC" w:rsidP="006208B9">
            <w:pPr>
              <w:keepNext/>
              <w:spacing w:line="240" w:lineRule="auto"/>
              <w:jc w:val="center"/>
              <w:rPr>
                <w:rFonts w:eastAsia="Times New Roman" w:cs="Times New Roman"/>
                <w:b/>
                <w:szCs w:val="24"/>
                <w:lang w:eastAsia="cs-CZ"/>
              </w:rPr>
            </w:pPr>
            <w:r w:rsidRPr="00D4761A">
              <w:rPr>
                <w:rFonts w:eastAsia="Times New Roman" w:cs="Times New Roman"/>
                <w:b/>
                <w:szCs w:val="24"/>
                <w:lang w:eastAsia="cs-CZ"/>
              </w:rPr>
              <w:t>LEVEL-CHF registry (n 274)</w:t>
            </w:r>
          </w:p>
        </w:tc>
      </w:tr>
      <w:tr w:rsidR="00597804" w:rsidRPr="00D4761A" w14:paraId="21D1FE22" w14:textId="77777777" w:rsidTr="00CA3812">
        <w:trPr>
          <w:cantSplit/>
        </w:trPr>
        <w:tc>
          <w:tcPr>
            <w:tcW w:w="3167" w:type="pct"/>
            <w:noWrap/>
            <w:vAlign w:val="center"/>
            <w:hideMark/>
          </w:tcPr>
          <w:p w14:paraId="08206E56"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Věk – roky</w:t>
            </w:r>
          </w:p>
        </w:tc>
        <w:tc>
          <w:tcPr>
            <w:tcW w:w="1833" w:type="pct"/>
            <w:noWrap/>
            <w:vAlign w:val="center"/>
            <w:hideMark/>
          </w:tcPr>
          <w:p w14:paraId="5F357B8F"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62,4 (±13,1)</w:t>
            </w:r>
          </w:p>
        </w:tc>
      </w:tr>
      <w:tr w:rsidR="00597804" w:rsidRPr="00D4761A" w14:paraId="2BC9916B" w14:textId="77777777" w:rsidTr="00CA3812">
        <w:trPr>
          <w:cantSplit/>
        </w:trPr>
        <w:tc>
          <w:tcPr>
            <w:tcW w:w="3167" w:type="pct"/>
            <w:noWrap/>
            <w:vAlign w:val="center"/>
            <w:hideMark/>
          </w:tcPr>
          <w:p w14:paraId="100F2862"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Ženy – počet pacientů (%)</w:t>
            </w:r>
          </w:p>
        </w:tc>
        <w:tc>
          <w:tcPr>
            <w:tcW w:w="1833" w:type="pct"/>
            <w:noWrap/>
            <w:vAlign w:val="center"/>
            <w:hideMark/>
          </w:tcPr>
          <w:p w14:paraId="308CFCC3" w14:textId="1ABA6A0C"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66 (24,1</w:t>
            </w:r>
            <w:r w:rsidR="00672ED4" w:rsidRPr="00D4761A">
              <w:rPr>
                <w:rFonts w:eastAsia="Times New Roman" w:cs="Times New Roman"/>
                <w:szCs w:val="24"/>
                <w:lang w:eastAsia="cs-CZ"/>
              </w:rPr>
              <w:t> %</w:t>
            </w:r>
            <w:r w:rsidRPr="00D4761A">
              <w:rPr>
                <w:rFonts w:eastAsia="Times New Roman" w:cs="Times New Roman"/>
                <w:szCs w:val="24"/>
                <w:lang w:eastAsia="cs-CZ"/>
              </w:rPr>
              <w:t>)</w:t>
            </w:r>
          </w:p>
        </w:tc>
      </w:tr>
      <w:tr w:rsidR="00597804" w:rsidRPr="00D4761A" w14:paraId="5EBBD11B" w14:textId="77777777" w:rsidTr="00CA3812">
        <w:trPr>
          <w:cantSplit/>
        </w:trPr>
        <w:tc>
          <w:tcPr>
            <w:tcW w:w="3167" w:type="pct"/>
            <w:noWrap/>
            <w:vAlign w:val="center"/>
            <w:hideMark/>
          </w:tcPr>
          <w:p w14:paraId="6EDC81C5"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Hmotnost – kg</w:t>
            </w:r>
          </w:p>
        </w:tc>
        <w:tc>
          <w:tcPr>
            <w:tcW w:w="1833" w:type="pct"/>
            <w:noWrap/>
            <w:vAlign w:val="center"/>
            <w:hideMark/>
          </w:tcPr>
          <w:p w14:paraId="1C6B62D9"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88,3 (±18,1)</w:t>
            </w:r>
          </w:p>
        </w:tc>
      </w:tr>
      <w:tr w:rsidR="00597804" w:rsidRPr="00D4761A" w14:paraId="427E0BE6" w14:textId="77777777" w:rsidTr="00CA3812">
        <w:trPr>
          <w:cantSplit/>
        </w:trPr>
        <w:tc>
          <w:tcPr>
            <w:tcW w:w="3167" w:type="pct"/>
            <w:noWrap/>
            <w:vAlign w:val="center"/>
            <w:hideMark/>
          </w:tcPr>
          <w:p w14:paraId="6651F470"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Výška – cm</w:t>
            </w:r>
          </w:p>
        </w:tc>
        <w:tc>
          <w:tcPr>
            <w:tcW w:w="1833" w:type="pct"/>
            <w:noWrap/>
            <w:vAlign w:val="center"/>
            <w:hideMark/>
          </w:tcPr>
          <w:p w14:paraId="711B61A6"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174,0 (±8,5)</w:t>
            </w:r>
          </w:p>
        </w:tc>
      </w:tr>
      <w:tr w:rsidR="00597804" w:rsidRPr="00D4761A" w14:paraId="0CC9BFA4" w14:textId="77777777" w:rsidTr="00CA3812">
        <w:trPr>
          <w:cantSplit/>
        </w:trPr>
        <w:tc>
          <w:tcPr>
            <w:tcW w:w="3167" w:type="pct"/>
            <w:noWrap/>
            <w:vAlign w:val="center"/>
            <w:hideMark/>
          </w:tcPr>
          <w:p w14:paraId="789B5449"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Body-mass index</w:t>
            </w:r>
          </w:p>
        </w:tc>
        <w:tc>
          <w:tcPr>
            <w:tcW w:w="1833" w:type="pct"/>
            <w:noWrap/>
            <w:vAlign w:val="center"/>
            <w:hideMark/>
          </w:tcPr>
          <w:p w14:paraId="79FD7DA3"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29,1 (±5,4)</w:t>
            </w:r>
          </w:p>
        </w:tc>
      </w:tr>
      <w:tr w:rsidR="00597804" w:rsidRPr="00D4761A" w14:paraId="077A2FF2" w14:textId="77777777" w:rsidTr="00CA3812">
        <w:trPr>
          <w:cantSplit/>
        </w:trPr>
        <w:tc>
          <w:tcPr>
            <w:tcW w:w="3167" w:type="pct"/>
            <w:noWrap/>
            <w:vAlign w:val="center"/>
            <w:hideMark/>
          </w:tcPr>
          <w:p w14:paraId="32C9BFEF"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Srdeční frekvence – tepů/min</w:t>
            </w:r>
          </w:p>
        </w:tc>
        <w:tc>
          <w:tcPr>
            <w:tcW w:w="1833" w:type="pct"/>
            <w:noWrap/>
            <w:vAlign w:val="center"/>
            <w:hideMark/>
          </w:tcPr>
          <w:p w14:paraId="00D50700"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70,4 (±12,3)</w:t>
            </w:r>
          </w:p>
        </w:tc>
      </w:tr>
      <w:tr w:rsidR="00597804" w:rsidRPr="00D4761A" w14:paraId="34D238E8" w14:textId="77777777" w:rsidTr="00CA3812">
        <w:trPr>
          <w:cantSplit/>
        </w:trPr>
        <w:tc>
          <w:tcPr>
            <w:tcW w:w="3167" w:type="pct"/>
            <w:noWrap/>
            <w:vAlign w:val="center"/>
            <w:hideMark/>
          </w:tcPr>
          <w:p w14:paraId="758DF914"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Systolický krevní tlak – mm Hg</w:t>
            </w:r>
          </w:p>
        </w:tc>
        <w:tc>
          <w:tcPr>
            <w:tcW w:w="1833" w:type="pct"/>
            <w:noWrap/>
            <w:vAlign w:val="center"/>
            <w:hideMark/>
          </w:tcPr>
          <w:p w14:paraId="62997960"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128,3 (±18,2)</w:t>
            </w:r>
          </w:p>
        </w:tc>
      </w:tr>
      <w:tr w:rsidR="00597804" w:rsidRPr="00D4761A" w14:paraId="5F923FB7" w14:textId="77777777" w:rsidTr="00CA3812">
        <w:trPr>
          <w:cantSplit/>
        </w:trPr>
        <w:tc>
          <w:tcPr>
            <w:tcW w:w="3167" w:type="pct"/>
            <w:noWrap/>
            <w:vAlign w:val="center"/>
            <w:hideMark/>
          </w:tcPr>
          <w:p w14:paraId="7FDDFEBC"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Diastolický krevní tlak – mm Hg</w:t>
            </w:r>
          </w:p>
        </w:tc>
        <w:tc>
          <w:tcPr>
            <w:tcW w:w="1833" w:type="pct"/>
            <w:noWrap/>
            <w:vAlign w:val="center"/>
            <w:hideMark/>
          </w:tcPr>
          <w:p w14:paraId="02826611"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78,6 (±11,3)</w:t>
            </w:r>
          </w:p>
        </w:tc>
      </w:tr>
      <w:tr w:rsidR="00597804" w:rsidRPr="00D4761A" w14:paraId="73586A71" w14:textId="77777777" w:rsidTr="00CA3812">
        <w:trPr>
          <w:cantSplit/>
        </w:trPr>
        <w:tc>
          <w:tcPr>
            <w:tcW w:w="3167" w:type="pct"/>
            <w:noWrap/>
            <w:vAlign w:val="center"/>
            <w:hideMark/>
          </w:tcPr>
          <w:p w14:paraId="08A32967"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Diabetes mellitus – počet pacientů (%)</w:t>
            </w:r>
          </w:p>
        </w:tc>
        <w:tc>
          <w:tcPr>
            <w:tcW w:w="1833" w:type="pct"/>
            <w:noWrap/>
            <w:vAlign w:val="center"/>
            <w:hideMark/>
          </w:tcPr>
          <w:p w14:paraId="7677F755"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80 (29,2)</w:t>
            </w:r>
          </w:p>
        </w:tc>
      </w:tr>
      <w:tr w:rsidR="00597804" w:rsidRPr="00D4761A" w14:paraId="400F40DE" w14:textId="77777777" w:rsidTr="00CA3812">
        <w:trPr>
          <w:cantSplit/>
        </w:trPr>
        <w:tc>
          <w:tcPr>
            <w:tcW w:w="3167" w:type="pct"/>
            <w:noWrap/>
            <w:vAlign w:val="center"/>
            <w:hideMark/>
          </w:tcPr>
          <w:p w14:paraId="21F866EA" w14:textId="77777777" w:rsidR="00DC25BC" w:rsidRPr="00D4761A" w:rsidRDefault="00DC25BC" w:rsidP="006208B9">
            <w:pPr>
              <w:keepNext/>
              <w:spacing w:line="240" w:lineRule="auto"/>
              <w:jc w:val="left"/>
              <w:rPr>
                <w:rFonts w:eastAsia="Times New Roman" w:cs="Times New Roman"/>
                <w:b/>
                <w:szCs w:val="24"/>
                <w:lang w:eastAsia="cs-CZ"/>
              </w:rPr>
            </w:pPr>
            <w:r w:rsidRPr="00D4761A">
              <w:rPr>
                <w:rFonts w:eastAsia="Times New Roman" w:cs="Times New Roman"/>
                <w:b/>
                <w:szCs w:val="24"/>
                <w:lang w:eastAsia="cs-CZ"/>
              </w:rPr>
              <w:t>Klinické hodnocení srdečního selhání</w:t>
            </w:r>
          </w:p>
        </w:tc>
        <w:tc>
          <w:tcPr>
            <w:tcW w:w="1833" w:type="pct"/>
            <w:noWrap/>
            <w:vAlign w:val="center"/>
            <w:hideMark/>
          </w:tcPr>
          <w:p w14:paraId="5190EE35" w14:textId="77777777" w:rsidR="00DC25BC" w:rsidRPr="00D4761A" w:rsidRDefault="00DC25BC" w:rsidP="006208B9">
            <w:pPr>
              <w:keepNext/>
              <w:spacing w:line="240" w:lineRule="auto"/>
              <w:jc w:val="center"/>
              <w:rPr>
                <w:rFonts w:eastAsia="Times New Roman" w:cs="Times New Roman"/>
                <w:b/>
                <w:szCs w:val="24"/>
                <w:lang w:eastAsia="cs-CZ"/>
              </w:rPr>
            </w:pPr>
          </w:p>
        </w:tc>
      </w:tr>
      <w:tr w:rsidR="00597804" w:rsidRPr="00D4761A" w14:paraId="3E375076" w14:textId="77777777" w:rsidTr="00CA3812">
        <w:trPr>
          <w:cantSplit/>
        </w:trPr>
        <w:tc>
          <w:tcPr>
            <w:tcW w:w="3167" w:type="pct"/>
            <w:noWrap/>
            <w:vAlign w:val="center"/>
            <w:hideMark/>
          </w:tcPr>
          <w:p w14:paraId="243867C8"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Ischemická kardiomyopatie – počet pacientů (%)</w:t>
            </w:r>
          </w:p>
        </w:tc>
        <w:tc>
          <w:tcPr>
            <w:tcW w:w="1833" w:type="pct"/>
            <w:noWrap/>
            <w:vAlign w:val="center"/>
            <w:hideMark/>
          </w:tcPr>
          <w:p w14:paraId="22F2230C"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97 (35,4)</w:t>
            </w:r>
          </w:p>
        </w:tc>
      </w:tr>
      <w:tr w:rsidR="00597804" w:rsidRPr="00D4761A" w14:paraId="526DA333" w14:textId="77777777" w:rsidTr="00CA3812">
        <w:trPr>
          <w:cantSplit/>
        </w:trPr>
        <w:tc>
          <w:tcPr>
            <w:tcW w:w="3167" w:type="pct"/>
            <w:noWrap/>
            <w:vAlign w:val="center"/>
            <w:hideMark/>
          </w:tcPr>
          <w:p w14:paraId="6B16952F"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Dilatační kardiomyopatie – počet pacientů (%)</w:t>
            </w:r>
          </w:p>
        </w:tc>
        <w:tc>
          <w:tcPr>
            <w:tcW w:w="1833" w:type="pct"/>
            <w:noWrap/>
            <w:vAlign w:val="center"/>
            <w:hideMark/>
          </w:tcPr>
          <w:p w14:paraId="5C660F81"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151 (55,1)</w:t>
            </w:r>
          </w:p>
        </w:tc>
      </w:tr>
      <w:tr w:rsidR="00597804" w:rsidRPr="00D4761A" w14:paraId="11F8482D" w14:textId="77777777" w:rsidTr="00CA3812">
        <w:trPr>
          <w:cantSplit/>
        </w:trPr>
        <w:tc>
          <w:tcPr>
            <w:tcW w:w="3167" w:type="pct"/>
            <w:noWrap/>
            <w:vAlign w:val="center"/>
            <w:hideMark/>
          </w:tcPr>
          <w:p w14:paraId="531AC57A"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Hypetrofická kardiomyopatie – počet pacienů (%)</w:t>
            </w:r>
          </w:p>
        </w:tc>
        <w:tc>
          <w:tcPr>
            <w:tcW w:w="1833" w:type="pct"/>
            <w:noWrap/>
            <w:vAlign w:val="center"/>
            <w:hideMark/>
          </w:tcPr>
          <w:p w14:paraId="4516AD04"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4 (1,5)</w:t>
            </w:r>
          </w:p>
        </w:tc>
      </w:tr>
      <w:tr w:rsidR="00597804" w:rsidRPr="00D4761A" w14:paraId="5C0D1610" w14:textId="77777777" w:rsidTr="00CA3812">
        <w:trPr>
          <w:cantSplit/>
        </w:trPr>
        <w:tc>
          <w:tcPr>
            <w:tcW w:w="3167" w:type="pct"/>
            <w:noWrap/>
            <w:vAlign w:val="center"/>
            <w:hideMark/>
          </w:tcPr>
          <w:p w14:paraId="7CF59207"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Peripartální kardiomoypatie – počet pacientů (%)</w:t>
            </w:r>
          </w:p>
        </w:tc>
        <w:tc>
          <w:tcPr>
            <w:tcW w:w="1833" w:type="pct"/>
            <w:noWrap/>
            <w:vAlign w:val="center"/>
            <w:hideMark/>
          </w:tcPr>
          <w:p w14:paraId="73F012C5"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2 (0,7)</w:t>
            </w:r>
          </w:p>
        </w:tc>
      </w:tr>
      <w:tr w:rsidR="00597804" w:rsidRPr="00D4761A" w14:paraId="15702D86" w14:textId="77777777" w:rsidTr="00CA3812">
        <w:trPr>
          <w:cantSplit/>
        </w:trPr>
        <w:tc>
          <w:tcPr>
            <w:tcW w:w="3167" w:type="pct"/>
            <w:noWrap/>
            <w:vAlign w:val="center"/>
            <w:hideMark/>
          </w:tcPr>
          <w:p w14:paraId="7D143F72"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Nonkompaktní kardiomyopatie – počet pacientů (%)</w:t>
            </w:r>
          </w:p>
        </w:tc>
        <w:tc>
          <w:tcPr>
            <w:tcW w:w="1833" w:type="pct"/>
            <w:noWrap/>
            <w:vAlign w:val="center"/>
            <w:hideMark/>
          </w:tcPr>
          <w:p w14:paraId="0CD2FE3D"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2 (0,7)</w:t>
            </w:r>
          </w:p>
        </w:tc>
      </w:tr>
      <w:tr w:rsidR="00597804" w:rsidRPr="00D4761A" w14:paraId="251092C6" w14:textId="77777777" w:rsidTr="00CA3812">
        <w:trPr>
          <w:cantSplit/>
        </w:trPr>
        <w:tc>
          <w:tcPr>
            <w:tcW w:w="3167" w:type="pct"/>
            <w:noWrap/>
            <w:vAlign w:val="center"/>
            <w:hideMark/>
          </w:tcPr>
          <w:p w14:paraId="0B8F2C79"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Srdeční sarkoidóza – počet pacientů (%)</w:t>
            </w:r>
          </w:p>
        </w:tc>
        <w:tc>
          <w:tcPr>
            <w:tcW w:w="1833" w:type="pct"/>
            <w:noWrap/>
            <w:vAlign w:val="center"/>
            <w:hideMark/>
          </w:tcPr>
          <w:p w14:paraId="0EA9D9AE"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2 (0,7)</w:t>
            </w:r>
          </w:p>
        </w:tc>
      </w:tr>
      <w:tr w:rsidR="00597804" w:rsidRPr="00D4761A" w14:paraId="12B87DE9" w14:textId="77777777" w:rsidTr="00CA3812">
        <w:trPr>
          <w:cantSplit/>
        </w:trPr>
        <w:tc>
          <w:tcPr>
            <w:tcW w:w="3167" w:type="pct"/>
            <w:noWrap/>
            <w:vAlign w:val="center"/>
            <w:hideMark/>
          </w:tcPr>
          <w:p w14:paraId="07DB7001"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Ostatní – počet pacientů (%)</w:t>
            </w:r>
          </w:p>
        </w:tc>
        <w:tc>
          <w:tcPr>
            <w:tcW w:w="1833" w:type="pct"/>
            <w:noWrap/>
            <w:vAlign w:val="center"/>
            <w:hideMark/>
          </w:tcPr>
          <w:p w14:paraId="08648113"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16 (5,8)</w:t>
            </w:r>
          </w:p>
        </w:tc>
      </w:tr>
      <w:tr w:rsidR="00597804" w:rsidRPr="00D4761A" w14:paraId="34BBEA0E" w14:textId="77777777" w:rsidTr="00CA3812">
        <w:trPr>
          <w:cantSplit/>
        </w:trPr>
        <w:tc>
          <w:tcPr>
            <w:tcW w:w="3167" w:type="pct"/>
            <w:noWrap/>
            <w:vAlign w:val="center"/>
            <w:hideMark/>
          </w:tcPr>
          <w:p w14:paraId="4AC31C79" w14:textId="4A4EB061"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Ejekční frakce levé komory –</w:t>
            </w:r>
            <w:r w:rsidR="00672ED4" w:rsidRPr="00D4761A">
              <w:rPr>
                <w:rFonts w:eastAsia="Times New Roman" w:cs="Times New Roman"/>
                <w:szCs w:val="24"/>
                <w:lang w:eastAsia="cs-CZ"/>
              </w:rPr>
              <w:t> %</w:t>
            </w:r>
          </w:p>
        </w:tc>
        <w:tc>
          <w:tcPr>
            <w:tcW w:w="1833" w:type="pct"/>
            <w:noWrap/>
            <w:vAlign w:val="center"/>
            <w:hideMark/>
          </w:tcPr>
          <w:p w14:paraId="3A283D14"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34,6 (±11,0)</w:t>
            </w:r>
          </w:p>
        </w:tc>
      </w:tr>
      <w:tr w:rsidR="00597804" w:rsidRPr="00D4761A" w14:paraId="1D0ECD0B" w14:textId="77777777" w:rsidTr="00CA3812">
        <w:trPr>
          <w:cantSplit/>
        </w:trPr>
        <w:tc>
          <w:tcPr>
            <w:tcW w:w="3167" w:type="pct"/>
            <w:noWrap/>
            <w:vAlign w:val="center"/>
            <w:hideMark/>
          </w:tcPr>
          <w:p w14:paraId="280EE0FF" w14:textId="77777777" w:rsidR="00DC25BC" w:rsidRPr="00D4761A" w:rsidRDefault="00DC25BC" w:rsidP="006208B9">
            <w:pPr>
              <w:keepNext/>
              <w:spacing w:line="240" w:lineRule="auto"/>
              <w:jc w:val="left"/>
              <w:rPr>
                <w:rFonts w:eastAsia="Times New Roman" w:cs="Times New Roman"/>
                <w:b/>
                <w:szCs w:val="24"/>
                <w:lang w:eastAsia="cs-CZ"/>
              </w:rPr>
            </w:pPr>
            <w:r w:rsidRPr="00D4761A">
              <w:rPr>
                <w:rFonts w:eastAsia="Times New Roman" w:cs="Times New Roman"/>
                <w:b/>
                <w:szCs w:val="24"/>
                <w:lang w:eastAsia="cs-CZ"/>
              </w:rPr>
              <w:t>Funkční třída NYHA– počet pacientů (%)</w:t>
            </w:r>
          </w:p>
        </w:tc>
        <w:tc>
          <w:tcPr>
            <w:tcW w:w="1833" w:type="pct"/>
            <w:noWrap/>
            <w:vAlign w:val="center"/>
            <w:hideMark/>
          </w:tcPr>
          <w:p w14:paraId="5DDA5C2B" w14:textId="77777777" w:rsidR="00DC25BC" w:rsidRPr="00D4761A" w:rsidRDefault="00DC25BC" w:rsidP="006208B9">
            <w:pPr>
              <w:keepNext/>
              <w:spacing w:line="240" w:lineRule="auto"/>
              <w:jc w:val="center"/>
              <w:rPr>
                <w:rFonts w:eastAsia="Times New Roman" w:cs="Times New Roman"/>
                <w:b/>
                <w:szCs w:val="24"/>
                <w:lang w:eastAsia="cs-CZ"/>
              </w:rPr>
            </w:pPr>
          </w:p>
        </w:tc>
      </w:tr>
      <w:tr w:rsidR="00597804" w:rsidRPr="00D4761A" w14:paraId="5AE73B4D" w14:textId="77777777" w:rsidTr="00CA3812">
        <w:trPr>
          <w:cantSplit/>
        </w:trPr>
        <w:tc>
          <w:tcPr>
            <w:tcW w:w="3167" w:type="pct"/>
            <w:noWrap/>
            <w:vAlign w:val="center"/>
            <w:hideMark/>
          </w:tcPr>
          <w:p w14:paraId="5BDCD64B"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I</w:t>
            </w:r>
          </w:p>
        </w:tc>
        <w:tc>
          <w:tcPr>
            <w:tcW w:w="1833" w:type="pct"/>
            <w:noWrap/>
            <w:vAlign w:val="center"/>
            <w:hideMark/>
          </w:tcPr>
          <w:p w14:paraId="4215D709"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51 (18,6)</w:t>
            </w:r>
          </w:p>
        </w:tc>
      </w:tr>
      <w:tr w:rsidR="00597804" w:rsidRPr="00D4761A" w14:paraId="46F8FF67" w14:textId="77777777" w:rsidTr="00CA3812">
        <w:trPr>
          <w:cantSplit/>
        </w:trPr>
        <w:tc>
          <w:tcPr>
            <w:tcW w:w="3167" w:type="pct"/>
            <w:noWrap/>
            <w:vAlign w:val="center"/>
            <w:hideMark/>
          </w:tcPr>
          <w:p w14:paraId="73DADA4D"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II</w:t>
            </w:r>
          </w:p>
        </w:tc>
        <w:tc>
          <w:tcPr>
            <w:tcW w:w="1833" w:type="pct"/>
            <w:noWrap/>
            <w:vAlign w:val="center"/>
            <w:hideMark/>
          </w:tcPr>
          <w:p w14:paraId="2DF5BA4E"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160 (58,4)</w:t>
            </w:r>
          </w:p>
        </w:tc>
      </w:tr>
      <w:tr w:rsidR="00597804" w:rsidRPr="00D4761A" w14:paraId="39ACA29E" w14:textId="77777777" w:rsidTr="00CA3812">
        <w:trPr>
          <w:cantSplit/>
        </w:trPr>
        <w:tc>
          <w:tcPr>
            <w:tcW w:w="3167" w:type="pct"/>
            <w:noWrap/>
            <w:vAlign w:val="center"/>
            <w:hideMark/>
          </w:tcPr>
          <w:p w14:paraId="596AEDAE"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III</w:t>
            </w:r>
          </w:p>
        </w:tc>
        <w:tc>
          <w:tcPr>
            <w:tcW w:w="1833" w:type="pct"/>
            <w:noWrap/>
            <w:vAlign w:val="center"/>
            <w:hideMark/>
          </w:tcPr>
          <w:p w14:paraId="762D0F30"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60 (21,9)</w:t>
            </w:r>
          </w:p>
        </w:tc>
      </w:tr>
      <w:tr w:rsidR="00597804" w:rsidRPr="00D4761A" w14:paraId="614C1D54" w14:textId="77777777" w:rsidTr="00CA3812">
        <w:trPr>
          <w:cantSplit/>
        </w:trPr>
        <w:tc>
          <w:tcPr>
            <w:tcW w:w="3167" w:type="pct"/>
            <w:noWrap/>
            <w:vAlign w:val="center"/>
            <w:hideMark/>
          </w:tcPr>
          <w:p w14:paraId="2EE75CBE"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IV</w:t>
            </w:r>
          </w:p>
        </w:tc>
        <w:tc>
          <w:tcPr>
            <w:tcW w:w="1833" w:type="pct"/>
            <w:noWrap/>
            <w:vAlign w:val="center"/>
            <w:hideMark/>
          </w:tcPr>
          <w:p w14:paraId="7CDDBA97"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3 (1,1)</w:t>
            </w:r>
          </w:p>
        </w:tc>
      </w:tr>
      <w:tr w:rsidR="00597804" w:rsidRPr="00D4761A" w14:paraId="3FBE81FB" w14:textId="77777777" w:rsidTr="00CA3812">
        <w:trPr>
          <w:cantSplit/>
        </w:trPr>
        <w:tc>
          <w:tcPr>
            <w:tcW w:w="3167" w:type="pct"/>
            <w:noWrap/>
            <w:vAlign w:val="center"/>
            <w:hideMark/>
          </w:tcPr>
          <w:p w14:paraId="400DFDB3" w14:textId="77777777" w:rsidR="00DC25BC" w:rsidRPr="00D4761A" w:rsidRDefault="00DC25BC" w:rsidP="006208B9">
            <w:pPr>
              <w:keepNext/>
              <w:spacing w:line="240" w:lineRule="auto"/>
              <w:jc w:val="left"/>
              <w:rPr>
                <w:rFonts w:eastAsia="Times New Roman" w:cs="Times New Roman"/>
                <w:b/>
                <w:szCs w:val="24"/>
                <w:lang w:eastAsia="cs-CZ"/>
              </w:rPr>
            </w:pPr>
            <w:r w:rsidRPr="00D4761A">
              <w:rPr>
                <w:rFonts w:eastAsia="Times New Roman" w:cs="Times New Roman"/>
                <w:b/>
                <w:szCs w:val="24"/>
                <w:lang w:eastAsia="cs-CZ"/>
              </w:rPr>
              <w:t>Farmakoterapie – (%)</w:t>
            </w:r>
          </w:p>
        </w:tc>
        <w:tc>
          <w:tcPr>
            <w:tcW w:w="1833" w:type="pct"/>
            <w:noWrap/>
            <w:vAlign w:val="center"/>
            <w:hideMark/>
          </w:tcPr>
          <w:p w14:paraId="73CAA23A" w14:textId="77777777" w:rsidR="00DC25BC" w:rsidRPr="00D4761A" w:rsidRDefault="00DC25BC" w:rsidP="006208B9">
            <w:pPr>
              <w:keepNext/>
              <w:spacing w:line="240" w:lineRule="auto"/>
              <w:jc w:val="center"/>
              <w:rPr>
                <w:rFonts w:eastAsia="Times New Roman" w:cs="Times New Roman"/>
                <w:b/>
                <w:szCs w:val="24"/>
                <w:lang w:eastAsia="cs-CZ"/>
              </w:rPr>
            </w:pPr>
          </w:p>
        </w:tc>
      </w:tr>
      <w:tr w:rsidR="00597804" w:rsidRPr="00D4761A" w14:paraId="59B634B7" w14:textId="77777777" w:rsidTr="00CA3812">
        <w:trPr>
          <w:cantSplit/>
        </w:trPr>
        <w:tc>
          <w:tcPr>
            <w:tcW w:w="3167" w:type="pct"/>
            <w:noWrap/>
            <w:vAlign w:val="center"/>
            <w:hideMark/>
          </w:tcPr>
          <w:p w14:paraId="0A8D5E37"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Betablokátory</w:t>
            </w:r>
          </w:p>
        </w:tc>
        <w:tc>
          <w:tcPr>
            <w:tcW w:w="1833" w:type="pct"/>
            <w:noWrap/>
            <w:vAlign w:val="center"/>
            <w:hideMark/>
          </w:tcPr>
          <w:p w14:paraId="6C642A43"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95,6</w:t>
            </w:r>
          </w:p>
        </w:tc>
      </w:tr>
      <w:tr w:rsidR="00597804" w:rsidRPr="00D4761A" w14:paraId="72951BB9" w14:textId="77777777" w:rsidTr="00CA3812">
        <w:trPr>
          <w:cantSplit/>
        </w:trPr>
        <w:tc>
          <w:tcPr>
            <w:tcW w:w="3167" w:type="pct"/>
            <w:noWrap/>
            <w:vAlign w:val="center"/>
            <w:hideMark/>
          </w:tcPr>
          <w:p w14:paraId="3E112B5E"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ACE inhibitory</w:t>
            </w:r>
          </w:p>
        </w:tc>
        <w:tc>
          <w:tcPr>
            <w:tcW w:w="1833" w:type="pct"/>
            <w:noWrap/>
            <w:vAlign w:val="center"/>
            <w:hideMark/>
          </w:tcPr>
          <w:p w14:paraId="33B99BA7"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70,1</w:t>
            </w:r>
          </w:p>
        </w:tc>
      </w:tr>
      <w:tr w:rsidR="00597804" w:rsidRPr="00D4761A" w14:paraId="79ADC359" w14:textId="77777777" w:rsidTr="00CA3812">
        <w:trPr>
          <w:cantSplit/>
        </w:trPr>
        <w:tc>
          <w:tcPr>
            <w:tcW w:w="3167" w:type="pct"/>
            <w:noWrap/>
            <w:vAlign w:val="center"/>
            <w:hideMark/>
          </w:tcPr>
          <w:p w14:paraId="5D55820A"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ARB</w:t>
            </w:r>
          </w:p>
        </w:tc>
        <w:tc>
          <w:tcPr>
            <w:tcW w:w="1833" w:type="pct"/>
            <w:noWrap/>
            <w:vAlign w:val="center"/>
            <w:hideMark/>
          </w:tcPr>
          <w:p w14:paraId="346AA0F6"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13,5</w:t>
            </w:r>
          </w:p>
        </w:tc>
      </w:tr>
      <w:tr w:rsidR="00597804" w:rsidRPr="00D4761A" w14:paraId="7966B1C5" w14:textId="77777777" w:rsidTr="00CA3812">
        <w:trPr>
          <w:cantSplit/>
        </w:trPr>
        <w:tc>
          <w:tcPr>
            <w:tcW w:w="3167" w:type="pct"/>
            <w:noWrap/>
            <w:vAlign w:val="center"/>
            <w:hideMark/>
          </w:tcPr>
          <w:p w14:paraId="1A2C2033"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Antagonisté mineralokortikoidních receptorů (MRA)</w:t>
            </w:r>
          </w:p>
        </w:tc>
        <w:tc>
          <w:tcPr>
            <w:tcW w:w="1833" w:type="pct"/>
            <w:noWrap/>
            <w:vAlign w:val="center"/>
            <w:hideMark/>
          </w:tcPr>
          <w:p w14:paraId="29DC098A"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81,8</w:t>
            </w:r>
          </w:p>
        </w:tc>
      </w:tr>
      <w:tr w:rsidR="00597804" w:rsidRPr="00D4761A" w14:paraId="7559EACD" w14:textId="77777777" w:rsidTr="00CA3812">
        <w:trPr>
          <w:cantSplit/>
        </w:trPr>
        <w:tc>
          <w:tcPr>
            <w:tcW w:w="3167" w:type="pct"/>
            <w:noWrap/>
            <w:vAlign w:val="center"/>
            <w:hideMark/>
          </w:tcPr>
          <w:p w14:paraId="73BECD12"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ARNI</w:t>
            </w:r>
          </w:p>
        </w:tc>
        <w:tc>
          <w:tcPr>
            <w:tcW w:w="1833" w:type="pct"/>
            <w:noWrap/>
            <w:vAlign w:val="center"/>
            <w:hideMark/>
          </w:tcPr>
          <w:p w14:paraId="79CE2B24"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6,6</w:t>
            </w:r>
          </w:p>
        </w:tc>
      </w:tr>
      <w:tr w:rsidR="00597804" w:rsidRPr="00D4761A" w14:paraId="688E55D3" w14:textId="77777777" w:rsidTr="00CA3812">
        <w:trPr>
          <w:cantSplit/>
        </w:trPr>
        <w:tc>
          <w:tcPr>
            <w:tcW w:w="3167" w:type="pct"/>
            <w:noWrap/>
            <w:vAlign w:val="center"/>
            <w:hideMark/>
          </w:tcPr>
          <w:p w14:paraId="1591BBE0"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Furosemid</w:t>
            </w:r>
          </w:p>
        </w:tc>
        <w:tc>
          <w:tcPr>
            <w:tcW w:w="1833" w:type="pct"/>
            <w:noWrap/>
            <w:vAlign w:val="center"/>
            <w:hideMark/>
          </w:tcPr>
          <w:p w14:paraId="12E14E87"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71,4</w:t>
            </w:r>
          </w:p>
        </w:tc>
      </w:tr>
      <w:tr w:rsidR="00597804" w:rsidRPr="00D4761A" w14:paraId="35F7D90A" w14:textId="77777777" w:rsidTr="00CA3812">
        <w:trPr>
          <w:cantSplit/>
        </w:trPr>
        <w:tc>
          <w:tcPr>
            <w:tcW w:w="3167" w:type="pct"/>
            <w:noWrap/>
            <w:vAlign w:val="center"/>
            <w:hideMark/>
          </w:tcPr>
          <w:p w14:paraId="377F761D" w14:textId="35DA7801" w:rsidR="00DC25BC" w:rsidRPr="00D4761A" w:rsidRDefault="00DC25BC" w:rsidP="006208B9">
            <w:pPr>
              <w:keepNext/>
              <w:spacing w:line="240" w:lineRule="auto"/>
              <w:jc w:val="left"/>
              <w:rPr>
                <w:rFonts w:eastAsia="Times New Roman" w:cs="Times New Roman"/>
                <w:b/>
                <w:szCs w:val="24"/>
                <w:lang w:eastAsia="cs-CZ"/>
              </w:rPr>
            </w:pPr>
            <w:r w:rsidRPr="00D4761A">
              <w:rPr>
                <w:rFonts w:eastAsia="Times New Roman" w:cs="Times New Roman"/>
                <w:b/>
                <w:szCs w:val="24"/>
                <w:lang w:eastAsia="cs-CZ"/>
              </w:rPr>
              <w:t xml:space="preserve">Laboratorní parametry – hladiny </w:t>
            </w:r>
            <w:r w:rsidR="00672ED4" w:rsidRPr="00D4761A">
              <w:rPr>
                <w:rFonts w:eastAsia="Times New Roman" w:cs="Times New Roman"/>
                <w:b/>
                <w:szCs w:val="24"/>
                <w:lang w:eastAsia="cs-CZ"/>
              </w:rPr>
              <w:t>v </w:t>
            </w:r>
            <w:r w:rsidRPr="00D4761A">
              <w:rPr>
                <w:rFonts w:eastAsia="Times New Roman" w:cs="Times New Roman"/>
                <w:b/>
                <w:szCs w:val="24"/>
                <w:lang w:eastAsia="cs-CZ"/>
              </w:rPr>
              <w:t>séru</w:t>
            </w:r>
          </w:p>
        </w:tc>
        <w:tc>
          <w:tcPr>
            <w:tcW w:w="1833" w:type="pct"/>
            <w:noWrap/>
            <w:vAlign w:val="center"/>
            <w:hideMark/>
          </w:tcPr>
          <w:p w14:paraId="2FE3170B" w14:textId="77777777" w:rsidR="00DC25BC" w:rsidRPr="00D4761A" w:rsidRDefault="00DC25BC" w:rsidP="006208B9">
            <w:pPr>
              <w:keepNext/>
              <w:spacing w:line="240" w:lineRule="auto"/>
              <w:jc w:val="center"/>
              <w:rPr>
                <w:rFonts w:eastAsia="Times New Roman" w:cs="Times New Roman"/>
                <w:b/>
                <w:szCs w:val="24"/>
                <w:lang w:eastAsia="cs-CZ"/>
              </w:rPr>
            </w:pPr>
          </w:p>
        </w:tc>
      </w:tr>
      <w:tr w:rsidR="00597804" w:rsidRPr="00D4761A" w14:paraId="1E362CEB" w14:textId="77777777" w:rsidTr="00CA3812">
        <w:trPr>
          <w:cantSplit/>
        </w:trPr>
        <w:tc>
          <w:tcPr>
            <w:tcW w:w="3167" w:type="pct"/>
            <w:noWrap/>
            <w:vAlign w:val="center"/>
            <w:hideMark/>
          </w:tcPr>
          <w:p w14:paraId="004E1886"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Sodík – mmol/L</w:t>
            </w:r>
          </w:p>
        </w:tc>
        <w:tc>
          <w:tcPr>
            <w:tcW w:w="1833" w:type="pct"/>
            <w:noWrap/>
            <w:vAlign w:val="center"/>
            <w:hideMark/>
          </w:tcPr>
          <w:p w14:paraId="4F0F6F85"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139,6 (±2,5)</w:t>
            </w:r>
          </w:p>
        </w:tc>
      </w:tr>
      <w:tr w:rsidR="00597804" w:rsidRPr="00D4761A" w14:paraId="36E0AE72" w14:textId="77777777" w:rsidTr="00CA3812">
        <w:trPr>
          <w:cantSplit/>
        </w:trPr>
        <w:tc>
          <w:tcPr>
            <w:tcW w:w="3167" w:type="pct"/>
            <w:noWrap/>
            <w:vAlign w:val="center"/>
            <w:hideMark/>
          </w:tcPr>
          <w:p w14:paraId="1F65EEF1"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Draslík– mmol/L</w:t>
            </w:r>
          </w:p>
        </w:tc>
        <w:tc>
          <w:tcPr>
            <w:tcW w:w="1833" w:type="pct"/>
            <w:noWrap/>
            <w:vAlign w:val="center"/>
            <w:hideMark/>
          </w:tcPr>
          <w:p w14:paraId="248C568A"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4,5 (±0,4)</w:t>
            </w:r>
          </w:p>
        </w:tc>
      </w:tr>
      <w:tr w:rsidR="00597804" w:rsidRPr="00D4761A" w14:paraId="4FDC41CB" w14:textId="77777777" w:rsidTr="00CA3812">
        <w:trPr>
          <w:cantSplit/>
        </w:trPr>
        <w:tc>
          <w:tcPr>
            <w:tcW w:w="3167" w:type="pct"/>
            <w:noWrap/>
            <w:vAlign w:val="center"/>
            <w:hideMark/>
          </w:tcPr>
          <w:p w14:paraId="64911BBC"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Chloridy – mmol/L</w:t>
            </w:r>
          </w:p>
        </w:tc>
        <w:tc>
          <w:tcPr>
            <w:tcW w:w="1833" w:type="pct"/>
            <w:noWrap/>
            <w:vAlign w:val="center"/>
            <w:hideMark/>
          </w:tcPr>
          <w:p w14:paraId="2DE1F0B6"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101,9 (±3,4)</w:t>
            </w:r>
          </w:p>
        </w:tc>
      </w:tr>
      <w:tr w:rsidR="00597804" w:rsidRPr="00D4761A" w14:paraId="7789FD0F" w14:textId="77777777" w:rsidTr="00CA3812">
        <w:trPr>
          <w:cantSplit/>
        </w:trPr>
        <w:tc>
          <w:tcPr>
            <w:tcW w:w="3167" w:type="pct"/>
            <w:noWrap/>
            <w:vAlign w:val="center"/>
            <w:hideMark/>
          </w:tcPr>
          <w:p w14:paraId="4FD4F41E"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Močovina – mmol/L</w:t>
            </w:r>
          </w:p>
        </w:tc>
        <w:tc>
          <w:tcPr>
            <w:tcW w:w="1833" w:type="pct"/>
            <w:noWrap/>
            <w:vAlign w:val="center"/>
            <w:hideMark/>
          </w:tcPr>
          <w:p w14:paraId="37A607E7"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7,3 (±3,7)</w:t>
            </w:r>
          </w:p>
        </w:tc>
      </w:tr>
      <w:tr w:rsidR="00597804" w:rsidRPr="00D4761A" w14:paraId="614AC9B8" w14:textId="77777777" w:rsidTr="00CA3812">
        <w:trPr>
          <w:cantSplit/>
        </w:trPr>
        <w:tc>
          <w:tcPr>
            <w:tcW w:w="3167" w:type="pct"/>
            <w:noWrap/>
            <w:vAlign w:val="center"/>
            <w:hideMark/>
          </w:tcPr>
          <w:p w14:paraId="03BE27FB"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Kreatinin – mmol/L</w:t>
            </w:r>
          </w:p>
        </w:tc>
        <w:tc>
          <w:tcPr>
            <w:tcW w:w="1833" w:type="pct"/>
            <w:noWrap/>
            <w:vAlign w:val="center"/>
            <w:hideMark/>
          </w:tcPr>
          <w:p w14:paraId="311081A8"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111,0 (±78,4)</w:t>
            </w:r>
          </w:p>
        </w:tc>
      </w:tr>
      <w:tr w:rsidR="00597804" w:rsidRPr="00D4761A" w14:paraId="046D9032" w14:textId="77777777" w:rsidTr="00CA3812">
        <w:trPr>
          <w:cantSplit/>
        </w:trPr>
        <w:tc>
          <w:tcPr>
            <w:tcW w:w="3167" w:type="pct"/>
            <w:noWrap/>
            <w:vAlign w:val="center"/>
            <w:hideMark/>
          </w:tcPr>
          <w:p w14:paraId="0D2980D2"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Glukóza – mmol/L</w:t>
            </w:r>
          </w:p>
        </w:tc>
        <w:tc>
          <w:tcPr>
            <w:tcW w:w="1833" w:type="pct"/>
            <w:noWrap/>
            <w:vAlign w:val="center"/>
            <w:hideMark/>
          </w:tcPr>
          <w:p w14:paraId="0C3FBE20"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6,7 (±2,1)</w:t>
            </w:r>
          </w:p>
        </w:tc>
      </w:tr>
      <w:tr w:rsidR="00597804" w:rsidRPr="00D4761A" w14:paraId="50D98331" w14:textId="77777777" w:rsidTr="00CA3812">
        <w:trPr>
          <w:cantSplit/>
        </w:trPr>
        <w:tc>
          <w:tcPr>
            <w:tcW w:w="3167" w:type="pct"/>
            <w:noWrap/>
            <w:vAlign w:val="center"/>
            <w:hideMark/>
          </w:tcPr>
          <w:p w14:paraId="7A4174F9"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N-terminální natriuretický propeptid typu B – ng/L</w:t>
            </w:r>
          </w:p>
        </w:tc>
        <w:tc>
          <w:tcPr>
            <w:tcW w:w="1833" w:type="pct"/>
            <w:noWrap/>
            <w:vAlign w:val="center"/>
            <w:hideMark/>
          </w:tcPr>
          <w:p w14:paraId="3C31781B"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1634 (±3369)</w:t>
            </w:r>
          </w:p>
        </w:tc>
      </w:tr>
      <w:tr w:rsidR="00597804" w:rsidRPr="00D4761A" w14:paraId="20778ED9" w14:textId="77777777" w:rsidTr="00CA3812">
        <w:trPr>
          <w:cantSplit/>
        </w:trPr>
        <w:tc>
          <w:tcPr>
            <w:tcW w:w="3167" w:type="pct"/>
            <w:noWrap/>
            <w:vAlign w:val="center"/>
            <w:hideMark/>
          </w:tcPr>
          <w:p w14:paraId="438AD168"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Clearance kreatininu – mL/sec/1,73 m</w:t>
            </w:r>
            <w:r w:rsidRPr="00D4761A">
              <w:rPr>
                <w:rFonts w:eastAsia="Times New Roman" w:cs="Times New Roman"/>
                <w:szCs w:val="24"/>
                <w:vertAlign w:val="superscript"/>
                <w:lang w:eastAsia="cs-CZ"/>
              </w:rPr>
              <w:t>2</w:t>
            </w:r>
          </w:p>
        </w:tc>
        <w:tc>
          <w:tcPr>
            <w:tcW w:w="1833" w:type="pct"/>
            <w:noWrap/>
            <w:vAlign w:val="center"/>
            <w:hideMark/>
          </w:tcPr>
          <w:p w14:paraId="3F905E1F"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1,10 (±0,35)</w:t>
            </w:r>
          </w:p>
        </w:tc>
      </w:tr>
    </w:tbl>
    <w:p w14:paraId="25AFEE87" w14:textId="77777777" w:rsidR="00DC25BC" w:rsidRPr="00D4761A" w:rsidRDefault="00DC25BC" w:rsidP="00597804">
      <w:r w:rsidRPr="00D4761A">
        <w:t>*hodnoty jsou průměrné hodnoty ± standardní odchylky</w:t>
      </w:r>
    </w:p>
    <w:p w14:paraId="7F5EC1C4" w14:textId="10242CF1" w:rsidR="00597804" w:rsidRPr="00D4761A" w:rsidRDefault="00AF5A33" w:rsidP="002F477B">
      <w:pPr>
        <w:pStyle w:val="Nadpis30"/>
      </w:pPr>
      <w:bookmarkStart w:id="62" w:name="_Toc120547462"/>
      <w:r w:rsidRPr="00D4761A">
        <w:lastRenderedPageBreak/>
        <w:t>Definice adherence</w:t>
      </w:r>
      <w:bookmarkEnd w:id="62"/>
    </w:p>
    <w:p w14:paraId="3A605DCD" w14:textId="3AD528DB" w:rsidR="00597804" w:rsidRPr="00D4761A" w:rsidRDefault="00AF5A33" w:rsidP="00A063D5">
      <w:pPr>
        <w:ind w:firstLine="708"/>
        <w:rPr>
          <w:rFonts w:cstheme="minorHAnsi"/>
          <w:szCs w:val="24"/>
        </w:rPr>
      </w:pPr>
      <w:r w:rsidRPr="00D4761A">
        <w:rPr>
          <w:rFonts w:cstheme="minorHAnsi"/>
          <w:szCs w:val="24"/>
        </w:rPr>
        <w:t xml:space="preserve">Adherence je zjišťována měřením hladin léků v séru pacientů. Jako adherentní jsou označeni pacienti, kteří mají detekovatelné veškeré předepsané </w:t>
      </w:r>
      <w:r w:rsidR="00672ED4" w:rsidRPr="00D4761A">
        <w:rPr>
          <w:rFonts w:cstheme="minorHAnsi"/>
          <w:szCs w:val="24"/>
        </w:rPr>
        <w:t>a </w:t>
      </w:r>
      <w:r w:rsidRPr="00D4761A">
        <w:rPr>
          <w:rFonts w:cstheme="minorHAnsi"/>
          <w:szCs w:val="24"/>
        </w:rPr>
        <w:t>detekované léky. Jako neadherentní jsou označeni ti, kteří mají neměřitelnou hladinu jednoho z</w:t>
      </w:r>
      <w:r w:rsidR="004D505C" w:rsidRPr="00D4761A">
        <w:rPr>
          <w:rFonts w:cstheme="minorHAnsi"/>
          <w:szCs w:val="24"/>
        </w:rPr>
        <w:t xml:space="preserve"> analyzovaných </w:t>
      </w:r>
      <w:r w:rsidRPr="00D4761A">
        <w:rPr>
          <w:rFonts w:cstheme="minorHAnsi"/>
          <w:szCs w:val="24"/>
        </w:rPr>
        <w:t>léků. Jako kompletně neadherentní jsou označeni pacienti bez měřitelných hladin všech předepsaných detekovaných léků</w:t>
      </w:r>
      <w:r w:rsidR="006162F4" w:rsidRPr="00D4761A">
        <w:rPr>
          <w:rFonts w:cstheme="minorHAnsi"/>
          <w:szCs w:val="24"/>
        </w:rPr>
        <w:t xml:space="preserve"> </w:t>
      </w:r>
      <w:r w:rsidRPr="00D4761A">
        <w:rPr>
          <w:rFonts w:cstheme="minorHAnsi"/>
          <w:szCs w:val="24"/>
        </w:rPr>
        <w:t>(T</w:t>
      </w:r>
      <w:r w:rsidR="00CC2471" w:rsidRPr="00D4761A">
        <w:rPr>
          <w:rFonts w:cstheme="minorHAnsi"/>
          <w:szCs w:val="24"/>
        </w:rPr>
        <w:t>abulka </w:t>
      </w:r>
      <w:r w:rsidRPr="00D4761A">
        <w:rPr>
          <w:rFonts w:cstheme="minorHAnsi"/>
          <w:szCs w:val="24"/>
        </w:rPr>
        <w:t>12).</w:t>
      </w:r>
    </w:p>
    <w:p w14:paraId="56DCD591" w14:textId="77777777" w:rsidR="00A063D5" w:rsidRPr="00D4761A" w:rsidRDefault="00A063D5" w:rsidP="00597804"/>
    <w:p w14:paraId="411659E9" w14:textId="2B7DB045" w:rsidR="00DC25BC" w:rsidRPr="00D4761A" w:rsidRDefault="00DC25BC" w:rsidP="006208B9">
      <w:pPr>
        <w:keepNext/>
      </w:pPr>
      <w:r w:rsidRPr="00D4761A">
        <w:rPr>
          <w:b/>
        </w:rPr>
        <w:t>T</w:t>
      </w:r>
      <w:r w:rsidR="00CC2471" w:rsidRPr="00D4761A">
        <w:rPr>
          <w:b/>
        </w:rPr>
        <w:t>abulka </w:t>
      </w:r>
      <w:r w:rsidRPr="00D4761A">
        <w:rPr>
          <w:b/>
        </w:rPr>
        <w:t>12</w:t>
      </w:r>
      <w:r w:rsidRPr="00D4761A">
        <w:t xml:space="preserve"> – Sledované lékové skupiny, léčiva kohorty LEVEL-CHF</w:t>
      </w:r>
    </w:p>
    <w:tbl>
      <w:tblPr>
        <w:tblStyle w:val="Mkatabulky"/>
        <w:tblW w:w="5000" w:type="pct"/>
        <w:tblLayout w:type="fixed"/>
        <w:tblLook w:val="04A0" w:firstRow="1" w:lastRow="0" w:firstColumn="1" w:lastColumn="0" w:noHBand="0" w:noVBand="1"/>
      </w:tblPr>
      <w:tblGrid>
        <w:gridCol w:w="4531"/>
        <w:gridCol w:w="4531"/>
      </w:tblGrid>
      <w:tr w:rsidR="00597804" w:rsidRPr="00D4761A" w14:paraId="2E2F292D" w14:textId="77777777" w:rsidTr="00CA3812">
        <w:trPr>
          <w:cantSplit/>
        </w:trPr>
        <w:tc>
          <w:tcPr>
            <w:tcW w:w="2500" w:type="pct"/>
            <w:noWrap/>
            <w:vAlign w:val="center"/>
            <w:hideMark/>
          </w:tcPr>
          <w:p w14:paraId="11842061" w14:textId="77777777" w:rsidR="00DC25BC" w:rsidRPr="00D4761A" w:rsidRDefault="00DC25BC" w:rsidP="006208B9">
            <w:pPr>
              <w:keepNext/>
              <w:spacing w:line="240" w:lineRule="auto"/>
              <w:jc w:val="left"/>
              <w:rPr>
                <w:rFonts w:eastAsia="Times New Roman" w:cs="Times New Roman"/>
                <w:b/>
                <w:szCs w:val="24"/>
                <w:lang w:eastAsia="cs-CZ"/>
              </w:rPr>
            </w:pPr>
            <w:r w:rsidRPr="00D4761A">
              <w:rPr>
                <w:rFonts w:eastAsia="Times New Roman" w:cs="Times New Roman"/>
                <w:b/>
                <w:szCs w:val="24"/>
                <w:lang w:eastAsia="cs-CZ"/>
              </w:rPr>
              <w:t>Farmakoterapie – lékové skupiny</w:t>
            </w:r>
          </w:p>
        </w:tc>
        <w:tc>
          <w:tcPr>
            <w:tcW w:w="2500" w:type="pct"/>
            <w:noWrap/>
            <w:vAlign w:val="center"/>
            <w:hideMark/>
          </w:tcPr>
          <w:p w14:paraId="14DAEFD3" w14:textId="77777777" w:rsidR="00DC25BC" w:rsidRPr="00D4761A" w:rsidRDefault="00DC25BC" w:rsidP="006208B9">
            <w:pPr>
              <w:keepNext/>
              <w:spacing w:line="240" w:lineRule="auto"/>
              <w:jc w:val="left"/>
              <w:rPr>
                <w:rFonts w:eastAsia="Times New Roman" w:cs="Times New Roman"/>
                <w:b/>
                <w:szCs w:val="24"/>
                <w:lang w:eastAsia="cs-CZ"/>
              </w:rPr>
            </w:pPr>
            <w:r w:rsidRPr="00D4761A">
              <w:rPr>
                <w:rFonts w:eastAsia="Times New Roman" w:cs="Times New Roman"/>
                <w:b/>
                <w:szCs w:val="24"/>
                <w:lang w:eastAsia="cs-CZ"/>
              </w:rPr>
              <w:t>Farmakoterapie – jednotlivá léčiva</w:t>
            </w:r>
          </w:p>
        </w:tc>
      </w:tr>
      <w:tr w:rsidR="00597804" w:rsidRPr="00D4761A" w14:paraId="6A66A831" w14:textId="77777777" w:rsidTr="00CA3812">
        <w:trPr>
          <w:cantSplit/>
        </w:trPr>
        <w:tc>
          <w:tcPr>
            <w:tcW w:w="2500" w:type="pct"/>
            <w:noWrap/>
            <w:vAlign w:val="center"/>
            <w:hideMark/>
          </w:tcPr>
          <w:p w14:paraId="624B6DAD"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Betablokátory</w:t>
            </w:r>
          </w:p>
        </w:tc>
        <w:tc>
          <w:tcPr>
            <w:tcW w:w="2500" w:type="pct"/>
            <w:noWrap/>
            <w:vAlign w:val="center"/>
            <w:hideMark/>
          </w:tcPr>
          <w:p w14:paraId="02BB66E2"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bisoprolol, metoprolol, nebivolol, carvedilol</w:t>
            </w:r>
          </w:p>
        </w:tc>
      </w:tr>
      <w:tr w:rsidR="00597804" w:rsidRPr="00D4761A" w14:paraId="0C90792F" w14:textId="77777777" w:rsidTr="00CA3812">
        <w:trPr>
          <w:cantSplit/>
        </w:trPr>
        <w:tc>
          <w:tcPr>
            <w:tcW w:w="2500" w:type="pct"/>
            <w:noWrap/>
            <w:vAlign w:val="center"/>
            <w:hideMark/>
          </w:tcPr>
          <w:p w14:paraId="7F4F5390"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ACE inhibitory</w:t>
            </w:r>
          </w:p>
        </w:tc>
        <w:tc>
          <w:tcPr>
            <w:tcW w:w="2500" w:type="pct"/>
            <w:noWrap/>
            <w:vAlign w:val="center"/>
            <w:hideMark/>
          </w:tcPr>
          <w:p w14:paraId="2145C482"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perindopril, ramipril</w:t>
            </w:r>
          </w:p>
        </w:tc>
      </w:tr>
      <w:tr w:rsidR="00597804" w:rsidRPr="00D4761A" w14:paraId="09E5C5F3" w14:textId="77777777" w:rsidTr="00CA3812">
        <w:trPr>
          <w:cantSplit/>
        </w:trPr>
        <w:tc>
          <w:tcPr>
            <w:tcW w:w="2500" w:type="pct"/>
            <w:noWrap/>
            <w:vAlign w:val="center"/>
            <w:hideMark/>
          </w:tcPr>
          <w:p w14:paraId="1D85BE44"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ARB</w:t>
            </w:r>
          </w:p>
        </w:tc>
        <w:tc>
          <w:tcPr>
            <w:tcW w:w="2500" w:type="pct"/>
            <w:noWrap/>
            <w:vAlign w:val="center"/>
            <w:hideMark/>
          </w:tcPr>
          <w:p w14:paraId="2EE10767"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telmisartan</w:t>
            </w:r>
          </w:p>
        </w:tc>
      </w:tr>
      <w:tr w:rsidR="00DC25BC" w:rsidRPr="00D4761A" w14:paraId="29F41A2A" w14:textId="77777777" w:rsidTr="00CA3812">
        <w:trPr>
          <w:cantSplit/>
        </w:trPr>
        <w:tc>
          <w:tcPr>
            <w:tcW w:w="2500" w:type="pct"/>
            <w:noWrap/>
            <w:vAlign w:val="center"/>
            <w:hideMark/>
          </w:tcPr>
          <w:p w14:paraId="4EE7B259" w14:textId="77777777" w:rsidR="00DC25BC" w:rsidRPr="00D4761A" w:rsidRDefault="00DC25BC" w:rsidP="00CA3812">
            <w:pPr>
              <w:spacing w:line="240" w:lineRule="auto"/>
              <w:jc w:val="left"/>
              <w:rPr>
                <w:rFonts w:eastAsia="Times New Roman" w:cs="Times New Roman"/>
                <w:szCs w:val="24"/>
                <w:lang w:eastAsia="cs-CZ"/>
              </w:rPr>
            </w:pPr>
            <w:r w:rsidRPr="00D4761A">
              <w:rPr>
                <w:rFonts w:eastAsia="Times New Roman" w:cs="Times New Roman"/>
                <w:szCs w:val="24"/>
                <w:lang w:eastAsia="cs-CZ"/>
              </w:rPr>
              <w:t>Antagonisté mineralokortikoidních receptorů (MRA)</w:t>
            </w:r>
          </w:p>
        </w:tc>
        <w:tc>
          <w:tcPr>
            <w:tcW w:w="2500" w:type="pct"/>
            <w:noWrap/>
            <w:vAlign w:val="center"/>
            <w:hideMark/>
          </w:tcPr>
          <w:p w14:paraId="29B1ED94" w14:textId="77777777" w:rsidR="00DC25BC" w:rsidRPr="00D4761A" w:rsidRDefault="00DC25BC" w:rsidP="00CA3812">
            <w:pPr>
              <w:spacing w:line="240" w:lineRule="auto"/>
              <w:jc w:val="left"/>
              <w:rPr>
                <w:rFonts w:eastAsia="Times New Roman" w:cs="Times New Roman"/>
                <w:szCs w:val="24"/>
                <w:lang w:eastAsia="cs-CZ"/>
              </w:rPr>
            </w:pPr>
            <w:r w:rsidRPr="00D4761A">
              <w:rPr>
                <w:rFonts w:eastAsia="Times New Roman" w:cs="Times New Roman"/>
                <w:szCs w:val="24"/>
                <w:lang w:eastAsia="cs-CZ"/>
              </w:rPr>
              <w:t>spironolakton</w:t>
            </w:r>
          </w:p>
        </w:tc>
      </w:tr>
    </w:tbl>
    <w:p w14:paraId="519202FA" w14:textId="77777777" w:rsidR="00DC25BC" w:rsidRPr="00D4761A" w:rsidRDefault="00DC25BC" w:rsidP="00AF5A33">
      <w:pPr>
        <w:rPr>
          <w:rFonts w:cstheme="minorHAnsi"/>
          <w:szCs w:val="24"/>
        </w:rPr>
      </w:pPr>
    </w:p>
    <w:p w14:paraId="69890530" w14:textId="79259FBD" w:rsidR="00AF5A33" w:rsidRPr="00D4761A" w:rsidRDefault="00AF5A33" w:rsidP="002F477B">
      <w:pPr>
        <w:pStyle w:val="Nadpis30"/>
      </w:pPr>
      <w:bookmarkStart w:id="63" w:name="_Toc120547463"/>
      <w:r w:rsidRPr="00D4761A">
        <w:t>Statistická analýza</w:t>
      </w:r>
      <w:bookmarkEnd w:id="63"/>
    </w:p>
    <w:p w14:paraId="4898F082" w14:textId="3B76D524" w:rsidR="00AF5A33" w:rsidRPr="00D4761A" w:rsidRDefault="00AF5A33" w:rsidP="00A063D5">
      <w:pPr>
        <w:ind w:firstLine="708"/>
        <w:rPr>
          <w:rFonts w:cstheme="minorHAnsi"/>
          <w:szCs w:val="24"/>
        </w:rPr>
      </w:pPr>
      <w:r w:rsidRPr="00D4761A">
        <w:rPr>
          <w:rFonts w:cstheme="minorHAnsi"/>
          <w:szCs w:val="24"/>
        </w:rPr>
        <w:t>Ve statistické analýze bylo použito deskriptivní hodnocení klinických parametrů studované populace. Deskriptivní hodnocení bylo použit</w:t>
      </w:r>
      <w:r w:rsidR="006162F4" w:rsidRPr="00D4761A">
        <w:rPr>
          <w:rFonts w:cstheme="minorHAnsi"/>
          <w:szCs w:val="24"/>
        </w:rPr>
        <w:t>o</w:t>
      </w:r>
      <w:r w:rsidRPr="00D4761A">
        <w:rPr>
          <w:rFonts w:cstheme="minorHAnsi"/>
          <w:szCs w:val="24"/>
        </w:rPr>
        <w:t xml:space="preserve"> </w:t>
      </w:r>
      <w:r w:rsidR="00672ED4" w:rsidRPr="00D4761A">
        <w:rPr>
          <w:rFonts w:cstheme="minorHAnsi"/>
          <w:szCs w:val="24"/>
        </w:rPr>
        <w:t>i </w:t>
      </w:r>
      <w:r w:rsidRPr="00D4761A">
        <w:rPr>
          <w:rFonts w:cstheme="minorHAnsi"/>
          <w:szCs w:val="24"/>
        </w:rPr>
        <w:t xml:space="preserve">pro statistické rozdíly mezi vzorky pacientů označených jako adherentní nebo neadherentní. Kategorické proměnné jsou popsány absolutní </w:t>
      </w:r>
      <w:r w:rsidR="00672ED4" w:rsidRPr="00D4761A">
        <w:rPr>
          <w:rFonts w:cstheme="minorHAnsi"/>
          <w:szCs w:val="24"/>
        </w:rPr>
        <w:t>a </w:t>
      </w:r>
      <w:r w:rsidRPr="00D4761A">
        <w:rPr>
          <w:rFonts w:cstheme="minorHAnsi"/>
          <w:szCs w:val="24"/>
        </w:rPr>
        <w:t xml:space="preserve">relativní četností. Spojité proměnné jsou vykazovány jako průměry </w:t>
      </w:r>
      <w:r w:rsidR="00672ED4" w:rsidRPr="00D4761A">
        <w:rPr>
          <w:rFonts w:cstheme="minorHAnsi"/>
          <w:szCs w:val="24"/>
        </w:rPr>
        <w:t>a </w:t>
      </w:r>
      <w:r w:rsidRPr="00D4761A">
        <w:rPr>
          <w:rFonts w:cstheme="minorHAnsi"/>
          <w:szCs w:val="24"/>
        </w:rPr>
        <w:t>standardní odchylky nebo mediány (</w:t>
      </w:r>
      <w:r w:rsidR="00672ED4" w:rsidRPr="00D4761A">
        <w:rPr>
          <w:rFonts w:cstheme="minorHAnsi"/>
          <w:szCs w:val="24"/>
        </w:rPr>
        <w:t>s </w:t>
      </w:r>
      <w:r w:rsidRPr="00D4761A">
        <w:rPr>
          <w:rFonts w:cstheme="minorHAnsi"/>
          <w:szCs w:val="24"/>
        </w:rPr>
        <w:t xml:space="preserve">mezikvartilním rozmezím). Fisherův exaktní test byl použit pro kategorické proměnné </w:t>
      </w:r>
      <w:r w:rsidR="00672ED4" w:rsidRPr="00D4761A">
        <w:rPr>
          <w:rFonts w:cstheme="minorHAnsi"/>
          <w:szCs w:val="24"/>
        </w:rPr>
        <w:t>a </w:t>
      </w:r>
      <w:r w:rsidRPr="00D4761A">
        <w:rPr>
          <w:rFonts w:cstheme="minorHAnsi"/>
          <w:szCs w:val="24"/>
        </w:rPr>
        <w:t xml:space="preserve">Mann-Whitney test pro spojité proměnné </w:t>
      </w:r>
      <w:r w:rsidR="00672ED4" w:rsidRPr="00D4761A">
        <w:rPr>
          <w:rFonts w:cstheme="minorHAnsi"/>
          <w:szCs w:val="24"/>
        </w:rPr>
        <w:t>v </w:t>
      </w:r>
      <w:r w:rsidRPr="00D4761A">
        <w:rPr>
          <w:rFonts w:cstheme="minorHAnsi"/>
          <w:szCs w:val="24"/>
        </w:rPr>
        <w:t>případě nenormálních rozdělení. Hranice pro zamítnutí nulové hypotézy ve všech testech byla 0,05 (P-hodnota). Jednorozměrn</w:t>
      </w:r>
      <w:r w:rsidR="00C843CF" w:rsidRPr="00D4761A">
        <w:rPr>
          <w:rFonts w:cstheme="minorHAnsi"/>
          <w:szCs w:val="24"/>
        </w:rPr>
        <w:t>á</w:t>
      </w:r>
      <w:r w:rsidRPr="00D4761A">
        <w:rPr>
          <w:rFonts w:cstheme="minorHAnsi"/>
          <w:szCs w:val="24"/>
        </w:rPr>
        <w:t xml:space="preserve"> logistická regrese byla provedena </w:t>
      </w:r>
      <w:r w:rsidR="00672ED4" w:rsidRPr="00D4761A">
        <w:rPr>
          <w:rFonts w:cstheme="minorHAnsi"/>
          <w:szCs w:val="24"/>
        </w:rPr>
        <w:t>k </w:t>
      </w:r>
      <w:r w:rsidRPr="00D4761A">
        <w:rPr>
          <w:rFonts w:cstheme="minorHAnsi"/>
          <w:szCs w:val="24"/>
        </w:rPr>
        <w:t xml:space="preserve">testování různých klinických </w:t>
      </w:r>
      <w:r w:rsidR="00672ED4" w:rsidRPr="00D4761A">
        <w:rPr>
          <w:rFonts w:cstheme="minorHAnsi"/>
          <w:szCs w:val="24"/>
        </w:rPr>
        <w:t>a </w:t>
      </w:r>
      <w:r w:rsidRPr="00D4761A">
        <w:rPr>
          <w:rFonts w:cstheme="minorHAnsi"/>
          <w:szCs w:val="24"/>
        </w:rPr>
        <w:t>laboratorních parametrů jako prediktorů non-adherence.</w:t>
      </w:r>
    </w:p>
    <w:p w14:paraId="4FA2D575" w14:textId="00B91C8C" w:rsidR="00597804" w:rsidRPr="00D4761A" w:rsidRDefault="00AF5A33" w:rsidP="002F477B">
      <w:pPr>
        <w:pStyle w:val="Nadpis30"/>
      </w:pPr>
      <w:bookmarkStart w:id="64" w:name="_Toc120547464"/>
      <w:bookmarkEnd w:id="57"/>
      <w:r w:rsidRPr="00D4761A">
        <w:t>Primární výsledek</w:t>
      </w:r>
      <w:bookmarkEnd w:id="64"/>
    </w:p>
    <w:p w14:paraId="21709124" w14:textId="682E06D5" w:rsidR="00597804" w:rsidRPr="00D4761A" w:rsidRDefault="00AF5A33" w:rsidP="00A063D5">
      <w:pPr>
        <w:ind w:firstLine="708"/>
        <w:rPr>
          <w:rFonts w:cstheme="minorHAnsi"/>
          <w:szCs w:val="24"/>
        </w:rPr>
      </w:pPr>
      <w:r w:rsidRPr="00D4761A">
        <w:rPr>
          <w:rFonts w:cstheme="minorHAnsi"/>
          <w:szCs w:val="24"/>
        </w:rPr>
        <w:t>Adherentních pacientů bylo 82.5</w:t>
      </w:r>
      <w:r w:rsidR="00672ED4" w:rsidRPr="00D4761A">
        <w:rPr>
          <w:rFonts w:cstheme="minorHAnsi"/>
          <w:szCs w:val="24"/>
        </w:rPr>
        <w:t> %</w:t>
      </w:r>
      <w:r w:rsidRPr="00D4761A">
        <w:rPr>
          <w:rFonts w:cstheme="minorHAnsi"/>
          <w:szCs w:val="24"/>
        </w:rPr>
        <w:t>, 17.5</w:t>
      </w:r>
      <w:r w:rsidR="00672ED4" w:rsidRPr="00D4761A">
        <w:rPr>
          <w:rFonts w:cstheme="minorHAnsi"/>
          <w:szCs w:val="24"/>
        </w:rPr>
        <w:t> %</w:t>
      </w:r>
      <w:r w:rsidRPr="00D4761A">
        <w:rPr>
          <w:rFonts w:cstheme="minorHAnsi"/>
          <w:szCs w:val="24"/>
        </w:rPr>
        <w:t xml:space="preserve"> bylo neadherentních. Kompletně neadherentních pacien</w:t>
      </w:r>
      <w:r w:rsidR="00752E12" w:rsidRPr="00D4761A">
        <w:rPr>
          <w:rFonts w:cstheme="minorHAnsi"/>
          <w:szCs w:val="24"/>
        </w:rPr>
        <w:t>t</w:t>
      </w:r>
      <w:r w:rsidRPr="00D4761A">
        <w:rPr>
          <w:rFonts w:cstheme="minorHAnsi"/>
          <w:szCs w:val="24"/>
        </w:rPr>
        <w:t>ů bylo 3.6</w:t>
      </w:r>
      <w:r w:rsidR="00672ED4" w:rsidRPr="00D4761A">
        <w:rPr>
          <w:rFonts w:cstheme="minorHAnsi"/>
          <w:szCs w:val="24"/>
        </w:rPr>
        <w:t> %</w:t>
      </w:r>
      <w:r w:rsidRPr="00D4761A">
        <w:rPr>
          <w:rFonts w:cstheme="minorHAnsi"/>
          <w:szCs w:val="24"/>
        </w:rPr>
        <w:t xml:space="preserve"> souboru.</w:t>
      </w:r>
    </w:p>
    <w:p w14:paraId="300EF815" w14:textId="5CB7E81F" w:rsidR="00597804" w:rsidRPr="00D4761A" w:rsidRDefault="00AF5A33" w:rsidP="002F477B">
      <w:pPr>
        <w:pStyle w:val="Nadpis30"/>
      </w:pPr>
      <w:bookmarkStart w:id="65" w:name="_Toc120547465"/>
      <w:r w:rsidRPr="00D4761A">
        <w:lastRenderedPageBreak/>
        <w:t>Sekundární výsledek</w:t>
      </w:r>
      <w:bookmarkEnd w:id="65"/>
    </w:p>
    <w:p w14:paraId="4A7FE4E2" w14:textId="216737F8" w:rsidR="00AF5A33" w:rsidRPr="00D4761A" w:rsidRDefault="00AF5A33" w:rsidP="00A063D5">
      <w:pPr>
        <w:ind w:firstLine="708"/>
        <w:rPr>
          <w:rFonts w:cstheme="minorHAnsi"/>
          <w:szCs w:val="24"/>
        </w:rPr>
      </w:pPr>
      <w:r w:rsidRPr="00D4761A">
        <w:rPr>
          <w:rFonts w:cstheme="minorHAnsi"/>
          <w:szCs w:val="24"/>
        </w:rPr>
        <w:t xml:space="preserve">Mezi adherentními </w:t>
      </w:r>
      <w:r w:rsidR="00672ED4" w:rsidRPr="00D4761A">
        <w:rPr>
          <w:rFonts w:cstheme="minorHAnsi"/>
          <w:szCs w:val="24"/>
        </w:rPr>
        <w:t>a </w:t>
      </w:r>
      <w:r w:rsidRPr="00D4761A">
        <w:rPr>
          <w:rFonts w:cstheme="minorHAnsi"/>
          <w:szCs w:val="24"/>
        </w:rPr>
        <w:t xml:space="preserve">neadherentními pacienty nebyly </w:t>
      </w:r>
      <w:r w:rsidR="00672ED4" w:rsidRPr="00D4761A">
        <w:rPr>
          <w:rFonts w:cstheme="minorHAnsi"/>
          <w:szCs w:val="24"/>
        </w:rPr>
        <w:t>z </w:t>
      </w:r>
      <w:r w:rsidRPr="00D4761A">
        <w:rPr>
          <w:rFonts w:cstheme="minorHAnsi"/>
          <w:szCs w:val="24"/>
        </w:rPr>
        <w:t xml:space="preserve">hlediska klinických parametrů žádné signifikantní rozdíly. </w:t>
      </w:r>
      <w:r w:rsidR="00672ED4" w:rsidRPr="00D4761A">
        <w:rPr>
          <w:rFonts w:cstheme="minorHAnsi"/>
          <w:szCs w:val="24"/>
        </w:rPr>
        <w:t>U </w:t>
      </w:r>
      <w:r w:rsidRPr="00D4761A">
        <w:rPr>
          <w:rFonts w:cstheme="minorHAnsi"/>
          <w:szCs w:val="24"/>
        </w:rPr>
        <w:t xml:space="preserve">laboratorních parametrů se obě skupiny lišily pouze </w:t>
      </w:r>
      <w:r w:rsidR="00672ED4" w:rsidRPr="00D4761A">
        <w:rPr>
          <w:rFonts w:cstheme="minorHAnsi"/>
          <w:szCs w:val="24"/>
        </w:rPr>
        <w:t>v </w:t>
      </w:r>
      <w:r w:rsidRPr="00D4761A">
        <w:rPr>
          <w:rFonts w:cstheme="minorHAnsi"/>
          <w:szCs w:val="24"/>
        </w:rPr>
        <w:t xml:space="preserve">sérových hladinách sodíku, chloridů </w:t>
      </w:r>
      <w:r w:rsidR="00672ED4" w:rsidRPr="00D4761A">
        <w:rPr>
          <w:rFonts w:cstheme="minorHAnsi"/>
          <w:szCs w:val="24"/>
        </w:rPr>
        <w:t>a </w:t>
      </w:r>
      <w:r w:rsidRPr="00D4761A">
        <w:rPr>
          <w:rFonts w:cstheme="minorHAnsi"/>
          <w:szCs w:val="24"/>
        </w:rPr>
        <w:t>močoviny (T</w:t>
      </w:r>
      <w:r w:rsidR="00CC2471" w:rsidRPr="00D4761A">
        <w:rPr>
          <w:rFonts w:cstheme="minorHAnsi"/>
          <w:szCs w:val="24"/>
        </w:rPr>
        <w:t>abulka </w:t>
      </w:r>
      <w:r w:rsidRPr="00D4761A">
        <w:rPr>
          <w:rFonts w:cstheme="minorHAnsi"/>
          <w:szCs w:val="24"/>
        </w:rPr>
        <w:t>13).</w:t>
      </w:r>
    </w:p>
    <w:p w14:paraId="1CAD55CA" w14:textId="6A842E9E" w:rsidR="00597804" w:rsidRPr="00D4761A" w:rsidRDefault="00AF5A33" w:rsidP="00A063D5">
      <w:pPr>
        <w:ind w:firstLine="708"/>
        <w:rPr>
          <w:rFonts w:cstheme="minorHAnsi"/>
          <w:szCs w:val="24"/>
        </w:rPr>
      </w:pPr>
      <w:r w:rsidRPr="00D4761A">
        <w:rPr>
          <w:rFonts w:cstheme="minorHAnsi"/>
          <w:szCs w:val="24"/>
        </w:rPr>
        <w:t xml:space="preserve">Pouze jeden parametr – věk – byl shledán jako statisticky významný prediktor nonadherence. Pacienti mladší 60 let byli častěji neadherentní </w:t>
      </w:r>
      <w:r w:rsidR="00672ED4" w:rsidRPr="00D4761A">
        <w:rPr>
          <w:rFonts w:cstheme="minorHAnsi"/>
          <w:szCs w:val="24"/>
        </w:rPr>
        <w:t>s </w:t>
      </w:r>
      <w:r w:rsidRPr="00D4761A">
        <w:rPr>
          <w:rFonts w:cstheme="minorHAnsi"/>
          <w:szCs w:val="24"/>
        </w:rPr>
        <w:t>poměrem pravděpodobnosti 2,15.</w:t>
      </w:r>
      <w:r w:rsidR="00786C73" w:rsidRPr="00D4761A">
        <w:rPr>
          <w:rFonts w:cstheme="minorHAnsi"/>
          <w:szCs w:val="24"/>
        </w:rPr>
        <w:t xml:space="preserve"> Adherence k jednotlivým lékovým skupinám je popsána v Tabulce 14.</w:t>
      </w:r>
    </w:p>
    <w:p w14:paraId="1650E0E1" w14:textId="77777777" w:rsidR="00A063D5" w:rsidRPr="00D4761A" w:rsidRDefault="00A063D5" w:rsidP="00597804"/>
    <w:p w14:paraId="1EF11D99" w14:textId="5B14BACD" w:rsidR="00DC25BC" w:rsidRPr="00D4761A" w:rsidRDefault="00DC25BC" w:rsidP="006208B9">
      <w:pPr>
        <w:keepNext/>
      </w:pPr>
      <w:r w:rsidRPr="00D4761A">
        <w:rPr>
          <w:b/>
        </w:rPr>
        <w:t>T</w:t>
      </w:r>
      <w:r w:rsidR="00CC2471" w:rsidRPr="00D4761A">
        <w:rPr>
          <w:b/>
        </w:rPr>
        <w:t>abulka </w:t>
      </w:r>
      <w:r w:rsidRPr="00D4761A">
        <w:rPr>
          <w:b/>
        </w:rPr>
        <w:t>13</w:t>
      </w:r>
      <w:r w:rsidRPr="00D4761A">
        <w:t xml:space="preserve"> – Srovnání klinických </w:t>
      </w:r>
      <w:r w:rsidR="00672ED4" w:rsidRPr="00D4761A">
        <w:t>a </w:t>
      </w:r>
      <w:r w:rsidRPr="00D4761A">
        <w:t>laborat</w:t>
      </w:r>
      <w:r w:rsidR="00752E12" w:rsidRPr="00D4761A">
        <w:t>o</w:t>
      </w:r>
      <w:r w:rsidRPr="00D4761A">
        <w:t xml:space="preserve">rních parametrů mezi adherentními </w:t>
      </w:r>
      <w:r w:rsidR="00672ED4" w:rsidRPr="00D4761A">
        <w:t>a </w:t>
      </w:r>
      <w:r w:rsidRPr="00D4761A">
        <w:t>neadherentními pacienty kohorty LEVEL-CHF*</w:t>
      </w:r>
    </w:p>
    <w:tbl>
      <w:tblPr>
        <w:tblStyle w:val="Mkatabulky"/>
        <w:tblW w:w="5000" w:type="pct"/>
        <w:tblLayout w:type="fixed"/>
        <w:tblLook w:val="04A0" w:firstRow="1" w:lastRow="0" w:firstColumn="1" w:lastColumn="0" w:noHBand="0" w:noVBand="1"/>
      </w:tblPr>
      <w:tblGrid>
        <w:gridCol w:w="3584"/>
        <w:gridCol w:w="2104"/>
        <w:gridCol w:w="2104"/>
        <w:gridCol w:w="1270"/>
      </w:tblGrid>
      <w:tr w:rsidR="00597804" w:rsidRPr="00D4761A" w14:paraId="3C824101" w14:textId="77777777" w:rsidTr="00CA3812">
        <w:trPr>
          <w:cantSplit/>
        </w:trPr>
        <w:tc>
          <w:tcPr>
            <w:tcW w:w="1977" w:type="pct"/>
            <w:noWrap/>
            <w:vAlign w:val="center"/>
            <w:hideMark/>
          </w:tcPr>
          <w:p w14:paraId="230938E5" w14:textId="77777777" w:rsidR="00DC25BC" w:rsidRPr="00D4761A" w:rsidRDefault="00DC25BC" w:rsidP="006208B9">
            <w:pPr>
              <w:keepNext/>
              <w:spacing w:line="240" w:lineRule="auto"/>
              <w:jc w:val="left"/>
              <w:rPr>
                <w:rFonts w:eastAsia="Times New Roman" w:cs="Times New Roman"/>
                <w:b/>
                <w:szCs w:val="24"/>
                <w:lang w:eastAsia="cs-CZ"/>
              </w:rPr>
            </w:pPr>
          </w:p>
        </w:tc>
        <w:tc>
          <w:tcPr>
            <w:tcW w:w="1161" w:type="pct"/>
            <w:noWrap/>
            <w:vAlign w:val="center"/>
            <w:hideMark/>
          </w:tcPr>
          <w:p w14:paraId="33D87984" w14:textId="77777777" w:rsidR="00DC25BC" w:rsidRPr="00D4761A" w:rsidRDefault="00DC25BC" w:rsidP="006208B9">
            <w:pPr>
              <w:keepNext/>
              <w:spacing w:line="240" w:lineRule="auto"/>
              <w:jc w:val="center"/>
              <w:rPr>
                <w:rFonts w:eastAsia="Times New Roman" w:cs="Times New Roman"/>
                <w:b/>
                <w:szCs w:val="24"/>
                <w:lang w:eastAsia="cs-CZ"/>
              </w:rPr>
            </w:pPr>
            <w:r w:rsidRPr="00D4761A">
              <w:rPr>
                <w:rFonts w:eastAsia="Times New Roman" w:cs="Times New Roman"/>
                <w:b/>
                <w:szCs w:val="24"/>
                <w:lang w:eastAsia="cs-CZ"/>
              </w:rPr>
              <w:t>Adherentní pacienti (N=226)</w:t>
            </w:r>
          </w:p>
        </w:tc>
        <w:tc>
          <w:tcPr>
            <w:tcW w:w="1161" w:type="pct"/>
            <w:noWrap/>
            <w:vAlign w:val="center"/>
            <w:hideMark/>
          </w:tcPr>
          <w:p w14:paraId="12BA8C01" w14:textId="77777777" w:rsidR="00DC25BC" w:rsidRPr="00D4761A" w:rsidRDefault="00DC25BC" w:rsidP="006208B9">
            <w:pPr>
              <w:keepNext/>
              <w:spacing w:line="240" w:lineRule="auto"/>
              <w:jc w:val="center"/>
              <w:rPr>
                <w:rFonts w:eastAsia="Times New Roman" w:cs="Times New Roman"/>
                <w:b/>
                <w:szCs w:val="24"/>
                <w:lang w:eastAsia="cs-CZ"/>
              </w:rPr>
            </w:pPr>
            <w:r w:rsidRPr="00D4761A">
              <w:rPr>
                <w:rFonts w:eastAsia="Times New Roman" w:cs="Times New Roman"/>
                <w:b/>
                <w:szCs w:val="24"/>
                <w:lang w:eastAsia="cs-CZ"/>
              </w:rPr>
              <w:t>Neadherentní pacienti (N=48)</w:t>
            </w:r>
          </w:p>
        </w:tc>
        <w:tc>
          <w:tcPr>
            <w:tcW w:w="701" w:type="pct"/>
            <w:noWrap/>
            <w:vAlign w:val="center"/>
            <w:hideMark/>
          </w:tcPr>
          <w:p w14:paraId="1999CE0B" w14:textId="77777777" w:rsidR="00DC25BC" w:rsidRPr="00D4761A" w:rsidRDefault="00DC25BC" w:rsidP="006208B9">
            <w:pPr>
              <w:keepNext/>
              <w:spacing w:line="240" w:lineRule="auto"/>
              <w:jc w:val="center"/>
              <w:rPr>
                <w:rFonts w:eastAsia="Times New Roman" w:cs="Times New Roman"/>
                <w:b/>
                <w:szCs w:val="24"/>
                <w:lang w:eastAsia="cs-CZ"/>
              </w:rPr>
            </w:pPr>
            <w:r w:rsidRPr="00D4761A">
              <w:rPr>
                <w:rFonts w:eastAsia="Times New Roman" w:cs="Times New Roman"/>
                <w:b/>
                <w:szCs w:val="24"/>
                <w:lang w:eastAsia="cs-CZ"/>
              </w:rPr>
              <w:t>hodnota-p</w:t>
            </w:r>
          </w:p>
        </w:tc>
      </w:tr>
      <w:tr w:rsidR="00597804" w:rsidRPr="00D4761A" w14:paraId="15BC5606" w14:textId="77777777" w:rsidTr="00CA3812">
        <w:trPr>
          <w:cantSplit/>
        </w:trPr>
        <w:tc>
          <w:tcPr>
            <w:tcW w:w="1977" w:type="pct"/>
            <w:noWrap/>
            <w:vAlign w:val="center"/>
            <w:hideMark/>
          </w:tcPr>
          <w:p w14:paraId="6C04A85D"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Věk – roky</w:t>
            </w:r>
          </w:p>
        </w:tc>
        <w:tc>
          <w:tcPr>
            <w:tcW w:w="1161" w:type="pct"/>
            <w:noWrap/>
            <w:vAlign w:val="center"/>
            <w:hideMark/>
          </w:tcPr>
          <w:p w14:paraId="09BBF24C"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62,9 (±13,0)</w:t>
            </w:r>
          </w:p>
        </w:tc>
        <w:tc>
          <w:tcPr>
            <w:tcW w:w="1161" w:type="pct"/>
            <w:noWrap/>
            <w:vAlign w:val="center"/>
            <w:hideMark/>
          </w:tcPr>
          <w:p w14:paraId="0A4B007D"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59,9 (±13,5)</w:t>
            </w:r>
          </w:p>
        </w:tc>
        <w:tc>
          <w:tcPr>
            <w:tcW w:w="701" w:type="pct"/>
            <w:noWrap/>
            <w:vAlign w:val="center"/>
            <w:hideMark/>
          </w:tcPr>
          <w:p w14:paraId="7A5E7BB2"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0,157</w:t>
            </w:r>
          </w:p>
        </w:tc>
      </w:tr>
      <w:tr w:rsidR="00597804" w:rsidRPr="00D4761A" w14:paraId="16907E59" w14:textId="77777777" w:rsidTr="00CA3812">
        <w:trPr>
          <w:cantSplit/>
        </w:trPr>
        <w:tc>
          <w:tcPr>
            <w:tcW w:w="1977" w:type="pct"/>
            <w:noWrap/>
            <w:vAlign w:val="center"/>
            <w:hideMark/>
          </w:tcPr>
          <w:p w14:paraId="753CEF7B"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Ženy – počet pacientů (%)</w:t>
            </w:r>
          </w:p>
        </w:tc>
        <w:tc>
          <w:tcPr>
            <w:tcW w:w="1161" w:type="pct"/>
            <w:noWrap/>
            <w:vAlign w:val="center"/>
            <w:hideMark/>
          </w:tcPr>
          <w:p w14:paraId="3DBC3094"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53 (23,5)</w:t>
            </w:r>
          </w:p>
        </w:tc>
        <w:tc>
          <w:tcPr>
            <w:tcW w:w="1161" w:type="pct"/>
            <w:noWrap/>
            <w:vAlign w:val="center"/>
            <w:hideMark/>
          </w:tcPr>
          <w:p w14:paraId="77A07102"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13 (27,1)</w:t>
            </w:r>
          </w:p>
        </w:tc>
        <w:tc>
          <w:tcPr>
            <w:tcW w:w="701" w:type="pct"/>
            <w:noWrap/>
            <w:vAlign w:val="center"/>
            <w:hideMark/>
          </w:tcPr>
          <w:p w14:paraId="611C525C"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0,581</w:t>
            </w:r>
          </w:p>
        </w:tc>
      </w:tr>
      <w:tr w:rsidR="00597804" w:rsidRPr="00D4761A" w14:paraId="12EBE6B4" w14:textId="77777777" w:rsidTr="00CA3812">
        <w:trPr>
          <w:cantSplit/>
        </w:trPr>
        <w:tc>
          <w:tcPr>
            <w:tcW w:w="1977" w:type="pct"/>
            <w:noWrap/>
            <w:vAlign w:val="center"/>
            <w:hideMark/>
          </w:tcPr>
          <w:p w14:paraId="404BD787"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Muži – počet pacientů (%)</w:t>
            </w:r>
          </w:p>
        </w:tc>
        <w:tc>
          <w:tcPr>
            <w:tcW w:w="1161" w:type="pct"/>
            <w:noWrap/>
            <w:vAlign w:val="center"/>
            <w:hideMark/>
          </w:tcPr>
          <w:p w14:paraId="38981C8D"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173 (76,5)</w:t>
            </w:r>
          </w:p>
        </w:tc>
        <w:tc>
          <w:tcPr>
            <w:tcW w:w="1161" w:type="pct"/>
            <w:noWrap/>
            <w:vAlign w:val="center"/>
            <w:hideMark/>
          </w:tcPr>
          <w:p w14:paraId="3E8C2424"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35 (72,9)</w:t>
            </w:r>
          </w:p>
        </w:tc>
        <w:tc>
          <w:tcPr>
            <w:tcW w:w="701" w:type="pct"/>
            <w:noWrap/>
            <w:vAlign w:val="center"/>
            <w:hideMark/>
          </w:tcPr>
          <w:p w14:paraId="21534788" w14:textId="77777777" w:rsidR="00DC25BC" w:rsidRPr="00D4761A" w:rsidRDefault="00DC25BC" w:rsidP="006208B9">
            <w:pPr>
              <w:keepNext/>
              <w:spacing w:line="240" w:lineRule="auto"/>
              <w:jc w:val="center"/>
              <w:rPr>
                <w:rFonts w:eastAsia="Times New Roman" w:cs="Times New Roman"/>
                <w:szCs w:val="24"/>
                <w:lang w:eastAsia="cs-CZ"/>
              </w:rPr>
            </w:pPr>
          </w:p>
        </w:tc>
      </w:tr>
      <w:tr w:rsidR="00597804" w:rsidRPr="00D4761A" w14:paraId="641CD996" w14:textId="77777777" w:rsidTr="00CA3812">
        <w:trPr>
          <w:cantSplit/>
        </w:trPr>
        <w:tc>
          <w:tcPr>
            <w:tcW w:w="1977" w:type="pct"/>
            <w:noWrap/>
            <w:vAlign w:val="center"/>
            <w:hideMark/>
          </w:tcPr>
          <w:p w14:paraId="7EFE4700"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Hmotnost – kg</w:t>
            </w:r>
          </w:p>
        </w:tc>
        <w:tc>
          <w:tcPr>
            <w:tcW w:w="1161" w:type="pct"/>
            <w:noWrap/>
            <w:vAlign w:val="center"/>
            <w:hideMark/>
          </w:tcPr>
          <w:p w14:paraId="7BF6D35E"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88,9 (±18,1)</w:t>
            </w:r>
          </w:p>
        </w:tc>
        <w:tc>
          <w:tcPr>
            <w:tcW w:w="1161" w:type="pct"/>
            <w:noWrap/>
            <w:vAlign w:val="center"/>
            <w:hideMark/>
          </w:tcPr>
          <w:p w14:paraId="4717AD77"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85,8 (±18,2)</w:t>
            </w:r>
          </w:p>
        </w:tc>
        <w:tc>
          <w:tcPr>
            <w:tcW w:w="701" w:type="pct"/>
            <w:noWrap/>
            <w:vAlign w:val="center"/>
            <w:hideMark/>
          </w:tcPr>
          <w:p w14:paraId="726692DB"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0,249</w:t>
            </w:r>
          </w:p>
        </w:tc>
      </w:tr>
      <w:tr w:rsidR="00597804" w:rsidRPr="00D4761A" w14:paraId="78ACB6FB" w14:textId="77777777" w:rsidTr="00CA3812">
        <w:trPr>
          <w:cantSplit/>
        </w:trPr>
        <w:tc>
          <w:tcPr>
            <w:tcW w:w="1977" w:type="pct"/>
            <w:noWrap/>
            <w:vAlign w:val="center"/>
            <w:hideMark/>
          </w:tcPr>
          <w:p w14:paraId="41D43D6A"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Výška – cm</w:t>
            </w:r>
          </w:p>
        </w:tc>
        <w:tc>
          <w:tcPr>
            <w:tcW w:w="1161" w:type="pct"/>
            <w:noWrap/>
            <w:vAlign w:val="center"/>
            <w:hideMark/>
          </w:tcPr>
          <w:p w14:paraId="0644D0E5"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174,1 (±8)</w:t>
            </w:r>
          </w:p>
        </w:tc>
        <w:tc>
          <w:tcPr>
            <w:tcW w:w="1161" w:type="pct"/>
            <w:noWrap/>
            <w:vAlign w:val="center"/>
            <w:hideMark/>
          </w:tcPr>
          <w:p w14:paraId="190E9C50"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173,6 (±10,6)</w:t>
            </w:r>
          </w:p>
        </w:tc>
        <w:tc>
          <w:tcPr>
            <w:tcW w:w="701" w:type="pct"/>
            <w:noWrap/>
            <w:vAlign w:val="center"/>
            <w:hideMark/>
          </w:tcPr>
          <w:p w14:paraId="608F689A"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0,591</w:t>
            </w:r>
          </w:p>
        </w:tc>
      </w:tr>
      <w:tr w:rsidR="00597804" w:rsidRPr="00D4761A" w14:paraId="0F5AAB00" w14:textId="77777777" w:rsidTr="00CA3812">
        <w:trPr>
          <w:cantSplit/>
        </w:trPr>
        <w:tc>
          <w:tcPr>
            <w:tcW w:w="1977" w:type="pct"/>
            <w:noWrap/>
            <w:vAlign w:val="center"/>
            <w:hideMark/>
          </w:tcPr>
          <w:p w14:paraId="14F4AFA0"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Body-mass index</w:t>
            </w:r>
          </w:p>
        </w:tc>
        <w:tc>
          <w:tcPr>
            <w:tcW w:w="1161" w:type="pct"/>
            <w:noWrap/>
            <w:vAlign w:val="center"/>
            <w:hideMark/>
          </w:tcPr>
          <w:p w14:paraId="0A024B18"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29,3 (±5,4)</w:t>
            </w:r>
          </w:p>
        </w:tc>
        <w:tc>
          <w:tcPr>
            <w:tcW w:w="1161" w:type="pct"/>
            <w:noWrap/>
            <w:vAlign w:val="center"/>
            <w:hideMark/>
          </w:tcPr>
          <w:p w14:paraId="15079384"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28,5 (±5,5)</w:t>
            </w:r>
          </w:p>
        </w:tc>
        <w:tc>
          <w:tcPr>
            <w:tcW w:w="701" w:type="pct"/>
            <w:noWrap/>
            <w:vAlign w:val="center"/>
            <w:hideMark/>
          </w:tcPr>
          <w:p w14:paraId="5EB2E07B"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0,378</w:t>
            </w:r>
          </w:p>
        </w:tc>
      </w:tr>
      <w:tr w:rsidR="00597804" w:rsidRPr="00D4761A" w14:paraId="0E4F00FA" w14:textId="77777777" w:rsidTr="00CA3812">
        <w:trPr>
          <w:cantSplit/>
        </w:trPr>
        <w:tc>
          <w:tcPr>
            <w:tcW w:w="1977" w:type="pct"/>
            <w:noWrap/>
            <w:vAlign w:val="center"/>
            <w:hideMark/>
          </w:tcPr>
          <w:p w14:paraId="245ECA16"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Srdeční frekvence – tepů/min</w:t>
            </w:r>
          </w:p>
        </w:tc>
        <w:tc>
          <w:tcPr>
            <w:tcW w:w="1161" w:type="pct"/>
            <w:noWrap/>
            <w:vAlign w:val="center"/>
            <w:hideMark/>
          </w:tcPr>
          <w:p w14:paraId="637B727A"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72,5 (±13,2)</w:t>
            </w:r>
          </w:p>
        </w:tc>
        <w:tc>
          <w:tcPr>
            <w:tcW w:w="1161" w:type="pct"/>
            <w:noWrap/>
            <w:vAlign w:val="center"/>
            <w:hideMark/>
          </w:tcPr>
          <w:p w14:paraId="11E38CE9"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70,8 (±12,0)</w:t>
            </w:r>
          </w:p>
        </w:tc>
        <w:tc>
          <w:tcPr>
            <w:tcW w:w="701" w:type="pct"/>
            <w:noWrap/>
            <w:vAlign w:val="center"/>
            <w:hideMark/>
          </w:tcPr>
          <w:p w14:paraId="61A19145"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0,411</w:t>
            </w:r>
          </w:p>
        </w:tc>
      </w:tr>
      <w:tr w:rsidR="00597804" w:rsidRPr="00D4761A" w14:paraId="1DF81501" w14:textId="77777777" w:rsidTr="00CA3812">
        <w:trPr>
          <w:cantSplit/>
        </w:trPr>
        <w:tc>
          <w:tcPr>
            <w:tcW w:w="1977" w:type="pct"/>
            <w:noWrap/>
            <w:vAlign w:val="center"/>
            <w:hideMark/>
          </w:tcPr>
          <w:p w14:paraId="07E5226F"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Systolický krevní tlak – mm Hg</w:t>
            </w:r>
          </w:p>
        </w:tc>
        <w:tc>
          <w:tcPr>
            <w:tcW w:w="1161" w:type="pct"/>
            <w:noWrap/>
            <w:vAlign w:val="center"/>
            <w:hideMark/>
          </w:tcPr>
          <w:p w14:paraId="7C66A4DB"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127,5 (±17,5)</w:t>
            </w:r>
          </w:p>
        </w:tc>
        <w:tc>
          <w:tcPr>
            <w:tcW w:w="1161" w:type="pct"/>
            <w:noWrap/>
            <w:vAlign w:val="center"/>
            <w:hideMark/>
          </w:tcPr>
          <w:p w14:paraId="08CF7008"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131,9 (±20,8)</w:t>
            </w:r>
          </w:p>
        </w:tc>
        <w:tc>
          <w:tcPr>
            <w:tcW w:w="701" w:type="pct"/>
            <w:noWrap/>
            <w:vAlign w:val="center"/>
            <w:hideMark/>
          </w:tcPr>
          <w:p w14:paraId="190989CC"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0,331</w:t>
            </w:r>
          </w:p>
        </w:tc>
      </w:tr>
      <w:tr w:rsidR="00597804" w:rsidRPr="00D4761A" w14:paraId="5B3E3DDE" w14:textId="77777777" w:rsidTr="00CA3812">
        <w:trPr>
          <w:cantSplit/>
        </w:trPr>
        <w:tc>
          <w:tcPr>
            <w:tcW w:w="1977" w:type="pct"/>
            <w:noWrap/>
            <w:vAlign w:val="center"/>
            <w:hideMark/>
          </w:tcPr>
          <w:p w14:paraId="514A7C30"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Diastolický krevní tlak – mm Hg</w:t>
            </w:r>
          </w:p>
        </w:tc>
        <w:tc>
          <w:tcPr>
            <w:tcW w:w="1161" w:type="pct"/>
            <w:noWrap/>
            <w:vAlign w:val="center"/>
            <w:hideMark/>
          </w:tcPr>
          <w:p w14:paraId="318B1973"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78,1 (±11,1)</w:t>
            </w:r>
          </w:p>
        </w:tc>
        <w:tc>
          <w:tcPr>
            <w:tcW w:w="1161" w:type="pct"/>
            <w:noWrap/>
            <w:vAlign w:val="center"/>
            <w:hideMark/>
          </w:tcPr>
          <w:p w14:paraId="405C2CB7"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70,8 (±12,0)</w:t>
            </w:r>
          </w:p>
        </w:tc>
        <w:tc>
          <w:tcPr>
            <w:tcW w:w="701" w:type="pct"/>
            <w:noWrap/>
            <w:vAlign w:val="center"/>
            <w:hideMark/>
          </w:tcPr>
          <w:p w14:paraId="2B2C3D73"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0,116</w:t>
            </w:r>
          </w:p>
        </w:tc>
      </w:tr>
      <w:tr w:rsidR="00597804" w:rsidRPr="00D4761A" w14:paraId="53A6A1F9" w14:textId="77777777" w:rsidTr="00CA3812">
        <w:trPr>
          <w:cantSplit/>
        </w:trPr>
        <w:tc>
          <w:tcPr>
            <w:tcW w:w="1977" w:type="pct"/>
            <w:noWrap/>
            <w:vAlign w:val="center"/>
            <w:hideMark/>
          </w:tcPr>
          <w:p w14:paraId="7DD8465C"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Funkční třída (NYHA)</w:t>
            </w:r>
          </w:p>
        </w:tc>
        <w:tc>
          <w:tcPr>
            <w:tcW w:w="1161" w:type="pct"/>
            <w:noWrap/>
            <w:vAlign w:val="center"/>
            <w:hideMark/>
          </w:tcPr>
          <w:p w14:paraId="6D103A05"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1,9 (±0,6)</w:t>
            </w:r>
          </w:p>
        </w:tc>
        <w:tc>
          <w:tcPr>
            <w:tcW w:w="1161" w:type="pct"/>
            <w:noWrap/>
            <w:vAlign w:val="center"/>
            <w:hideMark/>
          </w:tcPr>
          <w:p w14:paraId="228EC2BC"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2,0 (±0,7)</w:t>
            </w:r>
          </w:p>
        </w:tc>
        <w:tc>
          <w:tcPr>
            <w:tcW w:w="701" w:type="pct"/>
            <w:noWrap/>
            <w:vAlign w:val="center"/>
            <w:hideMark/>
          </w:tcPr>
          <w:p w14:paraId="59D175F2"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0,937</w:t>
            </w:r>
          </w:p>
        </w:tc>
      </w:tr>
      <w:tr w:rsidR="00597804" w:rsidRPr="00D4761A" w14:paraId="3C8DE6A8" w14:textId="77777777" w:rsidTr="00CA3812">
        <w:trPr>
          <w:cantSplit/>
        </w:trPr>
        <w:tc>
          <w:tcPr>
            <w:tcW w:w="1977" w:type="pct"/>
            <w:noWrap/>
            <w:vAlign w:val="center"/>
            <w:hideMark/>
          </w:tcPr>
          <w:p w14:paraId="3AA0BE3A" w14:textId="2A9CBF03"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Ejekční frakce levé komory –</w:t>
            </w:r>
            <w:r w:rsidR="00672ED4" w:rsidRPr="00D4761A">
              <w:rPr>
                <w:rFonts w:eastAsia="Times New Roman" w:cs="Times New Roman"/>
                <w:szCs w:val="24"/>
                <w:lang w:eastAsia="cs-CZ"/>
              </w:rPr>
              <w:t> %</w:t>
            </w:r>
          </w:p>
        </w:tc>
        <w:tc>
          <w:tcPr>
            <w:tcW w:w="1161" w:type="pct"/>
            <w:noWrap/>
            <w:vAlign w:val="center"/>
            <w:hideMark/>
          </w:tcPr>
          <w:p w14:paraId="43AE78B5"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34,9 (±11,0)</w:t>
            </w:r>
          </w:p>
        </w:tc>
        <w:tc>
          <w:tcPr>
            <w:tcW w:w="1161" w:type="pct"/>
            <w:noWrap/>
            <w:vAlign w:val="center"/>
            <w:hideMark/>
          </w:tcPr>
          <w:p w14:paraId="17599617"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33,2 (±10,7)</w:t>
            </w:r>
          </w:p>
        </w:tc>
        <w:tc>
          <w:tcPr>
            <w:tcW w:w="701" w:type="pct"/>
            <w:noWrap/>
            <w:vAlign w:val="center"/>
            <w:hideMark/>
          </w:tcPr>
          <w:p w14:paraId="62DFBE21"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0,409</w:t>
            </w:r>
          </w:p>
        </w:tc>
      </w:tr>
      <w:tr w:rsidR="00597804" w:rsidRPr="00D4761A" w14:paraId="23E38E43" w14:textId="77777777" w:rsidTr="00CA3812">
        <w:trPr>
          <w:cantSplit/>
        </w:trPr>
        <w:tc>
          <w:tcPr>
            <w:tcW w:w="1977" w:type="pct"/>
            <w:noWrap/>
            <w:vAlign w:val="center"/>
            <w:hideMark/>
          </w:tcPr>
          <w:p w14:paraId="2AD69FBD"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Absence diabetes mellitus – počet pacientů (%)</w:t>
            </w:r>
          </w:p>
        </w:tc>
        <w:tc>
          <w:tcPr>
            <w:tcW w:w="1161" w:type="pct"/>
            <w:noWrap/>
            <w:vAlign w:val="center"/>
            <w:hideMark/>
          </w:tcPr>
          <w:p w14:paraId="06BACDEF"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157 (69,5)</w:t>
            </w:r>
          </w:p>
        </w:tc>
        <w:tc>
          <w:tcPr>
            <w:tcW w:w="1161" w:type="pct"/>
            <w:noWrap/>
            <w:vAlign w:val="center"/>
            <w:hideMark/>
          </w:tcPr>
          <w:p w14:paraId="477B0D1C"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36 (75,0)</w:t>
            </w:r>
          </w:p>
        </w:tc>
        <w:tc>
          <w:tcPr>
            <w:tcW w:w="701" w:type="pct"/>
            <w:noWrap/>
            <w:vAlign w:val="center"/>
            <w:hideMark/>
          </w:tcPr>
          <w:p w14:paraId="56B2C95B"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0,601</w:t>
            </w:r>
          </w:p>
        </w:tc>
      </w:tr>
      <w:tr w:rsidR="00597804" w:rsidRPr="00D4761A" w14:paraId="612CF226" w14:textId="77777777" w:rsidTr="00CA3812">
        <w:trPr>
          <w:cantSplit/>
        </w:trPr>
        <w:tc>
          <w:tcPr>
            <w:tcW w:w="1977" w:type="pct"/>
            <w:noWrap/>
            <w:vAlign w:val="center"/>
            <w:hideMark/>
          </w:tcPr>
          <w:p w14:paraId="6BD570E3"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Diabetes mellitus – počet pacientů (%)</w:t>
            </w:r>
          </w:p>
        </w:tc>
        <w:tc>
          <w:tcPr>
            <w:tcW w:w="1161" w:type="pct"/>
            <w:noWrap/>
            <w:vAlign w:val="center"/>
            <w:hideMark/>
          </w:tcPr>
          <w:p w14:paraId="7658986B" w14:textId="142ED3FE"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68 (30,1</w:t>
            </w:r>
            <w:r w:rsidR="00672ED4" w:rsidRPr="00D4761A">
              <w:rPr>
                <w:rFonts w:eastAsia="Times New Roman" w:cs="Times New Roman"/>
                <w:szCs w:val="24"/>
                <w:lang w:eastAsia="cs-CZ"/>
              </w:rPr>
              <w:t> %</w:t>
            </w:r>
            <w:r w:rsidRPr="00D4761A">
              <w:rPr>
                <w:rFonts w:eastAsia="Times New Roman" w:cs="Times New Roman"/>
                <w:szCs w:val="24"/>
                <w:lang w:eastAsia="cs-CZ"/>
              </w:rPr>
              <w:t>)</w:t>
            </w:r>
          </w:p>
        </w:tc>
        <w:tc>
          <w:tcPr>
            <w:tcW w:w="1161" w:type="pct"/>
            <w:noWrap/>
            <w:vAlign w:val="center"/>
            <w:hideMark/>
          </w:tcPr>
          <w:p w14:paraId="3FDC26B3" w14:textId="608F5175"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12 (25</w:t>
            </w:r>
            <w:r w:rsidR="00672ED4" w:rsidRPr="00D4761A">
              <w:rPr>
                <w:rFonts w:eastAsia="Times New Roman" w:cs="Times New Roman"/>
                <w:szCs w:val="24"/>
                <w:lang w:eastAsia="cs-CZ"/>
              </w:rPr>
              <w:t> %</w:t>
            </w:r>
            <w:r w:rsidRPr="00D4761A">
              <w:rPr>
                <w:rFonts w:eastAsia="Times New Roman" w:cs="Times New Roman"/>
                <w:szCs w:val="24"/>
                <w:lang w:eastAsia="cs-CZ"/>
              </w:rPr>
              <w:t>)</w:t>
            </w:r>
          </w:p>
        </w:tc>
        <w:tc>
          <w:tcPr>
            <w:tcW w:w="701" w:type="pct"/>
            <w:noWrap/>
            <w:vAlign w:val="center"/>
            <w:hideMark/>
          </w:tcPr>
          <w:p w14:paraId="7BC5752B" w14:textId="77777777" w:rsidR="00DC25BC" w:rsidRPr="00D4761A" w:rsidRDefault="00DC25BC" w:rsidP="006208B9">
            <w:pPr>
              <w:keepNext/>
              <w:spacing w:line="240" w:lineRule="auto"/>
              <w:jc w:val="center"/>
              <w:rPr>
                <w:rFonts w:eastAsia="Times New Roman" w:cs="Times New Roman"/>
                <w:szCs w:val="24"/>
                <w:lang w:eastAsia="cs-CZ"/>
              </w:rPr>
            </w:pPr>
          </w:p>
        </w:tc>
      </w:tr>
      <w:tr w:rsidR="00597804" w:rsidRPr="00D4761A" w14:paraId="765F0AEC" w14:textId="77777777" w:rsidTr="00CA3812">
        <w:trPr>
          <w:cantSplit/>
        </w:trPr>
        <w:tc>
          <w:tcPr>
            <w:tcW w:w="1977" w:type="pct"/>
            <w:noWrap/>
            <w:vAlign w:val="center"/>
            <w:hideMark/>
          </w:tcPr>
          <w:p w14:paraId="14527BA4"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Počet užívaných léků – no</w:t>
            </w:r>
          </w:p>
        </w:tc>
        <w:tc>
          <w:tcPr>
            <w:tcW w:w="1161" w:type="pct"/>
            <w:noWrap/>
            <w:vAlign w:val="center"/>
            <w:hideMark/>
          </w:tcPr>
          <w:p w14:paraId="3B5E0245"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8,6 (±3,3)</w:t>
            </w:r>
          </w:p>
        </w:tc>
        <w:tc>
          <w:tcPr>
            <w:tcW w:w="1161" w:type="pct"/>
            <w:noWrap/>
            <w:vAlign w:val="center"/>
            <w:hideMark/>
          </w:tcPr>
          <w:p w14:paraId="2089D3AE"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8,2 (±3,1)</w:t>
            </w:r>
          </w:p>
        </w:tc>
        <w:tc>
          <w:tcPr>
            <w:tcW w:w="701" w:type="pct"/>
            <w:noWrap/>
            <w:vAlign w:val="center"/>
            <w:hideMark/>
          </w:tcPr>
          <w:p w14:paraId="628A800B"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0,397</w:t>
            </w:r>
          </w:p>
        </w:tc>
      </w:tr>
      <w:tr w:rsidR="00597804" w:rsidRPr="00D4761A" w14:paraId="525B44AE" w14:textId="77777777" w:rsidTr="00CA3812">
        <w:trPr>
          <w:cantSplit/>
        </w:trPr>
        <w:tc>
          <w:tcPr>
            <w:tcW w:w="1977" w:type="pct"/>
            <w:noWrap/>
            <w:vAlign w:val="center"/>
            <w:hideMark/>
          </w:tcPr>
          <w:p w14:paraId="3732F346" w14:textId="02B27D70"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 xml:space="preserve">Laboratorní parametry – hladiny </w:t>
            </w:r>
            <w:r w:rsidR="00672ED4" w:rsidRPr="00D4761A">
              <w:rPr>
                <w:rFonts w:eastAsia="Times New Roman" w:cs="Times New Roman"/>
                <w:szCs w:val="24"/>
                <w:lang w:eastAsia="cs-CZ"/>
              </w:rPr>
              <w:t>v </w:t>
            </w:r>
            <w:r w:rsidRPr="00D4761A">
              <w:rPr>
                <w:rFonts w:eastAsia="Times New Roman" w:cs="Times New Roman"/>
                <w:szCs w:val="24"/>
                <w:lang w:eastAsia="cs-CZ"/>
              </w:rPr>
              <w:t>séru</w:t>
            </w:r>
          </w:p>
        </w:tc>
        <w:tc>
          <w:tcPr>
            <w:tcW w:w="1161" w:type="pct"/>
            <w:noWrap/>
            <w:vAlign w:val="center"/>
            <w:hideMark/>
          </w:tcPr>
          <w:p w14:paraId="38ABA1DE" w14:textId="77777777" w:rsidR="00DC25BC" w:rsidRPr="00D4761A" w:rsidRDefault="00DC25BC" w:rsidP="006208B9">
            <w:pPr>
              <w:keepNext/>
              <w:spacing w:line="240" w:lineRule="auto"/>
              <w:jc w:val="center"/>
              <w:rPr>
                <w:rFonts w:eastAsia="Times New Roman" w:cs="Times New Roman"/>
                <w:szCs w:val="24"/>
                <w:lang w:eastAsia="cs-CZ"/>
              </w:rPr>
            </w:pPr>
          </w:p>
        </w:tc>
        <w:tc>
          <w:tcPr>
            <w:tcW w:w="1161" w:type="pct"/>
            <w:noWrap/>
            <w:vAlign w:val="center"/>
            <w:hideMark/>
          </w:tcPr>
          <w:p w14:paraId="2B6D8888" w14:textId="77777777" w:rsidR="00DC25BC" w:rsidRPr="00D4761A" w:rsidRDefault="00DC25BC" w:rsidP="006208B9">
            <w:pPr>
              <w:keepNext/>
              <w:spacing w:line="240" w:lineRule="auto"/>
              <w:jc w:val="center"/>
              <w:rPr>
                <w:rFonts w:eastAsia="Times New Roman" w:cs="Times New Roman"/>
                <w:szCs w:val="24"/>
                <w:lang w:eastAsia="cs-CZ"/>
              </w:rPr>
            </w:pPr>
          </w:p>
        </w:tc>
        <w:tc>
          <w:tcPr>
            <w:tcW w:w="701" w:type="pct"/>
            <w:noWrap/>
            <w:vAlign w:val="center"/>
            <w:hideMark/>
          </w:tcPr>
          <w:p w14:paraId="241B9CCE" w14:textId="77777777" w:rsidR="00DC25BC" w:rsidRPr="00D4761A" w:rsidRDefault="00DC25BC" w:rsidP="006208B9">
            <w:pPr>
              <w:keepNext/>
              <w:spacing w:line="240" w:lineRule="auto"/>
              <w:jc w:val="center"/>
              <w:rPr>
                <w:rFonts w:eastAsia="Times New Roman" w:cs="Times New Roman"/>
                <w:szCs w:val="24"/>
                <w:lang w:eastAsia="cs-CZ"/>
              </w:rPr>
            </w:pPr>
          </w:p>
        </w:tc>
      </w:tr>
      <w:tr w:rsidR="00597804" w:rsidRPr="00D4761A" w14:paraId="51EB9C1D" w14:textId="77777777" w:rsidTr="00CA3812">
        <w:trPr>
          <w:cantSplit/>
        </w:trPr>
        <w:tc>
          <w:tcPr>
            <w:tcW w:w="1977" w:type="pct"/>
            <w:noWrap/>
            <w:vAlign w:val="center"/>
            <w:hideMark/>
          </w:tcPr>
          <w:p w14:paraId="1266A9BF"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Sodík – mmol/L</w:t>
            </w:r>
          </w:p>
        </w:tc>
        <w:tc>
          <w:tcPr>
            <w:tcW w:w="1161" w:type="pct"/>
            <w:noWrap/>
            <w:vAlign w:val="center"/>
            <w:hideMark/>
          </w:tcPr>
          <w:p w14:paraId="078AB265"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139,5 (±2,5)</w:t>
            </w:r>
          </w:p>
        </w:tc>
        <w:tc>
          <w:tcPr>
            <w:tcW w:w="1161" w:type="pct"/>
            <w:noWrap/>
            <w:vAlign w:val="center"/>
            <w:hideMark/>
          </w:tcPr>
          <w:p w14:paraId="6EEA9465"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140,0 (±2,4)</w:t>
            </w:r>
          </w:p>
        </w:tc>
        <w:tc>
          <w:tcPr>
            <w:tcW w:w="701" w:type="pct"/>
            <w:noWrap/>
            <w:vAlign w:val="center"/>
            <w:hideMark/>
          </w:tcPr>
          <w:p w14:paraId="384BE060"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0,038</w:t>
            </w:r>
          </w:p>
        </w:tc>
      </w:tr>
      <w:tr w:rsidR="00597804" w:rsidRPr="00D4761A" w14:paraId="73C2572B" w14:textId="77777777" w:rsidTr="00CA3812">
        <w:trPr>
          <w:cantSplit/>
        </w:trPr>
        <w:tc>
          <w:tcPr>
            <w:tcW w:w="1977" w:type="pct"/>
            <w:noWrap/>
            <w:vAlign w:val="center"/>
            <w:hideMark/>
          </w:tcPr>
          <w:p w14:paraId="56D0EB30" w14:textId="149B84A6"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Draslík</w:t>
            </w:r>
            <w:r w:rsidR="00752E12" w:rsidRPr="00D4761A">
              <w:rPr>
                <w:rFonts w:eastAsia="Times New Roman" w:cs="Times New Roman"/>
                <w:szCs w:val="24"/>
                <w:lang w:eastAsia="cs-CZ"/>
              </w:rPr>
              <w:t xml:space="preserve"> </w:t>
            </w:r>
            <w:r w:rsidRPr="00D4761A">
              <w:rPr>
                <w:rFonts w:eastAsia="Times New Roman" w:cs="Times New Roman"/>
                <w:szCs w:val="24"/>
                <w:lang w:eastAsia="cs-CZ"/>
              </w:rPr>
              <w:t>– mmol/L</w:t>
            </w:r>
          </w:p>
        </w:tc>
        <w:tc>
          <w:tcPr>
            <w:tcW w:w="1161" w:type="pct"/>
            <w:noWrap/>
            <w:vAlign w:val="center"/>
            <w:hideMark/>
          </w:tcPr>
          <w:p w14:paraId="27DB646F"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4,5 (±0,4)</w:t>
            </w:r>
          </w:p>
        </w:tc>
        <w:tc>
          <w:tcPr>
            <w:tcW w:w="1161" w:type="pct"/>
            <w:noWrap/>
            <w:vAlign w:val="center"/>
            <w:hideMark/>
          </w:tcPr>
          <w:p w14:paraId="26A8C18E"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4,4 (±0,3)</w:t>
            </w:r>
          </w:p>
        </w:tc>
        <w:tc>
          <w:tcPr>
            <w:tcW w:w="701" w:type="pct"/>
            <w:noWrap/>
            <w:vAlign w:val="center"/>
            <w:hideMark/>
          </w:tcPr>
          <w:p w14:paraId="33162626"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0,058</w:t>
            </w:r>
          </w:p>
        </w:tc>
      </w:tr>
      <w:tr w:rsidR="00597804" w:rsidRPr="00D4761A" w14:paraId="451B0B32" w14:textId="77777777" w:rsidTr="00CA3812">
        <w:trPr>
          <w:cantSplit/>
        </w:trPr>
        <w:tc>
          <w:tcPr>
            <w:tcW w:w="1977" w:type="pct"/>
            <w:noWrap/>
            <w:vAlign w:val="center"/>
            <w:hideMark/>
          </w:tcPr>
          <w:p w14:paraId="019704E3"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Chloridy – mmol/L</w:t>
            </w:r>
          </w:p>
        </w:tc>
        <w:tc>
          <w:tcPr>
            <w:tcW w:w="1161" w:type="pct"/>
            <w:noWrap/>
            <w:vAlign w:val="center"/>
            <w:hideMark/>
          </w:tcPr>
          <w:p w14:paraId="19A31A1C"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101,7 (±3,5)</w:t>
            </w:r>
          </w:p>
        </w:tc>
        <w:tc>
          <w:tcPr>
            <w:tcW w:w="1161" w:type="pct"/>
            <w:noWrap/>
            <w:vAlign w:val="center"/>
            <w:hideMark/>
          </w:tcPr>
          <w:p w14:paraId="212D6D01"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103,1 (±2,8)</w:t>
            </w:r>
          </w:p>
        </w:tc>
        <w:tc>
          <w:tcPr>
            <w:tcW w:w="701" w:type="pct"/>
            <w:noWrap/>
            <w:vAlign w:val="center"/>
            <w:hideMark/>
          </w:tcPr>
          <w:p w14:paraId="66BB939E"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0,002</w:t>
            </w:r>
          </w:p>
        </w:tc>
      </w:tr>
      <w:tr w:rsidR="00597804" w:rsidRPr="00D4761A" w14:paraId="53C8E735" w14:textId="77777777" w:rsidTr="00CA3812">
        <w:trPr>
          <w:cantSplit/>
        </w:trPr>
        <w:tc>
          <w:tcPr>
            <w:tcW w:w="1977" w:type="pct"/>
            <w:noWrap/>
            <w:vAlign w:val="center"/>
            <w:hideMark/>
          </w:tcPr>
          <w:p w14:paraId="398969D0"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Močovina – mmol/L</w:t>
            </w:r>
          </w:p>
        </w:tc>
        <w:tc>
          <w:tcPr>
            <w:tcW w:w="1161" w:type="pct"/>
            <w:noWrap/>
            <w:vAlign w:val="center"/>
            <w:hideMark/>
          </w:tcPr>
          <w:p w14:paraId="67AD1292"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7,5 (±3,9)</w:t>
            </w:r>
          </w:p>
        </w:tc>
        <w:tc>
          <w:tcPr>
            <w:tcW w:w="1161" w:type="pct"/>
            <w:noWrap/>
            <w:vAlign w:val="center"/>
            <w:hideMark/>
          </w:tcPr>
          <w:p w14:paraId="75AE6C36"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6,4 (±2,9)</w:t>
            </w:r>
          </w:p>
        </w:tc>
        <w:tc>
          <w:tcPr>
            <w:tcW w:w="701" w:type="pct"/>
            <w:noWrap/>
            <w:vAlign w:val="center"/>
            <w:hideMark/>
          </w:tcPr>
          <w:p w14:paraId="3F7A5984"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0,037</w:t>
            </w:r>
          </w:p>
        </w:tc>
      </w:tr>
      <w:tr w:rsidR="00597804" w:rsidRPr="00D4761A" w14:paraId="79892665" w14:textId="77777777" w:rsidTr="00CA3812">
        <w:trPr>
          <w:cantSplit/>
        </w:trPr>
        <w:tc>
          <w:tcPr>
            <w:tcW w:w="1977" w:type="pct"/>
            <w:noWrap/>
            <w:vAlign w:val="center"/>
            <w:hideMark/>
          </w:tcPr>
          <w:p w14:paraId="5D5AB651"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Kreatinin – mmol/L</w:t>
            </w:r>
          </w:p>
        </w:tc>
        <w:tc>
          <w:tcPr>
            <w:tcW w:w="1161" w:type="pct"/>
            <w:noWrap/>
            <w:vAlign w:val="center"/>
            <w:hideMark/>
          </w:tcPr>
          <w:p w14:paraId="7C112800"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111,1 (±79,6)</w:t>
            </w:r>
          </w:p>
        </w:tc>
        <w:tc>
          <w:tcPr>
            <w:tcW w:w="1161" w:type="pct"/>
            <w:noWrap/>
            <w:vAlign w:val="center"/>
            <w:hideMark/>
          </w:tcPr>
          <w:p w14:paraId="39387B64"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110,3 (±73,1)</w:t>
            </w:r>
          </w:p>
        </w:tc>
        <w:tc>
          <w:tcPr>
            <w:tcW w:w="701" w:type="pct"/>
            <w:noWrap/>
            <w:vAlign w:val="center"/>
            <w:hideMark/>
          </w:tcPr>
          <w:p w14:paraId="46E27AAD"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0,990</w:t>
            </w:r>
          </w:p>
        </w:tc>
      </w:tr>
      <w:tr w:rsidR="00597804" w:rsidRPr="00D4761A" w14:paraId="4B6F3406" w14:textId="77777777" w:rsidTr="00CA3812">
        <w:trPr>
          <w:cantSplit/>
        </w:trPr>
        <w:tc>
          <w:tcPr>
            <w:tcW w:w="1977" w:type="pct"/>
            <w:noWrap/>
            <w:vAlign w:val="center"/>
            <w:hideMark/>
          </w:tcPr>
          <w:p w14:paraId="1D92F1F2"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Glukóza – mmol/L</w:t>
            </w:r>
          </w:p>
        </w:tc>
        <w:tc>
          <w:tcPr>
            <w:tcW w:w="1161" w:type="pct"/>
            <w:noWrap/>
            <w:vAlign w:val="center"/>
            <w:hideMark/>
          </w:tcPr>
          <w:p w14:paraId="29589121"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6,7 (±2,0)</w:t>
            </w:r>
          </w:p>
        </w:tc>
        <w:tc>
          <w:tcPr>
            <w:tcW w:w="1161" w:type="pct"/>
            <w:noWrap/>
            <w:vAlign w:val="center"/>
            <w:hideMark/>
          </w:tcPr>
          <w:p w14:paraId="45C46C04"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6,9 (±2,4)</w:t>
            </w:r>
          </w:p>
        </w:tc>
        <w:tc>
          <w:tcPr>
            <w:tcW w:w="701" w:type="pct"/>
            <w:noWrap/>
            <w:vAlign w:val="center"/>
            <w:hideMark/>
          </w:tcPr>
          <w:p w14:paraId="1B70A4CE"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0,524</w:t>
            </w:r>
          </w:p>
        </w:tc>
      </w:tr>
      <w:tr w:rsidR="00597804" w:rsidRPr="00D4761A" w14:paraId="6EDF00F1" w14:textId="77777777" w:rsidTr="00CA3812">
        <w:trPr>
          <w:cantSplit/>
        </w:trPr>
        <w:tc>
          <w:tcPr>
            <w:tcW w:w="1977" w:type="pct"/>
            <w:noWrap/>
            <w:vAlign w:val="center"/>
            <w:hideMark/>
          </w:tcPr>
          <w:p w14:paraId="042BA512"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N-terminální natriuretický propeptid typu B – ng/L</w:t>
            </w:r>
          </w:p>
        </w:tc>
        <w:tc>
          <w:tcPr>
            <w:tcW w:w="1161" w:type="pct"/>
            <w:noWrap/>
            <w:vAlign w:val="center"/>
            <w:hideMark/>
          </w:tcPr>
          <w:p w14:paraId="196863AE"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1661 (±3415)</w:t>
            </w:r>
          </w:p>
        </w:tc>
        <w:tc>
          <w:tcPr>
            <w:tcW w:w="1161" w:type="pct"/>
            <w:noWrap/>
            <w:vAlign w:val="center"/>
            <w:hideMark/>
          </w:tcPr>
          <w:p w14:paraId="54C4D045"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1509 (±3178)</w:t>
            </w:r>
          </w:p>
        </w:tc>
        <w:tc>
          <w:tcPr>
            <w:tcW w:w="701" w:type="pct"/>
            <w:noWrap/>
            <w:vAlign w:val="center"/>
            <w:hideMark/>
          </w:tcPr>
          <w:p w14:paraId="1D76BA8A"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0,973</w:t>
            </w:r>
          </w:p>
        </w:tc>
      </w:tr>
      <w:tr w:rsidR="00597804" w:rsidRPr="00D4761A" w14:paraId="3215DB89" w14:textId="77777777" w:rsidTr="00CA3812">
        <w:trPr>
          <w:cantSplit/>
        </w:trPr>
        <w:tc>
          <w:tcPr>
            <w:tcW w:w="1977" w:type="pct"/>
            <w:noWrap/>
            <w:vAlign w:val="center"/>
            <w:hideMark/>
          </w:tcPr>
          <w:p w14:paraId="7C342252"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Clearance kreatininu – mL/sec/1,73m</w:t>
            </w:r>
            <w:r w:rsidRPr="00D4761A">
              <w:rPr>
                <w:rFonts w:eastAsia="Times New Roman" w:cs="Times New Roman"/>
                <w:szCs w:val="24"/>
                <w:vertAlign w:val="superscript"/>
                <w:lang w:eastAsia="cs-CZ"/>
              </w:rPr>
              <w:t>2</w:t>
            </w:r>
          </w:p>
        </w:tc>
        <w:tc>
          <w:tcPr>
            <w:tcW w:w="1161" w:type="pct"/>
            <w:noWrap/>
            <w:vAlign w:val="center"/>
            <w:hideMark/>
          </w:tcPr>
          <w:p w14:paraId="77159EE5"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1,10 (±0,36)</w:t>
            </w:r>
          </w:p>
        </w:tc>
        <w:tc>
          <w:tcPr>
            <w:tcW w:w="1161" w:type="pct"/>
            <w:noWrap/>
            <w:vAlign w:val="center"/>
            <w:hideMark/>
          </w:tcPr>
          <w:p w14:paraId="137DA1D1"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1,12 (±0,33)</w:t>
            </w:r>
          </w:p>
        </w:tc>
        <w:tc>
          <w:tcPr>
            <w:tcW w:w="701" w:type="pct"/>
            <w:noWrap/>
            <w:vAlign w:val="center"/>
            <w:hideMark/>
          </w:tcPr>
          <w:p w14:paraId="55B594AF"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0,967</w:t>
            </w:r>
          </w:p>
        </w:tc>
      </w:tr>
    </w:tbl>
    <w:p w14:paraId="0B93E812" w14:textId="77777777" w:rsidR="00DC25BC" w:rsidRPr="00D4761A" w:rsidRDefault="00DC25BC" w:rsidP="00597804">
      <w:r w:rsidRPr="00D4761A">
        <w:t>*hodnoty jsou průměrné hodnoty ± standardní odchylky</w:t>
      </w:r>
    </w:p>
    <w:p w14:paraId="443AB116" w14:textId="77777777" w:rsidR="00DC25BC" w:rsidRPr="00D4761A" w:rsidRDefault="00DC25BC" w:rsidP="00597804"/>
    <w:p w14:paraId="1AA87BD3" w14:textId="0CA60F65" w:rsidR="00DC25BC" w:rsidRPr="00D4761A" w:rsidRDefault="00DC25BC" w:rsidP="006208B9">
      <w:pPr>
        <w:keepNext/>
      </w:pPr>
      <w:r w:rsidRPr="00D4761A">
        <w:rPr>
          <w:b/>
        </w:rPr>
        <w:t>T</w:t>
      </w:r>
      <w:r w:rsidR="00CC2471" w:rsidRPr="00D4761A">
        <w:rPr>
          <w:b/>
        </w:rPr>
        <w:t>abulka </w:t>
      </w:r>
      <w:r w:rsidRPr="00D4761A">
        <w:rPr>
          <w:b/>
        </w:rPr>
        <w:t>14</w:t>
      </w:r>
      <w:r w:rsidRPr="00D4761A">
        <w:t xml:space="preserve"> – Adherence </w:t>
      </w:r>
      <w:r w:rsidR="00672ED4" w:rsidRPr="00D4761A">
        <w:t>k </w:t>
      </w:r>
      <w:r w:rsidRPr="00D4761A">
        <w:t>jednotlivým lékovým skupinám kohorty LEVEL-CHF</w:t>
      </w:r>
    </w:p>
    <w:tbl>
      <w:tblPr>
        <w:tblStyle w:val="Mkatabulky"/>
        <w:tblW w:w="5000" w:type="pct"/>
        <w:tblLook w:val="04A0" w:firstRow="1" w:lastRow="0" w:firstColumn="1" w:lastColumn="0" w:noHBand="0" w:noVBand="1"/>
      </w:tblPr>
      <w:tblGrid>
        <w:gridCol w:w="5668"/>
        <w:gridCol w:w="1841"/>
        <w:gridCol w:w="1553"/>
      </w:tblGrid>
      <w:tr w:rsidR="00597804" w:rsidRPr="00D4761A" w14:paraId="0292B5E0" w14:textId="77777777" w:rsidTr="00CA3812">
        <w:trPr>
          <w:cantSplit/>
        </w:trPr>
        <w:tc>
          <w:tcPr>
            <w:tcW w:w="3127" w:type="pct"/>
            <w:noWrap/>
            <w:vAlign w:val="center"/>
            <w:hideMark/>
          </w:tcPr>
          <w:p w14:paraId="4CA31788" w14:textId="77777777" w:rsidR="00DC25BC" w:rsidRPr="00D4761A" w:rsidRDefault="00DC25BC" w:rsidP="006208B9">
            <w:pPr>
              <w:keepNext/>
              <w:spacing w:line="240" w:lineRule="auto"/>
              <w:jc w:val="left"/>
              <w:rPr>
                <w:rFonts w:eastAsia="Times New Roman" w:cs="Times New Roman"/>
                <w:b/>
                <w:szCs w:val="24"/>
                <w:lang w:eastAsia="cs-CZ"/>
              </w:rPr>
            </w:pPr>
            <w:r w:rsidRPr="00D4761A">
              <w:rPr>
                <w:rFonts w:eastAsia="Times New Roman" w:cs="Times New Roman"/>
                <w:b/>
                <w:szCs w:val="24"/>
                <w:lang w:eastAsia="cs-CZ"/>
              </w:rPr>
              <w:t>Léková skupina (N = celkový počet pacientů)</w:t>
            </w:r>
          </w:p>
        </w:tc>
        <w:tc>
          <w:tcPr>
            <w:tcW w:w="1016" w:type="pct"/>
            <w:noWrap/>
            <w:vAlign w:val="center"/>
            <w:hideMark/>
          </w:tcPr>
          <w:p w14:paraId="27CA99FE" w14:textId="77777777" w:rsidR="00DC25BC" w:rsidRPr="00D4761A" w:rsidRDefault="00DC25BC" w:rsidP="006208B9">
            <w:pPr>
              <w:keepNext/>
              <w:spacing w:line="240" w:lineRule="auto"/>
              <w:jc w:val="left"/>
              <w:rPr>
                <w:rFonts w:eastAsia="Times New Roman" w:cs="Times New Roman"/>
                <w:b/>
                <w:szCs w:val="24"/>
                <w:lang w:eastAsia="cs-CZ"/>
              </w:rPr>
            </w:pPr>
          </w:p>
        </w:tc>
        <w:tc>
          <w:tcPr>
            <w:tcW w:w="857" w:type="pct"/>
            <w:noWrap/>
            <w:vAlign w:val="center"/>
            <w:hideMark/>
          </w:tcPr>
          <w:p w14:paraId="22827A18" w14:textId="77777777" w:rsidR="00DC25BC" w:rsidRPr="00D4761A" w:rsidRDefault="00DC25BC" w:rsidP="006208B9">
            <w:pPr>
              <w:keepNext/>
              <w:spacing w:line="240" w:lineRule="auto"/>
              <w:jc w:val="center"/>
              <w:rPr>
                <w:rFonts w:eastAsia="Times New Roman" w:cs="Times New Roman"/>
                <w:b/>
                <w:szCs w:val="24"/>
                <w:lang w:eastAsia="cs-CZ"/>
              </w:rPr>
            </w:pPr>
            <w:r w:rsidRPr="00D4761A">
              <w:rPr>
                <w:rFonts w:eastAsia="Times New Roman" w:cs="Times New Roman"/>
                <w:b/>
                <w:szCs w:val="24"/>
                <w:lang w:eastAsia="cs-CZ"/>
              </w:rPr>
              <w:t>N (%)</w:t>
            </w:r>
          </w:p>
        </w:tc>
      </w:tr>
      <w:tr w:rsidR="00597804" w:rsidRPr="00D4761A" w14:paraId="78E9E46A" w14:textId="77777777" w:rsidTr="00CA3812">
        <w:trPr>
          <w:cantSplit/>
        </w:trPr>
        <w:tc>
          <w:tcPr>
            <w:tcW w:w="3127" w:type="pct"/>
            <w:vMerge w:val="restart"/>
            <w:noWrap/>
            <w:vAlign w:val="center"/>
            <w:hideMark/>
          </w:tcPr>
          <w:p w14:paraId="51580CF8"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Betablokátory (N=242)</w:t>
            </w:r>
          </w:p>
        </w:tc>
        <w:tc>
          <w:tcPr>
            <w:tcW w:w="1016" w:type="pct"/>
            <w:noWrap/>
            <w:vAlign w:val="center"/>
            <w:hideMark/>
          </w:tcPr>
          <w:p w14:paraId="39F66196"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Adherentní</w:t>
            </w:r>
          </w:p>
        </w:tc>
        <w:tc>
          <w:tcPr>
            <w:tcW w:w="857" w:type="pct"/>
            <w:noWrap/>
            <w:vAlign w:val="center"/>
            <w:hideMark/>
          </w:tcPr>
          <w:p w14:paraId="3C0A79A8"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219 (87,4)</w:t>
            </w:r>
          </w:p>
        </w:tc>
      </w:tr>
      <w:tr w:rsidR="00597804" w:rsidRPr="00D4761A" w14:paraId="22B0C027" w14:textId="77777777" w:rsidTr="00CA3812">
        <w:trPr>
          <w:cantSplit/>
        </w:trPr>
        <w:tc>
          <w:tcPr>
            <w:tcW w:w="3127" w:type="pct"/>
            <w:vMerge/>
            <w:noWrap/>
            <w:vAlign w:val="center"/>
            <w:hideMark/>
          </w:tcPr>
          <w:p w14:paraId="3FECB42A" w14:textId="77777777" w:rsidR="00DC25BC" w:rsidRPr="00D4761A" w:rsidRDefault="00DC25BC" w:rsidP="006208B9">
            <w:pPr>
              <w:keepNext/>
              <w:spacing w:line="240" w:lineRule="auto"/>
              <w:jc w:val="left"/>
              <w:rPr>
                <w:rFonts w:eastAsia="Times New Roman" w:cs="Times New Roman"/>
                <w:szCs w:val="24"/>
                <w:lang w:eastAsia="cs-CZ"/>
              </w:rPr>
            </w:pPr>
          </w:p>
        </w:tc>
        <w:tc>
          <w:tcPr>
            <w:tcW w:w="1016" w:type="pct"/>
            <w:noWrap/>
            <w:vAlign w:val="center"/>
            <w:hideMark/>
          </w:tcPr>
          <w:p w14:paraId="76C87A42"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Neadherentní</w:t>
            </w:r>
          </w:p>
        </w:tc>
        <w:tc>
          <w:tcPr>
            <w:tcW w:w="857" w:type="pct"/>
            <w:noWrap/>
            <w:vAlign w:val="center"/>
            <w:hideMark/>
          </w:tcPr>
          <w:p w14:paraId="04072F5D"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23 (12,6)</w:t>
            </w:r>
          </w:p>
        </w:tc>
      </w:tr>
      <w:tr w:rsidR="00597804" w:rsidRPr="00D4761A" w14:paraId="28BFFCFA" w14:textId="77777777" w:rsidTr="00CA3812">
        <w:trPr>
          <w:cantSplit/>
        </w:trPr>
        <w:tc>
          <w:tcPr>
            <w:tcW w:w="3127" w:type="pct"/>
            <w:vMerge w:val="restart"/>
            <w:noWrap/>
            <w:vAlign w:val="center"/>
            <w:hideMark/>
          </w:tcPr>
          <w:p w14:paraId="71C868F0"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ACE inhibitory (N=182)</w:t>
            </w:r>
          </w:p>
        </w:tc>
        <w:tc>
          <w:tcPr>
            <w:tcW w:w="1016" w:type="pct"/>
            <w:noWrap/>
            <w:vAlign w:val="center"/>
            <w:hideMark/>
          </w:tcPr>
          <w:p w14:paraId="306EB80C"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Adherentní</w:t>
            </w:r>
          </w:p>
        </w:tc>
        <w:tc>
          <w:tcPr>
            <w:tcW w:w="857" w:type="pct"/>
            <w:noWrap/>
            <w:vAlign w:val="center"/>
            <w:hideMark/>
          </w:tcPr>
          <w:p w14:paraId="22977DC0"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163 (87,5)</w:t>
            </w:r>
          </w:p>
        </w:tc>
      </w:tr>
      <w:tr w:rsidR="00597804" w:rsidRPr="00D4761A" w14:paraId="2B8DACC8" w14:textId="77777777" w:rsidTr="00CA3812">
        <w:trPr>
          <w:cantSplit/>
        </w:trPr>
        <w:tc>
          <w:tcPr>
            <w:tcW w:w="3127" w:type="pct"/>
            <w:vMerge/>
            <w:noWrap/>
            <w:vAlign w:val="center"/>
            <w:hideMark/>
          </w:tcPr>
          <w:p w14:paraId="6858CE92" w14:textId="77777777" w:rsidR="00DC25BC" w:rsidRPr="00D4761A" w:rsidRDefault="00DC25BC" w:rsidP="006208B9">
            <w:pPr>
              <w:keepNext/>
              <w:spacing w:line="240" w:lineRule="auto"/>
              <w:jc w:val="left"/>
              <w:rPr>
                <w:rFonts w:eastAsia="Times New Roman" w:cs="Times New Roman"/>
                <w:szCs w:val="24"/>
                <w:lang w:eastAsia="cs-CZ"/>
              </w:rPr>
            </w:pPr>
          </w:p>
        </w:tc>
        <w:tc>
          <w:tcPr>
            <w:tcW w:w="1016" w:type="pct"/>
            <w:noWrap/>
            <w:vAlign w:val="center"/>
            <w:hideMark/>
          </w:tcPr>
          <w:p w14:paraId="31F9A961"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Neadherentní</w:t>
            </w:r>
          </w:p>
        </w:tc>
        <w:tc>
          <w:tcPr>
            <w:tcW w:w="857" w:type="pct"/>
            <w:noWrap/>
            <w:vAlign w:val="center"/>
            <w:hideMark/>
          </w:tcPr>
          <w:p w14:paraId="51E3CF1F"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19 (12,5)</w:t>
            </w:r>
          </w:p>
        </w:tc>
      </w:tr>
      <w:tr w:rsidR="00597804" w:rsidRPr="00D4761A" w14:paraId="1B55308B" w14:textId="77777777" w:rsidTr="00CA3812">
        <w:trPr>
          <w:cantSplit/>
        </w:trPr>
        <w:tc>
          <w:tcPr>
            <w:tcW w:w="3127" w:type="pct"/>
            <w:vMerge w:val="restart"/>
            <w:noWrap/>
            <w:vAlign w:val="center"/>
            <w:hideMark/>
          </w:tcPr>
          <w:p w14:paraId="752A4A4C"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ARB (N=15)</w:t>
            </w:r>
          </w:p>
        </w:tc>
        <w:tc>
          <w:tcPr>
            <w:tcW w:w="1016" w:type="pct"/>
            <w:noWrap/>
            <w:vAlign w:val="center"/>
            <w:hideMark/>
          </w:tcPr>
          <w:p w14:paraId="7271370C" w14:textId="77777777" w:rsidR="00DC25BC" w:rsidRPr="00D4761A" w:rsidRDefault="00DC25BC" w:rsidP="006208B9">
            <w:pPr>
              <w:keepNext/>
              <w:spacing w:line="240" w:lineRule="auto"/>
              <w:jc w:val="left"/>
              <w:rPr>
                <w:rFonts w:eastAsia="Times New Roman" w:cs="Times New Roman"/>
                <w:szCs w:val="24"/>
                <w:lang w:eastAsia="cs-CZ"/>
              </w:rPr>
            </w:pPr>
            <w:r w:rsidRPr="00D4761A">
              <w:rPr>
                <w:rFonts w:eastAsia="Times New Roman" w:cs="Times New Roman"/>
                <w:szCs w:val="24"/>
                <w:lang w:eastAsia="cs-CZ"/>
              </w:rPr>
              <w:t>Adherentní</w:t>
            </w:r>
          </w:p>
        </w:tc>
        <w:tc>
          <w:tcPr>
            <w:tcW w:w="857" w:type="pct"/>
            <w:noWrap/>
            <w:vAlign w:val="center"/>
            <w:hideMark/>
          </w:tcPr>
          <w:p w14:paraId="7C59C7DC" w14:textId="77777777" w:rsidR="00DC25BC" w:rsidRPr="00D4761A" w:rsidRDefault="00DC25BC" w:rsidP="006208B9">
            <w:pPr>
              <w:keepNext/>
              <w:spacing w:line="240" w:lineRule="auto"/>
              <w:jc w:val="center"/>
              <w:rPr>
                <w:rFonts w:eastAsia="Times New Roman" w:cs="Times New Roman"/>
                <w:szCs w:val="24"/>
                <w:lang w:eastAsia="cs-CZ"/>
              </w:rPr>
            </w:pPr>
            <w:r w:rsidRPr="00D4761A">
              <w:rPr>
                <w:rFonts w:eastAsia="Times New Roman" w:cs="Times New Roman"/>
                <w:szCs w:val="24"/>
                <w:lang w:eastAsia="cs-CZ"/>
              </w:rPr>
              <w:t>14 (93)</w:t>
            </w:r>
          </w:p>
        </w:tc>
      </w:tr>
      <w:tr w:rsidR="00597804" w:rsidRPr="00D4761A" w14:paraId="4A6DA884" w14:textId="77777777" w:rsidTr="00CA3812">
        <w:trPr>
          <w:cantSplit/>
        </w:trPr>
        <w:tc>
          <w:tcPr>
            <w:tcW w:w="3127" w:type="pct"/>
            <w:vMerge/>
            <w:noWrap/>
            <w:vAlign w:val="center"/>
            <w:hideMark/>
          </w:tcPr>
          <w:p w14:paraId="2E341472" w14:textId="77777777" w:rsidR="00DC25BC" w:rsidRPr="00D4761A" w:rsidRDefault="00DC25BC" w:rsidP="00CA3812">
            <w:pPr>
              <w:spacing w:line="240" w:lineRule="auto"/>
              <w:jc w:val="left"/>
              <w:rPr>
                <w:rFonts w:eastAsia="Times New Roman" w:cs="Times New Roman"/>
                <w:szCs w:val="24"/>
                <w:lang w:eastAsia="cs-CZ"/>
              </w:rPr>
            </w:pPr>
          </w:p>
        </w:tc>
        <w:tc>
          <w:tcPr>
            <w:tcW w:w="1016" w:type="pct"/>
            <w:noWrap/>
            <w:vAlign w:val="center"/>
            <w:hideMark/>
          </w:tcPr>
          <w:p w14:paraId="1F012BFD" w14:textId="77777777" w:rsidR="00DC25BC" w:rsidRPr="00D4761A" w:rsidRDefault="00DC25BC" w:rsidP="00CA3812">
            <w:pPr>
              <w:spacing w:line="240" w:lineRule="auto"/>
              <w:jc w:val="left"/>
              <w:rPr>
                <w:rFonts w:eastAsia="Times New Roman" w:cs="Times New Roman"/>
                <w:szCs w:val="24"/>
                <w:lang w:eastAsia="cs-CZ"/>
              </w:rPr>
            </w:pPr>
            <w:r w:rsidRPr="00D4761A">
              <w:rPr>
                <w:rFonts w:eastAsia="Times New Roman" w:cs="Times New Roman"/>
                <w:szCs w:val="24"/>
                <w:lang w:eastAsia="cs-CZ"/>
              </w:rPr>
              <w:t>Neadherentní</w:t>
            </w:r>
          </w:p>
        </w:tc>
        <w:tc>
          <w:tcPr>
            <w:tcW w:w="857" w:type="pct"/>
            <w:noWrap/>
            <w:vAlign w:val="center"/>
            <w:hideMark/>
          </w:tcPr>
          <w:p w14:paraId="0B0142D5" w14:textId="77777777" w:rsidR="00DC25BC" w:rsidRPr="00D4761A" w:rsidRDefault="00DC25BC" w:rsidP="00CA3812">
            <w:pPr>
              <w:spacing w:line="240" w:lineRule="auto"/>
              <w:jc w:val="center"/>
              <w:rPr>
                <w:rFonts w:eastAsia="Times New Roman" w:cs="Times New Roman"/>
                <w:szCs w:val="24"/>
                <w:lang w:eastAsia="cs-CZ"/>
              </w:rPr>
            </w:pPr>
            <w:r w:rsidRPr="00D4761A">
              <w:rPr>
                <w:rFonts w:eastAsia="Times New Roman" w:cs="Times New Roman"/>
                <w:szCs w:val="24"/>
                <w:lang w:eastAsia="cs-CZ"/>
              </w:rPr>
              <w:t>1 (7)</w:t>
            </w:r>
          </w:p>
        </w:tc>
      </w:tr>
      <w:tr w:rsidR="00597804" w:rsidRPr="00D4761A" w14:paraId="7683CA59" w14:textId="77777777" w:rsidTr="00CA3812">
        <w:trPr>
          <w:cantSplit/>
        </w:trPr>
        <w:tc>
          <w:tcPr>
            <w:tcW w:w="3127" w:type="pct"/>
            <w:vMerge w:val="restart"/>
            <w:noWrap/>
            <w:vAlign w:val="center"/>
            <w:hideMark/>
          </w:tcPr>
          <w:p w14:paraId="6BE6A033" w14:textId="77777777" w:rsidR="00DC25BC" w:rsidRPr="00D4761A" w:rsidRDefault="00DC25BC" w:rsidP="00CA3812">
            <w:pPr>
              <w:spacing w:line="240" w:lineRule="auto"/>
              <w:jc w:val="left"/>
              <w:rPr>
                <w:rFonts w:eastAsia="Times New Roman" w:cs="Times New Roman"/>
                <w:szCs w:val="24"/>
                <w:lang w:eastAsia="cs-CZ"/>
              </w:rPr>
            </w:pPr>
            <w:r w:rsidRPr="00D4761A">
              <w:rPr>
                <w:rFonts w:eastAsia="Times New Roman" w:cs="Times New Roman"/>
                <w:szCs w:val="24"/>
                <w:lang w:eastAsia="cs-CZ"/>
              </w:rPr>
              <w:t>Antagonisté mineralokortikoidních receptorů (N=193)</w:t>
            </w:r>
          </w:p>
        </w:tc>
        <w:tc>
          <w:tcPr>
            <w:tcW w:w="1016" w:type="pct"/>
            <w:noWrap/>
            <w:vAlign w:val="center"/>
            <w:hideMark/>
          </w:tcPr>
          <w:p w14:paraId="099CB2FA" w14:textId="77777777" w:rsidR="00DC25BC" w:rsidRPr="00D4761A" w:rsidRDefault="00DC25BC" w:rsidP="00CA3812">
            <w:pPr>
              <w:spacing w:line="240" w:lineRule="auto"/>
              <w:jc w:val="left"/>
              <w:rPr>
                <w:rFonts w:eastAsia="Times New Roman" w:cs="Times New Roman"/>
                <w:szCs w:val="24"/>
                <w:lang w:eastAsia="cs-CZ"/>
              </w:rPr>
            </w:pPr>
            <w:r w:rsidRPr="00D4761A">
              <w:rPr>
                <w:rFonts w:eastAsia="Times New Roman" w:cs="Times New Roman"/>
                <w:szCs w:val="24"/>
                <w:lang w:eastAsia="cs-CZ"/>
              </w:rPr>
              <w:t>Adherentní</w:t>
            </w:r>
          </w:p>
        </w:tc>
        <w:tc>
          <w:tcPr>
            <w:tcW w:w="857" w:type="pct"/>
            <w:noWrap/>
            <w:vAlign w:val="center"/>
            <w:hideMark/>
          </w:tcPr>
          <w:p w14:paraId="5B8ACA67" w14:textId="77777777" w:rsidR="00DC25BC" w:rsidRPr="00D4761A" w:rsidRDefault="00DC25BC" w:rsidP="00CA3812">
            <w:pPr>
              <w:spacing w:line="240" w:lineRule="auto"/>
              <w:jc w:val="center"/>
              <w:rPr>
                <w:rFonts w:eastAsia="Times New Roman" w:cs="Times New Roman"/>
                <w:szCs w:val="24"/>
                <w:lang w:eastAsia="cs-CZ"/>
              </w:rPr>
            </w:pPr>
            <w:r w:rsidRPr="00D4761A">
              <w:rPr>
                <w:rFonts w:eastAsia="Times New Roman" w:cs="Times New Roman"/>
                <w:szCs w:val="24"/>
                <w:lang w:eastAsia="cs-CZ"/>
              </w:rPr>
              <w:t>176 (85,5)</w:t>
            </w:r>
          </w:p>
        </w:tc>
      </w:tr>
      <w:tr w:rsidR="00597804" w:rsidRPr="00D4761A" w14:paraId="41FE399B" w14:textId="77777777" w:rsidTr="00CA3812">
        <w:trPr>
          <w:cantSplit/>
        </w:trPr>
        <w:tc>
          <w:tcPr>
            <w:tcW w:w="3127" w:type="pct"/>
            <w:vMerge/>
            <w:noWrap/>
            <w:vAlign w:val="center"/>
            <w:hideMark/>
          </w:tcPr>
          <w:p w14:paraId="38F6BEFB" w14:textId="77777777" w:rsidR="00DC25BC" w:rsidRPr="00D4761A" w:rsidRDefault="00DC25BC" w:rsidP="00CA3812">
            <w:pPr>
              <w:spacing w:line="240" w:lineRule="auto"/>
              <w:jc w:val="left"/>
              <w:rPr>
                <w:rFonts w:eastAsia="Times New Roman" w:cs="Times New Roman"/>
                <w:szCs w:val="24"/>
                <w:lang w:eastAsia="cs-CZ"/>
              </w:rPr>
            </w:pPr>
          </w:p>
        </w:tc>
        <w:tc>
          <w:tcPr>
            <w:tcW w:w="1016" w:type="pct"/>
            <w:noWrap/>
            <w:vAlign w:val="center"/>
            <w:hideMark/>
          </w:tcPr>
          <w:p w14:paraId="6D096664" w14:textId="77777777" w:rsidR="00DC25BC" w:rsidRPr="00D4761A" w:rsidRDefault="00DC25BC" w:rsidP="00CA3812">
            <w:pPr>
              <w:spacing w:line="240" w:lineRule="auto"/>
              <w:jc w:val="left"/>
              <w:rPr>
                <w:rFonts w:eastAsia="Times New Roman" w:cs="Times New Roman"/>
                <w:szCs w:val="24"/>
                <w:lang w:eastAsia="cs-CZ"/>
              </w:rPr>
            </w:pPr>
            <w:r w:rsidRPr="00D4761A">
              <w:rPr>
                <w:rFonts w:eastAsia="Times New Roman" w:cs="Times New Roman"/>
                <w:szCs w:val="24"/>
                <w:lang w:eastAsia="cs-CZ"/>
              </w:rPr>
              <w:t>Neadherentní</w:t>
            </w:r>
          </w:p>
        </w:tc>
        <w:tc>
          <w:tcPr>
            <w:tcW w:w="857" w:type="pct"/>
            <w:noWrap/>
            <w:vAlign w:val="center"/>
            <w:hideMark/>
          </w:tcPr>
          <w:p w14:paraId="1CAA07E9" w14:textId="77777777" w:rsidR="00DC25BC" w:rsidRPr="00D4761A" w:rsidRDefault="00DC25BC" w:rsidP="00CA3812">
            <w:pPr>
              <w:spacing w:line="240" w:lineRule="auto"/>
              <w:jc w:val="center"/>
              <w:rPr>
                <w:rFonts w:eastAsia="Times New Roman" w:cs="Times New Roman"/>
                <w:szCs w:val="24"/>
                <w:lang w:eastAsia="cs-CZ"/>
              </w:rPr>
            </w:pPr>
            <w:r w:rsidRPr="00D4761A">
              <w:rPr>
                <w:rFonts w:eastAsia="Times New Roman" w:cs="Times New Roman"/>
                <w:szCs w:val="24"/>
                <w:lang w:eastAsia="cs-CZ"/>
              </w:rPr>
              <w:t>17 (14,5)</w:t>
            </w:r>
          </w:p>
        </w:tc>
      </w:tr>
    </w:tbl>
    <w:p w14:paraId="50F4BF7B" w14:textId="77777777" w:rsidR="00DC25BC" w:rsidRPr="00D4761A" w:rsidRDefault="00DC25BC" w:rsidP="00597804"/>
    <w:p w14:paraId="460D2992" w14:textId="07DFCEEC" w:rsidR="00597804" w:rsidRPr="00D4761A" w:rsidRDefault="009424A1" w:rsidP="002F477B">
      <w:pPr>
        <w:pStyle w:val="Nadpis30"/>
      </w:pPr>
      <w:bookmarkStart w:id="66" w:name="_Toc120547466"/>
      <w:r w:rsidRPr="00D4761A">
        <w:t>Diskuze (Experimentální část 2)</w:t>
      </w:r>
      <w:bookmarkEnd w:id="66"/>
    </w:p>
    <w:p w14:paraId="6CB1D007" w14:textId="03EB48AA" w:rsidR="00597804" w:rsidRPr="00D4761A" w:rsidRDefault="00621B69" w:rsidP="00A063D5">
      <w:pPr>
        <w:ind w:firstLine="708"/>
        <w:rPr>
          <w:rFonts w:cstheme="minorHAnsi"/>
          <w:bCs/>
          <w:szCs w:val="24"/>
        </w:rPr>
      </w:pPr>
      <w:r w:rsidRPr="00D4761A">
        <w:rPr>
          <w:rFonts w:cstheme="minorHAnsi"/>
          <w:bCs/>
          <w:szCs w:val="24"/>
        </w:rPr>
        <w:t xml:space="preserve">Zásadní dopadem práce je to, že jsme prokázali možnost využití měření sérových hladin léků v běžném ambulantním provozu. Prokázali jsme </w:t>
      </w:r>
      <w:r w:rsidR="002474D7" w:rsidRPr="00D4761A">
        <w:rPr>
          <w:rFonts w:cstheme="minorHAnsi"/>
          <w:bCs/>
          <w:szCs w:val="24"/>
        </w:rPr>
        <w:t xml:space="preserve">vysokou </w:t>
      </w:r>
      <w:r w:rsidRPr="00D4761A">
        <w:rPr>
          <w:rFonts w:cstheme="minorHAnsi"/>
          <w:bCs/>
          <w:szCs w:val="24"/>
        </w:rPr>
        <w:t>adherenci pacientů</w:t>
      </w:r>
      <w:r w:rsidR="00673892" w:rsidRPr="00D4761A">
        <w:rPr>
          <w:rFonts w:cstheme="minorHAnsi"/>
          <w:bCs/>
          <w:szCs w:val="24"/>
        </w:rPr>
        <w:t xml:space="preserve"> (82,5</w:t>
      </w:r>
      <w:r w:rsidR="00672ED4" w:rsidRPr="00D4761A">
        <w:rPr>
          <w:rFonts w:cstheme="minorHAnsi"/>
          <w:bCs/>
          <w:szCs w:val="24"/>
        </w:rPr>
        <w:t> %</w:t>
      </w:r>
      <w:r w:rsidR="00673892" w:rsidRPr="00D4761A">
        <w:rPr>
          <w:rFonts w:cstheme="minorHAnsi"/>
          <w:bCs/>
          <w:szCs w:val="24"/>
        </w:rPr>
        <w:t>)</w:t>
      </w:r>
      <w:r w:rsidRPr="00D4761A">
        <w:rPr>
          <w:rFonts w:cstheme="minorHAnsi"/>
          <w:bCs/>
          <w:szCs w:val="24"/>
        </w:rPr>
        <w:t xml:space="preserve"> </w:t>
      </w:r>
      <w:r w:rsidR="00672ED4" w:rsidRPr="00D4761A">
        <w:rPr>
          <w:rFonts w:cstheme="minorHAnsi"/>
          <w:bCs/>
          <w:szCs w:val="24"/>
        </w:rPr>
        <w:t>v </w:t>
      </w:r>
      <w:r w:rsidR="00673892" w:rsidRPr="00D4761A">
        <w:rPr>
          <w:rFonts w:cstheme="minorHAnsi"/>
          <w:bCs/>
          <w:szCs w:val="24"/>
        </w:rPr>
        <w:t>početné</w:t>
      </w:r>
      <w:r w:rsidRPr="00D4761A">
        <w:rPr>
          <w:rFonts w:cstheme="minorHAnsi"/>
          <w:bCs/>
          <w:szCs w:val="24"/>
        </w:rPr>
        <w:t xml:space="preserve"> neselektované skupině pacientů s chronickým srdečním selháním.</w:t>
      </w:r>
    </w:p>
    <w:p w14:paraId="53327452" w14:textId="4086D4DB" w:rsidR="00597804" w:rsidRPr="00D4761A" w:rsidRDefault="00673892" w:rsidP="00A063D5">
      <w:pPr>
        <w:ind w:firstLine="708"/>
      </w:pPr>
      <w:r w:rsidRPr="00D4761A">
        <w:rPr>
          <w:rFonts w:cstheme="minorHAnsi"/>
          <w:bCs/>
          <w:szCs w:val="24"/>
        </w:rPr>
        <w:t>Doposud p</w:t>
      </w:r>
      <w:r w:rsidR="00621B69" w:rsidRPr="00D4761A">
        <w:rPr>
          <w:rFonts w:cstheme="minorHAnsi"/>
          <w:bCs/>
          <w:szCs w:val="24"/>
        </w:rPr>
        <w:t>ublikovan</w:t>
      </w:r>
      <w:r w:rsidR="002474D7" w:rsidRPr="00D4761A">
        <w:rPr>
          <w:rFonts w:cstheme="minorHAnsi"/>
          <w:bCs/>
          <w:szCs w:val="24"/>
        </w:rPr>
        <w:t>é</w:t>
      </w:r>
      <w:r w:rsidR="00621B69" w:rsidRPr="00D4761A">
        <w:rPr>
          <w:rFonts w:cstheme="minorHAnsi"/>
          <w:bCs/>
          <w:szCs w:val="24"/>
        </w:rPr>
        <w:t xml:space="preserve"> adherenc</w:t>
      </w:r>
      <w:r w:rsidRPr="00D4761A">
        <w:rPr>
          <w:rFonts w:cstheme="minorHAnsi"/>
          <w:bCs/>
          <w:szCs w:val="24"/>
        </w:rPr>
        <w:t xml:space="preserve">e </w:t>
      </w:r>
      <w:r w:rsidR="00672ED4" w:rsidRPr="00D4761A">
        <w:rPr>
          <w:rFonts w:cstheme="minorHAnsi"/>
          <w:bCs/>
          <w:szCs w:val="24"/>
        </w:rPr>
        <w:t>u </w:t>
      </w:r>
      <w:r w:rsidRPr="00D4761A">
        <w:rPr>
          <w:rFonts w:cstheme="minorHAnsi"/>
          <w:bCs/>
          <w:szCs w:val="24"/>
        </w:rPr>
        <w:t>pacientů se srdečním selháním vycház</w:t>
      </w:r>
      <w:r w:rsidR="002474D7" w:rsidRPr="00D4761A">
        <w:rPr>
          <w:rFonts w:cstheme="minorHAnsi"/>
          <w:bCs/>
          <w:szCs w:val="24"/>
        </w:rPr>
        <w:t xml:space="preserve">ely </w:t>
      </w:r>
      <w:r w:rsidR="00672ED4" w:rsidRPr="00D4761A">
        <w:rPr>
          <w:rFonts w:cstheme="minorHAnsi"/>
          <w:bCs/>
          <w:szCs w:val="24"/>
        </w:rPr>
        <w:t>z </w:t>
      </w:r>
      <w:r w:rsidRPr="00D4761A">
        <w:rPr>
          <w:rFonts w:cstheme="minorHAnsi"/>
          <w:bCs/>
          <w:szCs w:val="24"/>
        </w:rPr>
        <w:t xml:space="preserve">dotazníkových šetření pacientů </w:t>
      </w:r>
      <w:r w:rsidR="00672ED4" w:rsidRPr="00D4761A">
        <w:rPr>
          <w:rFonts w:cstheme="minorHAnsi"/>
          <w:bCs/>
          <w:szCs w:val="24"/>
        </w:rPr>
        <w:t>a </w:t>
      </w:r>
      <w:r w:rsidR="002474D7" w:rsidRPr="00D4761A">
        <w:rPr>
          <w:rFonts w:cstheme="minorHAnsi"/>
          <w:bCs/>
          <w:szCs w:val="24"/>
        </w:rPr>
        <w:t xml:space="preserve">tato adherence je </w:t>
      </w:r>
      <w:r w:rsidRPr="00D4761A">
        <w:rPr>
          <w:rFonts w:cstheme="minorHAnsi"/>
          <w:bCs/>
          <w:szCs w:val="24"/>
        </w:rPr>
        <w:t>udávána v rozmezí 91-98</w:t>
      </w:r>
      <w:r w:rsidR="00672ED4" w:rsidRPr="00D4761A">
        <w:rPr>
          <w:rFonts w:cstheme="minorHAnsi"/>
          <w:bCs/>
          <w:szCs w:val="24"/>
        </w:rPr>
        <w:t> %</w:t>
      </w:r>
      <w:r w:rsidRPr="00D4761A">
        <w:rPr>
          <w:rFonts w:cstheme="minorHAnsi"/>
          <w:bCs/>
          <w:szCs w:val="24"/>
        </w:rPr>
        <w:t xml:space="preserve"> (12</w:t>
      </w:r>
      <w:r w:rsidR="00355862" w:rsidRPr="00D4761A">
        <w:rPr>
          <w:rFonts w:cstheme="minorHAnsi"/>
          <w:bCs/>
          <w:szCs w:val="24"/>
        </w:rPr>
        <w:t>4</w:t>
      </w:r>
      <w:r w:rsidRPr="00D4761A">
        <w:rPr>
          <w:rFonts w:cstheme="minorHAnsi"/>
          <w:bCs/>
          <w:szCs w:val="24"/>
        </w:rPr>
        <w:t>).</w:t>
      </w:r>
      <w:r w:rsidR="001A589F" w:rsidRPr="00D4761A">
        <w:rPr>
          <w:rFonts w:cstheme="minorHAnsi"/>
          <w:bCs/>
          <w:szCs w:val="24"/>
        </w:rPr>
        <w:t xml:space="preserve"> Objektivnější metody ovšem prokazují nižší adherenci (84</w:t>
      </w:r>
      <w:r w:rsidR="00672ED4" w:rsidRPr="00D4761A">
        <w:rPr>
          <w:rFonts w:cstheme="minorHAnsi"/>
          <w:bCs/>
          <w:szCs w:val="24"/>
        </w:rPr>
        <w:t> %</w:t>
      </w:r>
      <w:r w:rsidR="001A589F" w:rsidRPr="00D4761A">
        <w:rPr>
          <w:rFonts w:cstheme="minorHAnsi"/>
          <w:bCs/>
          <w:szCs w:val="24"/>
        </w:rPr>
        <w:t>)</w:t>
      </w:r>
      <w:r w:rsidR="0030615F" w:rsidRPr="00D4761A">
        <w:rPr>
          <w:rFonts w:cstheme="minorHAnsi"/>
          <w:bCs/>
          <w:szCs w:val="24"/>
        </w:rPr>
        <w:t xml:space="preserve"> </w:t>
      </w:r>
      <w:r w:rsidR="001A589F" w:rsidRPr="00D4761A">
        <w:rPr>
          <w:rFonts w:cstheme="minorHAnsi"/>
          <w:bCs/>
          <w:szCs w:val="24"/>
        </w:rPr>
        <w:t>(12</w:t>
      </w:r>
      <w:r w:rsidR="00355862" w:rsidRPr="00D4761A">
        <w:rPr>
          <w:rFonts w:cstheme="minorHAnsi"/>
          <w:bCs/>
          <w:szCs w:val="24"/>
        </w:rPr>
        <w:t>5</w:t>
      </w:r>
      <w:r w:rsidR="001A589F" w:rsidRPr="00D4761A">
        <w:rPr>
          <w:rFonts w:cstheme="minorHAnsi"/>
          <w:bCs/>
          <w:szCs w:val="24"/>
        </w:rPr>
        <w:t>)</w:t>
      </w:r>
      <w:r w:rsidR="001A464B" w:rsidRPr="00D4761A">
        <w:rPr>
          <w:rFonts w:cstheme="minorHAnsi"/>
          <w:bCs/>
          <w:szCs w:val="24"/>
        </w:rPr>
        <w:t>. Menší studie</w:t>
      </w:r>
      <w:r w:rsidR="00086884" w:rsidRPr="00D4761A">
        <w:rPr>
          <w:rFonts w:cstheme="minorHAnsi"/>
          <w:bCs/>
          <w:szCs w:val="24"/>
        </w:rPr>
        <w:t xml:space="preserve"> (81 pacientů)</w:t>
      </w:r>
      <w:r w:rsidR="001A464B" w:rsidRPr="00D4761A">
        <w:rPr>
          <w:rFonts w:cstheme="minorHAnsi"/>
          <w:bCs/>
          <w:szCs w:val="24"/>
        </w:rPr>
        <w:t xml:space="preserve">, která již používala měření sérových hladin léků, našla </w:t>
      </w:r>
      <w:r w:rsidR="00086884" w:rsidRPr="00D4761A">
        <w:rPr>
          <w:rFonts w:cstheme="minorHAnsi"/>
          <w:bCs/>
          <w:szCs w:val="24"/>
        </w:rPr>
        <w:t>dokonce výrazně nižší 75</w:t>
      </w:r>
      <w:r w:rsidR="00672ED4" w:rsidRPr="00D4761A">
        <w:rPr>
          <w:rFonts w:cstheme="minorHAnsi"/>
          <w:bCs/>
          <w:szCs w:val="24"/>
        </w:rPr>
        <w:t> %</w:t>
      </w:r>
      <w:r w:rsidR="00086884" w:rsidRPr="00D4761A">
        <w:rPr>
          <w:rFonts w:cstheme="minorHAnsi"/>
          <w:bCs/>
          <w:szCs w:val="24"/>
        </w:rPr>
        <w:t xml:space="preserve"> adherenci (12</w:t>
      </w:r>
      <w:r w:rsidR="00355862" w:rsidRPr="00D4761A">
        <w:rPr>
          <w:rFonts w:cstheme="minorHAnsi"/>
          <w:bCs/>
          <w:szCs w:val="24"/>
        </w:rPr>
        <w:t>6</w:t>
      </w:r>
      <w:r w:rsidR="00086884" w:rsidRPr="00D4761A">
        <w:rPr>
          <w:rFonts w:cstheme="minorHAnsi"/>
          <w:bCs/>
          <w:szCs w:val="24"/>
        </w:rPr>
        <w:t>). Toto má praktický dopad na progn</w:t>
      </w:r>
      <w:r w:rsidR="002F164F" w:rsidRPr="00D4761A">
        <w:rPr>
          <w:rFonts w:cstheme="minorHAnsi"/>
          <w:bCs/>
          <w:szCs w:val="24"/>
        </w:rPr>
        <w:t>óz</w:t>
      </w:r>
      <w:r w:rsidR="00086884" w:rsidRPr="00D4761A">
        <w:rPr>
          <w:rFonts w:cstheme="minorHAnsi"/>
          <w:bCs/>
          <w:szCs w:val="24"/>
        </w:rPr>
        <w:t>u pacientů</w:t>
      </w:r>
      <w:r w:rsidR="00F72700" w:rsidRPr="00D4761A">
        <w:rPr>
          <w:rFonts w:cstheme="minorHAnsi"/>
          <w:bCs/>
          <w:szCs w:val="24"/>
        </w:rPr>
        <w:t>, protože neadherence zvyšuje</w:t>
      </w:r>
      <w:r w:rsidR="007C2BFA" w:rsidRPr="00D4761A">
        <w:rPr>
          <w:rFonts w:cstheme="minorHAnsi"/>
          <w:bCs/>
          <w:szCs w:val="24"/>
        </w:rPr>
        <w:t xml:space="preserve"> riziko úmrtí </w:t>
      </w:r>
      <w:r w:rsidR="00F72700" w:rsidRPr="00D4761A">
        <w:rPr>
          <w:rFonts w:cstheme="minorHAnsi"/>
          <w:bCs/>
          <w:szCs w:val="24"/>
        </w:rPr>
        <w:t>neadherentních pacientů (12</w:t>
      </w:r>
      <w:r w:rsidR="00355862" w:rsidRPr="00D4761A">
        <w:rPr>
          <w:rFonts w:cstheme="minorHAnsi"/>
          <w:bCs/>
          <w:szCs w:val="24"/>
        </w:rPr>
        <w:t>7</w:t>
      </w:r>
      <w:r w:rsidR="00F72700" w:rsidRPr="00D4761A">
        <w:rPr>
          <w:rFonts w:cstheme="minorHAnsi"/>
          <w:bCs/>
          <w:szCs w:val="24"/>
        </w:rPr>
        <w:t>). Tato evidence je</w:t>
      </w:r>
      <w:r w:rsidR="000C6F76" w:rsidRPr="00D4761A">
        <w:rPr>
          <w:rFonts w:cstheme="minorHAnsi"/>
          <w:bCs/>
          <w:szCs w:val="24"/>
        </w:rPr>
        <w:t xml:space="preserve"> </w:t>
      </w:r>
      <w:r w:rsidR="00F72700" w:rsidRPr="00D4761A">
        <w:rPr>
          <w:rFonts w:cstheme="minorHAnsi"/>
          <w:bCs/>
          <w:szCs w:val="24"/>
        </w:rPr>
        <w:t>založená na datech hlášených do centrální registru všech hospitalizací na základě kódů Mezinárodní klasifikace nemocí (MKN)</w:t>
      </w:r>
      <w:r w:rsidR="000C6F76" w:rsidRPr="00D4761A">
        <w:rPr>
          <w:rFonts w:cstheme="minorHAnsi"/>
          <w:bCs/>
          <w:szCs w:val="24"/>
        </w:rPr>
        <w:t>, které byly spárovány s preskripcí hlášenou v systému ATC (</w:t>
      </w:r>
      <w:r w:rsidR="000C6F76" w:rsidRPr="00D4761A">
        <w:t>Anatomic Therapeutical Chemical</w:t>
      </w:r>
      <w:r w:rsidR="007C2BFA" w:rsidRPr="00D4761A">
        <w:t>).</w:t>
      </w:r>
    </w:p>
    <w:p w14:paraId="4C8BBF3B" w14:textId="20FACF53" w:rsidR="00597804" w:rsidRPr="00D4761A" w:rsidRDefault="002474D7" w:rsidP="00A063D5">
      <w:pPr>
        <w:ind w:firstLine="708"/>
        <w:rPr>
          <w:rFonts w:cstheme="minorHAnsi"/>
          <w:bCs/>
          <w:szCs w:val="24"/>
        </w:rPr>
      </w:pPr>
      <w:r w:rsidRPr="00D4761A">
        <w:rPr>
          <w:rFonts w:cstheme="minorHAnsi"/>
          <w:bCs/>
          <w:szCs w:val="24"/>
        </w:rPr>
        <w:t xml:space="preserve">Věk &lt;60 let je jediným statisticky významným </w:t>
      </w:r>
      <w:r w:rsidR="004E5FE5" w:rsidRPr="00D4761A">
        <w:rPr>
          <w:rFonts w:cstheme="minorHAnsi"/>
          <w:bCs/>
          <w:szCs w:val="24"/>
        </w:rPr>
        <w:t>prediktor</w:t>
      </w:r>
      <w:r w:rsidRPr="00D4761A">
        <w:rPr>
          <w:rFonts w:cstheme="minorHAnsi"/>
          <w:bCs/>
          <w:szCs w:val="24"/>
        </w:rPr>
        <w:t xml:space="preserve"> non adherence (OR = 2,15). Tento parametr není překvapivý, protože </w:t>
      </w:r>
      <w:r w:rsidR="006F29B7" w:rsidRPr="00D4761A">
        <w:rPr>
          <w:rFonts w:cstheme="minorHAnsi"/>
          <w:bCs/>
          <w:szCs w:val="24"/>
        </w:rPr>
        <w:t xml:space="preserve">nižší věk pacientů byl </w:t>
      </w:r>
      <w:r w:rsidR="004E5FE5" w:rsidRPr="00D4761A">
        <w:rPr>
          <w:rFonts w:cstheme="minorHAnsi"/>
          <w:bCs/>
          <w:szCs w:val="24"/>
        </w:rPr>
        <w:t xml:space="preserve">již </w:t>
      </w:r>
      <w:r w:rsidR="006F29B7" w:rsidRPr="00D4761A">
        <w:rPr>
          <w:rFonts w:cstheme="minorHAnsi"/>
          <w:bCs/>
          <w:szCs w:val="24"/>
        </w:rPr>
        <w:t>hodnocen jako nejvýznam</w:t>
      </w:r>
      <w:r w:rsidR="00752E12" w:rsidRPr="00D4761A">
        <w:rPr>
          <w:rFonts w:cstheme="minorHAnsi"/>
          <w:bCs/>
          <w:szCs w:val="24"/>
        </w:rPr>
        <w:t>n</w:t>
      </w:r>
      <w:r w:rsidR="006F29B7" w:rsidRPr="00D4761A">
        <w:rPr>
          <w:rFonts w:cstheme="minorHAnsi"/>
          <w:bCs/>
          <w:szCs w:val="24"/>
        </w:rPr>
        <w:t xml:space="preserve">ější parametr non adherence </w:t>
      </w:r>
      <w:r w:rsidR="00672ED4" w:rsidRPr="00D4761A">
        <w:rPr>
          <w:rFonts w:cstheme="minorHAnsi"/>
          <w:bCs/>
          <w:szCs w:val="24"/>
        </w:rPr>
        <w:t>u </w:t>
      </w:r>
      <w:r w:rsidR="006F29B7" w:rsidRPr="00D4761A">
        <w:rPr>
          <w:rFonts w:cstheme="minorHAnsi"/>
          <w:bCs/>
          <w:szCs w:val="24"/>
        </w:rPr>
        <w:t>stud</w:t>
      </w:r>
      <w:r w:rsidR="00752E12" w:rsidRPr="00D4761A">
        <w:rPr>
          <w:rFonts w:cstheme="minorHAnsi"/>
          <w:bCs/>
          <w:szCs w:val="24"/>
        </w:rPr>
        <w:t>i</w:t>
      </w:r>
      <w:r w:rsidR="006F29B7" w:rsidRPr="00D4761A">
        <w:rPr>
          <w:rFonts w:cstheme="minorHAnsi"/>
          <w:bCs/>
          <w:szCs w:val="24"/>
        </w:rPr>
        <w:t>í pacientů s arteriální hypertenzí (12</w:t>
      </w:r>
      <w:r w:rsidR="00355862" w:rsidRPr="00D4761A">
        <w:rPr>
          <w:rFonts w:cstheme="minorHAnsi"/>
          <w:bCs/>
          <w:szCs w:val="24"/>
        </w:rPr>
        <w:t>8</w:t>
      </w:r>
      <w:r w:rsidR="006F29B7" w:rsidRPr="00D4761A">
        <w:rPr>
          <w:rFonts w:cstheme="minorHAnsi"/>
          <w:bCs/>
          <w:szCs w:val="24"/>
        </w:rPr>
        <w:t>).</w:t>
      </w:r>
      <w:r w:rsidR="008B697F" w:rsidRPr="00D4761A">
        <w:rPr>
          <w:rFonts w:cstheme="minorHAnsi"/>
          <w:bCs/>
          <w:szCs w:val="24"/>
        </w:rPr>
        <w:t xml:space="preserve"> </w:t>
      </w:r>
      <w:r w:rsidR="00997804" w:rsidRPr="00D4761A">
        <w:rPr>
          <w:rFonts w:cstheme="minorHAnsi"/>
          <w:bCs/>
          <w:szCs w:val="24"/>
        </w:rPr>
        <w:t>Předpoklad</w:t>
      </w:r>
      <w:r w:rsidR="00B82D6B" w:rsidRPr="00D4761A">
        <w:rPr>
          <w:rFonts w:cstheme="minorHAnsi"/>
          <w:bCs/>
          <w:szCs w:val="24"/>
        </w:rPr>
        <w:t>, že se zvýší adherence pacientů</w:t>
      </w:r>
      <w:r w:rsidR="00997804" w:rsidRPr="00D4761A">
        <w:rPr>
          <w:rFonts w:cstheme="minorHAnsi"/>
          <w:bCs/>
          <w:szCs w:val="24"/>
        </w:rPr>
        <w:t>, pokud budou ve vyšší funkční třídě NYHA, se nepotvrdil.</w:t>
      </w:r>
      <w:r w:rsidR="008B697F" w:rsidRPr="00D4761A">
        <w:rPr>
          <w:rFonts w:cstheme="minorHAnsi"/>
          <w:bCs/>
          <w:szCs w:val="24"/>
        </w:rPr>
        <w:t xml:space="preserve"> V porovnání v laboratorních parametrech mezi skupinou adherentních </w:t>
      </w:r>
      <w:r w:rsidR="00672ED4" w:rsidRPr="00D4761A">
        <w:rPr>
          <w:rFonts w:cstheme="minorHAnsi"/>
          <w:bCs/>
          <w:szCs w:val="24"/>
        </w:rPr>
        <w:t>a </w:t>
      </w:r>
      <w:r w:rsidR="008B697F" w:rsidRPr="00D4761A">
        <w:rPr>
          <w:rFonts w:cstheme="minorHAnsi"/>
          <w:bCs/>
          <w:szCs w:val="24"/>
        </w:rPr>
        <w:t xml:space="preserve">neadherentních pacientů jsme zjistili nižší hladiny sodíku, </w:t>
      </w:r>
      <w:r w:rsidR="0068153A" w:rsidRPr="00D4761A">
        <w:rPr>
          <w:rFonts w:cstheme="minorHAnsi"/>
          <w:bCs/>
          <w:szCs w:val="24"/>
        </w:rPr>
        <w:t>chloridů,</w:t>
      </w:r>
      <w:r w:rsidR="008B697F" w:rsidRPr="00D4761A">
        <w:rPr>
          <w:rFonts w:cstheme="minorHAnsi"/>
          <w:bCs/>
          <w:szCs w:val="24"/>
        </w:rPr>
        <w:t xml:space="preserve"> </w:t>
      </w:r>
      <w:r w:rsidR="00672ED4" w:rsidRPr="00D4761A">
        <w:rPr>
          <w:rFonts w:cstheme="minorHAnsi"/>
          <w:bCs/>
          <w:szCs w:val="24"/>
        </w:rPr>
        <w:t>a </w:t>
      </w:r>
      <w:r w:rsidR="0068153A" w:rsidRPr="00D4761A">
        <w:rPr>
          <w:rFonts w:cstheme="minorHAnsi"/>
          <w:bCs/>
          <w:szCs w:val="24"/>
        </w:rPr>
        <w:t xml:space="preserve">naopak vyšší hladiny močoviny </w:t>
      </w:r>
      <w:r w:rsidR="00672ED4" w:rsidRPr="00D4761A">
        <w:rPr>
          <w:rFonts w:cstheme="minorHAnsi"/>
          <w:bCs/>
          <w:szCs w:val="24"/>
        </w:rPr>
        <w:t>u </w:t>
      </w:r>
      <w:r w:rsidR="0068153A" w:rsidRPr="00D4761A">
        <w:rPr>
          <w:rFonts w:cstheme="minorHAnsi"/>
          <w:bCs/>
          <w:szCs w:val="24"/>
        </w:rPr>
        <w:t xml:space="preserve">adherentních pacientů. </w:t>
      </w:r>
      <w:r w:rsidR="008B697F" w:rsidRPr="00D4761A">
        <w:rPr>
          <w:rFonts w:cstheme="minorHAnsi"/>
          <w:bCs/>
          <w:szCs w:val="24"/>
        </w:rPr>
        <w:t>Tento rozdíl si vysvětlujeme jako efekt diuretik</w:t>
      </w:r>
      <w:r w:rsidR="0068153A" w:rsidRPr="00D4761A">
        <w:rPr>
          <w:rFonts w:cstheme="minorHAnsi"/>
          <w:bCs/>
          <w:szCs w:val="24"/>
        </w:rPr>
        <w:t xml:space="preserve">, </w:t>
      </w:r>
      <w:r w:rsidR="00D27E12" w:rsidRPr="00D4761A">
        <w:rPr>
          <w:rFonts w:cstheme="minorHAnsi"/>
          <w:bCs/>
          <w:szCs w:val="24"/>
        </w:rPr>
        <w:t>neboť</w:t>
      </w:r>
      <w:r w:rsidR="0068153A" w:rsidRPr="00D4761A">
        <w:rPr>
          <w:rFonts w:cstheme="minorHAnsi"/>
          <w:bCs/>
          <w:szCs w:val="24"/>
        </w:rPr>
        <w:t xml:space="preserve"> 71,4</w:t>
      </w:r>
      <w:r w:rsidR="00672ED4" w:rsidRPr="00D4761A">
        <w:rPr>
          <w:rFonts w:cstheme="minorHAnsi"/>
          <w:bCs/>
          <w:szCs w:val="24"/>
        </w:rPr>
        <w:t> %</w:t>
      </w:r>
      <w:r w:rsidR="0068153A" w:rsidRPr="00D4761A">
        <w:rPr>
          <w:rFonts w:cstheme="minorHAnsi"/>
          <w:bCs/>
          <w:szCs w:val="24"/>
        </w:rPr>
        <w:t xml:space="preserve"> pacientů bylo léčeno furosemidem. Nemůžeme ovšem tento předpoklad prokázat, </w:t>
      </w:r>
      <w:r w:rsidR="0068153A" w:rsidRPr="00D4761A">
        <w:rPr>
          <w:rFonts w:cstheme="minorHAnsi"/>
          <w:bCs/>
          <w:szCs w:val="24"/>
        </w:rPr>
        <w:lastRenderedPageBreak/>
        <w:t>protože jsme hladinu furosemidu v séru neměřili.</w:t>
      </w:r>
      <w:r w:rsidR="00597804" w:rsidRPr="00D4761A">
        <w:rPr>
          <w:rFonts w:cstheme="minorHAnsi"/>
          <w:bCs/>
          <w:szCs w:val="24"/>
        </w:rPr>
        <w:t xml:space="preserve"> </w:t>
      </w:r>
      <w:r w:rsidR="00836D68" w:rsidRPr="00D4761A">
        <w:rPr>
          <w:rFonts w:cstheme="minorHAnsi"/>
          <w:bCs/>
          <w:szCs w:val="24"/>
        </w:rPr>
        <w:t xml:space="preserve">Vyšší hladina močoviny v séru </w:t>
      </w:r>
      <w:r w:rsidR="00B82D6B" w:rsidRPr="00D4761A">
        <w:rPr>
          <w:rFonts w:cstheme="minorHAnsi"/>
          <w:bCs/>
          <w:szCs w:val="24"/>
        </w:rPr>
        <w:t xml:space="preserve">adherentních pacientů </w:t>
      </w:r>
      <w:r w:rsidR="00836D68" w:rsidRPr="00D4761A">
        <w:rPr>
          <w:rFonts w:cstheme="minorHAnsi"/>
          <w:bCs/>
          <w:szCs w:val="24"/>
        </w:rPr>
        <w:t>pravděpodobně</w:t>
      </w:r>
      <w:r w:rsidR="004E5FE5" w:rsidRPr="00D4761A">
        <w:rPr>
          <w:rFonts w:cstheme="minorHAnsi"/>
          <w:bCs/>
          <w:szCs w:val="24"/>
        </w:rPr>
        <w:t xml:space="preserve"> taktéž</w:t>
      </w:r>
      <w:r w:rsidR="00836D68" w:rsidRPr="00D4761A">
        <w:rPr>
          <w:rFonts w:cstheme="minorHAnsi"/>
          <w:bCs/>
          <w:szCs w:val="24"/>
        </w:rPr>
        <w:t xml:space="preserve"> koreluje s vyšší adherenci k terapii furosemidem (12</w:t>
      </w:r>
      <w:r w:rsidR="00355862" w:rsidRPr="00D4761A">
        <w:rPr>
          <w:rFonts w:cstheme="minorHAnsi"/>
          <w:bCs/>
          <w:szCs w:val="24"/>
        </w:rPr>
        <w:t>9</w:t>
      </w:r>
      <w:r w:rsidR="00836D68" w:rsidRPr="00D4761A">
        <w:rPr>
          <w:rFonts w:cstheme="minorHAnsi"/>
          <w:bCs/>
          <w:szCs w:val="24"/>
        </w:rPr>
        <w:t>).</w:t>
      </w:r>
      <w:r w:rsidR="00597804" w:rsidRPr="00D4761A">
        <w:rPr>
          <w:rFonts w:cstheme="minorHAnsi"/>
          <w:bCs/>
          <w:szCs w:val="24"/>
        </w:rPr>
        <w:t xml:space="preserve"> </w:t>
      </w:r>
      <w:r w:rsidR="00D37535" w:rsidRPr="00D4761A">
        <w:rPr>
          <w:rFonts w:cstheme="minorHAnsi"/>
          <w:bCs/>
          <w:szCs w:val="24"/>
        </w:rPr>
        <w:t>Očekávané zjištění bylo, že p</w:t>
      </w:r>
      <w:r w:rsidR="0032414C" w:rsidRPr="00D4761A">
        <w:rPr>
          <w:rFonts w:cstheme="minorHAnsi"/>
          <w:bCs/>
          <w:szCs w:val="24"/>
        </w:rPr>
        <w:t>acienti adherentní k MRA, měli vyšší hladiny draslíku v</w:t>
      </w:r>
      <w:r w:rsidR="00D37535" w:rsidRPr="00D4761A">
        <w:rPr>
          <w:rFonts w:cstheme="minorHAnsi"/>
          <w:bCs/>
          <w:szCs w:val="24"/>
        </w:rPr>
        <w:t> </w:t>
      </w:r>
      <w:r w:rsidR="0032414C" w:rsidRPr="00D4761A">
        <w:rPr>
          <w:rFonts w:cstheme="minorHAnsi"/>
          <w:bCs/>
          <w:szCs w:val="24"/>
        </w:rPr>
        <w:t>séru</w:t>
      </w:r>
      <w:r w:rsidR="00D37535" w:rsidRPr="00D4761A">
        <w:rPr>
          <w:rFonts w:cstheme="minorHAnsi"/>
          <w:bCs/>
          <w:szCs w:val="24"/>
        </w:rPr>
        <w:t>. Ostatní sledované laboratorní parametry</w:t>
      </w:r>
      <w:r w:rsidR="00541132" w:rsidRPr="00D4761A">
        <w:rPr>
          <w:rFonts w:cstheme="minorHAnsi"/>
          <w:bCs/>
          <w:szCs w:val="24"/>
        </w:rPr>
        <w:t xml:space="preserve"> </w:t>
      </w:r>
      <w:r w:rsidR="005E0192" w:rsidRPr="00D4761A">
        <w:rPr>
          <w:rFonts w:cstheme="minorHAnsi"/>
          <w:bCs/>
          <w:szCs w:val="24"/>
        </w:rPr>
        <w:t xml:space="preserve">nedosáhly statistické významnosti k rozlišení mezi adherentními </w:t>
      </w:r>
      <w:r w:rsidR="00672ED4" w:rsidRPr="00D4761A">
        <w:rPr>
          <w:rFonts w:cstheme="minorHAnsi"/>
          <w:bCs/>
          <w:szCs w:val="24"/>
        </w:rPr>
        <w:t>a </w:t>
      </w:r>
      <w:r w:rsidR="005E0192" w:rsidRPr="00D4761A">
        <w:rPr>
          <w:rFonts w:cstheme="minorHAnsi"/>
          <w:bCs/>
          <w:szCs w:val="24"/>
        </w:rPr>
        <w:t xml:space="preserve">neadherentními pacienty. </w:t>
      </w:r>
      <w:r w:rsidR="00970A58" w:rsidRPr="00D4761A">
        <w:rPr>
          <w:rFonts w:cstheme="minorHAnsi"/>
          <w:bCs/>
          <w:szCs w:val="24"/>
        </w:rPr>
        <w:t xml:space="preserve">Tento výsledek není zcela překvapivý, protože je identický </w:t>
      </w:r>
      <w:r w:rsidR="00D27E12" w:rsidRPr="00D4761A">
        <w:rPr>
          <w:rFonts w:cstheme="minorHAnsi"/>
          <w:bCs/>
          <w:szCs w:val="24"/>
        </w:rPr>
        <w:t xml:space="preserve">s </w:t>
      </w:r>
      <w:r w:rsidR="00970A58" w:rsidRPr="00D4761A">
        <w:rPr>
          <w:rFonts w:cstheme="minorHAnsi"/>
          <w:bCs/>
          <w:szCs w:val="24"/>
        </w:rPr>
        <w:t>výsledk</w:t>
      </w:r>
      <w:r w:rsidR="00D27E12" w:rsidRPr="00D4761A">
        <w:rPr>
          <w:rFonts w:cstheme="minorHAnsi"/>
          <w:bCs/>
          <w:szCs w:val="24"/>
        </w:rPr>
        <w:t>y</w:t>
      </w:r>
      <w:r w:rsidR="001154ED" w:rsidRPr="00D4761A">
        <w:rPr>
          <w:rFonts w:cstheme="minorHAnsi"/>
          <w:bCs/>
          <w:szCs w:val="24"/>
        </w:rPr>
        <w:t xml:space="preserve"> publikovaný</w:t>
      </w:r>
      <w:r w:rsidR="00722963" w:rsidRPr="00D4761A">
        <w:rPr>
          <w:rFonts w:cstheme="minorHAnsi"/>
          <w:bCs/>
          <w:szCs w:val="24"/>
        </w:rPr>
        <w:t>ch prací (</w:t>
      </w:r>
      <w:r w:rsidR="001154ED" w:rsidRPr="00D4761A">
        <w:rPr>
          <w:rFonts w:cstheme="minorHAnsi"/>
          <w:bCs/>
          <w:szCs w:val="24"/>
        </w:rPr>
        <w:t>1</w:t>
      </w:r>
      <w:r w:rsidR="00355862" w:rsidRPr="00D4761A">
        <w:rPr>
          <w:rFonts w:cstheme="minorHAnsi"/>
          <w:bCs/>
          <w:szCs w:val="24"/>
        </w:rPr>
        <w:t>30</w:t>
      </w:r>
      <w:r w:rsidR="001154ED" w:rsidRPr="00D4761A">
        <w:rPr>
          <w:rFonts w:cstheme="minorHAnsi"/>
          <w:bCs/>
          <w:szCs w:val="24"/>
        </w:rPr>
        <w:t>)</w:t>
      </w:r>
      <w:r w:rsidR="00722963" w:rsidRPr="00D4761A">
        <w:rPr>
          <w:rFonts w:cstheme="minorHAnsi"/>
          <w:bCs/>
          <w:szCs w:val="24"/>
        </w:rPr>
        <w:t>.</w:t>
      </w:r>
    </w:p>
    <w:p w14:paraId="6F4B667F" w14:textId="77777777" w:rsidR="00597804" w:rsidRPr="00D4761A" w:rsidRDefault="005E0192" w:rsidP="00A063D5">
      <w:pPr>
        <w:ind w:firstLine="708"/>
        <w:rPr>
          <w:rFonts w:cstheme="minorHAnsi"/>
          <w:bCs/>
          <w:szCs w:val="24"/>
        </w:rPr>
      </w:pPr>
      <w:r w:rsidRPr="00D4761A">
        <w:rPr>
          <w:rFonts w:cstheme="minorHAnsi"/>
          <w:bCs/>
          <w:szCs w:val="24"/>
        </w:rPr>
        <w:t>Naše zjištění potvrzuje důležitost přímého měření sérových hladin léků</w:t>
      </w:r>
      <w:r w:rsidR="00722963" w:rsidRPr="00D4761A">
        <w:rPr>
          <w:rFonts w:cstheme="minorHAnsi"/>
          <w:bCs/>
          <w:szCs w:val="24"/>
        </w:rPr>
        <w:t>, které je v kontrastu s </w:t>
      </w:r>
      <w:r w:rsidR="00970A58" w:rsidRPr="00D4761A">
        <w:rPr>
          <w:rFonts w:cstheme="minorHAnsi"/>
          <w:bCs/>
          <w:szCs w:val="24"/>
        </w:rPr>
        <w:t>malým klinickým dopadem sledování laboratorních či klinických parametrů v zjištění adherence pacientů k farmakoterapii srdečního selhání.</w:t>
      </w:r>
    </w:p>
    <w:p w14:paraId="7133E091" w14:textId="77777777" w:rsidR="00616138" w:rsidRPr="00D4761A" w:rsidRDefault="00616138" w:rsidP="006208B9">
      <w:pPr>
        <w:pStyle w:val="Nadpis1"/>
      </w:pPr>
      <w:bookmarkStart w:id="67" w:name="_Toc120547467"/>
      <w:r w:rsidRPr="00D4761A">
        <w:lastRenderedPageBreak/>
        <w:t>Závěry</w:t>
      </w:r>
      <w:bookmarkEnd w:id="67"/>
    </w:p>
    <w:p w14:paraId="5E0352A0" w14:textId="77777777" w:rsidR="00597804" w:rsidRPr="00D4761A" w:rsidRDefault="00616138" w:rsidP="00616138">
      <w:pPr>
        <w:rPr>
          <w:rFonts w:cstheme="minorHAnsi"/>
          <w:szCs w:val="24"/>
        </w:rPr>
      </w:pPr>
      <w:r w:rsidRPr="00D4761A">
        <w:rPr>
          <w:rFonts w:cstheme="minorHAnsi"/>
          <w:szCs w:val="24"/>
        </w:rPr>
        <w:t>Experimentální část 1</w:t>
      </w:r>
    </w:p>
    <w:p w14:paraId="69C2C6A2" w14:textId="3AA81A3C" w:rsidR="00616138" w:rsidRPr="00D4761A" w:rsidRDefault="00616138" w:rsidP="00616138">
      <w:r w:rsidRPr="00D4761A">
        <w:t>A/</w:t>
      </w:r>
    </w:p>
    <w:p w14:paraId="646557BB" w14:textId="29A9AE9E" w:rsidR="00597804" w:rsidRPr="00D4761A" w:rsidRDefault="00616138" w:rsidP="00616138">
      <w:pPr>
        <w:rPr>
          <w:rFonts w:cstheme="minorHAnsi"/>
          <w:szCs w:val="24"/>
        </w:rPr>
      </w:pPr>
      <w:r w:rsidRPr="00D4761A">
        <w:rPr>
          <w:rFonts w:cstheme="minorHAnsi"/>
          <w:szCs w:val="24"/>
        </w:rPr>
        <w:t xml:space="preserve">Ačkoli existují pouze malé rozdíly mezi většinou porovnávaných charakteristik obou kohort, jsou pacienti </w:t>
      </w:r>
      <w:r w:rsidR="00672ED4" w:rsidRPr="00D4761A">
        <w:rPr>
          <w:rFonts w:cstheme="minorHAnsi"/>
          <w:szCs w:val="24"/>
        </w:rPr>
        <w:t>v </w:t>
      </w:r>
      <w:r w:rsidRPr="00D4761A">
        <w:rPr>
          <w:rFonts w:cstheme="minorHAnsi"/>
          <w:szCs w:val="24"/>
        </w:rPr>
        <w:t xml:space="preserve">kohortě B mladší, </w:t>
      </w:r>
      <w:r w:rsidR="00672ED4" w:rsidRPr="00D4761A">
        <w:rPr>
          <w:rFonts w:cstheme="minorHAnsi"/>
          <w:szCs w:val="24"/>
        </w:rPr>
        <w:t>s </w:t>
      </w:r>
      <w:r w:rsidRPr="00D4761A">
        <w:rPr>
          <w:rFonts w:cstheme="minorHAnsi"/>
          <w:szCs w:val="24"/>
        </w:rPr>
        <w:t>vyšším indexem tělesné hmotnosti</w:t>
      </w:r>
      <w:r w:rsidR="004951A5" w:rsidRPr="00D4761A">
        <w:rPr>
          <w:rFonts w:cstheme="minorHAnsi"/>
          <w:szCs w:val="24"/>
        </w:rPr>
        <w:t xml:space="preserve"> a sérovou koncentrací kreatininu, s nižším ejekční frakcí levé komory. S</w:t>
      </w:r>
      <w:r w:rsidRPr="00D4761A">
        <w:rPr>
          <w:rFonts w:cstheme="minorHAnsi"/>
          <w:szCs w:val="24"/>
        </w:rPr>
        <w:t xml:space="preserve">rdeční selhání </w:t>
      </w:r>
      <w:r w:rsidR="004951A5" w:rsidRPr="00D4761A">
        <w:rPr>
          <w:rFonts w:cstheme="minorHAnsi"/>
          <w:szCs w:val="24"/>
        </w:rPr>
        <w:t xml:space="preserve">v kohortě B je tedy pravděpodobně více pokročilé </w:t>
      </w:r>
      <w:r w:rsidRPr="00D4761A">
        <w:rPr>
          <w:rFonts w:cstheme="minorHAnsi"/>
          <w:szCs w:val="24"/>
        </w:rPr>
        <w:t xml:space="preserve">než </w:t>
      </w:r>
      <w:r w:rsidR="00672ED4" w:rsidRPr="00D4761A">
        <w:rPr>
          <w:rFonts w:cstheme="minorHAnsi"/>
          <w:szCs w:val="24"/>
        </w:rPr>
        <w:t>u </w:t>
      </w:r>
      <w:r w:rsidRPr="00D4761A">
        <w:rPr>
          <w:rFonts w:cstheme="minorHAnsi"/>
          <w:szCs w:val="24"/>
        </w:rPr>
        <w:t xml:space="preserve">pacientů </w:t>
      </w:r>
      <w:r w:rsidR="00672ED4" w:rsidRPr="00D4761A">
        <w:rPr>
          <w:rFonts w:cstheme="minorHAnsi"/>
          <w:szCs w:val="24"/>
        </w:rPr>
        <w:t>v </w:t>
      </w:r>
      <w:r w:rsidRPr="00D4761A">
        <w:rPr>
          <w:rFonts w:cstheme="minorHAnsi"/>
          <w:szCs w:val="24"/>
        </w:rPr>
        <w:t>kohortě A.</w:t>
      </w:r>
    </w:p>
    <w:p w14:paraId="0C1D5B5A" w14:textId="4085B45E" w:rsidR="00616138" w:rsidRPr="00D4761A" w:rsidRDefault="00616138" w:rsidP="00616138">
      <w:pPr>
        <w:rPr>
          <w:rFonts w:cstheme="minorHAnsi"/>
          <w:szCs w:val="24"/>
        </w:rPr>
      </w:pPr>
    </w:p>
    <w:p w14:paraId="5D465340" w14:textId="77777777" w:rsidR="00616138" w:rsidRPr="00D4761A" w:rsidRDefault="00616138" w:rsidP="00616138">
      <w:pPr>
        <w:rPr>
          <w:rFonts w:cstheme="minorHAnsi"/>
          <w:szCs w:val="24"/>
        </w:rPr>
      </w:pPr>
      <w:r w:rsidRPr="00D4761A">
        <w:rPr>
          <w:rFonts w:cstheme="minorHAnsi"/>
          <w:szCs w:val="24"/>
        </w:rPr>
        <w:t>B/</w:t>
      </w:r>
    </w:p>
    <w:p w14:paraId="1CE8F60E" w14:textId="51AED741" w:rsidR="00597804" w:rsidRPr="00D4761A" w:rsidRDefault="00616138" w:rsidP="00616138">
      <w:pPr>
        <w:rPr>
          <w:rFonts w:cstheme="minorHAnsi"/>
          <w:szCs w:val="24"/>
        </w:rPr>
      </w:pPr>
      <w:r w:rsidRPr="00D4761A">
        <w:rPr>
          <w:rFonts w:cstheme="minorHAnsi"/>
          <w:szCs w:val="24"/>
        </w:rPr>
        <w:t xml:space="preserve">Pacienti </w:t>
      </w:r>
      <w:r w:rsidR="00672ED4" w:rsidRPr="00D4761A">
        <w:rPr>
          <w:rFonts w:cstheme="minorHAnsi"/>
          <w:szCs w:val="24"/>
        </w:rPr>
        <w:t>v </w:t>
      </w:r>
      <w:r w:rsidRPr="00D4761A">
        <w:rPr>
          <w:rFonts w:cstheme="minorHAnsi"/>
          <w:szCs w:val="24"/>
        </w:rPr>
        <w:t xml:space="preserve">kohortě B mají před zahájením léčby sacubitrilem/valsartanem nižší dávku </w:t>
      </w:r>
      <w:r w:rsidR="004951A5" w:rsidRPr="00D4761A">
        <w:rPr>
          <w:rFonts w:cstheme="minorHAnsi"/>
          <w:szCs w:val="24"/>
        </w:rPr>
        <w:t xml:space="preserve">ramiprilu a s menší pravděpodobností i losartanu a valsartanu. </w:t>
      </w:r>
      <w:r w:rsidRPr="00D4761A">
        <w:rPr>
          <w:rFonts w:cstheme="minorHAnsi"/>
          <w:szCs w:val="24"/>
        </w:rPr>
        <w:t xml:space="preserve"> Zároveň mají pacienti v kohortě B vyšší prevalenci implantabilních kardioverter-defibrilátorů (ICD) </w:t>
      </w:r>
      <w:r w:rsidR="00672ED4" w:rsidRPr="00D4761A">
        <w:rPr>
          <w:rFonts w:cstheme="minorHAnsi"/>
          <w:szCs w:val="24"/>
        </w:rPr>
        <w:t>a </w:t>
      </w:r>
      <w:r w:rsidRPr="00D4761A">
        <w:rPr>
          <w:rFonts w:cstheme="minorHAnsi"/>
          <w:szCs w:val="24"/>
        </w:rPr>
        <w:t>srdeční resynchronizační terapie (CRT). Obojí může reflektovat pokročilejší stadium srdečního selhání pacientů v kohortě B.</w:t>
      </w:r>
    </w:p>
    <w:p w14:paraId="5E2A7D1E" w14:textId="1EE39C1E" w:rsidR="00616138" w:rsidRPr="00D4761A" w:rsidRDefault="00616138" w:rsidP="00616138">
      <w:pPr>
        <w:rPr>
          <w:rFonts w:cstheme="minorHAnsi"/>
          <w:szCs w:val="24"/>
        </w:rPr>
      </w:pPr>
    </w:p>
    <w:p w14:paraId="1F0ECDE1" w14:textId="77777777" w:rsidR="00616138" w:rsidRPr="00D4761A" w:rsidRDefault="00616138" w:rsidP="00616138">
      <w:pPr>
        <w:rPr>
          <w:rFonts w:cstheme="minorHAnsi"/>
          <w:szCs w:val="24"/>
        </w:rPr>
      </w:pPr>
      <w:r w:rsidRPr="00D4761A">
        <w:rPr>
          <w:rFonts w:cstheme="minorHAnsi"/>
          <w:szCs w:val="24"/>
        </w:rPr>
        <w:t>Experimentální část 2</w:t>
      </w:r>
    </w:p>
    <w:p w14:paraId="15FCEC62" w14:textId="77777777" w:rsidR="00616138" w:rsidRPr="00D4761A" w:rsidRDefault="00616138" w:rsidP="00616138">
      <w:pPr>
        <w:rPr>
          <w:rFonts w:cstheme="minorHAnsi"/>
          <w:szCs w:val="24"/>
        </w:rPr>
      </w:pPr>
    </w:p>
    <w:p w14:paraId="2305358F" w14:textId="77777777" w:rsidR="00616138" w:rsidRPr="00D4761A" w:rsidRDefault="00616138" w:rsidP="00616138">
      <w:pPr>
        <w:rPr>
          <w:rFonts w:cstheme="minorHAnsi"/>
          <w:szCs w:val="24"/>
        </w:rPr>
      </w:pPr>
      <w:r w:rsidRPr="00D4761A">
        <w:rPr>
          <w:rFonts w:cstheme="minorHAnsi"/>
          <w:szCs w:val="24"/>
        </w:rPr>
        <w:t>C/</w:t>
      </w:r>
    </w:p>
    <w:p w14:paraId="5D62BBB2" w14:textId="04E74434" w:rsidR="00597804" w:rsidRPr="00D4761A" w:rsidRDefault="00616138" w:rsidP="00616138">
      <w:pPr>
        <w:rPr>
          <w:rFonts w:cstheme="minorHAnsi"/>
          <w:szCs w:val="24"/>
        </w:rPr>
      </w:pPr>
      <w:r w:rsidRPr="00D4761A">
        <w:rPr>
          <w:rFonts w:cstheme="minorHAnsi"/>
          <w:szCs w:val="24"/>
        </w:rPr>
        <w:t xml:space="preserve">Adherentních pacientů bylo </w:t>
      </w:r>
      <w:r w:rsidR="00672ED4" w:rsidRPr="00D4761A">
        <w:rPr>
          <w:rFonts w:cstheme="minorHAnsi"/>
          <w:szCs w:val="24"/>
        </w:rPr>
        <w:t>v </w:t>
      </w:r>
      <w:r w:rsidRPr="00D4761A">
        <w:rPr>
          <w:rFonts w:cstheme="minorHAnsi"/>
          <w:szCs w:val="24"/>
        </w:rPr>
        <w:t>LEV</w:t>
      </w:r>
      <w:r w:rsidR="00287F3B" w:rsidRPr="00D4761A">
        <w:rPr>
          <w:rFonts w:cstheme="minorHAnsi"/>
          <w:szCs w:val="24"/>
        </w:rPr>
        <w:t>E</w:t>
      </w:r>
      <w:r w:rsidRPr="00D4761A">
        <w:rPr>
          <w:rFonts w:cstheme="minorHAnsi"/>
          <w:szCs w:val="24"/>
        </w:rPr>
        <w:t>L-CHF registru 82.5</w:t>
      </w:r>
      <w:r w:rsidR="00672ED4" w:rsidRPr="00D4761A">
        <w:rPr>
          <w:rFonts w:cstheme="minorHAnsi"/>
          <w:szCs w:val="24"/>
        </w:rPr>
        <w:t> %</w:t>
      </w:r>
      <w:r w:rsidRPr="00D4761A">
        <w:rPr>
          <w:rFonts w:cstheme="minorHAnsi"/>
          <w:szCs w:val="24"/>
        </w:rPr>
        <w:t>, 17.5</w:t>
      </w:r>
      <w:r w:rsidR="00672ED4" w:rsidRPr="00D4761A">
        <w:rPr>
          <w:rFonts w:cstheme="minorHAnsi"/>
          <w:szCs w:val="24"/>
        </w:rPr>
        <w:t> %</w:t>
      </w:r>
      <w:r w:rsidRPr="00D4761A">
        <w:rPr>
          <w:rFonts w:cstheme="minorHAnsi"/>
          <w:szCs w:val="24"/>
        </w:rPr>
        <w:t xml:space="preserve"> bylo neadherentních. Kompletně neadherentních pacien</w:t>
      </w:r>
      <w:r w:rsidR="00752E12" w:rsidRPr="00D4761A">
        <w:rPr>
          <w:rFonts w:cstheme="minorHAnsi"/>
          <w:szCs w:val="24"/>
        </w:rPr>
        <w:t>t</w:t>
      </w:r>
      <w:r w:rsidRPr="00D4761A">
        <w:rPr>
          <w:rFonts w:cstheme="minorHAnsi"/>
          <w:szCs w:val="24"/>
        </w:rPr>
        <w:t>ů bylo 3.6</w:t>
      </w:r>
      <w:r w:rsidR="00672ED4" w:rsidRPr="00D4761A">
        <w:rPr>
          <w:rFonts w:cstheme="minorHAnsi"/>
          <w:szCs w:val="24"/>
        </w:rPr>
        <w:t> %</w:t>
      </w:r>
      <w:r w:rsidRPr="00D4761A">
        <w:rPr>
          <w:rFonts w:cstheme="minorHAnsi"/>
          <w:szCs w:val="24"/>
        </w:rPr>
        <w:t xml:space="preserve"> souboru.</w:t>
      </w:r>
    </w:p>
    <w:p w14:paraId="6B3BCEC6" w14:textId="303431AE" w:rsidR="00616138" w:rsidRPr="00D4761A" w:rsidRDefault="00616138" w:rsidP="00616138">
      <w:pPr>
        <w:rPr>
          <w:rFonts w:cstheme="minorHAnsi"/>
          <w:szCs w:val="24"/>
        </w:rPr>
      </w:pPr>
    </w:p>
    <w:p w14:paraId="707873D1" w14:textId="77777777" w:rsidR="00616138" w:rsidRPr="00D4761A" w:rsidRDefault="00616138" w:rsidP="00616138">
      <w:pPr>
        <w:rPr>
          <w:rFonts w:cstheme="minorHAnsi"/>
          <w:szCs w:val="24"/>
        </w:rPr>
      </w:pPr>
      <w:r w:rsidRPr="00D4761A">
        <w:rPr>
          <w:rFonts w:cstheme="minorHAnsi"/>
          <w:szCs w:val="24"/>
        </w:rPr>
        <w:t>D/</w:t>
      </w:r>
    </w:p>
    <w:p w14:paraId="167453AE" w14:textId="3906F7BA" w:rsidR="00597804" w:rsidRPr="00D4761A" w:rsidRDefault="00616138" w:rsidP="00616138">
      <w:pPr>
        <w:rPr>
          <w:rFonts w:cstheme="minorHAnsi"/>
          <w:szCs w:val="24"/>
        </w:rPr>
      </w:pPr>
      <w:r w:rsidRPr="00D4761A">
        <w:rPr>
          <w:rFonts w:cstheme="minorHAnsi"/>
          <w:szCs w:val="24"/>
        </w:rPr>
        <w:t xml:space="preserve">Mezi adherentními </w:t>
      </w:r>
      <w:r w:rsidR="00672ED4" w:rsidRPr="00D4761A">
        <w:rPr>
          <w:rFonts w:cstheme="minorHAnsi"/>
          <w:szCs w:val="24"/>
        </w:rPr>
        <w:t>a </w:t>
      </w:r>
      <w:r w:rsidRPr="00D4761A">
        <w:rPr>
          <w:rFonts w:cstheme="minorHAnsi"/>
          <w:szCs w:val="24"/>
        </w:rPr>
        <w:t xml:space="preserve">neadherentními pacienty nebyly </w:t>
      </w:r>
      <w:r w:rsidR="00672ED4" w:rsidRPr="00D4761A">
        <w:rPr>
          <w:rFonts w:cstheme="minorHAnsi"/>
          <w:szCs w:val="24"/>
        </w:rPr>
        <w:t>z </w:t>
      </w:r>
      <w:r w:rsidRPr="00D4761A">
        <w:rPr>
          <w:rFonts w:cstheme="minorHAnsi"/>
          <w:szCs w:val="24"/>
        </w:rPr>
        <w:t xml:space="preserve">hlediska klinických parametrů žádné signifikantní rozdíly. </w:t>
      </w:r>
      <w:r w:rsidR="00672ED4" w:rsidRPr="00D4761A">
        <w:rPr>
          <w:rFonts w:cstheme="minorHAnsi"/>
          <w:szCs w:val="24"/>
        </w:rPr>
        <w:t>U </w:t>
      </w:r>
      <w:r w:rsidRPr="00D4761A">
        <w:rPr>
          <w:rFonts w:cstheme="minorHAnsi"/>
          <w:szCs w:val="24"/>
        </w:rPr>
        <w:t xml:space="preserve">laboratorních parametrů se obě skupiny lišily pouze </w:t>
      </w:r>
      <w:r w:rsidR="00672ED4" w:rsidRPr="00D4761A">
        <w:rPr>
          <w:rFonts w:cstheme="minorHAnsi"/>
          <w:szCs w:val="24"/>
        </w:rPr>
        <w:t>v </w:t>
      </w:r>
      <w:r w:rsidRPr="00D4761A">
        <w:rPr>
          <w:rFonts w:cstheme="minorHAnsi"/>
          <w:szCs w:val="24"/>
        </w:rPr>
        <w:t xml:space="preserve">sérových hladinách sodíku, chloridů </w:t>
      </w:r>
      <w:r w:rsidR="00672ED4" w:rsidRPr="00D4761A">
        <w:rPr>
          <w:rFonts w:cstheme="minorHAnsi"/>
          <w:szCs w:val="24"/>
        </w:rPr>
        <w:t>a </w:t>
      </w:r>
      <w:r w:rsidRPr="00D4761A">
        <w:rPr>
          <w:rFonts w:cstheme="minorHAnsi"/>
          <w:szCs w:val="24"/>
        </w:rPr>
        <w:t>močoviny. Věk pacientů pod 60 let byl jediný statisticky významný prediktor nonadherence.</w:t>
      </w:r>
    </w:p>
    <w:p w14:paraId="28BBF06E" w14:textId="77777777" w:rsidR="00597804" w:rsidRPr="00D4761A" w:rsidRDefault="00AF5A33" w:rsidP="006208B9">
      <w:pPr>
        <w:pStyle w:val="Nadpis1"/>
      </w:pPr>
      <w:bookmarkStart w:id="68" w:name="_Toc120547468"/>
      <w:r w:rsidRPr="00D4761A">
        <w:lastRenderedPageBreak/>
        <w:t>Seznam tabulek</w:t>
      </w:r>
      <w:bookmarkEnd w:id="68"/>
    </w:p>
    <w:p w14:paraId="1A2B46EA" w14:textId="3DD27712" w:rsidR="00597804" w:rsidRPr="00D4761A" w:rsidRDefault="00AF5A33" w:rsidP="00AF5A33">
      <w:pPr>
        <w:rPr>
          <w:rFonts w:cstheme="minorHAnsi"/>
          <w:szCs w:val="24"/>
        </w:rPr>
      </w:pPr>
      <w:r w:rsidRPr="00D4761A">
        <w:rPr>
          <w:rFonts w:cstheme="minorHAnsi"/>
          <w:szCs w:val="24"/>
        </w:rPr>
        <w:t>T</w:t>
      </w:r>
      <w:r w:rsidR="00CC2471" w:rsidRPr="00D4761A">
        <w:rPr>
          <w:rFonts w:cstheme="minorHAnsi"/>
          <w:szCs w:val="24"/>
        </w:rPr>
        <w:t>abulka </w:t>
      </w:r>
      <w:r w:rsidRPr="00D4761A">
        <w:rPr>
          <w:rFonts w:cstheme="minorHAnsi"/>
          <w:szCs w:val="24"/>
        </w:rPr>
        <w:t>1</w:t>
      </w:r>
      <w:r w:rsidR="00CC2471" w:rsidRPr="00D4761A">
        <w:rPr>
          <w:rFonts w:cstheme="minorHAnsi"/>
          <w:szCs w:val="24"/>
        </w:rPr>
        <w:t> – </w:t>
      </w:r>
      <w:r w:rsidRPr="00D4761A">
        <w:rPr>
          <w:rFonts w:cstheme="minorHAnsi"/>
          <w:szCs w:val="24"/>
        </w:rPr>
        <w:t xml:space="preserve">Popis symptomů </w:t>
      </w:r>
      <w:r w:rsidR="00672ED4" w:rsidRPr="00D4761A">
        <w:rPr>
          <w:rFonts w:cstheme="minorHAnsi"/>
          <w:szCs w:val="24"/>
        </w:rPr>
        <w:t>a </w:t>
      </w:r>
      <w:r w:rsidRPr="00D4761A">
        <w:rPr>
          <w:rFonts w:cstheme="minorHAnsi"/>
          <w:szCs w:val="24"/>
        </w:rPr>
        <w:t>klinických známek srdečního selhání</w:t>
      </w:r>
    </w:p>
    <w:p w14:paraId="002FB0B4" w14:textId="03BFE3BF" w:rsidR="008A1B19" w:rsidRPr="00D4761A" w:rsidRDefault="008A1B19" w:rsidP="00AF5A33">
      <w:pPr>
        <w:rPr>
          <w:rFonts w:cstheme="minorHAnsi"/>
          <w:szCs w:val="24"/>
        </w:rPr>
      </w:pPr>
      <w:r w:rsidRPr="00D4761A">
        <w:rPr>
          <w:rFonts w:cstheme="minorHAnsi"/>
          <w:szCs w:val="24"/>
        </w:rPr>
        <w:t>T</w:t>
      </w:r>
      <w:r w:rsidR="00CC2471" w:rsidRPr="00D4761A">
        <w:rPr>
          <w:rFonts w:cstheme="minorHAnsi"/>
          <w:szCs w:val="24"/>
        </w:rPr>
        <w:t>abulka </w:t>
      </w:r>
      <w:r w:rsidRPr="00D4761A">
        <w:rPr>
          <w:rFonts w:cstheme="minorHAnsi"/>
          <w:szCs w:val="24"/>
        </w:rPr>
        <w:t>2</w:t>
      </w:r>
      <w:r w:rsidR="00CC2471" w:rsidRPr="00D4761A">
        <w:rPr>
          <w:rFonts w:cstheme="minorHAnsi"/>
          <w:szCs w:val="24"/>
        </w:rPr>
        <w:t> – </w:t>
      </w:r>
      <w:r w:rsidRPr="00D4761A">
        <w:rPr>
          <w:rFonts w:cstheme="minorHAnsi"/>
          <w:szCs w:val="24"/>
        </w:rPr>
        <w:t>Funkční klasifikace dle New York Heart Association (NYHA)</w:t>
      </w:r>
    </w:p>
    <w:p w14:paraId="409A9C91" w14:textId="11D1352A" w:rsidR="00AF5A33" w:rsidRPr="00D4761A" w:rsidRDefault="00AF5A33" w:rsidP="00AF5A33">
      <w:pPr>
        <w:rPr>
          <w:rFonts w:cstheme="minorHAnsi"/>
          <w:szCs w:val="24"/>
        </w:rPr>
      </w:pPr>
      <w:r w:rsidRPr="00D4761A">
        <w:rPr>
          <w:rFonts w:cstheme="minorHAnsi"/>
          <w:szCs w:val="24"/>
        </w:rPr>
        <w:t>T</w:t>
      </w:r>
      <w:r w:rsidR="00CC2471" w:rsidRPr="00D4761A">
        <w:rPr>
          <w:rFonts w:cstheme="minorHAnsi"/>
          <w:szCs w:val="24"/>
        </w:rPr>
        <w:t>abulka </w:t>
      </w:r>
      <w:r w:rsidRPr="00D4761A">
        <w:rPr>
          <w:rFonts w:cstheme="minorHAnsi"/>
          <w:szCs w:val="24"/>
        </w:rPr>
        <w:t>3</w:t>
      </w:r>
      <w:r w:rsidR="00CC2471" w:rsidRPr="00D4761A">
        <w:rPr>
          <w:rFonts w:cstheme="minorHAnsi"/>
          <w:szCs w:val="24"/>
        </w:rPr>
        <w:t> – </w:t>
      </w:r>
      <w:r w:rsidRPr="00D4761A">
        <w:rPr>
          <w:rFonts w:cstheme="minorHAnsi"/>
          <w:szCs w:val="24"/>
        </w:rPr>
        <w:t xml:space="preserve">Vstupní, cílová </w:t>
      </w:r>
      <w:r w:rsidR="00672ED4" w:rsidRPr="00D4761A">
        <w:rPr>
          <w:rFonts w:cstheme="minorHAnsi"/>
          <w:szCs w:val="24"/>
        </w:rPr>
        <w:t>a </w:t>
      </w:r>
      <w:r w:rsidRPr="00D4761A">
        <w:rPr>
          <w:rFonts w:cstheme="minorHAnsi"/>
          <w:szCs w:val="24"/>
        </w:rPr>
        <w:t>průměrná dávka v klinických studiích</w:t>
      </w:r>
    </w:p>
    <w:p w14:paraId="067542D8" w14:textId="3DA5B24D" w:rsidR="00AF5A33" w:rsidRPr="00D4761A" w:rsidRDefault="00AF5A33" w:rsidP="00AF5A33">
      <w:pPr>
        <w:rPr>
          <w:rFonts w:cstheme="minorHAnsi"/>
          <w:szCs w:val="24"/>
        </w:rPr>
      </w:pPr>
      <w:r w:rsidRPr="00D4761A">
        <w:rPr>
          <w:rFonts w:cstheme="minorHAnsi"/>
          <w:szCs w:val="24"/>
        </w:rPr>
        <w:t>T</w:t>
      </w:r>
      <w:r w:rsidR="00CC2471" w:rsidRPr="00D4761A">
        <w:rPr>
          <w:rFonts w:cstheme="minorHAnsi"/>
          <w:szCs w:val="24"/>
        </w:rPr>
        <w:t>abulka </w:t>
      </w:r>
      <w:r w:rsidRPr="00D4761A">
        <w:rPr>
          <w:rFonts w:cstheme="minorHAnsi"/>
          <w:szCs w:val="24"/>
        </w:rPr>
        <w:t>4</w:t>
      </w:r>
      <w:r w:rsidR="00CC2471" w:rsidRPr="00D4761A">
        <w:rPr>
          <w:rFonts w:cstheme="minorHAnsi"/>
          <w:szCs w:val="24"/>
        </w:rPr>
        <w:t> – </w:t>
      </w:r>
      <w:r w:rsidR="009D6E75" w:rsidRPr="00D4761A">
        <w:rPr>
          <w:rFonts w:cstheme="minorHAnsi"/>
          <w:szCs w:val="24"/>
        </w:rPr>
        <w:t>Benefit</w:t>
      </w:r>
      <w:r w:rsidRPr="00D4761A">
        <w:rPr>
          <w:rFonts w:cstheme="minorHAnsi"/>
          <w:szCs w:val="24"/>
        </w:rPr>
        <w:t xml:space="preserve"> z farmakoterapie dle výsledků klinických studií</w:t>
      </w:r>
    </w:p>
    <w:p w14:paraId="5B920400" w14:textId="17B05F1B" w:rsidR="00AF5A33" w:rsidRPr="00D4761A" w:rsidRDefault="00AF5A33" w:rsidP="00AF5A33">
      <w:pPr>
        <w:rPr>
          <w:rFonts w:cstheme="minorHAnsi"/>
          <w:szCs w:val="24"/>
        </w:rPr>
      </w:pPr>
      <w:r w:rsidRPr="00D4761A">
        <w:rPr>
          <w:rFonts w:cstheme="minorHAnsi"/>
          <w:szCs w:val="24"/>
        </w:rPr>
        <w:t>T</w:t>
      </w:r>
      <w:r w:rsidR="00CC2471" w:rsidRPr="00D4761A">
        <w:rPr>
          <w:rFonts w:cstheme="minorHAnsi"/>
          <w:szCs w:val="24"/>
        </w:rPr>
        <w:t>abulka </w:t>
      </w:r>
      <w:r w:rsidRPr="00D4761A">
        <w:rPr>
          <w:rFonts w:cstheme="minorHAnsi"/>
          <w:szCs w:val="24"/>
        </w:rPr>
        <w:t>5</w:t>
      </w:r>
      <w:r w:rsidR="00CC2471" w:rsidRPr="00D4761A">
        <w:rPr>
          <w:rFonts w:cstheme="minorHAnsi"/>
          <w:szCs w:val="24"/>
        </w:rPr>
        <w:t> – </w:t>
      </w:r>
      <w:r w:rsidRPr="00D4761A">
        <w:rPr>
          <w:rFonts w:cstheme="minorHAnsi"/>
          <w:szCs w:val="24"/>
        </w:rPr>
        <w:t>Indikační kritéria dlouhodobé mechanické srdeční podpory levé komory</w:t>
      </w:r>
    </w:p>
    <w:p w14:paraId="0BB0624C" w14:textId="1CC30097" w:rsidR="00AF5A33" w:rsidRPr="00D4761A" w:rsidRDefault="00AF5A33" w:rsidP="00AF5A33">
      <w:pPr>
        <w:rPr>
          <w:rFonts w:cstheme="minorHAnsi"/>
          <w:szCs w:val="24"/>
        </w:rPr>
      </w:pPr>
      <w:r w:rsidRPr="00D4761A">
        <w:rPr>
          <w:rFonts w:cstheme="minorHAnsi"/>
          <w:bCs/>
          <w:szCs w:val="24"/>
        </w:rPr>
        <w:t>T</w:t>
      </w:r>
      <w:r w:rsidR="00CC2471" w:rsidRPr="00D4761A">
        <w:rPr>
          <w:rFonts w:cstheme="minorHAnsi"/>
          <w:bCs/>
          <w:szCs w:val="24"/>
        </w:rPr>
        <w:t>abulka </w:t>
      </w:r>
      <w:r w:rsidRPr="00D4761A">
        <w:rPr>
          <w:rFonts w:cstheme="minorHAnsi"/>
          <w:szCs w:val="24"/>
        </w:rPr>
        <w:t>6</w:t>
      </w:r>
      <w:r w:rsidR="00CC2471" w:rsidRPr="00D4761A">
        <w:rPr>
          <w:rFonts w:cstheme="minorHAnsi"/>
          <w:szCs w:val="24"/>
        </w:rPr>
        <w:t> – </w:t>
      </w:r>
      <w:r w:rsidRPr="00D4761A">
        <w:rPr>
          <w:rFonts w:cstheme="minorHAnsi"/>
          <w:szCs w:val="24"/>
        </w:rPr>
        <w:t>INTERMACS profily</w:t>
      </w:r>
    </w:p>
    <w:p w14:paraId="08B7BF7A" w14:textId="4530E822" w:rsidR="00AF5A33" w:rsidRPr="00D4761A" w:rsidRDefault="00AF5A33" w:rsidP="00AF5A33">
      <w:pPr>
        <w:rPr>
          <w:rFonts w:cstheme="minorHAnsi"/>
          <w:szCs w:val="24"/>
        </w:rPr>
      </w:pPr>
      <w:r w:rsidRPr="00D4761A">
        <w:rPr>
          <w:rFonts w:cstheme="minorHAnsi"/>
          <w:szCs w:val="24"/>
        </w:rPr>
        <w:t>T</w:t>
      </w:r>
      <w:r w:rsidR="00CC2471" w:rsidRPr="00D4761A">
        <w:rPr>
          <w:rFonts w:cstheme="minorHAnsi"/>
          <w:szCs w:val="24"/>
        </w:rPr>
        <w:t>abulka </w:t>
      </w:r>
      <w:r w:rsidRPr="00D4761A">
        <w:rPr>
          <w:rFonts w:cstheme="minorHAnsi"/>
          <w:szCs w:val="24"/>
        </w:rPr>
        <w:t>7</w:t>
      </w:r>
      <w:r w:rsidR="00CC2471" w:rsidRPr="00D4761A">
        <w:rPr>
          <w:rFonts w:cstheme="minorHAnsi"/>
          <w:szCs w:val="24"/>
        </w:rPr>
        <w:t> – </w:t>
      </w:r>
      <w:r w:rsidRPr="00D4761A">
        <w:rPr>
          <w:rFonts w:cstheme="minorHAnsi"/>
          <w:szCs w:val="24"/>
        </w:rPr>
        <w:t>Porovnání kohort A, B v základních charakteristikách souborů</w:t>
      </w:r>
    </w:p>
    <w:p w14:paraId="0C3951D6" w14:textId="1FC90BC5" w:rsidR="00AF5A33" w:rsidRPr="00D4761A" w:rsidRDefault="00AF5A33" w:rsidP="00AF5A33">
      <w:pPr>
        <w:rPr>
          <w:rFonts w:cstheme="minorHAnsi"/>
          <w:szCs w:val="24"/>
        </w:rPr>
      </w:pPr>
      <w:r w:rsidRPr="00D4761A">
        <w:rPr>
          <w:rFonts w:cstheme="minorHAnsi"/>
          <w:szCs w:val="24"/>
        </w:rPr>
        <w:t>T</w:t>
      </w:r>
      <w:r w:rsidR="00CC2471" w:rsidRPr="00D4761A">
        <w:rPr>
          <w:rFonts w:cstheme="minorHAnsi"/>
          <w:szCs w:val="24"/>
        </w:rPr>
        <w:t>abulka </w:t>
      </w:r>
      <w:r w:rsidRPr="00D4761A">
        <w:rPr>
          <w:rFonts w:cstheme="minorHAnsi"/>
          <w:szCs w:val="24"/>
        </w:rPr>
        <w:t>8</w:t>
      </w:r>
      <w:r w:rsidR="00CC2471" w:rsidRPr="00D4761A">
        <w:rPr>
          <w:rFonts w:cstheme="minorHAnsi"/>
          <w:szCs w:val="24"/>
        </w:rPr>
        <w:t> – </w:t>
      </w:r>
      <w:r w:rsidRPr="00D4761A">
        <w:rPr>
          <w:rFonts w:cstheme="minorHAnsi"/>
          <w:szCs w:val="24"/>
        </w:rPr>
        <w:t xml:space="preserve">Porovnání kohort A, B ve farmakoterapii </w:t>
      </w:r>
      <w:r w:rsidR="00672ED4" w:rsidRPr="00D4761A">
        <w:rPr>
          <w:rFonts w:cstheme="minorHAnsi"/>
          <w:szCs w:val="24"/>
        </w:rPr>
        <w:t>a </w:t>
      </w:r>
      <w:r w:rsidRPr="00D4761A">
        <w:rPr>
          <w:rFonts w:cstheme="minorHAnsi"/>
          <w:szCs w:val="24"/>
        </w:rPr>
        <w:t>v nefarmakologické terapii</w:t>
      </w:r>
    </w:p>
    <w:p w14:paraId="4F9D7E27" w14:textId="57D63B65" w:rsidR="00597804" w:rsidRPr="00D4761A" w:rsidRDefault="00AF5A33" w:rsidP="00AF5A33">
      <w:pPr>
        <w:rPr>
          <w:rFonts w:cstheme="minorHAnsi"/>
          <w:szCs w:val="24"/>
        </w:rPr>
      </w:pPr>
      <w:r w:rsidRPr="00D4761A">
        <w:rPr>
          <w:rFonts w:cstheme="minorHAnsi"/>
          <w:szCs w:val="24"/>
        </w:rPr>
        <w:t>T</w:t>
      </w:r>
      <w:r w:rsidR="00CC2471" w:rsidRPr="00D4761A">
        <w:rPr>
          <w:rFonts w:cstheme="minorHAnsi"/>
          <w:szCs w:val="24"/>
        </w:rPr>
        <w:t>abulka </w:t>
      </w:r>
      <w:r w:rsidRPr="00D4761A">
        <w:rPr>
          <w:rFonts w:cstheme="minorHAnsi"/>
          <w:szCs w:val="24"/>
        </w:rPr>
        <w:t>9</w:t>
      </w:r>
      <w:r w:rsidR="00CC2471" w:rsidRPr="00D4761A">
        <w:rPr>
          <w:rFonts w:cstheme="minorHAnsi"/>
          <w:szCs w:val="24"/>
        </w:rPr>
        <w:t> – </w:t>
      </w:r>
      <w:r w:rsidRPr="00D4761A">
        <w:rPr>
          <w:rFonts w:cstheme="minorHAnsi"/>
          <w:szCs w:val="24"/>
        </w:rPr>
        <w:t>Porovnání kohort A, B v dávkách vybraných léčiv</w:t>
      </w:r>
    </w:p>
    <w:p w14:paraId="7A7B07F5" w14:textId="41E44D2A" w:rsidR="00AF5A33" w:rsidRPr="00D4761A" w:rsidRDefault="00AF5A33" w:rsidP="00AF5A33">
      <w:pPr>
        <w:rPr>
          <w:rFonts w:cstheme="minorHAnsi"/>
          <w:szCs w:val="24"/>
        </w:rPr>
      </w:pPr>
      <w:r w:rsidRPr="00D4761A">
        <w:rPr>
          <w:rFonts w:cstheme="minorHAnsi"/>
          <w:szCs w:val="24"/>
        </w:rPr>
        <w:t>T</w:t>
      </w:r>
      <w:r w:rsidR="00CC2471" w:rsidRPr="00D4761A">
        <w:rPr>
          <w:rFonts w:cstheme="minorHAnsi"/>
          <w:szCs w:val="24"/>
        </w:rPr>
        <w:t>abulka </w:t>
      </w:r>
      <w:r w:rsidRPr="00D4761A">
        <w:rPr>
          <w:rFonts w:cstheme="minorHAnsi"/>
          <w:szCs w:val="24"/>
        </w:rPr>
        <w:t>10</w:t>
      </w:r>
      <w:r w:rsidR="00CC2471" w:rsidRPr="00D4761A">
        <w:rPr>
          <w:rFonts w:cstheme="minorHAnsi"/>
          <w:szCs w:val="24"/>
        </w:rPr>
        <w:t> – </w:t>
      </w:r>
      <w:r w:rsidRPr="00D4761A">
        <w:rPr>
          <w:rFonts w:cstheme="minorHAnsi"/>
          <w:szCs w:val="24"/>
        </w:rPr>
        <w:t>Betablokátory, dávky betablokátorů v kohortě B</w:t>
      </w:r>
    </w:p>
    <w:p w14:paraId="5CED4281" w14:textId="04127CF7" w:rsidR="00AF5A33" w:rsidRPr="00D4761A" w:rsidRDefault="005E2E89" w:rsidP="00AF5A33">
      <w:pPr>
        <w:rPr>
          <w:rFonts w:cstheme="minorHAnsi"/>
          <w:szCs w:val="24"/>
        </w:rPr>
      </w:pPr>
      <w:r w:rsidRPr="00D4761A">
        <w:rPr>
          <w:rFonts w:cstheme="minorHAnsi"/>
          <w:szCs w:val="24"/>
        </w:rPr>
        <w:t>T</w:t>
      </w:r>
      <w:r w:rsidR="00CC2471" w:rsidRPr="00D4761A">
        <w:rPr>
          <w:rFonts w:cstheme="minorHAnsi"/>
          <w:szCs w:val="24"/>
        </w:rPr>
        <w:t>abulka </w:t>
      </w:r>
      <w:r w:rsidRPr="00D4761A">
        <w:rPr>
          <w:rFonts w:cstheme="minorHAnsi"/>
          <w:szCs w:val="24"/>
        </w:rPr>
        <w:t>11</w:t>
      </w:r>
      <w:r w:rsidR="00CC2471" w:rsidRPr="00D4761A">
        <w:rPr>
          <w:rFonts w:cstheme="minorHAnsi"/>
          <w:szCs w:val="24"/>
        </w:rPr>
        <w:t> – </w:t>
      </w:r>
      <w:r w:rsidRPr="00D4761A">
        <w:rPr>
          <w:rFonts w:cstheme="minorHAnsi"/>
          <w:szCs w:val="24"/>
        </w:rPr>
        <w:t>Základní charakteristika kohorty LEVL-CHF</w:t>
      </w:r>
    </w:p>
    <w:p w14:paraId="151D3C7C" w14:textId="3A32505B" w:rsidR="005E2E89" w:rsidRPr="00D4761A" w:rsidRDefault="0057281E" w:rsidP="00AF5A33">
      <w:pPr>
        <w:rPr>
          <w:rFonts w:cstheme="minorHAnsi"/>
          <w:szCs w:val="24"/>
        </w:rPr>
      </w:pPr>
      <w:r w:rsidRPr="00D4761A">
        <w:rPr>
          <w:rFonts w:cstheme="minorHAnsi"/>
          <w:szCs w:val="24"/>
        </w:rPr>
        <w:t>T</w:t>
      </w:r>
      <w:r w:rsidR="00CC2471" w:rsidRPr="00D4761A">
        <w:rPr>
          <w:rFonts w:cstheme="minorHAnsi"/>
          <w:szCs w:val="24"/>
        </w:rPr>
        <w:t>abulka </w:t>
      </w:r>
      <w:r w:rsidRPr="00D4761A">
        <w:rPr>
          <w:rFonts w:cstheme="minorHAnsi"/>
          <w:szCs w:val="24"/>
        </w:rPr>
        <w:t>12</w:t>
      </w:r>
      <w:r w:rsidR="00CC2471" w:rsidRPr="00D4761A">
        <w:rPr>
          <w:rFonts w:cstheme="minorHAnsi"/>
          <w:szCs w:val="24"/>
        </w:rPr>
        <w:t> – </w:t>
      </w:r>
      <w:r w:rsidRPr="00D4761A">
        <w:rPr>
          <w:rFonts w:cstheme="minorHAnsi"/>
          <w:szCs w:val="24"/>
        </w:rPr>
        <w:t>Sledované lékové skupiny, léčiva kohorty LEVEL-CHF</w:t>
      </w:r>
    </w:p>
    <w:p w14:paraId="1DA630EC" w14:textId="6900A2A3" w:rsidR="0048504F" w:rsidRPr="00D4761A" w:rsidRDefault="0048504F" w:rsidP="00AF5A33">
      <w:pPr>
        <w:rPr>
          <w:rFonts w:cstheme="minorHAnsi"/>
          <w:szCs w:val="24"/>
        </w:rPr>
      </w:pPr>
      <w:r w:rsidRPr="00D4761A">
        <w:rPr>
          <w:rFonts w:cstheme="minorHAnsi"/>
          <w:szCs w:val="24"/>
        </w:rPr>
        <w:t>T</w:t>
      </w:r>
      <w:r w:rsidR="00CC2471" w:rsidRPr="00D4761A">
        <w:rPr>
          <w:rFonts w:cstheme="minorHAnsi"/>
          <w:szCs w:val="24"/>
        </w:rPr>
        <w:t>abulka </w:t>
      </w:r>
      <w:r w:rsidRPr="00D4761A">
        <w:rPr>
          <w:rFonts w:cstheme="minorHAnsi"/>
          <w:szCs w:val="24"/>
        </w:rPr>
        <w:t>13</w:t>
      </w:r>
      <w:r w:rsidR="00CC2471" w:rsidRPr="00D4761A">
        <w:rPr>
          <w:rFonts w:cstheme="minorHAnsi"/>
          <w:szCs w:val="24"/>
        </w:rPr>
        <w:t> – </w:t>
      </w:r>
      <w:r w:rsidRPr="00D4761A">
        <w:rPr>
          <w:rFonts w:cstheme="minorHAnsi"/>
          <w:szCs w:val="24"/>
        </w:rPr>
        <w:t xml:space="preserve">Srovnání klinických </w:t>
      </w:r>
      <w:r w:rsidR="00672ED4" w:rsidRPr="00D4761A">
        <w:rPr>
          <w:rFonts w:cstheme="minorHAnsi"/>
          <w:szCs w:val="24"/>
        </w:rPr>
        <w:t>a </w:t>
      </w:r>
      <w:r w:rsidRPr="00D4761A">
        <w:rPr>
          <w:rFonts w:cstheme="minorHAnsi"/>
          <w:szCs w:val="24"/>
        </w:rPr>
        <w:t>laborat</w:t>
      </w:r>
      <w:r w:rsidR="00BE7B50" w:rsidRPr="00D4761A">
        <w:rPr>
          <w:rFonts w:cstheme="minorHAnsi"/>
          <w:szCs w:val="24"/>
        </w:rPr>
        <w:t>o</w:t>
      </w:r>
      <w:r w:rsidRPr="00D4761A">
        <w:rPr>
          <w:rFonts w:cstheme="minorHAnsi"/>
          <w:szCs w:val="24"/>
        </w:rPr>
        <w:t xml:space="preserve">rních parametrů mezi adherentními </w:t>
      </w:r>
      <w:r w:rsidR="00672ED4" w:rsidRPr="00D4761A">
        <w:rPr>
          <w:rFonts w:cstheme="minorHAnsi"/>
          <w:szCs w:val="24"/>
        </w:rPr>
        <w:t>a </w:t>
      </w:r>
      <w:r w:rsidRPr="00D4761A">
        <w:rPr>
          <w:rFonts w:cstheme="minorHAnsi"/>
          <w:szCs w:val="24"/>
        </w:rPr>
        <w:t>neadherentními pacienty kohorty LEVEL-CHF</w:t>
      </w:r>
    </w:p>
    <w:p w14:paraId="0BAF9957" w14:textId="4C10F026" w:rsidR="005B20F3" w:rsidRPr="00D4761A" w:rsidRDefault="005B20F3" w:rsidP="00AF5A33">
      <w:pPr>
        <w:rPr>
          <w:rFonts w:cstheme="minorHAnsi"/>
          <w:szCs w:val="24"/>
        </w:rPr>
      </w:pPr>
      <w:r w:rsidRPr="00D4761A">
        <w:rPr>
          <w:rFonts w:cstheme="minorHAnsi"/>
          <w:szCs w:val="24"/>
        </w:rPr>
        <w:t>T</w:t>
      </w:r>
      <w:r w:rsidR="00CC2471" w:rsidRPr="00D4761A">
        <w:rPr>
          <w:rFonts w:cstheme="minorHAnsi"/>
          <w:szCs w:val="24"/>
        </w:rPr>
        <w:t>abulka </w:t>
      </w:r>
      <w:r w:rsidRPr="00D4761A">
        <w:rPr>
          <w:rFonts w:cstheme="minorHAnsi"/>
          <w:szCs w:val="24"/>
        </w:rPr>
        <w:t>14</w:t>
      </w:r>
      <w:r w:rsidR="00CC2471" w:rsidRPr="00D4761A">
        <w:rPr>
          <w:rFonts w:cstheme="minorHAnsi"/>
          <w:szCs w:val="24"/>
        </w:rPr>
        <w:t> – </w:t>
      </w:r>
      <w:r w:rsidRPr="00D4761A">
        <w:rPr>
          <w:rFonts w:cstheme="minorHAnsi"/>
          <w:szCs w:val="24"/>
        </w:rPr>
        <w:t xml:space="preserve">Adherence </w:t>
      </w:r>
      <w:r w:rsidR="00672ED4" w:rsidRPr="00D4761A">
        <w:rPr>
          <w:rFonts w:cstheme="minorHAnsi"/>
          <w:szCs w:val="24"/>
        </w:rPr>
        <w:t>k </w:t>
      </w:r>
      <w:r w:rsidRPr="00D4761A">
        <w:rPr>
          <w:rFonts w:cstheme="minorHAnsi"/>
          <w:szCs w:val="24"/>
        </w:rPr>
        <w:t>jednotlivým lékovým skupinám kohorty LEVEL-CHF</w:t>
      </w:r>
    </w:p>
    <w:p w14:paraId="6A9A5CA5" w14:textId="77777777" w:rsidR="005E2E89" w:rsidRPr="00D4761A" w:rsidRDefault="005E2E89" w:rsidP="00AF5A33">
      <w:pPr>
        <w:rPr>
          <w:rFonts w:cstheme="minorHAnsi"/>
          <w:szCs w:val="24"/>
        </w:rPr>
      </w:pPr>
    </w:p>
    <w:p w14:paraId="3EE10F11" w14:textId="77777777" w:rsidR="005E2E89" w:rsidRPr="00D4761A" w:rsidRDefault="005E2E89" w:rsidP="00AF5A33">
      <w:pPr>
        <w:rPr>
          <w:rFonts w:cstheme="minorHAnsi"/>
          <w:szCs w:val="24"/>
        </w:rPr>
      </w:pPr>
    </w:p>
    <w:p w14:paraId="01DD974F" w14:textId="7AD5880F" w:rsidR="00597804" w:rsidRPr="00D4761A" w:rsidRDefault="00BE7B50" w:rsidP="00AF5A33">
      <w:pPr>
        <w:rPr>
          <w:rFonts w:cstheme="minorHAnsi"/>
          <w:szCs w:val="24"/>
        </w:rPr>
      </w:pPr>
      <w:r w:rsidRPr="00D4761A">
        <w:rPr>
          <w:rFonts w:cstheme="minorHAnsi"/>
          <w:szCs w:val="24"/>
        </w:rPr>
        <w:t>S</w:t>
      </w:r>
      <w:r w:rsidR="00CC2471" w:rsidRPr="00D4761A">
        <w:rPr>
          <w:rFonts w:cstheme="minorHAnsi"/>
          <w:szCs w:val="24"/>
        </w:rPr>
        <w:t>chéma </w:t>
      </w:r>
      <w:r w:rsidRPr="00D4761A">
        <w:rPr>
          <w:rFonts w:cstheme="minorHAnsi"/>
          <w:szCs w:val="24"/>
        </w:rPr>
        <w:t>1</w:t>
      </w:r>
      <w:r w:rsidR="00CC2471" w:rsidRPr="00D4761A">
        <w:rPr>
          <w:rFonts w:cstheme="minorHAnsi"/>
          <w:szCs w:val="24"/>
        </w:rPr>
        <w:t> – </w:t>
      </w:r>
      <w:r w:rsidR="00AF5A33" w:rsidRPr="00D4761A">
        <w:rPr>
          <w:rFonts w:cstheme="minorHAnsi"/>
          <w:szCs w:val="24"/>
        </w:rPr>
        <w:t>Diagnostický algoritmus srdečního selhání</w:t>
      </w:r>
    </w:p>
    <w:p w14:paraId="6FA86A99" w14:textId="430538CF" w:rsidR="00AF5A33" w:rsidRPr="00D4761A" w:rsidRDefault="00AF5A33" w:rsidP="00AF5A33">
      <w:pPr>
        <w:rPr>
          <w:rFonts w:cstheme="minorHAnsi"/>
          <w:szCs w:val="24"/>
        </w:rPr>
      </w:pPr>
      <w:r w:rsidRPr="00D4761A">
        <w:rPr>
          <w:rFonts w:cstheme="minorHAnsi"/>
          <w:szCs w:val="24"/>
        </w:rPr>
        <w:t>S</w:t>
      </w:r>
      <w:r w:rsidR="00CC2471" w:rsidRPr="00D4761A">
        <w:rPr>
          <w:rFonts w:cstheme="minorHAnsi"/>
          <w:szCs w:val="24"/>
        </w:rPr>
        <w:t>chéma </w:t>
      </w:r>
      <w:r w:rsidRPr="00D4761A">
        <w:rPr>
          <w:rFonts w:cstheme="minorHAnsi"/>
          <w:szCs w:val="24"/>
        </w:rPr>
        <w:t>2</w:t>
      </w:r>
      <w:r w:rsidR="00CC2471" w:rsidRPr="00D4761A">
        <w:rPr>
          <w:rFonts w:cstheme="minorHAnsi"/>
          <w:szCs w:val="24"/>
        </w:rPr>
        <w:t> – </w:t>
      </w:r>
      <w:r w:rsidRPr="00D4761A">
        <w:rPr>
          <w:rFonts w:cstheme="minorHAnsi"/>
          <w:szCs w:val="24"/>
        </w:rPr>
        <w:t>LVAD a jeho zapojení</w:t>
      </w:r>
    </w:p>
    <w:p w14:paraId="4E71F239" w14:textId="77777777" w:rsidR="00597804" w:rsidRPr="00D4761A" w:rsidRDefault="00AF5A33" w:rsidP="006208B9">
      <w:pPr>
        <w:pStyle w:val="Nadpis1"/>
      </w:pPr>
      <w:bookmarkStart w:id="69" w:name="_Toc120547469"/>
      <w:r w:rsidRPr="00D4761A">
        <w:lastRenderedPageBreak/>
        <w:t>Seznam zkratek</w:t>
      </w:r>
      <w:bookmarkEnd w:id="69"/>
    </w:p>
    <w:p w14:paraId="014FE686" w14:textId="77777777" w:rsidR="002F477B" w:rsidRPr="00D4761A" w:rsidRDefault="002F477B" w:rsidP="00597804">
      <w:r w:rsidRPr="00D4761A">
        <w:t>6MWT – six-minute walking test</w:t>
      </w:r>
    </w:p>
    <w:p w14:paraId="714B5926" w14:textId="77777777" w:rsidR="002F477B" w:rsidRPr="00D4761A" w:rsidRDefault="002F477B" w:rsidP="00597804">
      <w:r w:rsidRPr="00D4761A">
        <w:t>ACEi – inhibitory angiotensin-konvertujícího enzymu</w:t>
      </w:r>
    </w:p>
    <w:p w14:paraId="72A80907" w14:textId="77777777" w:rsidR="002F477B" w:rsidRPr="00D4761A" w:rsidRDefault="002F477B" w:rsidP="00597804">
      <w:r w:rsidRPr="00D4761A">
        <w:t>ARBs – blokátory receptoru AT1 pro angiotenzin II</w:t>
      </w:r>
    </w:p>
    <w:p w14:paraId="336F5172" w14:textId="77777777" w:rsidR="002F477B" w:rsidRPr="00D4761A" w:rsidRDefault="002F477B" w:rsidP="00597804">
      <w:r w:rsidRPr="00D4761A">
        <w:t>ARNI – angiotensin receptor-neprilysin inhibitor</w:t>
      </w:r>
    </w:p>
    <w:p w14:paraId="50945EA6" w14:textId="77777777" w:rsidR="002F477B" w:rsidRPr="00D4761A" w:rsidRDefault="002F477B" w:rsidP="00597804">
      <w:r w:rsidRPr="00D4761A">
        <w:t>ASA – acetylsalicylová kyselina</w:t>
      </w:r>
    </w:p>
    <w:p w14:paraId="66FFF725" w14:textId="77777777" w:rsidR="002F477B" w:rsidRPr="00D4761A" w:rsidRDefault="002F477B" w:rsidP="00597804">
      <w:r w:rsidRPr="00D4761A">
        <w:t>CABG – coronary artery bypass grafting</w:t>
      </w:r>
    </w:p>
    <w:p w14:paraId="04B9356A" w14:textId="77777777" w:rsidR="002F477B" w:rsidRPr="00D4761A" w:rsidRDefault="002F477B" w:rsidP="00597804">
      <w:r w:rsidRPr="00D4761A">
        <w:t>CCM – cardiac contractility modulation</w:t>
      </w:r>
    </w:p>
    <w:p w14:paraId="5042D75C" w14:textId="77777777" w:rsidR="002F477B" w:rsidRPr="00D4761A" w:rsidRDefault="002F477B" w:rsidP="00597804">
      <w:r w:rsidRPr="00D4761A">
        <w:t>CMP – centrální mozková příhoda</w:t>
      </w:r>
    </w:p>
    <w:p w14:paraId="2F4CB293" w14:textId="77777777" w:rsidR="002F477B" w:rsidRPr="00D4761A" w:rsidRDefault="002F477B" w:rsidP="00597804">
      <w:r w:rsidRPr="00D4761A">
        <w:t>CNS – centrální nervový systém</w:t>
      </w:r>
    </w:p>
    <w:p w14:paraId="2C6B7630" w14:textId="77777777" w:rsidR="002F477B" w:rsidRPr="00D4761A" w:rsidRDefault="002F477B" w:rsidP="00597804">
      <w:r w:rsidRPr="00D4761A">
        <w:t>CRT – srdeční resynchronizační terapie (cardiac resynchronisation therapy)</w:t>
      </w:r>
    </w:p>
    <w:p w14:paraId="31A1DF89" w14:textId="77777777" w:rsidR="002F477B" w:rsidRPr="00D4761A" w:rsidRDefault="002F477B" w:rsidP="00597804">
      <w:r w:rsidRPr="00D4761A">
        <w:t>CRT-D – cardiac resynchronization therapy with defibrillator</w:t>
      </w:r>
    </w:p>
    <w:p w14:paraId="2A096B47" w14:textId="77777777" w:rsidR="002F477B" w:rsidRPr="00D4761A" w:rsidRDefault="002F477B" w:rsidP="00597804">
      <w:r w:rsidRPr="00D4761A">
        <w:t>CRT-P – cardiac resynchronization therapy pacemaker</w:t>
      </w:r>
    </w:p>
    <w:p w14:paraId="46655AD5" w14:textId="77777777" w:rsidR="002F477B" w:rsidRPr="00D4761A" w:rsidRDefault="002F477B" w:rsidP="00597804">
      <w:r w:rsidRPr="00D4761A">
        <w:t>DM – diabetes mellitus</w:t>
      </w:r>
    </w:p>
    <w:p w14:paraId="395A87A1" w14:textId="77777777" w:rsidR="002F477B" w:rsidRPr="00D4761A" w:rsidRDefault="002F477B" w:rsidP="00597804">
      <w:r w:rsidRPr="00D4761A">
        <w:t>EF – ejekční frakce</w:t>
      </w:r>
    </w:p>
    <w:p w14:paraId="6111F4B1" w14:textId="77777777" w:rsidR="002F477B" w:rsidRPr="00D4761A" w:rsidRDefault="002F477B" w:rsidP="00597804">
      <w:r w:rsidRPr="00D4761A">
        <w:t>EROA – effective regurgitant orifice area</w:t>
      </w:r>
    </w:p>
    <w:p w14:paraId="08E515E7" w14:textId="77777777" w:rsidR="002F477B" w:rsidRPr="00D4761A" w:rsidRDefault="002F477B" w:rsidP="00597804">
      <w:r w:rsidRPr="00D4761A">
        <w:t>FMR – funkční mitrální regurgitace</w:t>
      </w:r>
    </w:p>
    <w:p w14:paraId="5785EC19" w14:textId="77777777" w:rsidR="002F477B" w:rsidRPr="00D4761A" w:rsidRDefault="002F477B" w:rsidP="00597804">
      <w:r w:rsidRPr="00D4761A">
        <w:t>HFmrEF – heart failure with mildly reduced ejection fraction</w:t>
      </w:r>
    </w:p>
    <w:p w14:paraId="47BF693A" w14:textId="77777777" w:rsidR="002F477B" w:rsidRPr="00D4761A" w:rsidRDefault="002F477B" w:rsidP="00597804">
      <w:r w:rsidRPr="00D4761A">
        <w:t>HFpEF – heart failure with preserved ejection fraction</w:t>
      </w:r>
    </w:p>
    <w:p w14:paraId="1534B05D" w14:textId="77777777" w:rsidR="002F477B" w:rsidRPr="00D4761A" w:rsidRDefault="002F477B" w:rsidP="00597804">
      <w:r w:rsidRPr="00D4761A">
        <w:t>HFrEF – heart failure with reduced ejection fraction</w:t>
      </w:r>
    </w:p>
    <w:p w14:paraId="215E8E8B" w14:textId="77777777" w:rsidR="002F477B" w:rsidRPr="00D4761A" w:rsidRDefault="002F477B" w:rsidP="00597804">
      <w:r w:rsidRPr="00D4761A">
        <w:t>ICD – implantable cardioverter-defibrillator</w:t>
      </w:r>
    </w:p>
    <w:p w14:paraId="438F2B29" w14:textId="77777777" w:rsidR="002F477B" w:rsidRPr="00D4761A" w:rsidRDefault="002F477B" w:rsidP="00597804">
      <w:r w:rsidRPr="00D4761A">
        <w:t>INTERMACS – Interagency Registry for Mechanically Assisted Circulatory Support</w:t>
      </w:r>
    </w:p>
    <w:p w14:paraId="6677945E" w14:textId="77777777" w:rsidR="002F477B" w:rsidRPr="00D4761A" w:rsidRDefault="002F477B" w:rsidP="00597804">
      <w:r w:rsidRPr="00D4761A">
        <w:t>IQR – interquartile range</w:t>
      </w:r>
    </w:p>
    <w:p w14:paraId="1483B723" w14:textId="77777777" w:rsidR="002F477B" w:rsidRPr="00D4761A" w:rsidRDefault="002F477B" w:rsidP="00597804">
      <w:r w:rsidRPr="00D4761A">
        <w:t>KCCQ – Kansas City Cardiomyopathy Questionnaire</w:t>
      </w:r>
    </w:p>
    <w:p w14:paraId="1C157D27" w14:textId="77777777" w:rsidR="002F477B" w:rsidRPr="00D4761A" w:rsidRDefault="002F477B" w:rsidP="00597804">
      <w:r w:rsidRPr="00D4761A">
        <w:t>LBBB – left bundle branch block</w:t>
      </w:r>
    </w:p>
    <w:p w14:paraId="7F6F06EC" w14:textId="77777777" w:rsidR="002F477B" w:rsidRPr="00D4761A" w:rsidRDefault="002F477B" w:rsidP="00597804">
      <w:r w:rsidRPr="00D4761A">
        <w:t>LK – levá komora</w:t>
      </w:r>
    </w:p>
    <w:p w14:paraId="6169900E" w14:textId="77777777" w:rsidR="002F477B" w:rsidRPr="00D4761A" w:rsidRDefault="002F477B" w:rsidP="00597804">
      <w:r w:rsidRPr="00D4761A">
        <w:t>LVAD – left ventricular assist device</w:t>
      </w:r>
    </w:p>
    <w:p w14:paraId="29C860C0" w14:textId="77777777" w:rsidR="002F477B" w:rsidRPr="00D4761A" w:rsidRDefault="002F477B" w:rsidP="00597804">
      <w:r w:rsidRPr="00D4761A">
        <w:t>MMR – Moravian Midlands Registry</w:t>
      </w:r>
    </w:p>
    <w:p w14:paraId="07345C4D" w14:textId="77777777" w:rsidR="002F477B" w:rsidRPr="00D4761A" w:rsidRDefault="002F477B" w:rsidP="00597804">
      <w:r w:rsidRPr="00D4761A">
        <w:t>MRA – antagonisté mineralokortikoidních receptorů</w:t>
      </w:r>
    </w:p>
    <w:p w14:paraId="7EC5B270" w14:textId="77777777" w:rsidR="002F477B" w:rsidRPr="00D4761A" w:rsidRDefault="002F477B" w:rsidP="00597804">
      <w:r w:rsidRPr="00D4761A">
        <w:t>MSP – mechanické srdeční podpory</w:t>
      </w:r>
    </w:p>
    <w:p w14:paraId="015B62EF" w14:textId="77777777" w:rsidR="002F477B" w:rsidRPr="00D4761A" w:rsidRDefault="002F477B" w:rsidP="00597804">
      <w:r w:rsidRPr="00D4761A">
        <w:lastRenderedPageBreak/>
        <w:t>N/A – not applicable</w:t>
      </w:r>
    </w:p>
    <w:p w14:paraId="29EF220C" w14:textId="77777777" w:rsidR="002F477B" w:rsidRPr="00D4761A" w:rsidRDefault="002F477B" w:rsidP="00597804">
      <w:r w:rsidRPr="00D4761A">
        <w:t>NNT – number needed to treat</w:t>
      </w:r>
    </w:p>
    <w:p w14:paraId="55F9FB2E" w14:textId="77777777" w:rsidR="002F477B" w:rsidRPr="00D4761A" w:rsidRDefault="002F477B" w:rsidP="00597804">
      <w:r w:rsidRPr="00D4761A">
        <w:t>NYHA – New York Heart Association</w:t>
      </w:r>
    </w:p>
    <w:p w14:paraId="7225EA5D" w14:textId="77777777" w:rsidR="002F477B" w:rsidRPr="00D4761A" w:rsidRDefault="002F477B" w:rsidP="00597804">
      <w:r w:rsidRPr="00D4761A">
        <w:t>PASP – pulmonary artery systolic pressure</w:t>
      </w:r>
    </w:p>
    <w:p w14:paraId="339CE16E" w14:textId="77777777" w:rsidR="002F477B" w:rsidRPr="00D4761A" w:rsidRDefault="002F477B" w:rsidP="00597804">
      <w:r w:rsidRPr="00D4761A">
        <w:t>PCI – percutaneous coronary intervention</w:t>
      </w:r>
    </w:p>
    <w:p w14:paraId="2481052A" w14:textId="77777777" w:rsidR="002F477B" w:rsidRPr="00D4761A" w:rsidRDefault="002F477B" w:rsidP="00597804">
      <w:r w:rsidRPr="00D4761A">
        <w:t>RBBB – right bundle branch block</w:t>
      </w:r>
    </w:p>
    <w:p w14:paraId="04AFEBB0" w14:textId="77777777" w:rsidR="002F477B" w:rsidRPr="00D4761A" w:rsidRDefault="002F477B" w:rsidP="00597804">
      <w:r w:rsidRPr="00D4761A">
        <w:t>SD – standard deviation</w:t>
      </w:r>
    </w:p>
    <w:p w14:paraId="6BF160BA" w14:textId="77777777" w:rsidR="002F477B" w:rsidRPr="00D4761A" w:rsidRDefault="002F477B" w:rsidP="00597804">
      <w:r w:rsidRPr="00D4761A">
        <w:t>SGLT2 – sodium-glucose co-transporter 2 inhibitors (glifloziny)</w:t>
      </w:r>
    </w:p>
    <w:p w14:paraId="2618BCB4" w14:textId="77777777" w:rsidR="002F477B" w:rsidRPr="00D4761A" w:rsidRDefault="002F477B" w:rsidP="00597804">
      <w:r w:rsidRPr="00D4761A">
        <w:t>SMR – sekundární mitrální regurgitace</w:t>
      </w:r>
    </w:p>
    <w:p w14:paraId="45F8512E" w14:textId="77777777" w:rsidR="00AF5A33" w:rsidRPr="00D4761A" w:rsidRDefault="00AF5A33" w:rsidP="006208B9">
      <w:pPr>
        <w:pStyle w:val="Nadpis1"/>
      </w:pPr>
      <w:bookmarkStart w:id="70" w:name="_Toc120547470"/>
      <w:r w:rsidRPr="00D4761A">
        <w:lastRenderedPageBreak/>
        <w:t>Literatura</w:t>
      </w:r>
      <w:bookmarkEnd w:id="70"/>
    </w:p>
    <w:p w14:paraId="624F39C9" w14:textId="6536CC3B"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rPr>
        <w:t xml:space="preserve">Táborský M, Skála T, Lazárová M, Aiglová R, Špinar J, Špinarová L, Vítovec J, Kautzner J, Melenovský V, Málek F, Dušek L, Jarkovský J, Benešová K, Vícha M, Linhart A. Trends in the treatment and survival of heart failure patients: </w:t>
      </w:r>
      <w:r w:rsidR="00672ED4" w:rsidRPr="00D4761A">
        <w:rPr>
          <w:rFonts w:cstheme="minorHAnsi"/>
          <w:noProof/>
          <w:szCs w:val="24"/>
        </w:rPr>
        <w:t>a </w:t>
      </w:r>
      <w:r w:rsidRPr="00D4761A">
        <w:rPr>
          <w:rFonts w:cstheme="minorHAnsi"/>
          <w:noProof/>
          <w:szCs w:val="24"/>
        </w:rPr>
        <w:t xml:space="preserve">nationwide population-based study in the Czech Republic. </w:t>
      </w:r>
      <w:r w:rsidRPr="00D4761A">
        <w:rPr>
          <w:rFonts w:cstheme="minorHAnsi"/>
          <w:noProof/>
          <w:szCs w:val="24"/>
          <w:lang w:val="en-US"/>
        </w:rPr>
        <w:t>ESC Heart Fail. 2021 Oct;8(5):3800-3808. doi: 10.1002/ehf2.13559. Epub 2021 Aug 19. PMID: 34409755; PMCID: PMC8497329.</w:t>
      </w:r>
    </w:p>
    <w:p w14:paraId="1468B953" w14:textId="0C61123B"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 xml:space="preserve">van Riet EE, Hoes AW, Wagenaar KP, Limburg A, Landman MA, Rutten FH. Epidemiology of heart failure: the prevalence of heart failure and ventricular dysfunction in older adults over time. </w:t>
      </w:r>
      <w:r w:rsidR="00672ED4" w:rsidRPr="00D4761A">
        <w:rPr>
          <w:rFonts w:cstheme="minorHAnsi"/>
          <w:noProof/>
          <w:szCs w:val="24"/>
          <w:lang w:val="en-US"/>
        </w:rPr>
        <w:t>A </w:t>
      </w:r>
      <w:r w:rsidRPr="00D4761A">
        <w:rPr>
          <w:rFonts w:cstheme="minorHAnsi"/>
          <w:noProof/>
          <w:szCs w:val="24"/>
          <w:lang w:val="en-US"/>
        </w:rPr>
        <w:t>systematic review. Eur J Heart Fail. 2016 Mar;18(3):242-52. doi: 10.1002/ejhf.483. Epub 2016 Jan 4. PMID: 26727047.</w:t>
      </w:r>
    </w:p>
    <w:p w14:paraId="109A6ECF"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Chioncel O, Lainscak M, Seferovic PM, Anker SD, Crespo-Leiro MG, Harjola VP, Parissis J, Laroche C, Piepoli MF, Fonseca C, Mebazaa A, Lund L, Ambrosio GA, Coats AJ, Ferrari R, Ruschitzka F, Maggioni AP, Filippatos G. Epidemiology and one-year outcomes in patients with chronic heart failure and preserved, mid-range and reduced ejection fraction: an analysis of the ESC Heart Failure Long-Term Registry. Eur J Heart Fail. 2017 Dec;19(12):1574-1585. doi: 10.1002/ejhf.813. Epub 2017 Apr 6. PMID: 28386917.</w:t>
      </w:r>
    </w:p>
    <w:p w14:paraId="0F99C3E2" w14:textId="448C87C5"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 xml:space="preserve">Spinar J, Spinarova L, Malek F, Ludka O, Krejci J, Ostadal P, Vondrakova D, Labr K, Spinarova M, Pavkova Goldbergova M, Benesova K, Jarkovsky J, Parenica J. Prognostic value of NT-proBNP added to clinical parameters to predict two-year prognosis of chronic heart failure patients with mid-range and reduced ejection fraction - </w:t>
      </w:r>
      <w:r w:rsidR="00672ED4" w:rsidRPr="00D4761A">
        <w:rPr>
          <w:rFonts w:cstheme="minorHAnsi"/>
          <w:noProof/>
          <w:szCs w:val="24"/>
          <w:lang w:val="en-US"/>
        </w:rPr>
        <w:t>A </w:t>
      </w:r>
      <w:r w:rsidRPr="00D4761A">
        <w:rPr>
          <w:rFonts w:cstheme="minorHAnsi"/>
          <w:noProof/>
          <w:szCs w:val="24"/>
          <w:lang w:val="en-US"/>
        </w:rPr>
        <w:t>report from FAR NHL prospective registry. PLoS One. 2019 Mar 26;14(3):e0214363. doi: 10.1371/journal.pone.0214363. PMID: 30913251; PMCID: PMC6435170.</w:t>
      </w:r>
    </w:p>
    <w:p w14:paraId="18FC6FEC" w14:textId="3ABB6218"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 xml:space="preserve">Jhund PS, Macintyre K, Simpson CR, Lewsey JD, Stewart S, Redpath A, Chalmers JW, Capewell S, McMurray JJ. Long-term trends in first hospitalization for heart failure and subsequent survival between 1986 and 2003: </w:t>
      </w:r>
      <w:r w:rsidR="00672ED4" w:rsidRPr="00D4761A">
        <w:rPr>
          <w:rFonts w:cstheme="minorHAnsi"/>
          <w:noProof/>
          <w:szCs w:val="24"/>
          <w:lang w:val="en-US"/>
        </w:rPr>
        <w:t>a </w:t>
      </w:r>
      <w:r w:rsidRPr="00D4761A">
        <w:rPr>
          <w:rFonts w:cstheme="minorHAnsi"/>
          <w:noProof/>
          <w:szCs w:val="24"/>
          <w:lang w:val="en-US"/>
        </w:rPr>
        <w:t>population study of 5.1 million people. Circulation. 2009 Feb 3;119(4):515-23. doi: 10.1161/CIRCULATIONAHA.108.812172. Epub 2009 Jan 19. PMID: 19153268.</w:t>
      </w:r>
    </w:p>
    <w:p w14:paraId="275E7AC4"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 xml:space="preserve">McDonagh TA, Metra M, Adamo M, Gardner RS, Baumbach A, Böhm M, Burri H, Butler J, Čelutkienė J, Chioncel O, Cleland JGF, Coats AJS, Crespo-Leiro MG, Farmakis D, Gilard M, Heymans S, Hoes AW, Jaarsma T, Jankowska EA, Lainscak M, Lam CSP, Lyon AR, McMurray </w:t>
      </w:r>
      <w:r w:rsidRPr="00D4761A">
        <w:rPr>
          <w:rFonts w:cstheme="minorHAnsi"/>
          <w:noProof/>
          <w:szCs w:val="24"/>
          <w:lang w:val="en-US"/>
        </w:rPr>
        <w:lastRenderedPageBreak/>
        <w:t>JJV, Mebazaa A, Mindham R, Muneretto C, Francesco Piepoli M, Price S, Rosano GMC, Ruschitzka F, Kathrine Skibelund A; ESC Scientific Document Group. 2021 ESC Guidelines for the diagnosis and treatment of acute and chronic heart failure. Eur Heart J. 2021 Sep 21;42(36):3599-3726. doi: 10.1093/eurheartj/ehab368. Erratum in: Eur Heart J. 2021 Oct 14;: PMID: 34447992.</w:t>
      </w:r>
    </w:p>
    <w:p w14:paraId="6E98765C" w14:textId="56C6F38E"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 xml:space="preserve">Heidenreich PA, Bozkurt B, Aguilar D, Allen LA, Byun JJ, Colvin MM, Deswal A, Drazner MH, Dunlay SM, Evers LR, Fang JC, Fedson SE, Fonarow GC, Hayek SS, Hernandez AF, Khazanie P, Kittleson MM, Lee CS, Link MS, Milano CA, Nnacheta LC, Sandhu AT, Stevenson LW, Vardeny O, Vest AR, Yancy CW. 2022 AHA/ACC/HFSA Guideline for the Management of Heart Failure: </w:t>
      </w:r>
      <w:r w:rsidR="00672ED4" w:rsidRPr="00D4761A">
        <w:rPr>
          <w:rFonts w:cstheme="minorHAnsi"/>
          <w:noProof/>
          <w:szCs w:val="24"/>
          <w:lang w:val="en-US"/>
        </w:rPr>
        <w:t>A </w:t>
      </w:r>
      <w:r w:rsidRPr="00D4761A">
        <w:rPr>
          <w:rFonts w:cstheme="minorHAnsi"/>
          <w:noProof/>
          <w:szCs w:val="24"/>
          <w:lang w:val="en-US"/>
        </w:rPr>
        <w:t>Report of the American College of Cardiology/American Heart Association Joint Committee on Clinical Practice Guidelines. Circulation. 2022 May 3;145(18):e895-e1032. doi: 10.1161/CIR.0000000000001063. Epub 2022 Apr 1. Erratum in: Circulation. 2022 May 3;145(18):e1033. Erratum in: Circulation. 2022 Sep 27;146(13):e185. PMID: 35363499.</w:t>
      </w:r>
    </w:p>
    <w:p w14:paraId="6A019A5C"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Effect of metoprolol CR/XL in chronic heart failure: Metoprolol CR/XL Randomised Intervention Trial in Congestive Heart Failure (MERIT-HF). Lancet. 1999 Jun 12;353(9169):2001-7. PMID: 10376614.</w:t>
      </w:r>
    </w:p>
    <w:p w14:paraId="5A8BADD6"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Packer M, Bristow MR, Cohn JN, Colucci WS, Fowler MB, Gilbert EM, Shusterman NH. The effect of carvedilol on morbidity and mortality in patients with chronic heart failure. U.S. Carvedilol Heart Failure Study Group. N Engl J Med. 1996 May 23;334(21):1349-55. doi: 10.1056/NEJM199605233342101. PMID: 8614419.</w:t>
      </w:r>
    </w:p>
    <w:p w14:paraId="3B98D298"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Packer M, Coats AJ, Fowler MB, Katus HA, Krum H, Mohacsi P, Rouleau JL, Tendera M, Castaigne A, Roecker EB, Schultz MK, DeMets DL; Carvedilol Prospective Randomized Cumulative Survival Study Group. Effect of carvedilol on survival in severe chronic heart failure. N Engl J Med. 2001 May 31;344(22):1651-8. doi: 10.1056/NEJM200105313442201. PMID: 11386263.</w:t>
      </w:r>
    </w:p>
    <w:p w14:paraId="70D3E19D"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 xml:space="preserve">Hjalmarson A, Goldstein S, Fagerberg B, Wedel H, Waagstein F, Kjekshus J, Wikstrand J, El Allaf D, Vítovec J, Aldershvile J, Halinen M, Dietz R, Neuhaus KL, Jánosi A, Thorgeirsson G, Dunselman PH, Gullestad L, Kuch J, Herlitz J, Rickenbacher P, Ball S, Gottlieb S, Deedwania P. Effects of controlled-release metoprolol on total mortality, hospitalizations, and well-being in patients with heart failure: the Metoprolol CR/XL Randomized Intervention Trial </w:t>
      </w:r>
      <w:r w:rsidRPr="00D4761A">
        <w:rPr>
          <w:rFonts w:cstheme="minorHAnsi"/>
          <w:noProof/>
          <w:szCs w:val="24"/>
          <w:lang w:val="en-US"/>
        </w:rPr>
        <w:lastRenderedPageBreak/>
        <w:t>in congestive heart failure (MERIT-HF). MERIT-HF Study Group. JAMA. 2000 Mar 8;283(10):1295-302. doi: 10.1001/jama.283.10.1295. PMID: 10714728.</w:t>
      </w:r>
    </w:p>
    <w:p w14:paraId="0B83406B"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Packer M, Fowler MB, Roecker EB, Coats AJ, Katus HA, Krum H, Mohacsi P, Rouleau JL, Tendera M, Staiger C, Holcslaw TL, Amann-Zalan I, DeMets DL; Carvedilol Prospective Randomized Cumulative Survival (COPERNICUS) Study Group. Effect of carvedilol on the morbidity of patients with severe chronic heart failure: results of the carvedilol prospective randomized cumulative survival (COPERNICUS) study. Circulation. 2002 Oct 22;106(17):2194-9. doi: 10.1161/01.cir.0000035653.72855.bf. PMID: 12390947.</w:t>
      </w:r>
    </w:p>
    <w:p w14:paraId="454B106D"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Flather MD, Shibata MC, Coats AJ, Van Veldhuisen DJ, Parkhomenko A, Borbola J, Cohen-Solal A, Dumitrascu D, Ferrari R, Lechat P, Soler-Soler J, Tavazzi L, Spinarova L, Toman J, Böhm M, Anker SD, Thompson SG, Poole-Wilson PA; SENIORS Investigators. Randomized trial to determine the effect of nebivolol on mortality and cardiovascular hospital admission in elderly patients with heart failure (SENIORS). Eur Heart J. 2005 Feb;26(3):215-25. doi: 10.1093/eurheartj/ehi115. Epub 2005 Jan 9. PMID: 15642700.</w:t>
      </w:r>
    </w:p>
    <w:p w14:paraId="6BC21158" w14:textId="23E5ABFE"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 xml:space="preserve">The Cardiac Insufficiency Bisoprolol Study II (CIBIS-II): </w:t>
      </w:r>
      <w:r w:rsidR="00672ED4" w:rsidRPr="00D4761A">
        <w:rPr>
          <w:rFonts w:cstheme="minorHAnsi"/>
          <w:noProof/>
          <w:szCs w:val="24"/>
          <w:lang w:val="en-US"/>
        </w:rPr>
        <w:t>a </w:t>
      </w:r>
      <w:r w:rsidRPr="00D4761A">
        <w:rPr>
          <w:rFonts w:cstheme="minorHAnsi"/>
          <w:noProof/>
          <w:szCs w:val="24"/>
          <w:lang w:val="en-US"/>
        </w:rPr>
        <w:t>randomised trial. Lancet. 1999 Jan 2;353(9146):9-13. PMID: 10023943.</w:t>
      </w:r>
    </w:p>
    <w:p w14:paraId="0F203E74"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Willenheimer R, van Veldhuisen DJ, Silke B, Erdmann E, Follath F, Krum H, Ponikowski P, Skene A, van de Ven L, Verkenne P, Lechat P; CIBIS III Investigators. Effect on survival and hospitalization of initiating treatment for chronic heart failure with bisoprolol followed by enalapril, as compared with the opposite sequence: results of the randomized Cardiac Insufficiency Bisoprolol Study (CIBIS) III. Circulation. 2005 Oct 18;112(16):2426-35. doi: 10.1161/CIRCULATIONAHA.105.582320. Epub 2005 Sep 4. PMID: 16143696.</w:t>
      </w:r>
    </w:p>
    <w:p w14:paraId="6308A7C1"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Kotecha D, Holmes J, Krum H, Altman DG, Manzano L, Cleland JG, Lip GY, Coats AJ, Andersson B, Kirchhof P, von Lueder TG, Wedel H, Rosano G, Shibata MC, Rigby A, Flather MD; Beta-Blockers in Heart Failure Collaborative Group. Efficacy of β blockers in patients with heart failure plus atrial fibrillation: an individual-patient data meta-analysis. Lancet. 2014 Dec 20;384(9961):2235-43. doi: 10.1016/S0140-6736(14)61373-8. Epub 2014 Sep 2. PMID: 25193873.</w:t>
      </w:r>
    </w:p>
    <w:p w14:paraId="5E18791E"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CONSENSUS Trial Study Group. Effects of enalapril on mortality in severe congestive heart failure. Results of the Cooperative North Scandinavian Enalapril Survival Study (CONSENSUS). N Engl J Med. 1987 Jun 4;316(23):1429-35. doi: 10.1056/NEJM198706043162301. PMID: 2883575.</w:t>
      </w:r>
    </w:p>
    <w:p w14:paraId="6BEB6437"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lastRenderedPageBreak/>
        <w:t>SOLVD Investigators, Yusuf S, Pitt B, Davis CE, Hood WB, Cohn JN. Effect of enalapril on survival in patients with reduced left ventricular ejection fractions and congestive heart failure. N Engl J Med. 1991 Aug 1;325(5):293-302. doi: 10.1056/NEJM199108013250501. PMID: 2057034.</w:t>
      </w:r>
    </w:p>
    <w:p w14:paraId="40707689"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Granger CB, McMurray JJ, Yusuf S, Held P, Michelson EL, Olofsson B, Ostergren J, Pfeffer MA, Swedberg K; CHARM Investigators and Committees. Effects of candesartan in patients with chronic heart failure and reduced left-ventricular systolic function intolerant to angiotensin-converting-enzyme inhibitors: the CHARM-Alternative trial. Lancet. 2003 Sep 6;362(9386):772-6. doi: 10.1016/S0140-6736(03)14284-5. PMID: 13678870.</w:t>
      </w:r>
    </w:p>
    <w:p w14:paraId="3580369E"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Pitt B, Zannad F, Remme WJ, Cody R, Castaigne A, Perez A, Palensky J, Wittes J. The effect of spironolactone on morbidity and mortality in patients with severe heart failure. Randomized Aldactone Evaluation Study Investigators. N Engl J Med. 1999 Sep 2;341(10):709-17. doi: 10.1056/NEJM199909023411001. PMID: 10471456.</w:t>
      </w:r>
    </w:p>
    <w:p w14:paraId="12BC24DE"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Zannad F, McMurray JJ, Krum H, van Veldhuisen DJ, Swedberg K, Shi H, Vincent J, Pocock SJ, Pitt B; EMPHASIS-HF Study Group. Eplerenone in patients with systolic heart failure and mild symptoms. N Engl J Med. 2011 Jan 6;364(1):11-21. doi: 10.1056/NEJMoa1009492. Epub 2010 Nov 14. PMID: 21073363.</w:t>
      </w:r>
    </w:p>
    <w:p w14:paraId="56DF077A" w14:textId="77777777" w:rsidR="00AF5A33" w:rsidRPr="00D4761A" w:rsidRDefault="00AF5A33" w:rsidP="00AF5A33">
      <w:pPr>
        <w:pStyle w:val="Odstavecseseznamem"/>
        <w:numPr>
          <w:ilvl w:val="0"/>
          <w:numId w:val="10"/>
        </w:numPr>
        <w:ind w:left="426" w:hanging="426"/>
        <w:rPr>
          <w:rFonts w:cstheme="minorHAnsi"/>
          <w:noProof/>
          <w:szCs w:val="24"/>
          <w:lang w:val="en-US"/>
        </w:rPr>
      </w:pPr>
      <w:bookmarkStart w:id="71" w:name="_Hlk119365276"/>
      <w:r w:rsidRPr="00D4761A">
        <w:rPr>
          <w:rFonts w:cstheme="minorHAnsi"/>
          <w:noProof/>
          <w:szCs w:val="24"/>
          <w:lang w:val="en-US"/>
        </w:rPr>
        <w:t>McMurray JJ, Packer M, Desai AS, Gong J, Lefkowitz MP, Rizkala AR, Rouleau JL, Shi VC, Solomon SD, Swedberg K, Zile MR; PARADIGM-HF Investigators and Committees. Angiotensin-neprilysin inhibition versus enalapril in heart failure. N Engl J Med. 2014 Sep 11;371(11):993-1004. doi: 10.1056/NEJMoa1409077. Epub 2014 Aug 30. PMID: 25176015.</w:t>
      </w:r>
    </w:p>
    <w:bookmarkEnd w:id="71"/>
    <w:p w14:paraId="452EC151"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Velazquez EJ, Morrow DA, DeVore AD, Duffy CI, Ambrosy AP, McCague K, Rocha R, Braunwald E; PIONEER-HF Investigators. Angiotensin-Neprilysin Inhibition in Acute Decompensated Heart Failure. N Engl J Med. 2019 Feb 7;380(6):539-548. doi: 10.1056/NEJMoa1812851. Epub 2018 Nov 11. Erratum in: N Engl J Med. 2019 Mar 14;380(11):1090. PMID: 30415601.</w:t>
      </w:r>
    </w:p>
    <w:p w14:paraId="2DBB0CC7" w14:textId="0DDC2515"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 xml:space="preserve">Wachter R, Senni M, Belohlavek J, Straburzynska-Migaj E, Witte KK, Kobalava Z, Fonseca C, Goncalvesova E, Cavusoglu Y, Fernandez A, Chaaban S, Bøhmer E, Pouleur AC, Mueller C, Tribouilloy C, Lonn E, </w:t>
      </w:r>
      <w:r w:rsidR="00672ED4" w:rsidRPr="00D4761A">
        <w:rPr>
          <w:rFonts w:cstheme="minorHAnsi"/>
          <w:noProof/>
          <w:szCs w:val="24"/>
          <w:lang w:val="en-US"/>
        </w:rPr>
        <w:t>A </w:t>
      </w:r>
      <w:r w:rsidRPr="00D4761A">
        <w:rPr>
          <w:rFonts w:cstheme="minorHAnsi"/>
          <w:noProof/>
          <w:szCs w:val="24"/>
          <w:lang w:val="en-US"/>
        </w:rPr>
        <w:t xml:space="preserve">L Buraiki J, Gniot J, Mozheiko M, Lelonek M, Noè A, Schwende H, Bao W, Butylin D, Pascual-Figal D; TRANSITION Investigators. Initiation of sacubitril/valsartan in haemodynamically stabilised heart failure patients in hospital or </w:t>
      </w:r>
      <w:r w:rsidRPr="00D4761A">
        <w:rPr>
          <w:rFonts w:cstheme="minorHAnsi"/>
          <w:noProof/>
          <w:szCs w:val="24"/>
          <w:lang w:val="en-US"/>
        </w:rPr>
        <w:lastRenderedPageBreak/>
        <w:t>early after discharge: primary results of the randomised TRANSITION study. Eur J Heart Fail. 2019 Aug;21(8):998-1007. doi: 10.1002/ejhf.1498. Epub 2019 May 27. PMID: 31134724.</w:t>
      </w:r>
    </w:p>
    <w:p w14:paraId="7BE60BA6"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Zinman B, Wanner C, Lachin JM, Fitchett D, Bluhmki E, Hantel S, Mattheus M, Devins T, Johansen OE, Woerle HJ, Broedl UC, Inzucchi SE; EMPA-REG OUTCOME Investigators. Empagliflozin, Cardiovascular Outcomes, and Mortality in Type 2 Diabetes. N Engl J Med. 2015 Nov 26;373(22):2117-28. doi: 10.1056/NEJMoa1504720. Epub 2015 Sep 17. PMID: 26378978.</w:t>
      </w:r>
    </w:p>
    <w:p w14:paraId="4359EBF2"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McMurray JJV, Solomon SD, Inzucchi SE, Køber L, Kosiborod MN, Martinez FA, Ponikowski P, Sabatine MS, Anand IS, Bělohlávek J, Böhm M, Chiang CE, Chopra VK, de Boer RA, Desai AS, Diez M, Drozdz J, Dukát A, Ge J, Howlett JG, Katova T, Kitakaze M, Ljungman CEA, Merkely B, Nicolau JC, O'Meara E, Petrie MC, Vinh PN, Schou M, Tereshchenko S, Verma S, Held C, DeMets DL, Docherty KF, Jhund PS, Bengtsson O, Sjöstrand M, Langkilde AM; DAPA-HF Trial Committees and Investigators. Dapagliflozin in Patients with Heart Failure and Reduced Ejection Fraction. N Engl J Med. 2019 Nov 21;381(21):1995-2008. doi: 10.1056/NEJMoa1911303. Epub 2019 Sep 19. PMID: 31535829.</w:t>
      </w:r>
    </w:p>
    <w:p w14:paraId="6BBD7A81"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Packer M, Anker SD, Butler J, Filippatos G, Pocock SJ, Carson P, Januzzi J, Verma S, Tsutsui H, Brueckmann M, Jamal W, Kimura K, Schnee J, Zeller C, Cotton D, Bocchi E, Böhm M, Choi DJ, Chopra V, Chuquiure E, Giannetti N, Janssens S, Zhang J, Gonzalez Juanatey JR, Kaul S, Brunner-La Rocca HP, Merkely B, Nicholls SJ, Perrone S, Pina I, Ponikowski P, Sattar N, Senni M, Seronde MF, Spinar J, Squire I, Taddei S, Wanner C, Zannad F; EMPEROR-Reduced Trial Investigators. Cardiovascular and Renal Outcomes with Empagliflozin in Heart Failure. N Engl J Med. 2020 Oct 8;383(15):1413-1424. doi: 10.1056/NEJMoa2022190. Epub 2020 Aug 28. PMID: 32865377.</w:t>
      </w:r>
    </w:p>
    <w:p w14:paraId="5F118DAA"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Taylor AL, Ziesche S, Yancy C, Carson P, D'Agostino R Jr, Ferdinand K, Taylor M, Adams K, Sabolinski M, Worcel M, Cohn JN; African-American Heart Failure Trial Investigators. Combination of isosorbide dinitrate and hydralazine in blacks with heart failure. N Engl J Med. 2004 Nov 11;351(20):2049-57. doi: 10.1056/NEJMoa042934. Epub 2004 Nov 8. Erratum in: N Engl J Med. 2005 Mar 24;352(12):1276. PMID: 15533851.</w:t>
      </w:r>
    </w:p>
    <w:p w14:paraId="3F7494B0"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 xml:space="preserve">Armstrong PW, Pieske B, Anstrom KJ, Ezekowitz J, Hernandez AF, Butler J, Lam CSP, Ponikowski P, Voors AA, Jia G, McNulty SE, Patel MJ, Roessig L, Koglin J, O'Connor CM; VICTORIA Study Group. Vericiguat in Patients with Heart Failure and Reduced Ejection </w:t>
      </w:r>
      <w:r w:rsidRPr="00D4761A">
        <w:rPr>
          <w:rFonts w:cstheme="minorHAnsi"/>
          <w:noProof/>
          <w:szCs w:val="24"/>
          <w:lang w:val="en-US"/>
        </w:rPr>
        <w:lastRenderedPageBreak/>
        <w:t>Fraction. N Engl J Med. 2020 May 14;382(20):1883-1893. doi: 10.1056/NEJMoa1915928. Epub 2020 Mar 28. PMID: 32222134.</w:t>
      </w:r>
    </w:p>
    <w:p w14:paraId="76790D49" w14:textId="790D3370"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 xml:space="preserve">Swedberg K, Komajda M, Böhm M, Borer JS, Ford I, Dubost-Brama A, Lerebours G, Tavazzi L; SHIFT Investigators. Ivabradine and outcomes in chronic heart failure (SHIFT): </w:t>
      </w:r>
      <w:r w:rsidR="00672ED4" w:rsidRPr="00D4761A">
        <w:rPr>
          <w:rFonts w:cstheme="minorHAnsi"/>
          <w:noProof/>
          <w:szCs w:val="24"/>
          <w:lang w:val="en-US"/>
        </w:rPr>
        <w:t>a </w:t>
      </w:r>
      <w:r w:rsidRPr="00D4761A">
        <w:rPr>
          <w:rFonts w:cstheme="minorHAnsi"/>
          <w:noProof/>
          <w:szCs w:val="24"/>
          <w:lang w:val="en-US"/>
        </w:rPr>
        <w:t xml:space="preserve">randomised placebo-controlled study. Lancet. 2010 Sep 11;376(9744):875-85. doi: 10.1016/S0140-6736(10)61198-1. Erratum in: Lancet. 2010 Dec 11;376(9757):1988. Lajnscak, M [corrected to Lainscak, M]; Rabanedo, </w:t>
      </w:r>
      <w:r w:rsidR="00672ED4" w:rsidRPr="00D4761A">
        <w:rPr>
          <w:rFonts w:cstheme="minorHAnsi"/>
          <w:noProof/>
          <w:szCs w:val="24"/>
          <w:lang w:val="en-US"/>
        </w:rPr>
        <w:t>I </w:t>
      </w:r>
      <w:r w:rsidRPr="00D4761A">
        <w:rPr>
          <w:rFonts w:cstheme="minorHAnsi"/>
          <w:noProof/>
          <w:szCs w:val="24"/>
          <w:lang w:val="en-US"/>
        </w:rPr>
        <w:t xml:space="preserve">Roldan [corrected to Rabadán, </w:t>
      </w:r>
      <w:r w:rsidR="00672ED4" w:rsidRPr="00D4761A">
        <w:rPr>
          <w:rFonts w:cstheme="minorHAnsi"/>
          <w:noProof/>
          <w:szCs w:val="24"/>
          <w:lang w:val="en-US"/>
        </w:rPr>
        <w:t>I </w:t>
      </w:r>
      <w:r w:rsidRPr="00D4761A">
        <w:rPr>
          <w:rFonts w:cstheme="minorHAnsi"/>
          <w:noProof/>
          <w:szCs w:val="24"/>
          <w:lang w:val="en-US"/>
        </w:rPr>
        <w:t>Roldan]; Leva, M [corrected to Ieva, M]. PMID: 20801500.</w:t>
      </w:r>
    </w:p>
    <w:p w14:paraId="1CFF9232"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Digitalis Investigation Group. The effect of digoxin on mortality and morbidity in patients with heart failure. N Engl J Med. 1997 Feb 20;336(8):525-33. doi: 10.1056/NEJM199702203360801. PMID: 9036306.</w:t>
      </w:r>
    </w:p>
    <w:p w14:paraId="13985891"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Teerlink JR, Diaz R, Felker GM, McMurray JJV, Metra M, Solomon SD, Adams KF, Anand I, Arias-Mendoza A, Biering-Sørensen T, Böhm M, Bonderman D, Cleland JGF, Corbalan R, Crespo-Leiro MG, Dahlström U, Echeverria LE, Fang JC, Filippatos G, Fonseca C, Goncalvesova E, Goudev AR, Howlett JG, Lanfear DE, Li J, Lund M, Macdonald P, Mareev V, Momomura SI, O'Meara E, Parkhomenko A, Ponikowski P, Ramires FJA, Serpytis P, Sliwa K, Spinar J, Suter TM, Tomcsanyi J, Vandekerckhove H, Vinereanu D, Voors AA, Yilmaz MB, Zannad F, Sharpsten L, Legg JC, Varin C, Honarpour N, Abbasi SA, Malik FI, Kurtz CE; GALACTIC-HF Investigators. Cardiac Myosin Activation with Omecamtiv Mecarbil in Systolic Heart Failure. N Engl J Med. 2021 Jan 14;384(2):105-116. doi: 10.1056/NEJMoa2025797. Epub 2020 Nov 13. PMID: 33185990.</w:t>
      </w:r>
    </w:p>
    <w:p w14:paraId="568A6254"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Silverberg DS, Wexler D, Blum M, Keren G, Sheps D, Leibovitch E, Brosh D, Laniado S, Schwartz D, Yachnin T, Shapira I, Gavish D, Baruch R, Koifman B, Kaplan C, Steinbruch S, Iaina A. The use of subcutaneous erythropoietin and intravenous iron for the treatment of the anemia of severe, resistant congestive heart failure improves cardiac and renal function and functional cardiac class, and markedly reduces hospitalizations. J Am Coll Cardiol. 2000 Jun;35(7):1737-44. doi: 10.1016/s0735-1097(00)00613-6. PMID: 10841219.</w:t>
      </w:r>
    </w:p>
    <w:p w14:paraId="15EB1E70"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Swedberg K, Young JB, Anand IS, Cheng S, Desai AS, Diaz R, Maggioni AP, McMurray JJ, O'Connor C, Pfeffer MA, Solomon SD, Sun Y, Tendera M, van Veldhuisen DJ; RED-HF Committees; RED-HF Investigators. Treatment of anemia with darbepoetin alfa in systolic heart failure. N Engl J Med. 2013 Mar 28;368(13):1210-9. doi: 10.1056/NEJMoa1214865. Epub 2013 Mar 10. PMID: 23473338.</w:t>
      </w:r>
    </w:p>
    <w:p w14:paraId="77FB7411"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lastRenderedPageBreak/>
        <w:t>Bolger AP, Bartlett FR, Penston HS, O'Leary J, Pollock N, Kaprielian R, Chapman CM. Intravenous iron alone for the treatment of anemia in patients with chronic heart failure. J Am Coll Cardiol. 2006 Sep 19;48(6):1225-7. doi: 10.1016/j.jacc.2006.07.015. Epub 2006 Aug 28. PMID: 16979010.</w:t>
      </w:r>
    </w:p>
    <w:p w14:paraId="04A0B806"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Anker SD, Comin Colet J, Filippatos G, Willenheimer R, Dickstein K, Drexler H, Lüscher TF, Bart B, Banasiak W, Niegowska J, Kirwan BA, Mori C, von Eisenhart Rothe B, Pocock SJ, Poole-Wilson PA, Ponikowski P; FAIR-HF Trial Investigators. Ferric carboxymaltose in patients with heart failure and iron deficiency. N Engl J Med. 2009 Dec 17;361(25):2436-48. doi: 10.1056/NEJMoa0908355. Epub 2009 Nov 17. PMID: 19920054.</w:t>
      </w:r>
    </w:p>
    <w:p w14:paraId="24C07DCC"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Ponikowski P, van Veldhuisen DJ, Comin-Colet J, Ertl G, Komajda M, Mareev V, McDonagh T, Parkhomenko A, Tavazzi L, Levesque V, Mori C, Roubert B, Filippatos G, Ruschitzka F, Anker SD; CONFIRM-HF Investigators. Beneficial effects of long-term intravenous iron therapy with ferric carboxymaltose in patients with symptomatic heart failure and iron deficiency†. Eur Heart J. 2015 Mar 14;36(11):657-68. doi: 10.1093/eurheartj/ehu385. Epub 2014 Aug 31. PMID: 25176939; PMCID: PMC4359359.</w:t>
      </w:r>
    </w:p>
    <w:p w14:paraId="07A6B6C2"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van Veldhuisen DJ, Ponikowski P, van der Meer P, Metra M, Böhm M, Doletsky A, Voors AA, Macdougall IC, Anker SD, Roubert B, Zakin L, Cohen-Solal A; EFFECT-HF Investigators. Effect of Ferric Carboxymaltose on Exercise Capacity in Patients With Chronic Heart Failure and Iron Deficiency. Circulation. 2017 Oct 10;136(15):1374-1383. doi: 10.1161/CIRCULATIONAHA.117.027497. Epub 2017 Jul 12. PMID: 28701470; PMCID: PMC5642327.</w:t>
      </w:r>
    </w:p>
    <w:p w14:paraId="21BDD412"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Dunkman WB, Johnson GR, Carson PE, Bhat G, Farrell L, Cohn JN. Incidence of thromboembolic events in congestive heart failure. The V-HeFT VA Cooperative Studies Group. Circulation. 1993 Jun;87(6 Suppl):VI94-101. PMID: 8500246.</w:t>
      </w:r>
    </w:p>
    <w:p w14:paraId="0A7D74BC" w14:textId="31B02521"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 xml:space="preserve">Cioffi G, Pozzoli M, Forni G, Franchini M, Opasich C, Cobelli F, Tavazzi L. Systemic thromboembolism in chronic heart failure. </w:t>
      </w:r>
      <w:r w:rsidR="00672ED4" w:rsidRPr="00D4761A">
        <w:rPr>
          <w:rFonts w:cstheme="minorHAnsi"/>
          <w:noProof/>
          <w:szCs w:val="24"/>
          <w:lang w:val="en-US"/>
        </w:rPr>
        <w:t>A </w:t>
      </w:r>
      <w:r w:rsidRPr="00D4761A">
        <w:rPr>
          <w:rFonts w:cstheme="minorHAnsi"/>
          <w:noProof/>
          <w:szCs w:val="24"/>
          <w:lang w:val="en-US"/>
        </w:rPr>
        <w:t>prospective study in 406 patients. Eur Heart J. 1996 Sep;17(9):1381-9. doi: 10.1093/oxfordjournals.eurheartj.a015073. PMID: 8880024.</w:t>
      </w:r>
    </w:p>
    <w:p w14:paraId="09F3FAA3" w14:textId="5D323353"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 xml:space="preserve">Al-Khadra AS, Salem DN, Rand WM, Udelson JE, Smith JJ, Konstam MA. Warfarin anticoagulation and survival: </w:t>
      </w:r>
      <w:r w:rsidR="00672ED4" w:rsidRPr="00D4761A">
        <w:rPr>
          <w:rFonts w:cstheme="minorHAnsi"/>
          <w:noProof/>
          <w:szCs w:val="24"/>
          <w:lang w:val="en-US"/>
        </w:rPr>
        <w:t>a </w:t>
      </w:r>
      <w:r w:rsidRPr="00D4761A">
        <w:rPr>
          <w:rFonts w:cstheme="minorHAnsi"/>
          <w:noProof/>
          <w:szCs w:val="24"/>
          <w:lang w:val="en-US"/>
        </w:rPr>
        <w:t>cohort analysis from the Studies of Left Ventricular Dysfunction. J Am Coll Cardiol. 1998 Mar 15;31(4):749-53. doi: 10.1016/s0735-1097(98)00006-0. PMID: 9525542.</w:t>
      </w:r>
    </w:p>
    <w:p w14:paraId="6FE2E460"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lastRenderedPageBreak/>
        <w:t>Massie BM, Collins JF, Ammon SE, Armstrong PW, Cleland JG, Ezekowitz M, Jafri SM, Krol WF, O'Connor CM, Schulman KA, Teo K, Warren SR; WATCH Trial Investigators. Randomized trial of warfarin, aspirin, and clopidogrel in patients with chronic heart failure: the Warfarin and Antiplatelet Therapy in Chronic Heart Failure (WATCH) trial. Circulation. 2009 Mar 31;119(12):1616-24. doi: 10.1161/CIRCULATIONAHA.108.801753. Epub 2009 Mar 16. PMID: 19289640.</w:t>
      </w:r>
    </w:p>
    <w:p w14:paraId="6E603AAC"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Homma S, Thompson JL, Pullicino PM, Levin B, Freudenberger RS, Teerlink JR, Ammon SE, Graham S, Sacco RL, Mann DL, Mohr JP, Massie BM, Labovitz AJ, Anker SD, Lok DJ, Ponikowski P, Estol CJ, Lip GY, Di Tullio MR, Sanford AR, Mejia V, Gabriel AP, del Valle ML, Buchsbaum R; WARCEF Investigators. Warfarin and aspirin in patients with heart failure and sinus rhythm. N Engl J Med. 2012 May 17;366(20):1859-69. doi: 10.1056/NEJMoa1202299. Epub 2012 May 2. PMID: 22551105; PMCID: PMC3723382.</w:t>
      </w:r>
    </w:p>
    <w:p w14:paraId="7CB7C5CD"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Zannad F, Anker SD, Byra WM, Cleland JGF, Fu M, Gheorghiade M, Lam CSP, Mehra MR, Neaton JD, Nessel CC, Spiro TE, van Veldhuisen DJ, Greenberg B; COMMANDER HF Investigators. Rivaroxaban in Patients with Heart Failure, Sinus Rhythm, and Coronary Disease. N Engl J Med. 2018 Oct 4;379(14):1332-1342. doi: 10.1056/NEJMoa1808848. Epub 2018 Aug 27. PMID: 30146935.</w:t>
      </w:r>
    </w:p>
    <w:p w14:paraId="312C4A47"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Packer M, O'Connor CM, Ghali JK, Pressler ML, Carson PE, Belkin RN, Miller AB, Neuberg GW, Frid D, Wertheimer JH, Cropp AB, DeMets DL. Effect of amlodipine on morbidity and mortality in severe chronic heart failure. Prospective Randomized Amlodipine Survival Evaluation Study Group. N Engl J Med. 1996 Oct 10;335(15):1107-14. doi: 10.1056/NEJM199610103351504. PMID: 8813041.</w:t>
      </w:r>
    </w:p>
    <w:p w14:paraId="0B2A4290" w14:textId="576106CB"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 xml:space="preserve">Packer M, Carson P, Elkayam U, Konstam MA, Moe G, O'Connor C, Rouleau JL, Schocken D, Anderson SA, DeMets DL; PRAISE-2 Study Group. Effect of amlodipine on the survival of patients with severe chronic heart failure due to </w:t>
      </w:r>
      <w:r w:rsidR="00672ED4" w:rsidRPr="00D4761A">
        <w:rPr>
          <w:rFonts w:cstheme="minorHAnsi"/>
          <w:noProof/>
          <w:szCs w:val="24"/>
          <w:lang w:val="en-US"/>
        </w:rPr>
        <w:t>a </w:t>
      </w:r>
      <w:r w:rsidRPr="00D4761A">
        <w:rPr>
          <w:rFonts w:cstheme="minorHAnsi"/>
          <w:noProof/>
          <w:szCs w:val="24"/>
          <w:lang w:val="en-US"/>
        </w:rPr>
        <w:t>nonischemic cardiomyopathy: results of the PRAISE-2 study (prospective randomized amlodipine survival evaluation 2). JACC Heart Fail. 2013 Aug;1(4):308-314. doi: 10.1016/j.jchf.2013.04.004. Epub 2013 Aug 5. PMID: 24621933.</w:t>
      </w:r>
    </w:p>
    <w:p w14:paraId="6F484DB3"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 xml:space="preserve">Bristow MR, Gilbert EM, Abraham WT, Adams KF, Fowler MB, Hershberger RE, Kubo SH, Narahara KA, Ingersoll H, Krueger S, Young S, Shusterman N. Carvedilol produces dose-related improvements in left ventricular function and survival in subjects with chronic </w:t>
      </w:r>
      <w:r w:rsidRPr="00D4761A">
        <w:rPr>
          <w:rFonts w:cstheme="minorHAnsi"/>
          <w:noProof/>
          <w:szCs w:val="24"/>
          <w:lang w:val="en-US"/>
        </w:rPr>
        <w:lastRenderedPageBreak/>
        <w:t>heart failure. MOCHA Investigators. Circulation. 1996 Dec 1;94(11):2807-16. doi: 10.1161/01.cir.94.11.2807. PMID: 8941106.</w:t>
      </w:r>
    </w:p>
    <w:p w14:paraId="43D9BF7E"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Packer M, Poole-Wilson PA, Armstrong PW, Cleland JG, Horowitz JD, Massie BM, Rydén L, Thygesen K, Uretsky BF. Comparative effects of low and high doses of the angiotensin-converting enzyme inhibitor, lisinopril, on morbidity and mortality in chronic heart failure. ATLAS Study Group. Circulation. 1999 Dec 7;100(23):2312-8. doi: 10.1161/01.cir.100.23.2312. PMID: 10587334.</w:t>
      </w:r>
    </w:p>
    <w:p w14:paraId="13941B2B" w14:textId="582F5C26"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 xml:space="preserve">Konstam MA, Neaton JD, Dickstein K, Drexler H, Komajda M, Martinez FA, Riegger GA, Malbecq W, Smith RD, Guptha S, Poole-Wilson PA; HEAAL Investigators. Effects of high-dose versus low-dose losartan on clinical outcomes in patients with heart failure (HEAAL study): </w:t>
      </w:r>
      <w:r w:rsidR="00672ED4" w:rsidRPr="00D4761A">
        <w:rPr>
          <w:rFonts w:cstheme="minorHAnsi"/>
          <w:noProof/>
          <w:szCs w:val="24"/>
          <w:lang w:val="en-US"/>
        </w:rPr>
        <w:t>a </w:t>
      </w:r>
      <w:r w:rsidRPr="00D4761A">
        <w:rPr>
          <w:rFonts w:cstheme="minorHAnsi"/>
          <w:noProof/>
          <w:szCs w:val="24"/>
          <w:lang w:val="en-US"/>
        </w:rPr>
        <w:t>randomised, double-blind trial. Lancet. 2009 Nov 28;374(9704):1840-8. doi: 10.1016/S0140-6736(09)61913-9. Epub 2009 Nov 16. Erratum in: Lancet. 2009 Dec 5;374(9705):1888. PMID: 19922995.</w:t>
      </w:r>
    </w:p>
    <w:p w14:paraId="33E304A8" w14:textId="3F3E04CA" w:rsidR="00AF5A33" w:rsidRPr="00D4761A" w:rsidRDefault="00AF5A33" w:rsidP="00AF5A33">
      <w:pPr>
        <w:pStyle w:val="Odstavecseseznamem"/>
        <w:numPr>
          <w:ilvl w:val="0"/>
          <w:numId w:val="10"/>
        </w:numPr>
        <w:ind w:left="426" w:hanging="426"/>
        <w:rPr>
          <w:rFonts w:cstheme="minorHAnsi"/>
          <w:noProof/>
          <w:szCs w:val="24"/>
          <w:lang w:val="en-US"/>
        </w:rPr>
      </w:pPr>
      <w:bookmarkStart w:id="72" w:name="_Hlk119357473"/>
      <w:r w:rsidRPr="00D4761A">
        <w:rPr>
          <w:rFonts w:cstheme="minorHAnsi"/>
          <w:noProof/>
          <w:szCs w:val="24"/>
          <w:lang w:val="en-US"/>
        </w:rPr>
        <w:t xml:space="preserve">Antiarrhythmics versus Implantable Defibrillators (AVID) Investigators. </w:t>
      </w:r>
      <w:r w:rsidR="00672ED4" w:rsidRPr="00D4761A">
        <w:rPr>
          <w:rFonts w:cstheme="minorHAnsi"/>
          <w:noProof/>
          <w:szCs w:val="24"/>
          <w:lang w:val="en-US"/>
        </w:rPr>
        <w:t>A </w:t>
      </w:r>
      <w:r w:rsidRPr="00D4761A">
        <w:rPr>
          <w:rFonts w:cstheme="minorHAnsi"/>
          <w:noProof/>
          <w:szCs w:val="24"/>
          <w:lang w:val="en-US"/>
        </w:rPr>
        <w:t>comparison of antiarrhythmic-drug therapy with implantable defibrillators in patients resuscitated from near-fatal ventricular arrhythmias. N Engl J Med. 1997 Nov 27;337(22):1576-83. doi: 10.1056/NEJM199711273372202. PMID: 9411221.</w:t>
      </w:r>
    </w:p>
    <w:p w14:paraId="2736782D"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Kuck KH, Cappato R, Siebels J, Rüppel R. Randomized comparison of antiarrhythmic drug therapy with implantable defibrillators in patients resuscitated from cardiac arrest : the Cardiac Arrest Study Hamburg (CASH). Circulation. 2000 Aug 15;102(7):748-54. doi: 10.1161/01.cir.102.7.748. PMID: 10942742.</w:t>
      </w:r>
    </w:p>
    <w:p w14:paraId="6FAD1356" w14:textId="20688EA8"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 xml:space="preserve">Connolly SJ, Gent M, Roberts RS, Dorian P, Roy D, Sheldon RS, Mitchell LB, Green MS, Klein GJ, O'Brien B. Canadian implantable defibrillator study (CIDS) : </w:t>
      </w:r>
      <w:r w:rsidR="00672ED4" w:rsidRPr="00D4761A">
        <w:rPr>
          <w:rFonts w:cstheme="minorHAnsi"/>
          <w:noProof/>
          <w:szCs w:val="24"/>
          <w:lang w:val="en-US"/>
        </w:rPr>
        <w:t>a </w:t>
      </w:r>
      <w:r w:rsidRPr="00D4761A">
        <w:rPr>
          <w:rFonts w:cstheme="minorHAnsi"/>
          <w:noProof/>
          <w:szCs w:val="24"/>
          <w:lang w:val="en-US"/>
        </w:rPr>
        <w:t>randomized trial of the implantable cardioverter defibrillator against amiodarone. Circulation. 2000 Mar 21;101(11):1297-302. doi: 10.1161/01.cir.101.11.1297. PMID: 10725290.</w:t>
      </w:r>
    </w:p>
    <w:p w14:paraId="5DCBC4E6"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Moss AJ, Hall WJ, Cannom DS, Daubert JP, Higgins SL, Klein H, Levine JH, Saksena S, Waldo AL, Wilber D, Brown MW, Heo M. Improved survival with an implanted defibrillator in patients with coronary disease at high risk for ventricular arrhythmia. Multicenter Automatic Defibrillator Implantation Trial Investigators. N Engl J Med. 1996 Dec 26;335(26):1933-40. doi: 10.1056/NEJM199612263352601. PMID: 8960472.</w:t>
      </w:r>
    </w:p>
    <w:p w14:paraId="6D4D92BA" w14:textId="4415DAB6"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 xml:space="preserve">Buxton AE, Lee KL, Fisher JD, Josephson ME, Prystowsky EN, Hafley G. </w:t>
      </w:r>
      <w:r w:rsidR="00672ED4" w:rsidRPr="00D4761A">
        <w:rPr>
          <w:rFonts w:cstheme="minorHAnsi"/>
          <w:noProof/>
          <w:szCs w:val="24"/>
          <w:lang w:val="en-US"/>
        </w:rPr>
        <w:t>A </w:t>
      </w:r>
      <w:r w:rsidRPr="00D4761A">
        <w:rPr>
          <w:rFonts w:cstheme="minorHAnsi"/>
          <w:noProof/>
          <w:szCs w:val="24"/>
          <w:lang w:val="en-US"/>
        </w:rPr>
        <w:t xml:space="preserve">randomized study of the prevention of sudden death in patients with coronary artery disease. Multicenter </w:t>
      </w:r>
      <w:r w:rsidRPr="00D4761A">
        <w:rPr>
          <w:rFonts w:cstheme="minorHAnsi"/>
          <w:noProof/>
          <w:szCs w:val="24"/>
          <w:lang w:val="en-US"/>
        </w:rPr>
        <w:lastRenderedPageBreak/>
        <w:t>Unsustained Tachycardia Trial Investigators. N Engl J Med. 1999 Dec 16;341(25):1882-90. doi: 10.1056/NEJM199912163412503. Erratum in: N Engl J Med 2000 Apr 27;342(17):1300. PMID: 10601507.</w:t>
      </w:r>
    </w:p>
    <w:p w14:paraId="5402EE58" w14:textId="2AC8CFB2"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 xml:space="preserve">Moss AJ, Zareba W, Hall WJ, Klein H, Wilber DJ, Cannom DS, Daubert JP, Higgins SL, Brown MW, Andrews ML; Multicenter Automatic Defibrillator Implantation Trial II Investigators. Prophylactic implantation of </w:t>
      </w:r>
      <w:r w:rsidR="00672ED4" w:rsidRPr="00D4761A">
        <w:rPr>
          <w:rFonts w:cstheme="minorHAnsi"/>
          <w:noProof/>
          <w:szCs w:val="24"/>
          <w:lang w:val="en-US"/>
        </w:rPr>
        <w:t>a </w:t>
      </w:r>
      <w:r w:rsidRPr="00D4761A">
        <w:rPr>
          <w:rFonts w:cstheme="minorHAnsi"/>
          <w:noProof/>
          <w:szCs w:val="24"/>
          <w:lang w:val="en-US"/>
        </w:rPr>
        <w:t>defibrillator in patients with myocardial infarction and reduced ejection fraction. N Engl J Med. 2002 Mar 21;346(12):877-83. doi: 10.1056/NEJMoa013474. Epub 2002 Mar 19. PMID: 11907286.</w:t>
      </w:r>
    </w:p>
    <w:bookmarkEnd w:id="72"/>
    <w:p w14:paraId="0F7E7AB7"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Kadish A, Dyer A, Daubert JP, Quigg R, Estes NA, Anderson KP, Calkins H, Hoch D, Goldberger J, Shalaby A, Sanders WE, Schaechter A, Levine JH; Defibrillators in Non-Ischemic Cardiomyopathy Treatment Evaluation (DEFINITE) Investigators. Prophylactic defibrillator implantation in patients with nonischemic dilated cardiomyopathy. N Engl J Med. 2004 May 20;350(21):2151-8. doi: 10.1056/NEJMoa033088. PMID: 15152060.</w:t>
      </w:r>
    </w:p>
    <w:p w14:paraId="023682AB"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Bardy GH, Lee KL, Mark DB, Poole JE, Packer DL, Boineau R, Domanski M, Troutman C, Anderson J, Johnson G, McNulty SE, Clapp-Channing N, Davidson-Ray LD, Fraulo ES, Fishbein DP, Luceri RM, Ip JH; Sudden Cardiac Death in Heart Failure Trial (SCD-HeFT) Investigators. Amiodarone or an implantable cardioverter-defibrillator for congestive heart failure. N Engl J Med. 2005 Jan 20;352(3):225-37. doi: 10.1056/NEJMoa043399. Erratum in: N Engl J Med. 2005 May 19;352(20):2146. PMID: 15659722.</w:t>
      </w:r>
    </w:p>
    <w:p w14:paraId="003F98D7"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Køber L, Thune JJ, Nielsen JC, Haarbo J, Videbæk L, Korup E, Jensen G, Hildebrandt P, Steffensen FH, Bruun NE, Eiskjær H, Brandes A, Thøgersen AM, Gustafsson F, Egstrup K, Videbæk R, Hassager C, Svendsen JH, Høfsten DE, Torp-Pedersen C, Pehrson S; DANISH Investigators. Defibrillator Implantation in Patients with Nonischemic Systolic Heart Failure. N Engl J Med. 2016 Sep 29;375(13):1221-30. doi: 10.1056/NEJMoa1608029. Epub 2016 Aug 27. PMID: 27571011.</w:t>
      </w:r>
    </w:p>
    <w:p w14:paraId="22D724DC" w14:textId="77777777" w:rsidR="00AF5A33" w:rsidRPr="00D4761A" w:rsidRDefault="00AF5A33" w:rsidP="00AF5A33">
      <w:pPr>
        <w:pStyle w:val="Odstavecseseznamem"/>
        <w:numPr>
          <w:ilvl w:val="0"/>
          <w:numId w:val="10"/>
        </w:numPr>
        <w:ind w:left="426" w:hanging="426"/>
        <w:rPr>
          <w:rFonts w:cstheme="minorHAnsi"/>
          <w:noProof/>
          <w:szCs w:val="24"/>
          <w:lang w:val="en-US"/>
        </w:rPr>
      </w:pPr>
      <w:bookmarkStart w:id="73" w:name="_Hlk119357055"/>
      <w:r w:rsidRPr="00D4761A">
        <w:rPr>
          <w:rFonts w:cstheme="minorHAnsi"/>
          <w:noProof/>
          <w:szCs w:val="24"/>
          <w:lang w:val="en-US"/>
        </w:rPr>
        <w:t>Abraham WT, Fisher WG, Smith AL, Delurgio DB, Leon AR, Loh E, Kocovic DZ, Packer M, Clavell AL, Hayes DL, Ellestad M, Trupp RJ, Underwood J, Pickering F, Truex C, McAtee P, Messenger J; MIRACLE Study Group. Multicenter InSync Randomized Clinical Evaluation. Cardiac resynchronization in chronic heart failure. N Engl J Med. 2002 Jun 13;346(24):1845-53. doi: 10.1056/NEJMoa013168. PMID: 12063368.</w:t>
      </w:r>
    </w:p>
    <w:p w14:paraId="32ADD19A"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 xml:space="preserve">Bristow MR, Saxon LA, Boehmer J, Krueger S, Kass DA, De Marco T, Carson P, DiCarlo L, DeMets D, White BG, DeVries DW, Feldman AM; Comparison of Medical Therapy, Pacing, </w:t>
      </w:r>
      <w:r w:rsidRPr="00D4761A">
        <w:rPr>
          <w:rFonts w:cstheme="minorHAnsi"/>
          <w:noProof/>
          <w:szCs w:val="24"/>
          <w:lang w:val="en-US"/>
        </w:rPr>
        <w:lastRenderedPageBreak/>
        <w:t>and Defibrillation in Heart Failure (COMPANION) Investigators. Cardiac-resynchronization therapy with or without an implantable defibrillator in advanced chronic heart failure. N Engl J Med. 2004 May 20;350(21):2140-50. doi: 10.1056/NEJMoa032423. PMID: 15152059.</w:t>
      </w:r>
    </w:p>
    <w:p w14:paraId="514EC7AD"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Cleland JG, Daubert JC, Erdmann E, Freemantle N, Gras D, Kappenberger L, Tavazzi L; Cardiac Resynchronization-Heart Failure (CARE-HF) Study Investigators. The effect of cardiac resynchronization on morbidity and mortality in heart failure. N Engl J Med. 2005 Apr 14;352(15):1539-49. doi: 10.1056/NEJMoa050496. Epub 2005 Mar 7. PMID: 15753115.</w:t>
      </w:r>
    </w:p>
    <w:bookmarkEnd w:id="73"/>
    <w:p w14:paraId="564F23AB"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Linde C, Abraham WT, Gold MR, St John Sutton M, Ghio S, Daubert C; REVERSE (REsynchronization reVErses Remodeling in Systolic left vEntricular dysfunction) Study Group. Randomized trial of cardiac resynchronization in mildly symptomatic heart failure patients and in asymptomatic patients with left ventricular dysfunction and previous heart failure symptoms. J Am Coll Cardiol. 2008 Dec 2;52(23):1834-1843. doi: 10.1016/j.jacc.2008.08.027. Epub 2008 Nov 7. PMID: 19038680.</w:t>
      </w:r>
    </w:p>
    <w:p w14:paraId="35183F92"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Moss AJ, Hall WJ, Cannom DS, Klein H, Brown MW, Daubert JP, Estes NA 3rd, Foster E, Greenberg H, Higgins SL, Pfeffer MA, Solomon SD, Wilber D, Zareba W; MADIT-CRT Trial Investigators. Cardiac-resynchronization therapy for the prevention of heart-failure events. N Engl J Med. 2009 Oct 1;361(14):1329-38. doi: 10.1056/NEJMoa0906431. Epub 2009 Sep 1. PMID: 19723701.</w:t>
      </w:r>
    </w:p>
    <w:p w14:paraId="7E4BA5D1"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Tang AS, Wells GA, Talajic M, Arnold MO, Sheldon R, Connolly S, Hohnloser SH, Nichol G, Birnie DH, Sapp JL, Yee R, Healey JS, Rouleau JL; Resynchronization-Defibrillation for Ambulatory Heart Failure Trial Investigators. Cardiac-resynchronization therapy for mild-to-moderate heart failure. N Engl J Med. 2010 Dec 16;363(25):2385-95. doi: 10.1056/NEJMoa1009540. Epub 2010 Nov 14. PMID: 21073365.</w:t>
      </w:r>
    </w:p>
    <w:p w14:paraId="372544B4"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Sipahi I, Chou JC, Hyden M, Rowland DY, Simon DI, Fang JC. Effect of QRS morphology on clinical event reduction with cardiac resynchronization therapy: meta-analysis of randomized controlled trials. Am Heart J. 2012 Feb;163(2):260-7.e3. doi: 10.1016/j.ahj.2011.11.014. PMID: 22305845; PMCID: PMC4113034.</w:t>
      </w:r>
    </w:p>
    <w:p w14:paraId="2BC977F2" w14:textId="65E7EC13"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 xml:space="preserve">Gervais R, Leclercq C, Shankar A, Jacobs S, Eiskjaer H, Johannessen A, Freemantle N, Cleland JG, Tavazzi L, Daubert C; CARE-HF investigators. Surface electrocardiogram to predict outcome in candidates for cardiac resynchronization therapy: </w:t>
      </w:r>
      <w:r w:rsidR="00672ED4" w:rsidRPr="00D4761A">
        <w:rPr>
          <w:rFonts w:cstheme="minorHAnsi"/>
          <w:noProof/>
          <w:szCs w:val="24"/>
          <w:lang w:val="en-US"/>
        </w:rPr>
        <w:t>a </w:t>
      </w:r>
      <w:r w:rsidRPr="00D4761A">
        <w:rPr>
          <w:rFonts w:cstheme="minorHAnsi"/>
          <w:noProof/>
          <w:szCs w:val="24"/>
          <w:lang w:val="en-US"/>
        </w:rPr>
        <w:t xml:space="preserve">sub-analysis of the </w:t>
      </w:r>
      <w:r w:rsidRPr="00D4761A">
        <w:rPr>
          <w:rFonts w:cstheme="minorHAnsi"/>
          <w:noProof/>
          <w:szCs w:val="24"/>
          <w:lang w:val="en-US"/>
        </w:rPr>
        <w:lastRenderedPageBreak/>
        <w:t>CARE-HF trial. Eur J Heart Fail. 2009 Jul;11(7):699-705. doi: 10.1093/eurjhf/hfp074. Epub 2009 Jun 7. PMID: 19505883.</w:t>
      </w:r>
    </w:p>
    <w:p w14:paraId="6B0B4E7C"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Zareba W, Klein H, Cygankiewicz I, Hall WJ, McNitt S, Brown M, Cannom D, Daubert JP, Eldar M, Gold MR, Goldberger JJ, Goldenberg I, Lichstein E, Pitschner H, Rashtian M, Solomon S, Viskin S, Wang P, Moss AJ; MADIT-CRT Investigators. Effectiveness of Cardiac Resynchronization Therapy by QRS Morphology in the Multicenter Automatic Defibrillator Implantation Trial-Cardiac Resynchronization Therapy (MADIT-CRT). Circulation. 2011 Mar 15;123(10):1061-72. doi: 10.1161/CIRCULATIONAHA.110.960898. Epub 2011 Feb 28. PMID: 21357819.</w:t>
      </w:r>
    </w:p>
    <w:p w14:paraId="2BCEE781"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Gold MR, Thébault C, Linde C, Abraham WT, Gerritse B, Ghio S, St John Sutton M, Daubert JC. Effect of QRS duration and morphology on cardiac resynchronization therapy outcomes in mild heart failure: results from the Resynchronization Reverses Remodeling in Systolic Left Ventricular Dysfunction (REVERSE) study. Circulation. 2012 Aug 14;126(7):822-9. doi: 10.1161/CIRCULATIONAHA.112.097709. Epub 2012 Jul 10. PMID: 22781424.</w:t>
      </w:r>
    </w:p>
    <w:p w14:paraId="3B940E77"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Birnie DH, Ha A, Higginson L, Sidhu K, Green M, Philippon F, Thibault B, Wells G, Tang A. Impact of QRS morphology and duration on outcomes after cardiac resynchronization therapy: Results from the Resynchronization-Defibrillation for Ambulatory Heart Failure Trial (RAFT). Circ Heart Fail. 2013 Nov;6(6):1190-8. doi: 10.1161/CIRCHEARTFAILURE.113.000380. Epub 2013 Aug 30. PMID: 23995437.</w:t>
      </w:r>
    </w:p>
    <w:p w14:paraId="39FBB376"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Curtis AB. Biventricular pacing for atrioventricular block and systolic dysfunction. N Engl J Med. 2013 Aug 8;369(6):579. doi: 10.1056/NEJMc1306998. PMID: 23924013.</w:t>
      </w:r>
    </w:p>
    <w:p w14:paraId="0820939B"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Healey JS, Hohnloser SH, Exner DV, Birnie DH, Parkash R, Connolly SJ, Krahn AD, Simpson CS, Thibault B, Basta M, Philippon F, Dorian P, Nair GM, Sivakumaran S, Yetisir E, Wells GA, Tang AS; RAFT Investigators. Cardiac resynchronization therapy in patients with permanent atrial fibrillation: results from the Resynchronization for Ambulatory Heart Failure Trial (RAFT). Circ Heart Fail. 2012 Sep 1;5(5):566-70. doi: 10.1161/CIRCHEARTFAILURE.112.968867. Epub 2012 Aug 14. PMID: 22896584.</w:t>
      </w:r>
    </w:p>
    <w:p w14:paraId="64CB5DB3"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 xml:space="preserve">Tolosana JM, Hernandez Madrid A, Brugada J, Sitges M, Garcia Bolao I, Fernandez Lozano I, Martinez Ferrer J, Quesada A, Macias A, Marin W, Escudier JM, Gomez AA, Gimenez Alcala M, Tamborero D, Berruezo A, Mont L; SPARE Investigators. Comparison of benefits and mortality in cardiac resynchronization therapy in patients with atrial fibrillation versus </w:t>
      </w:r>
      <w:r w:rsidRPr="00D4761A">
        <w:rPr>
          <w:rFonts w:cstheme="minorHAnsi"/>
          <w:noProof/>
          <w:szCs w:val="24"/>
          <w:lang w:val="en-US"/>
        </w:rPr>
        <w:lastRenderedPageBreak/>
        <w:t>patients in sinus rhythm (Results of the Spanish Atrial Fibrillation and Resynchronization [SPARE] Study). Am J Cardiol. 2008 Aug 15;102(4):444-9. doi: 10.1016/j.amjcard.2008.04.008. Epub 2008 May 22. PMID: 18678303.</w:t>
      </w:r>
    </w:p>
    <w:p w14:paraId="68D6854D"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Kalscheur MM, Saxon LA, Lee BK, Steinberg JS, Mei C, Buhr KA, DeMets DL, Bristow MR, Singh SN. Outcomes of cardiac resynchronization therapy in patients with intermittent atrial fibrillation or atrial flutter in the COMPANION trial. Heart Rhythm. 2017 Jun;14(6):858-865. doi: 10.1016/j.hrthm.2017.03.024. Epub 2017 Mar 18. PMID: 28323173.</w:t>
      </w:r>
    </w:p>
    <w:p w14:paraId="08C4BCAF"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Doshi RN, Daoud EG, Fellows C, Turk K, Duran A, Hamdan MH, Pires LA; PAVE Study Group. Left ventricular-based cardiac stimulation post AV nodal ablation evaluation (the PAVE study). J Cardiovasc Electrophysiol. 2005 Nov;16(11):1160-5. doi: 10.1111/j.1540-8167.2005.50062.x. PMID: 16302897.</w:t>
      </w:r>
    </w:p>
    <w:p w14:paraId="7E8733A7"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Borggrefe MM, Lawo T, Butter C, Schmidinger H, Lunati M, Pieske B, Misier AR, Curnis A, Böcker D, Remppis A, Kautzner J, Stühlinger M, Leclerq C, Táborsky M, Frigerio M, Parides M, Burkhoff D, Hindricks G. Randomized, double blind study of non-excitatory, cardiac contractility modulation electrical impulses for symptomatic heart failure. Eur Heart J. 2008 Apr;29(8):1019-28. doi: 10.1093/eurheartj/ehn020. Epub 2008 Feb 12. PMID: 18270213.</w:t>
      </w:r>
    </w:p>
    <w:p w14:paraId="23D582B5" w14:textId="6F30D50E"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 xml:space="preserve">Kadish A, Nademanee K, Volosin K, Krueger S, Neelagaru S, Raval N, Obel O, Weiner S, Wish M, Carson P, Ellenbogen K, Bourge R, Parides M, Chiacchierini RP, Goldsmith R, Goldstein S, Mika Y, Burkhoff D, Abraham WT. </w:t>
      </w:r>
      <w:r w:rsidR="00672ED4" w:rsidRPr="00D4761A">
        <w:rPr>
          <w:rFonts w:cstheme="minorHAnsi"/>
          <w:noProof/>
          <w:szCs w:val="24"/>
          <w:lang w:val="en-US"/>
        </w:rPr>
        <w:t>A </w:t>
      </w:r>
      <w:r w:rsidRPr="00D4761A">
        <w:rPr>
          <w:rFonts w:cstheme="minorHAnsi"/>
          <w:noProof/>
          <w:szCs w:val="24"/>
          <w:lang w:val="en-US"/>
        </w:rPr>
        <w:t>randomized controlled trial evaluating the safety and efficacy of cardiac contractility modulation in advanced heart failure. Am Heart J. 2011 Feb;161(2):329-337.e1-2. doi: 10.1016/j.ahj.2010.10.025. Erratum in: Am Heart J. 2011 Jun;161(6):1220. PMID: 21315216.</w:t>
      </w:r>
    </w:p>
    <w:p w14:paraId="5104291A" w14:textId="6D39F189"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 xml:space="preserve">Abraham WT, Kuck KH, Goldsmith RL, Lindenfeld J, Reddy VY, Carson PE, Mann DL, Saville B, Parise H, Chan R, Wiegn P, Hastings JL, Kaplan AJ, Edelmann F, Luthje L, Kahwash R, Tomassoni GF, Gutterman DD, Stagg A, Burkhoff D, Hasenfuß G. </w:t>
      </w:r>
      <w:r w:rsidR="00672ED4" w:rsidRPr="00D4761A">
        <w:rPr>
          <w:rFonts w:cstheme="minorHAnsi"/>
          <w:noProof/>
          <w:szCs w:val="24"/>
          <w:lang w:val="en-US"/>
        </w:rPr>
        <w:t>A </w:t>
      </w:r>
      <w:r w:rsidRPr="00D4761A">
        <w:rPr>
          <w:rFonts w:cstheme="minorHAnsi"/>
          <w:noProof/>
          <w:szCs w:val="24"/>
          <w:lang w:val="en-US"/>
        </w:rPr>
        <w:t>Randomized Controlled Trial to Evaluate the Safety and Efficacy of Cardiac Contractility Modulation. JACC Heart Fail. 2018 Oct;6(10):874-883. doi: 10.1016/j.jchf.2018.04.010. Epub 2018 May 10. PMID: 29754812.</w:t>
      </w:r>
    </w:p>
    <w:p w14:paraId="27A9B1FF"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 xml:space="preserve">Velazquez EJ, Lee KL, Deja MA, Jain A, Sopko G, Marchenko A, Ali IS, Pohost G, Gradinac S, Abraham WT, Yii M, Prabhakaran D, Szwed H, Ferrazzi P, Petrie MC, O'Connor CM, </w:t>
      </w:r>
      <w:r w:rsidRPr="00D4761A">
        <w:rPr>
          <w:rFonts w:cstheme="minorHAnsi"/>
          <w:noProof/>
          <w:szCs w:val="24"/>
          <w:lang w:val="en-US"/>
        </w:rPr>
        <w:lastRenderedPageBreak/>
        <w:t>Panchavinnin P, She L, Bonow RO, Rankin GR, Jones RH, Rouleau JL; STICH Investigators. Coronary-artery bypass surgery in patients with left ventricular dysfunction. N Engl J Med. 2011 Apr 28;364(17):1607-16. doi: 10.1056/NEJMoa1100356. Epub 2011 Apr 4. PMID: 21463150; PMCID: PMC3415273.</w:t>
      </w:r>
    </w:p>
    <w:p w14:paraId="341E5E87"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Velazquez EJ, Lee KL, Jones RH, Al-Khalidi HR, Hill JA, Panza JA, Michler RE, Bonow RO, Doenst T, Petrie MC, Oh JK, She L, Moore VL, Desvigne-Nickens P, Sopko G, Rouleau JL; STICHES Investigators. Coronary-Artery Bypass Surgery in Patients with Ischemic Cardiomyopathy. N Engl J Med. 2016 Apr 21;374(16):1511-20. doi: 10.1056/NEJMoa1602001. Epub 2016 Apr 3. PMID: 27040723; PMCID: PMC4938005.</w:t>
      </w:r>
    </w:p>
    <w:p w14:paraId="0C1D212F"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Perera D, Clayton T, O'Kane PD, Greenwood JP, Weerackody R, Ryan M, Morgan HP, Dodd M, Evans R, Canter R, Arnold S, Dixon LJ, Edwards RJ, De Silva K, Spratt JC, Conway D, Cotton J, McEntegart M, Chiribiri A, Saramago P, Gershlick A, Shah AM, Clark AL, Petrie MC; REVIVED-BCIS2 Investigators. Percutaneous Revascularization for Ischemic Left Ventricular Dysfunction. N Engl J Med. 2022 Aug 27. doi: 10.1056/NEJMoa2206606. Epub ahead of print. PMID: 36027563.</w:t>
      </w:r>
    </w:p>
    <w:p w14:paraId="548ECE22" w14:textId="77777777" w:rsidR="00AF5A33" w:rsidRPr="00D4761A" w:rsidRDefault="00AF5A33" w:rsidP="00AF5A33">
      <w:pPr>
        <w:pStyle w:val="Odstavecseseznamem"/>
        <w:numPr>
          <w:ilvl w:val="0"/>
          <w:numId w:val="10"/>
        </w:numPr>
        <w:ind w:left="426" w:hanging="426"/>
        <w:rPr>
          <w:rFonts w:cstheme="minorHAnsi"/>
          <w:noProof/>
          <w:szCs w:val="24"/>
          <w:lang w:val="en-US"/>
        </w:rPr>
      </w:pPr>
      <w:bookmarkStart w:id="74" w:name="_Hlk119358738"/>
      <w:r w:rsidRPr="00D4761A">
        <w:rPr>
          <w:rFonts w:cstheme="minorHAnsi"/>
          <w:noProof/>
          <w:szCs w:val="24"/>
          <w:lang w:val="en-US"/>
        </w:rPr>
        <w:t>Serruys PW, Morice MC, Kappetein AP, Colombo A, Holmes DR, Mack MJ, Ståhle E, Feldman TE, van den Brand M, Bass EJ, Van Dyck N, Leadley K, Dawkins KD, Mohr FW; SYNTAX Investigators. Percutaneous coronary intervention versus coronary-artery bypass grafting for severe coronary artery disease. N Engl J Med. 2009 Mar 5;360(10):961-72. doi: 10.1056/NEJMoa0804626. Epub 2009 Feb 18. Erratum in: N Engl J Med. 2013 Feb 7;368(6):584. PMID: 19228612.</w:t>
      </w:r>
    </w:p>
    <w:p w14:paraId="0586C1D3" w14:textId="77777777" w:rsidR="00AF5A33" w:rsidRPr="00D4761A" w:rsidRDefault="00AF5A33" w:rsidP="00AF5A33">
      <w:pPr>
        <w:pStyle w:val="Odstavecseseznamem"/>
        <w:numPr>
          <w:ilvl w:val="0"/>
          <w:numId w:val="10"/>
        </w:numPr>
        <w:ind w:left="426" w:hanging="426"/>
        <w:rPr>
          <w:rFonts w:cstheme="minorHAnsi"/>
          <w:noProof/>
          <w:szCs w:val="24"/>
          <w:lang w:val="en-US"/>
        </w:rPr>
      </w:pPr>
      <w:bookmarkStart w:id="75" w:name="_Hlk119358785"/>
      <w:bookmarkEnd w:id="74"/>
      <w:r w:rsidRPr="00D4761A">
        <w:rPr>
          <w:rFonts w:cstheme="minorHAnsi"/>
          <w:noProof/>
          <w:szCs w:val="24"/>
          <w:lang w:val="en-US"/>
        </w:rPr>
        <w:t>Nagendran J, Bozso SJ, Norris CM, McAlister FA, Appoo JJ, Moon MC, Freed DH, Nagendran J. Coronary Artery Bypass Surgery Improves Outcomes in Patients With Diabetes and Left Ventricular Dysfunction. J Am Coll Cardiol. 2018 Feb 27;71(8):819-827. doi: 10.1016/j.jacc.2017.12.024. PMID: 29471931.</w:t>
      </w:r>
    </w:p>
    <w:p w14:paraId="1DC67C78"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Park S, Ahn JM, Kim TO, Park H, Kang DY, Lee PH, Jeong YJ, Hyun J, Lee J, Kim JH, Yang Y, Choe K, Park SJ, Park DW; IRIS-MAIN Registry Investigators. Revascularization in Patients With Left Main Coronary Artery Disease and Left Ventricular Dysfunction. J Am Coll Cardiol. 2020 Sep 22;76(12):1395-1406. doi: 10.1016/j.jacc.2020.07.047. PMID: 32943156.</w:t>
      </w:r>
    </w:p>
    <w:bookmarkEnd w:id="75"/>
    <w:p w14:paraId="62A1BFA3"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 xml:space="preserve">Lowes BD, Gill EA, Abraham WT, Larrain JR, Robertson AD, Bristow MR, Gilbert EM. Effects of carvedilol on left ventricular mass, chamber geometry, and mitral regurgitation in </w:t>
      </w:r>
      <w:r w:rsidRPr="00D4761A">
        <w:rPr>
          <w:rFonts w:cstheme="minorHAnsi"/>
          <w:noProof/>
          <w:szCs w:val="24"/>
          <w:lang w:val="en-US"/>
        </w:rPr>
        <w:lastRenderedPageBreak/>
        <w:t>chronic heart failure. Am J Cardiol. 1999 Apr 15;83(8):1201-5. doi: 10.1016/s0002-9149(99)00059-4. PMID: 10215284.</w:t>
      </w:r>
    </w:p>
    <w:p w14:paraId="7241CB52"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Capomolla S, Febo O, Gnemmi M, Riccardi G, Opasich C, Caporotondi A, Mortara A, Pinna GD, Cobelli F. Beta-blockade therapy in chronic heart failure: diastolic function and mitral regurgitation improvement by carvedilol. Am Heart J. 2000 Apr;139(4):596-608. doi: 10.1016/s0002-8703(00)90036-x. PMID: 10740140.</w:t>
      </w:r>
    </w:p>
    <w:p w14:paraId="6121F356"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Kang DH, Park SJ, Shin SH, Hong GR, Lee S, Kim MS, Yun SC, Song JM, Park SW, Kim JJ. Angiotensin Receptor Neprilysin Inhibitor for Functional Mitral Regurgitation. Circulation. 2019 Mar 12;139(11):1354-1365. doi: 10.1161/CIRCULATIONAHA.118.037077. PMID: 30586756.</w:t>
      </w:r>
    </w:p>
    <w:p w14:paraId="6E810F78"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St John Sutton MG, Plappert T, Abraham WT, Smith AL, DeLurgio DB, Leon AR, Loh E, Kocovic DZ, Fisher WG, Ellestad M, Messenger J, Kruger K, Hilpisch KE, Hill MR; Multicenter InSync Randomized Clinical Evaluation (MIRACLE) Study Group. Effect of cardiac resynchronization therapy on left ventricular size and function in chronic heart failure. Circulation. 2003 Apr 22;107(15):1985-90. doi: 10.1161/01.CIR.0000065226.24159.E9. Epub 2003 Mar 31. PMID: 12668512.</w:t>
      </w:r>
    </w:p>
    <w:p w14:paraId="683B57A4" w14:textId="3AF7CBCB"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 xml:space="preserve">van Bommel RJ, Marsan NA, Delgado V, Borleffs CJ, van Rijnsoever EP, Schalij MJ, Bax JJ. Cardiac resynchronization therapy as </w:t>
      </w:r>
      <w:r w:rsidR="00672ED4" w:rsidRPr="00D4761A">
        <w:rPr>
          <w:rFonts w:cstheme="minorHAnsi"/>
          <w:noProof/>
          <w:szCs w:val="24"/>
          <w:lang w:val="en-US"/>
        </w:rPr>
        <w:t>a </w:t>
      </w:r>
      <w:r w:rsidRPr="00D4761A">
        <w:rPr>
          <w:rFonts w:cstheme="minorHAnsi"/>
          <w:noProof/>
          <w:szCs w:val="24"/>
          <w:lang w:val="en-US"/>
        </w:rPr>
        <w:t>therapeutic option in patients with moderate-severe functional mitral regurgitation and high operative risk. Circulation. 2011 Aug 23;124(8):912-9. doi: 10.1161/CIRCULATIONAHA.110.009803. Epub 2011 Aug 1. PMID: 21810666.</w:t>
      </w:r>
    </w:p>
    <w:p w14:paraId="479E21E5"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Breithardt OA, Sinha AM, Schwammenthal E, Bidaoui N, Markus KU, Franke A, Stellbrink C. Acute effects of cardiac resynchronization therapy on functional mitral regurgitation in advanced systolic heart failure. J Am Coll Cardiol. 2003 Mar 5;41(5):765-70. doi: 10.1016/s0735-1097(02)02937-6. Erratum in: J Am Coll Cardiol. 2003 May 21;41(10):1852. PMID: 12628720.</w:t>
      </w:r>
    </w:p>
    <w:p w14:paraId="18871693"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Karaca O, Omaygenc MO, Cakal B, Cakal SD, Gunes HM, Barutcu I, Boztosun B, Kilicaslan F. Effect of QRS Narrowing After Cardiac Resynchronization Therapy on Functional Mitral Regurgitation in Patients With Systolic Heart Failure. Am J Cardiol. 2016 Feb 1;117(3):412-9. doi: 10.1016/j.amjcard.2015.11.010. Epub 2015 Nov 18. PMID: 26721652.</w:t>
      </w:r>
    </w:p>
    <w:p w14:paraId="1179CAB7"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 xml:space="preserve">Agricola E, Ielasi A, Oppizzi M, Faggiano P, Ferri L, Calabrese A, Vizzardi E, Alfieri O, Margonato A. Long-term prognosis of medically treated patients with functional mitral </w:t>
      </w:r>
      <w:r w:rsidRPr="00D4761A">
        <w:rPr>
          <w:rFonts w:cstheme="minorHAnsi"/>
          <w:noProof/>
          <w:szCs w:val="24"/>
          <w:lang w:val="en-US"/>
        </w:rPr>
        <w:lastRenderedPageBreak/>
        <w:t>regurgitation and left ventricular dysfunction. Eur J Heart Fail. 2009 Jun;11(6):581-7. doi: 10.1093/eurjhf/hfp051. Epub 2009 Apr 27. PMID: 19398488.</w:t>
      </w:r>
    </w:p>
    <w:p w14:paraId="086282A2"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Goliasch G, Bartko PE, Pavo N, Neuhold S, Wurm R, Mascherbauer J, Lang IM, Strunk G, Hülsmann M. Refining the prognostic impact of functional mitral regurgitation in chronic heart failure. Eur Heart J. 2018 Jan 1;39(1):39-46. doi: 10.1093/eurheartj/ehx402. PMID: 29020337.</w:t>
      </w:r>
    </w:p>
    <w:p w14:paraId="463A4483"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Vahanian A, Beyersdorf F, Praz F, Milojevic M, Baldus S, Bauersachs J, Capodanno D, Conradi L, De Bonis M, De Paulis R, Delgado V, Freemantle N, Gilard M, Haugaa KH, Jeppsson A, Jüni P, Pierard L, Prendergast BD, Sádaba JR, Tribouilloy C, Wojakowski W; ESC/EACTS Scientific Document Group. 2021 ESC/EACTS Guidelines for the management of valvular heart disease. Eur Heart J. 2022 Feb 12;43(7):561-632. doi: 10.1093/eurheartj/ehab395. Erratum in: Eur Heart J. 2022 Feb 18;: PMID: 34453165.</w:t>
      </w:r>
    </w:p>
    <w:p w14:paraId="44633041" w14:textId="6E85CC9C"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 xml:space="preserve">Writing Committee Members, Otto CM, Nishimura RA, Bonow RO, Carabello BA, Erwin JP 3rd, Gentile F, Jneid H, Krieger EV, Mack M, McLeod C, O'Gara PT, Rigolin VH, Sundt TM 3rd, Thompson A, Toly C. 2020 ACC/AHA Guideline for the Management of Patients With Valvular Heart Disease: </w:t>
      </w:r>
      <w:r w:rsidR="00672ED4" w:rsidRPr="00D4761A">
        <w:rPr>
          <w:rFonts w:cstheme="minorHAnsi"/>
          <w:noProof/>
          <w:szCs w:val="24"/>
          <w:lang w:val="en-US"/>
        </w:rPr>
        <w:t>A </w:t>
      </w:r>
      <w:r w:rsidRPr="00D4761A">
        <w:rPr>
          <w:rFonts w:cstheme="minorHAnsi"/>
          <w:noProof/>
          <w:szCs w:val="24"/>
          <w:lang w:val="en-US"/>
        </w:rPr>
        <w:t>Report of the American College of Cardiology/American Heart Association Joint Committee on Clinical Practice Guidelines. J Am Coll Cardiol. 2021 Feb 2;77(4):e25-e197. doi: 10.1016/j.jacc.2020.11.018. Epub 2020 Dec 17. Erratum in: J Am Coll Cardiol. 2021 Feb 2;77(4):509. Erratum in: J Am Coll Cardiol. 2021 Mar 9;77(9):1275. PMID: 33342586.</w:t>
      </w:r>
    </w:p>
    <w:p w14:paraId="2C3EFF36"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Deja MA, Grayburn PA, Sun B, Rao V, She L, Krejca M, Jain AR, Leng Chua Y, Daly R, Senni M, Mokrzycki K, Menicanti L, Oh JK, Michler R, Wróbel K, Lamy A, Velazquez EJ, Lee KL, Jones RH. Influence of mitral regurgitation repair on survival in the surgical treatment for ischemic heart failure trial. Circulation. 2012 May 29;125(21):2639-48. doi: 10.1161/CIRCULATIONAHA.111.072256. Epub 2012 May 2. PMID: 22553307; PMCID: PMC3776601.</w:t>
      </w:r>
    </w:p>
    <w:p w14:paraId="07D18D0B" w14:textId="77777777" w:rsidR="00AF5A33" w:rsidRPr="00D4761A" w:rsidRDefault="00AF5A33" w:rsidP="00AF5A33">
      <w:pPr>
        <w:pStyle w:val="Odstavecseseznamem"/>
        <w:numPr>
          <w:ilvl w:val="0"/>
          <w:numId w:val="10"/>
        </w:numPr>
        <w:ind w:left="426" w:hanging="426"/>
        <w:rPr>
          <w:rFonts w:cstheme="minorHAnsi"/>
          <w:noProof/>
          <w:szCs w:val="24"/>
          <w:lang w:val="en-US"/>
        </w:rPr>
      </w:pPr>
      <w:bookmarkStart w:id="76" w:name="_Hlk119361070"/>
      <w:r w:rsidRPr="00D4761A">
        <w:rPr>
          <w:rFonts w:cstheme="minorHAnsi"/>
          <w:noProof/>
          <w:szCs w:val="24"/>
          <w:lang w:val="en-US"/>
        </w:rPr>
        <w:t>Stone GW, Lindenfeld J, Abraham WT, Kar S, Lim DS, Mishell JM, Whisenant B, Grayburn PA, Rinaldi M, Kapadia SR, Rajagopal V, Sarembock IJ, Brieke A, Marx SO, Cohen DJ, Weissman NJ, Mack MJ; COAPT Investigators. Transcatheter Mitral-Valve Repair in Patients with Heart Failure. N Engl J Med. 2018 Dec 13;379(24):2307-2318. doi: 10.1056/NEJMoa1806640. Epub 2018 Sep 23. PMID: 30280640.</w:t>
      </w:r>
    </w:p>
    <w:bookmarkEnd w:id="76"/>
    <w:p w14:paraId="0D1C8AFC" w14:textId="61A479C1"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lastRenderedPageBreak/>
        <w:t xml:space="preserve">Maisano F, Franzen O, Baldus S, Schäfer U, Hausleiter J, Butter C, Ussia GP, Sievert H, Richardt G, Widder JD, Moccetti T, Schillinger W. Percutaneous mitral valve interventions in the real world: early and 1-year results from the ACCESS-EU, </w:t>
      </w:r>
      <w:r w:rsidR="00672ED4" w:rsidRPr="00D4761A">
        <w:rPr>
          <w:rFonts w:cstheme="minorHAnsi"/>
          <w:noProof/>
          <w:szCs w:val="24"/>
          <w:lang w:val="en-US"/>
        </w:rPr>
        <w:t>a </w:t>
      </w:r>
      <w:r w:rsidRPr="00D4761A">
        <w:rPr>
          <w:rFonts w:cstheme="minorHAnsi"/>
          <w:noProof/>
          <w:szCs w:val="24"/>
          <w:lang w:val="en-US"/>
        </w:rPr>
        <w:t>prospective, multicenter, nonrandomized post-approval study of the MitraClip therapy in Europe. J Am Coll Cardiol. 2013 Sep 17;62(12):1052-1061. doi: 10.1016/j.jacc.2013.02.094. Epub 2013 Jun 7. PMID: 23747789.</w:t>
      </w:r>
    </w:p>
    <w:p w14:paraId="1B0C8A90"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Glower DD, Kar S, Trento A, Lim DS, Bajwa T, Quesada R, Whitlow PL, Rinaldi MJ, Grayburn P, Mack MJ, Mauri L, McCarthy PM, Feldman T. Percutaneous mitral valve repair for mitral regurgitation in high-risk patients: results of the EVEREST II study. J Am Coll Cardiol. 2014 Jul 15;64(2):172-81. doi: 10.1016/j.jacc.2013.12.062. PMID: 25011722.</w:t>
      </w:r>
    </w:p>
    <w:p w14:paraId="4B2C85D0"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Obadia JF, Messika-Zeitoun D, Leurent G, Iung B, Bonnet G, Piriou N, Lefèvre T, Piot C, Rouleau F, Carrié D, Nejjari M, Ohlmann P, Leclercq F, Saint Etienne C, Teiger E, Leroux L, Karam N, Michel N, Gilard M, Donal E, Trochu JN, Cormier B, Armoiry X, Boutitie F, Maucort-Boulch D, Barnel C, Samson G, Guerin P, Vahanian A, Mewton N; MITRA-FR Investigators. Percutaneous Repair or Medical Treatment for Secondary Mitral Regurgitation. N Engl J Med. 2018 Dec 13;379(24):2297-2306. doi: 10.1056/NEJMoa1805374. Epub 2018 Aug 27. PMID: 30145927.</w:t>
      </w:r>
    </w:p>
    <w:p w14:paraId="06164BB1" w14:textId="0AC191CF"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 xml:space="preserve">Nishimura RA, Bonow RO. Percutaneous Repair of Secondary Mitral Regurgitation - </w:t>
      </w:r>
      <w:r w:rsidR="00672ED4" w:rsidRPr="00D4761A">
        <w:rPr>
          <w:rFonts w:cstheme="minorHAnsi"/>
          <w:noProof/>
          <w:szCs w:val="24"/>
          <w:lang w:val="en-US"/>
        </w:rPr>
        <w:t>A </w:t>
      </w:r>
      <w:r w:rsidRPr="00D4761A">
        <w:rPr>
          <w:rFonts w:cstheme="minorHAnsi"/>
          <w:noProof/>
          <w:szCs w:val="24"/>
          <w:lang w:val="en-US"/>
        </w:rPr>
        <w:t>Tale of Two Trials. N Engl J Med. 2018 Dec 13;379(24):2374-2376. doi: 10.1056/NEJMe1812279. PMID: 30575469.</w:t>
      </w:r>
    </w:p>
    <w:p w14:paraId="20627196" w14:textId="4C9650E3" w:rsidR="00AF5A33" w:rsidRPr="00D4761A" w:rsidRDefault="00AF5A33" w:rsidP="00AF5A33">
      <w:pPr>
        <w:pStyle w:val="Odstavecseseznamem"/>
        <w:numPr>
          <w:ilvl w:val="0"/>
          <w:numId w:val="10"/>
        </w:numPr>
        <w:ind w:left="426" w:hanging="426"/>
        <w:rPr>
          <w:rFonts w:cstheme="minorHAnsi"/>
          <w:noProof/>
          <w:szCs w:val="24"/>
          <w:lang w:val="en-US"/>
        </w:rPr>
      </w:pPr>
      <w:bookmarkStart w:id="77" w:name="_Hlk119362154"/>
      <w:r w:rsidRPr="00D4761A">
        <w:rPr>
          <w:rFonts w:cstheme="minorHAnsi"/>
          <w:noProof/>
          <w:szCs w:val="24"/>
          <w:lang w:val="en-US"/>
        </w:rPr>
        <w:t xml:space="preserve">GIBBON JH Jr. Application of </w:t>
      </w:r>
      <w:r w:rsidR="00672ED4" w:rsidRPr="00D4761A">
        <w:rPr>
          <w:rFonts w:cstheme="minorHAnsi"/>
          <w:noProof/>
          <w:szCs w:val="24"/>
          <w:lang w:val="en-US"/>
        </w:rPr>
        <w:t>a </w:t>
      </w:r>
      <w:r w:rsidRPr="00D4761A">
        <w:rPr>
          <w:rFonts w:cstheme="minorHAnsi"/>
          <w:noProof/>
          <w:szCs w:val="24"/>
          <w:lang w:val="en-US"/>
        </w:rPr>
        <w:t>mechanical heart and lung apparatus to cardiac surgery. Minn Med. 1954 Mar;37(3):171-85; passim. PMID: 13154149.</w:t>
      </w:r>
    </w:p>
    <w:bookmarkEnd w:id="77"/>
    <w:p w14:paraId="7BAC4860" w14:textId="20D2E524"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 xml:space="preserve">Rose EA, Gelijns AC, Moskowitz AJ, Heitjan DF, Stevenson LW, Dembitsky W, Long JW, Ascheim DD, Tierney AR, Levitan RG, Watson JT, Meier P, Ronan NS, Shapiro PA, Lazar RM, Miller LW, Gupta L, Frazier OH, Desvigne-Nickens P, Oz MC, Poirier VL; Randomized Evaluation of Mechanical Assistance for the Treatment of Congestive Heart Failure (REMATCH) Study Group. Long-term use of </w:t>
      </w:r>
      <w:r w:rsidR="00672ED4" w:rsidRPr="00D4761A">
        <w:rPr>
          <w:rFonts w:cstheme="minorHAnsi"/>
          <w:noProof/>
          <w:szCs w:val="24"/>
          <w:lang w:val="en-US"/>
        </w:rPr>
        <w:t>a </w:t>
      </w:r>
      <w:r w:rsidRPr="00D4761A">
        <w:rPr>
          <w:rFonts w:cstheme="minorHAnsi"/>
          <w:noProof/>
          <w:szCs w:val="24"/>
          <w:lang w:val="en-US"/>
        </w:rPr>
        <w:t>left ventricular assist device for end-stage heart failure. N Engl J Med. 2001 Nov 15;345(20):1435-43. doi: 10.1056/NEJMoa012175. PMID: 11794191.</w:t>
      </w:r>
    </w:p>
    <w:p w14:paraId="1B61969E" w14:textId="1FC7F3C8"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 xml:space="preserve">Netuka I, Ivák P, Tučanová Z, Gregor S, Szárszoi O, Sood P, Crandall D, Rimsans J, Connors JM, Mehra MR. Evaluation of low-intensity anti-coagulation with </w:t>
      </w:r>
      <w:r w:rsidR="00672ED4" w:rsidRPr="00D4761A">
        <w:rPr>
          <w:rFonts w:cstheme="minorHAnsi"/>
          <w:noProof/>
          <w:szCs w:val="24"/>
          <w:lang w:val="en-US"/>
        </w:rPr>
        <w:t>a </w:t>
      </w:r>
      <w:r w:rsidRPr="00D4761A">
        <w:rPr>
          <w:rFonts w:cstheme="minorHAnsi"/>
          <w:noProof/>
          <w:szCs w:val="24"/>
          <w:lang w:val="en-US"/>
        </w:rPr>
        <w:t xml:space="preserve">fully magnetically levitated centrifugal-flow circulatory pump-the MAGENTUM 1 study. J Heart Lung </w:t>
      </w:r>
      <w:r w:rsidRPr="00D4761A">
        <w:rPr>
          <w:rFonts w:cstheme="minorHAnsi"/>
          <w:noProof/>
          <w:szCs w:val="24"/>
          <w:lang w:val="en-US"/>
        </w:rPr>
        <w:lastRenderedPageBreak/>
        <w:t>Transplant. 2018 May;37(5):579-586. doi: 10.1016/j.healun.2018.03.002. Epub 2018 Apr 11. PMID: 29655662.</w:t>
      </w:r>
    </w:p>
    <w:p w14:paraId="09DBFC1A" w14:textId="4ECCE6AC"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 xml:space="preserve">Pya Y, Maly J, Bekbossynova M, Salov R, Schueler S, Meyns B, Kassif Y, Massetti M, Zilbershlag M, Netuka I. First human use of </w:t>
      </w:r>
      <w:r w:rsidR="00672ED4" w:rsidRPr="00D4761A">
        <w:rPr>
          <w:rFonts w:cstheme="minorHAnsi"/>
          <w:noProof/>
          <w:szCs w:val="24"/>
          <w:lang w:val="en-US"/>
        </w:rPr>
        <w:t>a </w:t>
      </w:r>
      <w:r w:rsidRPr="00D4761A">
        <w:rPr>
          <w:rFonts w:cstheme="minorHAnsi"/>
          <w:noProof/>
          <w:szCs w:val="24"/>
          <w:lang w:val="en-US"/>
        </w:rPr>
        <w:t xml:space="preserve">wireless coplanar energy transfer coupled with </w:t>
      </w:r>
      <w:r w:rsidR="00672ED4" w:rsidRPr="00D4761A">
        <w:rPr>
          <w:rFonts w:cstheme="minorHAnsi"/>
          <w:noProof/>
          <w:szCs w:val="24"/>
          <w:lang w:val="en-US"/>
        </w:rPr>
        <w:t>a </w:t>
      </w:r>
      <w:r w:rsidRPr="00D4761A">
        <w:rPr>
          <w:rFonts w:cstheme="minorHAnsi"/>
          <w:noProof/>
          <w:szCs w:val="24"/>
          <w:lang w:val="en-US"/>
        </w:rPr>
        <w:t>continuous-flow left ventricular assist device. J Heart Lung Transplant. 2019 Apr;38(4):339-343. doi: 10.1016/j.healun.2019.01.1316. Epub 2019 Feb 5. PMID: 30945635.</w:t>
      </w:r>
    </w:p>
    <w:p w14:paraId="5763169C" w14:textId="26EB58A0" w:rsidR="00AF5A33" w:rsidRPr="00D4761A" w:rsidRDefault="00AF5A33" w:rsidP="00AF5A33">
      <w:pPr>
        <w:pStyle w:val="Odstavecseseznamem"/>
        <w:numPr>
          <w:ilvl w:val="0"/>
          <w:numId w:val="10"/>
        </w:numPr>
        <w:ind w:left="426" w:hanging="426"/>
        <w:rPr>
          <w:rFonts w:cstheme="minorHAnsi"/>
          <w:noProof/>
          <w:szCs w:val="24"/>
          <w:lang w:val="en-US"/>
        </w:rPr>
      </w:pPr>
      <w:bookmarkStart w:id="78" w:name="_Hlk119362488"/>
      <w:r w:rsidRPr="00D4761A">
        <w:rPr>
          <w:rFonts w:cstheme="minorHAnsi"/>
          <w:noProof/>
          <w:szCs w:val="24"/>
          <w:lang w:val="en-US"/>
        </w:rPr>
        <w:t xml:space="preserve">Mehra MR, Uriel N, Naka Y, Cleveland JC Jr, Yuzefpolskaya M, Salerno CT, Walsh MN, Milano CA, Patel CB, Hutchins SW, Ransom J, Ewald GA, Itoh A, Raval NY, Silvestry SC, Cogswell R, John R, Bhimaraj A, Bruckner BA, Lowes BD, Um JY, Jeevanandam V, Sayer G, Mangi AA, Molina EJ, Sheikh F, Aaronson K, Pagani FD, Cotts WG, Tatooles AJ, Babu A, Chomsky D, Katz JN, Tessmann PB, Dean D, Krishnamoorthy A, Chuang J, Topuria I, Sood P, Goldstein DJ; MOMENTUM 3 Investigators. </w:t>
      </w:r>
      <w:r w:rsidR="00672ED4" w:rsidRPr="00D4761A">
        <w:rPr>
          <w:rFonts w:cstheme="minorHAnsi"/>
          <w:noProof/>
          <w:szCs w:val="24"/>
          <w:lang w:val="en-US"/>
        </w:rPr>
        <w:t>A </w:t>
      </w:r>
      <w:r w:rsidRPr="00D4761A">
        <w:rPr>
          <w:rFonts w:cstheme="minorHAnsi"/>
          <w:noProof/>
          <w:szCs w:val="24"/>
          <w:lang w:val="en-US"/>
        </w:rPr>
        <w:t>Fully Magnetically Levitated Left Ventricular Assist Device - Final Report. N Engl J Med. 2019 Apr 25;380(17):1618-1627. doi: 10.1056/NEJMoa1900486. Epub 2019 Mar 17. PMID: 30883052.</w:t>
      </w:r>
    </w:p>
    <w:bookmarkEnd w:id="78"/>
    <w:p w14:paraId="0F673C1C"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ISHLT Transplant Registry Quarterly Reports for Heart in Europe based on UNOS/ISHLT data as of Jan 5, 2018.</w:t>
      </w:r>
    </w:p>
    <w:p w14:paraId="0679C50F" w14:textId="5A188C9A"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 xml:space="preserve">Zimpfer D, Gustafsson F, Potapov E, Pya Y, Schmitto J, Berchtold-Herz M, Morshuis M, Shaw SM, Saeed D, Lavee J, Heatley G, Gazzola C, Garbade J. Two-year outcome after implantation of </w:t>
      </w:r>
      <w:r w:rsidR="00672ED4" w:rsidRPr="00D4761A">
        <w:rPr>
          <w:rFonts w:cstheme="minorHAnsi"/>
          <w:noProof/>
          <w:szCs w:val="24"/>
          <w:lang w:val="en-US"/>
        </w:rPr>
        <w:t>a </w:t>
      </w:r>
      <w:r w:rsidRPr="00D4761A">
        <w:rPr>
          <w:rFonts w:cstheme="minorHAnsi"/>
          <w:noProof/>
          <w:szCs w:val="24"/>
          <w:lang w:val="en-US"/>
        </w:rPr>
        <w:t>full magnetically levitated left ventricular assist device: results from the ELEVATE Registry. Eur Heart J. 2020 Oct 14;41(39):3801-3809. doi: 10.1093/eurheartj/ehaa639. PMID: 33107561.</w:t>
      </w:r>
    </w:p>
    <w:p w14:paraId="08897D7C"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Potapov EV, Antonides C, Crespo-Leiro MG, Combes A, Färber G, Hannan MM, Kukucka M, de Jonge N, Loforte A, Lund LH, Mohacsi P, Morshuis M, Netuka I, Özbaran M, Pappalardo F, Scandroglio AM, Schweiger M, Tsui S, Zimpfer D, Gustafsson F. 2019 EACTS Expert Consensus on long-term mechanical circulatory support. Eur J Cardiothorac Surg. 2019 Aug 1;56(2):230-270. doi: 10.1093/ejcts/ezz098. PMID: 31100109; PMCID: PMC6640909.</w:t>
      </w:r>
    </w:p>
    <w:p w14:paraId="1D9FB7E5"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Kirklin JK, Naftel DC, Stevenson LW, Kormos RL, Pagani FD, Miller MA, Ulisney K, Young JB. INTERMACS database for durable devices for circulatory support: first annual report. J Heart Lung Transplant. 2008 Oct;27(10):1065-72. doi: 10.1016/j.healun.2008.07.021. PMID: 18926395.</w:t>
      </w:r>
    </w:p>
    <w:p w14:paraId="135E885D"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lastRenderedPageBreak/>
        <w:t>Molina EJ, Shah P, Kiernan MS, Cornwell WK 3rd, Copeland H, Takeda K, Fernandez FG, Badhwar V, Habib RH, Jacobs JP, Koehl D, Kirklin JK, Pagani FD, Cowger JA. The Society of Thoracic Surgeons Intermacs 2020 Annual Report. Ann Thorac Surg. 2021 Mar;111(3):778-792. doi: 10.1016/j.athoracsur.2020.12.038. Epub 2021 Jan 16. PMID: 33465365.</w:t>
      </w:r>
    </w:p>
    <w:p w14:paraId="2CA205CB"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Pavlů L, Vícha M, Jelínek L, Táborský M, Petřková J. Longterm mechanical circulatory support for chronic heart failure - real life practice. Vnitr Lek. 2021 Winter;67(E-8):3-6. English. PMID: 35459327.</w:t>
      </w:r>
    </w:p>
    <w:p w14:paraId="5EC50473" w14:textId="447E79BE"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 xml:space="preserve">Barnard CN. The operation. </w:t>
      </w:r>
      <w:r w:rsidR="00672ED4" w:rsidRPr="00D4761A">
        <w:rPr>
          <w:rFonts w:cstheme="minorHAnsi"/>
          <w:noProof/>
          <w:szCs w:val="24"/>
          <w:lang w:val="en-US"/>
        </w:rPr>
        <w:t>A </w:t>
      </w:r>
      <w:r w:rsidRPr="00D4761A">
        <w:rPr>
          <w:rFonts w:cstheme="minorHAnsi"/>
          <w:noProof/>
          <w:szCs w:val="24"/>
          <w:lang w:val="en-US"/>
        </w:rPr>
        <w:t xml:space="preserve">human cardiac transplant: an interim report of </w:t>
      </w:r>
      <w:r w:rsidR="00672ED4" w:rsidRPr="00D4761A">
        <w:rPr>
          <w:rFonts w:cstheme="minorHAnsi"/>
          <w:noProof/>
          <w:szCs w:val="24"/>
          <w:lang w:val="en-US"/>
        </w:rPr>
        <w:t>a </w:t>
      </w:r>
      <w:r w:rsidRPr="00D4761A">
        <w:rPr>
          <w:rFonts w:cstheme="minorHAnsi"/>
          <w:noProof/>
          <w:szCs w:val="24"/>
          <w:lang w:val="en-US"/>
        </w:rPr>
        <w:t xml:space="preserve">successful operation performed at Groote Schuur Hospital, Cape Town. </w:t>
      </w:r>
      <w:r w:rsidR="00672ED4" w:rsidRPr="00D4761A">
        <w:rPr>
          <w:rFonts w:cstheme="minorHAnsi"/>
          <w:noProof/>
          <w:szCs w:val="24"/>
          <w:lang w:val="en-US"/>
        </w:rPr>
        <w:t>S </w:t>
      </w:r>
      <w:r w:rsidRPr="00D4761A">
        <w:rPr>
          <w:rFonts w:cstheme="minorHAnsi"/>
          <w:noProof/>
          <w:szCs w:val="24"/>
          <w:lang w:val="en-US"/>
        </w:rPr>
        <w:t>Afr Med J. 1967 Dec 30;41(48):1271-4. PMID: 4170370.</w:t>
      </w:r>
    </w:p>
    <w:p w14:paraId="4748A976" w14:textId="2AE1677D" w:rsidR="00AF5A33" w:rsidRPr="00D4761A" w:rsidRDefault="00AF5A33" w:rsidP="00AF5A33">
      <w:pPr>
        <w:pStyle w:val="Odstavecseseznamem"/>
        <w:numPr>
          <w:ilvl w:val="0"/>
          <w:numId w:val="10"/>
        </w:numPr>
        <w:ind w:left="426" w:hanging="426"/>
        <w:rPr>
          <w:rFonts w:cstheme="minorHAnsi"/>
          <w:noProof/>
          <w:szCs w:val="24"/>
          <w:lang w:val="en-US"/>
        </w:rPr>
      </w:pPr>
      <w:bookmarkStart w:id="79" w:name="_Hlk119363672"/>
      <w:r w:rsidRPr="00D4761A">
        <w:rPr>
          <w:rFonts w:cstheme="minorHAnsi"/>
          <w:noProof/>
          <w:szCs w:val="24"/>
          <w:lang w:val="en-US"/>
        </w:rPr>
        <w:t xml:space="preserve">Mehra MR, Canter CE, Hannan MM, Semigran MJ, Uber PA, Baran DA, Danziger-Isakov L, Kirklin JK, Kirk R, Kushwaha SS, Lund LH, Potena L, Ross HJ, Taylor DO, Verschuuren EAM, Zuckermann A; International Society for Heart Lung Transplantation (ISHLT) Infectious Diseases, Pediatric and Heart Failure and Transplantation Councils. The 2016 International Society for Heart Lung Transplantation listing criteria for heart transplantation: </w:t>
      </w:r>
      <w:r w:rsidR="00672ED4" w:rsidRPr="00D4761A">
        <w:rPr>
          <w:rFonts w:cstheme="minorHAnsi"/>
          <w:noProof/>
          <w:szCs w:val="24"/>
          <w:lang w:val="en-US"/>
        </w:rPr>
        <w:t>A </w:t>
      </w:r>
      <w:r w:rsidRPr="00D4761A">
        <w:rPr>
          <w:rFonts w:cstheme="minorHAnsi"/>
          <w:noProof/>
          <w:szCs w:val="24"/>
          <w:lang w:val="en-US"/>
        </w:rPr>
        <w:t>10-year update. J Heart Lung Transplant. 2016 Jan;35(1):1-23. doi: 10.1016/j.healun.2015.10.023. PMID: 26776864.</w:t>
      </w:r>
    </w:p>
    <w:p w14:paraId="4999ED1B"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Khush KK, Cherikh WS, Chambers DC, Harhay MO, Hayes D Jr, Hsich E, Meiser B, Potena L, Robinson A, Rossano JW, Sadavarte A, Singh TP, Zuckermann A, Stehlik J; International Society for Heart and Lung Transplantation. The International Thoracic Organ Transplant Registry of the International Society for Heart and Lung Transplantation: Thirty-sixth adult heart transplantation report - 2019; focus theme: Donor and recipient size match. J Heart Lung Transplant. 2019 Oct;38(10):1056-1066. doi: 10.1016/j.healun.2019.08.004. Epub 2019 Aug 10. Erratum in: J Heart Lung Transplant. 2020 Jan;39(1):91. PMID: 31548031; PMCID: PMC6816343.</w:t>
      </w:r>
    </w:p>
    <w:bookmarkEnd w:id="79"/>
    <w:p w14:paraId="312A0B76" w14:textId="497387FF"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 xml:space="preserve">Brännström M, Boman K. Effects of person-centred and integrated chronic heart failure and palliative home care. PREFER: </w:t>
      </w:r>
      <w:r w:rsidR="00672ED4" w:rsidRPr="00D4761A">
        <w:rPr>
          <w:rFonts w:cstheme="minorHAnsi"/>
          <w:noProof/>
          <w:szCs w:val="24"/>
          <w:lang w:val="en-US"/>
        </w:rPr>
        <w:t>a </w:t>
      </w:r>
      <w:r w:rsidRPr="00D4761A">
        <w:rPr>
          <w:rFonts w:cstheme="minorHAnsi"/>
          <w:noProof/>
          <w:szCs w:val="24"/>
          <w:lang w:val="en-US"/>
        </w:rPr>
        <w:t>randomized controlled study. Eur J Heart Fail. 2014 Oct;16(10):1142-51. doi: 10.1002/ejhf.151. Epub 2014 Aug 27. PMID: 25159126.</w:t>
      </w:r>
    </w:p>
    <w:p w14:paraId="40424E51" w14:textId="51A5D7AF" w:rsidR="002906F3" w:rsidRPr="00D4761A" w:rsidRDefault="002303B1" w:rsidP="002906F3">
      <w:r w:rsidRPr="00D4761A">
        <w:rPr>
          <w:rFonts w:cstheme="minorHAnsi"/>
          <w:noProof/>
          <w:szCs w:val="24"/>
          <w:lang w:val="en-US"/>
        </w:rPr>
        <w:t xml:space="preserve"> </w:t>
      </w:r>
    </w:p>
    <w:p w14:paraId="389AB99A" w14:textId="270332EB" w:rsidR="00597804" w:rsidRPr="00D4761A" w:rsidRDefault="002906F3" w:rsidP="002303B1">
      <w:pPr>
        <w:pStyle w:val="Odstavecseseznamem"/>
        <w:numPr>
          <w:ilvl w:val="0"/>
          <w:numId w:val="10"/>
        </w:numPr>
        <w:ind w:left="426" w:hanging="426"/>
        <w:rPr>
          <w:rFonts w:cstheme="minorHAnsi"/>
          <w:noProof/>
          <w:szCs w:val="24"/>
          <w:lang w:val="en-GB"/>
        </w:rPr>
      </w:pPr>
      <w:r w:rsidRPr="00D4761A">
        <w:rPr>
          <w:lang w:val="en-GB"/>
        </w:rPr>
        <w:t> Pavlu</w:t>
      </w:r>
      <w:r w:rsidR="00AE5A82" w:rsidRPr="00D4761A">
        <w:rPr>
          <w:lang w:val="en-GB"/>
        </w:rPr>
        <w:t xml:space="preserve"> L</w:t>
      </w:r>
      <w:r w:rsidRPr="00D4761A">
        <w:rPr>
          <w:lang w:val="en-GB"/>
        </w:rPr>
        <w:t>, Vicha</w:t>
      </w:r>
      <w:r w:rsidR="00AE5A82" w:rsidRPr="00D4761A">
        <w:rPr>
          <w:lang w:val="en-GB"/>
        </w:rPr>
        <w:t xml:space="preserve"> M</w:t>
      </w:r>
      <w:r w:rsidRPr="00D4761A">
        <w:rPr>
          <w:lang w:val="en-GB"/>
        </w:rPr>
        <w:t>, Flasik</w:t>
      </w:r>
      <w:r w:rsidR="00AE5A82" w:rsidRPr="00D4761A">
        <w:rPr>
          <w:lang w:val="en-GB"/>
        </w:rPr>
        <w:t xml:space="preserve"> J</w:t>
      </w:r>
      <w:r w:rsidRPr="00D4761A">
        <w:rPr>
          <w:lang w:val="en-GB"/>
        </w:rPr>
        <w:t>,</w:t>
      </w:r>
      <w:r w:rsidR="00F828CD" w:rsidRPr="00D4761A">
        <w:rPr>
          <w:lang w:val="en-GB"/>
        </w:rPr>
        <w:t xml:space="preserve"> </w:t>
      </w:r>
      <w:r w:rsidRPr="00D4761A">
        <w:rPr>
          <w:lang w:val="en-GB"/>
        </w:rPr>
        <w:t>Petrkova</w:t>
      </w:r>
      <w:r w:rsidR="00AE5A82" w:rsidRPr="00D4761A">
        <w:rPr>
          <w:lang w:val="en-GB"/>
        </w:rPr>
        <w:t xml:space="preserve"> J</w:t>
      </w:r>
      <w:r w:rsidRPr="00D4761A">
        <w:rPr>
          <w:lang w:val="en-GB"/>
        </w:rPr>
        <w:t>,</w:t>
      </w:r>
      <w:r w:rsidR="00AE5A82" w:rsidRPr="00D4761A">
        <w:rPr>
          <w:lang w:val="en-GB"/>
        </w:rPr>
        <w:t xml:space="preserve"> </w:t>
      </w:r>
      <w:r w:rsidRPr="00D4761A">
        <w:rPr>
          <w:lang w:val="en-GB"/>
        </w:rPr>
        <w:t>Taborsky</w:t>
      </w:r>
      <w:r w:rsidR="00AE5A82" w:rsidRPr="00D4761A">
        <w:rPr>
          <w:lang w:val="en-GB"/>
        </w:rPr>
        <w:t xml:space="preserve"> M</w:t>
      </w:r>
      <w:r w:rsidRPr="00D4761A">
        <w:rPr>
          <w:lang w:val="en-GB"/>
        </w:rPr>
        <w:t>,</w:t>
      </w:r>
      <w:r w:rsidR="00AE5A82" w:rsidRPr="00D4761A">
        <w:rPr>
          <w:lang w:val="en-GB"/>
        </w:rPr>
        <w:t xml:space="preserve"> </w:t>
      </w:r>
      <w:r w:rsidR="00F828CD" w:rsidRPr="00D4761A">
        <w:rPr>
          <w:lang w:val="en-GB"/>
        </w:rPr>
        <w:t xml:space="preserve">Kacirkova T, </w:t>
      </w:r>
      <w:r w:rsidRPr="00D4761A">
        <w:rPr>
          <w:lang w:val="en-GB"/>
        </w:rPr>
        <w:t>Holy</w:t>
      </w:r>
      <w:r w:rsidR="00AE5A82" w:rsidRPr="00D4761A">
        <w:rPr>
          <w:lang w:val="en-GB"/>
        </w:rPr>
        <w:t xml:space="preserve"> O</w:t>
      </w:r>
      <w:r w:rsidRPr="00D4761A">
        <w:rPr>
          <w:lang w:val="en-GB"/>
        </w:rPr>
        <w:t xml:space="preserve">. A Comparison of heart failure patients with reduced ejection fraction in the Moravian Midlands Registry </w:t>
      </w:r>
      <w:r w:rsidRPr="00D4761A">
        <w:rPr>
          <w:lang w:val="en-GB"/>
        </w:rPr>
        <w:lastRenderedPageBreak/>
        <w:t>with the LCZ696 group of patients in Paradigm-HF trial. Biomed Pap Med Fac Univ Palacky Olomouc Czech Repub.</w:t>
      </w:r>
      <w:r w:rsidR="00E3373A" w:rsidRPr="00D4761A">
        <w:rPr>
          <w:lang w:val="en-GB"/>
        </w:rPr>
        <w:t xml:space="preserve"> </w:t>
      </w:r>
      <w:r w:rsidR="00D4761A" w:rsidRPr="00D4761A">
        <w:rPr>
          <w:lang w:val="en-GB"/>
        </w:rPr>
        <w:t>accepted 2023 Jan 17</w:t>
      </w:r>
      <w:r w:rsidR="00557557" w:rsidRPr="00D4761A">
        <w:rPr>
          <w:lang w:val="en-GB"/>
        </w:rPr>
        <w:t>.</w:t>
      </w:r>
    </w:p>
    <w:p w14:paraId="350681DD" w14:textId="58E2551E" w:rsidR="00AF5A33" w:rsidRPr="00D4761A" w:rsidRDefault="00AF5A33" w:rsidP="002303B1">
      <w:pPr>
        <w:pStyle w:val="Odstavecseseznamem"/>
        <w:numPr>
          <w:ilvl w:val="0"/>
          <w:numId w:val="10"/>
        </w:numPr>
        <w:ind w:left="426" w:hanging="426"/>
        <w:rPr>
          <w:rFonts w:cstheme="minorHAnsi"/>
          <w:noProof/>
          <w:szCs w:val="24"/>
          <w:lang w:val="en-US"/>
        </w:rPr>
      </w:pPr>
      <w:r w:rsidRPr="00D4761A">
        <w:rPr>
          <w:rFonts w:cstheme="minorHAnsi"/>
          <w:noProof/>
          <w:szCs w:val="24"/>
          <w:lang w:val="en-US"/>
        </w:rPr>
        <w:t xml:space="preserve">Vicha M, Skala T, Jelinek L, Pavlu L, Jarkovsky J, Dusek L, Benesova K, Taborsky M. Pharmacotherapy of diabetes mellitus in patients with heart failure </w:t>
      </w:r>
      <w:r w:rsidR="00984F42" w:rsidRPr="00D4761A">
        <w:rPr>
          <w:rFonts w:cstheme="minorHAnsi"/>
          <w:noProof/>
          <w:szCs w:val="24"/>
          <w:lang w:val="en-US"/>
        </w:rPr>
        <w:t>–</w:t>
      </w:r>
      <w:r w:rsidRPr="00D4761A">
        <w:rPr>
          <w:rFonts w:cstheme="minorHAnsi"/>
          <w:noProof/>
          <w:szCs w:val="24"/>
          <w:lang w:val="en-US"/>
        </w:rPr>
        <w:t xml:space="preserve"> </w:t>
      </w:r>
      <w:r w:rsidR="00672ED4" w:rsidRPr="00D4761A">
        <w:rPr>
          <w:rFonts w:cstheme="minorHAnsi"/>
          <w:noProof/>
          <w:szCs w:val="24"/>
          <w:lang w:val="en-US"/>
        </w:rPr>
        <w:t>a </w:t>
      </w:r>
      <w:r w:rsidRPr="00D4761A">
        <w:rPr>
          <w:rFonts w:cstheme="minorHAnsi"/>
          <w:noProof/>
          <w:szCs w:val="24"/>
          <w:lang w:val="en-US"/>
        </w:rPr>
        <w:t>nation-wide analysis of contemporary treatment. Biomed Pap Med Fac Univ Palacky Olomouc Czech Repub. 2021 Dec 9. doi: 10.5507/bp.2021.069. Epub ahead of print. PMID: 34897297.</w:t>
      </w:r>
    </w:p>
    <w:p w14:paraId="55B0C683"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https://www.czso.cz/documents/10180/143060175/2701392102.pdf/d9eb416a-e1aa-4f7c-99ae-ce37da9600ad?version=1.3</w:t>
      </w:r>
    </w:p>
    <w:p w14:paraId="79BC7783" w14:textId="77777777"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Málek F, Málek I, Táborský M, et al. Praktické aspekty zakládání ambulancí srdečního selhání. Cor Vasa 2021;63:619–625.</w:t>
      </w:r>
    </w:p>
    <w:p w14:paraId="4E41DA52" w14:textId="267937B9"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 xml:space="preserve">Raatikainen MJP, Arnar DO, Merkely B, Nielsen JC, Hindricks G, Heidbuchel H, Camm J. </w:t>
      </w:r>
      <w:r w:rsidR="00672ED4" w:rsidRPr="00D4761A">
        <w:rPr>
          <w:rFonts w:cstheme="minorHAnsi"/>
          <w:noProof/>
          <w:szCs w:val="24"/>
          <w:lang w:val="en-US"/>
        </w:rPr>
        <w:t>A </w:t>
      </w:r>
      <w:r w:rsidRPr="00D4761A">
        <w:rPr>
          <w:rFonts w:cstheme="minorHAnsi"/>
          <w:noProof/>
          <w:szCs w:val="24"/>
          <w:lang w:val="en-US"/>
        </w:rPr>
        <w:t>Decade of Information on the Use of Cardiac Implantable Electronic Devices and Interventional Electrophysiological Procedures in the European Society of Cardiology Countries: 2017 Report from the European Heart Rhythm Association. Europace. 2017 Aug 1;19(suppl_2):ii1-ii90. doi: 10.1093/europace/eux258. PMID: 28903470.</w:t>
      </w:r>
    </w:p>
    <w:p w14:paraId="4F614DD6" w14:textId="4CBA5A52"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 xml:space="preserve">Aiglova R, Taborsky M, Lazarova M, Pavlu L, Danek J, Precek J, Schee A, Gloger V, Cernicek V, Vicha M, Skala T. Angiotensin-converting enzyme inhibitors, angiotensin-II-receptor antagonists and angiotensin-receptor blocker/neprilysin inhibitor utilization in heart failure patients: Sub-analysis of </w:t>
      </w:r>
      <w:r w:rsidR="00672ED4" w:rsidRPr="00D4761A">
        <w:rPr>
          <w:rFonts w:cstheme="minorHAnsi"/>
          <w:noProof/>
          <w:szCs w:val="24"/>
          <w:lang w:val="en-US"/>
        </w:rPr>
        <w:t>a </w:t>
      </w:r>
      <w:r w:rsidRPr="00D4761A">
        <w:rPr>
          <w:rFonts w:cstheme="minorHAnsi"/>
          <w:noProof/>
          <w:szCs w:val="24"/>
          <w:lang w:val="en-US"/>
        </w:rPr>
        <w:t>nation-wide population-based study in the Czech Republic. Biomed Pap Med Fac Univ Palacky Olomouc Czech Repub. 2022 Sep;166(3):322-327. doi: 10.5507/bp.2021.035. Epub 2021 Jun 4. PMID: 34092792.</w:t>
      </w:r>
    </w:p>
    <w:p w14:paraId="62F3E09C" w14:textId="3F4BD761" w:rsidR="00AF5A33" w:rsidRPr="00D4761A" w:rsidRDefault="00AF5A33" w:rsidP="00AF5A33">
      <w:pPr>
        <w:pStyle w:val="Odstavecseseznamem"/>
        <w:numPr>
          <w:ilvl w:val="0"/>
          <w:numId w:val="10"/>
        </w:numPr>
        <w:ind w:left="426" w:hanging="426"/>
        <w:rPr>
          <w:rFonts w:cstheme="minorHAnsi"/>
          <w:noProof/>
          <w:szCs w:val="24"/>
          <w:lang w:val="en-US"/>
        </w:rPr>
      </w:pPr>
      <w:r w:rsidRPr="00D4761A">
        <w:rPr>
          <w:rFonts w:cstheme="minorHAnsi"/>
          <w:noProof/>
          <w:szCs w:val="24"/>
          <w:lang w:val="en-US"/>
        </w:rPr>
        <w:t xml:space="preserve">Taborsky M, Aiglova R, Lazarova M, Pavlu L, Danek J, Precek J, Schee A, Gloger V, Vicha M, Skala T. Beta-blockers utilization in heart failure patients: Sub-analysis of </w:t>
      </w:r>
      <w:r w:rsidR="00672ED4" w:rsidRPr="00D4761A">
        <w:rPr>
          <w:rFonts w:cstheme="minorHAnsi"/>
          <w:noProof/>
          <w:szCs w:val="24"/>
          <w:lang w:val="en-US"/>
        </w:rPr>
        <w:t>a </w:t>
      </w:r>
      <w:r w:rsidRPr="00D4761A">
        <w:rPr>
          <w:rFonts w:cstheme="minorHAnsi"/>
          <w:noProof/>
          <w:szCs w:val="24"/>
          <w:lang w:val="en-US"/>
        </w:rPr>
        <w:t>nation-wide population-based study in the Czech Republic. Biomed Pap Med Fac Univ Palacky Olomouc Czech Repub. 2021 Nov;165(4):402-407. doi: 10.5507/bp.2020.057. Epub 2020 Dec 15. PMID: 33325457.</w:t>
      </w:r>
    </w:p>
    <w:p w14:paraId="42B7466B" w14:textId="77777777" w:rsidR="00A063D5" w:rsidRPr="00D4761A" w:rsidRDefault="00AF5A33" w:rsidP="001A589F">
      <w:pPr>
        <w:pStyle w:val="Odstavecseseznamem"/>
        <w:numPr>
          <w:ilvl w:val="0"/>
          <w:numId w:val="10"/>
        </w:numPr>
        <w:ind w:left="426" w:hanging="426"/>
        <w:rPr>
          <w:rFonts w:cstheme="minorHAnsi"/>
          <w:noProof/>
          <w:szCs w:val="24"/>
          <w:lang w:val="en-US"/>
        </w:rPr>
      </w:pPr>
      <w:bookmarkStart w:id="80" w:name="_Hlk119365562"/>
      <w:r w:rsidRPr="00D4761A">
        <w:rPr>
          <w:rFonts w:cstheme="minorHAnsi"/>
          <w:noProof/>
          <w:szCs w:val="24"/>
          <w:lang w:val="en-US"/>
        </w:rPr>
        <w:t>Jelínek L, Václavík J, Ramík Z, Pavlů L, Benešová K, Jarkovský J, Lazárová M, Janečková H, Spurná J, Táborský M. Directly Measured Adherence to Treatment in Chronic Heart Failure: LEVEL-CHF Registry. Am J Med Sci. 2021 Apr;361(4):491-498. doi: 10.1016/j.amjms.2020.12.004. Epub 2020 Dec 7. PMID: 33781390.</w:t>
      </w:r>
      <w:bookmarkStart w:id="81" w:name="_Hlk119449332"/>
      <w:bookmarkEnd w:id="80"/>
    </w:p>
    <w:p w14:paraId="2FC11BBD" w14:textId="77777777" w:rsidR="00A063D5" w:rsidRPr="00D4761A" w:rsidRDefault="00A1380B" w:rsidP="001A589F">
      <w:pPr>
        <w:pStyle w:val="Odstavecseseznamem"/>
        <w:numPr>
          <w:ilvl w:val="0"/>
          <w:numId w:val="10"/>
        </w:numPr>
        <w:ind w:left="426" w:hanging="426"/>
        <w:rPr>
          <w:rFonts w:cstheme="minorHAnsi"/>
          <w:noProof/>
          <w:szCs w:val="24"/>
          <w:lang w:val="en-US"/>
        </w:rPr>
      </w:pPr>
      <w:r w:rsidRPr="00D4761A">
        <w:rPr>
          <w:noProof/>
          <w:lang w:val="en-US"/>
        </w:rPr>
        <w:t>Evangelista L, Doering LV, Dracup K, Westlake C, Hamilton M, Fonarow GC. Compliance behaviors of elderly patients with advanced heart failure. J Cardiovasc Nurs. 2003 Jul-</w:t>
      </w:r>
      <w:r w:rsidRPr="00D4761A">
        <w:rPr>
          <w:noProof/>
          <w:lang w:val="en-US"/>
        </w:rPr>
        <w:lastRenderedPageBreak/>
        <w:t>Aug;18(3):197-206; quiz 207-8. doi: 10.1097/00005082-200307000-00005. PMID: 12837010.</w:t>
      </w:r>
    </w:p>
    <w:p w14:paraId="10C3ED93" w14:textId="77777777" w:rsidR="00A063D5" w:rsidRPr="00D4761A" w:rsidRDefault="001A589F" w:rsidP="00597804">
      <w:pPr>
        <w:pStyle w:val="Odstavecseseznamem"/>
        <w:numPr>
          <w:ilvl w:val="0"/>
          <w:numId w:val="10"/>
        </w:numPr>
        <w:ind w:left="426" w:hanging="426"/>
        <w:rPr>
          <w:rFonts w:cstheme="minorHAnsi"/>
          <w:noProof/>
          <w:szCs w:val="24"/>
          <w:lang w:val="en-US"/>
        </w:rPr>
      </w:pPr>
      <w:r w:rsidRPr="00D4761A">
        <w:rPr>
          <w:noProof/>
          <w:lang w:val="en-US"/>
        </w:rPr>
        <w:t>Bohachick P, Burke LE, Sereika S, Murali S, Dunbar-Jacob J. Adherence to angiotensin-converting enzyme inhibitor therapy for heart failure. Prog Cardiovasc Nurs. 2002 Fall;17(4):160-6. doi: 10.1111/j.0889-7204.2002.01643.x. PMID: 12417831.</w:t>
      </w:r>
    </w:p>
    <w:p w14:paraId="514E1372" w14:textId="77777777" w:rsidR="00A063D5" w:rsidRPr="00D4761A" w:rsidRDefault="002D142E" w:rsidP="00597804">
      <w:pPr>
        <w:pStyle w:val="Odstavecseseznamem"/>
        <w:numPr>
          <w:ilvl w:val="0"/>
          <w:numId w:val="10"/>
        </w:numPr>
        <w:ind w:left="426" w:hanging="426"/>
        <w:rPr>
          <w:rFonts w:cstheme="minorHAnsi"/>
          <w:noProof/>
          <w:szCs w:val="24"/>
          <w:lang w:val="en-US"/>
        </w:rPr>
      </w:pPr>
      <w:r w:rsidRPr="00D4761A">
        <w:rPr>
          <w:noProof/>
          <w:lang w:val="en-US"/>
        </w:rPr>
        <w:t>Pelouch R, Voříšek V, Furmanová V, Solař M. The Assessment of Serum Drug Levels to Diagnose Non-Adherence in Stable Chronic Heart Failure Patients. Acta Medica (Hradec Kralove). 2019;62(2):52-57. doi: 10.14712/18059694.2019.46. Epub 2019 Apr 23. PMID: 31012842.</w:t>
      </w:r>
    </w:p>
    <w:p w14:paraId="6E0F54ED" w14:textId="77777777" w:rsidR="00A063D5" w:rsidRPr="00D4761A" w:rsidRDefault="00F72700" w:rsidP="00597804">
      <w:pPr>
        <w:pStyle w:val="Odstavecseseznamem"/>
        <w:numPr>
          <w:ilvl w:val="0"/>
          <w:numId w:val="10"/>
        </w:numPr>
        <w:ind w:left="426" w:hanging="426"/>
        <w:rPr>
          <w:rFonts w:cstheme="minorHAnsi"/>
          <w:noProof/>
          <w:szCs w:val="24"/>
          <w:lang w:val="en-US"/>
        </w:rPr>
      </w:pPr>
      <w:r w:rsidRPr="00D4761A">
        <w:rPr>
          <w:noProof/>
          <w:lang w:val="en-US"/>
        </w:rPr>
        <w:t>Gislason GH, Rasmussen JN, Abildstrom SZ, Schramm TK, Hansen ML, Buch P, Sørensen R, Folke F, Gadsbøll N, Rasmussen S, Køber L, Madsen M, Torp-Pedersen C. Persistent use of evidence-based pharmacotherapy in heart failure is associated with improved outcomes. Circulation. 2007 Aug 14;116(7):737-44. doi: 10.1161/CIRCULATIONAHA.106.669101. Epub 2007 Jul 23. PMID: 17646585.</w:t>
      </w:r>
    </w:p>
    <w:p w14:paraId="477D9645" w14:textId="77777777" w:rsidR="00A063D5" w:rsidRPr="00D4761A" w:rsidRDefault="00554EDA" w:rsidP="001A589F">
      <w:pPr>
        <w:pStyle w:val="Odstavecseseznamem"/>
        <w:numPr>
          <w:ilvl w:val="0"/>
          <w:numId w:val="10"/>
        </w:numPr>
        <w:ind w:left="426" w:hanging="426"/>
        <w:rPr>
          <w:rFonts w:cstheme="minorHAnsi"/>
          <w:noProof/>
          <w:szCs w:val="24"/>
          <w:lang w:val="en-US"/>
        </w:rPr>
      </w:pPr>
      <w:r w:rsidRPr="00D4761A">
        <w:rPr>
          <w:noProof/>
          <w:lang w:val="en-US"/>
        </w:rPr>
        <w:t>Van Wijk BL, Klungel OH, Heerdink ER, de Boer A. Rate and determinants of 10-year persistence with antihypertensive drugs. J Hypertens. 2005 Nov;23(11):2101-7. doi: 10.1097/01.hjh.0000187261.40190.2e. PMID: 16208154.</w:t>
      </w:r>
    </w:p>
    <w:p w14:paraId="43A97224" w14:textId="77777777" w:rsidR="00A063D5" w:rsidRPr="00D4761A" w:rsidRDefault="0068153A" w:rsidP="001A589F">
      <w:pPr>
        <w:pStyle w:val="Odstavecseseznamem"/>
        <w:numPr>
          <w:ilvl w:val="0"/>
          <w:numId w:val="10"/>
        </w:numPr>
        <w:ind w:left="426" w:hanging="426"/>
        <w:rPr>
          <w:rFonts w:cstheme="minorHAnsi"/>
          <w:noProof/>
          <w:szCs w:val="24"/>
          <w:lang w:val="en-US"/>
        </w:rPr>
      </w:pPr>
      <w:r w:rsidRPr="00D4761A">
        <w:rPr>
          <w:noProof/>
          <w:lang w:val="en-US"/>
        </w:rPr>
        <w:t>Testani JM, Cappola TP, Brensinger CM, Shannon RP, Kimmel SE. Interaction between loop diuretic-associated mortality and blood urea nitrogen concentration in chronic heart failure. J Am Coll Cardiol. 2011 Jul 19;58(4):375-82. doi: 10.1016/j.jacc.2011.01.052. PMID: 21757114; PMCID: PMC3980479.</w:t>
      </w:r>
    </w:p>
    <w:p w14:paraId="4D84161B" w14:textId="568CAB8A" w:rsidR="001B30AD" w:rsidRPr="00D4761A" w:rsidRDefault="001B30AD" w:rsidP="001A589F">
      <w:pPr>
        <w:pStyle w:val="Odstavecseseznamem"/>
        <w:numPr>
          <w:ilvl w:val="0"/>
          <w:numId w:val="10"/>
        </w:numPr>
        <w:ind w:left="426" w:hanging="426"/>
        <w:rPr>
          <w:rFonts w:cstheme="minorHAnsi"/>
          <w:noProof/>
          <w:szCs w:val="24"/>
          <w:lang w:val="en-US"/>
        </w:rPr>
      </w:pPr>
      <w:r w:rsidRPr="00D4761A">
        <w:rPr>
          <w:noProof/>
          <w:lang w:val="en-US"/>
        </w:rPr>
        <w:t xml:space="preserve">Oosterom-Calo R, van Ballegooijen AJ, Terwee CB, te Velde SJ, Brouwer IA, Jaarsma T, Brug J. Determinants of adherence to heart failure medication: </w:t>
      </w:r>
      <w:r w:rsidR="00672ED4" w:rsidRPr="00D4761A">
        <w:rPr>
          <w:noProof/>
          <w:lang w:val="en-US"/>
        </w:rPr>
        <w:t>a </w:t>
      </w:r>
      <w:r w:rsidRPr="00D4761A">
        <w:rPr>
          <w:noProof/>
          <w:lang w:val="en-US"/>
        </w:rPr>
        <w:t>systematic literature review. Heart Fail Rev. 2013 Jul;18(4):409-27. doi: 10.1007/s10741-012-9321-3. PMID: 22723048; PMCID: PMC3677977.</w:t>
      </w:r>
    </w:p>
    <w:p w14:paraId="3D232A03" w14:textId="1C04174A" w:rsidR="00AF5A33" w:rsidRPr="00D4761A" w:rsidRDefault="00AF5A33" w:rsidP="006208B9">
      <w:pPr>
        <w:pStyle w:val="Nadpis1"/>
      </w:pPr>
      <w:bookmarkStart w:id="82" w:name="_Toc120547471"/>
      <w:bookmarkStart w:id="83" w:name="_Hlk119449567"/>
      <w:bookmarkEnd w:id="81"/>
      <w:r w:rsidRPr="00D4761A">
        <w:lastRenderedPageBreak/>
        <w:t xml:space="preserve">Seznam publikační </w:t>
      </w:r>
      <w:r w:rsidR="00672ED4" w:rsidRPr="00D4761A">
        <w:t>a </w:t>
      </w:r>
      <w:r w:rsidRPr="00D4761A">
        <w:t>přednáškové aktivity (kongresové prezentace s abstraktem pouze jako první autor)</w:t>
      </w:r>
      <w:bookmarkEnd w:id="82"/>
    </w:p>
    <w:p w14:paraId="7C2370F8" w14:textId="77777777" w:rsidR="00597804" w:rsidRPr="00D4761A" w:rsidRDefault="00AF5A33" w:rsidP="00A063D5">
      <w:pPr>
        <w:pStyle w:val="Nadpis2"/>
      </w:pPr>
      <w:r w:rsidRPr="00D4761A">
        <w:t>Publikace související s disertační prací:</w:t>
      </w:r>
    </w:p>
    <w:p w14:paraId="1ED43596" w14:textId="77777777" w:rsidR="00597804" w:rsidRPr="00D4761A" w:rsidRDefault="00AF5A33" w:rsidP="00A063D5">
      <w:pPr>
        <w:pStyle w:val="Nadpis3"/>
      </w:pPr>
      <w:r w:rsidRPr="00D4761A">
        <w:t>Původní vědecké publikace in extenso v daném oboru uveřejněné v časopisech s IF:</w:t>
      </w:r>
    </w:p>
    <w:p w14:paraId="1A54B28B" w14:textId="1A30BAE2" w:rsidR="00597804" w:rsidRPr="00D4761A" w:rsidRDefault="00AF5A33" w:rsidP="00597804">
      <w:pPr>
        <w:rPr>
          <w:lang w:val="en-US"/>
        </w:rPr>
      </w:pPr>
      <w:r w:rsidRPr="00D4761A">
        <w:rPr>
          <w:lang w:val="en-US"/>
        </w:rPr>
        <w:t xml:space="preserve">Taborsky M, Aiglova R, Lazarova M, </w:t>
      </w:r>
      <w:r w:rsidRPr="00D4761A">
        <w:rPr>
          <w:b/>
          <w:lang w:val="en-US"/>
        </w:rPr>
        <w:t>Pavlu L</w:t>
      </w:r>
      <w:r w:rsidRPr="00D4761A">
        <w:rPr>
          <w:lang w:val="en-US"/>
        </w:rPr>
        <w:t xml:space="preserve">, Danek J, Precek J, Schee A, Gloger V, Vicha M, Skala T. Beta-blockers utilization in heart failure patients: Sub-analysis of </w:t>
      </w:r>
      <w:r w:rsidR="00672ED4" w:rsidRPr="00D4761A">
        <w:rPr>
          <w:lang w:val="en-US"/>
        </w:rPr>
        <w:t>a </w:t>
      </w:r>
      <w:r w:rsidRPr="00D4761A">
        <w:rPr>
          <w:lang w:val="en-US"/>
        </w:rPr>
        <w:t>nation-wide population-based study in the Czech Republic. Biomed Pap Med Fac Univ Palacky Olomouc Czech Repub. 2020 Dec 15.</w:t>
      </w:r>
    </w:p>
    <w:p w14:paraId="3255ACA4" w14:textId="4E186E85" w:rsidR="00AF5A33" w:rsidRPr="00D4761A" w:rsidRDefault="00AF5A33" w:rsidP="00AF5A33">
      <w:pPr>
        <w:rPr>
          <w:rFonts w:cstheme="minorHAnsi"/>
          <w:b/>
          <w:szCs w:val="24"/>
        </w:rPr>
      </w:pPr>
      <w:r w:rsidRPr="00D4761A">
        <w:rPr>
          <w:rFonts w:cstheme="minorHAnsi"/>
          <w:b/>
          <w:szCs w:val="24"/>
        </w:rPr>
        <w:t>IF 1,245</w:t>
      </w:r>
    </w:p>
    <w:p w14:paraId="2A97147D" w14:textId="77777777" w:rsidR="006208B9" w:rsidRPr="00D4761A" w:rsidRDefault="006208B9" w:rsidP="00AF5A33"/>
    <w:p w14:paraId="75F74539" w14:textId="77777777" w:rsidR="00597804" w:rsidRPr="00D4761A" w:rsidRDefault="00AF5A33" w:rsidP="00AF5A33">
      <w:pPr>
        <w:rPr>
          <w:lang w:val="en-US"/>
        </w:rPr>
      </w:pPr>
      <w:r w:rsidRPr="00D4761A">
        <w:t xml:space="preserve">Jelínek L, Václavík J, Ramík Z, </w:t>
      </w:r>
      <w:r w:rsidRPr="00D4761A">
        <w:rPr>
          <w:b/>
        </w:rPr>
        <w:t>Pavlů L</w:t>
      </w:r>
      <w:r w:rsidRPr="00D4761A">
        <w:t xml:space="preserve">, Benešová K, Jarkovský J, Lazárová M, Janečková H, Spurná J, Táborský M. Directly Measured Adherence to Treatment in Chronic Heart Failure: LEVEL-CHF Registry. </w:t>
      </w:r>
      <w:r w:rsidRPr="00D4761A">
        <w:rPr>
          <w:lang w:val="en-US"/>
        </w:rPr>
        <w:t>Am J Med Sci. 2021 Apr;361(4):491-498.</w:t>
      </w:r>
    </w:p>
    <w:p w14:paraId="1B8BA8EE" w14:textId="3E524A40" w:rsidR="00AF5A33" w:rsidRPr="00D4761A" w:rsidRDefault="00AF5A33" w:rsidP="00B56B13">
      <w:pPr>
        <w:rPr>
          <w:b/>
        </w:rPr>
      </w:pPr>
      <w:r w:rsidRPr="00D4761A">
        <w:rPr>
          <w:b/>
        </w:rPr>
        <w:t>IF 2,378</w:t>
      </w:r>
    </w:p>
    <w:p w14:paraId="00F9C2A0" w14:textId="77777777" w:rsidR="006208B9" w:rsidRPr="00D4761A" w:rsidRDefault="006208B9" w:rsidP="00AF5A33"/>
    <w:p w14:paraId="4DA33F3C" w14:textId="1E7C4140" w:rsidR="00597804" w:rsidRPr="00D4761A" w:rsidRDefault="00AF5A33" w:rsidP="00AF5A33">
      <w:pPr>
        <w:rPr>
          <w:lang w:val="en-US"/>
        </w:rPr>
      </w:pPr>
      <w:r w:rsidRPr="00D4761A">
        <w:rPr>
          <w:lang w:val="en-US"/>
        </w:rPr>
        <w:t xml:space="preserve">Aiglova R, Taborsky M, Lazarova M, </w:t>
      </w:r>
      <w:r w:rsidRPr="00D4761A">
        <w:rPr>
          <w:b/>
          <w:lang w:val="en-US"/>
        </w:rPr>
        <w:t>Pavlu L</w:t>
      </w:r>
      <w:r w:rsidRPr="00D4761A">
        <w:rPr>
          <w:lang w:val="en-US"/>
        </w:rPr>
        <w:t xml:space="preserve">, Danek J, Precek J, Schee A, Gloger V, Cernicek V, Vicha M, Skala T. Angiotensin-converting enzyme inhibitors, angiotensin-II-receptor antagonists and angiotensin-receptor blocker/neprilysin inhibitor utilization in heart failure patients: Sub-analysis of </w:t>
      </w:r>
      <w:r w:rsidR="00672ED4" w:rsidRPr="00D4761A">
        <w:rPr>
          <w:lang w:val="en-US"/>
        </w:rPr>
        <w:t>a </w:t>
      </w:r>
      <w:r w:rsidRPr="00D4761A">
        <w:rPr>
          <w:lang w:val="en-US"/>
        </w:rPr>
        <w:t>nation-wide population-based study in the Czech Republic. Biomed Pap Med Fac Univ Palacky Olomouc Czech Repub. 2021 Jun 4.</w:t>
      </w:r>
    </w:p>
    <w:p w14:paraId="3F5621CE" w14:textId="61B744CA" w:rsidR="00AF5A33" w:rsidRPr="00D4761A" w:rsidRDefault="00AF5A33" w:rsidP="00AF5A33">
      <w:pPr>
        <w:rPr>
          <w:rFonts w:cstheme="minorHAnsi"/>
          <w:b/>
          <w:szCs w:val="24"/>
        </w:rPr>
      </w:pPr>
      <w:r w:rsidRPr="00D4761A">
        <w:rPr>
          <w:rFonts w:cstheme="minorHAnsi"/>
          <w:b/>
          <w:szCs w:val="24"/>
        </w:rPr>
        <w:t>IF 1,</w:t>
      </w:r>
      <w:r w:rsidR="002C7B8D" w:rsidRPr="00D4761A">
        <w:rPr>
          <w:rFonts w:cstheme="minorHAnsi"/>
          <w:b/>
          <w:szCs w:val="24"/>
        </w:rPr>
        <w:t>648</w:t>
      </w:r>
    </w:p>
    <w:p w14:paraId="665BB5F9" w14:textId="77777777" w:rsidR="00AF5A33" w:rsidRPr="00D4761A" w:rsidRDefault="00AF5A33" w:rsidP="00AF5A33"/>
    <w:p w14:paraId="6760FF00" w14:textId="45658CA1" w:rsidR="00AF5A33" w:rsidRPr="00D4761A" w:rsidRDefault="00AF5A33" w:rsidP="00AF5A33">
      <w:pPr>
        <w:rPr>
          <w:lang w:val="en-US"/>
        </w:rPr>
      </w:pPr>
      <w:r w:rsidRPr="00D4761A">
        <w:rPr>
          <w:lang w:val="en-US"/>
        </w:rPr>
        <w:t xml:space="preserve">Vicha M, Skala T, Jelinek L, </w:t>
      </w:r>
      <w:r w:rsidRPr="00D4761A">
        <w:rPr>
          <w:b/>
          <w:lang w:val="en-US"/>
        </w:rPr>
        <w:t>Pavlu L</w:t>
      </w:r>
      <w:r w:rsidRPr="00D4761A">
        <w:rPr>
          <w:lang w:val="en-US"/>
        </w:rPr>
        <w:t xml:space="preserve">, Jarkovsky J, Dusek L, Benesova K, Taborsky M. Pharmacotherapy of diabetes mellitus in patients with heart </w:t>
      </w:r>
      <w:r w:rsidR="00287F3B" w:rsidRPr="00D4761A">
        <w:rPr>
          <w:lang w:val="en-US"/>
        </w:rPr>
        <w:t xml:space="preserve">failure – </w:t>
      </w:r>
      <w:r w:rsidR="00672ED4" w:rsidRPr="00D4761A">
        <w:rPr>
          <w:lang w:val="en-US"/>
        </w:rPr>
        <w:t>a </w:t>
      </w:r>
      <w:r w:rsidRPr="00D4761A">
        <w:rPr>
          <w:lang w:val="en-US"/>
        </w:rPr>
        <w:t>nation-wide analysis of contemporary treatment. Biomed Pap Med Fac Univ Palacky Olomouc Czech Repub. 2021 Dec 9. doi: 10.5507/bp.2021.069. Epub ahead of print. PMID: 34897297.</w:t>
      </w:r>
    </w:p>
    <w:p w14:paraId="2C182C1A" w14:textId="77777777" w:rsidR="00597804" w:rsidRPr="00D4761A" w:rsidRDefault="00AF5A33" w:rsidP="00B56B13">
      <w:pPr>
        <w:rPr>
          <w:b/>
        </w:rPr>
      </w:pPr>
      <w:r w:rsidRPr="00D4761A">
        <w:rPr>
          <w:b/>
        </w:rPr>
        <w:t>IF 1,648</w:t>
      </w:r>
    </w:p>
    <w:p w14:paraId="57528EFC" w14:textId="0ABDBD69" w:rsidR="00C75F66" w:rsidRPr="00D4761A" w:rsidRDefault="00C75F66" w:rsidP="00B56B13"/>
    <w:p w14:paraId="38326E67" w14:textId="2F8D573D" w:rsidR="00E3373A" w:rsidRPr="00D4761A" w:rsidRDefault="00E3373A" w:rsidP="00B56B13">
      <w:pPr>
        <w:rPr>
          <w:lang w:val="en-GB"/>
        </w:rPr>
      </w:pPr>
      <w:r w:rsidRPr="00D4761A">
        <w:lastRenderedPageBreak/>
        <w:t xml:space="preserve">Pavlu L, Vicha M, Flasik J, Petrkova J, Taborsky M, Kacirkova T, Holy O. A Comparison of heart failure patients with reduced ejection fraction in the Moravian Midlands Registry with the LCZ696 group of patients in Paradigm-HF trial. Biomed Pap Med Fac Univ Palacky Olomouc Czech </w:t>
      </w:r>
      <w:r w:rsidRPr="00D4761A">
        <w:rPr>
          <w:lang w:val="en-GB"/>
        </w:rPr>
        <w:t xml:space="preserve">Repub. </w:t>
      </w:r>
      <w:r w:rsidR="00E679E1" w:rsidRPr="00D4761A">
        <w:rPr>
          <w:lang w:val="en-GB"/>
        </w:rPr>
        <w:t>accepted 2023 Jan 17</w:t>
      </w:r>
      <w:r w:rsidR="00557557" w:rsidRPr="00D4761A">
        <w:rPr>
          <w:lang w:val="en-GB"/>
        </w:rPr>
        <w:t>.</w:t>
      </w:r>
    </w:p>
    <w:p w14:paraId="5C587A6D" w14:textId="1FCCBFEA" w:rsidR="002C7B8D" w:rsidRPr="00D4761A" w:rsidRDefault="002C7B8D" w:rsidP="00B56B13">
      <w:pPr>
        <w:rPr>
          <w:b/>
          <w:bCs/>
        </w:rPr>
      </w:pPr>
      <w:r w:rsidRPr="00D4761A">
        <w:rPr>
          <w:b/>
          <w:bCs/>
          <w:lang w:val="en-GB"/>
        </w:rPr>
        <w:t>IF 1,648</w:t>
      </w:r>
    </w:p>
    <w:p w14:paraId="3811D049" w14:textId="77777777" w:rsidR="00597804" w:rsidRPr="00D4761A" w:rsidRDefault="00AF5A33" w:rsidP="00A063D5">
      <w:pPr>
        <w:pStyle w:val="Nadpis3"/>
      </w:pPr>
      <w:r w:rsidRPr="00D4761A">
        <w:t>Původní vědecké publikace in exstenso uveřejněné v ostatních recenzovaných vědeckých časopisech:</w:t>
      </w:r>
    </w:p>
    <w:p w14:paraId="58A31D72" w14:textId="37990DCB" w:rsidR="00597804" w:rsidRPr="00D4761A" w:rsidRDefault="00AF5A33" w:rsidP="00597804">
      <w:pPr>
        <w:rPr>
          <w:lang w:val="en-US"/>
        </w:rPr>
      </w:pPr>
      <w:r w:rsidRPr="00D4761A">
        <w:rPr>
          <w:b/>
          <w:lang w:val="en-US"/>
        </w:rPr>
        <w:t>Pavlů L</w:t>
      </w:r>
      <w:r w:rsidRPr="00D4761A">
        <w:rPr>
          <w:lang w:val="en-US"/>
        </w:rPr>
        <w:t xml:space="preserve">., Petrkova J., Tudes Z., Marek D., Taborsky M. Ventricular Tachycardia – </w:t>
      </w:r>
      <w:r w:rsidR="00672ED4" w:rsidRPr="00D4761A">
        <w:rPr>
          <w:lang w:val="en-US"/>
        </w:rPr>
        <w:t>a </w:t>
      </w:r>
      <w:r w:rsidRPr="00D4761A">
        <w:rPr>
          <w:lang w:val="en-US"/>
        </w:rPr>
        <w:t>presentation of Fabry Disease. European Society of Cardiology, Clinical Cases, October 2016.</w:t>
      </w:r>
    </w:p>
    <w:p w14:paraId="08AC24FB" w14:textId="77777777" w:rsidR="006208B9" w:rsidRPr="00D4761A" w:rsidRDefault="006208B9" w:rsidP="00597804"/>
    <w:p w14:paraId="09276934" w14:textId="0BC3D9AA" w:rsidR="00AF5A33" w:rsidRPr="00D4761A" w:rsidRDefault="00AF5A33" w:rsidP="00597804">
      <w:pPr>
        <w:rPr>
          <w:lang w:val="en-US"/>
        </w:rPr>
      </w:pPr>
      <w:r w:rsidRPr="00D4761A">
        <w:rPr>
          <w:b/>
          <w:lang w:val="en-US"/>
        </w:rPr>
        <w:t>Pavlů L</w:t>
      </w:r>
      <w:r w:rsidRPr="00D4761A">
        <w:rPr>
          <w:lang w:val="en-US"/>
        </w:rPr>
        <w:t xml:space="preserve">., Kocourkova L., Taborsky M., Petrkova J. Ventricular tachycardia: </w:t>
      </w:r>
      <w:r w:rsidR="00672ED4" w:rsidRPr="00D4761A">
        <w:rPr>
          <w:lang w:val="en-US"/>
        </w:rPr>
        <w:t>a </w:t>
      </w:r>
      <w:r w:rsidRPr="00D4761A">
        <w:rPr>
          <w:lang w:val="en-US"/>
        </w:rPr>
        <w:t>presentation of Fabry disease case report. Eur Heart J Case Rep. 2019 Mar; 3(1): yty154.</w:t>
      </w:r>
    </w:p>
    <w:p w14:paraId="6AB296B2" w14:textId="77777777" w:rsidR="006208B9" w:rsidRPr="00D4761A" w:rsidRDefault="006208B9" w:rsidP="00597804"/>
    <w:p w14:paraId="197B188F" w14:textId="1834D4F4" w:rsidR="00AF5A33" w:rsidRPr="00D4761A" w:rsidRDefault="00AF5A33" w:rsidP="00AF5A33">
      <w:pPr>
        <w:rPr>
          <w:rFonts w:cstheme="minorHAnsi"/>
          <w:szCs w:val="24"/>
        </w:rPr>
      </w:pPr>
      <w:r w:rsidRPr="00D4761A">
        <w:rPr>
          <w:rFonts w:cstheme="minorHAnsi"/>
          <w:szCs w:val="24"/>
        </w:rPr>
        <w:t xml:space="preserve">Marek Vícha, Tomáš Skála, Klára Benešová, Ladislav Dušek, Jakub Flašík, </w:t>
      </w:r>
      <w:r w:rsidRPr="00D4761A">
        <w:rPr>
          <w:rFonts w:cstheme="minorHAnsi"/>
          <w:b/>
          <w:bCs/>
          <w:szCs w:val="24"/>
        </w:rPr>
        <w:t>Luděk Pavlů</w:t>
      </w:r>
      <w:r w:rsidRPr="00D4761A">
        <w:rPr>
          <w:rFonts w:cstheme="minorHAnsi"/>
          <w:szCs w:val="24"/>
        </w:rPr>
        <w:t xml:space="preserve">, Štěpán Hudec, Miloš Táborský. Přehled neinzulinové antidiabetické farmakoterapie </w:t>
      </w:r>
      <w:r w:rsidR="00672ED4" w:rsidRPr="00D4761A">
        <w:rPr>
          <w:rFonts w:cstheme="minorHAnsi"/>
          <w:szCs w:val="24"/>
        </w:rPr>
        <w:t>u </w:t>
      </w:r>
      <w:r w:rsidRPr="00D4761A">
        <w:rPr>
          <w:rFonts w:cstheme="minorHAnsi"/>
          <w:szCs w:val="24"/>
        </w:rPr>
        <w:t xml:space="preserve">osob se srdečním selháním </w:t>
      </w:r>
      <w:r w:rsidR="00672ED4" w:rsidRPr="00D4761A">
        <w:rPr>
          <w:rFonts w:cstheme="minorHAnsi"/>
          <w:szCs w:val="24"/>
        </w:rPr>
        <w:t>a </w:t>
      </w:r>
      <w:r w:rsidRPr="00D4761A">
        <w:rPr>
          <w:rFonts w:cstheme="minorHAnsi"/>
          <w:szCs w:val="24"/>
        </w:rPr>
        <w:t xml:space="preserve">diabetes mellitus </w:t>
      </w:r>
      <w:r w:rsidR="00672ED4" w:rsidRPr="00D4761A">
        <w:rPr>
          <w:rFonts w:cstheme="minorHAnsi"/>
          <w:szCs w:val="24"/>
        </w:rPr>
        <w:t>v </w:t>
      </w:r>
      <w:r w:rsidRPr="00D4761A">
        <w:rPr>
          <w:rFonts w:cstheme="minorHAnsi"/>
          <w:szCs w:val="24"/>
        </w:rPr>
        <w:t xml:space="preserve">České republice </w:t>
      </w:r>
      <w:r w:rsidR="00672ED4" w:rsidRPr="00D4761A">
        <w:rPr>
          <w:rFonts w:cstheme="minorHAnsi"/>
          <w:szCs w:val="24"/>
        </w:rPr>
        <w:t>v </w:t>
      </w:r>
      <w:r w:rsidRPr="00D4761A">
        <w:rPr>
          <w:rFonts w:cstheme="minorHAnsi"/>
          <w:szCs w:val="24"/>
        </w:rPr>
        <w:t>roce 2018. Cor Vasa 2022;64:20–24</w:t>
      </w:r>
    </w:p>
    <w:p w14:paraId="0DDCC7EF" w14:textId="77777777" w:rsidR="00597804" w:rsidRPr="00D4761A" w:rsidRDefault="00AF5A33" w:rsidP="00A063D5">
      <w:pPr>
        <w:pStyle w:val="Nadpis3"/>
      </w:pPr>
      <w:r w:rsidRPr="00D4761A">
        <w:t>Přehledné/souborné vědecké práce uveřejněné v ostatních recenzovaných vědeckých časopisech:</w:t>
      </w:r>
    </w:p>
    <w:p w14:paraId="67381602" w14:textId="04AD77E2" w:rsidR="00AF5A33" w:rsidRPr="00D4761A" w:rsidRDefault="00AF5A33" w:rsidP="00597804">
      <w:r w:rsidRPr="00D4761A">
        <w:rPr>
          <w:rFonts w:cstheme="minorHAnsi"/>
        </w:rPr>
        <w:t>Lazárová M.</w:t>
      </w:r>
      <w:r w:rsidRPr="00D4761A">
        <w:t xml:space="preserve">, </w:t>
      </w:r>
      <w:r w:rsidRPr="00D4761A">
        <w:rPr>
          <w:rFonts w:cstheme="minorHAnsi"/>
          <w:b/>
          <w:bCs/>
        </w:rPr>
        <w:t>Pavlů L.</w:t>
      </w:r>
      <w:r w:rsidRPr="00D4761A">
        <w:t xml:space="preserve"> Možnosti optimalizace léčby chronického srdečního selhání. Kardiológia pre prax 2016; 14 (4): 201-203</w:t>
      </w:r>
    </w:p>
    <w:p w14:paraId="4F137525" w14:textId="77777777" w:rsidR="006208B9" w:rsidRPr="00D4761A" w:rsidRDefault="006208B9" w:rsidP="00597804"/>
    <w:p w14:paraId="42D6FDB0" w14:textId="77777777" w:rsidR="00AF5A33" w:rsidRPr="00D4761A" w:rsidRDefault="00AF5A33" w:rsidP="00AF5A33">
      <w:r w:rsidRPr="00D4761A">
        <w:rPr>
          <w:rFonts w:cstheme="minorHAnsi"/>
          <w:szCs w:val="24"/>
        </w:rPr>
        <w:t xml:space="preserve">Vícha M., </w:t>
      </w:r>
      <w:r w:rsidRPr="00D4761A">
        <w:rPr>
          <w:rFonts w:cstheme="minorHAnsi"/>
          <w:b/>
          <w:bCs/>
          <w:szCs w:val="24"/>
        </w:rPr>
        <w:t>Pavlů L.</w:t>
      </w:r>
      <w:r w:rsidRPr="00D4761A">
        <w:t xml:space="preserve"> Komentář ke studii PEGASUS-TIMI 54. Farmakoterapie. 01/2019, strana 123-124.</w:t>
      </w:r>
    </w:p>
    <w:p w14:paraId="3881E81E" w14:textId="77777777" w:rsidR="006208B9" w:rsidRPr="00D4761A" w:rsidRDefault="006208B9" w:rsidP="00AF5A33"/>
    <w:p w14:paraId="0C98CBDC" w14:textId="77777777" w:rsidR="00597804" w:rsidRPr="00D4761A" w:rsidRDefault="00AF5A33" w:rsidP="00AF5A33">
      <w:r w:rsidRPr="00D4761A">
        <w:rPr>
          <w:rFonts w:cstheme="minorHAnsi"/>
          <w:b/>
          <w:szCs w:val="24"/>
        </w:rPr>
        <w:t>Pavlů L,</w:t>
      </w:r>
      <w:r w:rsidRPr="00D4761A">
        <w:t xml:space="preserve"> Vícha M, Jelínek L, Táborský M, Petřková J. Dlouhodobá mechanická srdeční podpora v terapii srdečního selhání – reálná praxe. Vnitr Lek. 2021;67(8):E3-6.</w:t>
      </w:r>
    </w:p>
    <w:p w14:paraId="7E69F692" w14:textId="77777777" w:rsidR="00AF5A33" w:rsidRPr="00D4761A" w:rsidRDefault="00AF5A33" w:rsidP="00A063D5">
      <w:pPr>
        <w:pStyle w:val="Nadpis3"/>
      </w:pPr>
      <w:r w:rsidRPr="00D4761A">
        <w:lastRenderedPageBreak/>
        <w:t>Publikovaná abstrakta:</w:t>
      </w:r>
    </w:p>
    <w:p w14:paraId="6972B6A5" w14:textId="2A039D43" w:rsidR="00597804" w:rsidRPr="00D4761A" w:rsidRDefault="00AF5A33" w:rsidP="00AF5A33">
      <w:pPr>
        <w:rPr>
          <w:rFonts w:eastAsia="Times New Roman" w:cstheme="minorHAnsi"/>
          <w:bCs/>
          <w:szCs w:val="24"/>
          <w:lang w:eastAsia="cs-CZ"/>
        </w:rPr>
      </w:pPr>
      <w:r w:rsidRPr="00D4761A">
        <w:rPr>
          <w:rFonts w:eastAsia="Times New Roman" w:cstheme="minorHAnsi"/>
          <w:b/>
          <w:bCs/>
          <w:szCs w:val="24"/>
          <w:lang w:eastAsia="cs-CZ"/>
        </w:rPr>
        <w:t>Pavlů L.,</w:t>
      </w:r>
      <w:r w:rsidRPr="00D4761A">
        <w:rPr>
          <w:rFonts w:eastAsia="Times New Roman" w:cstheme="minorHAnsi"/>
          <w:szCs w:val="24"/>
          <w:lang w:eastAsia="cs-CZ"/>
        </w:rPr>
        <w:t xml:space="preserve"> Krebsová A., Piherová L., Macek Jr M., Kautzner J., Táborský M., Petřková J.</w:t>
      </w:r>
      <w:r w:rsidRPr="00D4761A">
        <w:rPr>
          <w:rFonts w:eastAsia="Times New Roman" w:cstheme="minorHAnsi"/>
          <w:bCs/>
          <w:szCs w:val="24"/>
          <w:lang w:eastAsia="cs-CZ"/>
        </w:rPr>
        <w:t xml:space="preserve"> NORMALIZACE LEVOSTRANNÉ EJEKČNÍ FRAKCE </w:t>
      </w:r>
      <w:r w:rsidR="00672ED4" w:rsidRPr="00D4761A">
        <w:rPr>
          <w:rFonts w:eastAsia="Times New Roman" w:cstheme="minorHAnsi"/>
          <w:bCs/>
          <w:szCs w:val="24"/>
          <w:lang w:eastAsia="cs-CZ"/>
        </w:rPr>
        <w:t>U </w:t>
      </w:r>
      <w:r w:rsidRPr="00D4761A">
        <w:rPr>
          <w:rFonts w:eastAsia="Times New Roman" w:cstheme="minorHAnsi"/>
          <w:bCs/>
          <w:szCs w:val="24"/>
          <w:lang w:eastAsia="cs-CZ"/>
        </w:rPr>
        <w:t xml:space="preserve">PACIENTKY </w:t>
      </w:r>
      <w:r w:rsidR="00672ED4" w:rsidRPr="00D4761A">
        <w:rPr>
          <w:rFonts w:eastAsia="Times New Roman" w:cstheme="minorHAnsi"/>
          <w:bCs/>
          <w:szCs w:val="24"/>
          <w:lang w:eastAsia="cs-CZ"/>
        </w:rPr>
        <w:t>S </w:t>
      </w:r>
      <w:r w:rsidRPr="00D4761A">
        <w:rPr>
          <w:rFonts w:eastAsia="Times New Roman" w:cstheme="minorHAnsi"/>
          <w:bCs/>
          <w:szCs w:val="24"/>
          <w:lang w:eastAsia="cs-CZ"/>
        </w:rPr>
        <w:t xml:space="preserve">FAMILIÁRNÍ FORMOU DILATAČNÍ KARDIOMYOPATIE </w:t>
      </w:r>
      <w:r w:rsidR="00672ED4" w:rsidRPr="00D4761A">
        <w:rPr>
          <w:rFonts w:eastAsia="Times New Roman" w:cstheme="minorHAnsi"/>
          <w:bCs/>
          <w:szCs w:val="24"/>
          <w:lang w:eastAsia="cs-CZ"/>
        </w:rPr>
        <w:t>A </w:t>
      </w:r>
      <w:r w:rsidRPr="00D4761A">
        <w:rPr>
          <w:rFonts w:eastAsia="Times New Roman" w:cstheme="minorHAnsi"/>
          <w:bCs/>
          <w:szCs w:val="24"/>
          <w:lang w:eastAsia="cs-CZ"/>
        </w:rPr>
        <w:t>PERIPARTÁLNÍM SRDEČNÍM SELHÁNÍM. XXIV. Výroční sjezd České kardiologické společnosti, Brno, 15.-18.05.2016</w:t>
      </w:r>
    </w:p>
    <w:p w14:paraId="604C15A9" w14:textId="77777777" w:rsidR="006208B9" w:rsidRPr="00D4761A" w:rsidRDefault="006208B9" w:rsidP="00AF5A33">
      <w:pPr>
        <w:rPr>
          <w:rFonts w:eastAsia="Times New Roman" w:cstheme="minorHAnsi"/>
          <w:bCs/>
          <w:szCs w:val="24"/>
          <w:lang w:eastAsia="cs-CZ"/>
        </w:rPr>
      </w:pPr>
    </w:p>
    <w:p w14:paraId="1E230D9E" w14:textId="77777777" w:rsidR="00AF5A33" w:rsidRPr="00D4761A" w:rsidRDefault="00AF5A33" w:rsidP="00AF5A33">
      <w:pPr>
        <w:rPr>
          <w:rFonts w:eastAsia="Times New Roman" w:cstheme="minorHAnsi"/>
          <w:bCs/>
          <w:szCs w:val="24"/>
          <w:lang w:eastAsia="cs-CZ"/>
        </w:rPr>
      </w:pPr>
      <w:r w:rsidRPr="00D4761A">
        <w:rPr>
          <w:rFonts w:eastAsia="Times New Roman" w:cstheme="minorHAnsi"/>
          <w:b/>
          <w:szCs w:val="24"/>
          <w:lang w:eastAsia="cs-CZ"/>
        </w:rPr>
        <w:t>Pavlů L.,</w:t>
      </w:r>
      <w:r w:rsidRPr="00D4761A">
        <w:rPr>
          <w:rFonts w:eastAsia="Times New Roman" w:cstheme="minorHAnsi"/>
          <w:szCs w:val="24"/>
          <w:lang w:eastAsia="cs-CZ"/>
        </w:rPr>
        <w:t xml:space="preserve"> Hošková L., Froněk J., Netuka I., Táborský M., Petřková J. Kombinovaná orgánová transplantace jako řešení terminálního srdečního selhání. XXVI. </w:t>
      </w:r>
      <w:r w:rsidRPr="00D4761A">
        <w:rPr>
          <w:rFonts w:eastAsia="Times New Roman" w:cstheme="minorHAnsi"/>
          <w:bCs/>
          <w:szCs w:val="24"/>
          <w:lang w:eastAsia="cs-CZ"/>
        </w:rPr>
        <w:t>Výroční sjezd České kardiologické společnosti, Brno, 06. - 09. 05. 2018</w:t>
      </w:r>
    </w:p>
    <w:p w14:paraId="61E7DCEB" w14:textId="77777777" w:rsidR="006208B9" w:rsidRPr="00D4761A" w:rsidRDefault="006208B9" w:rsidP="00AF5A33">
      <w:pPr>
        <w:rPr>
          <w:rFonts w:eastAsia="Times New Roman" w:cstheme="minorHAnsi"/>
          <w:bCs/>
          <w:szCs w:val="24"/>
          <w:lang w:eastAsia="cs-CZ"/>
        </w:rPr>
      </w:pPr>
    </w:p>
    <w:p w14:paraId="1AE036C2" w14:textId="729D96A8" w:rsidR="00AF5A33" w:rsidRPr="00D4761A" w:rsidRDefault="00AF5A33" w:rsidP="00AF5A33">
      <w:pPr>
        <w:rPr>
          <w:rFonts w:eastAsia="Times New Roman" w:cstheme="minorHAnsi"/>
          <w:bCs/>
          <w:szCs w:val="24"/>
          <w:lang w:eastAsia="cs-CZ"/>
        </w:rPr>
      </w:pPr>
      <w:r w:rsidRPr="00D4761A">
        <w:rPr>
          <w:rFonts w:eastAsia="Times New Roman" w:cstheme="minorHAnsi"/>
          <w:b/>
          <w:szCs w:val="24"/>
          <w:lang w:eastAsia="cs-CZ"/>
        </w:rPr>
        <w:t>Pavlů L.,</w:t>
      </w:r>
      <w:r w:rsidRPr="00D4761A">
        <w:rPr>
          <w:rFonts w:eastAsia="Times New Roman" w:cstheme="minorHAnsi"/>
          <w:szCs w:val="24"/>
          <w:lang w:eastAsia="cs-CZ"/>
        </w:rPr>
        <w:t xml:space="preserve"> Hegarová M., Netuka I., Táborský M., Petřková J. Srdeční selhání s extrémní dilatací levé komory </w:t>
      </w:r>
      <w:r w:rsidR="00672ED4" w:rsidRPr="00D4761A">
        <w:rPr>
          <w:rFonts w:eastAsia="Times New Roman" w:cstheme="minorHAnsi"/>
          <w:szCs w:val="24"/>
          <w:lang w:eastAsia="cs-CZ"/>
        </w:rPr>
        <w:t>u </w:t>
      </w:r>
      <w:r w:rsidRPr="00D4761A">
        <w:rPr>
          <w:rFonts w:eastAsia="Times New Roman" w:cstheme="minorHAnsi"/>
          <w:szCs w:val="24"/>
          <w:lang w:eastAsia="cs-CZ"/>
        </w:rPr>
        <w:t xml:space="preserve">mladého muže. XXVII. </w:t>
      </w:r>
      <w:r w:rsidRPr="00D4761A">
        <w:rPr>
          <w:rFonts w:eastAsia="Times New Roman" w:cstheme="minorHAnsi"/>
          <w:bCs/>
          <w:szCs w:val="24"/>
          <w:lang w:eastAsia="cs-CZ"/>
        </w:rPr>
        <w:t>Výroční sjezd České kardiologické společnosti, Brno, 12. - 15. 05. 2019</w:t>
      </w:r>
    </w:p>
    <w:p w14:paraId="17130C20" w14:textId="77777777" w:rsidR="006208B9" w:rsidRPr="00D4761A" w:rsidRDefault="006208B9" w:rsidP="00AF5A33">
      <w:pPr>
        <w:rPr>
          <w:rFonts w:eastAsia="Times New Roman" w:cstheme="minorHAnsi"/>
          <w:bCs/>
          <w:szCs w:val="24"/>
          <w:lang w:eastAsia="cs-CZ"/>
        </w:rPr>
      </w:pPr>
    </w:p>
    <w:p w14:paraId="1805DF01" w14:textId="060B689F" w:rsidR="00AF5A33" w:rsidRPr="00D4761A" w:rsidRDefault="00AF5A33" w:rsidP="00AF5A33">
      <w:pPr>
        <w:rPr>
          <w:rFonts w:eastAsia="Times New Roman" w:cstheme="minorHAnsi"/>
          <w:bCs/>
          <w:szCs w:val="24"/>
          <w:lang w:eastAsia="cs-CZ"/>
        </w:rPr>
      </w:pPr>
      <w:r w:rsidRPr="00D4761A">
        <w:rPr>
          <w:rFonts w:cstheme="minorHAnsi"/>
          <w:b/>
          <w:szCs w:val="24"/>
        </w:rPr>
        <w:t>L. Pavlů,</w:t>
      </w:r>
      <w:r w:rsidRPr="00D4761A">
        <w:rPr>
          <w:rFonts w:cstheme="minorHAnsi"/>
          <w:szCs w:val="24"/>
        </w:rPr>
        <w:t xml:space="preserve"> J. Bonaventura, J. Veselka, M. Táborský, J. Petřková. Symptomatický pacient s hypertrofickou kardiomyopatií.</w:t>
      </w:r>
      <w:r w:rsidR="00597804" w:rsidRPr="00D4761A">
        <w:rPr>
          <w:rFonts w:cstheme="minorHAnsi"/>
          <w:szCs w:val="24"/>
        </w:rPr>
        <w:t xml:space="preserve"> </w:t>
      </w:r>
      <w:r w:rsidRPr="00D4761A">
        <w:rPr>
          <w:rFonts w:cstheme="minorHAnsi"/>
          <w:szCs w:val="24"/>
        </w:rPr>
        <w:t xml:space="preserve">XXVIII. </w:t>
      </w:r>
      <w:r w:rsidRPr="00D4761A">
        <w:rPr>
          <w:rFonts w:eastAsia="Times New Roman" w:cstheme="minorHAnsi"/>
          <w:bCs/>
          <w:szCs w:val="24"/>
          <w:lang w:eastAsia="cs-CZ"/>
        </w:rPr>
        <w:t>Výroční sjezd České kardiologické společnosti, Brno, 13. -25. 09. 2020</w:t>
      </w:r>
    </w:p>
    <w:p w14:paraId="6E690671" w14:textId="77777777" w:rsidR="00AF5A33" w:rsidRPr="00D4761A" w:rsidRDefault="00AF5A33" w:rsidP="00A063D5">
      <w:pPr>
        <w:pStyle w:val="Nadpis3"/>
      </w:pPr>
      <w:r w:rsidRPr="00D4761A">
        <w:t>Seznam přednášek/posterů přednesených uchazečem na veřejných odborných fórech (nezařazeny přednášky/postery, kde byl uchazeč spoluautorem):</w:t>
      </w:r>
    </w:p>
    <w:p w14:paraId="4E2910AA" w14:textId="184D7D90" w:rsidR="00AF5A33" w:rsidRPr="00D4761A" w:rsidRDefault="00AF5A33" w:rsidP="00AF5A33">
      <w:pPr>
        <w:rPr>
          <w:rFonts w:eastAsia="Times New Roman" w:cstheme="minorHAnsi"/>
          <w:szCs w:val="24"/>
          <w:lang w:eastAsia="cs-CZ"/>
        </w:rPr>
      </w:pPr>
      <w:r w:rsidRPr="00D4761A">
        <w:rPr>
          <w:rFonts w:eastAsia="Times New Roman" w:cstheme="minorHAnsi"/>
          <w:bCs/>
          <w:szCs w:val="24"/>
          <w:lang w:eastAsia="cs-CZ"/>
        </w:rPr>
        <w:t>Novinky v léčbě srdečního selhání,</w:t>
      </w:r>
      <w:r w:rsidRPr="00D4761A">
        <w:rPr>
          <w:rFonts w:eastAsia="Times New Roman" w:cstheme="minorHAnsi"/>
          <w:szCs w:val="24"/>
          <w:lang w:eastAsia="cs-CZ"/>
        </w:rPr>
        <w:t xml:space="preserve"> I. </w:t>
      </w:r>
      <w:r w:rsidR="001E7FEB" w:rsidRPr="00D4761A">
        <w:rPr>
          <w:rFonts w:eastAsia="Times New Roman" w:cstheme="minorHAnsi"/>
          <w:szCs w:val="24"/>
          <w:lang w:eastAsia="cs-CZ"/>
        </w:rPr>
        <w:t>i</w:t>
      </w:r>
      <w:r w:rsidRPr="00D4761A">
        <w:rPr>
          <w:rFonts w:eastAsia="Times New Roman" w:cstheme="minorHAnsi"/>
          <w:szCs w:val="24"/>
          <w:lang w:eastAsia="cs-CZ"/>
        </w:rPr>
        <w:t>nterní klinika – kardiologická FN Olomouc, Vyškov, 26.10.2017</w:t>
      </w:r>
    </w:p>
    <w:p w14:paraId="2AB48A84" w14:textId="77777777" w:rsidR="006208B9" w:rsidRPr="00D4761A" w:rsidRDefault="006208B9" w:rsidP="00AF5A33">
      <w:pPr>
        <w:rPr>
          <w:rFonts w:eastAsia="Times New Roman" w:cstheme="minorHAnsi"/>
          <w:szCs w:val="24"/>
          <w:lang w:eastAsia="cs-CZ"/>
        </w:rPr>
      </w:pPr>
    </w:p>
    <w:p w14:paraId="4901E426" w14:textId="53506BA2" w:rsidR="00AF5A33" w:rsidRPr="00D4761A" w:rsidRDefault="00AF5A33" w:rsidP="00AF5A33">
      <w:pPr>
        <w:rPr>
          <w:rFonts w:eastAsia="Times New Roman" w:cstheme="minorHAnsi"/>
          <w:szCs w:val="24"/>
          <w:lang w:eastAsia="cs-CZ"/>
        </w:rPr>
      </w:pPr>
      <w:r w:rsidRPr="00D4761A">
        <w:rPr>
          <w:rFonts w:eastAsia="Times New Roman" w:cstheme="minorHAnsi"/>
          <w:bCs/>
          <w:szCs w:val="24"/>
          <w:lang w:eastAsia="cs-CZ"/>
        </w:rPr>
        <w:t>Praktický pohled na terapii chronického srdečního selhání</w:t>
      </w:r>
      <w:r w:rsidRPr="00D4761A">
        <w:rPr>
          <w:rFonts w:eastAsia="Times New Roman" w:cstheme="minorHAnsi"/>
          <w:szCs w:val="24"/>
          <w:lang w:eastAsia="cs-CZ"/>
        </w:rPr>
        <w:t xml:space="preserve">, Odborný seminář – Srdeční selhání v ambulantní praxi, I. </w:t>
      </w:r>
      <w:r w:rsidR="001E7FEB" w:rsidRPr="00D4761A">
        <w:rPr>
          <w:rFonts w:eastAsia="Times New Roman" w:cstheme="minorHAnsi"/>
          <w:szCs w:val="24"/>
          <w:lang w:eastAsia="cs-CZ"/>
        </w:rPr>
        <w:t>i</w:t>
      </w:r>
      <w:r w:rsidRPr="00D4761A">
        <w:rPr>
          <w:rFonts w:eastAsia="Times New Roman" w:cstheme="minorHAnsi"/>
          <w:szCs w:val="24"/>
          <w:lang w:eastAsia="cs-CZ"/>
        </w:rPr>
        <w:t>nterní klinika FN Olomouc, Olomouc, 07.11.2017</w:t>
      </w:r>
    </w:p>
    <w:p w14:paraId="6B32B601" w14:textId="77777777" w:rsidR="006208B9" w:rsidRPr="00D4761A" w:rsidRDefault="006208B9" w:rsidP="00AF5A33">
      <w:pPr>
        <w:rPr>
          <w:rFonts w:eastAsia="Times New Roman" w:cstheme="minorHAnsi"/>
          <w:bCs/>
          <w:szCs w:val="24"/>
          <w:lang w:eastAsia="cs-CZ"/>
        </w:rPr>
      </w:pPr>
    </w:p>
    <w:p w14:paraId="050951FB" w14:textId="4B1ABB0C" w:rsidR="00AF5A33" w:rsidRPr="00D4761A" w:rsidRDefault="00AF5A33" w:rsidP="00AF5A33">
      <w:pPr>
        <w:rPr>
          <w:rFonts w:eastAsia="Times New Roman" w:cstheme="minorHAnsi"/>
          <w:szCs w:val="24"/>
          <w:lang w:eastAsia="cs-CZ"/>
        </w:rPr>
      </w:pPr>
      <w:r w:rsidRPr="00D4761A">
        <w:rPr>
          <w:rFonts w:eastAsia="Times New Roman" w:cstheme="minorHAnsi"/>
          <w:bCs/>
          <w:szCs w:val="24"/>
          <w:lang w:eastAsia="cs-CZ"/>
        </w:rPr>
        <w:t xml:space="preserve">Novinky v léčbě srdečního selhání, </w:t>
      </w:r>
      <w:r w:rsidRPr="00D4761A">
        <w:rPr>
          <w:rFonts w:eastAsia="Times New Roman" w:cstheme="minorHAnsi"/>
          <w:szCs w:val="24"/>
          <w:lang w:eastAsia="cs-CZ"/>
        </w:rPr>
        <w:t xml:space="preserve">I. </w:t>
      </w:r>
      <w:r w:rsidR="001E7FEB" w:rsidRPr="00D4761A">
        <w:rPr>
          <w:rFonts w:eastAsia="Times New Roman" w:cstheme="minorHAnsi"/>
          <w:szCs w:val="24"/>
          <w:lang w:eastAsia="cs-CZ"/>
        </w:rPr>
        <w:t>i</w:t>
      </w:r>
      <w:r w:rsidRPr="00D4761A">
        <w:rPr>
          <w:rFonts w:eastAsia="Times New Roman" w:cstheme="minorHAnsi"/>
          <w:szCs w:val="24"/>
          <w:lang w:eastAsia="cs-CZ"/>
        </w:rPr>
        <w:t>nterní klinika – kardiologická FN Olomouc, Hranice na Moravě, 16.11.2017</w:t>
      </w:r>
    </w:p>
    <w:p w14:paraId="137D2C38" w14:textId="77777777" w:rsidR="006208B9" w:rsidRPr="00D4761A" w:rsidRDefault="006208B9" w:rsidP="00AF5A33">
      <w:pPr>
        <w:rPr>
          <w:rFonts w:eastAsia="Times New Roman" w:cstheme="minorHAnsi"/>
          <w:bCs/>
          <w:szCs w:val="24"/>
          <w:lang w:eastAsia="cs-CZ"/>
        </w:rPr>
      </w:pPr>
    </w:p>
    <w:p w14:paraId="3728DC8D" w14:textId="3C09BA69" w:rsidR="00AF5A33" w:rsidRPr="00D4761A" w:rsidRDefault="00AF5A33" w:rsidP="00AF5A33">
      <w:pPr>
        <w:rPr>
          <w:rFonts w:eastAsia="Times New Roman" w:cstheme="minorHAnsi"/>
          <w:szCs w:val="24"/>
          <w:lang w:eastAsia="cs-CZ"/>
        </w:rPr>
      </w:pPr>
      <w:r w:rsidRPr="00D4761A">
        <w:rPr>
          <w:rFonts w:eastAsia="Times New Roman" w:cstheme="minorHAnsi"/>
          <w:bCs/>
          <w:szCs w:val="24"/>
          <w:lang w:eastAsia="cs-CZ"/>
        </w:rPr>
        <w:lastRenderedPageBreak/>
        <w:t xml:space="preserve">Chronické srdeční selhání – nejčastější komplikace srdečního selhání, </w:t>
      </w:r>
      <w:r w:rsidRPr="00D4761A">
        <w:rPr>
          <w:rFonts w:eastAsia="Times New Roman" w:cstheme="minorHAnsi"/>
          <w:szCs w:val="24"/>
          <w:lang w:eastAsia="cs-CZ"/>
        </w:rPr>
        <w:t xml:space="preserve">Sesterský kurz srdečního selhání s praktickými demonstracemi, I. </w:t>
      </w:r>
      <w:r w:rsidR="001E7FEB" w:rsidRPr="00D4761A">
        <w:rPr>
          <w:rFonts w:eastAsia="Times New Roman" w:cstheme="minorHAnsi"/>
          <w:szCs w:val="24"/>
          <w:lang w:eastAsia="cs-CZ"/>
        </w:rPr>
        <w:t>i</w:t>
      </w:r>
      <w:r w:rsidRPr="00D4761A">
        <w:rPr>
          <w:rFonts w:eastAsia="Times New Roman" w:cstheme="minorHAnsi"/>
          <w:szCs w:val="24"/>
          <w:lang w:eastAsia="cs-CZ"/>
        </w:rPr>
        <w:t>nterní klinika – kardiologická FN Olomouc, Olomouc, 20.11.2017</w:t>
      </w:r>
    </w:p>
    <w:p w14:paraId="44160A61" w14:textId="77777777" w:rsidR="006208B9" w:rsidRPr="00D4761A" w:rsidRDefault="006208B9" w:rsidP="00AF5A33">
      <w:pPr>
        <w:rPr>
          <w:rFonts w:eastAsia="Times New Roman" w:cstheme="minorHAnsi"/>
          <w:bCs/>
          <w:szCs w:val="24"/>
          <w:lang w:eastAsia="cs-CZ"/>
        </w:rPr>
      </w:pPr>
    </w:p>
    <w:p w14:paraId="1F46E132" w14:textId="07DB92D2" w:rsidR="00AF5A33" w:rsidRPr="00D4761A" w:rsidRDefault="00AF5A33" w:rsidP="00AF5A33">
      <w:pPr>
        <w:rPr>
          <w:rFonts w:eastAsia="Times New Roman" w:cstheme="minorHAnsi"/>
          <w:szCs w:val="24"/>
          <w:lang w:eastAsia="cs-CZ"/>
        </w:rPr>
      </w:pPr>
      <w:r w:rsidRPr="00D4761A">
        <w:rPr>
          <w:rFonts w:eastAsia="Times New Roman" w:cstheme="minorHAnsi"/>
          <w:bCs/>
          <w:szCs w:val="24"/>
          <w:lang w:eastAsia="cs-CZ"/>
        </w:rPr>
        <w:t>Akutní srdeční selhání v nemocniční praxi – klinický obraz, diagnostika</w:t>
      </w:r>
      <w:r w:rsidRPr="00D4761A">
        <w:rPr>
          <w:rFonts w:eastAsia="Times New Roman" w:cstheme="minorHAnsi"/>
          <w:szCs w:val="24"/>
          <w:lang w:eastAsia="cs-CZ"/>
        </w:rPr>
        <w:t xml:space="preserve">, Sesterský kurz srdečního selhání s praktickými demonstracemi, I. </w:t>
      </w:r>
      <w:r w:rsidR="001E7FEB" w:rsidRPr="00D4761A">
        <w:rPr>
          <w:rFonts w:eastAsia="Times New Roman" w:cstheme="minorHAnsi"/>
          <w:szCs w:val="24"/>
          <w:lang w:eastAsia="cs-CZ"/>
        </w:rPr>
        <w:t>i</w:t>
      </w:r>
      <w:r w:rsidRPr="00D4761A">
        <w:rPr>
          <w:rFonts w:eastAsia="Times New Roman" w:cstheme="minorHAnsi"/>
          <w:szCs w:val="24"/>
          <w:lang w:eastAsia="cs-CZ"/>
        </w:rPr>
        <w:t>nterní klinika – kardiologická FN Olomouc, Olomouc, 20.11.2017</w:t>
      </w:r>
    </w:p>
    <w:p w14:paraId="1C990142" w14:textId="77777777" w:rsidR="006208B9" w:rsidRPr="00D4761A" w:rsidRDefault="006208B9" w:rsidP="00AF5A33">
      <w:pPr>
        <w:rPr>
          <w:rFonts w:eastAsia="Times New Roman" w:cstheme="minorHAnsi"/>
          <w:bCs/>
          <w:szCs w:val="24"/>
          <w:lang w:eastAsia="cs-CZ"/>
        </w:rPr>
      </w:pPr>
    </w:p>
    <w:p w14:paraId="320660F1" w14:textId="727E9B8D" w:rsidR="00AF5A33" w:rsidRPr="00D4761A" w:rsidRDefault="00AF5A33" w:rsidP="00AF5A33">
      <w:pPr>
        <w:rPr>
          <w:rFonts w:eastAsia="Times New Roman" w:cstheme="minorHAnsi"/>
          <w:szCs w:val="24"/>
          <w:lang w:eastAsia="cs-CZ"/>
        </w:rPr>
      </w:pPr>
      <w:r w:rsidRPr="00D4761A">
        <w:rPr>
          <w:rFonts w:eastAsia="Times New Roman" w:cstheme="minorHAnsi"/>
          <w:bCs/>
          <w:szCs w:val="24"/>
          <w:lang w:eastAsia="cs-CZ"/>
        </w:rPr>
        <w:t>Novinky v léčbě srdečního selhání</w:t>
      </w:r>
      <w:r w:rsidRPr="00D4761A">
        <w:rPr>
          <w:rFonts w:eastAsia="Times New Roman" w:cstheme="minorHAnsi"/>
          <w:szCs w:val="24"/>
          <w:lang w:eastAsia="cs-CZ"/>
        </w:rPr>
        <w:t xml:space="preserve">, I. </w:t>
      </w:r>
      <w:r w:rsidR="001E7FEB" w:rsidRPr="00D4761A">
        <w:rPr>
          <w:rFonts w:eastAsia="Times New Roman" w:cstheme="minorHAnsi"/>
          <w:szCs w:val="24"/>
          <w:lang w:eastAsia="cs-CZ"/>
        </w:rPr>
        <w:t>i</w:t>
      </w:r>
      <w:r w:rsidRPr="00D4761A">
        <w:rPr>
          <w:rFonts w:eastAsia="Times New Roman" w:cstheme="minorHAnsi"/>
          <w:szCs w:val="24"/>
          <w:lang w:eastAsia="cs-CZ"/>
        </w:rPr>
        <w:t>nterní klinika – kardiologická FN Olomouc, Svitavy, 23.11.2017</w:t>
      </w:r>
    </w:p>
    <w:p w14:paraId="34D20889" w14:textId="77777777" w:rsidR="006208B9" w:rsidRPr="00D4761A" w:rsidRDefault="006208B9" w:rsidP="00AF5A33">
      <w:pPr>
        <w:rPr>
          <w:rFonts w:eastAsia="Times New Roman" w:cstheme="minorHAnsi"/>
          <w:bCs/>
          <w:szCs w:val="24"/>
          <w:lang w:eastAsia="cs-CZ"/>
        </w:rPr>
      </w:pPr>
    </w:p>
    <w:p w14:paraId="5AD2FB9F" w14:textId="77777777" w:rsidR="00AF5A33" w:rsidRPr="00D4761A" w:rsidRDefault="00AF5A33" w:rsidP="00AF5A33">
      <w:pPr>
        <w:rPr>
          <w:rFonts w:eastAsia="Times New Roman" w:cstheme="minorHAnsi"/>
          <w:b/>
          <w:szCs w:val="24"/>
          <w:lang w:eastAsia="cs-CZ"/>
        </w:rPr>
      </w:pPr>
      <w:r w:rsidRPr="00D4761A">
        <w:rPr>
          <w:rFonts w:eastAsia="Times New Roman" w:cstheme="minorHAnsi"/>
          <w:bCs/>
          <w:szCs w:val="24"/>
          <w:lang w:eastAsia="cs-CZ"/>
        </w:rPr>
        <w:t>Co když farmakoterapie CHSS nestačí – LVAD</w:t>
      </w:r>
      <w:r w:rsidRPr="00D4761A">
        <w:rPr>
          <w:rFonts w:eastAsia="Times New Roman" w:cstheme="minorHAnsi"/>
          <w:szCs w:val="24"/>
          <w:lang w:eastAsia="cs-CZ"/>
        </w:rPr>
        <w:t>, Odborný seminář - Jaké máme možnosti léčby CHSS ?, Vojenská nemocnice Olomouc, Olomouc, 10.04.2018</w:t>
      </w:r>
    </w:p>
    <w:p w14:paraId="789E3526" w14:textId="77777777" w:rsidR="006208B9" w:rsidRPr="00D4761A" w:rsidRDefault="006208B9" w:rsidP="00AF5A33">
      <w:pPr>
        <w:rPr>
          <w:rFonts w:eastAsia="Times New Roman" w:cstheme="minorHAnsi"/>
          <w:szCs w:val="24"/>
          <w:lang w:eastAsia="cs-CZ"/>
        </w:rPr>
      </w:pPr>
    </w:p>
    <w:p w14:paraId="43BB735B" w14:textId="0A96E4C8" w:rsidR="00AF5A33" w:rsidRPr="00D4761A" w:rsidRDefault="00AF5A33" w:rsidP="00AF5A33">
      <w:pPr>
        <w:rPr>
          <w:rFonts w:eastAsia="Times New Roman" w:cstheme="minorHAnsi"/>
          <w:b/>
          <w:szCs w:val="24"/>
          <w:lang w:eastAsia="cs-CZ"/>
        </w:rPr>
      </w:pPr>
      <w:r w:rsidRPr="00D4761A">
        <w:rPr>
          <w:rFonts w:eastAsia="Times New Roman" w:cstheme="minorHAnsi"/>
          <w:szCs w:val="24"/>
          <w:lang w:eastAsia="cs-CZ"/>
        </w:rPr>
        <w:t xml:space="preserve">Hradecká škola srdečního selhání, I. interní kardioangiologická klinika LF UK </w:t>
      </w:r>
      <w:r w:rsidR="00672ED4" w:rsidRPr="00D4761A">
        <w:rPr>
          <w:rFonts w:eastAsia="Times New Roman" w:cstheme="minorHAnsi"/>
          <w:szCs w:val="24"/>
          <w:lang w:eastAsia="cs-CZ"/>
        </w:rPr>
        <w:t>a </w:t>
      </w:r>
      <w:r w:rsidRPr="00D4761A">
        <w:rPr>
          <w:rFonts w:eastAsia="Times New Roman" w:cstheme="minorHAnsi"/>
          <w:szCs w:val="24"/>
          <w:lang w:eastAsia="cs-CZ"/>
        </w:rPr>
        <w:t xml:space="preserve">FN Hradec Králové, Levostranné srdeční podpory </w:t>
      </w:r>
      <w:r w:rsidR="00672ED4" w:rsidRPr="00D4761A">
        <w:rPr>
          <w:rFonts w:eastAsia="Times New Roman" w:cstheme="minorHAnsi"/>
          <w:szCs w:val="24"/>
          <w:lang w:eastAsia="cs-CZ"/>
        </w:rPr>
        <w:t>u </w:t>
      </w:r>
      <w:r w:rsidRPr="00D4761A">
        <w:rPr>
          <w:rFonts w:eastAsia="Times New Roman" w:cstheme="minorHAnsi"/>
          <w:szCs w:val="24"/>
          <w:lang w:eastAsia="cs-CZ"/>
        </w:rPr>
        <w:t>srdečního selhání, Hradec Králové, 12.03.2019</w:t>
      </w:r>
    </w:p>
    <w:p w14:paraId="6869FAA6" w14:textId="77777777" w:rsidR="006208B9" w:rsidRPr="00D4761A" w:rsidRDefault="006208B9" w:rsidP="00AF5A33"/>
    <w:p w14:paraId="5678B91F" w14:textId="16160226" w:rsidR="00597804" w:rsidRPr="00D4761A" w:rsidRDefault="00AF5A33" w:rsidP="00AF5A33">
      <w:r w:rsidRPr="00D4761A">
        <w:t xml:space="preserve">PEPA Cardiology Society, Univerzita Palackého </w:t>
      </w:r>
      <w:r w:rsidR="00672ED4" w:rsidRPr="00D4761A">
        <w:t>v </w:t>
      </w:r>
      <w:r w:rsidRPr="00D4761A">
        <w:t>Olomouci, Lékařská Fakulta, Olomouc,</w:t>
      </w:r>
    </w:p>
    <w:p w14:paraId="44C19848" w14:textId="77777777" w:rsidR="006208B9" w:rsidRPr="00D4761A" w:rsidRDefault="006208B9" w:rsidP="00AF5A33"/>
    <w:p w14:paraId="2A0A3AC5" w14:textId="70D5D5D1" w:rsidR="00AF5A33" w:rsidRPr="00D4761A" w:rsidRDefault="00AF5A33" w:rsidP="00AF5A33">
      <w:pPr>
        <w:rPr>
          <w:rFonts w:eastAsia="Times New Roman" w:cstheme="minorHAnsi"/>
          <w:bCs/>
          <w:szCs w:val="24"/>
          <w:lang w:val="en-US" w:eastAsia="cs-CZ"/>
        </w:rPr>
      </w:pPr>
      <w:r w:rsidRPr="00D4761A">
        <w:rPr>
          <w:lang w:val="en-US"/>
        </w:rPr>
        <w:t xml:space="preserve">Heart Failure: Treatment and when Medication is not Enough, Olomouc, </w:t>
      </w:r>
      <w:r w:rsidRPr="00D4761A">
        <w:rPr>
          <w:rFonts w:eastAsia="Times New Roman" w:cstheme="minorHAnsi"/>
          <w:bCs/>
          <w:szCs w:val="24"/>
          <w:lang w:val="en-US" w:eastAsia="cs-CZ"/>
        </w:rPr>
        <w:t>24.04.2019</w:t>
      </w:r>
    </w:p>
    <w:p w14:paraId="51FBE429" w14:textId="77777777" w:rsidR="006208B9" w:rsidRPr="00D4761A" w:rsidRDefault="006208B9" w:rsidP="00AF5A33">
      <w:pPr>
        <w:rPr>
          <w:rFonts w:eastAsia="Times New Roman" w:cstheme="minorHAnsi"/>
          <w:szCs w:val="24"/>
          <w:lang w:eastAsia="cs-CZ"/>
        </w:rPr>
      </w:pPr>
    </w:p>
    <w:p w14:paraId="177B85E9" w14:textId="1B123E01" w:rsidR="00597804" w:rsidRPr="00D4761A" w:rsidRDefault="00AF5A33" w:rsidP="00AF5A33">
      <w:pPr>
        <w:rPr>
          <w:rFonts w:eastAsia="Times New Roman" w:cstheme="minorHAnsi"/>
          <w:szCs w:val="24"/>
          <w:lang w:eastAsia="cs-CZ"/>
        </w:rPr>
      </w:pPr>
      <w:r w:rsidRPr="00D4761A">
        <w:rPr>
          <w:rFonts w:eastAsia="Times New Roman" w:cstheme="minorHAnsi"/>
          <w:szCs w:val="24"/>
          <w:lang w:eastAsia="cs-CZ"/>
        </w:rPr>
        <w:t xml:space="preserve">Broumovský internistický den, Broumov, Klášter Broumov, </w:t>
      </w:r>
      <w:r w:rsidRPr="00D4761A">
        <w:rPr>
          <w:rFonts w:eastAsia="Times New Roman" w:cstheme="minorHAnsi"/>
          <w:bCs/>
          <w:szCs w:val="24"/>
          <w:lang w:eastAsia="cs-CZ"/>
        </w:rPr>
        <w:t>16.09.2021,</w:t>
      </w:r>
      <w:r w:rsidRPr="00D4761A">
        <w:rPr>
          <w:rFonts w:eastAsia="Times New Roman" w:cstheme="minorHAnsi"/>
          <w:b/>
          <w:szCs w:val="24"/>
          <w:lang w:eastAsia="cs-CZ"/>
        </w:rPr>
        <w:t xml:space="preserve"> </w:t>
      </w:r>
      <w:r w:rsidRPr="00D4761A">
        <w:rPr>
          <w:rFonts w:eastAsia="Times New Roman" w:cstheme="minorHAnsi"/>
          <w:szCs w:val="24"/>
          <w:lang w:eastAsia="cs-CZ"/>
        </w:rPr>
        <w:t xml:space="preserve">Edumed s.r.o. </w:t>
      </w:r>
      <w:r w:rsidR="00672ED4" w:rsidRPr="00D4761A">
        <w:rPr>
          <w:rFonts w:eastAsia="Times New Roman" w:cstheme="minorHAnsi"/>
          <w:szCs w:val="24"/>
          <w:lang w:eastAsia="cs-CZ"/>
        </w:rPr>
        <w:t>a </w:t>
      </w:r>
      <w:r w:rsidRPr="00D4761A">
        <w:rPr>
          <w:rFonts w:eastAsia="Times New Roman" w:cstheme="minorHAnsi"/>
          <w:szCs w:val="24"/>
          <w:lang w:eastAsia="cs-CZ"/>
        </w:rPr>
        <w:t xml:space="preserve">I. </w:t>
      </w:r>
      <w:r w:rsidR="001E7FEB" w:rsidRPr="00D4761A">
        <w:rPr>
          <w:rFonts w:eastAsia="Times New Roman" w:cstheme="minorHAnsi"/>
          <w:szCs w:val="24"/>
          <w:lang w:eastAsia="cs-CZ"/>
        </w:rPr>
        <w:t>i</w:t>
      </w:r>
      <w:r w:rsidRPr="00D4761A">
        <w:rPr>
          <w:rFonts w:eastAsia="Times New Roman" w:cstheme="minorHAnsi"/>
          <w:szCs w:val="24"/>
          <w:lang w:eastAsia="cs-CZ"/>
        </w:rPr>
        <w:t xml:space="preserve">nterní kardioangiologická klinika FN Hradec Králové </w:t>
      </w:r>
      <w:r w:rsidR="00672ED4" w:rsidRPr="00D4761A">
        <w:rPr>
          <w:rFonts w:eastAsia="Times New Roman" w:cstheme="minorHAnsi"/>
          <w:szCs w:val="24"/>
          <w:lang w:eastAsia="cs-CZ"/>
        </w:rPr>
        <w:t>a </w:t>
      </w:r>
      <w:r w:rsidRPr="00D4761A">
        <w:rPr>
          <w:rFonts w:eastAsia="Times New Roman" w:cstheme="minorHAnsi"/>
          <w:szCs w:val="24"/>
          <w:lang w:eastAsia="cs-CZ"/>
        </w:rPr>
        <w:t>Oblastní nemocnice Náchod a.s., Interní oddělení</w:t>
      </w:r>
    </w:p>
    <w:p w14:paraId="476CE936" w14:textId="77777777" w:rsidR="006208B9" w:rsidRPr="00D4761A" w:rsidRDefault="006208B9" w:rsidP="00AF5A33">
      <w:pPr>
        <w:rPr>
          <w:rFonts w:eastAsia="Times New Roman" w:cstheme="minorHAnsi"/>
          <w:szCs w:val="24"/>
          <w:lang w:eastAsia="cs-CZ"/>
        </w:rPr>
      </w:pPr>
    </w:p>
    <w:p w14:paraId="5E50DC0B" w14:textId="7062C063" w:rsidR="00AF5A33" w:rsidRPr="00D4761A" w:rsidRDefault="00AF5A33" w:rsidP="00AF5A33">
      <w:pPr>
        <w:rPr>
          <w:rFonts w:eastAsia="Times New Roman" w:cstheme="minorHAnsi"/>
          <w:szCs w:val="24"/>
          <w:lang w:eastAsia="cs-CZ"/>
        </w:rPr>
      </w:pPr>
      <w:r w:rsidRPr="00D4761A">
        <w:rPr>
          <w:rFonts w:eastAsia="Times New Roman" w:cstheme="minorHAnsi"/>
          <w:szCs w:val="24"/>
          <w:lang w:eastAsia="cs-CZ"/>
        </w:rPr>
        <w:t>Levostranné mechanické srdeční podpory</w:t>
      </w:r>
    </w:p>
    <w:p w14:paraId="383BA12C" w14:textId="77777777" w:rsidR="006208B9" w:rsidRPr="00D4761A" w:rsidRDefault="006208B9" w:rsidP="00AB1671">
      <w:pPr>
        <w:rPr>
          <w:rFonts w:eastAsia="Times New Roman" w:cstheme="minorHAnsi"/>
          <w:szCs w:val="24"/>
          <w:lang w:eastAsia="cs-CZ"/>
        </w:rPr>
      </w:pPr>
    </w:p>
    <w:p w14:paraId="7CEB631D" w14:textId="54D86DBD" w:rsidR="00AB1671" w:rsidRPr="00D4761A" w:rsidRDefault="00AB1671" w:rsidP="00AB1671">
      <w:pPr>
        <w:rPr>
          <w:rFonts w:eastAsia="Times New Roman" w:cstheme="minorHAnsi"/>
          <w:szCs w:val="24"/>
          <w:lang w:eastAsia="cs-CZ"/>
        </w:rPr>
      </w:pPr>
      <w:r w:rsidRPr="00D4761A">
        <w:rPr>
          <w:rFonts w:eastAsia="Times New Roman" w:cstheme="minorHAnsi"/>
          <w:szCs w:val="24"/>
          <w:lang w:eastAsia="cs-CZ"/>
        </w:rPr>
        <w:t xml:space="preserve">Náchodské mezioborové dny, Náchod, 25.10.2022, Edumed s.r.o. </w:t>
      </w:r>
      <w:r w:rsidR="00672ED4" w:rsidRPr="00D4761A">
        <w:rPr>
          <w:rFonts w:eastAsia="Times New Roman" w:cstheme="minorHAnsi"/>
          <w:szCs w:val="24"/>
          <w:lang w:eastAsia="cs-CZ"/>
        </w:rPr>
        <w:t>a </w:t>
      </w:r>
      <w:r w:rsidRPr="00D4761A">
        <w:rPr>
          <w:rFonts w:eastAsia="Times New Roman" w:cstheme="minorHAnsi"/>
          <w:szCs w:val="24"/>
          <w:lang w:eastAsia="cs-CZ"/>
        </w:rPr>
        <w:t xml:space="preserve">I. </w:t>
      </w:r>
      <w:r w:rsidR="001E7FEB" w:rsidRPr="00D4761A">
        <w:rPr>
          <w:rFonts w:eastAsia="Times New Roman" w:cstheme="minorHAnsi"/>
          <w:szCs w:val="24"/>
          <w:lang w:eastAsia="cs-CZ"/>
        </w:rPr>
        <w:t>i</w:t>
      </w:r>
      <w:r w:rsidRPr="00D4761A">
        <w:rPr>
          <w:rFonts w:eastAsia="Times New Roman" w:cstheme="minorHAnsi"/>
          <w:szCs w:val="24"/>
          <w:lang w:eastAsia="cs-CZ"/>
        </w:rPr>
        <w:t xml:space="preserve">nterní kardioangiologická klinika FN Hradec Králové </w:t>
      </w:r>
      <w:r w:rsidR="00672ED4" w:rsidRPr="00D4761A">
        <w:rPr>
          <w:rFonts w:eastAsia="Times New Roman" w:cstheme="minorHAnsi"/>
          <w:szCs w:val="24"/>
          <w:lang w:eastAsia="cs-CZ"/>
        </w:rPr>
        <w:t>a </w:t>
      </w:r>
      <w:r w:rsidRPr="00D4761A">
        <w:rPr>
          <w:rFonts w:eastAsia="Times New Roman" w:cstheme="minorHAnsi"/>
          <w:szCs w:val="24"/>
          <w:lang w:eastAsia="cs-CZ"/>
        </w:rPr>
        <w:t>Oblastní nemocnice Náchod a.s., Interní oddělení</w:t>
      </w:r>
    </w:p>
    <w:p w14:paraId="62A2E5AE" w14:textId="77777777" w:rsidR="006208B9" w:rsidRPr="00D4761A" w:rsidRDefault="006208B9" w:rsidP="00AB1671"/>
    <w:p w14:paraId="6D464F6F" w14:textId="3C0E044A" w:rsidR="00AB1671" w:rsidRPr="00D4761A" w:rsidRDefault="00AB1671" w:rsidP="00AB1671">
      <w:pPr>
        <w:rPr>
          <w:rFonts w:eastAsia="Times New Roman" w:cstheme="minorHAnsi"/>
          <w:szCs w:val="24"/>
          <w:lang w:eastAsia="cs-CZ"/>
        </w:rPr>
      </w:pPr>
      <w:r w:rsidRPr="00D4761A">
        <w:t xml:space="preserve">Farmakoterapie chronického srdečního selhání – data </w:t>
      </w:r>
      <w:r w:rsidR="00672ED4" w:rsidRPr="00D4761A">
        <w:t>z </w:t>
      </w:r>
      <w:r w:rsidRPr="00D4761A">
        <w:t>reálné praxe</w:t>
      </w:r>
    </w:p>
    <w:p w14:paraId="6B26311A" w14:textId="3464D274" w:rsidR="00597804" w:rsidRPr="00D4761A" w:rsidRDefault="00AF5A33" w:rsidP="00A063D5">
      <w:pPr>
        <w:pStyle w:val="Nadpis2"/>
      </w:pPr>
      <w:r w:rsidRPr="00D4761A">
        <w:lastRenderedPageBreak/>
        <w:t>Ostatní publikace</w:t>
      </w:r>
    </w:p>
    <w:p w14:paraId="50CD05F4" w14:textId="77777777" w:rsidR="00597804" w:rsidRPr="00D4761A" w:rsidRDefault="00AF5A33" w:rsidP="00A063D5">
      <w:pPr>
        <w:pStyle w:val="Nadpis3"/>
        <w:numPr>
          <w:ilvl w:val="0"/>
          <w:numId w:val="17"/>
        </w:numPr>
      </w:pPr>
      <w:r w:rsidRPr="00D4761A">
        <w:t>Původní vědecké publikace in extenso v daném oboru uveřejněné v časopisech s IF:</w:t>
      </w:r>
    </w:p>
    <w:p w14:paraId="41CCBA63" w14:textId="33369A5F" w:rsidR="00AF5A33" w:rsidRPr="00D4761A" w:rsidRDefault="00AF5A33" w:rsidP="00597804">
      <w:pPr>
        <w:rPr>
          <w:lang w:val="en-US"/>
        </w:rPr>
      </w:pPr>
      <w:r w:rsidRPr="00D4761A">
        <w:rPr>
          <w:lang w:val="en-US"/>
        </w:rPr>
        <w:t>Clemens M, Peichl P, Wichterle D, Pavlů L, Čihák R, Aldhoon B, Kautzner J. Catheter Ablation of Ventricular Tachycardia as the First-Line Therapy in Patients With Coronary Artery Disease and Preserved Left Ventricular Systolic Function: Long-Term Results. J Cardiovasc Electrophysiol. 2015 Oct;26(10):1105-10. doi: 10.1111/jce.12751. Epub 2015 Aug 17. (2)</w:t>
      </w:r>
    </w:p>
    <w:p w14:paraId="66174792" w14:textId="77777777" w:rsidR="00AF5A33" w:rsidRPr="00D4761A" w:rsidRDefault="00AF5A33" w:rsidP="00597804">
      <w:pPr>
        <w:rPr>
          <w:b/>
        </w:rPr>
      </w:pPr>
      <w:r w:rsidRPr="00D4761A">
        <w:rPr>
          <w:b/>
        </w:rPr>
        <w:t>IF 2.958</w:t>
      </w:r>
    </w:p>
    <w:p w14:paraId="5A535109" w14:textId="77777777" w:rsidR="00597804" w:rsidRPr="00D4761A" w:rsidRDefault="00AF5A33" w:rsidP="00A063D5">
      <w:pPr>
        <w:pStyle w:val="Nadpis3"/>
      </w:pPr>
      <w:r w:rsidRPr="00D4761A">
        <w:t>Původní vědecké publikace in exstenso uveřejněné v ostatních recenzovaných vědeckých časopisech:</w:t>
      </w:r>
    </w:p>
    <w:p w14:paraId="6A396A5D" w14:textId="77777777" w:rsidR="00597804" w:rsidRPr="00D4761A" w:rsidRDefault="00AF5A33" w:rsidP="00A063D5">
      <w:pPr>
        <w:pStyle w:val="Nadpis3"/>
      </w:pPr>
      <w:r w:rsidRPr="00D4761A">
        <w:t>Přehledné/souborné vědecké práce uveřejněné v ostatních recenzovaných vědeckých časopisech:</w:t>
      </w:r>
    </w:p>
    <w:p w14:paraId="223A05A7" w14:textId="77777777" w:rsidR="00A063D5" w:rsidRPr="00D4761A" w:rsidRDefault="00AF5A33" w:rsidP="00B56B13">
      <w:pPr>
        <w:rPr>
          <w:lang w:val="en-US"/>
        </w:rPr>
      </w:pPr>
      <w:r w:rsidRPr="00D4761A">
        <w:rPr>
          <w:b/>
          <w:bCs/>
          <w:lang w:val="en-US"/>
        </w:rPr>
        <w:t>Pavlů L</w:t>
      </w:r>
      <w:r w:rsidRPr="00D4761A">
        <w:rPr>
          <w:lang w:val="en-US"/>
        </w:rPr>
        <w:t xml:space="preserve">, Hutyra M, Táborský M. Changing Views: Safety and Efficacy of Implantable </w:t>
      </w:r>
      <w:r w:rsidR="0051612A" w:rsidRPr="00D4761A">
        <w:rPr>
          <w:lang w:val="en-US"/>
        </w:rPr>
        <w:t>Cardioverter – Defibrillator</w:t>
      </w:r>
      <w:r w:rsidRPr="00D4761A">
        <w:rPr>
          <w:lang w:val="en-US"/>
        </w:rPr>
        <w:t xml:space="preserve"> Therapy in Athletes. Cent Eur J Public Health. 2015 Nov;23 Suppl:S74-7. Review.</w:t>
      </w:r>
    </w:p>
    <w:p w14:paraId="44002862" w14:textId="26F7AAB1" w:rsidR="00AF5A33" w:rsidRPr="00D4761A" w:rsidRDefault="00AF5A33" w:rsidP="00B56B13">
      <w:r w:rsidRPr="00D4761A">
        <w:rPr>
          <w:b/>
        </w:rPr>
        <w:t>IF 0.533</w:t>
      </w:r>
    </w:p>
    <w:p w14:paraId="065C05AC" w14:textId="77777777" w:rsidR="00A063D5" w:rsidRPr="00D4761A" w:rsidRDefault="00A063D5" w:rsidP="00AF5A33">
      <w:pPr>
        <w:textAlignment w:val="center"/>
      </w:pPr>
    </w:p>
    <w:p w14:paraId="632A7896" w14:textId="32FB502B" w:rsidR="00AF5A33" w:rsidRPr="00D4761A" w:rsidRDefault="001C07EF" w:rsidP="00AF5A33">
      <w:pPr>
        <w:textAlignment w:val="center"/>
        <w:rPr>
          <w:rFonts w:eastAsia="Times New Roman" w:cstheme="minorHAnsi"/>
          <w:szCs w:val="24"/>
          <w:lang w:val="en-US" w:eastAsia="cs-CZ"/>
        </w:rPr>
      </w:pPr>
      <w:hyperlink r:id="rId11" w:tooltip="Show Author Details" w:history="1">
        <w:r w:rsidR="00AF5A33" w:rsidRPr="00D4761A">
          <w:rPr>
            <w:rFonts w:eastAsia="Times New Roman" w:cstheme="minorHAnsi"/>
            <w:bCs/>
            <w:szCs w:val="24"/>
            <w:lang w:val="fr-FR" w:eastAsia="cs-CZ"/>
          </w:rPr>
          <w:t>Hutyra M.</w:t>
        </w:r>
      </w:hyperlink>
      <w:r w:rsidR="00AF5A33" w:rsidRPr="00D4761A">
        <w:rPr>
          <w:rFonts w:eastAsia="Times New Roman" w:cstheme="minorHAnsi"/>
          <w:szCs w:val="24"/>
          <w:lang w:val="fr-FR" w:eastAsia="cs-CZ"/>
        </w:rPr>
        <w:t>,</w:t>
      </w:r>
      <w:r w:rsidR="00BE7B50" w:rsidRPr="00D4761A">
        <w:rPr>
          <w:rFonts w:eastAsia="Times New Roman" w:cstheme="minorHAnsi"/>
          <w:szCs w:val="24"/>
          <w:lang w:val="fr-FR" w:eastAsia="cs-CZ"/>
        </w:rPr>
        <w:t xml:space="preserve"> </w:t>
      </w:r>
      <w:hyperlink r:id="rId12" w:tooltip="Show Author Details" w:history="1">
        <w:r w:rsidR="00AF5A33" w:rsidRPr="00D4761A">
          <w:rPr>
            <w:rFonts w:eastAsia="Times New Roman" w:cstheme="minorHAnsi"/>
            <w:b/>
            <w:bCs/>
            <w:szCs w:val="24"/>
            <w:lang w:val="fr-FR" w:eastAsia="cs-CZ"/>
          </w:rPr>
          <w:t>Pavlů L.</w:t>
        </w:r>
      </w:hyperlink>
      <w:r w:rsidR="00AF5A33" w:rsidRPr="00D4761A">
        <w:rPr>
          <w:rFonts w:eastAsia="Times New Roman" w:cstheme="minorHAnsi"/>
          <w:b/>
          <w:bCs/>
          <w:szCs w:val="24"/>
          <w:lang w:val="fr-FR" w:eastAsia="cs-CZ"/>
        </w:rPr>
        <w:t xml:space="preserve">, </w:t>
      </w:r>
      <w:hyperlink r:id="rId13" w:tooltip="Show Author Details" w:history="1">
        <w:r w:rsidR="00AF5A33" w:rsidRPr="00D4761A">
          <w:rPr>
            <w:rFonts w:eastAsia="Times New Roman" w:cstheme="minorHAnsi"/>
            <w:szCs w:val="24"/>
            <w:lang w:val="fr-FR" w:eastAsia="cs-CZ"/>
          </w:rPr>
          <w:t>Šaňák D.</w:t>
        </w:r>
      </w:hyperlink>
      <w:r w:rsidR="00AF5A33" w:rsidRPr="00D4761A">
        <w:rPr>
          <w:rFonts w:eastAsia="Times New Roman" w:cstheme="minorHAnsi"/>
          <w:szCs w:val="24"/>
          <w:lang w:val="fr-FR" w:eastAsia="cs-CZ"/>
        </w:rPr>
        <w:t xml:space="preserve">, et al. </w:t>
      </w:r>
      <w:r w:rsidR="00AF5A33" w:rsidRPr="00D4761A">
        <w:rPr>
          <w:lang w:val="en-US"/>
        </w:rPr>
        <w:t>The role of echocardiography in patients after ischemic stroke</w:t>
      </w:r>
      <w:r w:rsidR="00597804" w:rsidRPr="00D4761A">
        <w:rPr>
          <w:lang w:val="en-US"/>
        </w:rPr>
        <w:t xml:space="preserve"> </w:t>
      </w:r>
      <w:r w:rsidR="00AF5A33" w:rsidRPr="00D4761A">
        <w:rPr>
          <w:lang w:val="en-US"/>
        </w:rPr>
        <w:t>(Review).</w:t>
      </w:r>
      <w:r w:rsidR="00597804" w:rsidRPr="00D4761A">
        <w:rPr>
          <w:lang w:val="en-US"/>
        </w:rPr>
        <w:t xml:space="preserve"> </w:t>
      </w:r>
      <w:hyperlink r:id="rId14" w:tooltip="Go to the information page for this source" w:history="1">
        <w:r w:rsidR="00AF5A33" w:rsidRPr="00D4761A">
          <w:rPr>
            <w:rFonts w:eastAsia="Times New Roman" w:cstheme="minorHAnsi"/>
            <w:szCs w:val="24"/>
            <w:lang w:val="en-US" w:eastAsia="cs-CZ"/>
          </w:rPr>
          <w:t>Cor et Vasa</w:t>
        </w:r>
      </w:hyperlink>
      <w:r w:rsidR="00AF5A33" w:rsidRPr="00D4761A">
        <w:rPr>
          <w:rFonts w:eastAsia="Times New Roman" w:cstheme="minorHAnsi"/>
          <w:szCs w:val="24"/>
          <w:lang w:val="en-US" w:eastAsia="cs-CZ"/>
        </w:rPr>
        <w:t>, Volume 58, Issue 2, 1 April 2016, Pages e261-e272 (3).</w:t>
      </w:r>
    </w:p>
    <w:p w14:paraId="6F60ECC7" w14:textId="77777777" w:rsidR="00AF5A33" w:rsidRPr="00D4761A" w:rsidRDefault="00AF5A33" w:rsidP="00AF5A33"/>
    <w:p w14:paraId="746889C6" w14:textId="77777777" w:rsidR="00AF5A33" w:rsidRPr="00D4761A" w:rsidRDefault="00AF5A33" w:rsidP="00AF5A33">
      <w:pPr>
        <w:rPr>
          <w:rFonts w:cstheme="minorHAnsi"/>
          <w:szCs w:val="24"/>
          <w:lang w:val="en-US"/>
        </w:rPr>
      </w:pPr>
      <w:r w:rsidRPr="00D4761A">
        <w:rPr>
          <w:lang w:val="en-US"/>
        </w:rPr>
        <w:t xml:space="preserve">Hudec S, Hutyra M, Precek J, Latal J, Nykl R, Spacek M, Sluka M, Sanak D, Tudos Z, Navratil K, </w:t>
      </w:r>
      <w:r w:rsidRPr="00D4761A">
        <w:rPr>
          <w:b/>
          <w:lang w:val="en-US"/>
        </w:rPr>
        <w:t>Pavlu L</w:t>
      </w:r>
      <w:r w:rsidRPr="00D4761A">
        <w:rPr>
          <w:lang w:val="en-US"/>
        </w:rPr>
        <w:t>, Taborsky M. Acute myocardial infarction, intraventricular thrombus and risk of systemic embolism. Biomed Pap Med Fac Univ Palacky Olomouc Czech Repub. 2020 Mar;164(1):34-42.</w:t>
      </w:r>
    </w:p>
    <w:p w14:paraId="697A57F4" w14:textId="77777777" w:rsidR="00AF5A33" w:rsidRPr="00D4761A" w:rsidRDefault="00AF5A33" w:rsidP="00AF5A33">
      <w:pPr>
        <w:rPr>
          <w:rFonts w:cstheme="minorHAnsi"/>
          <w:b/>
          <w:szCs w:val="24"/>
        </w:rPr>
      </w:pPr>
      <w:r w:rsidRPr="00D4761A">
        <w:rPr>
          <w:rFonts w:cstheme="minorHAnsi"/>
          <w:b/>
          <w:szCs w:val="24"/>
        </w:rPr>
        <w:t>IF 1,245</w:t>
      </w:r>
    </w:p>
    <w:p w14:paraId="62735F2D" w14:textId="77777777" w:rsidR="00AF5A33" w:rsidRPr="00D4761A" w:rsidRDefault="00AF5A33" w:rsidP="00A063D5">
      <w:pPr>
        <w:pStyle w:val="Nadpis3"/>
      </w:pPr>
      <w:r w:rsidRPr="00D4761A">
        <w:t>Publikovaná abstrakta:</w:t>
      </w:r>
    </w:p>
    <w:p w14:paraId="52CBF417" w14:textId="77777777" w:rsidR="00597804" w:rsidRPr="00D4761A" w:rsidRDefault="00AF5A33" w:rsidP="00AF5A33">
      <w:pPr>
        <w:rPr>
          <w:rFonts w:eastAsia="Times New Roman" w:cstheme="minorHAnsi"/>
          <w:bCs/>
          <w:szCs w:val="24"/>
          <w:lang w:eastAsia="cs-CZ"/>
        </w:rPr>
      </w:pPr>
      <w:r w:rsidRPr="00D4761A">
        <w:rPr>
          <w:rFonts w:eastAsia="Times New Roman" w:cstheme="minorHAnsi"/>
          <w:b/>
          <w:bCs/>
          <w:szCs w:val="24"/>
          <w:lang w:eastAsia="cs-CZ"/>
        </w:rPr>
        <w:t>Pavlů L.,</w:t>
      </w:r>
      <w:r w:rsidRPr="00D4761A">
        <w:rPr>
          <w:rFonts w:eastAsia="Times New Roman" w:cstheme="minorHAnsi"/>
          <w:szCs w:val="24"/>
          <w:lang w:eastAsia="cs-CZ"/>
        </w:rPr>
        <w:t xml:space="preserve"> Lazárová M., Táborský M., Petřková J.</w:t>
      </w:r>
      <w:r w:rsidRPr="00D4761A">
        <w:rPr>
          <w:rFonts w:eastAsia="Times New Roman" w:cstheme="minorHAnsi"/>
          <w:bCs/>
          <w:szCs w:val="24"/>
          <w:lang w:eastAsia="cs-CZ"/>
        </w:rPr>
        <w:t xml:space="preserve"> ARYTMICKÁ BOUŘE – EXTRAKORPORÁLNÍ MEMBRÁNOVÁ OXYGENACE (ECMO) - BRIDGE TO CATHETER ABLATION / BRIDGE TO RECOVERY. XXIV. Výroční sjezd České kardiologické společnosti, Brno, 15.-18.05.2016</w:t>
      </w:r>
    </w:p>
    <w:p w14:paraId="1E52361B" w14:textId="77777777" w:rsidR="006208B9" w:rsidRPr="00D4761A" w:rsidRDefault="006208B9" w:rsidP="00AF5A33">
      <w:pPr>
        <w:rPr>
          <w:rFonts w:eastAsia="Times New Roman" w:cstheme="minorHAnsi"/>
          <w:bCs/>
          <w:szCs w:val="24"/>
          <w:lang w:eastAsia="cs-CZ"/>
        </w:rPr>
      </w:pPr>
    </w:p>
    <w:p w14:paraId="7650B048" w14:textId="18B76DBB" w:rsidR="00AF5A33" w:rsidRPr="00DA234A" w:rsidRDefault="00AF5A33" w:rsidP="00AF5A33">
      <w:pPr>
        <w:rPr>
          <w:rFonts w:eastAsia="Times New Roman" w:cstheme="minorHAnsi"/>
          <w:bCs/>
          <w:szCs w:val="24"/>
          <w:lang w:eastAsia="cs-CZ"/>
        </w:rPr>
      </w:pPr>
      <w:r w:rsidRPr="00D4761A">
        <w:rPr>
          <w:rFonts w:eastAsia="Times New Roman" w:cstheme="minorHAnsi"/>
          <w:b/>
          <w:szCs w:val="24"/>
          <w:lang w:eastAsia="cs-CZ"/>
        </w:rPr>
        <w:t>Pavlů L</w:t>
      </w:r>
      <w:r w:rsidRPr="00D4761A">
        <w:rPr>
          <w:rFonts w:eastAsia="Times New Roman" w:cstheme="minorHAnsi"/>
          <w:szCs w:val="24"/>
          <w:lang w:eastAsia="cs-CZ"/>
        </w:rPr>
        <w:t>., Král M., Lazárová M., Táborský M., Petřková J.</w:t>
      </w:r>
      <w:r w:rsidRPr="00D4761A">
        <w:rPr>
          <w:rFonts w:eastAsia="Times New Roman" w:cstheme="minorHAnsi"/>
          <w:bCs/>
          <w:szCs w:val="24"/>
          <w:lang w:eastAsia="cs-CZ"/>
        </w:rPr>
        <w:t xml:space="preserve"> HOREČKA </w:t>
      </w:r>
      <w:r w:rsidR="00672ED4" w:rsidRPr="00D4761A">
        <w:rPr>
          <w:rFonts w:eastAsia="Times New Roman" w:cstheme="minorHAnsi"/>
          <w:bCs/>
          <w:szCs w:val="24"/>
          <w:lang w:eastAsia="cs-CZ"/>
        </w:rPr>
        <w:t>A </w:t>
      </w:r>
      <w:r w:rsidRPr="00D4761A">
        <w:rPr>
          <w:rFonts w:eastAsia="Times New Roman" w:cstheme="minorHAnsi"/>
          <w:bCs/>
          <w:szCs w:val="24"/>
          <w:lang w:eastAsia="cs-CZ"/>
        </w:rPr>
        <w:t xml:space="preserve">BILATERÁLNÍ KRČNÍ LYMFADENOPATIE </w:t>
      </w:r>
      <w:r w:rsidR="00672ED4" w:rsidRPr="00D4761A">
        <w:rPr>
          <w:rFonts w:eastAsia="Times New Roman" w:cstheme="minorHAnsi"/>
          <w:bCs/>
          <w:szCs w:val="24"/>
          <w:lang w:eastAsia="cs-CZ"/>
        </w:rPr>
        <w:t>U </w:t>
      </w:r>
      <w:r w:rsidRPr="00D4761A">
        <w:rPr>
          <w:rFonts w:eastAsia="Times New Roman" w:cstheme="minorHAnsi"/>
          <w:bCs/>
          <w:szCs w:val="24"/>
          <w:lang w:eastAsia="cs-CZ"/>
        </w:rPr>
        <w:t>PACIENTA PO ABLACI SUBSTRÁTRU FIBRILACE SINÍ. XXV. Výroční sjezd České kardiologické společnosti, Brno, 07. -10. 05. 2017</w:t>
      </w:r>
      <w:bookmarkEnd w:id="40"/>
      <w:bookmarkEnd w:id="83"/>
    </w:p>
    <w:sectPr w:rsidR="00AF5A33" w:rsidRPr="00DA234A" w:rsidSect="00D817BF">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D9C88" w14:textId="77777777" w:rsidR="001C07EF" w:rsidRDefault="001C07EF" w:rsidP="00432779">
      <w:pPr>
        <w:spacing w:line="240" w:lineRule="auto"/>
      </w:pPr>
      <w:r>
        <w:separator/>
      </w:r>
    </w:p>
  </w:endnote>
  <w:endnote w:type="continuationSeparator" w:id="0">
    <w:p w14:paraId="2F5290FF" w14:textId="77777777" w:rsidR="001C07EF" w:rsidRDefault="001C07EF" w:rsidP="004327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CE-Bol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BEB0" w14:textId="74FF692E" w:rsidR="001466B0" w:rsidRDefault="001466B0" w:rsidP="006208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058220"/>
      <w:docPartObj>
        <w:docPartGallery w:val="Page Numbers (Bottom of Page)"/>
        <w:docPartUnique/>
      </w:docPartObj>
    </w:sdtPr>
    <w:sdtEndPr/>
    <w:sdtContent>
      <w:p w14:paraId="35B6C6FE" w14:textId="77777777" w:rsidR="001466B0" w:rsidRDefault="001466B0" w:rsidP="006208B9">
        <w:pPr>
          <w:pStyle w:val="Zpat"/>
          <w:jc w:val="center"/>
        </w:pPr>
        <w:r>
          <w:fldChar w:fldCharType="begin"/>
        </w:r>
        <w:r>
          <w:instrText>PAGE   \* MERGEFORMAT</w:instrText>
        </w:r>
        <w:r>
          <w:fldChar w:fldCharType="separate"/>
        </w:r>
        <w:r w:rsidR="005024B2">
          <w:rPr>
            <w:noProof/>
          </w:rPr>
          <w:t>66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CB8C2" w14:textId="77777777" w:rsidR="001C07EF" w:rsidRDefault="001C07EF" w:rsidP="00432779">
      <w:pPr>
        <w:spacing w:line="240" w:lineRule="auto"/>
      </w:pPr>
      <w:r>
        <w:separator/>
      </w:r>
    </w:p>
  </w:footnote>
  <w:footnote w:type="continuationSeparator" w:id="0">
    <w:p w14:paraId="58D08471" w14:textId="77777777" w:rsidR="001C07EF" w:rsidRDefault="001C07EF" w:rsidP="0043277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119"/>
    <w:multiLevelType w:val="hybridMultilevel"/>
    <w:tmpl w:val="7B5864D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84153DC"/>
    <w:multiLevelType w:val="hybridMultilevel"/>
    <w:tmpl w:val="23DC2EBA"/>
    <w:lvl w:ilvl="0" w:tplc="DD10666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272A4B"/>
    <w:multiLevelType w:val="hybridMultilevel"/>
    <w:tmpl w:val="6E7C1CDA"/>
    <w:lvl w:ilvl="0" w:tplc="42FC0A70">
      <w:start w:val="1"/>
      <w:numFmt w:val="upperLetter"/>
      <w:pStyle w:val="Nadpis2"/>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81F5F24"/>
    <w:multiLevelType w:val="hybridMultilevel"/>
    <w:tmpl w:val="0C2C5D0E"/>
    <w:lvl w:ilvl="0" w:tplc="7E5635D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9B24A6"/>
    <w:multiLevelType w:val="multilevel"/>
    <w:tmpl w:val="2F22996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5" w15:restartNumberingAfterBreak="0">
    <w:nsid w:val="2E663C5D"/>
    <w:multiLevelType w:val="hybridMultilevel"/>
    <w:tmpl w:val="1FF443CE"/>
    <w:lvl w:ilvl="0" w:tplc="88F83A8A">
      <w:numFmt w:val="bullet"/>
      <w:lvlText w:val="-"/>
      <w:lvlJc w:val="left"/>
      <w:pPr>
        <w:ind w:left="1065" w:hanging="360"/>
      </w:pPr>
      <w:rPr>
        <w:rFonts w:ascii="Calibri" w:eastAsiaTheme="minorHAnsi"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 w15:restartNumberingAfterBreak="0">
    <w:nsid w:val="3405501B"/>
    <w:multiLevelType w:val="hybridMultilevel"/>
    <w:tmpl w:val="B12099A6"/>
    <w:lvl w:ilvl="0" w:tplc="0F12A492">
      <w:start w:val="1"/>
      <w:numFmt w:val="lowerLetter"/>
      <w:pStyle w:val="Nadpis3"/>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A2A29CA"/>
    <w:multiLevelType w:val="hybridMultilevel"/>
    <w:tmpl w:val="CB3EAC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24E6901"/>
    <w:multiLevelType w:val="multilevel"/>
    <w:tmpl w:val="04050025"/>
    <w:lvl w:ilvl="0">
      <w:start w:val="1"/>
      <w:numFmt w:val="decimal"/>
      <w:pStyle w:val="Nadpis1"/>
      <w:lvlText w:val="%1"/>
      <w:lvlJc w:val="left"/>
      <w:pPr>
        <w:ind w:left="432" w:hanging="432"/>
      </w:pPr>
    </w:lvl>
    <w:lvl w:ilvl="1">
      <w:start w:val="1"/>
      <w:numFmt w:val="decimal"/>
      <w:pStyle w:val="Nadpis20"/>
      <w:lvlText w:val="%1.%2"/>
      <w:lvlJc w:val="left"/>
      <w:pPr>
        <w:ind w:left="576" w:hanging="576"/>
      </w:pPr>
    </w:lvl>
    <w:lvl w:ilvl="2">
      <w:start w:val="1"/>
      <w:numFmt w:val="decimal"/>
      <w:pStyle w:val="Nadpis30"/>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43817149"/>
    <w:multiLevelType w:val="hybridMultilevel"/>
    <w:tmpl w:val="4A668B96"/>
    <w:lvl w:ilvl="0" w:tplc="F342C036">
      <w:start w:val="124"/>
      <w:numFmt w:val="decimal"/>
      <w:lvlText w:val="%1."/>
      <w:lvlJc w:val="left"/>
      <w:pPr>
        <w:ind w:left="1155" w:hanging="435"/>
      </w:pPr>
      <w:rPr>
        <w:rFonts w:ascii="Segoe UI" w:hAnsi="Segoe UI" w:cs="Segoe UI" w:hint="default"/>
        <w:color w:val="212121"/>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3B14DD9"/>
    <w:multiLevelType w:val="hybridMultilevel"/>
    <w:tmpl w:val="AB682D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3E0563D"/>
    <w:multiLevelType w:val="hybridMultilevel"/>
    <w:tmpl w:val="603EA98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6D1928C7"/>
    <w:multiLevelType w:val="multilevel"/>
    <w:tmpl w:val="2F22996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3" w15:restartNumberingAfterBreak="0">
    <w:nsid w:val="799050D3"/>
    <w:multiLevelType w:val="hybridMultilevel"/>
    <w:tmpl w:val="CEF07876"/>
    <w:lvl w:ilvl="0" w:tplc="5E2652D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2"/>
  </w:num>
  <w:num w:numId="3">
    <w:abstractNumId w:val="4"/>
  </w:num>
  <w:num w:numId="4">
    <w:abstractNumId w:val="12"/>
  </w:num>
  <w:num w:numId="5">
    <w:abstractNumId w:val="0"/>
  </w:num>
  <w:num w:numId="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7"/>
  </w:num>
  <w:num w:numId="10">
    <w:abstractNumId w:val="10"/>
  </w:num>
  <w:num w:numId="11">
    <w:abstractNumId w:val="9"/>
  </w:num>
  <w:num w:numId="12">
    <w:abstractNumId w:val="11"/>
  </w:num>
  <w:num w:numId="13">
    <w:abstractNumId w:val="3"/>
  </w:num>
  <w:num w:numId="14">
    <w:abstractNumId w:val="13"/>
  </w:num>
  <w:num w:numId="15">
    <w:abstractNumId w:val="1"/>
  </w:num>
  <w:num w:numId="16">
    <w:abstractNumId w:val="8"/>
  </w:num>
  <w:num w:numId="17">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EDE"/>
    <w:rsid w:val="000046C7"/>
    <w:rsid w:val="00010B98"/>
    <w:rsid w:val="00014953"/>
    <w:rsid w:val="000158F9"/>
    <w:rsid w:val="00016532"/>
    <w:rsid w:val="00025EE3"/>
    <w:rsid w:val="000413B3"/>
    <w:rsid w:val="00050255"/>
    <w:rsid w:val="00054909"/>
    <w:rsid w:val="0006453F"/>
    <w:rsid w:val="00075705"/>
    <w:rsid w:val="00075990"/>
    <w:rsid w:val="00083063"/>
    <w:rsid w:val="00086884"/>
    <w:rsid w:val="00094C10"/>
    <w:rsid w:val="000B29AA"/>
    <w:rsid w:val="000C6F76"/>
    <w:rsid w:val="000D00C3"/>
    <w:rsid w:val="0010221E"/>
    <w:rsid w:val="00102704"/>
    <w:rsid w:val="00106C72"/>
    <w:rsid w:val="001126E0"/>
    <w:rsid w:val="001154ED"/>
    <w:rsid w:val="0012367B"/>
    <w:rsid w:val="00124960"/>
    <w:rsid w:val="00124DFD"/>
    <w:rsid w:val="00130883"/>
    <w:rsid w:val="001451ED"/>
    <w:rsid w:val="001466B0"/>
    <w:rsid w:val="00146874"/>
    <w:rsid w:val="00153F02"/>
    <w:rsid w:val="0016302A"/>
    <w:rsid w:val="00163DA4"/>
    <w:rsid w:val="00165106"/>
    <w:rsid w:val="00166D02"/>
    <w:rsid w:val="0017274C"/>
    <w:rsid w:val="001728D9"/>
    <w:rsid w:val="001738BF"/>
    <w:rsid w:val="001932FA"/>
    <w:rsid w:val="0019723D"/>
    <w:rsid w:val="001A1C62"/>
    <w:rsid w:val="001A464B"/>
    <w:rsid w:val="001A589F"/>
    <w:rsid w:val="001B30AD"/>
    <w:rsid w:val="001C07EF"/>
    <w:rsid w:val="001C68DD"/>
    <w:rsid w:val="001E3AC3"/>
    <w:rsid w:val="001E42A6"/>
    <w:rsid w:val="001E7FEB"/>
    <w:rsid w:val="001F0F6A"/>
    <w:rsid w:val="00203980"/>
    <w:rsid w:val="00206E3D"/>
    <w:rsid w:val="002175DD"/>
    <w:rsid w:val="0022727D"/>
    <w:rsid w:val="002303B1"/>
    <w:rsid w:val="002307BB"/>
    <w:rsid w:val="00236E4C"/>
    <w:rsid w:val="002411AD"/>
    <w:rsid w:val="00245C36"/>
    <w:rsid w:val="00247339"/>
    <w:rsid w:val="002474D7"/>
    <w:rsid w:val="0025599A"/>
    <w:rsid w:val="002577EE"/>
    <w:rsid w:val="002704B3"/>
    <w:rsid w:val="00271B38"/>
    <w:rsid w:val="002735F3"/>
    <w:rsid w:val="002751B7"/>
    <w:rsid w:val="002823F4"/>
    <w:rsid w:val="00287F3B"/>
    <w:rsid w:val="002906F3"/>
    <w:rsid w:val="00293BE6"/>
    <w:rsid w:val="00296F99"/>
    <w:rsid w:val="002A70AD"/>
    <w:rsid w:val="002B5B9B"/>
    <w:rsid w:val="002C1B72"/>
    <w:rsid w:val="002C1DC7"/>
    <w:rsid w:val="002C4608"/>
    <w:rsid w:val="002C7B8D"/>
    <w:rsid w:val="002D142E"/>
    <w:rsid w:val="002D2F1F"/>
    <w:rsid w:val="002D3DA2"/>
    <w:rsid w:val="002E3F0C"/>
    <w:rsid w:val="002F164F"/>
    <w:rsid w:val="002F477B"/>
    <w:rsid w:val="003023E4"/>
    <w:rsid w:val="0030615F"/>
    <w:rsid w:val="0032414C"/>
    <w:rsid w:val="00325CA1"/>
    <w:rsid w:val="00325FC2"/>
    <w:rsid w:val="003273F6"/>
    <w:rsid w:val="00327800"/>
    <w:rsid w:val="0034116F"/>
    <w:rsid w:val="00341A44"/>
    <w:rsid w:val="0034265E"/>
    <w:rsid w:val="00344AF5"/>
    <w:rsid w:val="00352E20"/>
    <w:rsid w:val="00355862"/>
    <w:rsid w:val="003607C3"/>
    <w:rsid w:val="003674C0"/>
    <w:rsid w:val="00377577"/>
    <w:rsid w:val="00383CF7"/>
    <w:rsid w:val="003846B0"/>
    <w:rsid w:val="00387347"/>
    <w:rsid w:val="00396D5E"/>
    <w:rsid w:val="003976C3"/>
    <w:rsid w:val="003A2544"/>
    <w:rsid w:val="003A6520"/>
    <w:rsid w:val="003B6ECA"/>
    <w:rsid w:val="003B7C76"/>
    <w:rsid w:val="003C3444"/>
    <w:rsid w:val="003C49FC"/>
    <w:rsid w:val="003D2047"/>
    <w:rsid w:val="003D5A35"/>
    <w:rsid w:val="003E1C58"/>
    <w:rsid w:val="003E710B"/>
    <w:rsid w:val="003F423B"/>
    <w:rsid w:val="003F504A"/>
    <w:rsid w:val="00406841"/>
    <w:rsid w:val="0041108D"/>
    <w:rsid w:val="00411B55"/>
    <w:rsid w:val="00423878"/>
    <w:rsid w:val="00432779"/>
    <w:rsid w:val="004329F7"/>
    <w:rsid w:val="00440D1F"/>
    <w:rsid w:val="0044543E"/>
    <w:rsid w:val="004705C0"/>
    <w:rsid w:val="004770ED"/>
    <w:rsid w:val="0048242E"/>
    <w:rsid w:val="0048504F"/>
    <w:rsid w:val="00494A9F"/>
    <w:rsid w:val="004951A5"/>
    <w:rsid w:val="00495315"/>
    <w:rsid w:val="004A7A73"/>
    <w:rsid w:val="004A7E62"/>
    <w:rsid w:val="004C633B"/>
    <w:rsid w:val="004D505C"/>
    <w:rsid w:val="004E0F47"/>
    <w:rsid w:val="004E368C"/>
    <w:rsid w:val="004E5FE5"/>
    <w:rsid w:val="004F0189"/>
    <w:rsid w:val="004F20B9"/>
    <w:rsid w:val="004F419A"/>
    <w:rsid w:val="004F5F9C"/>
    <w:rsid w:val="005024B2"/>
    <w:rsid w:val="00506B15"/>
    <w:rsid w:val="00512693"/>
    <w:rsid w:val="0051612A"/>
    <w:rsid w:val="00516238"/>
    <w:rsid w:val="0052528B"/>
    <w:rsid w:val="00541132"/>
    <w:rsid w:val="005438FD"/>
    <w:rsid w:val="00546154"/>
    <w:rsid w:val="00551302"/>
    <w:rsid w:val="00551B05"/>
    <w:rsid w:val="00553F8F"/>
    <w:rsid w:val="00554EDA"/>
    <w:rsid w:val="00557557"/>
    <w:rsid w:val="00560E84"/>
    <w:rsid w:val="005614EE"/>
    <w:rsid w:val="0057281E"/>
    <w:rsid w:val="00580C2F"/>
    <w:rsid w:val="00596667"/>
    <w:rsid w:val="00597804"/>
    <w:rsid w:val="005A0DD7"/>
    <w:rsid w:val="005B1ADE"/>
    <w:rsid w:val="005B20F3"/>
    <w:rsid w:val="005B7F41"/>
    <w:rsid w:val="005C116E"/>
    <w:rsid w:val="005C7C2C"/>
    <w:rsid w:val="005D25F5"/>
    <w:rsid w:val="005E0192"/>
    <w:rsid w:val="005E2E89"/>
    <w:rsid w:val="005E4DA9"/>
    <w:rsid w:val="005E56A6"/>
    <w:rsid w:val="005E6B55"/>
    <w:rsid w:val="005F309C"/>
    <w:rsid w:val="005F5C21"/>
    <w:rsid w:val="005F6849"/>
    <w:rsid w:val="00616138"/>
    <w:rsid w:val="006162F4"/>
    <w:rsid w:val="0061670D"/>
    <w:rsid w:val="006208B9"/>
    <w:rsid w:val="00621B69"/>
    <w:rsid w:val="00636B48"/>
    <w:rsid w:val="0065105B"/>
    <w:rsid w:val="00663D18"/>
    <w:rsid w:val="00671C9A"/>
    <w:rsid w:val="00672ED4"/>
    <w:rsid w:val="00673892"/>
    <w:rsid w:val="006767A0"/>
    <w:rsid w:val="0068153A"/>
    <w:rsid w:val="00685E7D"/>
    <w:rsid w:val="006A0C60"/>
    <w:rsid w:val="006A448B"/>
    <w:rsid w:val="006B0195"/>
    <w:rsid w:val="006B1744"/>
    <w:rsid w:val="006B283B"/>
    <w:rsid w:val="006B50BB"/>
    <w:rsid w:val="006B6D6B"/>
    <w:rsid w:val="006C2FDC"/>
    <w:rsid w:val="006D3585"/>
    <w:rsid w:val="006D3F9C"/>
    <w:rsid w:val="006F29B7"/>
    <w:rsid w:val="006F48AC"/>
    <w:rsid w:val="007104A0"/>
    <w:rsid w:val="00713227"/>
    <w:rsid w:val="00722963"/>
    <w:rsid w:val="007230C7"/>
    <w:rsid w:val="00724557"/>
    <w:rsid w:val="00727DEE"/>
    <w:rsid w:val="00732DE9"/>
    <w:rsid w:val="00735C9A"/>
    <w:rsid w:val="00750704"/>
    <w:rsid w:val="00752E12"/>
    <w:rsid w:val="00757176"/>
    <w:rsid w:val="007714C2"/>
    <w:rsid w:val="00786C73"/>
    <w:rsid w:val="00793AD5"/>
    <w:rsid w:val="00793D41"/>
    <w:rsid w:val="007940C6"/>
    <w:rsid w:val="007A17B5"/>
    <w:rsid w:val="007A2453"/>
    <w:rsid w:val="007C0E4B"/>
    <w:rsid w:val="007C2BD0"/>
    <w:rsid w:val="007C2BFA"/>
    <w:rsid w:val="007C48BB"/>
    <w:rsid w:val="007C54C1"/>
    <w:rsid w:val="007E243E"/>
    <w:rsid w:val="007F0C25"/>
    <w:rsid w:val="008021C9"/>
    <w:rsid w:val="00804368"/>
    <w:rsid w:val="00811E3A"/>
    <w:rsid w:val="00814B3F"/>
    <w:rsid w:val="00823009"/>
    <w:rsid w:val="00830201"/>
    <w:rsid w:val="00832795"/>
    <w:rsid w:val="00832D18"/>
    <w:rsid w:val="00836D68"/>
    <w:rsid w:val="0083788F"/>
    <w:rsid w:val="0084685F"/>
    <w:rsid w:val="00847159"/>
    <w:rsid w:val="00850B99"/>
    <w:rsid w:val="00857CDC"/>
    <w:rsid w:val="00865422"/>
    <w:rsid w:val="0087484D"/>
    <w:rsid w:val="00882CE6"/>
    <w:rsid w:val="00895D06"/>
    <w:rsid w:val="008A143E"/>
    <w:rsid w:val="008A1B19"/>
    <w:rsid w:val="008B5F36"/>
    <w:rsid w:val="008B697F"/>
    <w:rsid w:val="008C2C52"/>
    <w:rsid w:val="008C415A"/>
    <w:rsid w:val="008C4756"/>
    <w:rsid w:val="008C6624"/>
    <w:rsid w:val="008D7BB3"/>
    <w:rsid w:val="008E485F"/>
    <w:rsid w:val="008F457E"/>
    <w:rsid w:val="008F6BAF"/>
    <w:rsid w:val="00917BD6"/>
    <w:rsid w:val="009257BF"/>
    <w:rsid w:val="00932F76"/>
    <w:rsid w:val="009424A1"/>
    <w:rsid w:val="00960E85"/>
    <w:rsid w:val="009625E4"/>
    <w:rsid w:val="00970A58"/>
    <w:rsid w:val="00970DC8"/>
    <w:rsid w:val="0097294A"/>
    <w:rsid w:val="00974A58"/>
    <w:rsid w:val="00984F42"/>
    <w:rsid w:val="009910C5"/>
    <w:rsid w:val="00995C4B"/>
    <w:rsid w:val="00997804"/>
    <w:rsid w:val="009A3DF3"/>
    <w:rsid w:val="009A60BB"/>
    <w:rsid w:val="009A6D7F"/>
    <w:rsid w:val="009B1263"/>
    <w:rsid w:val="009C21E8"/>
    <w:rsid w:val="009C3DD4"/>
    <w:rsid w:val="009D0472"/>
    <w:rsid w:val="009D6E75"/>
    <w:rsid w:val="00A014BE"/>
    <w:rsid w:val="00A063D5"/>
    <w:rsid w:val="00A10036"/>
    <w:rsid w:val="00A117A2"/>
    <w:rsid w:val="00A1380B"/>
    <w:rsid w:val="00A17C24"/>
    <w:rsid w:val="00A211DE"/>
    <w:rsid w:val="00A314D6"/>
    <w:rsid w:val="00A3466D"/>
    <w:rsid w:val="00A415B4"/>
    <w:rsid w:val="00A44EF5"/>
    <w:rsid w:val="00A538FF"/>
    <w:rsid w:val="00A560A1"/>
    <w:rsid w:val="00A706D2"/>
    <w:rsid w:val="00A71285"/>
    <w:rsid w:val="00A768E6"/>
    <w:rsid w:val="00A80886"/>
    <w:rsid w:val="00A822C8"/>
    <w:rsid w:val="00A83B47"/>
    <w:rsid w:val="00A93278"/>
    <w:rsid w:val="00A95BE2"/>
    <w:rsid w:val="00AA1F75"/>
    <w:rsid w:val="00AA7FA7"/>
    <w:rsid w:val="00AB1671"/>
    <w:rsid w:val="00AB306B"/>
    <w:rsid w:val="00AC4B25"/>
    <w:rsid w:val="00AC65B5"/>
    <w:rsid w:val="00AC79A5"/>
    <w:rsid w:val="00AD024C"/>
    <w:rsid w:val="00AD71CB"/>
    <w:rsid w:val="00AE0CDE"/>
    <w:rsid w:val="00AE5A82"/>
    <w:rsid w:val="00AE5EA2"/>
    <w:rsid w:val="00AF5A33"/>
    <w:rsid w:val="00AF5E66"/>
    <w:rsid w:val="00AF6029"/>
    <w:rsid w:val="00B07B2B"/>
    <w:rsid w:val="00B07DC8"/>
    <w:rsid w:val="00B10537"/>
    <w:rsid w:val="00B17F77"/>
    <w:rsid w:val="00B24EE7"/>
    <w:rsid w:val="00B353B3"/>
    <w:rsid w:val="00B459D3"/>
    <w:rsid w:val="00B459F6"/>
    <w:rsid w:val="00B56B13"/>
    <w:rsid w:val="00B57B48"/>
    <w:rsid w:val="00B6509E"/>
    <w:rsid w:val="00B65256"/>
    <w:rsid w:val="00B71B18"/>
    <w:rsid w:val="00B71E92"/>
    <w:rsid w:val="00B75234"/>
    <w:rsid w:val="00B75902"/>
    <w:rsid w:val="00B82D6B"/>
    <w:rsid w:val="00B83407"/>
    <w:rsid w:val="00B9408C"/>
    <w:rsid w:val="00B95302"/>
    <w:rsid w:val="00BA165D"/>
    <w:rsid w:val="00BA18F8"/>
    <w:rsid w:val="00BA4BE6"/>
    <w:rsid w:val="00BB0A32"/>
    <w:rsid w:val="00BB190F"/>
    <w:rsid w:val="00BB1DF0"/>
    <w:rsid w:val="00BC1E58"/>
    <w:rsid w:val="00BC493D"/>
    <w:rsid w:val="00BE5532"/>
    <w:rsid w:val="00BE6A1A"/>
    <w:rsid w:val="00BE7B50"/>
    <w:rsid w:val="00BF0055"/>
    <w:rsid w:val="00BF5AA1"/>
    <w:rsid w:val="00C00F11"/>
    <w:rsid w:val="00C01A2F"/>
    <w:rsid w:val="00C05057"/>
    <w:rsid w:val="00C14ECA"/>
    <w:rsid w:val="00C170F7"/>
    <w:rsid w:val="00C27A05"/>
    <w:rsid w:val="00C31627"/>
    <w:rsid w:val="00C34482"/>
    <w:rsid w:val="00C47410"/>
    <w:rsid w:val="00C56FAC"/>
    <w:rsid w:val="00C5713E"/>
    <w:rsid w:val="00C65E69"/>
    <w:rsid w:val="00C66883"/>
    <w:rsid w:val="00C70625"/>
    <w:rsid w:val="00C707D6"/>
    <w:rsid w:val="00C723AE"/>
    <w:rsid w:val="00C730C6"/>
    <w:rsid w:val="00C75F66"/>
    <w:rsid w:val="00C775BC"/>
    <w:rsid w:val="00C843CF"/>
    <w:rsid w:val="00C87265"/>
    <w:rsid w:val="00C876DD"/>
    <w:rsid w:val="00CA0F08"/>
    <w:rsid w:val="00CA3812"/>
    <w:rsid w:val="00CA5199"/>
    <w:rsid w:val="00CB63AB"/>
    <w:rsid w:val="00CB741B"/>
    <w:rsid w:val="00CC1CC6"/>
    <w:rsid w:val="00CC20BE"/>
    <w:rsid w:val="00CC2471"/>
    <w:rsid w:val="00CD415A"/>
    <w:rsid w:val="00CF0706"/>
    <w:rsid w:val="00CF1E8A"/>
    <w:rsid w:val="00CF2A35"/>
    <w:rsid w:val="00D01965"/>
    <w:rsid w:val="00D13408"/>
    <w:rsid w:val="00D171A9"/>
    <w:rsid w:val="00D27E12"/>
    <w:rsid w:val="00D31B22"/>
    <w:rsid w:val="00D3595D"/>
    <w:rsid w:val="00D37535"/>
    <w:rsid w:val="00D401D9"/>
    <w:rsid w:val="00D47510"/>
    <w:rsid w:val="00D4761A"/>
    <w:rsid w:val="00D515DB"/>
    <w:rsid w:val="00D5291E"/>
    <w:rsid w:val="00D75B8A"/>
    <w:rsid w:val="00D8119F"/>
    <w:rsid w:val="00D817BF"/>
    <w:rsid w:val="00D831DD"/>
    <w:rsid w:val="00D8323C"/>
    <w:rsid w:val="00D83353"/>
    <w:rsid w:val="00D85EDE"/>
    <w:rsid w:val="00D9179D"/>
    <w:rsid w:val="00D93809"/>
    <w:rsid w:val="00D957B9"/>
    <w:rsid w:val="00DA234A"/>
    <w:rsid w:val="00DA51F4"/>
    <w:rsid w:val="00DA601D"/>
    <w:rsid w:val="00DB25A2"/>
    <w:rsid w:val="00DB40F8"/>
    <w:rsid w:val="00DB6FD0"/>
    <w:rsid w:val="00DC16EB"/>
    <w:rsid w:val="00DC25BC"/>
    <w:rsid w:val="00DC27F8"/>
    <w:rsid w:val="00DD4055"/>
    <w:rsid w:val="00DD6BDE"/>
    <w:rsid w:val="00DD6E6A"/>
    <w:rsid w:val="00DE3FDA"/>
    <w:rsid w:val="00DE4408"/>
    <w:rsid w:val="00E0057C"/>
    <w:rsid w:val="00E03524"/>
    <w:rsid w:val="00E0605F"/>
    <w:rsid w:val="00E1419E"/>
    <w:rsid w:val="00E156C4"/>
    <w:rsid w:val="00E2166F"/>
    <w:rsid w:val="00E3373A"/>
    <w:rsid w:val="00E4491E"/>
    <w:rsid w:val="00E53523"/>
    <w:rsid w:val="00E551E3"/>
    <w:rsid w:val="00E63C84"/>
    <w:rsid w:val="00E6510A"/>
    <w:rsid w:val="00E65D04"/>
    <w:rsid w:val="00E67324"/>
    <w:rsid w:val="00E6761A"/>
    <w:rsid w:val="00E679E1"/>
    <w:rsid w:val="00E74871"/>
    <w:rsid w:val="00EA262C"/>
    <w:rsid w:val="00EA45EA"/>
    <w:rsid w:val="00EB3BA9"/>
    <w:rsid w:val="00EB6A5D"/>
    <w:rsid w:val="00EC2FA3"/>
    <w:rsid w:val="00EE4063"/>
    <w:rsid w:val="00EE6514"/>
    <w:rsid w:val="00EE7DB3"/>
    <w:rsid w:val="00F045F7"/>
    <w:rsid w:val="00F26F81"/>
    <w:rsid w:val="00F47F8C"/>
    <w:rsid w:val="00F5063E"/>
    <w:rsid w:val="00F5640A"/>
    <w:rsid w:val="00F7250C"/>
    <w:rsid w:val="00F72700"/>
    <w:rsid w:val="00F828CD"/>
    <w:rsid w:val="00F87876"/>
    <w:rsid w:val="00FA6B36"/>
    <w:rsid w:val="00FB1955"/>
    <w:rsid w:val="00FC3030"/>
    <w:rsid w:val="00FC4264"/>
    <w:rsid w:val="00FD6361"/>
    <w:rsid w:val="00FE3609"/>
    <w:rsid w:val="00FF6BF5"/>
    <w:rsid w:val="00FF78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68537"/>
  <w15:docId w15:val="{D8B5AFBC-6F9A-4DA8-B061-00CEC6B7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7804"/>
    <w:pPr>
      <w:spacing w:after="0" w:line="360" w:lineRule="auto"/>
      <w:jc w:val="both"/>
    </w:pPr>
    <w:rPr>
      <w:sz w:val="24"/>
    </w:rPr>
  </w:style>
  <w:style w:type="paragraph" w:styleId="Nadpis1">
    <w:name w:val="heading 1"/>
    <w:basedOn w:val="Normln"/>
    <w:next w:val="Normln"/>
    <w:link w:val="Nadpis1Char"/>
    <w:uiPriority w:val="9"/>
    <w:qFormat/>
    <w:rsid w:val="00672ED4"/>
    <w:pPr>
      <w:keepNext/>
      <w:keepLines/>
      <w:pageBreakBefore/>
      <w:numPr>
        <w:numId w:val="16"/>
      </w:numPr>
      <w:spacing w:before="480" w:after="720"/>
      <w:outlineLvl w:val="0"/>
    </w:pPr>
    <w:rPr>
      <w:rFonts w:eastAsiaTheme="majorEastAsia" w:cstheme="majorBidi"/>
      <w:b/>
      <w:bCs/>
      <w:sz w:val="32"/>
      <w:szCs w:val="28"/>
    </w:rPr>
  </w:style>
  <w:style w:type="paragraph" w:styleId="Nadpis20">
    <w:name w:val="heading 2"/>
    <w:basedOn w:val="Normln"/>
    <w:next w:val="Normln"/>
    <w:link w:val="Nadpis2Char"/>
    <w:uiPriority w:val="9"/>
    <w:unhideWhenUsed/>
    <w:qFormat/>
    <w:rsid w:val="00672ED4"/>
    <w:pPr>
      <w:keepNext/>
      <w:keepLines/>
      <w:numPr>
        <w:ilvl w:val="1"/>
        <w:numId w:val="16"/>
      </w:numPr>
      <w:spacing w:before="480" w:after="480"/>
      <w:ind w:left="578" w:hanging="578"/>
      <w:outlineLvl w:val="1"/>
    </w:pPr>
    <w:rPr>
      <w:rFonts w:eastAsiaTheme="majorEastAsia" w:cstheme="majorBidi"/>
      <w:b/>
      <w:bCs/>
      <w:sz w:val="28"/>
      <w:szCs w:val="26"/>
    </w:rPr>
  </w:style>
  <w:style w:type="paragraph" w:styleId="Nadpis30">
    <w:name w:val="heading 3"/>
    <w:basedOn w:val="Normln"/>
    <w:next w:val="Normln"/>
    <w:link w:val="Nadpis3Char"/>
    <w:uiPriority w:val="9"/>
    <w:unhideWhenUsed/>
    <w:qFormat/>
    <w:rsid w:val="00672ED4"/>
    <w:pPr>
      <w:keepNext/>
      <w:keepLines/>
      <w:numPr>
        <w:ilvl w:val="2"/>
        <w:numId w:val="16"/>
      </w:numPr>
      <w:spacing w:before="360" w:after="120"/>
      <w:outlineLvl w:val="2"/>
    </w:pPr>
    <w:rPr>
      <w:rFonts w:eastAsiaTheme="majorEastAsia" w:cstheme="majorBidi"/>
      <w:b/>
      <w:bCs/>
    </w:rPr>
  </w:style>
  <w:style w:type="paragraph" w:styleId="Nadpis4">
    <w:name w:val="heading 4"/>
    <w:basedOn w:val="Normln"/>
    <w:next w:val="Normln"/>
    <w:link w:val="Nadpis4Char"/>
    <w:uiPriority w:val="9"/>
    <w:unhideWhenUsed/>
    <w:qFormat/>
    <w:rsid w:val="00672ED4"/>
    <w:pPr>
      <w:keepNext/>
      <w:keepLines/>
      <w:numPr>
        <w:ilvl w:val="3"/>
        <w:numId w:val="16"/>
      </w:numPr>
      <w:spacing w:before="240"/>
      <w:ind w:left="862" w:hanging="862"/>
      <w:outlineLvl w:val="3"/>
    </w:pPr>
    <w:rPr>
      <w:rFonts w:eastAsiaTheme="majorEastAsia" w:cstheme="majorBidi"/>
      <w:b/>
      <w:bCs/>
      <w:i/>
      <w:iCs/>
    </w:rPr>
  </w:style>
  <w:style w:type="paragraph" w:styleId="Nadpis5">
    <w:name w:val="heading 5"/>
    <w:basedOn w:val="Normln"/>
    <w:next w:val="Normln"/>
    <w:link w:val="Nadpis5Char"/>
    <w:uiPriority w:val="9"/>
    <w:semiHidden/>
    <w:unhideWhenUsed/>
    <w:qFormat/>
    <w:rsid w:val="00672ED4"/>
    <w:pPr>
      <w:keepNext/>
      <w:keepLines/>
      <w:numPr>
        <w:ilvl w:val="4"/>
        <w:numId w:val="16"/>
      </w:numPr>
      <w:spacing w:before="200"/>
      <w:outlineLvl w:val="4"/>
    </w:pPr>
    <w:rPr>
      <w:rFonts w:asciiTheme="majorHAnsi" w:eastAsiaTheme="majorEastAsia" w:hAnsiTheme="majorHAnsi" w:cstheme="majorBidi"/>
      <w:color w:val="1F3763" w:themeColor="accent1" w:themeShade="7F"/>
    </w:rPr>
  </w:style>
  <w:style w:type="paragraph" w:styleId="Nadpis6">
    <w:name w:val="heading 6"/>
    <w:basedOn w:val="Normln"/>
    <w:next w:val="Normln"/>
    <w:link w:val="Nadpis6Char"/>
    <w:uiPriority w:val="9"/>
    <w:semiHidden/>
    <w:unhideWhenUsed/>
    <w:qFormat/>
    <w:rsid w:val="00672ED4"/>
    <w:pPr>
      <w:keepNext/>
      <w:keepLines/>
      <w:numPr>
        <w:ilvl w:val="5"/>
        <w:numId w:val="16"/>
      </w:numPr>
      <w:spacing w:before="200"/>
      <w:outlineLvl w:val="5"/>
    </w:pPr>
    <w:rPr>
      <w:rFonts w:asciiTheme="majorHAnsi" w:eastAsiaTheme="majorEastAsia" w:hAnsiTheme="majorHAnsi" w:cstheme="majorBidi"/>
      <w:i/>
      <w:iCs/>
      <w:color w:val="1F3763" w:themeColor="accent1" w:themeShade="7F"/>
    </w:rPr>
  </w:style>
  <w:style w:type="paragraph" w:styleId="Nadpis7">
    <w:name w:val="heading 7"/>
    <w:basedOn w:val="Normln"/>
    <w:next w:val="Normln"/>
    <w:link w:val="Nadpis7Char"/>
    <w:uiPriority w:val="9"/>
    <w:semiHidden/>
    <w:unhideWhenUsed/>
    <w:qFormat/>
    <w:rsid w:val="00672ED4"/>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672ED4"/>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672ED4"/>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93AD5"/>
    <w:pPr>
      <w:ind w:left="720"/>
      <w:contextualSpacing/>
    </w:pPr>
  </w:style>
  <w:style w:type="character" w:styleId="Hypertextovodkaz">
    <w:name w:val="Hyperlink"/>
    <w:basedOn w:val="Standardnpsmoodstavce"/>
    <w:uiPriority w:val="99"/>
    <w:unhideWhenUsed/>
    <w:rsid w:val="00AF5A33"/>
    <w:rPr>
      <w:color w:val="0000FF"/>
      <w:u w:val="single"/>
    </w:rPr>
  </w:style>
  <w:style w:type="paragraph" w:styleId="Textbubliny">
    <w:name w:val="Balloon Text"/>
    <w:basedOn w:val="Normln"/>
    <w:link w:val="TextbublinyChar"/>
    <w:uiPriority w:val="99"/>
    <w:semiHidden/>
    <w:unhideWhenUsed/>
    <w:rsid w:val="007A17B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A17B5"/>
    <w:rPr>
      <w:rFonts w:ascii="Tahoma" w:hAnsi="Tahoma" w:cs="Tahoma"/>
      <w:sz w:val="16"/>
      <w:szCs w:val="16"/>
    </w:rPr>
  </w:style>
  <w:style w:type="paragraph" w:styleId="Zhlav">
    <w:name w:val="header"/>
    <w:basedOn w:val="Normln"/>
    <w:link w:val="ZhlavChar"/>
    <w:uiPriority w:val="99"/>
    <w:unhideWhenUsed/>
    <w:rsid w:val="00432779"/>
    <w:pPr>
      <w:tabs>
        <w:tab w:val="center" w:pos="4536"/>
        <w:tab w:val="right" w:pos="9072"/>
      </w:tabs>
      <w:spacing w:line="240" w:lineRule="auto"/>
    </w:pPr>
  </w:style>
  <w:style w:type="character" w:customStyle="1" w:styleId="ZhlavChar">
    <w:name w:val="Záhlaví Char"/>
    <w:basedOn w:val="Standardnpsmoodstavce"/>
    <w:link w:val="Zhlav"/>
    <w:uiPriority w:val="99"/>
    <w:rsid w:val="00432779"/>
    <w:rPr>
      <w:sz w:val="24"/>
    </w:rPr>
  </w:style>
  <w:style w:type="paragraph" w:styleId="Zpat">
    <w:name w:val="footer"/>
    <w:basedOn w:val="Normln"/>
    <w:link w:val="ZpatChar"/>
    <w:uiPriority w:val="99"/>
    <w:unhideWhenUsed/>
    <w:rsid w:val="00432779"/>
    <w:pPr>
      <w:tabs>
        <w:tab w:val="center" w:pos="4536"/>
        <w:tab w:val="right" w:pos="9072"/>
      </w:tabs>
      <w:spacing w:line="240" w:lineRule="auto"/>
    </w:pPr>
  </w:style>
  <w:style w:type="character" w:customStyle="1" w:styleId="ZpatChar">
    <w:name w:val="Zápatí Char"/>
    <w:basedOn w:val="Standardnpsmoodstavce"/>
    <w:link w:val="Zpat"/>
    <w:uiPriority w:val="99"/>
    <w:rsid w:val="00432779"/>
    <w:rPr>
      <w:sz w:val="24"/>
    </w:rPr>
  </w:style>
  <w:style w:type="table" w:styleId="Mkatabulky">
    <w:name w:val="Table Grid"/>
    <w:basedOn w:val="Normlntabulka"/>
    <w:uiPriority w:val="39"/>
    <w:rsid w:val="00E21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B71B18"/>
    <w:pPr>
      <w:spacing w:before="100" w:beforeAutospacing="1" w:after="100" w:afterAutospacing="1" w:line="240" w:lineRule="auto"/>
      <w:jc w:val="left"/>
    </w:pPr>
    <w:rPr>
      <w:rFonts w:ascii="Times New Roman" w:eastAsia="Times New Roman" w:hAnsi="Times New Roman" w:cs="Times New Roman"/>
      <w:szCs w:val="24"/>
      <w:lang w:eastAsia="cs-CZ"/>
    </w:rPr>
  </w:style>
  <w:style w:type="character" w:customStyle="1" w:styleId="Nadpis1Char">
    <w:name w:val="Nadpis 1 Char"/>
    <w:basedOn w:val="Standardnpsmoodstavce"/>
    <w:link w:val="Nadpis1"/>
    <w:uiPriority w:val="9"/>
    <w:rsid w:val="00672ED4"/>
    <w:rPr>
      <w:rFonts w:eastAsiaTheme="majorEastAsia" w:cstheme="majorBidi"/>
      <w:b/>
      <w:bCs/>
      <w:sz w:val="32"/>
      <w:szCs w:val="28"/>
    </w:rPr>
  </w:style>
  <w:style w:type="character" w:customStyle="1" w:styleId="Nadpis2Char">
    <w:name w:val="Nadpis 2 Char"/>
    <w:basedOn w:val="Standardnpsmoodstavce"/>
    <w:link w:val="Nadpis20"/>
    <w:uiPriority w:val="9"/>
    <w:rsid w:val="00672ED4"/>
    <w:rPr>
      <w:rFonts w:eastAsiaTheme="majorEastAsia" w:cstheme="majorBidi"/>
      <w:b/>
      <w:bCs/>
      <w:sz w:val="28"/>
      <w:szCs w:val="26"/>
    </w:rPr>
  </w:style>
  <w:style w:type="character" w:customStyle="1" w:styleId="Nadpis3Char">
    <w:name w:val="Nadpis 3 Char"/>
    <w:basedOn w:val="Standardnpsmoodstavce"/>
    <w:link w:val="Nadpis30"/>
    <w:uiPriority w:val="9"/>
    <w:rsid w:val="00672ED4"/>
    <w:rPr>
      <w:rFonts w:eastAsiaTheme="majorEastAsia" w:cstheme="majorBidi"/>
      <w:b/>
      <w:bCs/>
      <w:sz w:val="24"/>
    </w:rPr>
  </w:style>
  <w:style w:type="character" w:customStyle="1" w:styleId="Nadpis4Char">
    <w:name w:val="Nadpis 4 Char"/>
    <w:basedOn w:val="Standardnpsmoodstavce"/>
    <w:link w:val="Nadpis4"/>
    <w:uiPriority w:val="9"/>
    <w:rsid w:val="00672ED4"/>
    <w:rPr>
      <w:rFonts w:eastAsiaTheme="majorEastAsia" w:cstheme="majorBidi"/>
      <w:b/>
      <w:bCs/>
      <w:i/>
      <w:iCs/>
      <w:sz w:val="24"/>
    </w:rPr>
  </w:style>
  <w:style w:type="character" w:customStyle="1" w:styleId="Nadpis5Char">
    <w:name w:val="Nadpis 5 Char"/>
    <w:basedOn w:val="Standardnpsmoodstavce"/>
    <w:link w:val="Nadpis5"/>
    <w:uiPriority w:val="9"/>
    <w:semiHidden/>
    <w:rsid w:val="00672ED4"/>
    <w:rPr>
      <w:rFonts w:asciiTheme="majorHAnsi" w:eastAsiaTheme="majorEastAsia" w:hAnsiTheme="majorHAnsi" w:cstheme="majorBidi"/>
      <w:color w:val="1F3763" w:themeColor="accent1" w:themeShade="7F"/>
      <w:sz w:val="24"/>
    </w:rPr>
  </w:style>
  <w:style w:type="character" w:customStyle="1" w:styleId="Nadpis6Char">
    <w:name w:val="Nadpis 6 Char"/>
    <w:basedOn w:val="Standardnpsmoodstavce"/>
    <w:link w:val="Nadpis6"/>
    <w:uiPriority w:val="9"/>
    <w:semiHidden/>
    <w:rsid w:val="00672ED4"/>
    <w:rPr>
      <w:rFonts w:asciiTheme="majorHAnsi" w:eastAsiaTheme="majorEastAsia" w:hAnsiTheme="majorHAnsi" w:cstheme="majorBidi"/>
      <w:i/>
      <w:iCs/>
      <w:color w:val="1F3763" w:themeColor="accent1" w:themeShade="7F"/>
      <w:sz w:val="24"/>
    </w:rPr>
  </w:style>
  <w:style w:type="character" w:customStyle="1" w:styleId="Nadpis7Char">
    <w:name w:val="Nadpis 7 Char"/>
    <w:basedOn w:val="Standardnpsmoodstavce"/>
    <w:link w:val="Nadpis7"/>
    <w:uiPriority w:val="9"/>
    <w:semiHidden/>
    <w:rsid w:val="00672ED4"/>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672ED4"/>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672ED4"/>
    <w:rPr>
      <w:rFonts w:asciiTheme="majorHAnsi" w:eastAsiaTheme="majorEastAsia" w:hAnsiTheme="majorHAnsi" w:cstheme="majorBidi"/>
      <w:i/>
      <w:iCs/>
      <w:color w:val="404040" w:themeColor="text1" w:themeTint="BF"/>
      <w:sz w:val="20"/>
      <w:szCs w:val="20"/>
    </w:rPr>
  </w:style>
  <w:style w:type="paragraph" w:customStyle="1" w:styleId="Nadpis2">
    <w:name w:val="Nadpis2"/>
    <w:basedOn w:val="Odstavecseseznamem"/>
    <w:qFormat/>
    <w:rsid w:val="00A063D5"/>
    <w:pPr>
      <w:keepNext/>
      <w:keepLines/>
      <w:numPr>
        <w:numId w:val="7"/>
      </w:numPr>
      <w:spacing w:before="480" w:after="480"/>
      <w:ind w:left="357" w:hanging="357"/>
    </w:pPr>
    <w:rPr>
      <w:rFonts w:cstheme="minorHAnsi"/>
      <w:b/>
      <w:bCs/>
      <w:sz w:val="28"/>
      <w:szCs w:val="28"/>
    </w:rPr>
  </w:style>
  <w:style w:type="paragraph" w:customStyle="1" w:styleId="Nadpis3">
    <w:name w:val="Nadpis3"/>
    <w:basedOn w:val="Odstavecseseznamem"/>
    <w:qFormat/>
    <w:rsid w:val="00A063D5"/>
    <w:pPr>
      <w:keepNext/>
      <w:keepLines/>
      <w:numPr>
        <w:numId w:val="8"/>
      </w:numPr>
      <w:spacing w:before="360" w:after="120"/>
      <w:ind w:left="357" w:hanging="357"/>
    </w:pPr>
    <w:rPr>
      <w:rFonts w:cstheme="minorHAnsi"/>
      <w:b/>
      <w:bCs/>
      <w:szCs w:val="24"/>
    </w:rPr>
  </w:style>
  <w:style w:type="paragraph" w:customStyle="1" w:styleId="Nadpis10">
    <w:name w:val="Nadpis1"/>
    <w:basedOn w:val="Normln"/>
    <w:qFormat/>
    <w:rsid w:val="00A063D5"/>
    <w:pPr>
      <w:keepNext/>
      <w:keepLines/>
      <w:pageBreakBefore/>
      <w:spacing w:before="480" w:after="720"/>
    </w:pPr>
    <w:rPr>
      <w:rFonts w:cstheme="minorHAnsi"/>
      <w:b/>
      <w:bCs/>
      <w:sz w:val="32"/>
      <w:szCs w:val="32"/>
    </w:rPr>
  </w:style>
  <w:style w:type="paragraph" w:styleId="Obsah1">
    <w:name w:val="toc 1"/>
    <w:basedOn w:val="Normln"/>
    <w:next w:val="Normln"/>
    <w:autoRedefine/>
    <w:uiPriority w:val="39"/>
    <w:unhideWhenUsed/>
    <w:rsid w:val="00DA234A"/>
    <w:pPr>
      <w:tabs>
        <w:tab w:val="left" w:pos="284"/>
        <w:tab w:val="right" w:leader="dot" w:pos="9072"/>
      </w:tabs>
      <w:spacing w:before="240" w:line="240" w:lineRule="auto"/>
      <w:ind w:left="284" w:right="284" w:hanging="284"/>
    </w:pPr>
    <w:rPr>
      <w:b/>
      <w:noProof/>
    </w:rPr>
  </w:style>
  <w:style w:type="paragraph" w:styleId="Obsah2">
    <w:name w:val="toc 2"/>
    <w:basedOn w:val="Normln"/>
    <w:next w:val="Normln"/>
    <w:autoRedefine/>
    <w:uiPriority w:val="39"/>
    <w:unhideWhenUsed/>
    <w:rsid w:val="00DA234A"/>
    <w:pPr>
      <w:tabs>
        <w:tab w:val="left" w:pos="709"/>
        <w:tab w:val="right" w:leader="dot" w:pos="9072"/>
      </w:tabs>
      <w:spacing w:before="120" w:line="240" w:lineRule="auto"/>
      <w:ind w:left="709" w:right="284" w:hanging="425"/>
    </w:pPr>
  </w:style>
  <w:style w:type="paragraph" w:styleId="Obsah3">
    <w:name w:val="toc 3"/>
    <w:basedOn w:val="Normln"/>
    <w:next w:val="Normln"/>
    <w:autoRedefine/>
    <w:uiPriority w:val="39"/>
    <w:unhideWhenUsed/>
    <w:rsid w:val="00DA234A"/>
    <w:pPr>
      <w:tabs>
        <w:tab w:val="left" w:pos="1418"/>
        <w:tab w:val="right" w:leader="dot" w:pos="9072"/>
      </w:tabs>
      <w:spacing w:before="60" w:line="240" w:lineRule="auto"/>
      <w:ind w:left="1418" w:right="284" w:hanging="709"/>
    </w:pPr>
    <w:rPr>
      <w: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6197">
      <w:bodyDiv w:val="1"/>
      <w:marLeft w:val="0"/>
      <w:marRight w:val="0"/>
      <w:marTop w:val="0"/>
      <w:marBottom w:val="0"/>
      <w:divBdr>
        <w:top w:val="none" w:sz="0" w:space="0" w:color="auto"/>
        <w:left w:val="none" w:sz="0" w:space="0" w:color="auto"/>
        <w:bottom w:val="none" w:sz="0" w:space="0" w:color="auto"/>
        <w:right w:val="none" w:sz="0" w:space="0" w:color="auto"/>
      </w:divBdr>
    </w:div>
    <w:div w:id="162941205">
      <w:bodyDiv w:val="1"/>
      <w:marLeft w:val="0"/>
      <w:marRight w:val="0"/>
      <w:marTop w:val="0"/>
      <w:marBottom w:val="0"/>
      <w:divBdr>
        <w:top w:val="none" w:sz="0" w:space="0" w:color="auto"/>
        <w:left w:val="none" w:sz="0" w:space="0" w:color="auto"/>
        <w:bottom w:val="none" w:sz="0" w:space="0" w:color="auto"/>
        <w:right w:val="none" w:sz="0" w:space="0" w:color="auto"/>
      </w:divBdr>
    </w:div>
    <w:div w:id="163205517">
      <w:bodyDiv w:val="1"/>
      <w:marLeft w:val="0"/>
      <w:marRight w:val="0"/>
      <w:marTop w:val="0"/>
      <w:marBottom w:val="0"/>
      <w:divBdr>
        <w:top w:val="none" w:sz="0" w:space="0" w:color="auto"/>
        <w:left w:val="none" w:sz="0" w:space="0" w:color="auto"/>
        <w:bottom w:val="none" w:sz="0" w:space="0" w:color="auto"/>
        <w:right w:val="none" w:sz="0" w:space="0" w:color="auto"/>
      </w:divBdr>
      <w:divsChild>
        <w:div w:id="2145661819">
          <w:marLeft w:val="0"/>
          <w:marRight w:val="0"/>
          <w:marTop w:val="100"/>
          <w:marBottom w:val="0"/>
          <w:divBdr>
            <w:top w:val="none" w:sz="0" w:space="0" w:color="auto"/>
            <w:left w:val="none" w:sz="0" w:space="0" w:color="auto"/>
            <w:bottom w:val="none" w:sz="0" w:space="0" w:color="auto"/>
            <w:right w:val="none" w:sz="0" w:space="0" w:color="auto"/>
          </w:divBdr>
        </w:div>
        <w:div w:id="946620458">
          <w:marLeft w:val="0"/>
          <w:marRight w:val="0"/>
          <w:marTop w:val="0"/>
          <w:marBottom w:val="0"/>
          <w:divBdr>
            <w:top w:val="none" w:sz="0" w:space="0" w:color="auto"/>
            <w:left w:val="none" w:sz="0" w:space="0" w:color="auto"/>
            <w:bottom w:val="none" w:sz="0" w:space="0" w:color="auto"/>
            <w:right w:val="none" w:sz="0" w:space="0" w:color="auto"/>
          </w:divBdr>
          <w:divsChild>
            <w:div w:id="436415592">
              <w:marLeft w:val="0"/>
              <w:marRight w:val="0"/>
              <w:marTop w:val="0"/>
              <w:marBottom w:val="0"/>
              <w:divBdr>
                <w:top w:val="none" w:sz="0" w:space="0" w:color="auto"/>
                <w:left w:val="none" w:sz="0" w:space="0" w:color="auto"/>
                <w:bottom w:val="none" w:sz="0" w:space="0" w:color="auto"/>
                <w:right w:val="none" w:sz="0" w:space="0" w:color="auto"/>
              </w:divBdr>
              <w:divsChild>
                <w:div w:id="303893255">
                  <w:marLeft w:val="0"/>
                  <w:marRight w:val="0"/>
                  <w:marTop w:val="0"/>
                  <w:marBottom w:val="0"/>
                  <w:divBdr>
                    <w:top w:val="none" w:sz="0" w:space="0" w:color="auto"/>
                    <w:left w:val="none" w:sz="0" w:space="0" w:color="auto"/>
                    <w:bottom w:val="none" w:sz="0" w:space="0" w:color="auto"/>
                    <w:right w:val="none" w:sz="0" w:space="0" w:color="auto"/>
                  </w:divBdr>
                  <w:divsChild>
                    <w:div w:id="48104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3475">
      <w:bodyDiv w:val="1"/>
      <w:marLeft w:val="0"/>
      <w:marRight w:val="0"/>
      <w:marTop w:val="0"/>
      <w:marBottom w:val="0"/>
      <w:divBdr>
        <w:top w:val="none" w:sz="0" w:space="0" w:color="auto"/>
        <w:left w:val="none" w:sz="0" w:space="0" w:color="auto"/>
        <w:bottom w:val="none" w:sz="0" w:space="0" w:color="auto"/>
        <w:right w:val="none" w:sz="0" w:space="0" w:color="auto"/>
      </w:divBdr>
    </w:div>
    <w:div w:id="435760233">
      <w:bodyDiv w:val="1"/>
      <w:marLeft w:val="0"/>
      <w:marRight w:val="0"/>
      <w:marTop w:val="0"/>
      <w:marBottom w:val="0"/>
      <w:divBdr>
        <w:top w:val="none" w:sz="0" w:space="0" w:color="auto"/>
        <w:left w:val="none" w:sz="0" w:space="0" w:color="auto"/>
        <w:bottom w:val="none" w:sz="0" w:space="0" w:color="auto"/>
        <w:right w:val="none" w:sz="0" w:space="0" w:color="auto"/>
      </w:divBdr>
    </w:div>
    <w:div w:id="1061558708">
      <w:bodyDiv w:val="1"/>
      <w:marLeft w:val="0"/>
      <w:marRight w:val="0"/>
      <w:marTop w:val="0"/>
      <w:marBottom w:val="0"/>
      <w:divBdr>
        <w:top w:val="none" w:sz="0" w:space="0" w:color="auto"/>
        <w:left w:val="none" w:sz="0" w:space="0" w:color="auto"/>
        <w:bottom w:val="none" w:sz="0" w:space="0" w:color="auto"/>
        <w:right w:val="none" w:sz="0" w:space="0" w:color="auto"/>
      </w:divBdr>
    </w:div>
    <w:div w:id="1443258822">
      <w:bodyDiv w:val="1"/>
      <w:marLeft w:val="0"/>
      <w:marRight w:val="0"/>
      <w:marTop w:val="0"/>
      <w:marBottom w:val="0"/>
      <w:divBdr>
        <w:top w:val="none" w:sz="0" w:space="0" w:color="auto"/>
        <w:left w:val="none" w:sz="0" w:space="0" w:color="auto"/>
        <w:bottom w:val="none" w:sz="0" w:space="0" w:color="auto"/>
        <w:right w:val="none" w:sz="0" w:space="0" w:color="auto"/>
      </w:divBdr>
    </w:div>
    <w:div w:id="1559242813">
      <w:bodyDiv w:val="1"/>
      <w:marLeft w:val="0"/>
      <w:marRight w:val="0"/>
      <w:marTop w:val="0"/>
      <w:marBottom w:val="0"/>
      <w:divBdr>
        <w:top w:val="none" w:sz="0" w:space="0" w:color="auto"/>
        <w:left w:val="none" w:sz="0" w:space="0" w:color="auto"/>
        <w:bottom w:val="none" w:sz="0" w:space="0" w:color="auto"/>
        <w:right w:val="none" w:sz="0" w:space="0" w:color="auto"/>
      </w:divBdr>
    </w:div>
    <w:div w:id="162052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opus.com/authid/detail.uri?authorId=14521351300&amp;amp;eid=2-s2.0-849599198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opus.com/authid/detail.uri?authorId=56381447200&amp;amp;eid=2-s2.0-8495991980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pus.com/authid/detail.uri?authorId=23496539800&amp;amp;eid=2-s2.0-8495991980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copus.com/source/sourceInfo.uri?sourceId=23096&amp;origin=recordpag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A492D7AC-CD97-4B35-BA99-67DECA7F1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72</Pages>
  <Words>18562</Words>
  <Characters>109516</Characters>
  <Application>Microsoft Office Word</Application>
  <DocSecurity>0</DocSecurity>
  <Lines>912</Lines>
  <Paragraphs>255</Paragraphs>
  <ScaleCrop>false</ScaleCrop>
  <HeadingPairs>
    <vt:vector size="2" baseType="variant">
      <vt:variant>
        <vt:lpstr>Název</vt:lpstr>
      </vt:variant>
      <vt:variant>
        <vt:i4>1</vt:i4>
      </vt:variant>
    </vt:vector>
  </HeadingPairs>
  <TitlesOfParts>
    <vt:vector size="1" baseType="lpstr">
      <vt:lpstr>Vybrané aspekty farmakoterapie chronického srdečního selhání se sníženou ejekční frakcí levé komory</vt:lpstr>
    </vt:vector>
  </TitlesOfParts>
  <Company>FNOL</Company>
  <LinksUpToDate>false</LinksUpToDate>
  <CharactersWithSpaces>127823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Vybrané aspekty farmakoterapie chronického srdečního selhání se sníženou ejekční frakcí levé komory</dc:title>
  <dc:creator>Pavlu Ludek</dc:creator>
  <cp:lastModifiedBy>Pavlu Ludek</cp:lastModifiedBy>
  <cp:revision>20</cp:revision>
  <dcterms:created xsi:type="dcterms:W3CDTF">2023-01-02T13:31:00Z</dcterms:created>
  <dcterms:modified xsi:type="dcterms:W3CDTF">2023-01-18T18:04:00Z</dcterms:modified>
</cp:coreProperties>
</file>