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F73DE0" w14:textId="73DE1937" w:rsidR="005D49F0" w:rsidRPr="000636AB" w:rsidRDefault="005D49F0" w:rsidP="000636AB">
      <w:pPr>
        <w:pStyle w:val="NormalWeb"/>
        <w:jc w:val="center"/>
        <w:rPr>
          <w:rFonts w:ascii="Arial" w:hAnsi="Arial" w:cs="Arial"/>
          <w:sz w:val="36"/>
          <w:szCs w:val="36"/>
          <w:lang w:val="cs-CZ"/>
        </w:rPr>
      </w:pPr>
      <w:r w:rsidRPr="000636AB">
        <w:rPr>
          <w:rFonts w:ascii="Arial" w:hAnsi="Arial" w:cs="Arial"/>
          <w:sz w:val="36"/>
          <w:szCs w:val="36"/>
          <w:lang w:val="cs-CZ"/>
        </w:rPr>
        <w:t>Unive</w:t>
      </w:r>
      <w:r w:rsidR="005359E7">
        <w:rPr>
          <w:rFonts w:ascii="Arial" w:hAnsi="Arial" w:cs="Arial"/>
          <w:sz w:val="36"/>
          <w:szCs w:val="36"/>
          <w:lang w:val="cs-CZ"/>
        </w:rPr>
        <w:t>rzita Palackého v Olomouci</w:t>
      </w:r>
      <w:r w:rsidR="005359E7">
        <w:rPr>
          <w:rFonts w:ascii="Arial" w:hAnsi="Arial" w:cs="Arial"/>
          <w:sz w:val="36"/>
          <w:szCs w:val="36"/>
          <w:lang w:val="cs-CZ"/>
        </w:rPr>
        <w:br/>
        <w:t>Právnická</w:t>
      </w:r>
      <w:r w:rsidRPr="000636AB">
        <w:rPr>
          <w:rFonts w:ascii="Arial" w:hAnsi="Arial" w:cs="Arial"/>
          <w:sz w:val="36"/>
          <w:szCs w:val="36"/>
          <w:lang w:val="cs-CZ"/>
        </w:rPr>
        <w:t xml:space="preserve"> fakulta</w:t>
      </w:r>
    </w:p>
    <w:p w14:paraId="7E0DA4C5" w14:textId="77777777" w:rsidR="005D49F0" w:rsidRPr="00E44301" w:rsidRDefault="005D49F0" w:rsidP="005D49F0">
      <w:pPr>
        <w:rPr>
          <w:lang w:val="cs-CZ"/>
        </w:rPr>
      </w:pPr>
    </w:p>
    <w:p w14:paraId="6C771712" w14:textId="77777777" w:rsidR="005D49F0" w:rsidRPr="00E44301" w:rsidRDefault="005D49F0" w:rsidP="005D49F0">
      <w:pPr>
        <w:rPr>
          <w:lang w:val="cs-CZ"/>
        </w:rPr>
      </w:pPr>
    </w:p>
    <w:p w14:paraId="2FBCF0F8" w14:textId="77777777" w:rsidR="005D49F0" w:rsidRPr="00E44301" w:rsidRDefault="005D49F0" w:rsidP="005D49F0">
      <w:pPr>
        <w:rPr>
          <w:lang w:val="cs-CZ"/>
        </w:rPr>
      </w:pPr>
    </w:p>
    <w:p w14:paraId="7E75356E" w14:textId="77777777" w:rsidR="005D49F0" w:rsidRPr="00E44301" w:rsidRDefault="005D49F0" w:rsidP="005D49F0">
      <w:pPr>
        <w:rPr>
          <w:lang w:val="cs-CZ"/>
        </w:rPr>
      </w:pPr>
    </w:p>
    <w:p w14:paraId="718FA6E8" w14:textId="77777777" w:rsidR="005D49F0" w:rsidRPr="00E44301" w:rsidRDefault="005D49F0" w:rsidP="005D49F0">
      <w:pPr>
        <w:rPr>
          <w:lang w:val="cs-CZ"/>
        </w:rPr>
      </w:pPr>
    </w:p>
    <w:p w14:paraId="2F030C7E" w14:textId="77777777" w:rsidR="005D49F0" w:rsidRPr="00E44301" w:rsidRDefault="005D49F0" w:rsidP="005D49F0">
      <w:pPr>
        <w:rPr>
          <w:lang w:val="cs-CZ"/>
        </w:rPr>
      </w:pPr>
    </w:p>
    <w:p w14:paraId="2302FB24" w14:textId="77777777" w:rsidR="005D49F0" w:rsidRPr="00E44301" w:rsidRDefault="005D49F0" w:rsidP="005D49F0">
      <w:pPr>
        <w:rPr>
          <w:lang w:val="cs-CZ"/>
        </w:rPr>
      </w:pPr>
    </w:p>
    <w:p w14:paraId="446964DA" w14:textId="77777777" w:rsidR="005D49F0" w:rsidRPr="000636AB" w:rsidRDefault="005D49F0" w:rsidP="00B861F4">
      <w:pPr>
        <w:jc w:val="center"/>
        <w:rPr>
          <w:rFonts w:cs="Arial"/>
          <w:sz w:val="36"/>
          <w:szCs w:val="36"/>
          <w:lang w:val="cs-CZ"/>
        </w:rPr>
      </w:pPr>
      <w:r w:rsidRPr="000636AB">
        <w:rPr>
          <w:rFonts w:cs="Arial"/>
          <w:sz w:val="36"/>
          <w:szCs w:val="36"/>
          <w:lang w:val="cs-CZ"/>
        </w:rPr>
        <w:t>Pavlína Minaříková</w:t>
      </w:r>
    </w:p>
    <w:p w14:paraId="1A4ED1B2" w14:textId="77777777" w:rsidR="005D49F0" w:rsidRPr="00B861F4" w:rsidRDefault="005D49F0" w:rsidP="00B861F4">
      <w:pPr>
        <w:jc w:val="center"/>
        <w:rPr>
          <w:rFonts w:cs="Arial"/>
          <w:sz w:val="40"/>
          <w:szCs w:val="40"/>
          <w:lang w:val="cs-CZ"/>
        </w:rPr>
      </w:pPr>
    </w:p>
    <w:p w14:paraId="5CCF4C9D" w14:textId="77777777" w:rsidR="005D49F0" w:rsidRPr="000636AB" w:rsidRDefault="005D49F0" w:rsidP="00B861F4">
      <w:pPr>
        <w:jc w:val="center"/>
        <w:rPr>
          <w:rFonts w:cs="Arial"/>
          <w:b/>
          <w:sz w:val="40"/>
          <w:szCs w:val="40"/>
          <w:lang w:val="cs-CZ"/>
        </w:rPr>
      </w:pPr>
      <w:r w:rsidRPr="000636AB">
        <w:rPr>
          <w:rFonts w:cs="Arial"/>
          <w:b/>
          <w:sz w:val="40"/>
          <w:szCs w:val="40"/>
          <w:lang w:val="cs-CZ"/>
        </w:rPr>
        <w:t xml:space="preserve">Zadávání nadlimitních veřejných zakázek v unijním a českém právu </w:t>
      </w:r>
    </w:p>
    <w:p w14:paraId="17BB10A8" w14:textId="77777777" w:rsidR="005D49F0" w:rsidRPr="00B861F4" w:rsidRDefault="005D49F0" w:rsidP="00B861F4">
      <w:pPr>
        <w:jc w:val="center"/>
        <w:rPr>
          <w:rFonts w:cs="Arial"/>
          <w:sz w:val="40"/>
          <w:szCs w:val="40"/>
          <w:lang w:val="cs-CZ"/>
        </w:rPr>
      </w:pPr>
    </w:p>
    <w:p w14:paraId="1D9BDADC" w14:textId="60FF2368" w:rsidR="005D49F0" w:rsidRPr="000636AB" w:rsidRDefault="000636AB" w:rsidP="000636AB">
      <w:pPr>
        <w:jc w:val="center"/>
        <w:rPr>
          <w:rFonts w:cs="Arial"/>
          <w:sz w:val="32"/>
          <w:szCs w:val="32"/>
          <w:lang w:val="cs-CZ"/>
        </w:rPr>
      </w:pPr>
      <w:r w:rsidRPr="000636AB">
        <w:rPr>
          <w:rFonts w:cs="Arial"/>
          <w:sz w:val="32"/>
          <w:szCs w:val="32"/>
          <w:lang w:val="cs-CZ"/>
        </w:rPr>
        <w:t>Diplomová práce</w:t>
      </w:r>
    </w:p>
    <w:p w14:paraId="1C547006" w14:textId="77777777" w:rsidR="005D49F0" w:rsidRPr="00E44301" w:rsidRDefault="005D49F0" w:rsidP="005D49F0">
      <w:pPr>
        <w:rPr>
          <w:lang w:val="cs-CZ"/>
        </w:rPr>
      </w:pPr>
    </w:p>
    <w:p w14:paraId="6E5A68AC" w14:textId="77777777" w:rsidR="005D49F0" w:rsidRPr="00E44301" w:rsidRDefault="005D49F0" w:rsidP="005D49F0">
      <w:pPr>
        <w:rPr>
          <w:lang w:val="cs-CZ"/>
        </w:rPr>
      </w:pPr>
    </w:p>
    <w:p w14:paraId="1D6E8E2A" w14:textId="77777777" w:rsidR="005D49F0" w:rsidRDefault="005D49F0" w:rsidP="005D49F0">
      <w:pPr>
        <w:rPr>
          <w:lang w:val="cs-CZ"/>
        </w:rPr>
      </w:pPr>
    </w:p>
    <w:p w14:paraId="51CB7486" w14:textId="77777777" w:rsidR="000636AB" w:rsidRDefault="000636AB" w:rsidP="005D49F0">
      <w:pPr>
        <w:rPr>
          <w:lang w:val="cs-CZ"/>
        </w:rPr>
      </w:pPr>
    </w:p>
    <w:p w14:paraId="05421E96" w14:textId="77777777" w:rsidR="000636AB" w:rsidRDefault="000636AB" w:rsidP="005D49F0">
      <w:pPr>
        <w:rPr>
          <w:lang w:val="cs-CZ"/>
        </w:rPr>
      </w:pPr>
    </w:p>
    <w:p w14:paraId="549C152A" w14:textId="77777777" w:rsidR="000636AB" w:rsidRDefault="000636AB" w:rsidP="005D49F0">
      <w:pPr>
        <w:rPr>
          <w:lang w:val="cs-CZ"/>
        </w:rPr>
      </w:pPr>
    </w:p>
    <w:p w14:paraId="02E4E0B3" w14:textId="77777777" w:rsidR="000636AB" w:rsidRPr="00E44301" w:rsidRDefault="000636AB" w:rsidP="005D49F0">
      <w:pPr>
        <w:rPr>
          <w:lang w:val="cs-CZ"/>
        </w:rPr>
      </w:pPr>
    </w:p>
    <w:p w14:paraId="3550A884" w14:textId="77777777" w:rsidR="005D49F0" w:rsidRPr="00E44301" w:rsidRDefault="005D49F0" w:rsidP="005D49F0">
      <w:pPr>
        <w:rPr>
          <w:lang w:val="cs-CZ"/>
        </w:rPr>
      </w:pPr>
    </w:p>
    <w:p w14:paraId="725D9FD3" w14:textId="77777777" w:rsidR="005D49F0" w:rsidRPr="00E44301" w:rsidRDefault="005D49F0" w:rsidP="005D49F0">
      <w:pPr>
        <w:rPr>
          <w:lang w:val="cs-CZ"/>
        </w:rPr>
      </w:pPr>
    </w:p>
    <w:p w14:paraId="0CC9539F" w14:textId="77777777" w:rsidR="005D49F0" w:rsidRPr="00E44301" w:rsidRDefault="005D49F0" w:rsidP="005D49F0">
      <w:pPr>
        <w:rPr>
          <w:lang w:val="cs-CZ"/>
        </w:rPr>
      </w:pPr>
    </w:p>
    <w:p w14:paraId="2299B8E1" w14:textId="77777777" w:rsidR="005D49F0" w:rsidRPr="000636AB" w:rsidRDefault="005D49F0" w:rsidP="005D49F0">
      <w:pPr>
        <w:jc w:val="center"/>
        <w:rPr>
          <w:rFonts w:cs="Arial"/>
          <w:sz w:val="32"/>
          <w:szCs w:val="32"/>
          <w:lang w:val="cs-CZ"/>
        </w:rPr>
      </w:pPr>
      <w:r w:rsidRPr="000636AB">
        <w:rPr>
          <w:rFonts w:cs="Arial"/>
          <w:sz w:val="32"/>
          <w:szCs w:val="32"/>
          <w:lang w:val="cs-CZ"/>
        </w:rPr>
        <w:t xml:space="preserve">Olomouc 2020 </w:t>
      </w:r>
      <w:r w:rsidRPr="000636AB">
        <w:rPr>
          <w:rFonts w:cs="Arial"/>
          <w:sz w:val="32"/>
          <w:szCs w:val="32"/>
          <w:lang w:val="cs-CZ"/>
        </w:rPr>
        <w:br w:type="page"/>
      </w:r>
    </w:p>
    <w:p w14:paraId="7E565977" w14:textId="77777777" w:rsidR="005D49F0" w:rsidRPr="00E44301" w:rsidRDefault="005D49F0" w:rsidP="005D49F0">
      <w:pPr>
        <w:pStyle w:val="NormalWeb"/>
        <w:rPr>
          <w:rFonts w:ascii="Arial" w:hAnsi="Arial" w:cs="Arial"/>
          <w:sz w:val="24"/>
          <w:szCs w:val="24"/>
          <w:lang w:val="cs-CZ"/>
        </w:rPr>
      </w:pPr>
    </w:p>
    <w:p w14:paraId="51B3203E" w14:textId="77777777" w:rsidR="005D49F0" w:rsidRPr="00E44301" w:rsidRDefault="005D49F0" w:rsidP="005D49F0">
      <w:pPr>
        <w:pStyle w:val="NormalWeb"/>
        <w:rPr>
          <w:rFonts w:ascii="Arial" w:hAnsi="Arial" w:cs="Arial"/>
          <w:sz w:val="24"/>
          <w:szCs w:val="24"/>
          <w:lang w:val="cs-CZ"/>
        </w:rPr>
      </w:pPr>
    </w:p>
    <w:p w14:paraId="5FE8C7A8" w14:textId="77777777" w:rsidR="005D49F0" w:rsidRPr="00E44301" w:rsidRDefault="005D49F0" w:rsidP="005D49F0">
      <w:pPr>
        <w:pStyle w:val="NormalWeb"/>
        <w:rPr>
          <w:rFonts w:ascii="Arial" w:hAnsi="Arial" w:cs="Arial"/>
          <w:sz w:val="24"/>
          <w:szCs w:val="24"/>
          <w:lang w:val="cs-CZ"/>
        </w:rPr>
      </w:pPr>
    </w:p>
    <w:p w14:paraId="00406FC5" w14:textId="77777777" w:rsidR="005D49F0" w:rsidRPr="00E44301" w:rsidRDefault="005D49F0" w:rsidP="005D49F0">
      <w:pPr>
        <w:pStyle w:val="NormalWeb"/>
        <w:rPr>
          <w:rFonts w:ascii="Arial" w:hAnsi="Arial" w:cs="Arial"/>
          <w:sz w:val="24"/>
          <w:szCs w:val="24"/>
          <w:lang w:val="cs-CZ"/>
        </w:rPr>
      </w:pPr>
    </w:p>
    <w:p w14:paraId="430C9615" w14:textId="77777777" w:rsidR="005D49F0" w:rsidRPr="00E44301" w:rsidRDefault="005D49F0" w:rsidP="005D49F0">
      <w:pPr>
        <w:pStyle w:val="NormalWeb"/>
        <w:rPr>
          <w:rFonts w:ascii="Arial" w:hAnsi="Arial" w:cs="Arial"/>
          <w:sz w:val="24"/>
          <w:szCs w:val="24"/>
          <w:lang w:val="cs-CZ"/>
        </w:rPr>
      </w:pPr>
    </w:p>
    <w:p w14:paraId="54E68257" w14:textId="77777777" w:rsidR="005D49F0" w:rsidRPr="00E44301" w:rsidRDefault="005D49F0" w:rsidP="005D49F0">
      <w:pPr>
        <w:pStyle w:val="NormalWeb"/>
        <w:rPr>
          <w:rFonts w:ascii="Arial" w:hAnsi="Arial" w:cs="Arial"/>
          <w:sz w:val="24"/>
          <w:szCs w:val="24"/>
          <w:lang w:val="cs-CZ"/>
        </w:rPr>
      </w:pPr>
    </w:p>
    <w:p w14:paraId="2A231C3F" w14:textId="77777777" w:rsidR="005D49F0" w:rsidRPr="00E44301" w:rsidRDefault="005D49F0" w:rsidP="005D49F0">
      <w:pPr>
        <w:pStyle w:val="NormalWeb"/>
        <w:rPr>
          <w:rFonts w:ascii="Arial" w:hAnsi="Arial" w:cs="Arial"/>
          <w:sz w:val="24"/>
          <w:szCs w:val="24"/>
          <w:lang w:val="cs-CZ"/>
        </w:rPr>
      </w:pPr>
    </w:p>
    <w:p w14:paraId="1FFF7228" w14:textId="77777777" w:rsidR="005D49F0" w:rsidRPr="00E44301" w:rsidRDefault="005D49F0" w:rsidP="005D49F0">
      <w:pPr>
        <w:pStyle w:val="NormalWeb"/>
        <w:rPr>
          <w:rFonts w:ascii="Arial" w:hAnsi="Arial" w:cs="Arial"/>
          <w:sz w:val="24"/>
          <w:szCs w:val="24"/>
          <w:lang w:val="cs-CZ"/>
        </w:rPr>
      </w:pPr>
    </w:p>
    <w:p w14:paraId="25CB3722" w14:textId="77777777" w:rsidR="005D49F0" w:rsidRPr="00E44301" w:rsidRDefault="005D49F0" w:rsidP="005D49F0">
      <w:pPr>
        <w:pStyle w:val="NormalWeb"/>
        <w:rPr>
          <w:rFonts w:ascii="Arial" w:hAnsi="Arial" w:cs="Arial"/>
          <w:sz w:val="24"/>
          <w:szCs w:val="24"/>
          <w:lang w:val="cs-CZ"/>
        </w:rPr>
      </w:pPr>
    </w:p>
    <w:p w14:paraId="000EDB96" w14:textId="77777777" w:rsidR="005D49F0" w:rsidRDefault="005D49F0" w:rsidP="005D49F0">
      <w:pPr>
        <w:pStyle w:val="NormalWeb"/>
        <w:rPr>
          <w:rFonts w:ascii="Arial" w:hAnsi="Arial" w:cs="Arial"/>
          <w:sz w:val="24"/>
          <w:szCs w:val="24"/>
          <w:lang w:val="cs-CZ"/>
        </w:rPr>
      </w:pPr>
    </w:p>
    <w:p w14:paraId="550AC0DD" w14:textId="77777777" w:rsidR="00B861F4" w:rsidRPr="00E44301" w:rsidRDefault="00B861F4" w:rsidP="005D49F0">
      <w:pPr>
        <w:pStyle w:val="NormalWeb"/>
        <w:rPr>
          <w:rFonts w:ascii="Arial" w:hAnsi="Arial" w:cs="Arial"/>
          <w:sz w:val="24"/>
          <w:szCs w:val="24"/>
          <w:lang w:val="cs-CZ"/>
        </w:rPr>
      </w:pPr>
    </w:p>
    <w:p w14:paraId="1895C10B" w14:textId="385473FF" w:rsidR="005D49F0" w:rsidRPr="00E44301" w:rsidRDefault="00630514" w:rsidP="005D49F0">
      <w:pPr>
        <w:pStyle w:val="NormalWeb"/>
        <w:rPr>
          <w:rFonts w:ascii="Arial" w:hAnsi="Arial" w:cs="Arial"/>
          <w:sz w:val="24"/>
          <w:szCs w:val="24"/>
          <w:lang w:val="cs-CZ"/>
        </w:rPr>
      </w:pPr>
      <w:r w:rsidRPr="00630514">
        <w:rPr>
          <w:rFonts w:ascii="Arial" w:hAnsi="Arial" w:cs="Arial"/>
          <w:b/>
          <w:sz w:val="24"/>
          <w:szCs w:val="24"/>
          <w:lang w:val="cs-CZ"/>
        </w:rPr>
        <w:t>Prohlášení</w:t>
      </w:r>
      <w:r>
        <w:rPr>
          <w:rFonts w:ascii="Arial" w:hAnsi="Arial" w:cs="Arial"/>
          <w:sz w:val="24"/>
          <w:szCs w:val="24"/>
          <w:lang w:val="cs-CZ"/>
        </w:rPr>
        <w:t xml:space="preserve">: </w:t>
      </w:r>
    </w:p>
    <w:p w14:paraId="441B938B" w14:textId="0B634C3B" w:rsidR="005D49F0" w:rsidRPr="00E44301" w:rsidRDefault="005D49F0" w:rsidP="005D49F0">
      <w:pPr>
        <w:pStyle w:val="NormalWeb"/>
        <w:rPr>
          <w:rFonts w:ascii="Arial" w:hAnsi="Arial" w:cs="Arial"/>
          <w:sz w:val="24"/>
          <w:szCs w:val="24"/>
          <w:lang w:val="cs-CZ"/>
        </w:rPr>
      </w:pPr>
      <w:r w:rsidRPr="00E44301">
        <w:rPr>
          <w:rFonts w:ascii="Arial" w:hAnsi="Arial" w:cs="Arial"/>
          <w:sz w:val="24"/>
          <w:szCs w:val="24"/>
          <w:lang w:val="cs-CZ"/>
        </w:rPr>
        <w:t>Prohl</w:t>
      </w:r>
      <w:r w:rsidR="000636AB">
        <w:rPr>
          <w:rFonts w:ascii="Arial" w:hAnsi="Arial" w:cs="Arial"/>
          <w:sz w:val="24"/>
          <w:szCs w:val="24"/>
          <w:lang w:val="cs-CZ"/>
        </w:rPr>
        <w:t>ašuji, že jsem diplomovou práci na té</w:t>
      </w:r>
      <w:r w:rsidRPr="00E44301">
        <w:rPr>
          <w:rFonts w:ascii="Arial" w:hAnsi="Arial" w:cs="Arial"/>
          <w:sz w:val="24"/>
          <w:szCs w:val="24"/>
          <w:lang w:val="cs-CZ"/>
        </w:rPr>
        <w:t>ma Zadávání nadlimitních veřejných zakázek v unijním a česk</w:t>
      </w:r>
      <w:r w:rsidR="000636AB">
        <w:rPr>
          <w:rFonts w:ascii="Arial" w:hAnsi="Arial" w:cs="Arial"/>
          <w:sz w:val="24"/>
          <w:szCs w:val="24"/>
          <w:lang w:val="cs-CZ"/>
        </w:rPr>
        <w:t>ém právu vypracovala samostatně a citovala jsem všechny použité</w:t>
      </w:r>
      <w:r w:rsidRPr="00E44301">
        <w:rPr>
          <w:rFonts w:ascii="Arial" w:hAnsi="Arial" w:cs="Arial"/>
          <w:sz w:val="24"/>
          <w:szCs w:val="24"/>
          <w:lang w:val="cs-CZ"/>
        </w:rPr>
        <w:t xml:space="preserve"> zdroje. </w:t>
      </w:r>
    </w:p>
    <w:p w14:paraId="70F81F73" w14:textId="77777777" w:rsidR="005D49F0" w:rsidRPr="00E44301" w:rsidRDefault="005D49F0" w:rsidP="005D49F0">
      <w:pPr>
        <w:pStyle w:val="NormalWeb"/>
        <w:jc w:val="right"/>
        <w:rPr>
          <w:rFonts w:ascii="Arial" w:hAnsi="Arial" w:cs="Arial"/>
          <w:sz w:val="24"/>
          <w:szCs w:val="24"/>
          <w:lang w:val="cs-CZ"/>
        </w:rPr>
      </w:pPr>
    </w:p>
    <w:p w14:paraId="79DB6474" w14:textId="77777777" w:rsidR="005D49F0" w:rsidRPr="00E44301" w:rsidRDefault="005D49F0" w:rsidP="00CC5595">
      <w:pPr>
        <w:pStyle w:val="NormalWeb"/>
        <w:rPr>
          <w:rFonts w:ascii="Arial" w:hAnsi="Arial" w:cs="Arial"/>
          <w:sz w:val="24"/>
          <w:szCs w:val="24"/>
          <w:lang w:val="cs-CZ"/>
        </w:rPr>
      </w:pPr>
      <w:r w:rsidRPr="00E44301">
        <w:rPr>
          <w:rFonts w:ascii="Arial" w:hAnsi="Arial" w:cs="Arial"/>
          <w:sz w:val="24"/>
          <w:szCs w:val="24"/>
          <w:lang w:val="cs-CZ"/>
        </w:rPr>
        <w:t xml:space="preserve">V Olomouci dne  </w:t>
      </w:r>
    </w:p>
    <w:p w14:paraId="70A9A2B6" w14:textId="77777777" w:rsidR="005D49F0" w:rsidRPr="00E44301" w:rsidRDefault="005D49F0" w:rsidP="005D49F0">
      <w:pPr>
        <w:pStyle w:val="NormalWeb"/>
        <w:jc w:val="right"/>
        <w:rPr>
          <w:rFonts w:ascii="Arial" w:hAnsi="Arial" w:cs="Arial"/>
          <w:sz w:val="24"/>
          <w:szCs w:val="24"/>
          <w:lang w:val="cs-CZ"/>
        </w:rPr>
      </w:pPr>
    </w:p>
    <w:p w14:paraId="36D4019A" w14:textId="77777777" w:rsidR="005D49F0" w:rsidRPr="00E44301" w:rsidRDefault="00B861F4" w:rsidP="00B861F4">
      <w:pPr>
        <w:pStyle w:val="NormalWeb"/>
        <w:spacing w:before="0" w:beforeAutospacing="0" w:after="0" w:afterAutospacing="0" w:line="276" w:lineRule="auto"/>
        <w:jc w:val="right"/>
        <w:rPr>
          <w:rFonts w:ascii="Arial" w:hAnsi="Arial" w:cs="Arial"/>
          <w:sz w:val="24"/>
          <w:szCs w:val="24"/>
          <w:lang w:val="cs-CZ"/>
        </w:rPr>
      </w:pPr>
      <w:r>
        <w:rPr>
          <w:rFonts w:ascii="Arial" w:hAnsi="Arial" w:cs="Arial"/>
          <w:sz w:val="24"/>
          <w:szCs w:val="24"/>
          <w:lang w:val="cs-CZ"/>
        </w:rPr>
        <w:t>.......................................</w:t>
      </w:r>
    </w:p>
    <w:p w14:paraId="1AF2E138" w14:textId="77777777" w:rsidR="00630514" w:rsidRDefault="005D49F0" w:rsidP="00B861F4">
      <w:pPr>
        <w:pStyle w:val="NormalWeb"/>
        <w:spacing w:before="0" w:beforeAutospacing="0" w:after="0" w:afterAutospacing="0" w:line="276" w:lineRule="auto"/>
        <w:ind w:left="5760" w:firstLine="720"/>
        <w:jc w:val="center"/>
        <w:rPr>
          <w:rFonts w:ascii="Arial" w:hAnsi="Arial" w:cs="Arial"/>
          <w:sz w:val="24"/>
          <w:szCs w:val="24"/>
          <w:lang w:val="cs-CZ"/>
        </w:rPr>
      </w:pPr>
      <w:r w:rsidRPr="00E44301">
        <w:rPr>
          <w:rFonts w:ascii="Arial" w:hAnsi="Arial" w:cs="Arial"/>
          <w:sz w:val="24"/>
          <w:szCs w:val="24"/>
          <w:lang w:val="cs-CZ"/>
        </w:rPr>
        <w:t>Pavlína Minaříková</w:t>
      </w:r>
    </w:p>
    <w:p w14:paraId="7E4E308E" w14:textId="24310425" w:rsidR="00B861F4" w:rsidRDefault="00630514" w:rsidP="00B861F4">
      <w:pPr>
        <w:pStyle w:val="NormalWeb"/>
        <w:spacing w:before="0" w:beforeAutospacing="0" w:after="0" w:afterAutospacing="0" w:line="276" w:lineRule="auto"/>
        <w:ind w:left="5760" w:firstLine="720"/>
        <w:jc w:val="center"/>
        <w:rPr>
          <w:rFonts w:ascii="Arial" w:hAnsi="Arial" w:cs="Arial"/>
          <w:sz w:val="24"/>
          <w:szCs w:val="24"/>
          <w:lang w:val="cs-CZ"/>
        </w:rPr>
      </w:pPr>
      <w:r>
        <w:rPr>
          <w:rFonts w:ascii="Arial" w:hAnsi="Arial" w:cs="Arial"/>
          <w:sz w:val="24"/>
          <w:szCs w:val="24"/>
          <w:lang w:val="cs-CZ"/>
        </w:rPr>
        <w:t>autorka práce</w:t>
      </w:r>
      <w:r w:rsidR="00B861F4">
        <w:rPr>
          <w:rFonts w:ascii="Arial" w:hAnsi="Arial" w:cs="Arial"/>
          <w:sz w:val="24"/>
          <w:szCs w:val="24"/>
          <w:lang w:val="cs-CZ"/>
        </w:rPr>
        <w:br w:type="page"/>
      </w:r>
    </w:p>
    <w:p w14:paraId="18A9BFF5" w14:textId="77777777" w:rsidR="00E44301" w:rsidRPr="00E44301" w:rsidRDefault="00E44301" w:rsidP="00B861F4">
      <w:pPr>
        <w:pStyle w:val="NormalWeb"/>
        <w:spacing w:before="0" w:beforeAutospacing="0" w:after="0" w:afterAutospacing="0" w:line="276" w:lineRule="auto"/>
        <w:rPr>
          <w:rFonts w:ascii="Arial" w:hAnsi="Arial" w:cs="Arial"/>
          <w:sz w:val="24"/>
          <w:szCs w:val="24"/>
          <w:lang w:val="cs-CZ"/>
        </w:rPr>
      </w:pPr>
    </w:p>
    <w:p w14:paraId="4335E3F5" w14:textId="77777777" w:rsidR="00B861F4" w:rsidRDefault="00B861F4" w:rsidP="00E44301">
      <w:pPr>
        <w:pStyle w:val="NormalWeb"/>
        <w:rPr>
          <w:rFonts w:ascii="Arial" w:hAnsi="Arial" w:cs="Arial"/>
          <w:sz w:val="24"/>
          <w:szCs w:val="24"/>
          <w:lang w:val="cs-CZ"/>
        </w:rPr>
      </w:pPr>
    </w:p>
    <w:p w14:paraId="05771290" w14:textId="77777777" w:rsidR="00B861F4" w:rsidRDefault="00B861F4" w:rsidP="00E44301">
      <w:pPr>
        <w:pStyle w:val="NormalWeb"/>
        <w:rPr>
          <w:rFonts w:ascii="Arial" w:hAnsi="Arial" w:cs="Arial"/>
          <w:sz w:val="24"/>
          <w:szCs w:val="24"/>
          <w:lang w:val="cs-CZ"/>
        </w:rPr>
      </w:pPr>
    </w:p>
    <w:p w14:paraId="440FC8A6" w14:textId="77777777" w:rsidR="00B861F4" w:rsidRDefault="00B861F4" w:rsidP="00E44301">
      <w:pPr>
        <w:pStyle w:val="NormalWeb"/>
        <w:rPr>
          <w:rFonts w:ascii="Arial" w:hAnsi="Arial" w:cs="Arial"/>
          <w:sz w:val="24"/>
          <w:szCs w:val="24"/>
          <w:lang w:val="cs-CZ"/>
        </w:rPr>
      </w:pPr>
    </w:p>
    <w:p w14:paraId="2C9153D5" w14:textId="77777777" w:rsidR="00B861F4" w:rsidRDefault="00B861F4" w:rsidP="00E44301">
      <w:pPr>
        <w:pStyle w:val="NormalWeb"/>
        <w:rPr>
          <w:rFonts w:ascii="Arial" w:hAnsi="Arial" w:cs="Arial"/>
          <w:sz w:val="24"/>
          <w:szCs w:val="24"/>
          <w:lang w:val="cs-CZ"/>
        </w:rPr>
      </w:pPr>
    </w:p>
    <w:p w14:paraId="5E49EFD0" w14:textId="77777777" w:rsidR="00B861F4" w:rsidRDefault="00B861F4" w:rsidP="00E44301">
      <w:pPr>
        <w:pStyle w:val="NormalWeb"/>
        <w:rPr>
          <w:rFonts w:ascii="Arial" w:hAnsi="Arial" w:cs="Arial"/>
          <w:sz w:val="24"/>
          <w:szCs w:val="24"/>
          <w:lang w:val="cs-CZ"/>
        </w:rPr>
      </w:pPr>
    </w:p>
    <w:p w14:paraId="5581EBCF" w14:textId="77777777" w:rsidR="00B861F4" w:rsidRDefault="00B861F4" w:rsidP="00E44301">
      <w:pPr>
        <w:pStyle w:val="NormalWeb"/>
        <w:rPr>
          <w:rFonts w:ascii="Arial" w:hAnsi="Arial" w:cs="Arial"/>
          <w:sz w:val="24"/>
          <w:szCs w:val="24"/>
          <w:lang w:val="cs-CZ"/>
        </w:rPr>
      </w:pPr>
    </w:p>
    <w:p w14:paraId="74403797" w14:textId="77777777" w:rsidR="00B861F4" w:rsidRDefault="00B861F4" w:rsidP="00E44301">
      <w:pPr>
        <w:pStyle w:val="NormalWeb"/>
        <w:rPr>
          <w:rFonts w:ascii="Arial" w:hAnsi="Arial" w:cs="Arial"/>
          <w:sz w:val="24"/>
          <w:szCs w:val="24"/>
          <w:lang w:val="cs-CZ"/>
        </w:rPr>
      </w:pPr>
    </w:p>
    <w:p w14:paraId="5EA1A26D" w14:textId="77777777" w:rsidR="00B861F4" w:rsidRDefault="00B861F4" w:rsidP="00E44301">
      <w:pPr>
        <w:pStyle w:val="NormalWeb"/>
        <w:rPr>
          <w:rFonts w:ascii="Arial" w:hAnsi="Arial" w:cs="Arial"/>
          <w:sz w:val="24"/>
          <w:szCs w:val="24"/>
          <w:lang w:val="cs-CZ"/>
        </w:rPr>
      </w:pPr>
    </w:p>
    <w:p w14:paraId="79E11220" w14:textId="77777777" w:rsidR="00B861F4" w:rsidRDefault="00B861F4" w:rsidP="00E44301">
      <w:pPr>
        <w:pStyle w:val="NormalWeb"/>
        <w:rPr>
          <w:rFonts w:ascii="Arial" w:hAnsi="Arial" w:cs="Arial"/>
          <w:sz w:val="24"/>
          <w:szCs w:val="24"/>
          <w:lang w:val="cs-CZ"/>
        </w:rPr>
      </w:pPr>
    </w:p>
    <w:p w14:paraId="0CDC020E" w14:textId="77777777" w:rsidR="00B861F4" w:rsidRDefault="00B861F4" w:rsidP="00E44301">
      <w:pPr>
        <w:pStyle w:val="NormalWeb"/>
        <w:rPr>
          <w:rFonts w:ascii="Arial" w:hAnsi="Arial" w:cs="Arial"/>
          <w:sz w:val="24"/>
          <w:szCs w:val="24"/>
          <w:lang w:val="cs-CZ"/>
        </w:rPr>
      </w:pPr>
    </w:p>
    <w:p w14:paraId="6F477DB8" w14:textId="77777777" w:rsidR="00B861F4" w:rsidRDefault="00B861F4" w:rsidP="00E44301">
      <w:pPr>
        <w:pStyle w:val="NormalWeb"/>
        <w:rPr>
          <w:rFonts w:ascii="Arial" w:hAnsi="Arial" w:cs="Arial"/>
          <w:sz w:val="24"/>
          <w:szCs w:val="24"/>
          <w:lang w:val="cs-CZ"/>
        </w:rPr>
      </w:pPr>
    </w:p>
    <w:p w14:paraId="24AEE33F" w14:textId="77777777" w:rsidR="00B861F4" w:rsidRDefault="00B861F4" w:rsidP="00E44301">
      <w:pPr>
        <w:pStyle w:val="NormalWeb"/>
        <w:rPr>
          <w:rFonts w:ascii="Arial" w:hAnsi="Arial" w:cs="Arial"/>
          <w:sz w:val="24"/>
          <w:szCs w:val="24"/>
          <w:lang w:val="cs-CZ"/>
        </w:rPr>
      </w:pPr>
    </w:p>
    <w:p w14:paraId="6450B4D6" w14:textId="77777777" w:rsidR="00B861F4" w:rsidRDefault="00B861F4" w:rsidP="00E44301">
      <w:pPr>
        <w:pStyle w:val="NormalWeb"/>
        <w:rPr>
          <w:rFonts w:ascii="Arial" w:hAnsi="Arial" w:cs="Arial"/>
          <w:sz w:val="24"/>
          <w:szCs w:val="24"/>
          <w:lang w:val="cs-CZ"/>
        </w:rPr>
      </w:pPr>
    </w:p>
    <w:p w14:paraId="28B12AF9" w14:textId="77777777" w:rsidR="00F078DB" w:rsidRDefault="00B861F4" w:rsidP="00F078DB">
      <w:pPr>
        <w:widowControl w:val="0"/>
        <w:autoSpaceDE w:val="0"/>
        <w:autoSpaceDN w:val="0"/>
        <w:adjustRightInd w:val="0"/>
        <w:rPr>
          <w:rFonts w:cs="Arial"/>
          <w:b/>
          <w:lang w:val="cs-CZ"/>
        </w:rPr>
      </w:pPr>
      <w:r w:rsidRPr="00B861F4">
        <w:rPr>
          <w:rFonts w:cs="Arial"/>
          <w:b/>
          <w:lang w:val="cs-CZ"/>
        </w:rPr>
        <w:t>Poděkován</w:t>
      </w:r>
      <w:r w:rsidR="00F078DB">
        <w:rPr>
          <w:rFonts w:cs="Arial"/>
          <w:b/>
          <w:lang w:val="cs-CZ"/>
        </w:rPr>
        <w:t>í</w:t>
      </w:r>
    </w:p>
    <w:p w14:paraId="0136CD7A" w14:textId="77777777" w:rsidR="00F078DB" w:rsidRDefault="00F078DB" w:rsidP="00F078DB">
      <w:pPr>
        <w:widowControl w:val="0"/>
        <w:autoSpaceDE w:val="0"/>
        <w:autoSpaceDN w:val="0"/>
        <w:adjustRightInd w:val="0"/>
        <w:rPr>
          <w:rFonts w:cs="Arial"/>
          <w:b/>
          <w:lang w:val="cs-CZ"/>
        </w:rPr>
      </w:pPr>
    </w:p>
    <w:p w14:paraId="4C3C45E1" w14:textId="1280E8BD" w:rsidR="002E489A" w:rsidRPr="002E489A" w:rsidRDefault="002E489A" w:rsidP="002E489A">
      <w:pPr>
        <w:spacing w:before="100" w:beforeAutospacing="1" w:after="100" w:afterAutospacing="1" w:line="240" w:lineRule="auto"/>
        <w:jc w:val="left"/>
        <w:rPr>
          <w:rFonts w:cs="Arial"/>
          <w:sz w:val="20"/>
          <w:szCs w:val="20"/>
          <w:lang w:val="cs-CZ"/>
        </w:rPr>
      </w:pPr>
      <w:r w:rsidRPr="002E489A">
        <w:rPr>
          <w:rFonts w:cs="Arial"/>
          <w:lang w:val="cs-CZ"/>
        </w:rPr>
        <w:t xml:space="preserve">Na tomto místě bych ráda poděkovala svému </w:t>
      </w:r>
      <w:r w:rsidR="009D027F">
        <w:rPr>
          <w:rFonts w:cs="Arial"/>
          <w:lang w:val="cs-CZ"/>
        </w:rPr>
        <w:t xml:space="preserve">vedoucímu diplomové práce </w:t>
      </w:r>
      <w:r w:rsidR="003B08D3">
        <w:rPr>
          <w:rFonts w:cs="Arial"/>
          <w:lang w:val="cs-CZ"/>
        </w:rPr>
        <w:t>doc. </w:t>
      </w:r>
      <w:r w:rsidR="009D027F">
        <w:rPr>
          <w:rFonts w:cs="Arial"/>
          <w:lang w:val="cs-CZ"/>
        </w:rPr>
        <w:t>JUDr. </w:t>
      </w:r>
      <w:r w:rsidRPr="002E489A">
        <w:rPr>
          <w:rFonts w:cs="Arial"/>
          <w:lang w:val="cs-CZ"/>
        </w:rPr>
        <w:t xml:space="preserve">Michalu Petrovi, Ph.D. za jeho odborné vedení, spolupráci a cenné rady při psaní této práce. </w:t>
      </w:r>
    </w:p>
    <w:p w14:paraId="3F51AC65" w14:textId="3048D599" w:rsidR="002E489A" w:rsidRPr="002E489A" w:rsidRDefault="002E489A" w:rsidP="002E489A">
      <w:pPr>
        <w:spacing w:before="100" w:beforeAutospacing="1" w:after="100" w:afterAutospacing="1" w:line="240" w:lineRule="auto"/>
        <w:jc w:val="left"/>
        <w:rPr>
          <w:rFonts w:cs="Arial"/>
          <w:sz w:val="20"/>
          <w:szCs w:val="20"/>
          <w:lang w:val="cs-CZ"/>
        </w:rPr>
      </w:pPr>
      <w:r w:rsidRPr="002E489A">
        <w:rPr>
          <w:rFonts w:cs="Arial"/>
          <w:lang w:val="cs-CZ"/>
        </w:rPr>
        <w:t xml:space="preserve">Současně srdečně děkuji své rodině a přátelům za jejich pevnou oporu, kterou mi byli po celou dobu mého studia. </w:t>
      </w:r>
    </w:p>
    <w:p w14:paraId="2E758462" w14:textId="77777777" w:rsidR="00F078DB" w:rsidRDefault="00F078DB" w:rsidP="00F078DB">
      <w:pPr>
        <w:widowControl w:val="0"/>
        <w:autoSpaceDE w:val="0"/>
        <w:autoSpaceDN w:val="0"/>
        <w:adjustRightInd w:val="0"/>
        <w:rPr>
          <w:rFonts w:cs="Arial"/>
          <w:b/>
          <w:lang w:val="cs-CZ"/>
        </w:rPr>
      </w:pPr>
    </w:p>
    <w:p w14:paraId="6D646CE1" w14:textId="77777777" w:rsidR="00F078DB" w:rsidRDefault="00F078DB" w:rsidP="00F078DB">
      <w:pPr>
        <w:widowControl w:val="0"/>
        <w:autoSpaceDE w:val="0"/>
        <w:autoSpaceDN w:val="0"/>
        <w:adjustRightInd w:val="0"/>
        <w:rPr>
          <w:rFonts w:cs="Arial"/>
          <w:b/>
          <w:lang w:val="cs-CZ"/>
        </w:rPr>
      </w:pPr>
    </w:p>
    <w:p w14:paraId="14639A16" w14:textId="122D1A95" w:rsidR="00B861F4" w:rsidRPr="00B861F4" w:rsidRDefault="00F078DB" w:rsidP="00F078DB">
      <w:pPr>
        <w:widowControl w:val="0"/>
        <w:autoSpaceDE w:val="0"/>
        <w:autoSpaceDN w:val="0"/>
        <w:adjustRightInd w:val="0"/>
        <w:rPr>
          <w:rFonts w:cs="Arial"/>
          <w:lang w:val="cs-CZ"/>
        </w:rPr>
      </w:pPr>
      <w:r w:rsidRPr="00B861F4">
        <w:rPr>
          <w:rFonts w:cs="Arial"/>
          <w:lang w:val="cs-CZ"/>
        </w:rPr>
        <w:t xml:space="preserve"> </w:t>
      </w:r>
    </w:p>
    <w:p w14:paraId="68801264" w14:textId="77777777" w:rsidR="0060208E" w:rsidRDefault="0060208E" w:rsidP="008558F7">
      <w:pPr>
        <w:pStyle w:val="Title"/>
        <w:rPr>
          <w:lang w:val="cs-CZ"/>
        </w:rPr>
        <w:sectPr w:rsidR="0060208E" w:rsidSect="0035720F">
          <w:footerReference w:type="even" r:id="rId9"/>
          <w:footerReference w:type="default" r:id="rId10"/>
          <w:pgSz w:w="11900" w:h="16840"/>
          <w:pgMar w:top="1418" w:right="1134" w:bottom="1418" w:left="1701" w:header="709" w:footer="709" w:gutter="0"/>
          <w:cols w:space="708"/>
          <w:titlePg/>
          <w:docGrid w:linePitch="360"/>
        </w:sectPr>
      </w:pPr>
    </w:p>
    <w:p w14:paraId="4A068E0E" w14:textId="1C684DDF" w:rsidR="008558F7" w:rsidRPr="008558F7" w:rsidRDefault="00E44301" w:rsidP="008558F7">
      <w:pPr>
        <w:pStyle w:val="Title"/>
        <w:rPr>
          <w:lang w:val="cs-CZ"/>
        </w:rPr>
      </w:pPr>
      <w:r w:rsidRPr="00E44301">
        <w:rPr>
          <w:lang w:val="cs-CZ"/>
        </w:rPr>
        <w:lastRenderedPageBreak/>
        <w:t>Obsah</w:t>
      </w:r>
    </w:p>
    <w:p w14:paraId="33898ACF" w14:textId="639A8A46" w:rsidR="008558F7" w:rsidRPr="00A44406" w:rsidRDefault="0083768D" w:rsidP="004C3EBE">
      <w:pPr>
        <w:pStyle w:val="TOC1"/>
        <w:numPr>
          <w:ilvl w:val="0"/>
          <w:numId w:val="0"/>
        </w:numPr>
        <w:ind w:left="357"/>
        <w:rPr>
          <w:b/>
        </w:rPr>
      </w:pPr>
      <w:r w:rsidRPr="00A44406">
        <w:t xml:space="preserve">Úvod </w:t>
      </w:r>
    </w:p>
    <w:p w14:paraId="6910D9B1" w14:textId="11D61315" w:rsidR="0083768D" w:rsidRPr="00A44406" w:rsidRDefault="00A44406" w:rsidP="004C3EBE">
      <w:pPr>
        <w:pStyle w:val="TOC1"/>
        <w:rPr>
          <w:b/>
        </w:rPr>
      </w:pPr>
      <w:r>
        <w:t>Veřejné zakázky</w:t>
      </w:r>
    </w:p>
    <w:p w14:paraId="2D5EB871" w14:textId="2EC7F924" w:rsidR="0083768D" w:rsidRPr="00A44406" w:rsidRDefault="0083768D" w:rsidP="00A44406">
      <w:pPr>
        <w:ind w:left="1080"/>
        <w:jc w:val="left"/>
        <w:rPr>
          <w:rFonts w:cs="Arial"/>
          <w:lang w:val="cs-CZ"/>
        </w:rPr>
      </w:pPr>
      <w:r w:rsidRPr="00A44406">
        <w:rPr>
          <w:rFonts w:cs="Arial"/>
          <w:lang w:val="cs-CZ"/>
        </w:rPr>
        <w:t>1.1.Veřejná zakázka</w:t>
      </w:r>
    </w:p>
    <w:p w14:paraId="2D936533" w14:textId="77777777" w:rsidR="0083768D" w:rsidRPr="00A44406" w:rsidRDefault="0083768D" w:rsidP="001E717C">
      <w:pPr>
        <w:ind w:left="1080"/>
        <w:jc w:val="left"/>
        <w:rPr>
          <w:rFonts w:cs="Arial"/>
          <w:lang w:val="cs-CZ"/>
        </w:rPr>
      </w:pPr>
      <w:r w:rsidRPr="00A44406">
        <w:rPr>
          <w:rFonts w:cs="Arial"/>
          <w:lang w:val="cs-CZ"/>
        </w:rPr>
        <w:t xml:space="preserve">1.2. Definiční znaky veřejné zakázky </w:t>
      </w:r>
    </w:p>
    <w:p w14:paraId="77136734" w14:textId="11401201" w:rsidR="0083768D" w:rsidRPr="00A44406" w:rsidRDefault="0083768D" w:rsidP="001E717C">
      <w:pPr>
        <w:ind w:left="1080" w:firstLine="360"/>
        <w:jc w:val="left"/>
        <w:rPr>
          <w:rFonts w:cs="Arial"/>
          <w:lang w:val="cs-CZ"/>
        </w:rPr>
      </w:pPr>
      <w:r w:rsidRPr="00A44406">
        <w:rPr>
          <w:rFonts w:cs="Arial"/>
          <w:lang w:val="cs-CZ"/>
        </w:rPr>
        <w:t>1. 2. 1. Uzavření úplatné smlouvy</w:t>
      </w:r>
    </w:p>
    <w:p w14:paraId="320B0413" w14:textId="47D86057" w:rsidR="0083768D" w:rsidRPr="00A44406" w:rsidRDefault="0083768D" w:rsidP="001E717C">
      <w:pPr>
        <w:ind w:left="1080" w:firstLine="360"/>
        <w:jc w:val="left"/>
        <w:rPr>
          <w:rFonts w:cs="Arial"/>
          <w:lang w:val="cs-CZ"/>
        </w:rPr>
      </w:pPr>
      <w:r w:rsidRPr="00A44406">
        <w:rPr>
          <w:rFonts w:cs="Arial"/>
          <w:lang w:val="cs-CZ"/>
        </w:rPr>
        <w:t>1. 2. 2. Konkrétně určené subjekty</w:t>
      </w:r>
    </w:p>
    <w:p w14:paraId="69D77625" w14:textId="77777777" w:rsidR="0083768D" w:rsidRPr="00A44406" w:rsidRDefault="0083768D" w:rsidP="001E717C">
      <w:pPr>
        <w:ind w:left="1080" w:firstLine="360"/>
        <w:jc w:val="left"/>
        <w:rPr>
          <w:rFonts w:cs="Arial"/>
          <w:lang w:val="cs-CZ"/>
        </w:rPr>
      </w:pPr>
      <w:r w:rsidRPr="00A44406">
        <w:rPr>
          <w:rFonts w:cs="Arial"/>
          <w:lang w:val="cs-CZ"/>
        </w:rPr>
        <w:t>1. 2. 3. Specifický předmět smlouvy</w:t>
      </w:r>
    </w:p>
    <w:p w14:paraId="0EC5EEC5" w14:textId="44F62EE0" w:rsidR="0083768D" w:rsidRPr="00A44406" w:rsidRDefault="001A492B" w:rsidP="001E717C">
      <w:pPr>
        <w:ind w:left="1080" w:firstLine="360"/>
        <w:jc w:val="left"/>
        <w:rPr>
          <w:rFonts w:cs="Arial"/>
          <w:lang w:val="cs-CZ"/>
        </w:rPr>
      </w:pPr>
      <w:r w:rsidRPr="00A44406">
        <w:rPr>
          <w:rFonts w:cs="Arial"/>
          <w:lang w:val="cs-CZ"/>
        </w:rPr>
        <w:t>1. 2. 4. Porovnání S</w:t>
      </w:r>
      <w:r w:rsidR="0083768D" w:rsidRPr="00A44406">
        <w:rPr>
          <w:rFonts w:cs="Arial"/>
          <w:lang w:val="cs-CZ"/>
        </w:rPr>
        <w:t>měrnice</w:t>
      </w:r>
      <w:r w:rsidRPr="00A44406">
        <w:rPr>
          <w:rFonts w:cs="Arial"/>
          <w:lang w:val="cs-CZ"/>
        </w:rPr>
        <w:t xml:space="preserve"> 2014/24/EU</w:t>
      </w:r>
      <w:r w:rsidR="00757935" w:rsidRPr="00A44406">
        <w:rPr>
          <w:rFonts w:cs="Arial"/>
          <w:lang w:val="cs-CZ"/>
        </w:rPr>
        <w:t xml:space="preserve"> a českého zákona</w:t>
      </w:r>
    </w:p>
    <w:p w14:paraId="6E311751" w14:textId="5CA2AD15" w:rsidR="0060208E" w:rsidRPr="00A44406" w:rsidRDefault="0083768D" w:rsidP="00A44406">
      <w:pPr>
        <w:pStyle w:val="ListParagraph"/>
        <w:numPr>
          <w:ilvl w:val="0"/>
          <w:numId w:val="10"/>
        </w:numPr>
        <w:jc w:val="left"/>
        <w:rPr>
          <w:rFonts w:cs="Arial"/>
          <w:lang w:val="cs-CZ"/>
        </w:rPr>
      </w:pPr>
      <w:r w:rsidRPr="00A44406">
        <w:rPr>
          <w:rFonts w:cs="Arial"/>
          <w:lang w:val="cs-CZ"/>
        </w:rPr>
        <w:t>Zadávací řízení</w:t>
      </w:r>
      <w:r w:rsidR="001A492B" w:rsidRPr="00A44406">
        <w:rPr>
          <w:rFonts w:cs="Arial"/>
          <w:lang w:val="cs-CZ"/>
        </w:rPr>
        <w:t xml:space="preserve"> v nadlimitním režimu </w:t>
      </w:r>
    </w:p>
    <w:p w14:paraId="5008E2B4" w14:textId="77777777" w:rsidR="0060208E" w:rsidRPr="00A44406" w:rsidRDefault="0060208E" w:rsidP="001E717C">
      <w:pPr>
        <w:pStyle w:val="ListParagraph"/>
        <w:numPr>
          <w:ilvl w:val="1"/>
          <w:numId w:val="10"/>
        </w:numPr>
        <w:jc w:val="left"/>
        <w:rPr>
          <w:rFonts w:cs="Arial"/>
          <w:lang w:val="cs-CZ"/>
        </w:rPr>
      </w:pPr>
      <w:r w:rsidRPr="00A44406">
        <w:rPr>
          <w:lang w:val="cs-CZ"/>
        </w:rPr>
        <w:t xml:space="preserve">Zadávací řízení podle hodnoty </w:t>
      </w:r>
    </w:p>
    <w:p w14:paraId="7AB98C7A" w14:textId="77777777" w:rsidR="0060208E" w:rsidRPr="00A44406" w:rsidRDefault="0060208E" w:rsidP="001E717C">
      <w:pPr>
        <w:pStyle w:val="ListParagraph"/>
        <w:numPr>
          <w:ilvl w:val="2"/>
          <w:numId w:val="10"/>
        </w:numPr>
        <w:rPr>
          <w:lang w:val="cs-CZ"/>
        </w:rPr>
      </w:pPr>
      <w:r w:rsidRPr="00A44406">
        <w:rPr>
          <w:lang w:val="cs-CZ"/>
        </w:rPr>
        <w:t xml:space="preserve">Zadávací řízení podle hodnoty dle Směrnice 2014/24/EU </w:t>
      </w:r>
    </w:p>
    <w:p w14:paraId="7AE52DAC" w14:textId="256A1F4F" w:rsidR="0060208E" w:rsidRPr="00A44406" w:rsidRDefault="0060208E" w:rsidP="001E717C">
      <w:pPr>
        <w:pStyle w:val="ListParagraph"/>
        <w:numPr>
          <w:ilvl w:val="2"/>
          <w:numId w:val="10"/>
        </w:numPr>
        <w:jc w:val="left"/>
        <w:rPr>
          <w:rFonts w:cs="Arial"/>
          <w:lang w:val="cs-CZ"/>
        </w:rPr>
      </w:pPr>
      <w:r w:rsidRPr="00A44406">
        <w:rPr>
          <w:rFonts w:cs="Arial"/>
          <w:lang w:val="cs-CZ"/>
        </w:rPr>
        <w:t xml:space="preserve">Finanční limity </w:t>
      </w:r>
    </w:p>
    <w:p w14:paraId="759D1BC1" w14:textId="67D6EE92" w:rsidR="0060208E" w:rsidRPr="00A44406" w:rsidRDefault="0060208E" w:rsidP="001E717C">
      <w:pPr>
        <w:pStyle w:val="ListParagraph"/>
        <w:numPr>
          <w:ilvl w:val="2"/>
          <w:numId w:val="10"/>
        </w:numPr>
        <w:rPr>
          <w:lang w:val="cs-CZ"/>
        </w:rPr>
      </w:pPr>
      <w:r w:rsidRPr="00A44406">
        <w:rPr>
          <w:lang w:val="cs-CZ"/>
        </w:rPr>
        <w:t xml:space="preserve">Rozdíl </w:t>
      </w:r>
      <w:r w:rsidR="001A492B" w:rsidRPr="00A44406">
        <w:rPr>
          <w:lang w:val="cs-CZ"/>
        </w:rPr>
        <w:t xml:space="preserve">v </w:t>
      </w:r>
      <w:r w:rsidRPr="00A44406">
        <w:rPr>
          <w:lang w:val="cs-CZ"/>
        </w:rPr>
        <w:t>určení předpokládané hodnoty mezi Směrnicí 2014/24/EU a zákonem o zadávání veřejných zakázek</w:t>
      </w:r>
    </w:p>
    <w:p w14:paraId="04877674" w14:textId="77777777" w:rsidR="0060208E" w:rsidRPr="00A44406" w:rsidRDefault="0060208E" w:rsidP="001E717C">
      <w:pPr>
        <w:pStyle w:val="ListParagraph"/>
        <w:numPr>
          <w:ilvl w:val="1"/>
          <w:numId w:val="10"/>
        </w:numPr>
        <w:jc w:val="left"/>
        <w:rPr>
          <w:rFonts w:cs="Arial"/>
          <w:lang w:val="cs-CZ"/>
        </w:rPr>
      </w:pPr>
      <w:r w:rsidRPr="00A44406">
        <w:rPr>
          <w:rFonts w:cs="Arial"/>
          <w:lang w:val="cs-CZ"/>
        </w:rPr>
        <w:t xml:space="preserve">Druhy zadávacího řízení nadlimitních veřejných zakázek </w:t>
      </w:r>
    </w:p>
    <w:p w14:paraId="75E37E48" w14:textId="77777777" w:rsidR="0060208E" w:rsidRPr="00A44406" w:rsidRDefault="0083768D" w:rsidP="001E717C">
      <w:pPr>
        <w:pStyle w:val="ListParagraph"/>
        <w:numPr>
          <w:ilvl w:val="2"/>
          <w:numId w:val="10"/>
        </w:numPr>
        <w:jc w:val="left"/>
        <w:rPr>
          <w:rFonts w:cs="Arial"/>
          <w:lang w:val="cs-CZ"/>
        </w:rPr>
      </w:pPr>
      <w:r w:rsidRPr="00A44406">
        <w:rPr>
          <w:rFonts w:cs="Arial"/>
          <w:lang w:val="cs-CZ"/>
        </w:rPr>
        <w:t>Otevřené řízení</w:t>
      </w:r>
    </w:p>
    <w:p w14:paraId="5531FD66" w14:textId="77777777" w:rsidR="0060208E" w:rsidRPr="00A44406" w:rsidRDefault="0083768D" w:rsidP="001E717C">
      <w:pPr>
        <w:pStyle w:val="ListParagraph"/>
        <w:numPr>
          <w:ilvl w:val="2"/>
          <w:numId w:val="10"/>
        </w:numPr>
        <w:jc w:val="left"/>
        <w:rPr>
          <w:rFonts w:cs="Arial"/>
          <w:lang w:val="cs-CZ"/>
        </w:rPr>
      </w:pPr>
      <w:r w:rsidRPr="00A44406">
        <w:rPr>
          <w:rFonts w:cs="Arial"/>
          <w:lang w:val="cs-CZ"/>
        </w:rPr>
        <w:t xml:space="preserve">Užší řízení </w:t>
      </w:r>
    </w:p>
    <w:p w14:paraId="6740FDEE" w14:textId="737EF168" w:rsidR="0060208E" w:rsidRPr="00A44406" w:rsidRDefault="0083768D" w:rsidP="001E717C">
      <w:pPr>
        <w:pStyle w:val="ListParagraph"/>
        <w:numPr>
          <w:ilvl w:val="2"/>
          <w:numId w:val="10"/>
        </w:numPr>
        <w:jc w:val="left"/>
        <w:rPr>
          <w:rFonts w:cs="Arial"/>
          <w:lang w:val="cs-CZ"/>
        </w:rPr>
      </w:pPr>
      <w:r w:rsidRPr="00A44406">
        <w:rPr>
          <w:rFonts w:cs="Arial"/>
          <w:lang w:val="cs-CZ"/>
        </w:rPr>
        <w:t>Jednací řízení s</w:t>
      </w:r>
      <w:r w:rsidR="0060208E" w:rsidRPr="00A44406">
        <w:rPr>
          <w:rFonts w:cs="Arial"/>
          <w:lang w:val="cs-CZ"/>
        </w:rPr>
        <w:t> </w:t>
      </w:r>
      <w:r w:rsidRPr="00A44406">
        <w:rPr>
          <w:rFonts w:cs="Arial"/>
          <w:lang w:val="cs-CZ"/>
        </w:rPr>
        <w:t>uveřejněním</w:t>
      </w:r>
    </w:p>
    <w:p w14:paraId="65FB5E3E" w14:textId="77777777" w:rsidR="0060208E" w:rsidRPr="00A44406" w:rsidRDefault="0083768D" w:rsidP="001E717C">
      <w:pPr>
        <w:pStyle w:val="ListParagraph"/>
        <w:numPr>
          <w:ilvl w:val="2"/>
          <w:numId w:val="10"/>
        </w:numPr>
        <w:jc w:val="left"/>
        <w:rPr>
          <w:rFonts w:cs="Arial"/>
          <w:lang w:val="cs-CZ"/>
        </w:rPr>
      </w:pPr>
      <w:r w:rsidRPr="00A44406">
        <w:rPr>
          <w:rFonts w:cs="Arial"/>
          <w:lang w:val="cs-CZ"/>
        </w:rPr>
        <w:t>Jednací řízení bez uveřejnění</w:t>
      </w:r>
    </w:p>
    <w:p w14:paraId="7DC35BAE" w14:textId="77777777" w:rsidR="0060208E" w:rsidRPr="00A44406" w:rsidRDefault="0083768D" w:rsidP="001E717C">
      <w:pPr>
        <w:pStyle w:val="ListParagraph"/>
        <w:numPr>
          <w:ilvl w:val="2"/>
          <w:numId w:val="10"/>
        </w:numPr>
        <w:jc w:val="left"/>
        <w:rPr>
          <w:rFonts w:cs="Arial"/>
          <w:lang w:val="cs-CZ"/>
        </w:rPr>
      </w:pPr>
      <w:r w:rsidRPr="00A44406">
        <w:rPr>
          <w:rFonts w:cs="Arial"/>
          <w:lang w:val="cs-CZ"/>
        </w:rPr>
        <w:t>Řízení se soutěžním dialogem</w:t>
      </w:r>
    </w:p>
    <w:p w14:paraId="5FEF517C" w14:textId="4AA12423" w:rsidR="0083768D" w:rsidRPr="00A44406" w:rsidRDefault="0083768D" w:rsidP="001E717C">
      <w:pPr>
        <w:pStyle w:val="ListParagraph"/>
        <w:numPr>
          <w:ilvl w:val="2"/>
          <w:numId w:val="10"/>
        </w:numPr>
        <w:jc w:val="left"/>
        <w:rPr>
          <w:rFonts w:cs="Arial"/>
          <w:lang w:val="cs-CZ"/>
        </w:rPr>
      </w:pPr>
      <w:r w:rsidRPr="00A44406">
        <w:rPr>
          <w:rFonts w:cs="Arial"/>
          <w:lang w:val="cs-CZ"/>
        </w:rPr>
        <w:t>Řízení o inovačním partnerství</w:t>
      </w:r>
    </w:p>
    <w:p w14:paraId="14F39786" w14:textId="77777777" w:rsidR="0083768D" w:rsidRPr="00A44406" w:rsidRDefault="0083768D" w:rsidP="001E717C">
      <w:pPr>
        <w:pStyle w:val="ListParagraph"/>
        <w:numPr>
          <w:ilvl w:val="1"/>
          <w:numId w:val="10"/>
        </w:numPr>
        <w:jc w:val="left"/>
        <w:rPr>
          <w:rFonts w:cs="Arial"/>
          <w:lang w:val="cs-CZ"/>
        </w:rPr>
      </w:pPr>
      <w:r w:rsidRPr="00A44406">
        <w:rPr>
          <w:rFonts w:cs="Arial"/>
          <w:lang w:val="cs-CZ"/>
        </w:rPr>
        <w:t xml:space="preserve">Otevřené řízení </w:t>
      </w:r>
    </w:p>
    <w:p w14:paraId="2860FC4B" w14:textId="77777777" w:rsidR="0083768D" w:rsidRPr="00A44406" w:rsidRDefault="0083768D" w:rsidP="001E717C">
      <w:pPr>
        <w:pStyle w:val="ListParagraph"/>
        <w:numPr>
          <w:ilvl w:val="0"/>
          <w:numId w:val="10"/>
        </w:numPr>
        <w:jc w:val="left"/>
        <w:rPr>
          <w:rFonts w:cs="Arial"/>
          <w:lang w:val="cs-CZ"/>
        </w:rPr>
      </w:pPr>
      <w:r w:rsidRPr="00A44406">
        <w:rPr>
          <w:rFonts w:cs="Arial"/>
          <w:lang w:val="cs-CZ"/>
        </w:rPr>
        <w:t>Fáze otevřeného řízení nadlimitní veřejné zakázky</w:t>
      </w:r>
    </w:p>
    <w:p w14:paraId="5184C88C" w14:textId="56919937" w:rsidR="0060208E" w:rsidRPr="00A44406" w:rsidRDefault="0060208E" w:rsidP="001E717C">
      <w:pPr>
        <w:pStyle w:val="ListParagraph"/>
        <w:numPr>
          <w:ilvl w:val="1"/>
          <w:numId w:val="10"/>
        </w:numPr>
        <w:jc w:val="left"/>
        <w:rPr>
          <w:rFonts w:cs="Arial"/>
          <w:lang w:val="cs-CZ"/>
        </w:rPr>
      </w:pPr>
      <w:r w:rsidRPr="00A44406">
        <w:rPr>
          <w:rFonts w:cs="Arial"/>
          <w:lang w:val="cs-CZ"/>
        </w:rPr>
        <w:t xml:space="preserve">Zásady řízení </w:t>
      </w:r>
    </w:p>
    <w:p w14:paraId="1812FE09" w14:textId="77777777" w:rsidR="002964FD" w:rsidRPr="00A44406" w:rsidRDefault="002964FD" w:rsidP="001E717C">
      <w:pPr>
        <w:pStyle w:val="ListParagraph"/>
        <w:numPr>
          <w:ilvl w:val="2"/>
          <w:numId w:val="10"/>
        </w:numPr>
        <w:rPr>
          <w:lang w:val="cs-CZ"/>
        </w:rPr>
      </w:pPr>
      <w:r w:rsidRPr="00A44406">
        <w:rPr>
          <w:lang w:val="cs-CZ"/>
        </w:rPr>
        <w:t xml:space="preserve">Zásada rovného zacházení </w:t>
      </w:r>
    </w:p>
    <w:p w14:paraId="2E69489A" w14:textId="0A6508CF" w:rsidR="002964FD" w:rsidRPr="00A44406" w:rsidRDefault="002964FD" w:rsidP="001E717C">
      <w:pPr>
        <w:pStyle w:val="ListParagraph"/>
        <w:numPr>
          <w:ilvl w:val="2"/>
          <w:numId w:val="10"/>
        </w:numPr>
        <w:jc w:val="left"/>
        <w:rPr>
          <w:rFonts w:cs="Arial"/>
          <w:lang w:val="cs-CZ"/>
        </w:rPr>
      </w:pPr>
      <w:r w:rsidRPr="00A44406">
        <w:rPr>
          <w:rFonts w:cs="Arial"/>
          <w:lang w:val="cs-CZ"/>
        </w:rPr>
        <w:t xml:space="preserve">Zásada nediskriminace </w:t>
      </w:r>
    </w:p>
    <w:p w14:paraId="0C971A01" w14:textId="7A151870" w:rsidR="002964FD" w:rsidRPr="00A44406" w:rsidRDefault="002964FD" w:rsidP="001E717C">
      <w:pPr>
        <w:pStyle w:val="ListParagraph"/>
        <w:numPr>
          <w:ilvl w:val="2"/>
          <w:numId w:val="10"/>
        </w:numPr>
        <w:jc w:val="left"/>
        <w:rPr>
          <w:rFonts w:cs="Arial"/>
          <w:lang w:val="cs-CZ"/>
        </w:rPr>
      </w:pPr>
      <w:r w:rsidRPr="00A44406">
        <w:rPr>
          <w:rFonts w:cs="Arial"/>
          <w:lang w:val="cs-CZ"/>
        </w:rPr>
        <w:t>Zásada transparentnosti</w:t>
      </w:r>
    </w:p>
    <w:p w14:paraId="572D25EF" w14:textId="34E27CB0" w:rsidR="002964FD" w:rsidRPr="00A44406" w:rsidRDefault="002964FD" w:rsidP="001E717C">
      <w:pPr>
        <w:pStyle w:val="ListParagraph"/>
        <w:numPr>
          <w:ilvl w:val="2"/>
          <w:numId w:val="10"/>
        </w:numPr>
        <w:jc w:val="left"/>
        <w:rPr>
          <w:rFonts w:cs="Arial"/>
          <w:lang w:val="cs-CZ"/>
        </w:rPr>
      </w:pPr>
      <w:r w:rsidRPr="00A44406">
        <w:rPr>
          <w:rFonts w:cs="Arial"/>
          <w:lang w:val="cs-CZ"/>
        </w:rPr>
        <w:t>Zásada přiměřenosti</w:t>
      </w:r>
    </w:p>
    <w:p w14:paraId="55338783" w14:textId="67858FD3" w:rsidR="002964FD" w:rsidRPr="00A44406" w:rsidRDefault="002964FD" w:rsidP="001E717C">
      <w:pPr>
        <w:pStyle w:val="ListParagraph"/>
        <w:numPr>
          <w:ilvl w:val="2"/>
          <w:numId w:val="10"/>
        </w:numPr>
        <w:rPr>
          <w:lang w:val="cs-CZ"/>
        </w:rPr>
      </w:pPr>
      <w:r w:rsidRPr="00A44406">
        <w:rPr>
          <w:lang w:val="cs-CZ"/>
        </w:rPr>
        <w:t xml:space="preserve">Zásady zákazu omezování hospodářské soutěže </w:t>
      </w:r>
    </w:p>
    <w:p w14:paraId="0558C81F" w14:textId="7AA37120" w:rsidR="0060208E" w:rsidRPr="00A44406" w:rsidRDefault="002964FD" w:rsidP="001E717C">
      <w:pPr>
        <w:pStyle w:val="ListParagraph"/>
        <w:numPr>
          <w:ilvl w:val="1"/>
          <w:numId w:val="10"/>
        </w:numPr>
        <w:jc w:val="left"/>
        <w:rPr>
          <w:rFonts w:cs="Arial"/>
          <w:lang w:val="cs-CZ"/>
        </w:rPr>
      </w:pPr>
      <w:r w:rsidRPr="00A44406">
        <w:rPr>
          <w:rFonts w:cs="Arial"/>
          <w:lang w:val="cs-CZ"/>
        </w:rPr>
        <w:t>Příprava a plánování</w:t>
      </w:r>
    </w:p>
    <w:p w14:paraId="05A734DB" w14:textId="2FC802B7" w:rsidR="002964FD" w:rsidRPr="00A44406" w:rsidRDefault="002964FD" w:rsidP="001E717C">
      <w:pPr>
        <w:pStyle w:val="ListParagraph"/>
        <w:numPr>
          <w:ilvl w:val="2"/>
          <w:numId w:val="10"/>
        </w:numPr>
        <w:rPr>
          <w:lang w:val="cs-CZ"/>
        </w:rPr>
      </w:pPr>
      <w:r w:rsidRPr="00A44406">
        <w:rPr>
          <w:lang w:val="cs-CZ"/>
        </w:rPr>
        <w:lastRenderedPageBreak/>
        <w:t>Komparace se zákonem o zadávání veřejných zakázek a nejčastější chyby v praxi</w:t>
      </w:r>
    </w:p>
    <w:p w14:paraId="3A01FCFE" w14:textId="4BC4F40A" w:rsidR="0060208E" w:rsidRPr="00A44406" w:rsidRDefault="002964FD" w:rsidP="001E717C">
      <w:pPr>
        <w:pStyle w:val="ListParagraph"/>
        <w:numPr>
          <w:ilvl w:val="1"/>
          <w:numId w:val="10"/>
        </w:numPr>
        <w:jc w:val="left"/>
        <w:rPr>
          <w:rFonts w:cs="Arial"/>
          <w:lang w:val="cs-CZ"/>
        </w:rPr>
      </w:pPr>
      <w:r w:rsidRPr="00A44406">
        <w:rPr>
          <w:rFonts w:cs="Arial"/>
          <w:lang w:val="cs-CZ"/>
        </w:rPr>
        <w:t>Zveřejnění</w:t>
      </w:r>
    </w:p>
    <w:p w14:paraId="01BD635C" w14:textId="59996390" w:rsidR="002964FD" w:rsidRPr="00A44406" w:rsidRDefault="002964FD" w:rsidP="001E717C">
      <w:pPr>
        <w:pStyle w:val="ListParagraph"/>
        <w:numPr>
          <w:ilvl w:val="2"/>
          <w:numId w:val="10"/>
        </w:numPr>
        <w:jc w:val="left"/>
        <w:rPr>
          <w:rFonts w:cs="Arial"/>
          <w:lang w:val="cs-CZ"/>
        </w:rPr>
      </w:pPr>
      <w:r w:rsidRPr="00A44406">
        <w:rPr>
          <w:rFonts w:cs="Arial"/>
          <w:lang w:val="cs-CZ"/>
        </w:rPr>
        <w:t>Zveřejnění dle Směrnice 2014/24/EU</w:t>
      </w:r>
    </w:p>
    <w:p w14:paraId="72F8BF04" w14:textId="0BBC084A" w:rsidR="002964FD" w:rsidRPr="00A44406" w:rsidRDefault="002964FD" w:rsidP="001E717C">
      <w:pPr>
        <w:pStyle w:val="ListParagraph"/>
        <w:numPr>
          <w:ilvl w:val="2"/>
          <w:numId w:val="10"/>
        </w:numPr>
        <w:jc w:val="left"/>
        <w:rPr>
          <w:rFonts w:cs="Arial"/>
          <w:lang w:val="cs-CZ"/>
        </w:rPr>
      </w:pPr>
      <w:r w:rsidRPr="00A44406">
        <w:rPr>
          <w:rFonts w:cs="Arial"/>
          <w:lang w:val="cs-CZ"/>
        </w:rPr>
        <w:t xml:space="preserve">Komparace se zákonem o zadávání veřejných zakázek a nejčastější chyby praxe </w:t>
      </w:r>
    </w:p>
    <w:p w14:paraId="79536ACC" w14:textId="4031176F" w:rsidR="0060208E" w:rsidRPr="00A44406" w:rsidRDefault="002964FD" w:rsidP="001E717C">
      <w:pPr>
        <w:pStyle w:val="ListParagraph"/>
        <w:numPr>
          <w:ilvl w:val="1"/>
          <w:numId w:val="10"/>
        </w:numPr>
        <w:jc w:val="left"/>
        <w:rPr>
          <w:rFonts w:cs="Arial"/>
          <w:lang w:val="cs-CZ"/>
        </w:rPr>
      </w:pPr>
      <w:r w:rsidRPr="00A44406">
        <w:rPr>
          <w:rFonts w:cs="Arial"/>
          <w:lang w:val="cs-CZ"/>
        </w:rPr>
        <w:t>Podání nabídek a výběr uchazečů</w:t>
      </w:r>
    </w:p>
    <w:p w14:paraId="248BC2DA" w14:textId="72FDC942" w:rsidR="002964FD" w:rsidRPr="00A44406" w:rsidRDefault="002964FD" w:rsidP="001E717C">
      <w:pPr>
        <w:pStyle w:val="ListParagraph"/>
        <w:numPr>
          <w:ilvl w:val="2"/>
          <w:numId w:val="10"/>
        </w:numPr>
        <w:jc w:val="left"/>
        <w:rPr>
          <w:rFonts w:cs="Arial"/>
          <w:lang w:val="cs-CZ"/>
        </w:rPr>
      </w:pPr>
      <w:r w:rsidRPr="00A44406">
        <w:rPr>
          <w:rFonts w:cs="Arial"/>
          <w:lang w:val="cs-CZ"/>
        </w:rPr>
        <w:t>Podání nabídek a výběr uchazečů dle Směrnice 2014/24/EU</w:t>
      </w:r>
    </w:p>
    <w:p w14:paraId="1C032863" w14:textId="0BEE5C0C" w:rsidR="002964FD" w:rsidRPr="00A44406" w:rsidRDefault="002964FD" w:rsidP="001E717C">
      <w:pPr>
        <w:pStyle w:val="ListParagraph"/>
        <w:numPr>
          <w:ilvl w:val="2"/>
          <w:numId w:val="10"/>
        </w:numPr>
        <w:jc w:val="left"/>
        <w:rPr>
          <w:rFonts w:cs="Arial"/>
          <w:lang w:val="cs-CZ"/>
        </w:rPr>
      </w:pPr>
      <w:r w:rsidRPr="00A44406">
        <w:rPr>
          <w:rFonts w:cs="Arial"/>
          <w:lang w:val="cs-CZ"/>
        </w:rPr>
        <w:t>Komparace se zákonem o zadávání veřejných zakázek a nejčastější chyby praxe</w:t>
      </w:r>
    </w:p>
    <w:p w14:paraId="1034FBBD" w14:textId="17EF27F6" w:rsidR="0060208E" w:rsidRPr="00A44406" w:rsidRDefault="002964FD" w:rsidP="001E717C">
      <w:pPr>
        <w:pStyle w:val="ListParagraph"/>
        <w:numPr>
          <w:ilvl w:val="1"/>
          <w:numId w:val="10"/>
        </w:numPr>
        <w:jc w:val="left"/>
        <w:rPr>
          <w:rFonts w:cs="Arial"/>
          <w:lang w:val="cs-CZ"/>
        </w:rPr>
      </w:pPr>
      <w:r w:rsidRPr="00A44406">
        <w:rPr>
          <w:rFonts w:cs="Arial"/>
          <w:lang w:val="cs-CZ"/>
        </w:rPr>
        <w:t xml:space="preserve">Hodnocení nabídek </w:t>
      </w:r>
    </w:p>
    <w:p w14:paraId="4C3312BA" w14:textId="5E6236F8" w:rsidR="002964FD" w:rsidRPr="00A44406" w:rsidRDefault="002964FD" w:rsidP="001E717C">
      <w:pPr>
        <w:pStyle w:val="ListParagraph"/>
        <w:numPr>
          <w:ilvl w:val="2"/>
          <w:numId w:val="10"/>
        </w:numPr>
        <w:tabs>
          <w:tab w:val="left" w:pos="993"/>
        </w:tabs>
        <w:jc w:val="left"/>
        <w:rPr>
          <w:rFonts w:cs="Arial"/>
          <w:lang w:val="cs-CZ"/>
        </w:rPr>
      </w:pPr>
      <w:r w:rsidRPr="00A44406">
        <w:rPr>
          <w:rFonts w:cs="Arial"/>
          <w:lang w:val="cs-CZ"/>
        </w:rPr>
        <w:t>Hodnocení nabídek dle Směrnice 2014/24/EU</w:t>
      </w:r>
    </w:p>
    <w:p w14:paraId="6CF89814" w14:textId="6A07378F" w:rsidR="002964FD" w:rsidRPr="00A44406" w:rsidRDefault="002964FD" w:rsidP="001E717C">
      <w:pPr>
        <w:pStyle w:val="ListParagraph"/>
        <w:numPr>
          <w:ilvl w:val="2"/>
          <w:numId w:val="10"/>
        </w:numPr>
        <w:tabs>
          <w:tab w:val="left" w:pos="993"/>
        </w:tabs>
        <w:jc w:val="left"/>
        <w:rPr>
          <w:rFonts w:cs="Arial"/>
          <w:lang w:val="cs-CZ"/>
        </w:rPr>
      </w:pPr>
      <w:r w:rsidRPr="00A44406">
        <w:rPr>
          <w:rFonts w:cs="Arial"/>
          <w:lang w:val="cs-CZ"/>
        </w:rPr>
        <w:t>Komparace se zákon o zadávání veřejných zakázek a hlavní chyby praxe</w:t>
      </w:r>
    </w:p>
    <w:p w14:paraId="5BAA3D3A" w14:textId="7849540D" w:rsidR="0060208E" w:rsidRPr="00A44406" w:rsidRDefault="001E717C" w:rsidP="001E717C">
      <w:pPr>
        <w:pStyle w:val="ListParagraph"/>
        <w:numPr>
          <w:ilvl w:val="1"/>
          <w:numId w:val="10"/>
        </w:numPr>
        <w:jc w:val="left"/>
        <w:rPr>
          <w:rFonts w:cs="Arial"/>
          <w:lang w:val="cs-CZ"/>
        </w:rPr>
      </w:pPr>
      <w:r w:rsidRPr="00A44406">
        <w:rPr>
          <w:rFonts w:cs="Arial"/>
          <w:lang w:val="cs-CZ"/>
        </w:rPr>
        <w:t xml:space="preserve">Zadání zakázek </w:t>
      </w:r>
    </w:p>
    <w:p w14:paraId="6815B45C" w14:textId="7656DF4E" w:rsidR="001E717C" w:rsidRPr="00A44406" w:rsidRDefault="001E717C" w:rsidP="001E717C">
      <w:pPr>
        <w:pStyle w:val="ListParagraph"/>
        <w:numPr>
          <w:ilvl w:val="2"/>
          <w:numId w:val="10"/>
        </w:numPr>
        <w:jc w:val="left"/>
        <w:rPr>
          <w:rFonts w:cs="Arial"/>
          <w:lang w:val="cs-CZ"/>
        </w:rPr>
      </w:pPr>
      <w:r w:rsidRPr="00A44406">
        <w:rPr>
          <w:rFonts w:cs="Arial"/>
          <w:lang w:val="cs-CZ"/>
        </w:rPr>
        <w:t>Zadání veřejné zakázky dle Směrnice 2014/24/EU</w:t>
      </w:r>
    </w:p>
    <w:p w14:paraId="23B51E44" w14:textId="762903CA" w:rsidR="001E717C" w:rsidRPr="00A44406" w:rsidRDefault="001E717C" w:rsidP="001E717C">
      <w:pPr>
        <w:pStyle w:val="ListParagraph"/>
        <w:numPr>
          <w:ilvl w:val="2"/>
          <w:numId w:val="10"/>
        </w:numPr>
        <w:jc w:val="left"/>
        <w:rPr>
          <w:rFonts w:cs="Arial"/>
          <w:lang w:val="cs-CZ"/>
        </w:rPr>
      </w:pPr>
      <w:r w:rsidRPr="00A44406">
        <w:rPr>
          <w:rFonts w:cs="Arial"/>
          <w:lang w:val="cs-CZ"/>
        </w:rPr>
        <w:t>Komparace se zákonem o zadávání veřejných zakázek a hlavní chyby zadávání veřejných zakázek v praxi</w:t>
      </w:r>
    </w:p>
    <w:p w14:paraId="4944BBFE" w14:textId="77777777" w:rsidR="002964FD" w:rsidRPr="00A44406" w:rsidRDefault="002964FD" w:rsidP="001E717C">
      <w:pPr>
        <w:pStyle w:val="ListParagraph"/>
        <w:numPr>
          <w:ilvl w:val="1"/>
          <w:numId w:val="10"/>
        </w:numPr>
        <w:jc w:val="left"/>
        <w:rPr>
          <w:rFonts w:cs="Arial"/>
          <w:lang w:val="cs-CZ"/>
        </w:rPr>
      </w:pPr>
      <w:r w:rsidRPr="00A44406">
        <w:rPr>
          <w:rFonts w:cs="Arial"/>
          <w:lang w:val="cs-CZ"/>
        </w:rPr>
        <w:t>Realizace zakázky</w:t>
      </w:r>
    </w:p>
    <w:p w14:paraId="3B8B3F1D" w14:textId="4DA1957F" w:rsidR="001A492B" w:rsidRPr="00A44406" w:rsidRDefault="001A492B" w:rsidP="001E717C">
      <w:pPr>
        <w:pStyle w:val="ListParagraph"/>
        <w:numPr>
          <w:ilvl w:val="2"/>
          <w:numId w:val="10"/>
        </w:numPr>
        <w:jc w:val="left"/>
        <w:rPr>
          <w:rFonts w:cs="Arial"/>
          <w:lang w:val="cs-CZ"/>
        </w:rPr>
      </w:pPr>
      <w:r w:rsidRPr="00A44406">
        <w:rPr>
          <w:rFonts w:cs="Arial"/>
          <w:lang w:val="cs-CZ"/>
        </w:rPr>
        <w:t>Realizace dle Směrnice 2014/24/EU</w:t>
      </w:r>
    </w:p>
    <w:p w14:paraId="1005B8C7" w14:textId="236BCB44" w:rsidR="002964FD" w:rsidRDefault="002964FD" w:rsidP="001E717C">
      <w:pPr>
        <w:pStyle w:val="ListParagraph"/>
        <w:numPr>
          <w:ilvl w:val="2"/>
          <w:numId w:val="10"/>
        </w:numPr>
        <w:jc w:val="left"/>
        <w:rPr>
          <w:rFonts w:cs="Arial"/>
          <w:lang w:val="cs-CZ"/>
        </w:rPr>
      </w:pPr>
      <w:r w:rsidRPr="00A44406">
        <w:rPr>
          <w:rFonts w:cs="Arial"/>
          <w:lang w:val="cs-CZ"/>
        </w:rPr>
        <w:t>Komparace se zákonem o zadávání veřejných zakázek a hlavní problém</w:t>
      </w:r>
      <w:bookmarkStart w:id="0" w:name="_GoBack"/>
      <w:bookmarkEnd w:id="0"/>
      <w:r w:rsidRPr="00A44406">
        <w:rPr>
          <w:rFonts w:cs="Arial"/>
          <w:lang w:val="cs-CZ"/>
        </w:rPr>
        <w:t>y praxe</w:t>
      </w:r>
    </w:p>
    <w:p w14:paraId="370E88D7" w14:textId="77777777" w:rsidR="004C3EBE" w:rsidRPr="004C3EBE" w:rsidRDefault="004C3EBE" w:rsidP="004C3EBE">
      <w:pPr>
        <w:pStyle w:val="TOC1"/>
      </w:pPr>
      <w:r w:rsidRPr="004C3EBE">
        <w:t xml:space="preserve">Benevolence úprav zadávání veřejných zakázek </w:t>
      </w:r>
    </w:p>
    <w:p w14:paraId="2115692B" w14:textId="77777777" w:rsidR="0083768D" w:rsidRPr="00A44406" w:rsidRDefault="0083768D" w:rsidP="001E717C">
      <w:pPr>
        <w:jc w:val="left"/>
        <w:rPr>
          <w:rFonts w:cs="Arial"/>
          <w:lang w:val="cs-CZ"/>
        </w:rPr>
      </w:pPr>
      <w:r w:rsidRPr="00A44406">
        <w:rPr>
          <w:rFonts w:cs="Arial"/>
          <w:lang w:val="cs-CZ"/>
        </w:rPr>
        <w:t xml:space="preserve">Závěr </w:t>
      </w:r>
    </w:p>
    <w:p w14:paraId="1FBDE374" w14:textId="239E8722" w:rsidR="00D36E21" w:rsidRPr="00A44406" w:rsidRDefault="00D36E21" w:rsidP="001E717C">
      <w:pPr>
        <w:jc w:val="left"/>
        <w:rPr>
          <w:rFonts w:cs="Arial"/>
          <w:lang w:val="cs-CZ"/>
        </w:rPr>
      </w:pPr>
      <w:r w:rsidRPr="00A44406">
        <w:rPr>
          <w:rFonts w:cs="Arial"/>
          <w:lang w:val="cs-CZ"/>
        </w:rPr>
        <w:t>Seznam použití literatury</w:t>
      </w:r>
    </w:p>
    <w:p w14:paraId="4D70533D" w14:textId="77777777" w:rsidR="0083768D" w:rsidRPr="0060208E" w:rsidRDefault="0083768D" w:rsidP="001E717C"/>
    <w:p w14:paraId="28D16687" w14:textId="301A9A6C" w:rsidR="00D12386" w:rsidRDefault="00D12386"/>
    <w:p w14:paraId="3082EA43" w14:textId="77777777" w:rsidR="00D12386" w:rsidRPr="00D12386" w:rsidRDefault="00D12386" w:rsidP="00D12386"/>
    <w:p w14:paraId="32C0B8BF" w14:textId="77777777" w:rsidR="001E717C" w:rsidRDefault="001E717C" w:rsidP="005359E7">
      <w:pPr>
        <w:pStyle w:val="Title"/>
        <w:sectPr w:rsidR="001E717C" w:rsidSect="005D49F0">
          <w:pgSz w:w="11900" w:h="16840"/>
          <w:pgMar w:top="1418" w:right="1134" w:bottom="1418" w:left="1701" w:header="709" w:footer="709" w:gutter="0"/>
          <w:cols w:space="708"/>
          <w:docGrid w:linePitch="360"/>
        </w:sectPr>
      </w:pPr>
    </w:p>
    <w:p w14:paraId="7E9E752B" w14:textId="7961A9EC" w:rsidR="005359E7" w:rsidRPr="002E489A" w:rsidRDefault="00B861F4" w:rsidP="005359E7">
      <w:pPr>
        <w:pStyle w:val="Title"/>
        <w:rPr>
          <w:lang w:val="cs-CZ"/>
        </w:rPr>
      </w:pPr>
      <w:r w:rsidRPr="002E489A">
        <w:rPr>
          <w:lang w:val="cs-CZ"/>
        </w:rPr>
        <w:lastRenderedPageBreak/>
        <w:t xml:space="preserve">Seznam pojmů a zkratek </w:t>
      </w:r>
    </w:p>
    <w:p w14:paraId="4B01F8D4" w14:textId="77777777" w:rsidR="009E057D" w:rsidRDefault="009E057D" w:rsidP="009E057D">
      <w:pPr>
        <w:ind w:left="2880" w:hanging="2880"/>
        <w:rPr>
          <w:lang w:val="cs-CZ"/>
        </w:rPr>
      </w:pPr>
      <w:r>
        <w:rPr>
          <w:lang w:val="cs-CZ"/>
        </w:rPr>
        <w:t>Směrnice 2014/24/EU</w:t>
      </w:r>
      <w:r>
        <w:rPr>
          <w:lang w:val="cs-CZ"/>
        </w:rPr>
        <w:tab/>
        <w:t xml:space="preserve">Směrnice </w:t>
      </w:r>
      <w:r w:rsidRPr="00AB2E16">
        <w:rPr>
          <w:lang w:val="cs-CZ"/>
        </w:rPr>
        <w:t xml:space="preserve">Evropského parlamentu a Rady 2014/24/EU ze dne 26. února 2014 o zadávání </w:t>
      </w:r>
      <w:r>
        <w:rPr>
          <w:lang w:val="cs-CZ"/>
        </w:rPr>
        <w:t>veřejný</w:t>
      </w:r>
      <w:r w:rsidRPr="00AB2E16">
        <w:rPr>
          <w:lang w:val="cs-CZ"/>
        </w:rPr>
        <w:t>ch zakázek a o zrušení směrnice 2004/18/ES</w:t>
      </w:r>
    </w:p>
    <w:p w14:paraId="06DF991F" w14:textId="77777777" w:rsidR="009E057D" w:rsidRDefault="009E057D" w:rsidP="00AB2E16">
      <w:pPr>
        <w:ind w:left="2880" w:hanging="2880"/>
        <w:rPr>
          <w:lang w:val="cs-CZ"/>
        </w:rPr>
      </w:pPr>
    </w:p>
    <w:p w14:paraId="4F968112" w14:textId="797765F9" w:rsidR="00B861F4" w:rsidRDefault="00B861F4" w:rsidP="00AB2E16">
      <w:pPr>
        <w:ind w:left="2880" w:hanging="2880"/>
        <w:rPr>
          <w:lang w:val="cs-CZ"/>
        </w:rPr>
      </w:pPr>
      <w:r w:rsidRPr="00B861F4">
        <w:rPr>
          <w:lang w:val="cs-CZ"/>
        </w:rPr>
        <w:t xml:space="preserve">ZZVZ </w:t>
      </w:r>
      <w:r w:rsidRPr="00B861F4">
        <w:rPr>
          <w:lang w:val="cs-CZ"/>
        </w:rPr>
        <w:tab/>
      </w:r>
      <w:r w:rsidR="00AB2E16">
        <w:rPr>
          <w:lang w:val="cs-CZ"/>
        </w:rPr>
        <w:t>Z</w:t>
      </w:r>
      <w:r w:rsidRPr="00B861F4">
        <w:rPr>
          <w:lang w:val="cs-CZ"/>
        </w:rPr>
        <w:t>ákon č. 1</w:t>
      </w:r>
      <w:r>
        <w:rPr>
          <w:lang w:val="cs-CZ"/>
        </w:rPr>
        <w:t>34/2016 Sb., o zadávání veřejný</w:t>
      </w:r>
      <w:r w:rsidRPr="00B861F4">
        <w:rPr>
          <w:lang w:val="cs-CZ"/>
        </w:rPr>
        <w:t>ch zakázek, ve znění</w:t>
      </w:r>
      <w:r>
        <w:rPr>
          <w:lang w:val="cs-CZ"/>
        </w:rPr>
        <w:t xml:space="preserve"> </w:t>
      </w:r>
      <w:r w:rsidRPr="00B861F4">
        <w:rPr>
          <w:lang w:val="cs-CZ"/>
        </w:rPr>
        <w:t>pozdějších předpisů</w:t>
      </w:r>
    </w:p>
    <w:p w14:paraId="730269C2" w14:textId="77777777" w:rsidR="006A00EF" w:rsidRDefault="006A00EF" w:rsidP="00AB2E16">
      <w:pPr>
        <w:ind w:left="2880" w:hanging="2880"/>
        <w:rPr>
          <w:lang w:val="cs-CZ"/>
        </w:rPr>
      </w:pPr>
    </w:p>
    <w:p w14:paraId="04CAA60B" w14:textId="6D50A140" w:rsidR="005359E7" w:rsidRDefault="005359E7" w:rsidP="00AB2E16">
      <w:pPr>
        <w:ind w:left="2880" w:hanging="2880"/>
        <w:rPr>
          <w:lang w:val="cs-CZ"/>
        </w:rPr>
      </w:pPr>
      <w:r>
        <w:rPr>
          <w:lang w:val="cs-CZ"/>
        </w:rPr>
        <w:t>ZVZ</w:t>
      </w:r>
      <w:r>
        <w:rPr>
          <w:lang w:val="cs-CZ"/>
        </w:rPr>
        <w:tab/>
        <w:t>Zákon č. 137/2006 SB., o veřejných zakázkách, ve znění pozdějších předpisů</w:t>
      </w:r>
    </w:p>
    <w:p w14:paraId="34076A77" w14:textId="77777777" w:rsidR="006A00EF" w:rsidRDefault="006A00EF" w:rsidP="00AB2E16">
      <w:pPr>
        <w:ind w:left="2880" w:hanging="2880"/>
        <w:rPr>
          <w:lang w:val="cs-CZ"/>
        </w:rPr>
      </w:pPr>
    </w:p>
    <w:p w14:paraId="1C15CB20" w14:textId="77777777" w:rsidR="00C428D9" w:rsidRDefault="00C428D9" w:rsidP="00AB2E16">
      <w:pPr>
        <w:ind w:left="2880" w:hanging="2880"/>
        <w:rPr>
          <w:lang w:val="cs-CZ"/>
        </w:rPr>
      </w:pPr>
    </w:p>
    <w:p w14:paraId="57793244" w14:textId="77777777" w:rsidR="0024347F" w:rsidRDefault="0024347F" w:rsidP="00AB2E16">
      <w:pPr>
        <w:ind w:left="2880" w:hanging="2880"/>
        <w:rPr>
          <w:lang w:val="cs-CZ"/>
        </w:rPr>
      </w:pPr>
    </w:p>
    <w:p w14:paraId="660C068A" w14:textId="77777777" w:rsidR="0014224C" w:rsidRPr="00B861F4" w:rsidRDefault="0014224C" w:rsidP="00B861F4">
      <w:pPr>
        <w:ind w:left="2160" w:hanging="2160"/>
        <w:rPr>
          <w:lang w:val="cs-CZ"/>
        </w:rPr>
      </w:pPr>
    </w:p>
    <w:p w14:paraId="5BE25EA9" w14:textId="77777777" w:rsidR="00B861F4" w:rsidRPr="00B861F4" w:rsidRDefault="00B861F4" w:rsidP="00B861F4">
      <w:pPr>
        <w:ind w:left="2160" w:hanging="2160"/>
        <w:rPr>
          <w:lang w:val="cs-CZ"/>
        </w:rPr>
      </w:pPr>
    </w:p>
    <w:p w14:paraId="16567268" w14:textId="77777777" w:rsidR="00B861F4" w:rsidRPr="00B861F4" w:rsidRDefault="00B861F4" w:rsidP="00B861F4">
      <w:pPr>
        <w:rPr>
          <w:lang w:val="cs-CZ"/>
        </w:rPr>
      </w:pPr>
      <w:r w:rsidRPr="00B861F4">
        <w:rPr>
          <w:lang w:val="cs-CZ"/>
        </w:rPr>
        <w:t xml:space="preserve"> </w:t>
      </w:r>
      <w:r w:rsidRPr="00B861F4">
        <w:rPr>
          <w:lang w:val="cs-CZ"/>
        </w:rPr>
        <w:br w:type="page"/>
      </w:r>
    </w:p>
    <w:p w14:paraId="52ABD1E0" w14:textId="56D60E3E" w:rsidR="00D12386" w:rsidRDefault="00D12386" w:rsidP="00D12386">
      <w:pPr>
        <w:pStyle w:val="Heading1"/>
      </w:pPr>
      <w:bookmarkStart w:id="1" w:name="_Toc436130432"/>
      <w:bookmarkStart w:id="2" w:name="_Toc436644045"/>
      <w:r>
        <w:lastRenderedPageBreak/>
        <w:t>Úvod</w:t>
      </w:r>
      <w:bookmarkEnd w:id="1"/>
      <w:bookmarkEnd w:id="2"/>
      <w:r>
        <w:t xml:space="preserve"> </w:t>
      </w:r>
    </w:p>
    <w:p w14:paraId="5E37D945" w14:textId="3048EFB0" w:rsidR="00E7120A" w:rsidRDefault="00B06919" w:rsidP="00742606">
      <w:pPr>
        <w:ind w:firstLine="720"/>
        <w:rPr>
          <w:lang w:val="cs-CZ"/>
        </w:rPr>
      </w:pPr>
      <w:r>
        <w:rPr>
          <w:lang w:val="cs-CZ"/>
        </w:rPr>
        <w:t>„</w:t>
      </w:r>
      <w:r w:rsidRPr="00B06919">
        <w:rPr>
          <w:i/>
          <w:lang w:val="cs-CZ"/>
        </w:rPr>
        <w:t>Veřejné zakázky jsou klíčovým aspektem veřejných investic</w:t>
      </w:r>
      <w:r w:rsidR="004C26E8" w:rsidRPr="00B06919">
        <w:rPr>
          <w:i/>
          <w:lang w:val="cs-CZ"/>
        </w:rPr>
        <w:t>.</w:t>
      </w:r>
      <w:r w:rsidRPr="00B06919">
        <w:rPr>
          <w:i/>
          <w:lang w:val="cs-CZ"/>
        </w:rPr>
        <w:t>“</w:t>
      </w:r>
      <w:r w:rsidR="004C26E8" w:rsidRPr="00B06919">
        <w:rPr>
          <w:rStyle w:val="FootnoteReference"/>
          <w:i/>
          <w:lang w:val="cs-CZ"/>
        </w:rPr>
        <w:footnoteReference w:id="1"/>
      </w:r>
      <w:r w:rsidR="004C26E8">
        <w:rPr>
          <w:lang w:val="cs-CZ"/>
        </w:rPr>
        <w:t xml:space="preserve"> </w:t>
      </w:r>
      <w:r w:rsidR="00275F5D">
        <w:rPr>
          <w:lang w:val="cs-CZ"/>
        </w:rPr>
        <w:t>Více než 250 </w:t>
      </w:r>
      <w:r w:rsidR="00A8373F">
        <w:rPr>
          <w:lang w:val="cs-CZ"/>
        </w:rPr>
        <w:t>000 veřejných orgánů v </w:t>
      </w:r>
      <w:r w:rsidR="004875ED">
        <w:rPr>
          <w:lang w:val="cs-CZ"/>
        </w:rPr>
        <w:t>E</w:t>
      </w:r>
      <w:r w:rsidR="00A8373F">
        <w:rPr>
          <w:lang w:val="cs-CZ"/>
        </w:rPr>
        <w:t>vropské unii utratí každým rokem kolem 14</w:t>
      </w:r>
      <w:r w:rsidR="004875ED">
        <w:rPr>
          <w:lang w:val="cs-CZ"/>
        </w:rPr>
        <w:t xml:space="preserve"> </w:t>
      </w:r>
      <w:r w:rsidR="00A8373F">
        <w:rPr>
          <w:lang w:val="cs-CZ"/>
        </w:rPr>
        <w:t>% hrubého domácího produktu, což jsou přibližně 2 biliony</w:t>
      </w:r>
      <w:r w:rsidR="00E4384C">
        <w:rPr>
          <w:lang w:val="cs-CZ"/>
        </w:rPr>
        <w:t xml:space="preserve"> EURO</w:t>
      </w:r>
      <w:r w:rsidR="00BA5441">
        <w:rPr>
          <w:rStyle w:val="FootnoteReference"/>
          <w:lang w:val="cs-CZ"/>
        </w:rPr>
        <w:footnoteReference w:id="2"/>
      </w:r>
      <w:r w:rsidR="00E4384C">
        <w:rPr>
          <w:lang w:val="cs-CZ"/>
        </w:rPr>
        <w:t xml:space="preserve"> ročně, na nákup služeb, stav</w:t>
      </w:r>
      <w:r w:rsidR="00A8373F">
        <w:rPr>
          <w:lang w:val="cs-CZ"/>
        </w:rPr>
        <w:t>eb</w:t>
      </w:r>
      <w:r w:rsidR="00742606">
        <w:rPr>
          <w:lang w:val="cs-CZ"/>
        </w:rPr>
        <w:t xml:space="preserve"> a dodávek. O</w:t>
      </w:r>
      <w:r w:rsidR="00BC193E">
        <w:rPr>
          <w:lang w:val="cs-CZ"/>
        </w:rPr>
        <w:t>dvětví</w:t>
      </w:r>
      <w:r w:rsidR="00742606">
        <w:rPr>
          <w:lang w:val="cs-CZ"/>
        </w:rPr>
        <w:t>,</w:t>
      </w:r>
      <w:r w:rsidR="00BC193E">
        <w:rPr>
          <w:lang w:val="cs-CZ"/>
        </w:rPr>
        <w:t xml:space="preserve"> jako je energetika, doprava, vzdělávací služby, či sociální a zdravotní o</w:t>
      </w:r>
      <w:r w:rsidR="00742606">
        <w:rPr>
          <w:lang w:val="cs-CZ"/>
        </w:rPr>
        <w:t>chrana, jsou právě hlavní oblasti</w:t>
      </w:r>
      <w:r w:rsidR="00742B9E">
        <w:rPr>
          <w:lang w:val="cs-CZ"/>
        </w:rPr>
        <w:t xml:space="preserve">, kde </w:t>
      </w:r>
      <w:r w:rsidR="00DA643E">
        <w:rPr>
          <w:lang w:val="cs-CZ"/>
        </w:rPr>
        <w:t xml:space="preserve">orgány veřejné správy </w:t>
      </w:r>
      <w:r w:rsidR="00742B9E">
        <w:rPr>
          <w:lang w:val="cs-CZ"/>
        </w:rPr>
        <w:t>zadávají veřejné zakázky</w:t>
      </w:r>
      <w:r w:rsidR="00DA643E">
        <w:rPr>
          <w:lang w:val="cs-CZ"/>
        </w:rPr>
        <w:t xml:space="preserve">. </w:t>
      </w:r>
      <w:r w:rsidR="00BC193E">
        <w:rPr>
          <w:lang w:val="cs-CZ"/>
        </w:rPr>
        <w:t>Veřejný sektor může pomocí veřejných zakázek podpořit vznik nových pracovních míst, růst investic či vytvořit ino</w:t>
      </w:r>
      <w:r w:rsidR="005B5702">
        <w:rPr>
          <w:lang w:val="cs-CZ"/>
        </w:rPr>
        <w:t>vativní a účinnější hospodářství.</w:t>
      </w:r>
      <w:r w:rsidR="00BC193E">
        <w:rPr>
          <w:rStyle w:val="FootnoteReference"/>
          <w:lang w:val="cs-CZ"/>
        </w:rPr>
        <w:footnoteReference w:id="3"/>
      </w:r>
      <w:r w:rsidR="00C06A7B">
        <w:rPr>
          <w:lang w:val="cs-CZ"/>
        </w:rPr>
        <w:t xml:space="preserve">Veřejné zakázky představují </w:t>
      </w:r>
      <w:r w:rsidR="00094C80">
        <w:rPr>
          <w:lang w:val="cs-CZ"/>
        </w:rPr>
        <w:t>nedílnou so</w:t>
      </w:r>
      <w:r w:rsidR="00742606">
        <w:rPr>
          <w:lang w:val="cs-CZ"/>
        </w:rPr>
        <w:t xml:space="preserve">učást dnešní společnosti, </w:t>
      </w:r>
      <w:r w:rsidR="00717300">
        <w:rPr>
          <w:lang w:val="cs-CZ"/>
        </w:rPr>
        <w:t xml:space="preserve"> jejich</w:t>
      </w:r>
      <w:r w:rsidR="00DA643E">
        <w:rPr>
          <w:lang w:val="cs-CZ"/>
        </w:rPr>
        <w:t>ž</w:t>
      </w:r>
      <w:r w:rsidR="00717300">
        <w:rPr>
          <w:lang w:val="cs-CZ"/>
        </w:rPr>
        <w:t xml:space="preserve"> prostřednictvím se vynaklá</w:t>
      </w:r>
      <w:r w:rsidR="00742606">
        <w:rPr>
          <w:lang w:val="cs-CZ"/>
        </w:rPr>
        <w:t xml:space="preserve">dají značné veřejné prostředky </w:t>
      </w:r>
      <w:r w:rsidR="00C956CA">
        <w:rPr>
          <w:lang w:val="cs-CZ"/>
        </w:rPr>
        <w:t>pro zajištěn</w:t>
      </w:r>
      <w:r w:rsidR="00742606">
        <w:rPr>
          <w:lang w:val="cs-CZ"/>
        </w:rPr>
        <w:t>í každodenního fungování. N</w:t>
      </w:r>
      <w:r w:rsidR="007B23B5">
        <w:rPr>
          <w:lang w:val="cs-CZ"/>
        </w:rPr>
        <w:t xml:space="preserve">ezáleží na tom, zda se </w:t>
      </w:r>
      <w:r w:rsidR="00E7120A">
        <w:rPr>
          <w:lang w:val="cs-CZ"/>
        </w:rPr>
        <w:t xml:space="preserve">jedná o </w:t>
      </w:r>
      <w:r w:rsidR="00742606">
        <w:rPr>
          <w:lang w:val="cs-CZ"/>
        </w:rPr>
        <w:t>existenci běžných občanů, malých podnikatelů či velkých</w:t>
      </w:r>
      <w:r w:rsidR="00E7120A">
        <w:rPr>
          <w:lang w:val="cs-CZ"/>
        </w:rPr>
        <w:t xml:space="preserve"> nadnárodní</w:t>
      </w:r>
      <w:r w:rsidR="00742606">
        <w:rPr>
          <w:lang w:val="cs-CZ"/>
        </w:rPr>
        <w:t>ch společností</w:t>
      </w:r>
      <w:r w:rsidR="00E7120A">
        <w:rPr>
          <w:lang w:val="cs-CZ"/>
        </w:rPr>
        <w:t>.</w:t>
      </w:r>
      <w:r w:rsidR="0089200F">
        <w:rPr>
          <w:lang w:val="cs-CZ"/>
        </w:rPr>
        <w:t xml:space="preserve"> </w:t>
      </w:r>
      <w:r w:rsidR="0052134F">
        <w:rPr>
          <w:lang w:val="cs-CZ"/>
        </w:rPr>
        <w:t xml:space="preserve">Veřejné zakázky jsou součástí dnešní doby nejen z pohledu finančního, ale zejména z pohledu politického. Jedná se o jedno z velmi sledovaných a diskutovaných témat dnešní doby. </w:t>
      </w:r>
    </w:p>
    <w:p w14:paraId="3422A1B3" w14:textId="5B1AFC00" w:rsidR="004356F7" w:rsidRDefault="004356F7" w:rsidP="00C942E5">
      <w:pPr>
        <w:ind w:firstLine="720"/>
        <w:rPr>
          <w:lang w:val="cs-CZ"/>
        </w:rPr>
      </w:pPr>
      <w:r>
        <w:rPr>
          <w:lang w:val="cs-CZ"/>
        </w:rPr>
        <w:t>Na úrovní evropské unie se hovoří o veřejných zakázkách jako o jednom z tržně založených nástrojů, díky němu se dá dosáhnout inteligentního</w:t>
      </w:r>
      <w:r w:rsidR="00D12386">
        <w:rPr>
          <w:lang w:val="cs-CZ"/>
        </w:rPr>
        <w:t xml:space="preserve"> a udržitelného růstu</w:t>
      </w:r>
      <w:r w:rsidR="00457AA9">
        <w:rPr>
          <w:lang w:val="cs-CZ"/>
        </w:rPr>
        <w:t xml:space="preserve">, </w:t>
      </w:r>
      <w:r w:rsidR="00DA643E">
        <w:rPr>
          <w:lang w:val="cs-CZ"/>
        </w:rPr>
        <w:t>který je nezbytný</w:t>
      </w:r>
      <w:r w:rsidR="00D12386">
        <w:rPr>
          <w:lang w:val="cs-CZ"/>
        </w:rPr>
        <w:t xml:space="preserve"> k začlenění a</w:t>
      </w:r>
      <w:r>
        <w:rPr>
          <w:lang w:val="cs-CZ"/>
        </w:rPr>
        <w:t xml:space="preserve"> co nejefektivnějšímu využití veřejných prostředků. Tohoto cíle lze dosáhnout jen a pouze pokud zadávání veřejných zakázek bude v souladu se zásadami zakotvenými ve Smlouvě o fungování Evropské unie, a to zásadami volného </w:t>
      </w:r>
      <w:r w:rsidR="00457AA9">
        <w:rPr>
          <w:lang w:val="cs-CZ"/>
        </w:rPr>
        <w:t>pohybu zboží, služeb</w:t>
      </w:r>
      <w:r w:rsidR="00DA643E">
        <w:rPr>
          <w:lang w:val="cs-CZ"/>
        </w:rPr>
        <w:t>. N</w:t>
      </w:r>
      <w:r>
        <w:rPr>
          <w:lang w:val="cs-CZ"/>
        </w:rPr>
        <w:t xml:space="preserve">esmí </w:t>
      </w:r>
      <w:r w:rsidR="00DA643E">
        <w:rPr>
          <w:lang w:val="cs-CZ"/>
        </w:rPr>
        <w:t xml:space="preserve">se </w:t>
      </w:r>
      <w:r>
        <w:rPr>
          <w:lang w:val="cs-CZ"/>
        </w:rPr>
        <w:t>zapomínat ani na zásady rovného zacházení, zákazu diskriminace, vzáj</w:t>
      </w:r>
      <w:r w:rsidR="00457AA9">
        <w:rPr>
          <w:lang w:val="cs-CZ"/>
        </w:rPr>
        <w:t>emného uznávání, proporcionalitě</w:t>
      </w:r>
      <w:r>
        <w:rPr>
          <w:lang w:val="cs-CZ"/>
        </w:rPr>
        <w:t xml:space="preserve"> a transparentnosti.</w:t>
      </w:r>
      <w:r>
        <w:rPr>
          <w:rStyle w:val="FootnoteReference"/>
          <w:lang w:val="cs-CZ"/>
        </w:rPr>
        <w:footnoteReference w:id="4"/>
      </w:r>
    </w:p>
    <w:p w14:paraId="663D1787" w14:textId="06093C32" w:rsidR="0052134F" w:rsidRDefault="00275F5D" w:rsidP="00C942E5">
      <w:pPr>
        <w:ind w:firstLine="720"/>
        <w:rPr>
          <w:rFonts w:cs="Arial"/>
          <w:shd w:val="clear" w:color="auto" w:fill="FFFFFF"/>
          <w:lang w:val="cs-CZ"/>
        </w:rPr>
      </w:pPr>
      <w:r>
        <w:rPr>
          <w:lang w:val="cs-CZ"/>
        </w:rPr>
        <w:t xml:space="preserve">Předmětem práce je analyzovat rozdíly mezi právní úpravou zadávání veřejných zakázek v evropském a na druhé straně v českém právu. </w:t>
      </w:r>
      <w:r>
        <w:rPr>
          <w:rFonts w:cs="Arial"/>
          <w:shd w:val="clear" w:color="auto" w:fill="FFFFFF"/>
          <w:lang w:val="cs-CZ"/>
        </w:rPr>
        <w:t xml:space="preserve"> </w:t>
      </w:r>
      <w:r>
        <w:rPr>
          <w:lang w:val="cs-CZ"/>
        </w:rPr>
        <w:t>Prvním c</w:t>
      </w:r>
      <w:r w:rsidR="00262484">
        <w:rPr>
          <w:lang w:val="cs-CZ"/>
        </w:rPr>
        <w:t>ílem</w:t>
      </w:r>
      <w:r w:rsidR="00457AA9">
        <w:rPr>
          <w:lang w:val="cs-CZ"/>
        </w:rPr>
        <w:t xml:space="preserve"> </w:t>
      </w:r>
      <w:r w:rsidR="00D36E21">
        <w:rPr>
          <w:lang w:val="cs-CZ"/>
        </w:rPr>
        <w:t xml:space="preserve">diplomové práce je seznámení se způsobem </w:t>
      </w:r>
      <w:r w:rsidR="00E7120A">
        <w:rPr>
          <w:lang w:val="cs-CZ"/>
        </w:rPr>
        <w:t>zadávání nadlimitních veřejných zakázek v unijním a českém právu, se</w:t>
      </w:r>
      <w:r w:rsidR="00D77587">
        <w:rPr>
          <w:lang w:val="cs-CZ"/>
        </w:rPr>
        <w:t xml:space="preserve"> zaměřením na otevřené řízení. </w:t>
      </w:r>
      <w:r w:rsidR="00262484">
        <w:rPr>
          <w:rFonts w:cs="Arial"/>
          <w:shd w:val="clear" w:color="auto" w:fill="FFFFFF"/>
          <w:lang w:val="cs-CZ"/>
        </w:rPr>
        <w:t>Diplomová</w:t>
      </w:r>
      <w:r w:rsidR="00457AA9">
        <w:rPr>
          <w:rFonts w:cs="Arial"/>
          <w:shd w:val="clear" w:color="auto" w:fill="FFFFFF"/>
          <w:lang w:val="cs-CZ"/>
        </w:rPr>
        <w:t xml:space="preserve"> práce </w:t>
      </w:r>
      <w:r>
        <w:rPr>
          <w:rFonts w:cs="Arial"/>
          <w:shd w:val="clear" w:color="auto" w:fill="FFFFFF"/>
          <w:lang w:val="cs-CZ"/>
        </w:rPr>
        <w:t>má za úkol</w:t>
      </w:r>
      <w:r w:rsidR="00262484">
        <w:rPr>
          <w:rFonts w:cs="Arial"/>
          <w:shd w:val="clear" w:color="auto" w:fill="FFFFFF"/>
          <w:lang w:val="cs-CZ"/>
        </w:rPr>
        <w:t xml:space="preserve"> nastínit možnosti</w:t>
      </w:r>
      <w:r w:rsidR="00C956CA">
        <w:rPr>
          <w:rFonts w:cs="Arial"/>
          <w:shd w:val="clear" w:color="auto" w:fill="FFFFFF"/>
          <w:lang w:val="cs-CZ"/>
        </w:rPr>
        <w:t xml:space="preserve"> jak nejlépe</w:t>
      </w:r>
      <w:r w:rsidR="00DA643E">
        <w:rPr>
          <w:rFonts w:cs="Arial"/>
          <w:shd w:val="clear" w:color="auto" w:fill="FFFFFF"/>
          <w:lang w:val="cs-CZ"/>
        </w:rPr>
        <w:t>, zejména bez chyb</w:t>
      </w:r>
      <w:r w:rsidR="00C956CA">
        <w:rPr>
          <w:rFonts w:cs="Arial"/>
          <w:shd w:val="clear" w:color="auto" w:fill="FFFFFF"/>
          <w:lang w:val="cs-CZ"/>
        </w:rPr>
        <w:t xml:space="preserve"> a efe</w:t>
      </w:r>
      <w:r w:rsidR="009117E2">
        <w:rPr>
          <w:rFonts w:cs="Arial"/>
          <w:shd w:val="clear" w:color="auto" w:fill="FFFFFF"/>
          <w:lang w:val="cs-CZ"/>
        </w:rPr>
        <w:t>ktivně</w:t>
      </w:r>
      <w:r w:rsidR="00DA643E">
        <w:rPr>
          <w:rFonts w:cs="Arial"/>
          <w:shd w:val="clear" w:color="auto" w:fill="FFFFFF"/>
          <w:lang w:val="cs-CZ"/>
        </w:rPr>
        <w:t>,</w:t>
      </w:r>
      <w:r w:rsidR="009117E2">
        <w:rPr>
          <w:rFonts w:cs="Arial"/>
          <w:shd w:val="clear" w:color="auto" w:fill="FFFFFF"/>
          <w:lang w:val="cs-CZ"/>
        </w:rPr>
        <w:t xml:space="preserve"> </w:t>
      </w:r>
      <w:r w:rsidR="009117E2">
        <w:rPr>
          <w:rFonts w:cs="Arial"/>
          <w:shd w:val="clear" w:color="auto" w:fill="FFFFFF"/>
          <w:lang w:val="cs-CZ"/>
        </w:rPr>
        <w:lastRenderedPageBreak/>
        <w:t>zadávat veřejné zakázky</w:t>
      </w:r>
      <w:r w:rsidR="00DA643E">
        <w:rPr>
          <w:rFonts w:cs="Arial"/>
          <w:shd w:val="clear" w:color="auto" w:fill="FFFFFF"/>
          <w:lang w:val="cs-CZ"/>
        </w:rPr>
        <w:t>,</w:t>
      </w:r>
      <w:r w:rsidR="009117E2">
        <w:rPr>
          <w:rFonts w:cs="Arial"/>
          <w:shd w:val="clear" w:color="auto" w:fill="FFFFFF"/>
          <w:lang w:val="cs-CZ"/>
        </w:rPr>
        <w:t xml:space="preserve"> a taktéž i nejjednodušší </w:t>
      </w:r>
      <w:r w:rsidR="0052134F">
        <w:rPr>
          <w:rFonts w:cs="Arial"/>
          <w:shd w:val="clear" w:color="auto" w:fill="FFFFFF"/>
          <w:lang w:val="cs-CZ"/>
        </w:rPr>
        <w:t>postup pro zadavate</w:t>
      </w:r>
      <w:r w:rsidR="00671B63">
        <w:rPr>
          <w:rFonts w:cs="Arial"/>
          <w:shd w:val="clear" w:color="auto" w:fill="FFFFFF"/>
          <w:lang w:val="cs-CZ"/>
        </w:rPr>
        <w:t xml:space="preserve">le veřejné zakázky, zejména s ohledem na praxi. V neposlední řadě se tato práce </w:t>
      </w:r>
      <w:r w:rsidR="00457AA9">
        <w:rPr>
          <w:rFonts w:cs="Arial"/>
          <w:shd w:val="clear" w:color="auto" w:fill="FFFFFF"/>
          <w:lang w:val="cs-CZ"/>
        </w:rPr>
        <w:t>zaobírá</w:t>
      </w:r>
      <w:r w:rsidR="00671B63">
        <w:rPr>
          <w:rFonts w:cs="Arial"/>
          <w:shd w:val="clear" w:color="auto" w:fill="FFFFFF"/>
          <w:lang w:val="cs-CZ"/>
        </w:rPr>
        <w:t xml:space="preserve"> benevolencí </w:t>
      </w:r>
      <w:r w:rsidR="00EF4861">
        <w:rPr>
          <w:rFonts w:cs="Arial"/>
          <w:shd w:val="clear" w:color="auto" w:fill="FFFFFF"/>
          <w:lang w:val="cs-CZ"/>
        </w:rPr>
        <w:t xml:space="preserve">obou </w:t>
      </w:r>
      <w:r w:rsidR="00457AA9">
        <w:rPr>
          <w:rFonts w:cs="Arial"/>
          <w:shd w:val="clear" w:color="auto" w:fill="FFFFFF"/>
          <w:lang w:val="cs-CZ"/>
        </w:rPr>
        <w:t>úprav, z</w:t>
      </w:r>
      <w:r w:rsidR="00671B63">
        <w:rPr>
          <w:rFonts w:cs="Arial"/>
          <w:shd w:val="clear" w:color="auto" w:fill="FFFFFF"/>
          <w:lang w:val="cs-CZ"/>
        </w:rPr>
        <w:t>da je shoví</w:t>
      </w:r>
      <w:r w:rsidR="008D46F9">
        <w:rPr>
          <w:rFonts w:cs="Arial"/>
          <w:shd w:val="clear" w:color="auto" w:fill="FFFFFF"/>
          <w:lang w:val="cs-CZ"/>
        </w:rPr>
        <w:t xml:space="preserve">vavější </w:t>
      </w:r>
      <w:r w:rsidR="009117E2">
        <w:rPr>
          <w:rFonts w:cs="Arial"/>
          <w:shd w:val="clear" w:color="auto" w:fill="FFFFFF"/>
          <w:lang w:val="cs-CZ"/>
        </w:rPr>
        <w:t xml:space="preserve">evropské či </w:t>
      </w:r>
      <w:r w:rsidR="008D46F9">
        <w:rPr>
          <w:rFonts w:cs="Arial"/>
          <w:shd w:val="clear" w:color="auto" w:fill="FFFFFF"/>
          <w:lang w:val="cs-CZ"/>
        </w:rPr>
        <w:t>české právo.</w:t>
      </w:r>
      <w:r w:rsidR="00671B63">
        <w:rPr>
          <w:rFonts w:cs="Arial"/>
          <w:shd w:val="clear" w:color="auto" w:fill="FFFFFF"/>
          <w:lang w:val="cs-CZ"/>
        </w:rPr>
        <w:t xml:space="preserve"> </w:t>
      </w:r>
      <w:r w:rsidR="00706BD2">
        <w:rPr>
          <w:rFonts w:cs="Arial"/>
          <w:shd w:val="clear" w:color="auto" w:fill="FFFFFF"/>
          <w:lang w:val="cs-CZ"/>
        </w:rPr>
        <w:t>Druhým cílem diplomové práce je poukázání</w:t>
      </w:r>
      <w:r w:rsidR="00262484">
        <w:rPr>
          <w:rFonts w:cs="Arial"/>
          <w:shd w:val="clear" w:color="auto" w:fill="FFFFFF"/>
          <w:lang w:val="cs-CZ"/>
        </w:rPr>
        <w:t xml:space="preserve"> na nejčastější chyby zadavatelů při zadávání veřejných zakázek a </w:t>
      </w:r>
      <w:r w:rsidR="00706BD2">
        <w:rPr>
          <w:rFonts w:cs="Arial"/>
          <w:shd w:val="clear" w:color="auto" w:fill="FFFFFF"/>
          <w:lang w:val="cs-CZ"/>
        </w:rPr>
        <w:t>naznačení možných způsobů</w:t>
      </w:r>
      <w:r w:rsidR="00FC2DC3">
        <w:rPr>
          <w:rFonts w:cs="Arial"/>
          <w:shd w:val="clear" w:color="auto" w:fill="FFFFFF"/>
          <w:lang w:val="cs-CZ"/>
        </w:rPr>
        <w:t xml:space="preserve"> řešení těchto chyb. </w:t>
      </w:r>
    </w:p>
    <w:p w14:paraId="1AC11468" w14:textId="04924A98" w:rsidR="0052134F" w:rsidRDefault="00E57D5B" w:rsidP="00E57D5B">
      <w:pPr>
        <w:ind w:firstLine="720"/>
        <w:rPr>
          <w:rFonts w:cs="Arial"/>
          <w:shd w:val="clear" w:color="auto" w:fill="FFFFFF"/>
          <w:lang w:val="cs-CZ"/>
        </w:rPr>
      </w:pPr>
      <w:r>
        <w:rPr>
          <w:rFonts w:cs="Arial"/>
          <w:shd w:val="clear" w:color="auto" w:fill="FFFFFF"/>
          <w:lang w:val="cs-CZ"/>
        </w:rPr>
        <w:t xml:space="preserve">Disertační práce užívá metody analýzy, deskripce, komparace a dedukce. </w:t>
      </w:r>
      <w:r w:rsidR="00671B63">
        <w:rPr>
          <w:rFonts w:cs="Arial"/>
          <w:shd w:val="clear" w:color="auto" w:fill="FFFFFF"/>
          <w:lang w:val="cs-CZ"/>
        </w:rPr>
        <w:t xml:space="preserve">Diplomová práce </w:t>
      </w:r>
      <w:r w:rsidR="008D7234">
        <w:rPr>
          <w:rFonts w:cs="Arial"/>
          <w:shd w:val="clear" w:color="auto" w:fill="FFFFFF"/>
          <w:lang w:val="cs-CZ"/>
        </w:rPr>
        <w:t>je analýzou a deskripcí zadávacího řízení obsaženého v</w:t>
      </w:r>
      <w:r w:rsidR="009117E2">
        <w:rPr>
          <w:rFonts w:cs="Arial"/>
          <w:shd w:val="clear" w:color="auto" w:fill="FFFFFF"/>
          <w:lang w:val="cs-CZ"/>
        </w:rPr>
        <w:t xml:space="preserve"> unijní úpravě v podobě </w:t>
      </w:r>
      <w:r w:rsidR="00742B9E">
        <w:rPr>
          <w:lang w:val="cs-CZ"/>
        </w:rPr>
        <w:t xml:space="preserve">Směrnice </w:t>
      </w:r>
      <w:r w:rsidR="00742B9E" w:rsidRPr="00AB2E16">
        <w:rPr>
          <w:lang w:val="cs-CZ"/>
        </w:rPr>
        <w:t xml:space="preserve">Evropského parlamentu a Rady 2014/24/EU ze dne 26. února 2014 o zadávání </w:t>
      </w:r>
      <w:r w:rsidR="00742B9E">
        <w:rPr>
          <w:lang w:val="cs-CZ"/>
        </w:rPr>
        <w:t>veřejný</w:t>
      </w:r>
      <w:r w:rsidR="00742B9E" w:rsidRPr="00AB2E16">
        <w:rPr>
          <w:lang w:val="cs-CZ"/>
        </w:rPr>
        <w:t>ch zakázek a o zrušení směrnice 2004/18/ES</w:t>
      </w:r>
      <w:r w:rsidR="009117E2">
        <w:rPr>
          <w:rFonts w:cs="Arial"/>
          <w:shd w:val="clear" w:color="auto" w:fill="FFFFFF"/>
          <w:lang w:val="cs-CZ"/>
        </w:rPr>
        <w:t xml:space="preserve">, </w:t>
      </w:r>
      <w:r w:rsidR="009117E2" w:rsidRPr="00A77A4E">
        <w:rPr>
          <w:rFonts w:cs="Arial"/>
          <w:shd w:val="clear" w:color="auto" w:fill="FFFFFF"/>
          <w:lang w:val="cs-CZ"/>
        </w:rPr>
        <w:t xml:space="preserve">ale též </w:t>
      </w:r>
      <w:r w:rsidR="00A77A4E">
        <w:rPr>
          <w:rFonts w:cs="Arial"/>
          <w:shd w:val="clear" w:color="auto" w:fill="FFFFFF"/>
          <w:lang w:val="cs-CZ"/>
        </w:rPr>
        <w:t xml:space="preserve">analýzou chyb zadávací dokumentace veřejných zadavatelů. </w:t>
      </w:r>
    </w:p>
    <w:p w14:paraId="0297F2A8" w14:textId="7301E40E" w:rsidR="00BC193E" w:rsidRPr="00C942E5" w:rsidRDefault="00A46436" w:rsidP="00FD0251">
      <w:pPr>
        <w:ind w:firstLine="720"/>
        <w:rPr>
          <w:lang w:val="cs-CZ"/>
        </w:rPr>
      </w:pPr>
      <w:r w:rsidRPr="00DA526A">
        <w:rPr>
          <w:rFonts w:cs="Arial"/>
          <w:shd w:val="clear" w:color="auto" w:fill="FFFFFF"/>
          <w:lang w:val="cs-CZ"/>
        </w:rPr>
        <w:t>Zá</w:t>
      </w:r>
      <w:r w:rsidR="009117E2" w:rsidRPr="00DA526A">
        <w:rPr>
          <w:rFonts w:cs="Arial"/>
          <w:shd w:val="clear" w:color="auto" w:fill="FFFFFF"/>
          <w:lang w:val="cs-CZ"/>
        </w:rPr>
        <w:t>vě</w:t>
      </w:r>
      <w:r w:rsidR="003C797B">
        <w:rPr>
          <w:rFonts w:cs="Arial"/>
          <w:shd w:val="clear" w:color="auto" w:fill="FFFFFF"/>
          <w:lang w:val="cs-CZ"/>
        </w:rPr>
        <w:t xml:space="preserve">rečná práce je rozdělena do čtyř </w:t>
      </w:r>
      <w:r w:rsidRPr="00DA526A">
        <w:rPr>
          <w:rFonts w:cs="Arial"/>
          <w:shd w:val="clear" w:color="auto" w:fill="FFFFFF"/>
          <w:lang w:val="cs-CZ"/>
        </w:rPr>
        <w:t xml:space="preserve">kapitol. Po stručném úvodu se práce zabývá </w:t>
      </w:r>
      <w:r w:rsidR="00D36E21">
        <w:rPr>
          <w:rFonts w:cs="Arial"/>
          <w:shd w:val="clear" w:color="auto" w:fill="FFFFFF"/>
          <w:lang w:val="cs-CZ"/>
        </w:rPr>
        <w:t>definicí</w:t>
      </w:r>
      <w:r w:rsidR="00B35795" w:rsidRPr="00DA526A">
        <w:rPr>
          <w:rFonts w:cs="Arial"/>
          <w:shd w:val="clear" w:color="auto" w:fill="FFFFFF"/>
          <w:lang w:val="cs-CZ"/>
        </w:rPr>
        <w:t xml:space="preserve"> veřejných zakázek, jako </w:t>
      </w:r>
      <w:r w:rsidR="0056433B">
        <w:rPr>
          <w:rFonts w:cs="Arial"/>
          <w:shd w:val="clear" w:color="auto" w:fill="FFFFFF"/>
          <w:lang w:val="cs-CZ"/>
        </w:rPr>
        <w:t>je pojem</w:t>
      </w:r>
      <w:r w:rsidR="00B35795" w:rsidRPr="00DA526A">
        <w:rPr>
          <w:rFonts w:cs="Arial"/>
          <w:shd w:val="clear" w:color="auto" w:fill="FFFFFF"/>
          <w:lang w:val="cs-CZ"/>
        </w:rPr>
        <w:t xml:space="preserve"> veřejná zakázka, jejich druhy </w:t>
      </w:r>
      <w:r w:rsidRPr="00DA526A">
        <w:rPr>
          <w:rFonts w:cs="Arial"/>
          <w:shd w:val="clear" w:color="auto" w:fill="FFFFFF"/>
          <w:lang w:val="cs-CZ"/>
        </w:rPr>
        <w:t xml:space="preserve">a obecnými způsoby zadávání. </w:t>
      </w:r>
      <w:r w:rsidR="00DA526A">
        <w:rPr>
          <w:rFonts w:cs="Arial"/>
          <w:shd w:val="clear" w:color="auto" w:fill="FFFFFF"/>
          <w:lang w:val="cs-CZ"/>
        </w:rPr>
        <w:t>Druhá kapitola se zaměřuje na zadávání veřejných zakázek v nadlimitním režimu, a to všemi způsoby zadávání, jakými může být nadlimitní veřejná zaká</w:t>
      </w:r>
      <w:r w:rsidR="00457AA9">
        <w:rPr>
          <w:rFonts w:cs="Arial"/>
          <w:shd w:val="clear" w:color="auto" w:fill="FFFFFF"/>
          <w:lang w:val="cs-CZ"/>
        </w:rPr>
        <w:t>zka zadávána. V této kapitole se</w:t>
      </w:r>
      <w:r w:rsidR="00DA526A">
        <w:rPr>
          <w:rFonts w:cs="Arial"/>
          <w:shd w:val="clear" w:color="auto" w:fill="FFFFFF"/>
          <w:lang w:val="cs-CZ"/>
        </w:rPr>
        <w:t xml:space="preserve"> zaměřuji na porovnání </w:t>
      </w:r>
      <w:r w:rsidR="00E91DDC">
        <w:rPr>
          <w:rFonts w:cs="Arial"/>
          <w:shd w:val="clear" w:color="auto" w:fill="FFFFFF"/>
          <w:lang w:val="cs-CZ"/>
        </w:rPr>
        <w:t xml:space="preserve">zadávání veřejné zakázky </w:t>
      </w:r>
      <w:r w:rsidR="00D36E21">
        <w:rPr>
          <w:rFonts w:cs="Arial"/>
          <w:shd w:val="clear" w:color="auto" w:fill="FFFFFF"/>
          <w:lang w:val="cs-CZ"/>
        </w:rPr>
        <w:t xml:space="preserve">podle Směrnice 2014/24/EU </w:t>
      </w:r>
      <w:r w:rsidR="00457AA9">
        <w:rPr>
          <w:rFonts w:cs="Arial"/>
          <w:shd w:val="clear" w:color="auto" w:fill="FFFFFF"/>
          <w:lang w:val="cs-CZ"/>
        </w:rPr>
        <w:t>proti z</w:t>
      </w:r>
      <w:r w:rsidR="00E91DDC">
        <w:rPr>
          <w:rFonts w:cs="Arial"/>
          <w:shd w:val="clear" w:color="auto" w:fill="FFFFFF"/>
          <w:lang w:val="cs-CZ"/>
        </w:rPr>
        <w:t>ákonu o zadávání veřejných zakázek</w:t>
      </w:r>
      <w:r w:rsidR="003C797B">
        <w:rPr>
          <w:rFonts w:cs="Arial"/>
          <w:shd w:val="clear" w:color="auto" w:fill="FFFFFF"/>
          <w:lang w:val="cs-CZ"/>
        </w:rPr>
        <w:t xml:space="preserve"> společně s nejčastějšími problémy, které zadavatele trápí a jimiž chybují při zadávání veřejných zakázek u jednotlivých druhů zadávacího řízení. Ráda bych se na problematiku chyb v zadávacím řízení v této kapitole podívala zejména z hlediska judikatury Soudního dvora </w:t>
      </w:r>
      <w:r w:rsidR="004875ED">
        <w:rPr>
          <w:rFonts w:cs="Arial"/>
          <w:shd w:val="clear" w:color="auto" w:fill="FFFFFF"/>
          <w:lang w:val="cs-CZ"/>
        </w:rPr>
        <w:t>E</w:t>
      </w:r>
      <w:r w:rsidR="003C797B">
        <w:rPr>
          <w:rFonts w:cs="Arial"/>
          <w:shd w:val="clear" w:color="auto" w:fill="FFFFFF"/>
          <w:lang w:val="cs-CZ"/>
        </w:rPr>
        <w:t>vropské unie</w:t>
      </w:r>
      <w:r w:rsidR="00E91DDC">
        <w:rPr>
          <w:rFonts w:cs="Arial"/>
          <w:shd w:val="clear" w:color="auto" w:fill="FFFFFF"/>
          <w:lang w:val="cs-CZ"/>
        </w:rPr>
        <w:t>. Ve druhé kapitole se zejména zaměřím na otevřený způsob zadávání veřejné zakázky.</w:t>
      </w:r>
      <w:r w:rsidR="00DA526A">
        <w:rPr>
          <w:rFonts w:cs="Arial"/>
          <w:shd w:val="clear" w:color="auto" w:fill="FFFFFF"/>
          <w:lang w:val="cs-CZ"/>
        </w:rPr>
        <w:t xml:space="preserve"> </w:t>
      </w:r>
      <w:r w:rsidRPr="003C797B">
        <w:rPr>
          <w:rFonts w:cs="Arial"/>
          <w:shd w:val="clear" w:color="auto" w:fill="FFFFFF"/>
          <w:lang w:val="cs-CZ"/>
        </w:rPr>
        <w:t xml:space="preserve">Třetí nevýznamnější kapitola analyzuje a popisuje </w:t>
      </w:r>
      <w:r w:rsidR="0056433B">
        <w:rPr>
          <w:rFonts w:cs="Arial"/>
          <w:shd w:val="clear" w:color="auto" w:fill="FFFFFF"/>
          <w:lang w:val="cs-CZ"/>
        </w:rPr>
        <w:t>rozdíl mezi úpravou</w:t>
      </w:r>
      <w:r w:rsidR="00DE5832" w:rsidRPr="003C797B">
        <w:rPr>
          <w:rFonts w:cs="Arial"/>
          <w:shd w:val="clear" w:color="auto" w:fill="FFFFFF"/>
          <w:lang w:val="cs-CZ"/>
        </w:rPr>
        <w:t xml:space="preserve"> </w:t>
      </w:r>
      <w:r w:rsidR="00457AA9" w:rsidRPr="003C797B">
        <w:rPr>
          <w:rFonts w:cs="Arial"/>
          <w:shd w:val="clear" w:color="auto" w:fill="FFFFFF"/>
          <w:lang w:val="cs-CZ"/>
        </w:rPr>
        <w:t>v</w:t>
      </w:r>
      <w:r w:rsidR="0056433B">
        <w:rPr>
          <w:rFonts w:cs="Arial"/>
          <w:shd w:val="clear" w:color="auto" w:fill="FFFFFF"/>
          <w:lang w:val="cs-CZ"/>
        </w:rPr>
        <w:t> </w:t>
      </w:r>
      <w:r w:rsidR="00457AA9" w:rsidRPr="003C797B">
        <w:rPr>
          <w:rFonts w:cs="Arial"/>
          <w:shd w:val="clear" w:color="auto" w:fill="FFFFFF"/>
          <w:lang w:val="cs-CZ"/>
        </w:rPr>
        <w:t>unijním</w:t>
      </w:r>
      <w:r w:rsidR="0056433B">
        <w:rPr>
          <w:rFonts w:cs="Arial"/>
          <w:shd w:val="clear" w:color="auto" w:fill="FFFFFF"/>
          <w:lang w:val="cs-CZ"/>
        </w:rPr>
        <w:t xml:space="preserve"> a českém</w:t>
      </w:r>
      <w:r w:rsidR="00457AA9" w:rsidRPr="003C797B">
        <w:rPr>
          <w:rFonts w:cs="Arial"/>
          <w:shd w:val="clear" w:color="auto" w:fill="FFFFFF"/>
          <w:lang w:val="cs-CZ"/>
        </w:rPr>
        <w:t xml:space="preserve"> právu</w:t>
      </w:r>
      <w:r w:rsidR="00DE5832" w:rsidRPr="003C797B">
        <w:rPr>
          <w:rFonts w:cs="Arial"/>
          <w:shd w:val="clear" w:color="auto" w:fill="FFFFFF"/>
          <w:lang w:val="cs-CZ"/>
        </w:rPr>
        <w:t xml:space="preserve"> </w:t>
      </w:r>
      <w:r w:rsidR="00457AA9" w:rsidRPr="003C797B">
        <w:rPr>
          <w:rFonts w:cs="Arial"/>
          <w:shd w:val="clear" w:color="auto" w:fill="FFFFFF"/>
          <w:lang w:val="cs-CZ"/>
        </w:rPr>
        <w:t>zaměřeném na zadávání veřejných zakázek</w:t>
      </w:r>
      <w:r w:rsidR="003C797B">
        <w:rPr>
          <w:rFonts w:cs="Arial"/>
          <w:shd w:val="clear" w:color="auto" w:fill="FFFFFF"/>
          <w:lang w:val="cs-CZ"/>
        </w:rPr>
        <w:t xml:space="preserve"> v rámci otevřeného druhu zadávacího řízení. Opět se budu snažit porovnat úpravu zadávací směrnice a českého zákona společně s nejčastějšími chybami zadavatelů či uchazečů v jednotlivých fázích řízení.</w:t>
      </w:r>
      <w:r w:rsidR="00C942E5">
        <w:rPr>
          <w:rFonts w:cs="Arial"/>
          <w:shd w:val="clear" w:color="auto" w:fill="FFFFFF"/>
          <w:lang w:val="cs-CZ"/>
        </w:rPr>
        <w:t xml:space="preserve"> </w:t>
      </w:r>
      <w:r w:rsidR="00C942E5">
        <w:rPr>
          <w:lang w:val="cs-CZ"/>
        </w:rPr>
        <w:t>Za c</w:t>
      </w:r>
      <w:r w:rsidR="00C942E5" w:rsidRPr="00D927CC">
        <w:rPr>
          <w:lang w:val="cs-CZ"/>
        </w:rPr>
        <w:t xml:space="preserve">hyby </w:t>
      </w:r>
      <w:r w:rsidR="00C942E5">
        <w:rPr>
          <w:lang w:val="cs-CZ"/>
        </w:rPr>
        <w:t>ve veřejných zakázkách se považují jakékoliv porušení pravidel v zadávací dokumentaci, bez ohledu na fázi řízení nebo jejich důsledek pro veřejné finance</w:t>
      </w:r>
      <w:r w:rsidR="00F10619">
        <w:rPr>
          <w:lang w:val="cs-CZ"/>
        </w:rPr>
        <w:t>.</w:t>
      </w:r>
      <w:r w:rsidR="00C942E5">
        <w:rPr>
          <w:rStyle w:val="FootnoteReference"/>
          <w:lang w:val="cs-CZ"/>
        </w:rPr>
        <w:footnoteReference w:id="5"/>
      </w:r>
      <w:r w:rsidR="00C942E5">
        <w:rPr>
          <w:lang w:val="cs-CZ"/>
        </w:rPr>
        <w:t xml:space="preserve"> </w:t>
      </w:r>
      <w:r w:rsidR="003C797B">
        <w:rPr>
          <w:rFonts w:cs="Arial"/>
          <w:shd w:val="clear" w:color="auto" w:fill="FFFFFF"/>
          <w:lang w:val="cs-CZ"/>
        </w:rPr>
        <w:t>Nejčastější chyby se budu snažit definovat dle dostupných analýz zadávacích řízení</w:t>
      </w:r>
      <w:r w:rsidR="00C942E5">
        <w:rPr>
          <w:rFonts w:cs="Arial"/>
          <w:shd w:val="clear" w:color="auto" w:fill="FFFFFF"/>
          <w:lang w:val="cs-CZ"/>
        </w:rPr>
        <w:t xml:space="preserve"> zejména prováděných </w:t>
      </w:r>
      <w:r w:rsidR="004875ED">
        <w:rPr>
          <w:rFonts w:cs="Arial"/>
          <w:shd w:val="clear" w:color="auto" w:fill="FFFFFF"/>
          <w:lang w:val="cs-CZ"/>
        </w:rPr>
        <w:t>E</w:t>
      </w:r>
      <w:r w:rsidR="00C942E5">
        <w:rPr>
          <w:rFonts w:cs="Arial"/>
          <w:shd w:val="clear" w:color="auto" w:fill="FFFFFF"/>
          <w:lang w:val="cs-CZ"/>
        </w:rPr>
        <w:t>vropskou komisí</w:t>
      </w:r>
      <w:r w:rsidR="003C797B">
        <w:rPr>
          <w:rFonts w:cs="Arial"/>
          <w:shd w:val="clear" w:color="auto" w:fill="FFFFFF"/>
          <w:lang w:val="cs-CZ"/>
        </w:rPr>
        <w:t xml:space="preserve">. </w:t>
      </w:r>
      <w:r w:rsidR="00457AA9" w:rsidRPr="003C797B">
        <w:rPr>
          <w:rFonts w:cs="Arial"/>
          <w:shd w:val="clear" w:color="auto" w:fill="FFFFFF"/>
          <w:lang w:val="cs-CZ"/>
        </w:rPr>
        <w:t xml:space="preserve">Tato část tvoří </w:t>
      </w:r>
      <w:r w:rsidR="00DE5832" w:rsidRPr="003C797B">
        <w:rPr>
          <w:rFonts w:cs="Arial"/>
          <w:shd w:val="clear" w:color="auto" w:fill="FFFFFF"/>
          <w:lang w:val="cs-CZ"/>
        </w:rPr>
        <w:t xml:space="preserve">podstatu této diplomové práce. </w:t>
      </w:r>
      <w:r w:rsidR="003C797B">
        <w:rPr>
          <w:rFonts w:cs="Arial"/>
          <w:shd w:val="clear" w:color="auto" w:fill="FFFFFF"/>
          <w:lang w:val="cs-CZ"/>
        </w:rPr>
        <w:t>Ve</w:t>
      </w:r>
      <w:r w:rsidR="00003528">
        <w:rPr>
          <w:rFonts w:cs="Arial"/>
          <w:shd w:val="clear" w:color="auto" w:fill="FFFFFF"/>
          <w:lang w:val="cs-CZ"/>
        </w:rPr>
        <w:t xml:space="preserve"> čtvrté</w:t>
      </w:r>
      <w:r w:rsidR="003C797B">
        <w:rPr>
          <w:rFonts w:cs="Arial"/>
          <w:shd w:val="clear" w:color="auto" w:fill="FFFFFF"/>
          <w:lang w:val="cs-CZ"/>
        </w:rPr>
        <w:t xml:space="preserve"> kapitole se pokusím odpovědět na otázku, zda je pro zadavatele jednoduší zadat veřejnou zakázku skrze směrnici</w:t>
      </w:r>
      <w:r w:rsidR="004875ED">
        <w:rPr>
          <w:rFonts w:cs="Arial"/>
          <w:shd w:val="clear" w:color="auto" w:fill="FFFFFF"/>
          <w:lang w:val="cs-CZ"/>
        </w:rPr>
        <w:t>,</w:t>
      </w:r>
      <w:r w:rsidR="0056433B">
        <w:rPr>
          <w:rFonts w:cs="Arial"/>
          <w:shd w:val="clear" w:color="auto" w:fill="FFFFFF"/>
          <w:lang w:val="cs-CZ"/>
        </w:rPr>
        <w:t xml:space="preserve"> či český zákon.</w:t>
      </w:r>
      <w:r w:rsidR="00457AA9" w:rsidRPr="003C797B">
        <w:rPr>
          <w:rFonts w:cs="Arial"/>
          <w:shd w:val="clear" w:color="auto" w:fill="FFFFFF"/>
          <w:lang w:val="cs-CZ"/>
        </w:rPr>
        <w:t xml:space="preserve"> </w:t>
      </w:r>
      <w:r w:rsidR="00457AA9" w:rsidRPr="003C797B">
        <w:rPr>
          <w:rFonts w:cs="Arial"/>
          <w:shd w:val="clear" w:color="auto" w:fill="FFFFFF"/>
          <w:lang w:val="cs-CZ"/>
        </w:rPr>
        <w:lastRenderedPageBreak/>
        <w:t>P</w:t>
      </w:r>
      <w:r w:rsidR="004A45E3" w:rsidRPr="003C797B">
        <w:rPr>
          <w:rFonts w:cs="Arial"/>
          <w:shd w:val="clear" w:color="auto" w:fill="FFFFFF"/>
          <w:lang w:val="cs-CZ"/>
        </w:rPr>
        <w:t xml:space="preserve">oslední závěrečná kapitola shrnuje veškeré poznatky celé diplomové práce, nejdůležitější závěry a zjištění. </w:t>
      </w:r>
    </w:p>
    <w:p w14:paraId="012AC06E" w14:textId="198A927B" w:rsidR="003C797B" w:rsidRPr="003C797B" w:rsidRDefault="00986310" w:rsidP="00C942E5">
      <w:pPr>
        <w:ind w:firstLine="720"/>
        <w:rPr>
          <w:rFonts w:cs="Arial"/>
          <w:shd w:val="clear" w:color="auto" w:fill="FFFFFF"/>
          <w:lang w:val="cs-CZ"/>
        </w:rPr>
      </w:pPr>
      <w:r>
        <w:rPr>
          <w:rFonts w:cs="Arial"/>
          <w:shd w:val="clear" w:color="auto" w:fill="FFFFFF"/>
          <w:lang w:val="cs-CZ"/>
        </w:rPr>
        <w:t xml:space="preserve">Mým primárním zdrojem pro psaní práce bude </w:t>
      </w:r>
      <w:r w:rsidRPr="00B40126">
        <w:rPr>
          <w:rFonts w:cs="Arial"/>
          <w:shd w:val="clear" w:color="auto" w:fill="FFFFFF"/>
          <w:lang w:val="cs-CZ"/>
        </w:rPr>
        <w:t>samozřejmě Směrnice Evropského parlamentu</w:t>
      </w:r>
      <w:r w:rsidRPr="00986310">
        <w:rPr>
          <w:rFonts w:cs="Arial"/>
          <w:shd w:val="clear" w:color="auto" w:fill="FFFFFF"/>
          <w:lang w:val="cs-CZ"/>
        </w:rPr>
        <w:t xml:space="preserve"> a Rady 2014/24/EU ze dne 26. února 2014 o zadávání veřejných zakázek</w:t>
      </w:r>
      <w:r>
        <w:rPr>
          <w:rFonts w:cs="Arial"/>
          <w:shd w:val="clear" w:color="auto" w:fill="FFFFFF"/>
          <w:lang w:val="cs-CZ"/>
        </w:rPr>
        <w:t xml:space="preserve"> a zrušení směrnice 2004/18/ES a zákon o zadávání veřejných zakázek v platném a účinném znění. Ráda bych se na danou problematika zaměřila a čerpala </w:t>
      </w:r>
      <w:r w:rsidR="008E7825">
        <w:rPr>
          <w:rFonts w:cs="Arial"/>
          <w:shd w:val="clear" w:color="auto" w:fill="FFFFFF"/>
          <w:lang w:val="cs-CZ"/>
        </w:rPr>
        <w:t>také od sdružení SIGMA, jež je společnou iniciativou Evropské unie a Organizace pro hospodářskou spolupráci a rozvoj za účelem podpory a zlepšení správy a řízení veřejného sektoru. Jejich klíčovým úkolem je posílení základů zlepšení veřejné správy, sociálněekonomického rozvoje veřejného sektoru a posílení zlepšení navrhovaní a provádění reforem správy, včetně stanovení priorit, řízení a rozpočtu. SIGMA v čele se svými experty se věnuje šesti klíčovým oblastem, kdy jednou z nich je právě i řízení veřejných financí, veřejné zakázky a externí audity. Nedílným par</w:t>
      </w:r>
      <w:r w:rsidR="00C86FFA">
        <w:rPr>
          <w:rFonts w:cs="Arial"/>
          <w:shd w:val="clear" w:color="auto" w:fill="FFFFFF"/>
          <w:lang w:val="cs-CZ"/>
        </w:rPr>
        <w:t xml:space="preserve">tnerem </w:t>
      </w:r>
      <w:r w:rsidR="0056433B">
        <w:rPr>
          <w:rFonts w:cs="Arial"/>
          <w:shd w:val="clear" w:color="auto" w:fill="FFFFFF"/>
          <w:lang w:val="cs-CZ"/>
        </w:rPr>
        <w:t>sdružení SIGMA jsou</w:t>
      </w:r>
      <w:r w:rsidR="00C86FFA">
        <w:rPr>
          <w:rFonts w:cs="Arial"/>
          <w:shd w:val="clear" w:color="auto" w:fill="FFFFFF"/>
          <w:lang w:val="cs-CZ"/>
        </w:rPr>
        <w:t xml:space="preserve"> Generální ředitelství Evropské komise pro politiku sousedství a jednání o rozšíření, parlamenty členských států, ministerstva či státní agentury.</w:t>
      </w:r>
      <w:r w:rsidR="008E7825">
        <w:rPr>
          <w:rStyle w:val="FootnoteReference"/>
          <w:rFonts w:cs="Arial"/>
          <w:shd w:val="clear" w:color="auto" w:fill="FFFFFF"/>
          <w:lang w:val="cs-CZ"/>
        </w:rPr>
        <w:footnoteReference w:id="6"/>
      </w:r>
      <w:r w:rsidR="008E7825">
        <w:rPr>
          <w:rFonts w:cs="Arial"/>
          <w:shd w:val="clear" w:color="auto" w:fill="FFFFFF"/>
          <w:lang w:val="cs-CZ"/>
        </w:rPr>
        <w:t xml:space="preserve">  </w:t>
      </w:r>
    </w:p>
    <w:p w14:paraId="3D8CC805" w14:textId="50BD8938" w:rsidR="00A46436" w:rsidRDefault="0056433B" w:rsidP="00C942E5">
      <w:pPr>
        <w:ind w:firstLine="720"/>
        <w:rPr>
          <w:rFonts w:cs="Arial"/>
          <w:shd w:val="clear" w:color="auto" w:fill="FFFFFF"/>
          <w:lang w:val="cs-CZ"/>
        </w:rPr>
      </w:pPr>
      <w:r>
        <w:rPr>
          <w:rFonts w:cs="Arial"/>
          <w:shd w:val="clear" w:color="auto" w:fill="FFFFFF"/>
          <w:lang w:val="cs-CZ"/>
        </w:rPr>
        <w:t>Kvalitní veřejné služby závis</w:t>
      </w:r>
      <w:r w:rsidR="00457AA9">
        <w:rPr>
          <w:rFonts w:cs="Arial"/>
          <w:shd w:val="clear" w:color="auto" w:fill="FFFFFF"/>
          <w:lang w:val="cs-CZ"/>
        </w:rPr>
        <w:t>í</w:t>
      </w:r>
      <w:r w:rsidR="00BC193E">
        <w:rPr>
          <w:rFonts w:cs="Arial"/>
          <w:shd w:val="clear" w:color="auto" w:fill="FFFFFF"/>
          <w:lang w:val="cs-CZ"/>
        </w:rPr>
        <w:t xml:space="preserve"> na moderním a zejména dobře zpracovaném</w:t>
      </w:r>
      <w:r w:rsidR="00927779">
        <w:rPr>
          <w:rFonts w:cs="Arial"/>
          <w:shd w:val="clear" w:color="auto" w:fill="FFFFFF"/>
          <w:lang w:val="cs-CZ"/>
        </w:rPr>
        <w:t xml:space="preserve"> </w:t>
      </w:r>
      <w:r w:rsidR="0063398C">
        <w:rPr>
          <w:rFonts w:cs="Arial"/>
          <w:shd w:val="clear" w:color="auto" w:fill="FFFFFF"/>
          <w:lang w:val="cs-CZ"/>
        </w:rPr>
        <w:t xml:space="preserve">zadávání veřejných zakázek. Zlepšení veřejných zakázek může přinést velkou úsporu. V případě, že by se zadávání veřejných zakázek zlepšilo o jedno procento, ušetřilo by se </w:t>
      </w:r>
      <w:r w:rsidR="00720BD8">
        <w:rPr>
          <w:rFonts w:cs="Arial"/>
          <w:shd w:val="clear" w:color="auto" w:fill="FFFFFF"/>
          <w:lang w:val="cs-CZ"/>
        </w:rPr>
        <w:t>20 miliard EURO ročně.</w:t>
      </w:r>
      <w:r w:rsidR="00720BD8">
        <w:rPr>
          <w:rStyle w:val="FootnoteReference"/>
          <w:rFonts w:cs="Arial"/>
          <w:shd w:val="clear" w:color="auto" w:fill="FFFFFF"/>
          <w:lang w:val="cs-CZ"/>
        </w:rPr>
        <w:footnoteReference w:id="7"/>
      </w:r>
      <w:r>
        <w:rPr>
          <w:rFonts w:cs="Arial"/>
          <w:shd w:val="clear" w:color="auto" w:fill="FFFFFF"/>
          <w:lang w:val="cs-CZ"/>
        </w:rPr>
        <w:t xml:space="preserve"> </w:t>
      </w:r>
      <w:r w:rsidR="0081323B">
        <w:rPr>
          <w:rFonts w:cs="Arial"/>
          <w:shd w:val="clear" w:color="auto" w:fill="FFFFFF"/>
          <w:lang w:val="cs-CZ"/>
        </w:rPr>
        <w:t xml:space="preserve">Problematika zadávání veřejných zakázek je tématem současnosti, týkající se nejen veřejného sektoru, ale i jednotlivců. </w:t>
      </w:r>
      <w:r>
        <w:rPr>
          <w:rFonts w:cs="Arial"/>
          <w:shd w:val="clear" w:color="auto" w:fill="FFFFFF"/>
          <w:lang w:val="cs-CZ"/>
        </w:rPr>
        <w:t xml:space="preserve">Z těchto důvodů </w:t>
      </w:r>
      <w:r w:rsidR="00927779">
        <w:rPr>
          <w:rFonts w:cs="Arial"/>
          <w:shd w:val="clear" w:color="auto" w:fill="FFFFFF"/>
          <w:lang w:val="cs-CZ"/>
        </w:rPr>
        <w:t>jsem si vybrala zadávání veřejných zakázek jako</w:t>
      </w:r>
      <w:r>
        <w:rPr>
          <w:rFonts w:cs="Arial"/>
          <w:shd w:val="clear" w:color="auto" w:fill="FFFFFF"/>
          <w:lang w:val="cs-CZ"/>
        </w:rPr>
        <w:t xml:space="preserve"> téma </w:t>
      </w:r>
      <w:r w:rsidR="004A45E3" w:rsidRPr="00BC193E">
        <w:rPr>
          <w:rFonts w:cs="Arial"/>
          <w:shd w:val="clear" w:color="auto" w:fill="FFFFFF"/>
          <w:lang w:val="cs-CZ"/>
        </w:rPr>
        <w:t>závěrečná práce</w:t>
      </w:r>
      <w:r>
        <w:rPr>
          <w:rFonts w:cs="Arial"/>
          <w:shd w:val="clear" w:color="auto" w:fill="FFFFFF"/>
          <w:lang w:val="cs-CZ"/>
        </w:rPr>
        <w:t xml:space="preserve">. </w:t>
      </w:r>
    </w:p>
    <w:p w14:paraId="655BCCB4" w14:textId="7135FED9" w:rsidR="00B861F4" w:rsidRDefault="00B861F4" w:rsidP="00C06A7B"/>
    <w:p w14:paraId="1C90FC46" w14:textId="77777777" w:rsidR="003C797B" w:rsidRDefault="003C797B" w:rsidP="00C942E5">
      <w:pPr>
        <w:pStyle w:val="Heading1"/>
        <w:sectPr w:rsidR="003C797B" w:rsidSect="005D49F0">
          <w:pgSz w:w="11900" w:h="16840"/>
          <w:pgMar w:top="1418" w:right="1134" w:bottom="1418" w:left="1701" w:header="709" w:footer="709" w:gutter="0"/>
          <w:cols w:space="708"/>
          <w:docGrid w:linePitch="360"/>
        </w:sectPr>
      </w:pPr>
      <w:bookmarkStart w:id="3" w:name="_Toc435378272"/>
      <w:bookmarkStart w:id="4" w:name="_Toc436130171"/>
      <w:bookmarkStart w:id="5" w:name="_Toc436130201"/>
      <w:bookmarkStart w:id="6" w:name="_Toc436130433"/>
      <w:bookmarkStart w:id="7" w:name="_Toc436644046"/>
    </w:p>
    <w:p w14:paraId="51D83D91" w14:textId="5F6ABAE6" w:rsidR="00AB3FCE" w:rsidRDefault="00210091" w:rsidP="00BF6091">
      <w:pPr>
        <w:pStyle w:val="Heading1"/>
        <w:numPr>
          <w:ilvl w:val="0"/>
          <w:numId w:val="1"/>
        </w:numPr>
        <w:ind w:left="357" w:hanging="357"/>
      </w:pPr>
      <w:r w:rsidRPr="00210091">
        <w:lastRenderedPageBreak/>
        <w:t>Veřejné zakázky</w:t>
      </w:r>
      <w:bookmarkEnd w:id="3"/>
      <w:bookmarkEnd w:id="4"/>
      <w:bookmarkEnd w:id="5"/>
      <w:bookmarkEnd w:id="6"/>
      <w:bookmarkEnd w:id="7"/>
    </w:p>
    <w:p w14:paraId="64A050CF" w14:textId="1E5B8D72" w:rsidR="006C2126" w:rsidRDefault="00B117A1" w:rsidP="006C2126">
      <w:pPr>
        <w:ind w:firstLine="720"/>
        <w:rPr>
          <w:lang w:val="cs-CZ"/>
        </w:rPr>
      </w:pPr>
      <w:r w:rsidRPr="00B117A1">
        <w:rPr>
          <w:lang w:val="cs-CZ"/>
        </w:rPr>
        <w:t xml:space="preserve">Veřejné zakázky </w:t>
      </w:r>
      <w:r>
        <w:rPr>
          <w:lang w:val="cs-CZ"/>
        </w:rPr>
        <w:t>předsta</w:t>
      </w:r>
      <w:r w:rsidR="00457AA9">
        <w:rPr>
          <w:lang w:val="cs-CZ"/>
        </w:rPr>
        <w:t xml:space="preserve">vují proces, kdy veřejné orgány, kterými </w:t>
      </w:r>
      <w:r>
        <w:rPr>
          <w:lang w:val="cs-CZ"/>
        </w:rPr>
        <w:t xml:space="preserve">jsou státní </w:t>
      </w:r>
      <w:r w:rsidR="00457AA9">
        <w:rPr>
          <w:lang w:val="cs-CZ"/>
        </w:rPr>
        <w:t>a</w:t>
      </w:r>
      <w:r>
        <w:rPr>
          <w:lang w:val="cs-CZ"/>
        </w:rPr>
        <w:t xml:space="preserve"> místní úřady</w:t>
      </w:r>
      <w:r w:rsidR="009D027F">
        <w:rPr>
          <w:lang w:val="cs-CZ"/>
        </w:rPr>
        <w:t xml:space="preserve">, </w:t>
      </w:r>
      <w:r w:rsidR="00962BB6">
        <w:rPr>
          <w:lang w:val="cs-CZ"/>
        </w:rPr>
        <w:t xml:space="preserve">objednávají pracovní zakázky, zboží nebo služby od společností. </w:t>
      </w:r>
      <w:r w:rsidR="00A8373F">
        <w:rPr>
          <w:lang w:val="cs-CZ"/>
        </w:rPr>
        <w:t>Evropská unie, v zájmu vytvoření rovných podmínek pro podnikání v celé evrop</w:t>
      </w:r>
      <w:r w:rsidR="00457AA9">
        <w:rPr>
          <w:lang w:val="cs-CZ"/>
        </w:rPr>
        <w:t>ské unii</w:t>
      </w:r>
      <w:r w:rsidR="00A8373F">
        <w:rPr>
          <w:lang w:val="cs-CZ"/>
        </w:rPr>
        <w:t>, stanovila v rámci unijního práva minimální harmonizovaná pravidla p</w:t>
      </w:r>
      <w:r w:rsidR="007C22E3">
        <w:rPr>
          <w:lang w:val="cs-CZ"/>
        </w:rPr>
        <w:t>ro zadávání veřejných zakázek. T</w:t>
      </w:r>
      <w:r w:rsidR="00A8373F">
        <w:rPr>
          <w:lang w:val="cs-CZ"/>
        </w:rPr>
        <w:t xml:space="preserve">ato pravidla upravují způsob, jakým veřejné orgány a někteří provozovatelé veřejných služeb nakupují zboží či objednávají práce a služby. Pravidla </w:t>
      </w:r>
      <w:r w:rsidR="00457AA9">
        <w:rPr>
          <w:lang w:val="cs-CZ"/>
        </w:rPr>
        <w:t>jsou transponována</w:t>
      </w:r>
      <w:r w:rsidR="00A8373F">
        <w:rPr>
          <w:lang w:val="cs-CZ"/>
        </w:rPr>
        <w:t xml:space="preserve"> do vnitrostátních právních předpisů.</w:t>
      </w:r>
      <w:r w:rsidR="00A8373F">
        <w:rPr>
          <w:rStyle w:val="FootnoteReference"/>
          <w:lang w:val="cs-CZ"/>
        </w:rPr>
        <w:footnoteReference w:id="8"/>
      </w:r>
      <w:bookmarkStart w:id="8" w:name="_Toc435378273"/>
      <w:bookmarkStart w:id="9" w:name="_Toc436130172"/>
      <w:bookmarkStart w:id="10" w:name="_Toc436130202"/>
    </w:p>
    <w:p w14:paraId="538855E9" w14:textId="43A9D5E2" w:rsidR="00E0354F" w:rsidRDefault="00E0354F" w:rsidP="006C2126">
      <w:pPr>
        <w:ind w:firstLine="720"/>
        <w:rPr>
          <w:lang w:val="cs-CZ"/>
        </w:rPr>
      </w:pPr>
      <w:r>
        <w:rPr>
          <w:lang w:val="cs-CZ"/>
        </w:rPr>
        <w:t xml:space="preserve">Veřejné zakázky můžeme rozdělit do dvou kategorií, a to podle toho, zda zkoumáme hodnotu veřejné zakázky či její předmět. Z hlediska předmětu se veřejné zakázky mohou dělit na </w:t>
      </w:r>
      <w:r w:rsidR="00457AA9">
        <w:rPr>
          <w:lang w:val="cs-CZ"/>
        </w:rPr>
        <w:t>služby, stavební práce a</w:t>
      </w:r>
      <w:r>
        <w:rPr>
          <w:lang w:val="cs-CZ"/>
        </w:rPr>
        <w:t xml:space="preserve"> dodávky. Podle hodnoty plněn</w:t>
      </w:r>
      <w:r w:rsidR="00457AA9">
        <w:rPr>
          <w:lang w:val="cs-CZ"/>
        </w:rPr>
        <w:t>í se naopak dělí veřejné zakázky</w:t>
      </w:r>
      <w:r>
        <w:rPr>
          <w:lang w:val="cs-CZ"/>
        </w:rPr>
        <w:t xml:space="preserve"> na podlimitní a nadlimitní, přičemž takto rozdělit veřejné zakázky, tj. podle hodnoty plnění, lze </w:t>
      </w:r>
      <w:r w:rsidR="00D1741F">
        <w:rPr>
          <w:lang w:val="cs-CZ"/>
        </w:rPr>
        <w:t xml:space="preserve">jen a pouze u zákona o zadávání veřejných zakázek. </w:t>
      </w:r>
    </w:p>
    <w:p w14:paraId="7474063B" w14:textId="6709B77C" w:rsidR="00210091" w:rsidRPr="008606A6" w:rsidRDefault="00210091" w:rsidP="00D30418">
      <w:pPr>
        <w:pStyle w:val="Heading2"/>
        <w:numPr>
          <w:ilvl w:val="1"/>
          <w:numId w:val="1"/>
        </w:numPr>
        <w:rPr>
          <w:lang w:val="cs-CZ"/>
        </w:rPr>
      </w:pPr>
      <w:bookmarkStart w:id="11" w:name="_Toc436644047"/>
      <w:r w:rsidRPr="008606A6">
        <w:rPr>
          <w:lang w:val="cs-CZ"/>
        </w:rPr>
        <w:t>Veřejná zakázk</w:t>
      </w:r>
      <w:bookmarkEnd w:id="8"/>
      <w:bookmarkEnd w:id="9"/>
      <w:bookmarkEnd w:id="10"/>
      <w:bookmarkEnd w:id="11"/>
      <w:r w:rsidR="008606A6">
        <w:rPr>
          <w:lang w:val="cs-CZ"/>
        </w:rPr>
        <w:t>a</w:t>
      </w:r>
    </w:p>
    <w:p w14:paraId="221FF18F" w14:textId="3820B87E" w:rsidR="00210091" w:rsidRPr="00C63D09" w:rsidRDefault="00AB2E16" w:rsidP="00962BB6">
      <w:pPr>
        <w:ind w:firstLine="720"/>
        <w:rPr>
          <w:lang w:val="cs-CZ"/>
        </w:rPr>
      </w:pPr>
      <w:r w:rsidRPr="00AB2E16">
        <w:rPr>
          <w:lang w:val="cs-CZ"/>
        </w:rPr>
        <w:t xml:space="preserve">Veřejnou </w:t>
      </w:r>
      <w:r>
        <w:rPr>
          <w:lang w:val="cs-CZ"/>
        </w:rPr>
        <w:t>zakázkou</w:t>
      </w:r>
      <w:r w:rsidR="00EF1928">
        <w:rPr>
          <w:lang w:val="cs-CZ"/>
        </w:rPr>
        <w:t>,</w:t>
      </w:r>
      <w:r>
        <w:rPr>
          <w:lang w:val="cs-CZ"/>
        </w:rPr>
        <w:t xml:space="preserve"> dle směrnice Evropského parlamentu a Rady 2014/24/EU ze dne 26. února 2014 o zadávání veřejný</w:t>
      </w:r>
      <w:r w:rsidR="002A2B65">
        <w:rPr>
          <w:lang w:val="cs-CZ"/>
        </w:rPr>
        <w:t>ch zakázek, se</w:t>
      </w:r>
      <w:r>
        <w:rPr>
          <w:lang w:val="cs-CZ"/>
        </w:rPr>
        <w:t xml:space="preserve"> má na mysli: </w:t>
      </w:r>
      <w:r w:rsidR="00457AA9">
        <w:rPr>
          <w:lang w:val="cs-CZ"/>
        </w:rPr>
        <w:t>„</w:t>
      </w:r>
      <w:r w:rsidR="004875ED">
        <w:rPr>
          <w:i/>
          <w:lang w:val="cs-CZ"/>
        </w:rPr>
        <w:t>Ú</w:t>
      </w:r>
      <w:r w:rsidRPr="00AB2E16">
        <w:rPr>
          <w:i/>
          <w:lang w:val="cs-CZ"/>
        </w:rPr>
        <w:t xml:space="preserve">platné smlouvy uzavřené písemnou formou mezi </w:t>
      </w:r>
      <w:r>
        <w:rPr>
          <w:i/>
          <w:lang w:val="cs-CZ"/>
        </w:rPr>
        <w:t>jedním nebo více hospodářský</w:t>
      </w:r>
      <w:r w:rsidRPr="00AB2E16">
        <w:rPr>
          <w:i/>
          <w:lang w:val="cs-CZ"/>
        </w:rPr>
        <w:t>mi subj</w:t>
      </w:r>
      <w:r>
        <w:rPr>
          <w:i/>
          <w:lang w:val="cs-CZ"/>
        </w:rPr>
        <w:t>ekty a jedním nebo více veřejný</w:t>
      </w:r>
      <w:r w:rsidRPr="00AB2E16">
        <w:rPr>
          <w:i/>
          <w:lang w:val="cs-CZ"/>
        </w:rPr>
        <w:t xml:space="preserve">mi zadavateli, jejichž </w:t>
      </w:r>
      <w:r w:rsidRPr="00C63D09">
        <w:rPr>
          <w:i/>
          <w:lang w:val="cs-CZ"/>
        </w:rPr>
        <w:t>předmětem je provedení stavebních prací, dodání výrobků nebo poskytnutí služeb</w:t>
      </w:r>
      <w:r w:rsidRPr="00C63D09">
        <w:rPr>
          <w:lang w:val="cs-CZ"/>
        </w:rPr>
        <w:t>.</w:t>
      </w:r>
      <w:r w:rsidRPr="00C63D09">
        <w:rPr>
          <w:rStyle w:val="FootnoteReference"/>
          <w:lang w:val="cs-CZ"/>
        </w:rPr>
        <w:footnoteReference w:id="9"/>
      </w:r>
      <w:r w:rsidRPr="00C63D09">
        <w:rPr>
          <w:lang w:val="cs-CZ"/>
        </w:rPr>
        <w:t xml:space="preserve">”. </w:t>
      </w:r>
      <w:r w:rsidR="00012FB3">
        <w:rPr>
          <w:lang w:val="cs-CZ"/>
        </w:rPr>
        <w:t xml:space="preserve">Směrnice 2014/24/EU vymezuje samostatně i co je to veřejná zakázka za stavební práce, na dodávky a na služby. </w:t>
      </w:r>
    </w:p>
    <w:p w14:paraId="001F9610" w14:textId="2D382F36" w:rsidR="008F49E0" w:rsidRDefault="00AB2E16" w:rsidP="00AB3FCE">
      <w:pPr>
        <w:rPr>
          <w:lang w:val="cs-CZ"/>
        </w:rPr>
      </w:pPr>
      <w:r w:rsidRPr="00C63D09">
        <w:rPr>
          <w:lang w:val="cs-CZ"/>
        </w:rPr>
        <w:tab/>
      </w:r>
      <w:r w:rsidR="00C63D09">
        <w:rPr>
          <w:lang w:val="cs-CZ"/>
        </w:rPr>
        <w:t>V zákoně o zadávání veřejných zakázek, v</w:t>
      </w:r>
      <w:r w:rsidR="00111FEB">
        <w:rPr>
          <w:lang w:val="cs-CZ"/>
        </w:rPr>
        <w:t xml:space="preserve"> současném </w:t>
      </w:r>
      <w:r w:rsidR="00C63D09">
        <w:rPr>
          <w:lang w:val="cs-CZ"/>
        </w:rPr>
        <w:t>platném a účinném znění, nemůžeme nalézt zákonnou definici</w:t>
      </w:r>
      <w:r w:rsidR="00984D5D">
        <w:rPr>
          <w:lang w:val="cs-CZ"/>
        </w:rPr>
        <w:t xml:space="preserve"> veřejné zakázky. Zákonodárce pouze </w:t>
      </w:r>
      <w:r w:rsidR="0081099E">
        <w:rPr>
          <w:lang w:val="cs-CZ"/>
        </w:rPr>
        <w:t>odkazuje na definiční</w:t>
      </w:r>
      <w:r w:rsidR="00111FEB">
        <w:rPr>
          <w:lang w:val="cs-CZ"/>
        </w:rPr>
        <w:t xml:space="preserve"> znaky v § 2 odst. 1 ZZVZ. Veřejná zakázka dle zákonodárce, z hlediska pozitivního způsobu vyme</w:t>
      </w:r>
      <w:r w:rsidR="002A2B65">
        <w:rPr>
          <w:lang w:val="cs-CZ"/>
        </w:rPr>
        <w:t>zení, musí obsahovat</w:t>
      </w:r>
      <w:r w:rsidR="00111FEB">
        <w:rPr>
          <w:lang w:val="cs-CZ"/>
        </w:rPr>
        <w:t xml:space="preserve"> defi</w:t>
      </w:r>
      <w:r w:rsidR="00457AA9">
        <w:rPr>
          <w:lang w:val="cs-CZ"/>
        </w:rPr>
        <w:t>niční znaky, jimiž jsou uzavřené</w:t>
      </w:r>
      <w:r w:rsidR="00111FEB">
        <w:rPr>
          <w:lang w:val="cs-CZ"/>
        </w:rPr>
        <w:t xml:space="preserve"> úplatné smlouvy, konkrétně určené subjekty smlouvy a specificky vymezený předmět smlouvy.</w:t>
      </w:r>
      <w:r w:rsidR="00111FEB">
        <w:rPr>
          <w:rStyle w:val="FootnoteReference"/>
          <w:lang w:val="cs-CZ"/>
        </w:rPr>
        <w:footnoteReference w:id="10"/>
      </w:r>
      <w:r w:rsidR="00111FEB">
        <w:rPr>
          <w:lang w:val="cs-CZ"/>
        </w:rPr>
        <w:t xml:space="preserve"> </w:t>
      </w:r>
      <w:r w:rsidR="00F07AA3">
        <w:rPr>
          <w:lang w:val="cs-CZ"/>
        </w:rPr>
        <w:t>K lepšímu pochopení, co je vlastně veřejná zakázka můžeme užít definic</w:t>
      </w:r>
      <w:r w:rsidR="001D4E5C">
        <w:rPr>
          <w:lang w:val="cs-CZ"/>
        </w:rPr>
        <w:t>i § 7 zákona o veřejných zakázkách</w:t>
      </w:r>
      <w:r w:rsidR="00F07AA3">
        <w:rPr>
          <w:lang w:val="cs-CZ"/>
        </w:rPr>
        <w:t>, kdy v</w:t>
      </w:r>
      <w:r w:rsidR="00F07AA3" w:rsidRPr="00F07AA3">
        <w:rPr>
          <w:lang w:val="cs-CZ"/>
        </w:rPr>
        <w:t xml:space="preserve">eřejnou zakázkou je </w:t>
      </w:r>
      <w:r w:rsidR="00F07AA3" w:rsidRPr="00F07AA3">
        <w:rPr>
          <w:lang w:val="cs-CZ"/>
        </w:rPr>
        <w:lastRenderedPageBreak/>
        <w:t xml:space="preserve">zakázka realizovaná na základě smlouvy mezi zadavatelem a jedním či více dodavateli, jejímž předmětem je úplatné poskytnutí dodávek či služeb nebo úplatné provedení stavebních prací. Veřejná zakázka, kterou je zadavatel povinen </w:t>
      </w:r>
      <w:r w:rsidR="00F07AA3" w:rsidRPr="00B02682">
        <w:rPr>
          <w:lang w:val="cs-CZ"/>
        </w:rPr>
        <w:t>zadat podle tohoto zákona, musí být realizována na základě písemné smlouvy.</w:t>
      </w:r>
      <w:r w:rsidR="00B51F1F">
        <w:rPr>
          <w:rStyle w:val="FootnoteReference"/>
          <w:lang w:val="cs-CZ"/>
        </w:rPr>
        <w:footnoteReference w:id="11"/>
      </w:r>
      <w:r w:rsidR="00F07AA3" w:rsidRPr="00B02682">
        <w:rPr>
          <w:lang w:val="cs-CZ"/>
        </w:rPr>
        <w:t xml:space="preserve"> </w:t>
      </w:r>
    </w:p>
    <w:p w14:paraId="49B8DF8C" w14:textId="383D2C85" w:rsidR="00962761" w:rsidRDefault="00962761" w:rsidP="00962761">
      <w:pPr>
        <w:ind w:firstLine="720"/>
        <w:rPr>
          <w:iCs/>
          <w:lang w:val="cs-CZ"/>
        </w:rPr>
      </w:pPr>
      <w:r w:rsidRPr="00B02682">
        <w:rPr>
          <w:iCs/>
          <w:lang w:val="cs-CZ"/>
        </w:rPr>
        <w:t xml:space="preserve">Při porovnání definice ze </w:t>
      </w:r>
      <w:r w:rsidRPr="004875ED">
        <w:rPr>
          <w:iCs/>
          <w:color w:val="000000" w:themeColor="text1"/>
          <w:lang w:val="cs-CZ"/>
        </w:rPr>
        <w:t xml:space="preserve">Směrnice 2014/24/EU </w:t>
      </w:r>
      <w:r w:rsidRPr="00B02682">
        <w:rPr>
          <w:iCs/>
          <w:lang w:val="cs-CZ"/>
        </w:rPr>
        <w:t xml:space="preserve">a definičních znaků ze zákona o zadávání veřejných zakázek můžeme dojít k závěru, že směrnice je </w:t>
      </w:r>
      <w:r w:rsidR="00DA526A">
        <w:rPr>
          <w:iCs/>
          <w:lang w:val="cs-CZ"/>
        </w:rPr>
        <w:t>jakým</w:t>
      </w:r>
      <w:r w:rsidR="001D4E5C">
        <w:rPr>
          <w:iCs/>
          <w:lang w:val="cs-CZ"/>
        </w:rPr>
        <w:t>si</w:t>
      </w:r>
      <w:r w:rsidR="00DA526A">
        <w:rPr>
          <w:iCs/>
          <w:lang w:val="cs-CZ"/>
        </w:rPr>
        <w:t xml:space="preserve"> vodítkem k tomu, aby </w:t>
      </w:r>
      <w:r w:rsidRPr="00B02682">
        <w:rPr>
          <w:iCs/>
          <w:lang w:val="cs-CZ"/>
        </w:rPr>
        <w:t>zákon o zad</w:t>
      </w:r>
      <w:r w:rsidR="00DA526A">
        <w:rPr>
          <w:iCs/>
          <w:lang w:val="cs-CZ"/>
        </w:rPr>
        <w:t>ávání veřejných zakázek vymezil přesně</w:t>
      </w:r>
      <w:r w:rsidRPr="00B02682">
        <w:rPr>
          <w:iCs/>
          <w:lang w:val="cs-CZ"/>
        </w:rPr>
        <w:t xml:space="preserve"> </w:t>
      </w:r>
      <w:r w:rsidR="007C22E3">
        <w:rPr>
          <w:iCs/>
          <w:lang w:val="cs-CZ"/>
        </w:rPr>
        <w:t>podmínky smlouvy tím způsobem, že</w:t>
      </w:r>
      <w:r w:rsidRPr="00B02682">
        <w:rPr>
          <w:iCs/>
          <w:lang w:val="cs-CZ"/>
        </w:rPr>
        <w:t xml:space="preserve"> smlouva</w:t>
      </w:r>
      <w:r w:rsidR="007C22E3">
        <w:rPr>
          <w:iCs/>
          <w:lang w:val="cs-CZ"/>
        </w:rPr>
        <w:t xml:space="preserve"> musí</w:t>
      </w:r>
      <w:r w:rsidRPr="00B02682">
        <w:rPr>
          <w:iCs/>
          <w:lang w:val="cs-CZ"/>
        </w:rPr>
        <w:t xml:space="preserve"> být konkretizována</w:t>
      </w:r>
      <w:r>
        <w:rPr>
          <w:iCs/>
          <w:lang w:val="cs-CZ"/>
        </w:rPr>
        <w:t xml:space="preserve"> přesně</w:t>
      </w:r>
      <w:r w:rsidR="00DA526A">
        <w:rPr>
          <w:iCs/>
          <w:lang w:val="cs-CZ"/>
        </w:rPr>
        <w:t>, jasně a srozumitelně</w:t>
      </w:r>
      <w:r>
        <w:rPr>
          <w:iCs/>
          <w:lang w:val="cs-CZ"/>
        </w:rPr>
        <w:t xml:space="preserve">. </w:t>
      </w:r>
      <w:r w:rsidR="007C22E3">
        <w:rPr>
          <w:iCs/>
          <w:lang w:val="cs-CZ"/>
        </w:rPr>
        <w:t>Jak již</w:t>
      </w:r>
      <w:r w:rsidR="00142FB9">
        <w:rPr>
          <w:iCs/>
          <w:lang w:val="cs-CZ"/>
        </w:rPr>
        <w:t xml:space="preserve"> bylo uvedeno, </w:t>
      </w:r>
      <w:r w:rsidR="004875ED" w:rsidRPr="004875ED">
        <w:rPr>
          <w:iCs/>
          <w:color w:val="000000" w:themeColor="text1"/>
          <w:lang w:val="cs-CZ"/>
        </w:rPr>
        <w:t>S</w:t>
      </w:r>
      <w:r w:rsidR="00142FB9" w:rsidRPr="004875ED">
        <w:rPr>
          <w:iCs/>
          <w:color w:val="000000" w:themeColor="text1"/>
          <w:lang w:val="cs-CZ"/>
        </w:rPr>
        <w:t xml:space="preserve">měrnice 2014/24/EU </w:t>
      </w:r>
      <w:r w:rsidR="00142FB9">
        <w:rPr>
          <w:iCs/>
          <w:lang w:val="cs-CZ"/>
        </w:rPr>
        <w:t xml:space="preserve">poskytuje definici veřejných zakázek na </w:t>
      </w:r>
      <w:r w:rsidR="001D4E5C">
        <w:rPr>
          <w:iCs/>
          <w:lang w:val="cs-CZ"/>
        </w:rPr>
        <w:t xml:space="preserve">služby, stavební práce a dodávky. Protože </w:t>
      </w:r>
      <w:r w:rsidR="00142FB9">
        <w:rPr>
          <w:iCs/>
          <w:lang w:val="cs-CZ"/>
        </w:rPr>
        <w:t xml:space="preserve">zákon o zadávání veřejných zakázek neobsahuje ani definici veřejné zakázky, slouží opět směrnice v tomto směru k nastolení směru a cíle pro zadávání uvedených veřejných zakázek. </w:t>
      </w:r>
    </w:p>
    <w:p w14:paraId="02B4B1BA" w14:textId="1C47F370" w:rsidR="00D12386" w:rsidRDefault="00962761" w:rsidP="00D12386">
      <w:pPr>
        <w:rPr>
          <w:iCs/>
          <w:lang w:val="cs-CZ"/>
        </w:rPr>
      </w:pPr>
      <w:r>
        <w:rPr>
          <w:iCs/>
          <w:lang w:val="cs-CZ"/>
        </w:rPr>
        <w:tab/>
        <w:t>V obou případech lze veřejnou zakázku chápat jako vztah mezi zadavatelem a dodavatelem na základě smlouvy, kdy dodavatel se zavazuje poskytnout určité plnění zadavateli. Z hlediska českého p</w:t>
      </w:r>
      <w:r w:rsidR="007C22E3">
        <w:rPr>
          <w:iCs/>
          <w:lang w:val="cs-CZ"/>
        </w:rPr>
        <w:t xml:space="preserve">ráva se dá tento vztah </w:t>
      </w:r>
      <w:r w:rsidR="001D4E5C">
        <w:rPr>
          <w:iCs/>
          <w:lang w:val="cs-CZ"/>
        </w:rPr>
        <w:t>popsat jako směna, kupní smlouva</w:t>
      </w:r>
      <w:r>
        <w:rPr>
          <w:iCs/>
          <w:lang w:val="cs-CZ"/>
        </w:rPr>
        <w:t xml:space="preserve"> či započtení závazku, a to podle druhu a výše plnění. V žádném případě se nesmí jednat o uzavření pracovněprávní smlouvy či obdobného vztahu, ani smlouvy o spolupráci mezi zadavatelem při zadávání veřej</w:t>
      </w:r>
      <w:r w:rsidR="002D2C3C">
        <w:rPr>
          <w:iCs/>
          <w:lang w:val="cs-CZ"/>
        </w:rPr>
        <w:t xml:space="preserve">ných zakázek. </w:t>
      </w:r>
      <w:bookmarkStart w:id="12" w:name="_Toc435378274"/>
      <w:bookmarkStart w:id="13" w:name="_Toc436130173"/>
      <w:bookmarkStart w:id="14" w:name="_Toc436130203"/>
    </w:p>
    <w:p w14:paraId="1F047D9E" w14:textId="6912EA89" w:rsidR="00F2250D" w:rsidRPr="00D12386" w:rsidRDefault="00F2250D" w:rsidP="00D12386">
      <w:pPr>
        <w:pStyle w:val="ListParagraph"/>
        <w:numPr>
          <w:ilvl w:val="1"/>
          <w:numId w:val="1"/>
        </w:numPr>
        <w:rPr>
          <w:b/>
          <w:iCs/>
          <w:sz w:val="28"/>
          <w:szCs w:val="28"/>
          <w:lang w:val="cs-CZ"/>
        </w:rPr>
      </w:pPr>
      <w:r w:rsidRPr="00D12386">
        <w:rPr>
          <w:b/>
          <w:sz w:val="28"/>
          <w:szCs w:val="28"/>
          <w:lang w:val="cs-CZ"/>
        </w:rPr>
        <w:t>Definiční znaky veřejné zakázky</w:t>
      </w:r>
      <w:bookmarkEnd w:id="12"/>
      <w:bookmarkEnd w:id="13"/>
      <w:bookmarkEnd w:id="14"/>
    </w:p>
    <w:p w14:paraId="3A5B5DEF" w14:textId="55E50819" w:rsidR="0049444D" w:rsidRDefault="0049444D" w:rsidP="00A45C5C">
      <w:pPr>
        <w:ind w:firstLine="720"/>
        <w:rPr>
          <w:lang w:val="cs-CZ"/>
        </w:rPr>
      </w:pPr>
      <w:r w:rsidRPr="0049444D">
        <w:rPr>
          <w:lang w:val="cs-CZ"/>
        </w:rPr>
        <w:t xml:space="preserve">Jak je uvedeno </w:t>
      </w:r>
      <w:r>
        <w:rPr>
          <w:lang w:val="cs-CZ"/>
        </w:rPr>
        <w:t>výše</w:t>
      </w:r>
      <w:r w:rsidRPr="0049444D">
        <w:rPr>
          <w:lang w:val="cs-CZ"/>
        </w:rPr>
        <w:t>,</w:t>
      </w:r>
      <w:r>
        <w:rPr>
          <w:lang w:val="cs-CZ"/>
        </w:rPr>
        <w:t xml:space="preserve"> zákon o zadá</w:t>
      </w:r>
      <w:r w:rsidRPr="0049444D">
        <w:rPr>
          <w:lang w:val="cs-CZ"/>
        </w:rPr>
        <w:t>vání veř</w:t>
      </w:r>
      <w:r>
        <w:rPr>
          <w:lang w:val="cs-CZ"/>
        </w:rPr>
        <w:t>e</w:t>
      </w:r>
      <w:r w:rsidRPr="0049444D">
        <w:rPr>
          <w:lang w:val="cs-CZ"/>
        </w:rPr>
        <w:t>jných zakázek neposk</w:t>
      </w:r>
      <w:r>
        <w:rPr>
          <w:lang w:val="cs-CZ"/>
        </w:rPr>
        <w:t>ytuje definici veřejné zakázky, na</w:t>
      </w:r>
      <w:r w:rsidR="00B40126">
        <w:rPr>
          <w:lang w:val="cs-CZ"/>
        </w:rPr>
        <w:t xml:space="preserve"> </w:t>
      </w:r>
      <w:r>
        <w:rPr>
          <w:lang w:val="cs-CZ"/>
        </w:rPr>
        <w:t xml:space="preserve">rozdíl jak tomu bylo v zákoně o veřejných zakázkách. </w:t>
      </w:r>
      <w:r w:rsidR="00961E4F">
        <w:rPr>
          <w:lang w:val="cs-CZ"/>
        </w:rPr>
        <w:t>K tomu, aby mohlo být plněno na základě zákona o zadávání veřejných zakázek potažmo směrnice 2014/24/E</w:t>
      </w:r>
      <w:r w:rsidR="00D36E21">
        <w:rPr>
          <w:lang w:val="cs-CZ"/>
        </w:rPr>
        <w:t>U je třeba, aby byly naplněny ku</w:t>
      </w:r>
      <w:r w:rsidR="00961E4F">
        <w:rPr>
          <w:lang w:val="cs-CZ"/>
        </w:rPr>
        <w:t>mulativně všech</w:t>
      </w:r>
      <w:r w:rsidR="007C22E3">
        <w:rPr>
          <w:lang w:val="cs-CZ"/>
        </w:rPr>
        <w:t>ny</w:t>
      </w:r>
      <w:r w:rsidR="00961E4F">
        <w:rPr>
          <w:lang w:val="cs-CZ"/>
        </w:rPr>
        <w:t xml:space="preserve"> uvedené znaky veřejné zakázky</w:t>
      </w:r>
      <w:r w:rsidR="00961E4F">
        <w:rPr>
          <w:rStyle w:val="FootnoteReference"/>
          <w:lang w:val="cs-CZ"/>
        </w:rPr>
        <w:footnoteReference w:id="12"/>
      </w:r>
      <w:r w:rsidR="00961E4F">
        <w:rPr>
          <w:lang w:val="cs-CZ"/>
        </w:rPr>
        <w:t xml:space="preserve">. </w:t>
      </w:r>
    </w:p>
    <w:p w14:paraId="3169AD99" w14:textId="152FCA46" w:rsidR="00A45C5C" w:rsidRPr="0049444D" w:rsidRDefault="00A45C5C" w:rsidP="00A45C5C">
      <w:pPr>
        <w:ind w:firstLine="720"/>
        <w:rPr>
          <w:lang w:val="cs-CZ"/>
        </w:rPr>
      </w:pPr>
      <w:r>
        <w:rPr>
          <w:lang w:val="cs-CZ"/>
        </w:rPr>
        <w:t xml:space="preserve">Zákon o zadávání veřejných </w:t>
      </w:r>
      <w:r w:rsidR="001D4E5C">
        <w:rPr>
          <w:lang w:val="cs-CZ"/>
        </w:rPr>
        <w:t>zakázek</w:t>
      </w:r>
      <w:r>
        <w:rPr>
          <w:lang w:val="cs-CZ"/>
        </w:rPr>
        <w:t xml:space="preserve"> je transformací směrnice 2014/24/EU</w:t>
      </w:r>
      <w:r w:rsidR="007C22E3">
        <w:rPr>
          <w:lang w:val="cs-CZ"/>
        </w:rPr>
        <w:t>. S</w:t>
      </w:r>
      <w:r w:rsidR="001D4E5C">
        <w:rPr>
          <w:lang w:val="cs-CZ"/>
        </w:rPr>
        <w:t>měrnice</w:t>
      </w:r>
      <w:r w:rsidR="00E534C1">
        <w:rPr>
          <w:lang w:val="cs-CZ"/>
        </w:rPr>
        <w:t xml:space="preserve"> 2014/24/EU </w:t>
      </w:r>
      <w:r w:rsidR="007C22E3">
        <w:rPr>
          <w:lang w:val="cs-CZ"/>
        </w:rPr>
        <w:t>obsahuje</w:t>
      </w:r>
      <w:r w:rsidR="00E534C1">
        <w:rPr>
          <w:lang w:val="cs-CZ"/>
        </w:rPr>
        <w:t xml:space="preserve"> definici veřejné zakázky, </w:t>
      </w:r>
      <w:r w:rsidR="007C22E3">
        <w:rPr>
          <w:lang w:val="cs-CZ"/>
        </w:rPr>
        <w:t xml:space="preserve">tudíž zde </w:t>
      </w:r>
      <w:r w:rsidR="00D96A59">
        <w:rPr>
          <w:lang w:val="cs-CZ"/>
        </w:rPr>
        <w:t xml:space="preserve">nalezneme </w:t>
      </w:r>
      <w:r w:rsidR="007C22E3">
        <w:rPr>
          <w:lang w:val="cs-CZ"/>
        </w:rPr>
        <w:t>i</w:t>
      </w:r>
      <w:r w:rsidR="00D96A59">
        <w:rPr>
          <w:lang w:val="cs-CZ"/>
        </w:rPr>
        <w:t xml:space="preserve"> její definiční znaky. </w:t>
      </w:r>
      <w:r w:rsidR="00E534C1">
        <w:rPr>
          <w:lang w:val="cs-CZ"/>
        </w:rPr>
        <w:t xml:space="preserve"> </w:t>
      </w:r>
    </w:p>
    <w:p w14:paraId="6B16E745" w14:textId="4365C556" w:rsidR="008F49E0" w:rsidRPr="00B02682" w:rsidRDefault="008F49E0" w:rsidP="00D12386">
      <w:pPr>
        <w:pStyle w:val="Subtitle"/>
        <w:numPr>
          <w:ilvl w:val="2"/>
          <w:numId w:val="1"/>
        </w:numPr>
        <w:rPr>
          <w:lang w:val="cs-CZ"/>
        </w:rPr>
      </w:pPr>
      <w:r w:rsidRPr="0049444D">
        <w:rPr>
          <w:lang w:val="cs-CZ"/>
        </w:rPr>
        <w:t>Uzavření</w:t>
      </w:r>
      <w:r w:rsidRPr="00B02682">
        <w:rPr>
          <w:lang w:val="cs-CZ"/>
        </w:rPr>
        <w:t xml:space="preserve"> </w:t>
      </w:r>
      <w:r w:rsidR="00B02682" w:rsidRPr="00B02682">
        <w:rPr>
          <w:lang w:val="cs-CZ"/>
        </w:rPr>
        <w:t>ú</w:t>
      </w:r>
      <w:r w:rsidRPr="00B02682">
        <w:rPr>
          <w:lang w:val="cs-CZ"/>
        </w:rPr>
        <w:t>platné smlouvy</w:t>
      </w:r>
    </w:p>
    <w:p w14:paraId="57D71DB0" w14:textId="0DB62D32" w:rsidR="00A61343" w:rsidRPr="00142FB9" w:rsidRDefault="001D4E5C" w:rsidP="00A61343">
      <w:pPr>
        <w:ind w:firstLine="720"/>
        <w:rPr>
          <w:lang w:val="cs-CZ"/>
        </w:rPr>
      </w:pPr>
      <w:r>
        <w:rPr>
          <w:lang w:val="cs-CZ"/>
        </w:rPr>
        <w:t>Úplatná smlouva je</w:t>
      </w:r>
      <w:r w:rsidR="00A61343">
        <w:rPr>
          <w:lang w:val="cs-CZ"/>
        </w:rPr>
        <w:t xml:space="preserve"> první z definičních znaků veřejné zakázky.</w:t>
      </w:r>
      <w:r w:rsidR="004875ED">
        <w:rPr>
          <w:lang w:val="cs-CZ"/>
        </w:rPr>
        <w:t xml:space="preserve"> </w:t>
      </w:r>
      <w:r w:rsidR="00142FB9">
        <w:rPr>
          <w:lang w:val="cs-CZ"/>
        </w:rPr>
        <w:t>S</w:t>
      </w:r>
      <w:r>
        <w:rPr>
          <w:lang w:val="cs-CZ"/>
        </w:rPr>
        <w:t>měrnice</w:t>
      </w:r>
      <w:r w:rsidR="00142FB9" w:rsidRPr="00142FB9">
        <w:rPr>
          <w:lang w:val="cs-CZ"/>
        </w:rPr>
        <w:t xml:space="preserve"> 2014/24/EU </w:t>
      </w:r>
      <w:r w:rsidR="00A61343">
        <w:rPr>
          <w:lang w:val="cs-CZ"/>
        </w:rPr>
        <w:t xml:space="preserve">poskytuje </w:t>
      </w:r>
      <w:r w:rsidR="00142FB9" w:rsidRPr="00142FB9">
        <w:rPr>
          <w:lang w:val="cs-CZ"/>
        </w:rPr>
        <w:t xml:space="preserve">přímo definice veřejné zakázky, která říká, že se veřejnými zakázkami rozumějí úplatně uzavřené smlouvy. </w:t>
      </w:r>
      <w:r w:rsidR="00A61343">
        <w:rPr>
          <w:lang w:val="cs-CZ"/>
        </w:rPr>
        <w:t xml:space="preserve">Dále zde můžeme najít i </w:t>
      </w:r>
      <w:r w:rsidR="00A61343" w:rsidRPr="00142FB9">
        <w:rPr>
          <w:lang w:val="cs-CZ"/>
        </w:rPr>
        <w:t xml:space="preserve">speciální </w:t>
      </w:r>
      <w:r w:rsidR="00A61343" w:rsidRPr="00142FB9">
        <w:rPr>
          <w:lang w:val="cs-CZ"/>
        </w:rPr>
        <w:lastRenderedPageBreak/>
        <w:t>ustanovení o financování, kdy za úplatu se považuje „</w:t>
      </w:r>
      <w:r w:rsidR="00A61343" w:rsidRPr="00142FB9">
        <w:rPr>
          <w:i/>
          <w:iCs/>
          <w:lang w:val="cs-CZ"/>
        </w:rPr>
        <w:t>braní užitků vyplývajících z využívání provedených stavebních prací, jež jsou předmětem dané smlouvy, nebo v tomto právu společně s platbou</w:t>
      </w:r>
      <w:r w:rsidR="00B23052">
        <w:rPr>
          <w:rStyle w:val="FootnoteReference"/>
          <w:i/>
          <w:iCs/>
          <w:lang w:val="cs-CZ"/>
        </w:rPr>
        <w:footnoteReference w:id="13"/>
      </w:r>
      <w:r w:rsidR="00A61343" w:rsidRPr="00142FB9">
        <w:rPr>
          <w:i/>
          <w:iCs/>
          <w:lang w:val="cs-CZ"/>
        </w:rPr>
        <w:t>”.</w:t>
      </w:r>
    </w:p>
    <w:p w14:paraId="74678BA9" w14:textId="5CB09D50" w:rsidR="00B02682" w:rsidRDefault="00B02682" w:rsidP="00660B6B">
      <w:pPr>
        <w:ind w:firstLine="720"/>
        <w:rPr>
          <w:lang w:val="cs-CZ"/>
        </w:rPr>
      </w:pPr>
      <w:r>
        <w:rPr>
          <w:lang w:val="cs-CZ"/>
        </w:rPr>
        <w:t>V</w:t>
      </w:r>
      <w:r w:rsidR="00660B6B">
        <w:rPr>
          <w:lang w:val="cs-CZ"/>
        </w:rPr>
        <w:t xml:space="preserve"> samotné definici </w:t>
      </w:r>
      <w:r w:rsidR="00B23052">
        <w:rPr>
          <w:lang w:val="cs-CZ"/>
        </w:rPr>
        <w:t>Z</w:t>
      </w:r>
      <w:r w:rsidR="00660B6B">
        <w:rPr>
          <w:lang w:val="cs-CZ"/>
        </w:rPr>
        <w:t>ZVZ</w:t>
      </w:r>
      <w:r>
        <w:rPr>
          <w:lang w:val="cs-CZ"/>
        </w:rPr>
        <w:t xml:space="preserve"> úmyslem zákonodárce nebylo </w:t>
      </w:r>
      <w:r w:rsidR="00660B6B">
        <w:rPr>
          <w:lang w:val="cs-CZ"/>
        </w:rPr>
        <w:t xml:space="preserve">přesně definovat zadávání veřejných zakázek, ale pouze co nejobecnějším způsobem vymezit obecné </w:t>
      </w:r>
      <w:r w:rsidR="00920FB9">
        <w:rPr>
          <w:lang w:val="cs-CZ"/>
        </w:rPr>
        <w:t xml:space="preserve">definiční znaky, i proto </w:t>
      </w:r>
      <w:r w:rsidR="00660B6B">
        <w:rPr>
          <w:lang w:val="cs-CZ"/>
        </w:rPr>
        <w:t xml:space="preserve">nenajdeme v definici zadávání veřejných zakázek požadavek písemné formy. </w:t>
      </w:r>
    </w:p>
    <w:p w14:paraId="08CAF809" w14:textId="2B8395AC" w:rsidR="00660B6B" w:rsidRDefault="00660B6B" w:rsidP="00B02682">
      <w:pPr>
        <w:rPr>
          <w:lang w:val="cs-CZ"/>
        </w:rPr>
      </w:pPr>
      <w:r>
        <w:rPr>
          <w:lang w:val="cs-CZ"/>
        </w:rPr>
        <w:tab/>
        <w:t>Pro zadávání veřejných zakázek není podstatný konkrétní druh smlouvy. Jediným požadavkem je, aby se ze své podstaty jednalo o smlouvu úplatnou. Z uved</w:t>
      </w:r>
      <w:r w:rsidR="001D4E5C">
        <w:rPr>
          <w:lang w:val="cs-CZ"/>
        </w:rPr>
        <w:t>eného je tedy patrné, že smlouvu</w:t>
      </w:r>
      <w:r>
        <w:rPr>
          <w:lang w:val="cs-CZ"/>
        </w:rPr>
        <w:t xml:space="preserve"> darovací či smlouv</w:t>
      </w:r>
      <w:r w:rsidR="004875ED">
        <w:rPr>
          <w:lang w:val="cs-CZ"/>
        </w:rPr>
        <w:t>u</w:t>
      </w:r>
      <w:r>
        <w:rPr>
          <w:lang w:val="cs-CZ"/>
        </w:rPr>
        <w:t xml:space="preserve"> o výprose nebude možné užít. </w:t>
      </w:r>
    </w:p>
    <w:p w14:paraId="66A4F459" w14:textId="1FD0438C" w:rsidR="00CB61D0" w:rsidRDefault="00DF59F5" w:rsidP="00B02682">
      <w:pPr>
        <w:rPr>
          <w:lang w:val="cs-CZ"/>
        </w:rPr>
      </w:pPr>
      <w:r>
        <w:rPr>
          <w:lang w:val="cs-CZ"/>
        </w:rPr>
        <w:tab/>
      </w:r>
      <w:r w:rsidR="00D36E21">
        <w:rPr>
          <w:lang w:val="cs-CZ"/>
        </w:rPr>
        <w:t>Úplatná smlouva je smlouva její</w:t>
      </w:r>
      <w:r>
        <w:rPr>
          <w:lang w:val="cs-CZ"/>
        </w:rPr>
        <w:t xml:space="preserve">ž součástí je protiplnění, v tomto případě </w:t>
      </w:r>
      <w:r w:rsidR="008E7141">
        <w:rPr>
          <w:lang w:val="cs-CZ"/>
        </w:rPr>
        <w:t xml:space="preserve">protiplnění ze strany </w:t>
      </w:r>
      <w:r>
        <w:rPr>
          <w:lang w:val="cs-CZ"/>
        </w:rPr>
        <w:t xml:space="preserve">zadavatele, kdy se může jednat o finanční plnění nebo obdobné plnění, jež lze vyjádřit v penězích. </w:t>
      </w:r>
      <w:r w:rsidR="00085704">
        <w:rPr>
          <w:lang w:val="cs-CZ"/>
        </w:rPr>
        <w:t>Lze si sjednat jako úplatu například převedení vlastnického práv</w:t>
      </w:r>
      <w:r w:rsidR="00085704" w:rsidRPr="006E5A79">
        <w:rPr>
          <w:lang w:val="cs-CZ"/>
        </w:rPr>
        <w:t>a</w:t>
      </w:r>
      <w:r w:rsidR="004875ED" w:rsidRPr="006E5A79">
        <w:rPr>
          <w:lang w:val="cs-CZ"/>
        </w:rPr>
        <w:t>,</w:t>
      </w:r>
      <w:r w:rsidR="00085704">
        <w:rPr>
          <w:lang w:val="cs-CZ"/>
        </w:rPr>
        <w:t xml:space="preserve"> či poskytnutí protislužby</w:t>
      </w:r>
      <w:r w:rsidR="002D2C3C">
        <w:rPr>
          <w:lang w:val="cs-CZ"/>
        </w:rPr>
        <w:t>, nebo i vzájemné započten</w:t>
      </w:r>
      <w:r w:rsidR="00CE1111">
        <w:rPr>
          <w:lang w:val="cs-CZ"/>
        </w:rPr>
        <w:t>í</w:t>
      </w:r>
      <w:r w:rsidR="002D2C3C">
        <w:rPr>
          <w:lang w:val="cs-CZ"/>
        </w:rPr>
        <w:t xml:space="preserve">. </w:t>
      </w:r>
      <w:r w:rsidR="00CE1111">
        <w:rPr>
          <w:lang w:val="cs-CZ"/>
        </w:rPr>
        <w:t xml:space="preserve">Zpravidla tedy bývá poskytování protiplnění z rozpočtu zadavatele, ovšem nejedná se o pravidlo. </w:t>
      </w:r>
      <w:r w:rsidR="00E57E89">
        <w:rPr>
          <w:lang w:val="cs-CZ"/>
        </w:rPr>
        <w:t>Častým způsobem poskytování úplaty je skrze dotace nebo z prostředků získaných od obyvatel města či jiných uživatelů služeb, jež jsou předmětem zakázky. V určitých případech dochází i k tomu, že prostředky úplaty nepřecház</w:t>
      </w:r>
      <w:r w:rsidR="00E436C8">
        <w:rPr>
          <w:lang w:val="cs-CZ"/>
        </w:rPr>
        <w:t>í vůbec přes</w:t>
      </w:r>
      <w:r w:rsidR="00E57E89">
        <w:rPr>
          <w:lang w:val="cs-CZ"/>
        </w:rPr>
        <w:t xml:space="preserve"> zadavatele, ale jsou hrazeny přímo dodavatel</w:t>
      </w:r>
      <w:r w:rsidR="00F92DC5">
        <w:rPr>
          <w:lang w:val="cs-CZ"/>
        </w:rPr>
        <w:t>i.</w:t>
      </w:r>
      <w:r w:rsidR="00CE1111">
        <w:rPr>
          <w:rStyle w:val="FootnoteReference"/>
          <w:lang w:val="cs-CZ"/>
        </w:rPr>
        <w:footnoteReference w:id="14"/>
      </w:r>
      <w:r w:rsidR="00CE1111">
        <w:rPr>
          <w:lang w:val="cs-CZ"/>
        </w:rPr>
        <w:t xml:space="preserve"> </w:t>
      </w:r>
      <w:r w:rsidR="00085704">
        <w:rPr>
          <w:lang w:val="cs-CZ"/>
        </w:rPr>
        <w:t>Úplatná smlouva nemusí být sj</w:t>
      </w:r>
      <w:r w:rsidR="001D4E5C">
        <w:rPr>
          <w:lang w:val="cs-CZ"/>
        </w:rPr>
        <w:t>ednána jen mezi dvěma subjekty, kterými jsou</w:t>
      </w:r>
      <w:r w:rsidR="00085704">
        <w:rPr>
          <w:lang w:val="cs-CZ"/>
        </w:rPr>
        <w:t xml:space="preserve"> zadavatel a dodavatel, ale může být v ní ujednání, že úplatné plnění poskytne třetí subjekt.</w:t>
      </w:r>
      <w:r w:rsidR="00085704">
        <w:rPr>
          <w:rStyle w:val="FootnoteReference"/>
          <w:lang w:val="cs-CZ"/>
        </w:rPr>
        <w:footnoteReference w:id="15"/>
      </w:r>
      <w:r w:rsidR="002D2C3C">
        <w:rPr>
          <w:lang w:val="cs-CZ"/>
        </w:rPr>
        <w:t xml:space="preserve"> </w:t>
      </w:r>
    </w:p>
    <w:p w14:paraId="7B0E9678" w14:textId="34841725" w:rsidR="00A61343" w:rsidRPr="00CB61D0" w:rsidRDefault="001D4E5C" w:rsidP="00A61343">
      <w:pPr>
        <w:ind w:firstLine="720"/>
        <w:rPr>
          <w:lang w:val="cs-CZ"/>
        </w:rPr>
      </w:pPr>
      <w:r>
        <w:rPr>
          <w:lang w:val="cs-CZ"/>
        </w:rPr>
        <w:t>P</w:t>
      </w:r>
      <w:r w:rsidR="005B3AC7">
        <w:rPr>
          <w:lang w:val="cs-CZ"/>
        </w:rPr>
        <w:t>roti ZZVZ S</w:t>
      </w:r>
      <w:r w:rsidR="00A61343" w:rsidRPr="00142FB9">
        <w:rPr>
          <w:lang w:val="cs-CZ"/>
        </w:rPr>
        <w:t xml:space="preserve">měrnice 2014/24/EU požaduje uzavření smlouvy v písemné formě. Směrnice 2014/24/EU ve svém znění v čl. 10 písm. g) přímo říká, že se nevztahuje na poskytování služeb uzavřených na základě pracovněprávních smluv. </w:t>
      </w:r>
    </w:p>
    <w:p w14:paraId="369E8CF5" w14:textId="77777777" w:rsidR="008F49E0" w:rsidRPr="0052600C" w:rsidRDefault="008F49E0" w:rsidP="00D12386">
      <w:pPr>
        <w:pStyle w:val="Subtitle"/>
        <w:numPr>
          <w:ilvl w:val="2"/>
          <w:numId w:val="1"/>
        </w:numPr>
        <w:rPr>
          <w:lang w:val="cs-CZ"/>
        </w:rPr>
      </w:pPr>
      <w:r w:rsidRPr="0052600C">
        <w:rPr>
          <w:lang w:val="cs-CZ"/>
        </w:rPr>
        <w:t>Konkrétně určené subjekty</w:t>
      </w:r>
    </w:p>
    <w:p w14:paraId="5B692C42" w14:textId="0F00F0EF" w:rsidR="00447A26" w:rsidRDefault="00081D56" w:rsidP="0052600C">
      <w:pPr>
        <w:ind w:firstLine="720"/>
        <w:rPr>
          <w:lang w:val="cs-CZ"/>
        </w:rPr>
      </w:pPr>
      <w:r w:rsidRPr="0052600C">
        <w:rPr>
          <w:lang w:val="cs-CZ"/>
        </w:rPr>
        <w:t xml:space="preserve">Druhým pojmovým znakem zadávání veřejných zakázek jsou subjekty úplatné smlouvy. Vždy musí smlouvy mít dva subjekty, a to zadavatele na straně jedné a dodavatele na straně druhé. Zadavatel se </w:t>
      </w:r>
      <w:r w:rsidR="0052600C" w:rsidRPr="0052600C">
        <w:rPr>
          <w:lang w:val="cs-CZ"/>
        </w:rPr>
        <w:t>objevuje na straně objednatele smlouvy a naopak dodavatel se obj</w:t>
      </w:r>
      <w:r w:rsidR="001D4E5C">
        <w:rPr>
          <w:lang w:val="cs-CZ"/>
        </w:rPr>
        <w:t>evuje na straně poskytovatele nebo</w:t>
      </w:r>
      <w:r w:rsidR="0052600C" w:rsidRPr="0052600C">
        <w:rPr>
          <w:lang w:val="cs-CZ"/>
        </w:rPr>
        <w:t xml:space="preserve"> zhotovitele. </w:t>
      </w:r>
    </w:p>
    <w:p w14:paraId="1C9338B4" w14:textId="2335EF9E" w:rsidR="00447A26" w:rsidRDefault="008D4803" w:rsidP="008D4803">
      <w:pPr>
        <w:ind w:firstLine="720"/>
        <w:rPr>
          <w:lang w:val="cs-CZ"/>
        </w:rPr>
      </w:pPr>
      <w:r>
        <w:rPr>
          <w:lang w:val="cs-CZ"/>
        </w:rPr>
        <w:lastRenderedPageBreak/>
        <w:t>Směrnice 2014/24/EU definuje v čl. 2 jednotlivé mo</w:t>
      </w:r>
      <w:r w:rsidR="008E7141">
        <w:rPr>
          <w:lang w:val="cs-CZ"/>
        </w:rPr>
        <w:t>žné subjekty strany zadavatele, a to jako veřejného</w:t>
      </w:r>
      <w:r>
        <w:rPr>
          <w:lang w:val="cs-CZ"/>
        </w:rPr>
        <w:t xml:space="preserve"> zadavatel</w:t>
      </w:r>
      <w:r w:rsidR="008E7141">
        <w:rPr>
          <w:lang w:val="cs-CZ"/>
        </w:rPr>
        <w:t>e</w:t>
      </w:r>
      <w:r>
        <w:rPr>
          <w:lang w:val="cs-CZ"/>
        </w:rPr>
        <w:t>, ústřední orgány státní s</w:t>
      </w:r>
      <w:r w:rsidR="008E7141">
        <w:rPr>
          <w:lang w:val="cs-CZ"/>
        </w:rPr>
        <w:t xml:space="preserve">právy, veřejného </w:t>
      </w:r>
      <w:r>
        <w:rPr>
          <w:lang w:val="cs-CZ"/>
        </w:rPr>
        <w:t>zadavatel na nižší úrovni, veřejnoprávní subjekty či centrální zadavatel</w:t>
      </w:r>
      <w:r w:rsidR="008E7141">
        <w:rPr>
          <w:lang w:val="cs-CZ"/>
        </w:rPr>
        <w:t>e</w:t>
      </w:r>
      <w:r>
        <w:rPr>
          <w:lang w:val="cs-CZ"/>
        </w:rPr>
        <w:t>.</w:t>
      </w:r>
      <w:r w:rsidR="00B51F1F">
        <w:rPr>
          <w:rStyle w:val="FootnoteReference"/>
          <w:lang w:val="cs-CZ"/>
        </w:rPr>
        <w:footnoteReference w:id="16"/>
      </w:r>
      <w:r>
        <w:rPr>
          <w:lang w:val="cs-CZ"/>
        </w:rPr>
        <w:t xml:space="preserve"> </w:t>
      </w:r>
      <w:r w:rsidR="00447A26">
        <w:rPr>
          <w:lang w:val="cs-CZ"/>
        </w:rPr>
        <w:t xml:space="preserve">Zadavatel nemá v zákoně o zadávání veřejných zakázek obecnou definici. V uvedeném zákoně nalezneme </w:t>
      </w:r>
      <w:r w:rsidR="008E7141">
        <w:rPr>
          <w:lang w:val="cs-CZ"/>
        </w:rPr>
        <w:t xml:space="preserve">přesné </w:t>
      </w:r>
      <w:r w:rsidR="00447A26">
        <w:rPr>
          <w:lang w:val="cs-CZ"/>
        </w:rPr>
        <w:t>vymezení p</w:t>
      </w:r>
      <w:r w:rsidR="008E7141">
        <w:rPr>
          <w:lang w:val="cs-CZ"/>
        </w:rPr>
        <w:t xml:space="preserve">ojmu zadavatel. V </w:t>
      </w:r>
      <w:r w:rsidR="00447A26">
        <w:rPr>
          <w:lang w:val="cs-CZ"/>
        </w:rPr>
        <w:t xml:space="preserve">§ 4 odst. 1 ZZVZ </w:t>
      </w:r>
      <w:r w:rsidR="008E7141">
        <w:rPr>
          <w:lang w:val="cs-CZ"/>
        </w:rPr>
        <w:t>je definován zadavatel z hlediska vymezení pojmu „</w:t>
      </w:r>
      <w:r w:rsidR="00447A26">
        <w:rPr>
          <w:lang w:val="cs-CZ"/>
        </w:rPr>
        <w:t>veřejného zadavatele</w:t>
      </w:r>
      <w:r w:rsidR="008E7141">
        <w:rPr>
          <w:lang w:val="cs-CZ"/>
        </w:rPr>
        <w:t>“</w:t>
      </w:r>
      <w:r w:rsidR="00447A26">
        <w:rPr>
          <w:lang w:val="cs-CZ"/>
        </w:rPr>
        <w:t>, v odst. 2 nadlimitního nebo podlimitního zadavatele a v odst. 3 zadavatele se</w:t>
      </w:r>
      <w:r w:rsidR="008E7141">
        <w:rPr>
          <w:lang w:val="cs-CZ"/>
        </w:rPr>
        <w:t>ktorových veřejných zakázek. Nutnou podmínkou je</w:t>
      </w:r>
      <w:r w:rsidR="00447A26">
        <w:rPr>
          <w:lang w:val="cs-CZ"/>
        </w:rPr>
        <w:t>, aby osoba zadavatele ve smlouvě figurovala. Osobě zadavatele je uložena většina povinností ze zákona, tím pádem zadavatel nese plnou odpovědnost za dodržení těchto podmínek.</w:t>
      </w:r>
      <w:r w:rsidR="00B51F1F">
        <w:rPr>
          <w:rStyle w:val="FootnoteReference"/>
          <w:lang w:val="cs-CZ"/>
        </w:rPr>
        <w:footnoteReference w:id="17"/>
      </w:r>
      <w:r w:rsidR="00447A26">
        <w:rPr>
          <w:lang w:val="cs-CZ"/>
        </w:rPr>
        <w:t xml:space="preserve"> </w:t>
      </w:r>
    </w:p>
    <w:p w14:paraId="455FA773" w14:textId="4CC7143A" w:rsidR="0052600C" w:rsidRPr="00876B9A" w:rsidRDefault="004356F7" w:rsidP="0052600C">
      <w:pPr>
        <w:ind w:firstLine="720"/>
        <w:rPr>
          <w:lang w:val="cs-CZ"/>
        </w:rPr>
      </w:pPr>
      <w:r>
        <w:rPr>
          <w:lang w:val="cs-CZ"/>
        </w:rPr>
        <w:t>Směrnice 2014/24/EU opět stejně jako u subjektu zadavatele poskytuje pouze zájemce či uchazeče, osoby, které jsou schopny odpovědět na nabídku zadavatele a účastnit se zadávacího řízení. Naproti tomu d</w:t>
      </w:r>
      <w:r w:rsidR="0052600C" w:rsidRPr="0052600C">
        <w:rPr>
          <w:lang w:val="cs-CZ"/>
        </w:rPr>
        <w:t>odavatel je v pozici,</w:t>
      </w:r>
      <w:r w:rsidR="0052600C">
        <w:rPr>
          <w:lang w:val="cs-CZ"/>
        </w:rPr>
        <w:t xml:space="preserve"> kdy je smlouvou vázán k určité povinn</w:t>
      </w:r>
      <w:r w:rsidR="00962761">
        <w:rPr>
          <w:lang w:val="cs-CZ"/>
        </w:rPr>
        <w:t>osti, za kterou následně obdrží</w:t>
      </w:r>
      <w:r w:rsidR="0052600C">
        <w:rPr>
          <w:lang w:val="cs-CZ"/>
        </w:rPr>
        <w:t xml:space="preserve"> plnění. </w:t>
      </w:r>
      <w:r w:rsidR="00876B9A">
        <w:rPr>
          <w:lang w:val="cs-CZ"/>
        </w:rPr>
        <w:t xml:space="preserve">Dodavatelem se </w:t>
      </w:r>
      <w:r w:rsidR="001D4E5C">
        <w:rPr>
          <w:lang w:val="cs-CZ"/>
        </w:rPr>
        <w:t>po</w:t>
      </w:r>
      <w:r w:rsidR="00876B9A">
        <w:rPr>
          <w:lang w:val="cs-CZ"/>
        </w:rPr>
        <w:t>dle záko</w:t>
      </w:r>
      <w:r w:rsidR="001162E3">
        <w:rPr>
          <w:lang w:val="cs-CZ"/>
        </w:rPr>
        <w:t>na o zadávání veřejných zakázek</w:t>
      </w:r>
      <w:r w:rsidR="00876B9A">
        <w:rPr>
          <w:lang w:val="cs-CZ"/>
        </w:rPr>
        <w:t xml:space="preserve"> § 5 má na mysli </w:t>
      </w:r>
      <w:r w:rsidR="00237C03">
        <w:rPr>
          <w:lang w:val="cs-CZ"/>
        </w:rPr>
        <w:t>„</w:t>
      </w:r>
      <w:r w:rsidR="00876B9A" w:rsidRPr="00876B9A">
        <w:rPr>
          <w:i/>
          <w:lang w:val="cs-CZ"/>
        </w:rPr>
        <w:t>osoba, která nabízí poskytnutí dodávek, služeb nebo stavebních prací, nebo více těchto osob společně. Za dodavatele se považuje i pobočka závodu; v takovém případě se za sídlo dodavatele považuje sídlo pobočky závodu.</w:t>
      </w:r>
      <w:r w:rsidR="00237C03">
        <w:rPr>
          <w:i/>
          <w:lang w:val="cs-CZ"/>
        </w:rPr>
        <w:t>“</w:t>
      </w:r>
      <w:r w:rsidR="00237C03">
        <w:rPr>
          <w:rStyle w:val="FootnoteReference"/>
          <w:i/>
          <w:lang w:val="cs-CZ"/>
        </w:rPr>
        <w:footnoteReference w:id="18"/>
      </w:r>
    </w:p>
    <w:p w14:paraId="52BA671B" w14:textId="157DC2B0" w:rsidR="0052600C" w:rsidRDefault="004356F7" w:rsidP="004356F7">
      <w:pPr>
        <w:ind w:firstLine="720"/>
        <w:rPr>
          <w:lang w:val="cs-CZ"/>
        </w:rPr>
      </w:pPr>
      <w:r>
        <w:rPr>
          <w:lang w:val="cs-CZ"/>
        </w:rPr>
        <w:t>Směrnice 2014/24/EU poskytuje již v samotné definici veřejné zakázky možnost plurality subjektů, a to jak na straně dodavatele, tak na straně zadavatele.</w:t>
      </w:r>
      <w:r w:rsidR="005B3AC7">
        <w:rPr>
          <w:rStyle w:val="FootnoteReference"/>
          <w:lang w:val="cs-CZ"/>
        </w:rPr>
        <w:footnoteReference w:id="19"/>
      </w:r>
      <w:r>
        <w:rPr>
          <w:lang w:val="cs-CZ"/>
        </w:rPr>
        <w:t xml:space="preserve"> </w:t>
      </w:r>
      <w:r w:rsidR="00962761">
        <w:rPr>
          <w:lang w:val="cs-CZ"/>
        </w:rPr>
        <w:t>V úpravě dle českého zákona o zadávání veřejných zakázek je vymezení plurality su</w:t>
      </w:r>
      <w:r w:rsidR="00965388">
        <w:rPr>
          <w:lang w:val="cs-CZ"/>
        </w:rPr>
        <w:t>b</w:t>
      </w:r>
      <w:r w:rsidR="001162E3">
        <w:rPr>
          <w:lang w:val="cs-CZ"/>
        </w:rPr>
        <w:t>jektů</w:t>
      </w:r>
      <w:r w:rsidR="00962761">
        <w:rPr>
          <w:lang w:val="cs-CZ"/>
        </w:rPr>
        <w:t xml:space="preserve"> </w:t>
      </w:r>
      <w:r w:rsidR="001D4E5C">
        <w:rPr>
          <w:lang w:val="cs-CZ"/>
        </w:rPr>
        <w:t xml:space="preserve">uvedené </w:t>
      </w:r>
      <w:r w:rsidR="00962761">
        <w:rPr>
          <w:lang w:val="cs-CZ"/>
        </w:rPr>
        <w:t xml:space="preserve">v </w:t>
      </w:r>
      <w:r w:rsidR="005B3AC7">
        <w:rPr>
          <w:lang w:val="cs-CZ"/>
        </w:rPr>
        <w:t xml:space="preserve">§ 7 ZZVZ. </w:t>
      </w:r>
    </w:p>
    <w:p w14:paraId="1CE48155" w14:textId="6BD5DB45" w:rsidR="00736738" w:rsidRPr="0052600C" w:rsidRDefault="00736738" w:rsidP="004356F7">
      <w:pPr>
        <w:ind w:firstLine="720"/>
        <w:rPr>
          <w:lang w:val="cs-CZ"/>
        </w:rPr>
      </w:pPr>
      <w:r>
        <w:rPr>
          <w:lang w:val="cs-CZ"/>
        </w:rPr>
        <w:t xml:space="preserve">Pro účely práce bude dále označován zadavatel dále jen jako „veřejný zadavatel“ či pouze „zadavatel“ a dodavatel dále jen jako „dodavatel“. </w:t>
      </w:r>
    </w:p>
    <w:p w14:paraId="73054107" w14:textId="77777777" w:rsidR="008F49E0" w:rsidRPr="0052600C" w:rsidRDefault="008F49E0" w:rsidP="00D12386">
      <w:pPr>
        <w:pStyle w:val="Subtitle"/>
        <w:numPr>
          <w:ilvl w:val="2"/>
          <w:numId w:val="1"/>
        </w:numPr>
        <w:rPr>
          <w:lang w:val="cs-CZ"/>
        </w:rPr>
      </w:pPr>
      <w:r w:rsidRPr="0052600C">
        <w:rPr>
          <w:lang w:val="cs-CZ"/>
        </w:rPr>
        <w:t>Specifický předmět smlouvy</w:t>
      </w:r>
    </w:p>
    <w:p w14:paraId="5329FAD0" w14:textId="6D1A0891" w:rsidR="008F49E0" w:rsidRDefault="00EC274C" w:rsidP="005B5702">
      <w:pPr>
        <w:ind w:firstLine="720"/>
        <w:rPr>
          <w:lang w:val="cs-CZ"/>
        </w:rPr>
      </w:pPr>
      <w:r>
        <w:rPr>
          <w:lang w:val="cs-CZ"/>
        </w:rPr>
        <w:t>Posledním, třetím, definičním znakem veřejné zakáz</w:t>
      </w:r>
      <w:r w:rsidR="00363956">
        <w:rPr>
          <w:lang w:val="cs-CZ"/>
        </w:rPr>
        <w:t>ky je specifický předmět smlouvy</w:t>
      </w:r>
      <w:r>
        <w:rPr>
          <w:lang w:val="cs-CZ"/>
        </w:rPr>
        <w:t>. Jedná se o vymezení předmětu plnění ze strany dodavatele</w:t>
      </w:r>
      <w:r w:rsidR="00C8733C">
        <w:rPr>
          <w:lang w:val="cs-CZ"/>
        </w:rPr>
        <w:t xml:space="preserve">, přičemž plnění může být v poskytnutí dodávky či služby nebo stavební práce. </w:t>
      </w:r>
      <w:r>
        <w:rPr>
          <w:lang w:val="cs-CZ"/>
        </w:rPr>
        <w:t xml:space="preserve"> </w:t>
      </w:r>
    </w:p>
    <w:p w14:paraId="63D65E10" w14:textId="1CAA709F" w:rsidR="00E436C8" w:rsidRPr="00D12386" w:rsidRDefault="001A492B" w:rsidP="006A476D">
      <w:pPr>
        <w:pStyle w:val="ListParagraph"/>
        <w:keepNext/>
        <w:numPr>
          <w:ilvl w:val="2"/>
          <w:numId w:val="1"/>
        </w:numPr>
        <w:rPr>
          <w:b/>
          <w:lang w:val="cs-CZ"/>
        </w:rPr>
      </w:pPr>
      <w:r>
        <w:rPr>
          <w:b/>
          <w:lang w:val="cs-CZ"/>
        </w:rPr>
        <w:lastRenderedPageBreak/>
        <w:t xml:space="preserve">Porovnání Směrnice 2014/24/EU a českého zákona </w:t>
      </w:r>
      <w:r w:rsidR="009117E2" w:rsidRPr="00D12386">
        <w:rPr>
          <w:b/>
          <w:lang w:val="cs-CZ"/>
        </w:rPr>
        <w:t xml:space="preserve"> </w:t>
      </w:r>
      <w:r w:rsidR="00E436C8" w:rsidRPr="00D12386">
        <w:rPr>
          <w:b/>
          <w:lang w:val="cs-CZ"/>
        </w:rPr>
        <w:t xml:space="preserve"> </w:t>
      </w:r>
    </w:p>
    <w:p w14:paraId="08A113E8" w14:textId="62EFD1BA" w:rsidR="00E436C8" w:rsidRDefault="00E436C8" w:rsidP="006A476D">
      <w:pPr>
        <w:keepNext/>
        <w:ind w:firstLine="720"/>
        <w:rPr>
          <w:iCs/>
          <w:lang w:val="cs-CZ"/>
        </w:rPr>
      </w:pPr>
      <w:r>
        <w:rPr>
          <w:iCs/>
          <w:lang w:val="cs-CZ"/>
        </w:rPr>
        <w:t>V rámci porovnání definice</w:t>
      </w:r>
      <w:r w:rsidRPr="00B02682">
        <w:rPr>
          <w:iCs/>
          <w:lang w:val="cs-CZ"/>
        </w:rPr>
        <w:t xml:space="preserve"> Směrnice 20</w:t>
      </w:r>
      <w:r>
        <w:rPr>
          <w:iCs/>
          <w:lang w:val="cs-CZ"/>
        </w:rPr>
        <w:t>14/24/EU a definičních znaků</w:t>
      </w:r>
      <w:r w:rsidRPr="00B02682">
        <w:rPr>
          <w:iCs/>
          <w:lang w:val="cs-CZ"/>
        </w:rPr>
        <w:t xml:space="preserve"> zákona o zadávání veřejných zakázek můžeme</w:t>
      </w:r>
      <w:r w:rsidR="004356F7">
        <w:rPr>
          <w:iCs/>
          <w:lang w:val="cs-CZ"/>
        </w:rPr>
        <w:t xml:space="preserve"> dojít k závěru, že směrnice</w:t>
      </w:r>
      <w:r w:rsidR="001D4E5C">
        <w:rPr>
          <w:iCs/>
          <w:lang w:val="cs-CZ"/>
        </w:rPr>
        <w:t xml:space="preserve"> tvoří jaký</w:t>
      </w:r>
      <w:r w:rsidR="004356F7">
        <w:rPr>
          <w:iCs/>
          <w:lang w:val="cs-CZ"/>
        </w:rPr>
        <w:t xml:space="preserve">si návod pro vymezení podmínek </w:t>
      </w:r>
      <w:r w:rsidRPr="00B02682">
        <w:rPr>
          <w:iCs/>
          <w:lang w:val="cs-CZ"/>
        </w:rPr>
        <w:t>smlouvy</w:t>
      </w:r>
      <w:r w:rsidR="004356F7">
        <w:rPr>
          <w:iCs/>
          <w:lang w:val="cs-CZ"/>
        </w:rPr>
        <w:t xml:space="preserve"> v zákon</w:t>
      </w:r>
      <w:r w:rsidR="001D4E5C">
        <w:rPr>
          <w:iCs/>
          <w:lang w:val="cs-CZ"/>
        </w:rPr>
        <w:t>ě o zadávání veřejných zakázek</w:t>
      </w:r>
      <w:r w:rsidRPr="00B02682">
        <w:rPr>
          <w:iCs/>
          <w:lang w:val="cs-CZ"/>
        </w:rPr>
        <w:t>, tím způsobem, že musí smlouva být konkretizována</w:t>
      </w:r>
      <w:r>
        <w:rPr>
          <w:iCs/>
          <w:lang w:val="cs-CZ"/>
        </w:rPr>
        <w:t xml:space="preserve"> přesně. Společným znakem směrnice i zákona o zadávání veřejných zakázek je pluralita na straně zadavatele a dodavatele, kdy vymezení četnosti je rozdělen</w:t>
      </w:r>
      <w:r w:rsidR="001D4E5C">
        <w:rPr>
          <w:iCs/>
          <w:lang w:val="cs-CZ"/>
        </w:rPr>
        <w:t>o</w:t>
      </w:r>
      <w:r>
        <w:rPr>
          <w:iCs/>
          <w:lang w:val="cs-CZ"/>
        </w:rPr>
        <w:t xml:space="preserve"> v ZZVZ v § 5 a 7. </w:t>
      </w:r>
    </w:p>
    <w:p w14:paraId="74F1CFE2" w14:textId="7BC10E74" w:rsidR="00E436C8" w:rsidRDefault="00E436C8" w:rsidP="00E436C8">
      <w:pPr>
        <w:rPr>
          <w:iCs/>
          <w:lang w:val="cs-CZ"/>
        </w:rPr>
      </w:pPr>
      <w:r>
        <w:rPr>
          <w:iCs/>
          <w:lang w:val="cs-CZ"/>
        </w:rPr>
        <w:tab/>
        <w:t xml:space="preserve">V obou případech lze veřejnou zakázku chápat jako vztah mezi zadavatelem a dodavatelem na základě smlouvy, kdy dodavatel se zavazuje poskytnout určité plnění zadavateli. </w:t>
      </w:r>
      <w:r w:rsidR="00630514">
        <w:rPr>
          <w:iCs/>
          <w:lang w:val="cs-CZ"/>
        </w:rPr>
        <w:br w:type="page"/>
      </w:r>
    </w:p>
    <w:p w14:paraId="2F199CC0" w14:textId="2481D6DB" w:rsidR="008F49E0" w:rsidRDefault="00BB2B7B" w:rsidP="00D12386">
      <w:pPr>
        <w:pStyle w:val="Heading1"/>
        <w:numPr>
          <w:ilvl w:val="0"/>
          <w:numId w:val="1"/>
        </w:numPr>
      </w:pPr>
      <w:bookmarkStart w:id="15" w:name="_Toc435378275"/>
      <w:bookmarkStart w:id="16" w:name="_Toc436130174"/>
      <w:bookmarkStart w:id="17" w:name="_Toc436130204"/>
      <w:bookmarkStart w:id="18" w:name="_Toc436130434"/>
      <w:bookmarkStart w:id="19" w:name="_Toc436644048"/>
      <w:r w:rsidRPr="00BB2B7B">
        <w:lastRenderedPageBreak/>
        <w:t>Zadávací řízení</w:t>
      </w:r>
      <w:bookmarkEnd w:id="15"/>
      <w:r w:rsidR="008D4803">
        <w:t xml:space="preserve"> v nadlimitním režimu</w:t>
      </w:r>
      <w:bookmarkEnd w:id="16"/>
      <w:bookmarkEnd w:id="17"/>
      <w:bookmarkEnd w:id="18"/>
      <w:bookmarkEnd w:id="19"/>
      <w:r w:rsidR="008D4803">
        <w:t xml:space="preserve"> </w:t>
      </w:r>
    </w:p>
    <w:p w14:paraId="3CA3C57E" w14:textId="68B8EB8D" w:rsidR="002D2C3C" w:rsidRDefault="002D2C3C" w:rsidP="00AE6EDA">
      <w:pPr>
        <w:ind w:firstLine="720"/>
        <w:rPr>
          <w:lang w:val="cs-CZ"/>
        </w:rPr>
      </w:pPr>
      <w:r w:rsidRPr="00965388">
        <w:rPr>
          <w:lang w:val="cs-CZ"/>
        </w:rPr>
        <w:t>Zadávací řízení představuje postu</w:t>
      </w:r>
      <w:r w:rsidR="00D42046">
        <w:rPr>
          <w:lang w:val="cs-CZ"/>
        </w:rPr>
        <w:t>p</w:t>
      </w:r>
      <w:r w:rsidRPr="00965388">
        <w:rPr>
          <w:lang w:val="cs-CZ"/>
        </w:rPr>
        <w:t xml:space="preserve"> zadavatele při zadávání veřejných zakázek. </w:t>
      </w:r>
      <w:r w:rsidR="002D7402">
        <w:rPr>
          <w:lang w:val="cs-CZ"/>
        </w:rPr>
        <w:t>Zadávací řízení je zákonem definovaný soubor pravidel, které musí zadavatel použít při zadávání veřejné zakázky.</w:t>
      </w:r>
      <w:r w:rsidR="00AE6EDA">
        <w:rPr>
          <w:rStyle w:val="FootnoteReference"/>
          <w:lang w:val="cs-CZ"/>
        </w:rPr>
        <w:footnoteReference w:id="20"/>
      </w:r>
    </w:p>
    <w:p w14:paraId="1D8B2FAB" w14:textId="6A754B74" w:rsidR="00D96A59" w:rsidRPr="002637A4" w:rsidRDefault="002637A4" w:rsidP="002637A4">
      <w:pPr>
        <w:ind w:firstLine="720"/>
        <w:rPr>
          <w:lang w:val="cs-CZ"/>
        </w:rPr>
      </w:pPr>
      <w:r>
        <w:rPr>
          <w:lang w:val="cs-CZ"/>
        </w:rPr>
        <w:t xml:space="preserve">Směrnice </w:t>
      </w:r>
      <w:r w:rsidRPr="00B02682">
        <w:rPr>
          <w:iCs/>
          <w:lang w:val="cs-CZ"/>
        </w:rPr>
        <w:t>20</w:t>
      </w:r>
      <w:r>
        <w:rPr>
          <w:iCs/>
          <w:lang w:val="cs-CZ"/>
        </w:rPr>
        <w:t>14/24/EU žádnou definici zadávacího ří</w:t>
      </w:r>
      <w:r w:rsidR="00342BF8">
        <w:rPr>
          <w:iCs/>
          <w:lang w:val="cs-CZ"/>
        </w:rPr>
        <w:t xml:space="preserve">zení neposkytuje. Naproti tomu </w:t>
      </w:r>
      <w:r w:rsidR="008D4803">
        <w:rPr>
          <w:lang w:val="cs-CZ"/>
        </w:rPr>
        <w:t>zákon</w:t>
      </w:r>
      <w:r w:rsidR="00301AE3">
        <w:rPr>
          <w:lang w:val="cs-CZ"/>
        </w:rPr>
        <w:t xml:space="preserve"> o </w:t>
      </w:r>
      <w:r>
        <w:rPr>
          <w:lang w:val="cs-CZ"/>
        </w:rPr>
        <w:t xml:space="preserve">zadávání veřejných zakázek má </w:t>
      </w:r>
      <w:r w:rsidR="00D36E21">
        <w:rPr>
          <w:lang w:val="cs-CZ"/>
        </w:rPr>
        <w:t xml:space="preserve">při </w:t>
      </w:r>
      <w:r w:rsidR="00BA1769">
        <w:rPr>
          <w:lang w:val="cs-CZ"/>
        </w:rPr>
        <w:t>zadávání</w:t>
      </w:r>
      <w:r>
        <w:rPr>
          <w:lang w:val="cs-CZ"/>
        </w:rPr>
        <w:t xml:space="preserve"> na</w:t>
      </w:r>
      <w:r w:rsidR="00301AE3">
        <w:rPr>
          <w:lang w:val="cs-CZ"/>
        </w:rPr>
        <w:t xml:space="preserve"> mysli uzavření úplatné smlouvy mezi zadavatelem a dodavatelem, z niž vyplývá povinnost dodavatele poskytnout dodávky, služby nebo stavební práce. </w:t>
      </w:r>
    </w:p>
    <w:p w14:paraId="1B88C860" w14:textId="6DE5E17F" w:rsidR="008F4ED3" w:rsidRDefault="00902C5A" w:rsidP="008F4ED3">
      <w:pPr>
        <w:ind w:firstLine="720"/>
        <w:rPr>
          <w:lang w:val="cs-CZ"/>
        </w:rPr>
      </w:pPr>
      <w:r>
        <w:rPr>
          <w:iCs/>
          <w:lang w:val="cs-CZ"/>
        </w:rPr>
        <w:t>Směrnice 2014/24/EU neposkytuje</w:t>
      </w:r>
      <w:r w:rsidR="00A61343">
        <w:rPr>
          <w:iCs/>
          <w:lang w:val="cs-CZ"/>
        </w:rPr>
        <w:t xml:space="preserve"> ustanovení, které by </w:t>
      </w:r>
      <w:r>
        <w:rPr>
          <w:iCs/>
          <w:lang w:val="cs-CZ"/>
        </w:rPr>
        <w:t>obsahovalo</w:t>
      </w:r>
      <w:r w:rsidR="00A61343">
        <w:rPr>
          <w:iCs/>
          <w:lang w:val="cs-CZ"/>
        </w:rPr>
        <w:t xml:space="preserve"> výče</w:t>
      </w:r>
      <w:r>
        <w:rPr>
          <w:iCs/>
          <w:lang w:val="cs-CZ"/>
        </w:rPr>
        <w:t xml:space="preserve">t všech druhů zadávacího řízení, </w:t>
      </w:r>
      <w:r w:rsidR="00BA1769">
        <w:rPr>
          <w:iCs/>
          <w:lang w:val="cs-CZ"/>
        </w:rPr>
        <w:t>proto</w:t>
      </w:r>
      <w:r w:rsidR="00A61343">
        <w:rPr>
          <w:iCs/>
          <w:lang w:val="cs-CZ"/>
        </w:rPr>
        <w:t xml:space="preserve"> </w:t>
      </w:r>
      <w:r>
        <w:rPr>
          <w:iCs/>
          <w:lang w:val="cs-CZ"/>
        </w:rPr>
        <w:t xml:space="preserve">ani nemůžeme v citované směrnici nalézt </w:t>
      </w:r>
      <w:r w:rsidR="00A61343">
        <w:rPr>
          <w:iCs/>
          <w:lang w:val="cs-CZ"/>
        </w:rPr>
        <w:t>taxativní výčet všech dru</w:t>
      </w:r>
      <w:r>
        <w:rPr>
          <w:iCs/>
          <w:lang w:val="cs-CZ"/>
        </w:rPr>
        <w:t xml:space="preserve">hů zadávacího řízení, které </w:t>
      </w:r>
      <w:r w:rsidR="00BA1769">
        <w:rPr>
          <w:iCs/>
          <w:lang w:val="cs-CZ"/>
        </w:rPr>
        <w:t xml:space="preserve">by </w:t>
      </w:r>
      <w:r w:rsidR="001D4E5C">
        <w:rPr>
          <w:iCs/>
          <w:lang w:val="cs-CZ"/>
        </w:rPr>
        <w:t xml:space="preserve">bylo možné </w:t>
      </w:r>
      <w:r w:rsidR="00A61343">
        <w:rPr>
          <w:iCs/>
          <w:lang w:val="cs-CZ"/>
        </w:rPr>
        <w:t xml:space="preserve">užít pro </w:t>
      </w:r>
      <w:r>
        <w:rPr>
          <w:iCs/>
          <w:lang w:val="cs-CZ"/>
        </w:rPr>
        <w:t>zadání veřejné zakázky</w:t>
      </w:r>
      <w:r w:rsidR="00A61343">
        <w:rPr>
          <w:iCs/>
          <w:lang w:val="cs-CZ"/>
        </w:rPr>
        <w:t xml:space="preserve"> v nadlimitním režimu. </w:t>
      </w:r>
      <w:r w:rsidR="0039796B">
        <w:rPr>
          <w:iCs/>
          <w:lang w:val="cs-CZ"/>
        </w:rPr>
        <w:t>Studováním směrnice 2014/24/EU dospějeme k závěru, že pro zadávání nadlimitních ve</w:t>
      </w:r>
      <w:r w:rsidR="00342BF8">
        <w:rPr>
          <w:iCs/>
          <w:lang w:val="cs-CZ"/>
        </w:rPr>
        <w:t xml:space="preserve">řejných zakázek lze užít celkem </w:t>
      </w:r>
      <w:r>
        <w:rPr>
          <w:iCs/>
          <w:lang w:val="cs-CZ"/>
        </w:rPr>
        <w:t>šest</w:t>
      </w:r>
      <w:r w:rsidR="0039796B">
        <w:rPr>
          <w:iCs/>
          <w:lang w:val="cs-CZ"/>
        </w:rPr>
        <w:t xml:space="preserve"> </w:t>
      </w:r>
      <w:r w:rsidR="001D4E5C">
        <w:rPr>
          <w:iCs/>
          <w:lang w:val="cs-CZ"/>
        </w:rPr>
        <w:t xml:space="preserve">zadávacích řízení, </w:t>
      </w:r>
      <w:r w:rsidR="005D42F5">
        <w:rPr>
          <w:iCs/>
          <w:lang w:val="cs-CZ"/>
        </w:rPr>
        <w:t>stejně tak tomu je i v zákoně o zadávání veřejných zakázek</w:t>
      </w:r>
      <w:r w:rsidR="00C93D64">
        <w:rPr>
          <w:iCs/>
          <w:lang w:val="cs-CZ"/>
        </w:rPr>
        <w:t>.</w:t>
      </w:r>
      <w:r w:rsidR="001B2A90" w:rsidRPr="00A61343">
        <w:rPr>
          <w:iCs/>
          <w:lang w:val="cs-CZ"/>
        </w:rPr>
        <w:t xml:space="preserve"> O</w:t>
      </w:r>
      <w:r w:rsidR="00660FDF" w:rsidRPr="00A61343">
        <w:rPr>
          <w:iCs/>
          <w:lang w:val="cs-CZ"/>
        </w:rPr>
        <w:t>proti ZZVZ</w:t>
      </w:r>
      <w:r w:rsidR="00BA1769">
        <w:rPr>
          <w:iCs/>
          <w:lang w:val="cs-CZ"/>
        </w:rPr>
        <w:t xml:space="preserve"> S</w:t>
      </w:r>
      <w:r w:rsidR="00660FDF" w:rsidRPr="00A61343">
        <w:rPr>
          <w:iCs/>
          <w:lang w:val="cs-CZ"/>
        </w:rPr>
        <w:t>měrnice 2014/24/EU nevymezuje zp</w:t>
      </w:r>
      <w:r w:rsidR="00D47C83" w:rsidRPr="00A61343">
        <w:rPr>
          <w:iCs/>
          <w:lang w:val="cs-CZ"/>
        </w:rPr>
        <w:t>ůso</w:t>
      </w:r>
      <w:r w:rsidR="00660FDF" w:rsidRPr="00A61343">
        <w:rPr>
          <w:iCs/>
          <w:lang w:val="cs-CZ"/>
        </w:rPr>
        <w:t>b zadávacího řízení tzv. zje</w:t>
      </w:r>
      <w:r w:rsidR="00D47C83" w:rsidRPr="00A61343">
        <w:rPr>
          <w:iCs/>
          <w:lang w:val="cs-CZ"/>
        </w:rPr>
        <w:t>dnodušeným podlimitním řízením a koncesní řízení je</w:t>
      </w:r>
      <w:r w:rsidR="008D4803" w:rsidRPr="00A61343">
        <w:rPr>
          <w:iCs/>
          <w:lang w:val="cs-CZ"/>
        </w:rPr>
        <w:t xml:space="preserve"> navíc</w:t>
      </w:r>
      <w:r w:rsidR="00B40126">
        <w:rPr>
          <w:iCs/>
          <w:lang w:val="cs-CZ"/>
        </w:rPr>
        <w:t xml:space="preserve"> upraveno v samostatné </w:t>
      </w:r>
      <w:r w:rsidR="00B40126" w:rsidRPr="00B40126">
        <w:rPr>
          <w:iCs/>
          <w:lang w:val="cs-CZ"/>
        </w:rPr>
        <w:t>S</w:t>
      </w:r>
      <w:r w:rsidR="00D47C83" w:rsidRPr="00B40126">
        <w:rPr>
          <w:iCs/>
          <w:lang w:val="cs-CZ"/>
        </w:rPr>
        <w:t xml:space="preserve">měrnici </w:t>
      </w:r>
      <w:r w:rsidR="00B40126" w:rsidRPr="00B40126">
        <w:rPr>
          <w:iCs/>
          <w:lang w:val="cs-CZ"/>
        </w:rPr>
        <w:t>Evropského parlamentu a R</w:t>
      </w:r>
      <w:r w:rsidR="00D47C83" w:rsidRPr="00B40126">
        <w:rPr>
          <w:iCs/>
          <w:lang w:val="cs-CZ"/>
        </w:rPr>
        <w:t>ady</w:t>
      </w:r>
      <w:r w:rsidR="00D47C83" w:rsidRPr="004875ED">
        <w:rPr>
          <w:iCs/>
          <w:color w:val="FF0000"/>
          <w:lang w:val="cs-CZ"/>
        </w:rPr>
        <w:t xml:space="preserve"> </w:t>
      </w:r>
      <w:r w:rsidR="00D47C83" w:rsidRPr="00A61343">
        <w:rPr>
          <w:lang w:val="cs-CZ"/>
        </w:rPr>
        <w:t>2014/23/EU</w:t>
      </w:r>
      <w:r w:rsidR="004875ED">
        <w:rPr>
          <w:lang w:val="cs-CZ"/>
        </w:rPr>
        <w:t>,</w:t>
      </w:r>
      <w:r w:rsidR="00D47C83" w:rsidRPr="00A61343">
        <w:rPr>
          <w:lang w:val="cs-CZ"/>
        </w:rPr>
        <w:t xml:space="preserve"> ze dne 26. února 2014, o udělování koncesí.</w:t>
      </w:r>
      <w:r w:rsidR="00D47C83" w:rsidRPr="00D47C83">
        <w:rPr>
          <w:lang w:val="cs-CZ"/>
        </w:rPr>
        <w:t xml:space="preserve"> </w:t>
      </w:r>
    </w:p>
    <w:p w14:paraId="3A1531E2" w14:textId="77777777" w:rsidR="00735887" w:rsidRPr="00336B29" w:rsidRDefault="00735887" w:rsidP="002474F6">
      <w:pPr>
        <w:pStyle w:val="ListParagraph"/>
        <w:numPr>
          <w:ilvl w:val="1"/>
          <w:numId w:val="1"/>
        </w:numPr>
        <w:rPr>
          <w:b/>
          <w:lang w:val="cs-CZ"/>
        </w:rPr>
      </w:pPr>
      <w:r>
        <w:rPr>
          <w:b/>
          <w:sz w:val="28"/>
          <w:szCs w:val="28"/>
          <w:lang w:val="cs-CZ"/>
        </w:rPr>
        <w:t>Zadávací řízení podle</w:t>
      </w:r>
      <w:r w:rsidRPr="00DC5A2B">
        <w:rPr>
          <w:b/>
          <w:sz w:val="28"/>
          <w:szCs w:val="28"/>
          <w:lang w:val="cs-CZ"/>
        </w:rPr>
        <w:t xml:space="preserve"> hodnoty </w:t>
      </w:r>
    </w:p>
    <w:p w14:paraId="2E6C8E68" w14:textId="3649C15D" w:rsidR="00336B29" w:rsidRPr="00336B29" w:rsidRDefault="00336B29" w:rsidP="005D42F5">
      <w:pPr>
        <w:ind w:firstLine="720"/>
        <w:rPr>
          <w:lang w:val="cs-CZ"/>
        </w:rPr>
      </w:pPr>
      <w:r w:rsidRPr="00336B29">
        <w:rPr>
          <w:lang w:val="cs-CZ"/>
        </w:rPr>
        <w:t xml:space="preserve">Směrnice 2014/24/EU se týká těch veřejných nabídek, u nichž se předpokládá, že hodnota zakázky přesáhne částku uvedenou ve směrnici. Jedná se o tzv. odhadovanou hodnotu veřejné zakázky, </w:t>
      </w:r>
      <w:r w:rsidR="003E719C">
        <w:rPr>
          <w:lang w:val="cs-CZ"/>
        </w:rPr>
        <w:t>v zákoně o zadávání veřejných zakázek nazýváno jako předpokládaná hodnota</w:t>
      </w:r>
      <w:r w:rsidRPr="00336B29">
        <w:rPr>
          <w:lang w:val="cs-CZ"/>
        </w:rPr>
        <w:t>.</w:t>
      </w:r>
    </w:p>
    <w:p w14:paraId="7A08F01D" w14:textId="56A1CA54" w:rsidR="00336B29" w:rsidRPr="00336B29" w:rsidRDefault="00336B29" w:rsidP="005D42F5">
      <w:pPr>
        <w:ind w:firstLine="720"/>
        <w:rPr>
          <w:lang w:val="cs-CZ"/>
        </w:rPr>
      </w:pPr>
      <w:r w:rsidRPr="00336B29">
        <w:rPr>
          <w:lang w:val="cs-CZ"/>
        </w:rPr>
        <w:t>Předpokládanou hodnotou veřejné zakázky se má na mysli výše peněžitého závazku, jež vyplývá z plnění veřejné zakázky a kterou veřejný zadavatel předpokládá. Zadavatel je povinen stanovit tuto částku pro další postup v řízení, a to ještě před samotným počátkem zadávacího řízení</w:t>
      </w:r>
      <w:r>
        <w:rPr>
          <w:rStyle w:val="FootnoteReference"/>
          <w:lang w:val="cs-CZ"/>
        </w:rPr>
        <w:footnoteReference w:id="21"/>
      </w:r>
      <w:r w:rsidRPr="00336B29">
        <w:rPr>
          <w:lang w:val="cs-CZ"/>
        </w:rPr>
        <w:t>, přičemž k hodnot</w:t>
      </w:r>
      <w:r w:rsidR="00342BF8">
        <w:rPr>
          <w:lang w:val="cs-CZ"/>
        </w:rPr>
        <w:t xml:space="preserve">ě veřejné zakázky se přihlíží k </w:t>
      </w:r>
      <w:r w:rsidRPr="00336B29">
        <w:rPr>
          <w:lang w:val="cs-CZ"/>
        </w:rPr>
        <w:t>její hodnotě v době odeslání výzvy k účasti na veřejné zakázce nebo k době zahájení zadávacího řízení</w:t>
      </w:r>
      <w:r>
        <w:rPr>
          <w:rStyle w:val="FootnoteReference"/>
          <w:lang w:val="cs-CZ"/>
        </w:rPr>
        <w:footnoteReference w:id="22"/>
      </w:r>
      <w:r w:rsidRPr="00336B29">
        <w:rPr>
          <w:lang w:val="cs-CZ"/>
        </w:rPr>
        <w:t xml:space="preserve">. </w:t>
      </w:r>
    </w:p>
    <w:p w14:paraId="000D0412" w14:textId="1E7F1B3B" w:rsidR="00336B29" w:rsidRPr="007B2721" w:rsidRDefault="00336B29" w:rsidP="00C776A0">
      <w:pPr>
        <w:pStyle w:val="ListParagraph"/>
        <w:keepNext/>
        <w:numPr>
          <w:ilvl w:val="2"/>
          <w:numId w:val="1"/>
        </w:numPr>
        <w:rPr>
          <w:b/>
          <w:lang w:val="cs-CZ"/>
        </w:rPr>
      </w:pPr>
      <w:r>
        <w:rPr>
          <w:b/>
          <w:lang w:val="cs-CZ"/>
        </w:rPr>
        <w:lastRenderedPageBreak/>
        <w:t xml:space="preserve">Zadávací řízení podle hodnoty dle Směrnice 2014/24/EU </w:t>
      </w:r>
    </w:p>
    <w:p w14:paraId="68181A31" w14:textId="20A400A0" w:rsidR="00E65F83" w:rsidRDefault="00E65F83" w:rsidP="00C776A0">
      <w:pPr>
        <w:keepNext/>
        <w:ind w:firstLine="720"/>
        <w:rPr>
          <w:lang w:val="cs-CZ"/>
        </w:rPr>
      </w:pPr>
      <w:r>
        <w:rPr>
          <w:lang w:val="cs-CZ"/>
        </w:rPr>
        <w:t>Odhadovaná hodnota veřejné zakázky</w:t>
      </w:r>
      <w:r w:rsidR="00A331B8">
        <w:rPr>
          <w:lang w:val="cs-CZ"/>
        </w:rPr>
        <w:t>, dle Směrnice 2014/24/EU,</w:t>
      </w:r>
      <w:r>
        <w:rPr>
          <w:lang w:val="cs-CZ"/>
        </w:rPr>
        <w:t xml:space="preserve"> se získává formou výpočtu. Výpočet</w:t>
      </w:r>
      <w:r w:rsidR="00D1741F">
        <w:rPr>
          <w:lang w:val="cs-CZ"/>
        </w:rPr>
        <w:t xml:space="preserve"> se </w:t>
      </w:r>
      <w:r w:rsidR="00C93D64">
        <w:rPr>
          <w:lang w:val="cs-CZ"/>
        </w:rPr>
        <w:t>učiní</w:t>
      </w:r>
      <w:r w:rsidR="00D1741F">
        <w:rPr>
          <w:lang w:val="cs-CZ"/>
        </w:rPr>
        <w:t xml:space="preserve"> </w:t>
      </w:r>
      <w:r>
        <w:rPr>
          <w:lang w:val="cs-CZ"/>
        </w:rPr>
        <w:t>z celkové splatné částky bez DPH, kterou odhadne veřejný zadavatel. Částka zahrnuje veškeré formy opcí či možných prodloužení smluv na veřejnou zakázky, taktéž cen a plateb. Podmínkou ovšem je, aby veškeré náležitosti byly již uvedeny v zadávací dokumentaci.</w:t>
      </w:r>
      <w:r>
        <w:rPr>
          <w:rStyle w:val="FootnoteReference"/>
          <w:lang w:val="cs-CZ"/>
        </w:rPr>
        <w:footnoteReference w:id="23"/>
      </w:r>
      <w:r>
        <w:rPr>
          <w:lang w:val="cs-CZ"/>
        </w:rPr>
        <w:t xml:space="preserve"> </w:t>
      </w:r>
    </w:p>
    <w:p w14:paraId="320CC133" w14:textId="77777777" w:rsidR="004C3FFA" w:rsidRDefault="00106C04" w:rsidP="008227FC">
      <w:pPr>
        <w:ind w:firstLine="720"/>
        <w:rPr>
          <w:lang w:val="cs-CZ"/>
        </w:rPr>
      </w:pPr>
      <w:r>
        <w:rPr>
          <w:lang w:val="cs-CZ"/>
        </w:rPr>
        <w:t>Můžeme dospět i k situaci, kdy zadavatel nezadává veřejnou zakázku jako jeden celek, ale rozčlení ji mezi několik provozních jednotek. I v takovém případě se hledí na zadanou veřejnou zakázku jako na jednu, a to tak že se sečte odhadovaná hodnota za všechny jednotlivé provozní jednotky.</w:t>
      </w:r>
      <w:r w:rsidR="004C3FFA">
        <w:rPr>
          <w:rStyle w:val="FootnoteReference"/>
          <w:lang w:val="cs-CZ"/>
        </w:rPr>
        <w:footnoteReference w:id="24"/>
      </w:r>
      <w:r w:rsidR="004A0EDC">
        <w:rPr>
          <w:lang w:val="cs-CZ"/>
        </w:rPr>
        <w:t xml:space="preserve"> </w:t>
      </w:r>
    </w:p>
    <w:p w14:paraId="30B41701" w14:textId="30D48EF4" w:rsidR="00106C04" w:rsidRPr="00E50328" w:rsidRDefault="004C3FFA" w:rsidP="00E50328">
      <w:pPr>
        <w:ind w:firstLine="720"/>
      </w:pPr>
      <w:r w:rsidRPr="00E50328">
        <w:rPr>
          <w:lang w:val="cs-CZ"/>
        </w:rPr>
        <w:t>K rozdílnému postupu v rámci odhadu předběžné hodnoty veřejné zakázky musíme přihlížet při zadávání ve</w:t>
      </w:r>
      <w:r w:rsidR="00164C5A">
        <w:rPr>
          <w:lang w:val="cs-CZ"/>
        </w:rPr>
        <w:t>řejné zakázky na stavební práce, naopak u jiného</w:t>
      </w:r>
      <w:r w:rsidR="00C93D64">
        <w:rPr>
          <w:lang w:val="cs-CZ"/>
        </w:rPr>
        <w:t xml:space="preserve"> zadávání veřejných zakázek, tedy na služby a </w:t>
      </w:r>
      <w:r w:rsidRPr="00E50328">
        <w:rPr>
          <w:lang w:val="cs-CZ"/>
        </w:rPr>
        <w:t>na dodávky</w:t>
      </w:r>
      <w:r w:rsidR="00C93D64">
        <w:rPr>
          <w:lang w:val="cs-CZ"/>
        </w:rPr>
        <w:t xml:space="preserve"> zvláštní pravidla neplatí</w:t>
      </w:r>
      <w:r w:rsidRPr="00E50328">
        <w:rPr>
          <w:lang w:val="cs-CZ"/>
        </w:rPr>
        <w:t>. U stave</w:t>
      </w:r>
      <w:r w:rsidR="00FD60EA" w:rsidRPr="00E50328">
        <w:rPr>
          <w:lang w:val="cs-CZ"/>
        </w:rPr>
        <w:t>bních p</w:t>
      </w:r>
      <w:r w:rsidR="00C93D64">
        <w:rPr>
          <w:lang w:val="cs-CZ"/>
        </w:rPr>
        <w:t>rací se z musí se brát v úvahu</w:t>
      </w:r>
      <w:r w:rsidR="00FD60EA" w:rsidRPr="00E50328">
        <w:rPr>
          <w:lang w:val="cs-CZ"/>
        </w:rPr>
        <w:t xml:space="preserve"> „</w:t>
      </w:r>
      <w:r w:rsidR="00FD60EA" w:rsidRPr="00342BF8">
        <w:rPr>
          <w:i/>
          <w:lang w:val="cs-CZ"/>
        </w:rPr>
        <w:t>celková hodnota dodávek a služeb, které veřejný zadavatel dává zhotoviteli k dispozici, za předpokladu, že jsou nezbytné pro výkon stavebních prací</w:t>
      </w:r>
      <w:r w:rsidR="00FD60EA">
        <w:rPr>
          <w:rStyle w:val="FootnoteReference"/>
          <w:lang w:val="cs-CZ"/>
        </w:rPr>
        <w:footnoteReference w:id="25"/>
      </w:r>
      <w:r w:rsidR="00FD60EA" w:rsidRPr="00E50328">
        <w:rPr>
          <w:lang w:val="cs-CZ"/>
        </w:rPr>
        <w:t xml:space="preserve">“. </w:t>
      </w:r>
      <w:r w:rsidR="00E50328" w:rsidRPr="00E50328">
        <w:rPr>
          <w:lang w:val="cs-CZ"/>
        </w:rPr>
        <w:t xml:space="preserve">Uvedený </w:t>
      </w:r>
      <w:r w:rsidR="00164C5A">
        <w:rPr>
          <w:lang w:val="cs-CZ"/>
        </w:rPr>
        <w:t xml:space="preserve">způsob </w:t>
      </w:r>
      <w:r w:rsidR="00C93D64">
        <w:rPr>
          <w:lang w:val="cs-CZ"/>
        </w:rPr>
        <w:t>můžeme podpořit</w:t>
      </w:r>
      <w:r w:rsidR="00E50328" w:rsidRPr="00E50328">
        <w:rPr>
          <w:lang w:val="cs-CZ"/>
        </w:rPr>
        <w:t xml:space="preserve"> judikaturou Soudního dvora Evropské unie ze dne 18. 1. 2007 v řízení vedeném pod </w:t>
      </w:r>
      <w:proofErr w:type="spellStart"/>
      <w:r w:rsidR="00E50328" w:rsidRPr="00E50328">
        <w:rPr>
          <w:lang w:val="cs-CZ"/>
        </w:rPr>
        <w:t>sp</w:t>
      </w:r>
      <w:proofErr w:type="spellEnd"/>
      <w:r w:rsidR="00E50328" w:rsidRPr="00E50328">
        <w:rPr>
          <w:lang w:val="cs-CZ"/>
        </w:rPr>
        <w:t>. zn. C-220/05: „</w:t>
      </w:r>
      <w:r w:rsidR="00E50328" w:rsidRPr="00E50328">
        <w:rPr>
          <w:i/>
          <w:lang w:val="cs-CZ"/>
        </w:rPr>
        <w:t>P</w:t>
      </w:r>
      <w:r w:rsidR="00E50328">
        <w:rPr>
          <w:i/>
          <w:lang w:val="cs-CZ"/>
        </w:rPr>
        <w:t>ro určení hodnoty zakázky pro účely článku 6 směrnice je třeba vzít v úvahu celkovou hodnotu zakázky na stavební práce z pohledu potenciálního uchazeče, což</w:t>
      </w:r>
      <w:r w:rsidR="00E50328" w:rsidRPr="00E50328">
        <w:rPr>
          <w:i/>
          <w:lang w:val="cs-CZ"/>
        </w:rPr>
        <w:t xml:space="preserve"> zahrnuje </w:t>
      </w:r>
      <w:r w:rsidR="00E50328">
        <w:rPr>
          <w:i/>
          <w:lang w:val="cs-CZ"/>
        </w:rPr>
        <w:t>nejen úhrn částek, které</w:t>
      </w:r>
      <w:r w:rsidR="00E50328" w:rsidRPr="00E50328">
        <w:rPr>
          <w:i/>
          <w:lang w:val="cs-CZ"/>
        </w:rPr>
        <w:t xml:space="preserve"> m</w:t>
      </w:r>
      <w:r w:rsidR="00E50328">
        <w:rPr>
          <w:i/>
          <w:lang w:val="cs-CZ"/>
        </w:rPr>
        <w:t>á zaplatit zadavatel, ale i všechny příjmy pocházející od třetí</w:t>
      </w:r>
      <w:r w:rsidR="00E50328" w:rsidRPr="00E50328">
        <w:rPr>
          <w:i/>
          <w:lang w:val="cs-CZ"/>
        </w:rPr>
        <w:t>ch osob</w:t>
      </w:r>
      <w:r w:rsidR="00E50328">
        <w:rPr>
          <w:rStyle w:val="FootnoteReference"/>
          <w:i/>
          <w:lang w:val="cs-CZ"/>
        </w:rPr>
        <w:footnoteReference w:id="26"/>
      </w:r>
      <w:r w:rsidR="00E50328" w:rsidRPr="00E50328">
        <w:t>.</w:t>
      </w:r>
      <w:r w:rsidR="00E50328">
        <w:t>”</w:t>
      </w:r>
      <w:r w:rsidR="00E50328" w:rsidRPr="00E50328">
        <w:t xml:space="preserve"> </w:t>
      </w:r>
    </w:p>
    <w:p w14:paraId="4C135124" w14:textId="2B18F484" w:rsidR="00FD60EA" w:rsidRDefault="00FD60EA" w:rsidP="008227FC">
      <w:pPr>
        <w:ind w:firstLine="720"/>
        <w:rPr>
          <w:lang w:val="cs-CZ"/>
        </w:rPr>
      </w:pPr>
      <w:r>
        <w:rPr>
          <w:lang w:val="cs-CZ"/>
        </w:rPr>
        <w:t>Posledním specifikem v rámci u</w:t>
      </w:r>
      <w:r w:rsidR="00342BF8">
        <w:rPr>
          <w:lang w:val="cs-CZ"/>
        </w:rPr>
        <w:t>rčování předpokládané hodnoty jsou</w:t>
      </w:r>
      <w:r w:rsidR="00164C5A">
        <w:rPr>
          <w:lang w:val="cs-CZ"/>
        </w:rPr>
        <w:t xml:space="preserve"> dodávky</w:t>
      </w:r>
      <w:r w:rsidR="00B40126">
        <w:rPr>
          <w:lang w:val="cs-CZ"/>
        </w:rPr>
        <w:t>,</w:t>
      </w:r>
      <w:r w:rsidR="00164C5A">
        <w:rPr>
          <w:lang w:val="cs-CZ"/>
        </w:rPr>
        <w:t xml:space="preserve"> </w:t>
      </w:r>
      <w:r w:rsidR="00164C5A" w:rsidRPr="00B40126">
        <w:rPr>
          <w:lang w:val="cs-CZ"/>
        </w:rPr>
        <w:t>či</w:t>
      </w:r>
      <w:r w:rsidR="004875ED" w:rsidRPr="00B40126">
        <w:rPr>
          <w:lang w:val="cs-CZ"/>
        </w:rPr>
        <w:t xml:space="preserve"> </w:t>
      </w:r>
      <w:r w:rsidR="00164C5A" w:rsidRPr="00B40126">
        <w:rPr>
          <w:lang w:val="cs-CZ"/>
        </w:rPr>
        <w:t>služby opakující</w:t>
      </w:r>
      <w:r w:rsidRPr="00B40126">
        <w:rPr>
          <w:lang w:val="cs-CZ"/>
        </w:rPr>
        <w:t xml:space="preserve"> se </w:t>
      </w:r>
      <w:r w:rsidR="005B1568" w:rsidRPr="00B40126">
        <w:rPr>
          <w:lang w:val="cs-CZ"/>
        </w:rPr>
        <w:t>pravidelné povahy</w:t>
      </w:r>
      <w:r w:rsidR="00B40126" w:rsidRPr="00B40126">
        <w:rPr>
          <w:lang w:val="cs-CZ"/>
        </w:rPr>
        <w:t>,</w:t>
      </w:r>
      <w:r w:rsidR="005B1568" w:rsidRPr="00B40126">
        <w:rPr>
          <w:lang w:val="cs-CZ"/>
        </w:rPr>
        <w:t xml:space="preserve"> či opaku</w:t>
      </w:r>
      <w:r w:rsidR="00342BF8" w:rsidRPr="00B40126">
        <w:rPr>
          <w:lang w:val="cs-CZ"/>
        </w:rPr>
        <w:t>jící se v závislosti na období.</w:t>
      </w:r>
      <w:r w:rsidR="00342BF8">
        <w:rPr>
          <w:lang w:val="cs-CZ"/>
        </w:rPr>
        <w:t xml:space="preserve"> V těchto případech </w:t>
      </w:r>
      <w:r w:rsidR="005B1568">
        <w:rPr>
          <w:lang w:val="cs-CZ"/>
        </w:rPr>
        <w:t xml:space="preserve">je nutné vycházet při </w:t>
      </w:r>
      <w:r w:rsidR="002A0385">
        <w:rPr>
          <w:lang w:val="cs-CZ"/>
        </w:rPr>
        <w:t xml:space="preserve">výpočtu z celkových skutečných hodnot, jež </w:t>
      </w:r>
      <w:r w:rsidR="006E6273">
        <w:rPr>
          <w:lang w:val="cs-CZ"/>
        </w:rPr>
        <w:t>předcháze</w:t>
      </w:r>
      <w:r w:rsidR="002A0385">
        <w:rPr>
          <w:lang w:val="cs-CZ"/>
        </w:rPr>
        <w:t>jí o dvanáct měsíců</w:t>
      </w:r>
      <w:r w:rsidR="004875ED" w:rsidRPr="00C776A0">
        <w:rPr>
          <w:lang w:val="cs-CZ"/>
        </w:rPr>
        <w:t>,</w:t>
      </w:r>
      <w:r w:rsidR="002A0385">
        <w:rPr>
          <w:lang w:val="cs-CZ"/>
        </w:rPr>
        <w:t xml:space="preserve"> nebo </w:t>
      </w:r>
      <w:r w:rsidR="00342BF8">
        <w:rPr>
          <w:lang w:val="cs-CZ"/>
        </w:rPr>
        <w:t xml:space="preserve">z </w:t>
      </w:r>
      <w:r w:rsidR="002A0385">
        <w:rPr>
          <w:lang w:val="cs-CZ"/>
        </w:rPr>
        <w:t>dřívějšího rozpočtového obdo</w:t>
      </w:r>
      <w:r w:rsidR="00342BF8">
        <w:rPr>
          <w:lang w:val="cs-CZ"/>
        </w:rPr>
        <w:t>bí v němž byla zadávána veřejná zakázka</w:t>
      </w:r>
      <w:r w:rsidR="006E6273">
        <w:rPr>
          <w:lang w:val="cs-CZ"/>
        </w:rPr>
        <w:t xml:space="preserve"> stejného druhu</w:t>
      </w:r>
      <w:r w:rsidR="004875ED" w:rsidRPr="00C776A0">
        <w:rPr>
          <w:lang w:val="cs-CZ"/>
        </w:rPr>
        <w:t>,</w:t>
      </w:r>
      <w:r w:rsidR="00164C5A">
        <w:rPr>
          <w:lang w:val="cs-CZ"/>
        </w:rPr>
        <w:t xml:space="preserve"> nebo</w:t>
      </w:r>
      <w:r w:rsidR="002A0385">
        <w:rPr>
          <w:lang w:val="cs-CZ"/>
        </w:rPr>
        <w:t xml:space="preserve"> z celkových odhadovaných hodnot za dodávky v období dvanácti měsíců počínaje první uskutečněnou dodávkou.</w:t>
      </w:r>
      <w:r w:rsidR="008F05C0">
        <w:rPr>
          <w:rStyle w:val="FootnoteReference"/>
          <w:lang w:val="cs-CZ"/>
        </w:rPr>
        <w:footnoteReference w:id="27"/>
      </w:r>
      <w:r w:rsidR="002A0385">
        <w:rPr>
          <w:lang w:val="cs-CZ"/>
        </w:rPr>
        <w:t xml:space="preserve"> </w:t>
      </w:r>
    </w:p>
    <w:p w14:paraId="5719434E" w14:textId="6845825E" w:rsidR="00336B29" w:rsidRDefault="00E23033" w:rsidP="00336B29">
      <w:pPr>
        <w:ind w:firstLine="720"/>
        <w:rPr>
          <w:lang w:val="cs-CZ"/>
        </w:rPr>
      </w:pPr>
      <w:r>
        <w:rPr>
          <w:lang w:val="cs-CZ"/>
        </w:rPr>
        <w:lastRenderedPageBreak/>
        <w:t>Směrnice 2014/24/EU upravuje i konkrétní případy zadávání veřejných zakázek, a to případ veřejný zakázky na dodávky, kdy</w:t>
      </w:r>
      <w:r w:rsidR="00C93D64">
        <w:rPr>
          <w:lang w:val="cs-CZ"/>
        </w:rPr>
        <w:t xml:space="preserve"> je nedílnou součástí zakázky </w:t>
      </w:r>
      <w:r>
        <w:rPr>
          <w:lang w:val="cs-CZ"/>
        </w:rPr>
        <w:t>leasing, nájem či pronájem nebo koupě na splátky. V případě veřejných zakázek na služby můžeme ve Směrnic</w:t>
      </w:r>
      <w:r w:rsidR="004875ED">
        <w:rPr>
          <w:lang w:val="cs-CZ"/>
        </w:rPr>
        <w:t>i</w:t>
      </w:r>
      <w:r>
        <w:rPr>
          <w:lang w:val="cs-CZ"/>
        </w:rPr>
        <w:t xml:space="preserve"> 2014/24/EU nalézt specifika v podobě pojišťovnických služeb, bankovních či jiných obdobných finančních služeb</w:t>
      </w:r>
      <w:r w:rsidR="000A2CDF">
        <w:rPr>
          <w:lang w:val="cs-CZ"/>
        </w:rPr>
        <w:t>, ale i takové veřejné zakázky, které neuvá</w:t>
      </w:r>
      <w:r w:rsidR="00164C5A">
        <w:rPr>
          <w:lang w:val="cs-CZ"/>
        </w:rPr>
        <w:t>dějí celkovou cenu za služby. V</w:t>
      </w:r>
      <w:r w:rsidR="000A2CDF">
        <w:rPr>
          <w:lang w:val="cs-CZ"/>
        </w:rPr>
        <w:t> takovém případě se cena dovozuje výpočtem z celkové doby trvání veřejné zakázky.</w:t>
      </w:r>
      <w:r>
        <w:rPr>
          <w:rStyle w:val="FootnoteReference"/>
          <w:lang w:val="cs-CZ"/>
        </w:rPr>
        <w:footnoteReference w:id="28"/>
      </w:r>
      <w:r>
        <w:rPr>
          <w:lang w:val="cs-CZ"/>
        </w:rPr>
        <w:t xml:space="preserve"> </w:t>
      </w:r>
    </w:p>
    <w:p w14:paraId="092D45F8" w14:textId="4F461B72" w:rsidR="000A2CDF" w:rsidRPr="00336B29" w:rsidRDefault="000A2CDF" w:rsidP="00336B29">
      <w:pPr>
        <w:ind w:firstLine="720"/>
        <w:rPr>
          <w:lang w:val="cs-CZ"/>
        </w:rPr>
      </w:pPr>
      <w:r>
        <w:rPr>
          <w:lang w:val="cs-CZ"/>
        </w:rPr>
        <w:t>Při zadávání veřejných zakázek řízením o inovačním partnerství</w:t>
      </w:r>
      <w:r w:rsidR="00164C5A">
        <w:rPr>
          <w:lang w:val="cs-CZ"/>
        </w:rPr>
        <w:t xml:space="preserve">, </w:t>
      </w:r>
      <w:r>
        <w:rPr>
          <w:lang w:val="cs-CZ"/>
        </w:rPr>
        <w:t xml:space="preserve">specifických dohod a dynamických nákupních systému, se při určování odhadované hodnoty zakázky vychází vždy z nejvyšší ceny bez daně </w:t>
      </w:r>
      <w:r w:rsidR="004875ED">
        <w:rPr>
          <w:lang w:val="cs-CZ"/>
        </w:rPr>
        <w:t>z</w:t>
      </w:r>
      <w:r>
        <w:rPr>
          <w:lang w:val="cs-CZ"/>
        </w:rPr>
        <w:t> přidané hodnoty</w:t>
      </w:r>
      <w:r w:rsidR="00297C47">
        <w:rPr>
          <w:lang w:val="cs-CZ"/>
        </w:rPr>
        <w:t xml:space="preserve"> všech zamýšlených veřejných zakázek</w:t>
      </w:r>
      <w:r w:rsidR="00342BF8">
        <w:rPr>
          <w:lang w:val="cs-CZ"/>
        </w:rPr>
        <w:t xml:space="preserve"> k dané věci</w:t>
      </w:r>
      <w:r>
        <w:rPr>
          <w:lang w:val="cs-CZ"/>
        </w:rPr>
        <w:t>.</w:t>
      </w:r>
      <w:r w:rsidR="00297C47">
        <w:rPr>
          <w:rStyle w:val="FootnoteReference"/>
          <w:lang w:val="cs-CZ"/>
        </w:rPr>
        <w:footnoteReference w:id="29"/>
      </w:r>
      <w:r>
        <w:rPr>
          <w:lang w:val="cs-CZ"/>
        </w:rPr>
        <w:t xml:space="preserve"> </w:t>
      </w:r>
    </w:p>
    <w:p w14:paraId="7FB1B76B" w14:textId="321CD0C9" w:rsidR="00E65F83" w:rsidRDefault="00E65F83" w:rsidP="00F31C17">
      <w:pPr>
        <w:pStyle w:val="ListParagraph"/>
        <w:numPr>
          <w:ilvl w:val="2"/>
          <w:numId w:val="1"/>
        </w:numPr>
        <w:ind w:left="1276"/>
        <w:rPr>
          <w:b/>
          <w:lang w:val="cs-CZ"/>
        </w:rPr>
      </w:pPr>
      <w:r>
        <w:rPr>
          <w:b/>
          <w:lang w:val="cs-CZ"/>
        </w:rPr>
        <w:t>Finanční limity</w:t>
      </w:r>
    </w:p>
    <w:p w14:paraId="3FD06E73" w14:textId="6958BF12" w:rsidR="00E23033" w:rsidRDefault="00682B69" w:rsidP="00342BF8">
      <w:pPr>
        <w:ind w:firstLine="720"/>
        <w:rPr>
          <w:lang w:val="cs-CZ"/>
        </w:rPr>
      </w:pPr>
      <w:r>
        <w:rPr>
          <w:lang w:val="cs-CZ"/>
        </w:rPr>
        <w:t>Finanční limity veřejné zakázky jsou definované v článku 4 Směrnice 2014/24/EU, kdy finanční limity rozděluje do tří kategorií:</w:t>
      </w:r>
    </w:p>
    <w:p w14:paraId="39E64206" w14:textId="2943246E" w:rsidR="00682B69" w:rsidRDefault="00682B69" w:rsidP="00682B69">
      <w:pPr>
        <w:pStyle w:val="ListParagraph"/>
        <w:numPr>
          <w:ilvl w:val="0"/>
          <w:numId w:val="16"/>
        </w:numPr>
        <w:rPr>
          <w:lang w:val="cs-CZ"/>
        </w:rPr>
      </w:pPr>
      <w:r>
        <w:rPr>
          <w:lang w:val="cs-CZ"/>
        </w:rPr>
        <w:t>Veřejné zakázky na stavební práce částka 5 350 000 EURO</w:t>
      </w:r>
    </w:p>
    <w:p w14:paraId="6B57FAF3" w14:textId="69DE50DE" w:rsidR="00682B69" w:rsidRDefault="00682B69" w:rsidP="00682B69">
      <w:pPr>
        <w:pStyle w:val="ListParagraph"/>
        <w:numPr>
          <w:ilvl w:val="0"/>
          <w:numId w:val="16"/>
        </w:numPr>
        <w:rPr>
          <w:lang w:val="cs-CZ"/>
        </w:rPr>
      </w:pPr>
      <w:r>
        <w:rPr>
          <w:lang w:val="cs-CZ"/>
        </w:rPr>
        <w:t xml:space="preserve">Veřejné zakázky na dodávky a služby </w:t>
      </w:r>
      <w:r w:rsidR="00932184">
        <w:rPr>
          <w:lang w:val="cs-CZ"/>
        </w:rPr>
        <w:t xml:space="preserve">zadávané ústředními orgány státní správy </w:t>
      </w:r>
      <w:r>
        <w:rPr>
          <w:lang w:val="cs-CZ"/>
        </w:rPr>
        <w:t>ve výši 139 000 EURO</w:t>
      </w:r>
    </w:p>
    <w:p w14:paraId="5726C452" w14:textId="77777777" w:rsidR="00932184" w:rsidRDefault="00682B69" w:rsidP="00682B69">
      <w:pPr>
        <w:pStyle w:val="ListParagraph"/>
        <w:numPr>
          <w:ilvl w:val="0"/>
          <w:numId w:val="16"/>
        </w:numPr>
        <w:rPr>
          <w:lang w:val="cs-CZ"/>
        </w:rPr>
      </w:pPr>
      <w:r>
        <w:rPr>
          <w:lang w:val="cs-CZ"/>
        </w:rPr>
        <w:t xml:space="preserve">Veřejné zakázky </w:t>
      </w:r>
      <w:r w:rsidR="00932184">
        <w:rPr>
          <w:lang w:val="cs-CZ"/>
        </w:rPr>
        <w:t>na dodávky a služby zadávané veřejnými zadavateli na nižší úrovni ve výši 214 000 EURO</w:t>
      </w:r>
      <w:r>
        <w:rPr>
          <w:lang w:val="cs-CZ"/>
        </w:rPr>
        <w:t>,</w:t>
      </w:r>
    </w:p>
    <w:p w14:paraId="5032C6F5" w14:textId="6984B916" w:rsidR="00682B69" w:rsidRDefault="00932184" w:rsidP="00682B69">
      <w:pPr>
        <w:pStyle w:val="ListParagraph"/>
        <w:numPr>
          <w:ilvl w:val="0"/>
          <w:numId w:val="16"/>
        </w:numPr>
        <w:rPr>
          <w:lang w:val="cs-CZ"/>
        </w:rPr>
      </w:pPr>
      <w:r>
        <w:rPr>
          <w:lang w:val="cs-CZ"/>
        </w:rPr>
        <w:t xml:space="preserve">Veřejné zakázky na sociální a jiné </w:t>
      </w:r>
      <w:r w:rsidR="0064221D">
        <w:rPr>
          <w:lang w:val="cs-CZ"/>
        </w:rPr>
        <w:t>obdobné zvláštní služby ve výši 750 000 EURO</w:t>
      </w:r>
      <w:r w:rsidR="00682B69">
        <w:rPr>
          <w:lang w:val="cs-CZ"/>
        </w:rPr>
        <w:t xml:space="preserve"> </w:t>
      </w:r>
    </w:p>
    <w:p w14:paraId="72469CE7" w14:textId="0C2E0C7F" w:rsidR="00682B69" w:rsidRDefault="00164C5A" w:rsidP="00342BF8">
      <w:pPr>
        <w:rPr>
          <w:lang w:val="cs-CZ"/>
        </w:rPr>
      </w:pPr>
      <w:r>
        <w:rPr>
          <w:lang w:val="cs-CZ"/>
        </w:rPr>
        <w:t>O</w:t>
      </w:r>
      <w:r w:rsidR="00682B69">
        <w:rPr>
          <w:lang w:val="cs-CZ"/>
        </w:rPr>
        <w:t xml:space="preserve">dhadovaná hodnota je uvedena bez daně </w:t>
      </w:r>
      <w:r w:rsidR="004875ED">
        <w:rPr>
          <w:lang w:val="cs-CZ"/>
        </w:rPr>
        <w:t>z</w:t>
      </w:r>
      <w:r w:rsidR="00682B69">
        <w:rPr>
          <w:lang w:val="cs-CZ"/>
        </w:rPr>
        <w:t> přidané hodnoty a tato hodnota je srovnatelná nebo vyšší než stanovené částky.</w:t>
      </w:r>
      <w:r w:rsidR="00682B69">
        <w:rPr>
          <w:rStyle w:val="FootnoteReference"/>
          <w:lang w:val="cs-CZ"/>
        </w:rPr>
        <w:footnoteReference w:id="30"/>
      </w:r>
      <w:r w:rsidR="00682B69">
        <w:rPr>
          <w:lang w:val="cs-CZ"/>
        </w:rPr>
        <w:t xml:space="preserve"> </w:t>
      </w:r>
    </w:p>
    <w:p w14:paraId="7F794285" w14:textId="6C1BFDDB" w:rsidR="00682B69" w:rsidRPr="00682B69" w:rsidRDefault="00682B69" w:rsidP="00682B69">
      <w:pPr>
        <w:ind w:firstLine="720"/>
        <w:rPr>
          <w:lang w:val="cs-CZ"/>
        </w:rPr>
      </w:pPr>
      <w:r>
        <w:rPr>
          <w:lang w:val="cs-CZ"/>
        </w:rPr>
        <w:t>Uvedené čás</w:t>
      </w:r>
      <w:r w:rsidR="0016597E">
        <w:rPr>
          <w:lang w:val="cs-CZ"/>
        </w:rPr>
        <w:t>tky</w:t>
      </w:r>
      <w:r w:rsidR="0064221D">
        <w:rPr>
          <w:lang w:val="cs-CZ"/>
        </w:rPr>
        <w:t xml:space="preserve"> pod písmeny a), b) a c)</w:t>
      </w:r>
      <w:r w:rsidR="0016597E">
        <w:rPr>
          <w:lang w:val="cs-CZ"/>
        </w:rPr>
        <w:t xml:space="preserve"> se každé dva roky</w:t>
      </w:r>
      <w:r w:rsidR="00073989">
        <w:rPr>
          <w:lang w:val="cs-CZ"/>
        </w:rPr>
        <w:t>, počínaje 30. 6. 2013,</w:t>
      </w:r>
      <w:r w:rsidR="0016597E">
        <w:rPr>
          <w:lang w:val="cs-CZ"/>
        </w:rPr>
        <w:t xml:space="preserve"> upravují, s ohledem na požadavek</w:t>
      </w:r>
      <w:r w:rsidR="004875ED">
        <w:rPr>
          <w:lang w:val="cs-CZ"/>
        </w:rPr>
        <w:t xml:space="preserve"> </w:t>
      </w:r>
      <w:r w:rsidR="0016597E">
        <w:rPr>
          <w:lang w:val="cs-CZ"/>
        </w:rPr>
        <w:t>ověření</w:t>
      </w:r>
      <w:r w:rsidR="004875ED">
        <w:rPr>
          <w:lang w:val="cs-CZ"/>
        </w:rPr>
        <w:t>,</w:t>
      </w:r>
      <w:r w:rsidR="0016597E">
        <w:rPr>
          <w:lang w:val="cs-CZ"/>
        </w:rPr>
        <w:t xml:space="preserve"> zda finanční limity uvedené výše odpovídají limitům stanoveným v Dohodě Světové obchodní organizace o vládních zakázkách</w:t>
      </w:r>
      <w:r w:rsidR="0016597E">
        <w:rPr>
          <w:rStyle w:val="FootnoteReference"/>
          <w:lang w:val="cs-CZ"/>
        </w:rPr>
        <w:footnoteReference w:id="31"/>
      </w:r>
      <w:r w:rsidR="0016597E">
        <w:rPr>
          <w:lang w:val="cs-CZ"/>
        </w:rPr>
        <w:t xml:space="preserve">. </w:t>
      </w:r>
      <w:r w:rsidR="00073989">
        <w:rPr>
          <w:lang w:val="cs-CZ"/>
        </w:rPr>
        <w:t>Finanční limity se upraví na</w:t>
      </w:r>
      <w:r w:rsidR="00932184">
        <w:rPr>
          <w:lang w:val="cs-CZ"/>
        </w:rPr>
        <w:t xml:space="preserve"> základě výpočtu Evropské komise podle</w:t>
      </w:r>
      <w:r w:rsidR="00073989">
        <w:rPr>
          <w:lang w:val="cs-CZ"/>
        </w:rPr>
        <w:t xml:space="preserve"> </w:t>
      </w:r>
      <w:r w:rsidR="00073989">
        <w:rPr>
          <w:lang w:val="cs-CZ"/>
        </w:rPr>
        <w:lastRenderedPageBreak/>
        <w:t>„</w:t>
      </w:r>
      <w:r w:rsidR="00073989" w:rsidRPr="00073989">
        <w:rPr>
          <w:i/>
          <w:lang w:val="cs-CZ"/>
        </w:rPr>
        <w:t>průměrné denní hodnoty eura vyjádřené ve zvláštních právech čerpání</w:t>
      </w:r>
      <w:r w:rsidR="00210940">
        <w:rPr>
          <w:rStyle w:val="FootnoteReference"/>
          <w:i/>
          <w:lang w:val="cs-CZ"/>
        </w:rPr>
        <w:footnoteReference w:id="32"/>
      </w:r>
      <w:r w:rsidR="00073989" w:rsidRPr="00073989">
        <w:rPr>
          <w:i/>
          <w:lang w:val="cs-CZ"/>
        </w:rPr>
        <w:t xml:space="preserve"> za období 24 měsíců končící k 31. 8., který předchází úpravě účinné od 1. 1.</w:t>
      </w:r>
      <w:r w:rsidR="00073989">
        <w:rPr>
          <w:rStyle w:val="FootnoteReference"/>
          <w:i/>
          <w:lang w:val="cs-CZ"/>
        </w:rPr>
        <w:footnoteReference w:id="33"/>
      </w:r>
      <w:r w:rsidR="00073989">
        <w:rPr>
          <w:lang w:val="cs-CZ"/>
        </w:rPr>
        <w:t>“</w:t>
      </w:r>
      <w:r w:rsidR="00932184">
        <w:rPr>
          <w:lang w:val="cs-CZ"/>
        </w:rPr>
        <w:t xml:space="preserve"> Společně </w:t>
      </w:r>
      <w:r w:rsidR="00D75CE9">
        <w:rPr>
          <w:lang w:val="cs-CZ"/>
        </w:rPr>
        <w:t>s úpravou výše hodnoty částky ze Směrnice</w:t>
      </w:r>
      <w:r w:rsidR="00932184">
        <w:rPr>
          <w:lang w:val="cs-CZ"/>
        </w:rPr>
        <w:t xml:space="preserve"> 2014/24/EU</w:t>
      </w:r>
      <w:r w:rsidR="00D75CE9">
        <w:rPr>
          <w:lang w:val="cs-CZ"/>
        </w:rPr>
        <w:t>,</w:t>
      </w:r>
      <w:r w:rsidR="00932184">
        <w:rPr>
          <w:lang w:val="cs-CZ"/>
        </w:rPr>
        <w:t xml:space="preserve"> Evropská komise určí i hodnoty finančních limitů čl. 4 </w:t>
      </w:r>
      <w:r w:rsidR="0064221D">
        <w:rPr>
          <w:lang w:val="cs-CZ"/>
        </w:rPr>
        <w:t xml:space="preserve">písm. a), b), c) </w:t>
      </w:r>
      <w:r w:rsidR="00932184">
        <w:rPr>
          <w:lang w:val="cs-CZ"/>
        </w:rPr>
        <w:t xml:space="preserve">Směrnice 2014/24/EU jednotlivých států, jež nemají jako svou národní měnu euro. </w:t>
      </w:r>
      <w:r w:rsidR="00164C5A">
        <w:rPr>
          <w:lang w:val="cs-CZ"/>
        </w:rPr>
        <w:t>Navíc k</w:t>
      </w:r>
      <w:r w:rsidR="0064221D">
        <w:rPr>
          <w:lang w:val="cs-CZ"/>
        </w:rPr>
        <w:t>omise určí finanční limit pro sociální a jiné obdobné služby vymezené v čl. 4 písm. d) Směrnice 2014/24/EU.</w:t>
      </w:r>
      <w:r w:rsidR="0064221D">
        <w:rPr>
          <w:rStyle w:val="FootnoteReference"/>
          <w:lang w:val="cs-CZ"/>
        </w:rPr>
        <w:footnoteReference w:id="34"/>
      </w:r>
      <w:r w:rsidR="0064221D">
        <w:rPr>
          <w:lang w:val="cs-CZ"/>
        </w:rPr>
        <w:t xml:space="preserve"> </w:t>
      </w:r>
      <w:r w:rsidR="00D75CE9">
        <w:rPr>
          <w:lang w:val="cs-CZ"/>
        </w:rPr>
        <w:t xml:space="preserve">Upravené částky Evropská komise zveřejní v Úředním </w:t>
      </w:r>
      <w:r w:rsidR="000F2DB0">
        <w:rPr>
          <w:lang w:val="cs-CZ"/>
        </w:rPr>
        <w:t xml:space="preserve">věstníku Evropské unie v měsíci listopadu toho roku, </w:t>
      </w:r>
      <w:r w:rsidR="00D75CE9">
        <w:rPr>
          <w:lang w:val="cs-CZ"/>
        </w:rPr>
        <w:t>který je bezprostře</w:t>
      </w:r>
      <w:r w:rsidR="000F2DB0">
        <w:rPr>
          <w:lang w:val="cs-CZ"/>
        </w:rPr>
        <w:t xml:space="preserve">dně následující po </w:t>
      </w:r>
      <w:r w:rsidR="00D75CE9">
        <w:rPr>
          <w:lang w:val="cs-CZ"/>
        </w:rPr>
        <w:t>takto provedené úpravě částek.</w:t>
      </w:r>
      <w:r w:rsidR="00D75CE9">
        <w:rPr>
          <w:rStyle w:val="FootnoteReference"/>
          <w:lang w:val="cs-CZ"/>
        </w:rPr>
        <w:footnoteReference w:id="35"/>
      </w:r>
      <w:r w:rsidR="00D75CE9">
        <w:rPr>
          <w:lang w:val="cs-CZ"/>
        </w:rPr>
        <w:t xml:space="preserve"> </w:t>
      </w:r>
    </w:p>
    <w:p w14:paraId="7EA5085A" w14:textId="3FE2841C" w:rsidR="00336B29" w:rsidRDefault="003E719C" w:rsidP="00F31C17">
      <w:pPr>
        <w:pStyle w:val="ListParagraph"/>
        <w:numPr>
          <w:ilvl w:val="2"/>
          <w:numId w:val="1"/>
        </w:numPr>
        <w:ind w:left="1418" w:hanging="709"/>
        <w:rPr>
          <w:b/>
          <w:lang w:val="cs-CZ"/>
        </w:rPr>
      </w:pPr>
      <w:r>
        <w:rPr>
          <w:b/>
          <w:lang w:val="cs-CZ"/>
        </w:rPr>
        <w:t xml:space="preserve">Rozdíl </w:t>
      </w:r>
      <w:r w:rsidR="00164C5A">
        <w:rPr>
          <w:b/>
          <w:lang w:val="cs-CZ"/>
        </w:rPr>
        <w:t xml:space="preserve">v </w:t>
      </w:r>
      <w:r>
        <w:rPr>
          <w:b/>
          <w:lang w:val="cs-CZ"/>
        </w:rPr>
        <w:t>určení předpokládané hodnoty mezi Směrnicí 2014/24/EU a zákonem</w:t>
      </w:r>
      <w:r w:rsidR="00336B29">
        <w:rPr>
          <w:b/>
          <w:lang w:val="cs-CZ"/>
        </w:rPr>
        <w:t xml:space="preserve"> o zadávání veřejných zakázek</w:t>
      </w:r>
    </w:p>
    <w:p w14:paraId="1E6C0AF2" w14:textId="6DD20B07" w:rsidR="003E719C" w:rsidRDefault="003E719C" w:rsidP="003E719C">
      <w:pPr>
        <w:ind w:firstLine="720"/>
        <w:rPr>
          <w:lang w:val="cs-CZ"/>
        </w:rPr>
      </w:pPr>
      <w:r>
        <w:rPr>
          <w:lang w:val="cs-CZ"/>
        </w:rPr>
        <w:t xml:space="preserve">Po bližším prostudování dojdeme k závěru, že určení odhadované hodnoty veřejné zakázky </w:t>
      </w:r>
      <w:r w:rsidR="0071771D">
        <w:rPr>
          <w:lang w:val="cs-CZ"/>
        </w:rPr>
        <w:t>v zákoně o zadávání veřejných zakázek je totožná se zněním Směrnice 2014/24/EU</w:t>
      </w:r>
      <w:r>
        <w:rPr>
          <w:lang w:val="cs-CZ"/>
        </w:rPr>
        <w:t xml:space="preserve">, s tím rozdílem, že zákon o zadávání veřejných zakázek rozvíjí hlouběji a upřesňuje totožná pravidla zadávání v rámci určování odhadované hodnoty. </w:t>
      </w:r>
    </w:p>
    <w:p w14:paraId="08C06930" w14:textId="11817740" w:rsidR="00352B6F" w:rsidRDefault="00352B6F" w:rsidP="003E719C">
      <w:pPr>
        <w:ind w:firstLine="720"/>
        <w:rPr>
          <w:lang w:val="cs-CZ"/>
        </w:rPr>
      </w:pPr>
      <w:r>
        <w:rPr>
          <w:lang w:val="cs-CZ"/>
        </w:rPr>
        <w:t>To, že zákon o zadávání veřejných zakázek rozšiřuje a upřesňuje znění Směrnice 2014/24/EU, můžeme naleznout v § 18 ZZVZ, kdy svým zněním rozvádí čl. 5 odst. 8 a 9 Směrnice 2014/24/EU, tím, že dává zadavateli přesné vodítko k tomu, z jakých všech částí se bude skládat výpočet rozdělené veřejné zakázky. Další rozšíření Směrnice 2014/</w:t>
      </w:r>
      <w:r w:rsidR="000F2DB0">
        <w:rPr>
          <w:lang w:val="cs-CZ"/>
        </w:rPr>
        <w:t xml:space="preserve">24/EU lze spatřovat u </w:t>
      </w:r>
      <w:r>
        <w:rPr>
          <w:lang w:val="cs-CZ"/>
        </w:rPr>
        <w:t>zadávání veřejných zakázek na dobu de</w:t>
      </w:r>
      <w:r w:rsidR="000F2DB0">
        <w:rPr>
          <w:lang w:val="cs-CZ"/>
        </w:rPr>
        <w:t>lší jak dvanáct měsíců a výjimky</w:t>
      </w:r>
      <w:r>
        <w:rPr>
          <w:lang w:val="cs-CZ"/>
        </w:rPr>
        <w:t xml:space="preserve"> v rámci zadávání zakázek</w:t>
      </w:r>
      <w:r w:rsidR="003E61CE">
        <w:rPr>
          <w:lang w:val="cs-CZ"/>
        </w:rPr>
        <w:t>. Jedná se o situaci, kdy</w:t>
      </w:r>
      <w:r>
        <w:rPr>
          <w:lang w:val="cs-CZ"/>
        </w:rPr>
        <w:t xml:space="preserve"> </w:t>
      </w:r>
      <w:r w:rsidR="00164C5A">
        <w:rPr>
          <w:lang w:val="cs-CZ"/>
        </w:rPr>
        <w:t xml:space="preserve">se </w:t>
      </w:r>
      <w:r>
        <w:rPr>
          <w:lang w:val="cs-CZ"/>
        </w:rPr>
        <w:t xml:space="preserve">cena </w:t>
      </w:r>
      <w:r w:rsidR="003E61CE">
        <w:rPr>
          <w:lang w:val="cs-CZ"/>
        </w:rPr>
        <w:t xml:space="preserve">dodávky či služby </w:t>
      </w:r>
      <w:r>
        <w:rPr>
          <w:lang w:val="cs-CZ"/>
        </w:rPr>
        <w:t>se</w:t>
      </w:r>
      <w:r w:rsidR="00164C5A">
        <w:rPr>
          <w:lang w:val="cs-CZ"/>
        </w:rPr>
        <w:t xml:space="preserve"> mění v průběhu účetního období.  Z</w:t>
      </w:r>
      <w:r>
        <w:rPr>
          <w:lang w:val="cs-CZ"/>
        </w:rPr>
        <w:t xml:space="preserve">adavatel </w:t>
      </w:r>
      <w:r w:rsidR="003E61CE">
        <w:rPr>
          <w:lang w:val="cs-CZ"/>
        </w:rPr>
        <w:t>takového dodávky či služby odebírá n</w:t>
      </w:r>
      <w:r w:rsidR="00164C5A">
        <w:rPr>
          <w:lang w:val="cs-CZ"/>
        </w:rPr>
        <w:t xml:space="preserve">a základě své vlastní potřeby. Načež </w:t>
      </w:r>
      <w:r w:rsidR="004875ED">
        <w:rPr>
          <w:lang w:val="cs-CZ"/>
        </w:rPr>
        <w:t>č</w:t>
      </w:r>
      <w:r w:rsidR="003E61CE">
        <w:rPr>
          <w:lang w:val="cs-CZ"/>
        </w:rPr>
        <w:t xml:space="preserve">eský </w:t>
      </w:r>
      <w:r w:rsidR="003E61CE">
        <w:rPr>
          <w:lang w:val="cs-CZ"/>
        </w:rPr>
        <w:lastRenderedPageBreak/>
        <w:t>zákonodárce došel k tomu, že na tento způsobe zajišťování dodávek či služeb se zákona o zadávání veřejných zakázek neužije.</w:t>
      </w:r>
      <w:r w:rsidR="007767F5">
        <w:rPr>
          <w:rStyle w:val="FootnoteReference"/>
          <w:lang w:val="cs-CZ"/>
        </w:rPr>
        <w:footnoteReference w:id="36"/>
      </w:r>
      <w:r w:rsidR="003E61CE">
        <w:rPr>
          <w:lang w:val="cs-CZ"/>
        </w:rPr>
        <w:t xml:space="preserve"> </w:t>
      </w:r>
    </w:p>
    <w:p w14:paraId="6B0FBFCD" w14:textId="074B662C" w:rsidR="003E719C" w:rsidRDefault="003E719C" w:rsidP="003E719C">
      <w:pPr>
        <w:ind w:firstLine="720"/>
        <w:rPr>
          <w:lang w:val="cs-CZ"/>
        </w:rPr>
      </w:pPr>
      <w:r>
        <w:rPr>
          <w:lang w:val="cs-CZ"/>
        </w:rPr>
        <w:t>Rozdíl mezi Směrnicí 2</w:t>
      </w:r>
      <w:r w:rsidR="0071771D">
        <w:rPr>
          <w:lang w:val="cs-CZ"/>
        </w:rPr>
        <w:t>014/24/E</w:t>
      </w:r>
      <w:r w:rsidR="003E61CE">
        <w:rPr>
          <w:lang w:val="cs-CZ"/>
        </w:rPr>
        <w:t xml:space="preserve">U a ZZVZ můžeme nalézt </w:t>
      </w:r>
      <w:r w:rsidR="00D36E21">
        <w:rPr>
          <w:lang w:val="cs-CZ"/>
        </w:rPr>
        <w:t>po</w:t>
      </w:r>
      <w:r w:rsidR="003E61CE">
        <w:rPr>
          <w:lang w:val="cs-CZ"/>
        </w:rPr>
        <w:t xml:space="preserve">drobně </w:t>
      </w:r>
      <w:r w:rsidR="0071771D">
        <w:rPr>
          <w:lang w:val="cs-CZ"/>
        </w:rPr>
        <w:t>v</w:t>
      </w:r>
      <w:r w:rsidR="003E61CE">
        <w:rPr>
          <w:lang w:val="cs-CZ"/>
        </w:rPr>
        <w:t xml:space="preserve"> rámci </w:t>
      </w:r>
      <w:r>
        <w:rPr>
          <w:lang w:val="cs-CZ"/>
        </w:rPr>
        <w:t xml:space="preserve">užité terminologii. Zákon o zadávání veřejných zakázek užívá pro pojem odhadovaná hodnota </w:t>
      </w:r>
      <w:r w:rsidR="0071771D">
        <w:rPr>
          <w:lang w:val="cs-CZ"/>
        </w:rPr>
        <w:t xml:space="preserve">termín předpokládána hodnota. </w:t>
      </w:r>
      <w:r w:rsidR="007767F5">
        <w:rPr>
          <w:lang w:val="cs-CZ"/>
        </w:rPr>
        <w:t xml:space="preserve">Naopak Směrnice 2014/24/EU ve svém znění nedefinuje pojem provozní jednotka. </w:t>
      </w:r>
    </w:p>
    <w:p w14:paraId="6BF1DF60" w14:textId="7078357E" w:rsidR="007767F5" w:rsidRDefault="007767F5" w:rsidP="003E719C">
      <w:pPr>
        <w:ind w:firstLine="720"/>
        <w:rPr>
          <w:lang w:val="cs-CZ"/>
        </w:rPr>
      </w:pPr>
      <w:r>
        <w:rPr>
          <w:lang w:val="cs-CZ"/>
        </w:rPr>
        <w:t xml:space="preserve">Můžeme říci, že znění zákona o zadávání veřejných zakázek vychází plně ze znění Směrnice 2014/24/EU, odchyluje se za prvé způsobem rozšiřování a upřesňování znění Směrnice 2014/24/EU a ve druhém případě jako vlastní činnost českého zákonodárce v rámci mezí transformace Směrnice 2014/24/EU do českého právního řádu. </w:t>
      </w:r>
    </w:p>
    <w:p w14:paraId="40585946" w14:textId="6CEEF1BA" w:rsidR="00780A32" w:rsidRPr="003E719C" w:rsidRDefault="00780A32" w:rsidP="003E719C">
      <w:pPr>
        <w:ind w:firstLine="720"/>
        <w:rPr>
          <w:lang w:val="cs-CZ"/>
        </w:rPr>
      </w:pPr>
      <w:r>
        <w:rPr>
          <w:lang w:val="cs-CZ"/>
        </w:rPr>
        <w:t xml:space="preserve">Značný </w:t>
      </w:r>
      <w:r w:rsidR="004D1D58">
        <w:rPr>
          <w:lang w:val="cs-CZ"/>
        </w:rPr>
        <w:t xml:space="preserve">rozdíl </w:t>
      </w:r>
      <w:r w:rsidR="00164C5A">
        <w:rPr>
          <w:lang w:val="cs-CZ"/>
        </w:rPr>
        <w:t xml:space="preserve">sledujeme </w:t>
      </w:r>
      <w:r w:rsidR="004D1D58">
        <w:rPr>
          <w:lang w:val="cs-CZ"/>
        </w:rPr>
        <w:t xml:space="preserve">u rozdělení </w:t>
      </w:r>
      <w:r w:rsidR="00164C5A">
        <w:rPr>
          <w:lang w:val="cs-CZ"/>
        </w:rPr>
        <w:t xml:space="preserve">veřejných zakázek </w:t>
      </w:r>
      <w:r w:rsidR="004D1D58">
        <w:rPr>
          <w:lang w:val="cs-CZ"/>
        </w:rPr>
        <w:t xml:space="preserve">do jednotlivých </w:t>
      </w:r>
      <w:r>
        <w:rPr>
          <w:lang w:val="cs-CZ"/>
        </w:rPr>
        <w:t xml:space="preserve">režimu veřejných zakázek dle odhadované hodnoty. Směrnice 2014/24/EU </w:t>
      </w:r>
      <w:r w:rsidR="004D1D58">
        <w:rPr>
          <w:lang w:val="cs-CZ"/>
        </w:rPr>
        <w:t>nabízí a poskytuje pouze rozdělení veřejných zakázek na nadlimitní a ostatní, kdy pod pojem ostatní lze zahrnou ve smyslu znění Směrnice 2014/24/EU veřejné zakázky zadávané ve zjednodušeném režimu. Naopak zákon o zadávání veřejných zakázek rozděluje zakázky na nadlimitní, tedy stejně jak Směrnice 2014/24/EU a následně na podlimitní veřejné zakázky.</w:t>
      </w:r>
      <w:r w:rsidR="002E0260">
        <w:rPr>
          <w:rStyle w:val="FootnoteReference"/>
          <w:lang w:val="cs-CZ"/>
        </w:rPr>
        <w:footnoteReference w:id="37"/>
      </w:r>
      <w:r w:rsidR="004D1D58">
        <w:rPr>
          <w:lang w:val="cs-CZ"/>
        </w:rPr>
        <w:t xml:space="preserve"> </w:t>
      </w:r>
    </w:p>
    <w:p w14:paraId="478322AD" w14:textId="52203285" w:rsidR="00C312B1" w:rsidRDefault="00C312B1" w:rsidP="00F31C17">
      <w:pPr>
        <w:pStyle w:val="ListParagraph"/>
        <w:numPr>
          <w:ilvl w:val="3"/>
          <w:numId w:val="1"/>
        </w:numPr>
        <w:ind w:left="1560" w:hanging="851"/>
        <w:rPr>
          <w:b/>
          <w:lang w:val="cs-CZ"/>
        </w:rPr>
      </w:pPr>
      <w:r>
        <w:rPr>
          <w:b/>
          <w:lang w:val="cs-CZ"/>
        </w:rPr>
        <w:t>Podlimitní veřejná zakázka</w:t>
      </w:r>
    </w:p>
    <w:p w14:paraId="4CCE70B3" w14:textId="55DBBD65" w:rsidR="00FA34E5" w:rsidRPr="00FA34E5" w:rsidRDefault="006E6273" w:rsidP="00A331B8">
      <w:pPr>
        <w:ind w:firstLine="720"/>
        <w:rPr>
          <w:lang w:val="cs-CZ"/>
        </w:rPr>
      </w:pPr>
      <w:r>
        <w:rPr>
          <w:lang w:val="cs-CZ"/>
        </w:rPr>
        <w:t xml:space="preserve">Podlimitní veřejná zakázka je taková zakázka, která nedosahuje výše </w:t>
      </w:r>
      <w:r w:rsidR="00A331B8">
        <w:rPr>
          <w:lang w:val="cs-CZ"/>
        </w:rPr>
        <w:t xml:space="preserve">požadované částky </w:t>
      </w:r>
      <w:r>
        <w:rPr>
          <w:lang w:val="cs-CZ"/>
        </w:rPr>
        <w:t>uvedené ve Směrnici 2014/24/EU. Jedná</w:t>
      </w:r>
      <w:r w:rsidR="00A331B8">
        <w:rPr>
          <w:lang w:val="cs-CZ"/>
        </w:rPr>
        <w:t xml:space="preserve"> se pouze o vnitrostátní úpravu, která je upravena v § 26 zákona o zadávání veřejných zakázek. Pro určení</w:t>
      </w:r>
      <w:r w:rsidR="00AF41AA">
        <w:rPr>
          <w:lang w:val="cs-CZ"/>
        </w:rPr>
        <w:t>,</w:t>
      </w:r>
      <w:r w:rsidR="00A331B8">
        <w:rPr>
          <w:lang w:val="cs-CZ"/>
        </w:rPr>
        <w:t xml:space="preserve"> zda se jedná o podlimitní veřejnou zakázku je rozhodné aktuální znění Směrnice 2014/24/EU. Dá se říci, že podlimitní veřejná zakázka je něco „speciálního“, co vytvořil český </w:t>
      </w:r>
      <w:r w:rsidR="00164C5A">
        <w:rPr>
          <w:lang w:val="cs-CZ"/>
        </w:rPr>
        <w:t>zákonodárce v rámci svých mezí</w:t>
      </w:r>
      <w:r w:rsidR="00A331B8">
        <w:rPr>
          <w:lang w:val="cs-CZ"/>
        </w:rPr>
        <w:t xml:space="preserve"> </w:t>
      </w:r>
      <w:r w:rsidR="005E19D0">
        <w:rPr>
          <w:lang w:val="cs-CZ"/>
        </w:rPr>
        <w:t>při transpozici</w:t>
      </w:r>
      <w:r w:rsidR="00A331B8">
        <w:rPr>
          <w:lang w:val="cs-CZ"/>
        </w:rPr>
        <w:t xml:space="preserve"> Směrnice 2014/24/EU.</w:t>
      </w:r>
      <w:r w:rsidR="00F2038D">
        <w:rPr>
          <w:rStyle w:val="FootnoteReference"/>
          <w:lang w:val="cs-CZ"/>
        </w:rPr>
        <w:footnoteReference w:id="38"/>
      </w:r>
      <w:r w:rsidR="00A331B8">
        <w:rPr>
          <w:lang w:val="cs-CZ"/>
        </w:rPr>
        <w:t xml:space="preserve"> </w:t>
      </w:r>
    </w:p>
    <w:p w14:paraId="5A27768E" w14:textId="77777777" w:rsidR="00735887" w:rsidRPr="008606A6" w:rsidRDefault="00735887" w:rsidP="007474BE">
      <w:pPr>
        <w:pStyle w:val="ListParagraph"/>
        <w:numPr>
          <w:ilvl w:val="3"/>
          <w:numId w:val="1"/>
        </w:numPr>
        <w:ind w:left="1560" w:hanging="851"/>
        <w:rPr>
          <w:b/>
          <w:lang w:val="cs-CZ"/>
        </w:rPr>
      </w:pPr>
      <w:r w:rsidRPr="008606A6">
        <w:rPr>
          <w:b/>
          <w:lang w:val="cs-CZ"/>
        </w:rPr>
        <w:t xml:space="preserve">Nadlimitní veřejná zakázka </w:t>
      </w:r>
    </w:p>
    <w:p w14:paraId="7EB47665" w14:textId="6A11E063" w:rsidR="00A331B8" w:rsidRDefault="00F2038D" w:rsidP="0079784B">
      <w:pPr>
        <w:ind w:firstLine="720"/>
        <w:rPr>
          <w:lang w:val="cs-CZ"/>
        </w:rPr>
      </w:pPr>
      <w:r>
        <w:rPr>
          <w:lang w:val="cs-CZ"/>
        </w:rPr>
        <w:t>Ve Směrnici</w:t>
      </w:r>
      <w:r w:rsidR="00A331B8">
        <w:rPr>
          <w:lang w:val="cs-CZ"/>
        </w:rPr>
        <w:t xml:space="preserve"> </w:t>
      </w:r>
      <w:r>
        <w:rPr>
          <w:lang w:val="cs-CZ"/>
        </w:rPr>
        <w:t xml:space="preserve">2014/24/EU nenajdeme definici pojmu nadlimitní veřejná zakázka. Jedná se čistě o pojem definovaný v zákoně o zadávání veřejných </w:t>
      </w:r>
      <w:r>
        <w:rPr>
          <w:lang w:val="cs-CZ"/>
        </w:rPr>
        <w:lastRenderedPageBreak/>
        <w:t xml:space="preserve">zakázek. Zákon ovšem </w:t>
      </w:r>
      <w:r w:rsidR="00164C5A">
        <w:rPr>
          <w:lang w:val="cs-CZ"/>
        </w:rPr>
        <w:t xml:space="preserve">zcela </w:t>
      </w:r>
      <w:r>
        <w:rPr>
          <w:lang w:val="cs-CZ"/>
        </w:rPr>
        <w:t>vychází ze znění Směrnice 2014/24/EU, a to z ho</w:t>
      </w:r>
      <w:r w:rsidR="00BA1769">
        <w:rPr>
          <w:lang w:val="cs-CZ"/>
        </w:rPr>
        <w:t>dnoty stanovené v čl. 4 Směrnice</w:t>
      </w:r>
      <w:r>
        <w:rPr>
          <w:lang w:val="cs-CZ"/>
        </w:rPr>
        <w:t xml:space="preserve"> 2014/24/EU.</w:t>
      </w:r>
      <w:r>
        <w:rPr>
          <w:rStyle w:val="FootnoteReference"/>
          <w:lang w:val="cs-CZ"/>
        </w:rPr>
        <w:footnoteReference w:id="39"/>
      </w:r>
      <w:r>
        <w:rPr>
          <w:lang w:val="cs-CZ"/>
        </w:rPr>
        <w:t xml:space="preserve"> </w:t>
      </w:r>
    </w:p>
    <w:p w14:paraId="70CFDB34" w14:textId="73BDD79C" w:rsidR="0079784B" w:rsidRPr="00336B29" w:rsidRDefault="00735887" w:rsidP="00D36E21">
      <w:pPr>
        <w:ind w:firstLine="720"/>
        <w:rPr>
          <w:bCs/>
          <w:lang w:val="cs-CZ"/>
        </w:rPr>
      </w:pPr>
      <w:r w:rsidRPr="004042D2">
        <w:rPr>
          <w:lang w:val="cs-CZ"/>
        </w:rPr>
        <w:t xml:space="preserve">Nadlimitní veřejná zakázka je taková, jejíž </w:t>
      </w:r>
      <w:r w:rsidRPr="004042D2">
        <w:rPr>
          <w:bCs/>
          <w:lang w:val="cs-CZ"/>
        </w:rPr>
        <w:t>předpokládaná hodnota je rovna</w:t>
      </w:r>
      <w:r w:rsidR="00AF41AA">
        <w:rPr>
          <w:bCs/>
          <w:lang w:val="cs-CZ"/>
        </w:rPr>
        <w:t>,</w:t>
      </w:r>
      <w:r w:rsidRPr="004042D2">
        <w:rPr>
          <w:bCs/>
          <w:lang w:val="cs-CZ"/>
        </w:rPr>
        <w:t xml:space="preserve"> nebo přesahuje finanční limit stanovený nařízením vlády zapr</w:t>
      </w:r>
      <w:r w:rsidR="00BF3728">
        <w:rPr>
          <w:bCs/>
          <w:lang w:val="cs-CZ"/>
        </w:rPr>
        <w:t>acovávajícím příslušné předpisy </w:t>
      </w:r>
      <w:r w:rsidR="00D36E21">
        <w:rPr>
          <w:bCs/>
          <w:lang w:val="cs-CZ"/>
        </w:rPr>
        <w:t>Evr</w:t>
      </w:r>
      <w:r w:rsidR="00BF3728">
        <w:rPr>
          <w:bCs/>
          <w:lang w:val="cs-CZ"/>
        </w:rPr>
        <w:t>opské unie. </w:t>
      </w:r>
      <w:r w:rsidRPr="004042D2">
        <w:rPr>
          <w:bCs/>
          <w:lang w:val="cs-CZ"/>
        </w:rPr>
        <w:t>Nad</w:t>
      </w:r>
      <w:r w:rsidR="000F2DB0">
        <w:rPr>
          <w:bCs/>
          <w:lang w:val="cs-CZ"/>
        </w:rPr>
        <w:t>lim</w:t>
      </w:r>
      <w:r w:rsidR="00BF3728">
        <w:rPr>
          <w:bCs/>
          <w:lang w:val="cs-CZ"/>
        </w:rPr>
        <w:t>itní veřejnou zakázku zadává zadavatel </w:t>
      </w:r>
      <w:r w:rsidRPr="004042D2">
        <w:rPr>
          <w:bCs/>
          <w:lang w:val="cs-CZ"/>
        </w:rPr>
        <w:t>v </w:t>
      </w:r>
      <w:r w:rsidR="00230377" w:rsidRPr="004042D2">
        <w:rPr>
          <w:bCs/>
          <w:lang w:val="cs-CZ"/>
        </w:rPr>
        <w:t>nadlimitním režimu</w:t>
      </w:r>
      <w:r w:rsidRPr="004042D2">
        <w:rPr>
          <w:bCs/>
          <w:lang w:val="cs-CZ"/>
        </w:rPr>
        <w:t xml:space="preserve"> podle části čtvrté, pokud není zadávána podle části páté až sedmé, nebo u ní zadavatel neuplatnil výjimku z povinnosti zadat ji</w:t>
      </w:r>
      <w:r w:rsidR="00BF3728">
        <w:rPr>
          <w:bCs/>
          <w:lang w:val="cs-CZ"/>
        </w:rPr>
        <w:t xml:space="preserve"> v zadávacím řízení, tak stanovuje</w:t>
      </w:r>
      <w:r w:rsidRPr="004042D2">
        <w:rPr>
          <w:bCs/>
          <w:lang w:val="cs-CZ"/>
        </w:rPr>
        <w:t xml:space="preserve"> zákon o zadávání v</w:t>
      </w:r>
      <w:r w:rsidR="00BF3728">
        <w:rPr>
          <w:bCs/>
          <w:lang w:val="cs-CZ"/>
        </w:rPr>
        <w:t xml:space="preserve">eřejných zakázek v </w:t>
      </w:r>
      <w:r w:rsidRPr="004042D2">
        <w:rPr>
          <w:bCs/>
          <w:lang w:val="cs-CZ"/>
        </w:rPr>
        <w:t>§ 25.</w:t>
      </w:r>
      <w:r w:rsidR="0094736E">
        <w:rPr>
          <w:rStyle w:val="FootnoteReference"/>
          <w:bCs/>
          <w:lang w:val="cs-CZ"/>
        </w:rPr>
        <w:footnoteReference w:id="40"/>
      </w:r>
      <w:r w:rsidRPr="004042D2">
        <w:rPr>
          <w:bCs/>
          <w:lang w:val="cs-CZ"/>
        </w:rPr>
        <w:t xml:space="preserve"> </w:t>
      </w:r>
    </w:p>
    <w:p w14:paraId="5E36B615" w14:textId="63001398" w:rsidR="001B2A90" w:rsidRPr="00DC5A2B" w:rsidRDefault="002D2C3C" w:rsidP="002474F6">
      <w:pPr>
        <w:pStyle w:val="ListParagraph"/>
        <w:numPr>
          <w:ilvl w:val="1"/>
          <w:numId w:val="1"/>
        </w:numPr>
        <w:rPr>
          <w:b/>
          <w:lang w:val="cs-CZ"/>
        </w:rPr>
      </w:pPr>
      <w:r w:rsidRPr="00DC5A2B">
        <w:rPr>
          <w:b/>
          <w:sz w:val="28"/>
          <w:szCs w:val="28"/>
          <w:lang w:val="cs-CZ"/>
        </w:rPr>
        <w:t xml:space="preserve">Druhy zadávacího řízení </w:t>
      </w:r>
      <w:r w:rsidR="00735887">
        <w:rPr>
          <w:b/>
          <w:sz w:val="28"/>
          <w:szCs w:val="28"/>
          <w:lang w:val="cs-CZ"/>
        </w:rPr>
        <w:t xml:space="preserve">v nadlimitním režimu </w:t>
      </w:r>
    </w:p>
    <w:p w14:paraId="032211C4" w14:textId="0B5CE415" w:rsidR="008F4ED3" w:rsidRPr="008F4ED3" w:rsidRDefault="008F4ED3" w:rsidP="00DC5A2B">
      <w:pPr>
        <w:ind w:firstLine="720"/>
        <w:rPr>
          <w:iCs/>
          <w:lang w:val="cs-CZ"/>
        </w:rPr>
      </w:pPr>
      <w:r w:rsidRPr="008F4ED3">
        <w:rPr>
          <w:lang w:val="cs-CZ"/>
        </w:rPr>
        <w:t xml:space="preserve">Směrnice </w:t>
      </w:r>
      <w:r w:rsidRPr="008F4ED3">
        <w:rPr>
          <w:iCs/>
          <w:lang w:val="cs-CZ"/>
        </w:rPr>
        <w:t xml:space="preserve">2014/24/EU i </w:t>
      </w:r>
      <w:r w:rsidR="009D103E">
        <w:rPr>
          <w:iCs/>
          <w:lang w:val="cs-CZ"/>
        </w:rPr>
        <w:t xml:space="preserve">zákon o zadávání veřejných zakázek obsahuje </w:t>
      </w:r>
      <w:r w:rsidRPr="008F4ED3">
        <w:rPr>
          <w:iCs/>
          <w:lang w:val="cs-CZ"/>
        </w:rPr>
        <w:t xml:space="preserve">následující způsoby zadávání veřejných zakázek: </w:t>
      </w:r>
    </w:p>
    <w:p w14:paraId="116DF454" w14:textId="77777777" w:rsidR="00DC5A2B" w:rsidRPr="00DC5A2B" w:rsidRDefault="00DC5A2B" w:rsidP="002474F6">
      <w:pPr>
        <w:pStyle w:val="ListParagraph"/>
        <w:numPr>
          <w:ilvl w:val="2"/>
          <w:numId w:val="1"/>
        </w:numPr>
        <w:rPr>
          <w:b/>
          <w:lang w:val="cs-CZ"/>
        </w:rPr>
      </w:pPr>
      <w:r w:rsidRPr="00DC5A2B">
        <w:rPr>
          <w:b/>
          <w:lang w:val="cs-CZ"/>
        </w:rPr>
        <w:t>Otevřené řízení</w:t>
      </w:r>
    </w:p>
    <w:p w14:paraId="2118A15A" w14:textId="71330312" w:rsidR="00DC5A2B" w:rsidRPr="00DC5A2B" w:rsidRDefault="00305BD3" w:rsidP="00DC5A2B">
      <w:pPr>
        <w:ind w:firstLine="720"/>
        <w:rPr>
          <w:lang w:val="cs-CZ"/>
        </w:rPr>
      </w:pPr>
      <w:r>
        <w:rPr>
          <w:lang w:val="cs-CZ"/>
        </w:rPr>
        <w:t>Diplomová práce se zaměřuje na otevřený způsob zadávání veřejný zakázek, proto</w:t>
      </w:r>
      <w:r w:rsidR="00DC5A2B" w:rsidRPr="00DC5A2B">
        <w:rPr>
          <w:lang w:val="cs-CZ"/>
        </w:rPr>
        <w:t xml:space="preserve"> se </w:t>
      </w:r>
      <w:r>
        <w:rPr>
          <w:lang w:val="cs-CZ"/>
        </w:rPr>
        <w:t xml:space="preserve">otevřenému způsobu </w:t>
      </w:r>
      <w:r w:rsidR="00140D6D">
        <w:rPr>
          <w:lang w:val="cs-CZ"/>
        </w:rPr>
        <w:t xml:space="preserve">zadávání veřejných zakázek </w:t>
      </w:r>
      <w:r w:rsidR="00DC5A2B" w:rsidRPr="00DC5A2B">
        <w:rPr>
          <w:lang w:val="cs-CZ"/>
        </w:rPr>
        <w:t xml:space="preserve">věnuji v samostatné </w:t>
      </w:r>
      <w:r w:rsidR="00534EF5">
        <w:rPr>
          <w:lang w:val="cs-CZ"/>
        </w:rPr>
        <w:t>pod</w:t>
      </w:r>
      <w:r w:rsidR="00DC5A2B" w:rsidRPr="00DC5A2B">
        <w:rPr>
          <w:lang w:val="cs-CZ"/>
        </w:rPr>
        <w:t xml:space="preserve">kapitole dále. </w:t>
      </w:r>
    </w:p>
    <w:p w14:paraId="275EDF44" w14:textId="47B1266E" w:rsidR="002637A4" w:rsidRPr="009A6AD8" w:rsidRDefault="00DC5A2B" w:rsidP="009A6AD8">
      <w:pPr>
        <w:pStyle w:val="ListParagraph"/>
        <w:numPr>
          <w:ilvl w:val="2"/>
          <w:numId w:val="1"/>
        </w:numPr>
        <w:rPr>
          <w:b/>
          <w:lang w:val="cs-CZ"/>
        </w:rPr>
      </w:pPr>
      <w:r w:rsidRPr="00DC5A2B">
        <w:rPr>
          <w:b/>
          <w:lang w:val="cs-CZ"/>
        </w:rPr>
        <w:t xml:space="preserve">Užší řízení </w:t>
      </w:r>
    </w:p>
    <w:p w14:paraId="7DA80479" w14:textId="55B6ECFD" w:rsidR="002637A4" w:rsidRPr="00534EF5" w:rsidRDefault="00164C5A" w:rsidP="00534EF5">
      <w:pPr>
        <w:ind w:firstLine="720"/>
        <w:rPr>
          <w:iCs/>
        </w:rPr>
      </w:pPr>
      <w:r>
        <w:rPr>
          <w:lang w:val="cs-CZ"/>
        </w:rPr>
        <w:t>Pod</w:t>
      </w:r>
      <w:r w:rsidR="00BA1769">
        <w:rPr>
          <w:lang w:val="cs-CZ"/>
        </w:rPr>
        <w:t>le S</w:t>
      </w:r>
      <w:r w:rsidR="002637A4">
        <w:rPr>
          <w:lang w:val="cs-CZ"/>
        </w:rPr>
        <w:t xml:space="preserve">měrnice </w:t>
      </w:r>
      <w:r w:rsidR="002637A4" w:rsidRPr="00B02682">
        <w:rPr>
          <w:iCs/>
          <w:lang w:val="cs-CZ"/>
        </w:rPr>
        <w:t>20</w:t>
      </w:r>
      <w:r w:rsidR="002637A4">
        <w:rPr>
          <w:iCs/>
          <w:lang w:val="cs-CZ"/>
        </w:rPr>
        <w:t>14/24/EU může kterýkoliv hospodářský subjekt</w:t>
      </w:r>
      <w:r w:rsidR="002637A4">
        <w:rPr>
          <w:rStyle w:val="FootnoteReference"/>
          <w:iCs/>
          <w:lang w:val="cs-CZ"/>
        </w:rPr>
        <w:footnoteReference w:id="41"/>
      </w:r>
      <w:r w:rsidR="002637A4">
        <w:rPr>
          <w:iCs/>
          <w:lang w:val="cs-CZ"/>
        </w:rPr>
        <w:t xml:space="preserve"> podat žádost o účast v soutěži, kdy</w:t>
      </w:r>
      <w:r w:rsidR="00336F72">
        <w:rPr>
          <w:iCs/>
          <w:lang w:val="cs-CZ"/>
        </w:rPr>
        <w:t xml:space="preserve"> se žádostí</w:t>
      </w:r>
      <w:r w:rsidR="00044E7E">
        <w:rPr>
          <w:iCs/>
          <w:lang w:val="cs-CZ"/>
        </w:rPr>
        <w:t xml:space="preserve"> o účast</w:t>
      </w:r>
      <w:r w:rsidR="002637A4">
        <w:rPr>
          <w:iCs/>
          <w:lang w:val="cs-CZ"/>
        </w:rPr>
        <w:t xml:space="preserve"> myslí odpověď na výzvu k účasti na soutěži. Ty hospodářské subjekty, které byly vyzvány k podání nabídky mohou tuto nabídku podat, nikdo jiný ne. Z uvedeného </w:t>
      </w:r>
      <w:r w:rsidR="00BA1769">
        <w:rPr>
          <w:iCs/>
          <w:lang w:val="cs-CZ"/>
        </w:rPr>
        <w:t>plyne, že do užšího řízení dle S</w:t>
      </w:r>
      <w:r w:rsidR="002637A4">
        <w:rPr>
          <w:iCs/>
          <w:lang w:val="cs-CZ"/>
        </w:rPr>
        <w:t xml:space="preserve">měrnice </w:t>
      </w:r>
      <w:r w:rsidR="002637A4" w:rsidRPr="00B02682">
        <w:rPr>
          <w:iCs/>
          <w:lang w:val="cs-CZ"/>
        </w:rPr>
        <w:t>20</w:t>
      </w:r>
      <w:r w:rsidR="002637A4">
        <w:rPr>
          <w:iCs/>
          <w:lang w:val="cs-CZ"/>
        </w:rPr>
        <w:t xml:space="preserve">14/24/EU mohou vstupovat jen hospodářské subjekty, </w:t>
      </w:r>
      <w:r w:rsidR="00336F72">
        <w:rPr>
          <w:iCs/>
          <w:lang w:val="cs-CZ"/>
        </w:rPr>
        <w:t>které byly zadavatelem</w:t>
      </w:r>
      <w:r w:rsidR="000F2DB0">
        <w:rPr>
          <w:iCs/>
          <w:lang w:val="cs-CZ"/>
        </w:rPr>
        <w:t xml:space="preserve"> </w:t>
      </w:r>
      <w:r w:rsidR="00336F72">
        <w:rPr>
          <w:iCs/>
          <w:lang w:val="cs-CZ"/>
        </w:rPr>
        <w:t>vyzvány</w:t>
      </w:r>
      <w:r w:rsidR="000F2DB0">
        <w:rPr>
          <w:iCs/>
          <w:lang w:val="cs-CZ"/>
        </w:rPr>
        <w:t xml:space="preserve"> k</w:t>
      </w:r>
      <w:r w:rsidR="002637A4">
        <w:rPr>
          <w:iCs/>
          <w:lang w:val="cs-CZ"/>
        </w:rPr>
        <w:t xml:space="preserve"> účasti. Zadavatel přihlášené subjekty může red</w:t>
      </w:r>
      <w:r w:rsidR="00BA1769">
        <w:rPr>
          <w:iCs/>
          <w:lang w:val="cs-CZ"/>
        </w:rPr>
        <w:t>ukovat, v souladu s článkem 65 S</w:t>
      </w:r>
      <w:r w:rsidR="002637A4">
        <w:rPr>
          <w:iCs/>
          <w:lang w:val="cs-CZ"/>
        </w:rPr>
        <w:t xml:space="preserve">měrnice </w:t>
      </w:r>
      <w:r w:rsidR="002637A4" w:rsidRPr="00B02682">
        <w:rPr>
          <w:iCs/>
          <w:lang w:val="cs-CZ"/>
        </w:rPr>
        <w:t>20</w:t>
      </w:r>
      <w:r w:rsidR="002637A4">
        <w:rPr>
          <w:iCs/>
          <w:lang w:val="cs-CZ"/>
        </w:rPr>
        <w:t>14/24/EU</w:t>
      </w:r>
      <w:r w:rsidR="002637A4">
        <w:rPr>
          <w:rStyle w:val="FootnoteReference"/>
          <w:iCs/>
          <w:lang w:val="cs-CZ"/>
        </w:rPr>
        <w:footnoteReference w:id="42"/>
      </w:r>
      <w:r w:rsidR="002637A4">
        <w:rPr>
          <w:iCs/>
          <w:lang w:val="cs-CZ"/>
        </w:rPr>
        <w:t xml:space="preserve">, </w:t>
      </w:r>
      <w:r w:rsidR="00336F72">
        <w:rPr>
          <w:iCs/>
          <w:lang w:val="cs-CZ"/>
        </w:rPr>
        <w:t xml:space="preserve"> zaměří se </w:t>
      </w:r>
      <w:r w:rsidR="002637A4">
        <w:rPr>
          <w:iCs/>
          <w:lang w:val="cs-CZ"/>
        </w:rPr>
        <w:t>pouze na vhodné zá</w:t>
      </w:r>
      <w:r w:rsidR="000F2DB0">
        <w:rPr>
          <w:iCs/>
          <w:lang w:val="cs-CZ"/>
        </w:rPr>
        <w:t>jemce, které vyzve k účasti v</w:t>
      </w:r>
      <w:r w:rsidR="002637A4">
        <w:rPr>
          <w:iCs/>
          <w:lang w:val="cs-CZ"/>
        </w:rPr>
        <w:t> zadávacím řízení a k podání nabídky.</w:t>
      </w:r>
      <w:r w:rsidR="002637A4">
        <w:rPr>
          <w:rStyle w:val="FootnoteReference"/>
          <w:iCs/>
          <w:lang w:val="cs-CZ"/>
        </w:rPr>
        <w:footnoteReference w:id="43"/>
      </w:r>
      <w:r w:rsidR="00C96206">
        <w:rPr>
          <w:iCs/>
          <w:lang w:val="cs-CZ"/>
        </w:rPr>
        <w:t xml:space="preserve"> Dle</w:t>
      </w:r>
      <w:r w:rsidR="00471DA7">
        <w:rPr>
          <w:iCs/>
          <w:lang w:val="cs-CZ"/>
        </w:rPr>
        <w:t xml:space="preserve"> rozsudku soudního dvora k předběžné</w:t>
      </w:r>
      <w:r w:rsidR="00BA1769">
        <w:rPr>
          <w:iCs/>
          <w:lang w:val="cs-CZ"/>
        </w:rPr>
        <w:t xml:space="preserve"> otázce výkladu čl. 28 odst. 2 S</w:t>
      </w:r>
      <w:r w:rsidR="00471DA7">
        <w:rPr>
          <w:iCs/>
          <w:lang w:val="cs-CZ"/>
        </w:rPr>
        <w:t xml:space="preserve">měrnice 2014/24/EU, </w:t>
      </w:r>
      <w:r w:rsidR="00820688">
        <w:rPr>
          <w:iCs/>
          <w:lang w:val="cs-CZ"/>
        </w:rPr>
        <w:t xml:space="preserve">ten </w:t>
      </w:r>
      <w:r w:rsidR="00471DA7">
        <w:rPr>
          <w:iCs/>
          <w:lang w:val="cs-CZ"/>
        </w:rPr>
        <w:t>„</w:t>
      </w:r>
      <w:r w:rsidR="00471DA7" w:rsidRPr="004C2418">
        <w:rPr>
          <w:bCs/>
          <w:i/>
          <w:iCs/>
          <w:lang w:val="cs-CZ"/>
        </w:rPr>
        <w:t>m</w:t>
      </w:r>
      <w:r w:rsidR="00471DA7" w:rsidRPr="00471DA7">
        <w:rPr>
          <w:bCs/>
          <w:i/>
          <w:iCs/>
          <w:lang w:val="cs-CZ"/>
        </w:rPr>
        <w:t xml:space="preserve">usí být vykládán v tom smyslu, že s ohledem na požadavek na právní a materiální totožnost </w:t>
      </w:r>
      <w:r w:rsidR="00471DA7" w:rsidRPr="00471DA7">
        <w:rPr>
          <w:bCs/>
          <w:i/>
          <w:iCs/>
          <w:lang w:val="cs-CZ"/>
        </w:rPr>
        <w:lastRenderedPageBreak/>
        <w:t>předběžně vybraných hospodářských subjektů se subjekty, které předkládají nabídky, nebrání</w:t>
      </w:r>
      <w:r w:rsidR="00AF41AA">
        <w:rPr>
          <w:bCs/>
          <w:i/>
          <w:iCs/>
          <w:lang w:val="cs-CZ"/>
        </w:rPr>
        <w:t xml:space="preserve"> </w:t>
      </w:r>
      <w:r w:rsidR="00471DA7" w:rsidRPr="00471DA7">
        <w:rPr>
          <w:bCs/>
          <w:i/>
          <w:iCs/>
          <w:lang w:val="cs-CZ"/>
        </w:rPr>
        <w:t>v rámci </w:t>
      </w:r>
      <w:bookmarkStart w:id="20" w:name="highlightHit_148"/>
      <w:bookmarkEnd w:id="20"/>
      <w:r w:rsidR="00471DA7" w:rsidRPr="00471DA7">
        <w:rPr>
          <w:bCs/>
          <w:i/>
          <w:iCs/>
          <w:lang w:val="cs-CZ"/>
        </w:rPr>
        <w:t>užšího </w:t>
      </w:r>
      <w:bookmarkStart w:id="21" w:name="highlightHit_149"/>
      <w:bookmarkEnd w:id="21"/>
      <w:r w:rsidR="00471DA7" w:rsidRPr="00471DA7">
        <w:rPr>
          <w:bCs/>
          <w:i/>
          <w:iCs/>
          <w:lang w:val="cs-CZ"/>
        </w:rPr>
        <w:t>řízení o zadání </w:t>
      </w:r>
      <w:bookmarkStart w:id="22" w:name="highlightHit_150"/>
      <w:bookmarkEnd w:id="22"/>
      <w:r w:rsidR="00471DA7" w:rsidRPr="00471DA7">
        <w:rPr>
          <w:bCs/>
          <w:i/>
          <w:iCs/>
          <w:lang w:val="cs-CZ"/>
        </w:rPr>
        <w:t>veřejné </w:t>
      </w:r>
      <w:bookmarkStart w:id="23" w:name="highlightHit_151"/>
      <w:bookmarkEnd w:id="23"/>
      <w:r w:rsidR="00471DA7" w:rsidRPr="00471DA7">
        <w:rPr>
          <w:bCs/>
          <w:i/>
          <w:iCs/>
          <w:lang w:val="cs-CZ"/>
        </w:rPr>
        <w:t>zakázky</w:t>
      </w:r>
      <w:r w:rsidR="00471DA7">
        <w:rPr>
          <w:bCs/>
          <w:i/>
          <w:iCs/>
          <w:lang w:val="cs-CZ"/>
        </w:rPr>
        <w:t xml:space="preserve"> </w:t>
      </w:r>
      <w:r w:rsidR="00471DA7" w:rsidRPr="00471DA7">
        <w:rPr>
          <w:bCs/>
          <w:i/>
          <w:iCs/>
          <w:lang w:val="cs-CZ"/>
        </w:rPr>
        <w:t>možnosti předběžně vybraného zájemce, který se dohodou o fúzi uzavřenou v době mezi fází předběžného výběru a fází podávání nabídek a provedenou po skončení fáze podávání nabídek zaváže ke sloučení s jiným předběžně vybraným zájemcem, podat nabídku</w:t>
      </w:r>
      <w:r w:rsidR="00471DA7">
        <w:rPr>
          <w:rStyle w:val="FootnoteReference"/>
          <w:bCs/>
          <w:i/>
          <w:iCs/>
          <w:lang w:val="cs-CZ"/>
        </w:rPr>
        <w:footnoteReference w:id="44"/>
      </w:r>
      <w:r w:rsidR="00471DA7" w:rsidRPr="00471DA7">
        <w:rPr>
          <w:bCs/>
          <w:iCs/>
          <w:lang w:val="cs-CZ"/>
        </w:rPr>
        <w:t>.</w:t>
      </w:r>
      <w:r w:rsidR="00471DA7">
        <w:rPr>
          <w:bCs/>
          <w:iCs/>
          <w:lang w:val="cs-CZ"/>
        </w:rPr>
        <w:t>“</w:t>
      </w:r>
    </w:p>
    <w:p w14:paraId="5DF42E56" w14:textId="55D5AF8C" w:rsidR="00F73ED0" w:rsidRDefault="00374FD5" w:rsidP="00264D97">
      <w:pPr>
        <w:ind w:firstLine="720"/>
        <w:rPr>
          <w:iCs/>
          <w:lang w:val="cs-CZ"/>
        </w:rPr>
      </w:pPr>
      <w:r>
        <w:rPr>
          <w:lang w:val="cs-CZ"/>
        </w:rPr>
        <w:t>Zákon</w:t>
      </w:r>
      <w:r w:rsidR="000E61F0">
        <w:rPr>
          <w:lang w:val="cs-CZ"/>
        </w:rPr>
        <w:t xml:space="preserve"> o zadávání ve</w:t>
      </w:r>
      <w:r w:rsidR="00BA1769">
        <w:rPr>
          <w:lang w:val="cs-CZ"/>
        </w:rPr>
        <w:t>řejných zakázek kopíruje znění S</w:t>
      </w:r>
      <w:r w:rsidR="000E61F0">
        <w:rPr>
          <w:lang w:val="cs-CZ"/>
        </w:rPr>
        <w:t xml:space="preserve">měrnice </w:t>
      </w:r>
      <w:r w:rsidR="000E61F0" w:rsidRPr="00B02682">
        <w:rPr>
          <w:iCs/>
          <w:lang w:val="cs-CZ"/>
        </w:rPr>
        <w:t>20</w:t>
      </w:r>
      <w:r w:rsidR="000E61F0">
        <w:rPr>
          <w:iCs/>
          <w:lang w:val="cs-CZ"/>
        </w:rPr>
        <w:t xml:space="preserve">14/24/EU. Směrnice </w:t>
      </w:r>
      <w:r w:rsidR="000E61F0" w:rsidRPr="00B02682">
        <w:rPr>
          <w:iCs/>
          <w:lang w:val="cs-CZ"/>
        </w:rPr>
        <w:t>20</w:t>
      </w:r>
      <w:r w:rsidR="000E61F0">
        <w:rPr>
          <w:iCs/>
          <w:lang w:val="cs-CZ"/>
        </w:rPr>
        <w:t xml:space="preserve">14/24/EU tak dává zákonu o zadávání veřejných zakázek vodítko k tomu, v jakém okamžiku se zahajuje užší řízení </w:t>
      </w:r>
      <w:r w:rsidR="00D22684">
        <w:rPr>
          <w:iCs/>
          <w:lang w:val="cs-CZ"/>
        </w:rPr>
        <w:t xml:space="preserve">i co je okamžikem, kdy může dodavatel </w:t>
      </w:r>
      <w:r>
        <w:rPr>
          <w:iCs/>
          <w:lang w:val="cs-CZ"/>
        </w:rPr>
        <w:t>podat žádost o účast v řízení. O</w:t>
      </w:r>
      <w:r w:rsidR="00D22684">
        <w:rPr>
          <w:iCs/>
          <w:lang w:val="cs-CZ"/>
        </w:rPr>
        <w:t xml:space="preserve">proti směrnici </w:t>
      </w:r>
      <w:r w:rsidR="00D22684" w:rsidRPr="00B02682">
        <w:rPr>
          <w:iCs/>
          <w:lang w:val="cs-CZ"/>
        </w:rPr>
        <w:t>20</w:t>
      </w:r>
      <w:r w:rsidR="00D22684">
        <w:rPr>
          <w:iCs/>
          <w:lang w:val="cs-CZ"/>
        </w:rPr>
        <w:t>14/24/EU zákon o zadávání veřejných zakázek neumožňuje podání společné nabídky</w:t>
      </w:r>
      <w:r w:rsidR="00D22684">
        <w:rPr>
          <w:rStyle w:val="FootnoteReference"/>
          <w:iCs/>
          <w:lang w:val="cs-CZ"/>
        </w:rPr>
        <w:footnoteReference w:id="45"/>
      </w:r>
      <w:r w:rsidR="00BA1769">
        <w:rPr>
          <w:iCs/>
          <w:lang w:val="cs-CZ"/>
        </w:rPr>
        <w:t>, S</w:t>
      </w:r>
      <w:r w:rsidR="00D22684">
        <w:rPr>
          <w:iCs/>
          <w:lang w:val="cs-CZ"/>
        </w:rPr>
        <w:t xml:space="preserve">měrnice </w:t>
      </w:r>
      <w:r w:rsidR="00D22684" w:rsidRPr="00B02682">
        <w:rPr>
          <w:iCs/>
          <w:lang w:val="cs-CZ"/>
        </w:rPr>
        <w:t>20</w:t>
      </w:r>
      <w:r w:rsidR="00E20D5F">
        <w:rPr>
          <w:iCs/>
          <w:lang w:val="cs-CZ"/>
        </w:rPr>
        <w:t>14/24/EU je zároveň</w:t>
      </w:r>
      <w:r w:rsidR="00D22684">
        <w:rPr>
          <w:iCs/>
          <w:lang w:val="cs-CZ"/>
        </w:rPr>
        <w:t xml:space="preserve"> benevolentnější v oblasti </w:t>
      </w:r>
      <w:r w:rsidR="00E20D5F">
        <w:rPr>
          <w:iCs/>
          <w:lang w:val="cs-CZ"/>
        </w:rPr>
        <w:t>snížení počtu vyzvaných dodavatelů, kdy umožňuje snížit počet dodavatelů v obecném měřítku a nejen</w:t>
      </w:r>
      <w:r w:rsidR="00AF41AA">
        <w:rPr>
          <w:iCs/>
          <w:lang w:val="cs-CZ"/>
        </w:rPr>
        <w:t>om</w:t>
      </w:r>
      <w:r w:rsidR="00E20D5F">
        <w:rPr>
          <w:iCs/>
          <w:lang w:val="cs-CZ"/>
        </w:rPr>
        <w:t xml:space="preserve"> v určitých stanovených případech</w:t>
      </w:r>
      <w:r w:rsidR="00AF41AA">
        <w:rPr>
          <w:iCs/>
          <w:lang w:val="cs-CZ"/>
        </w:rPr>
        <w:t>,</w:t>
      </w:r>
      <w:r w:rsidR="00E20D5F">
        <w:rPr>
          <w:iCs/>
          <w:lang w:val="cs-CZ"/>
        </w:rPr>
        <w:t xml:space="preserve"> jak je tomu v ZZVZ</w:t>
      </w:r>
      <w:r w:rsidR="00E20D5F">
        <w:rPr>
          <w:rStyle w:val="FootnoteReference"/>
          <w:iCs/>
          <w:lang w:val="cs-CZ"/>
        </w:rPr>
        <w:footnoteReference w:id="46"/>
      </w:r>
      <w:r w:rsidR="00E20D5F">
        <w:rPr>
          <w:iCs/>
          <w:lang w:val="cs-CZ"/>
        </w:rPr>
        <w:t>.</w:t>
      </w:r>
      <w:r w:rsidR="00E20D5F">
        <w:rPr>
          <w:rStyle w:val="FootnoteReference"/>
          <w:iCs/>
          <w:lang w:val="cs-CZ"/>
        </w:rPr>
        <w:footnoteReference w:id="47"/>
      </w:r>
      <w:r w:rsidR="00E20D5F">
        <w:rPr>
          <w:iCs/>
          <w:lang w:val="cs-CZ"/>
        </w:rPr>
        <w:t xml:space="preserve"> V obou případech jsou hospodářské subjekty nuceny předložit zadavateli dokumenty prokazující svou kvalifikaci k předmětné zakázce. Nepředložení by mělo za následek vyloučení z účasti na řízení.</w:t>
      </w:r>
      <w:r w:rsidR="00E20D5F">
        <w:rPr>
          <w:rStyle w:val="FootnoteReference"/>
          <w:iCs/>
          <w:lang w:val="cs-CZ"/>
        </w:rPr>
        <w:footnoteReference w:id="48"/>
      </w:r>
    </w:p>
    <w:p w14:paraId="5869F479" w14:textId="5D1DB385" w:rsidR="006F681C" w:rsidRPr="006F681C" w:rsidRDefault="00374FD5" w:rsidP="006F681C">
      <w:pPr>
        <w:ind w:firstLine="720"/>
        <w:rPr>
          <w:iCs/>
          <w:lang w:val="cs-CZ"/>
        </w:rPr>
      </w:pPr>
      <w:r>
        <w:rPr>
          <w:iCs/>
          <w:lang w:val="cs-CZ"/>
        </w:rPr>
        <w:t>V rámci užšího řízení vystupuje v zásadě jeden velký problém, a to je interpretace čl. 28 odst. 2 Směrnice 2014/24/EU, kdy není zcela jasné</w:t>
      </w:r>
      <w:r w:rsidR="00AF41AA">
        <w:rPr>
          <w:iCs/>
          <w:lang w:val="cs-CZ"/>
        </w:rPr>
        <w:t>,</w:t>
      </w:r>
      <w:r>
        <w:rPr>
          <w:iCs/>
          <w:lang w:val="cs-CZ"/>
        </w:rPr>
        <w:t xml:space="preserve"> jak vyložit podmínku, že nabídku mohou podávat jen ty hospodářské subjekty, které k tomu byly vyzvány zadavatelem. </w:t>
      </w:r>
      <w:r w:rsidR="006F681C" w:rsidRPr="00AF41AA">
        <w:rPr>
          <w:iCs/>
          <w:color w:val="000000" w:themeColor="text1"/>
          <w:lang w:val="cs-CZ"/>
        </w:rPr>
        <w:t>Evropský soudní dvůr se musel zabývat otázkou, zda se jedná o stejný subjekt v rámci zadávacího řízení, když subjekt</w:t>
      </w:r>
      <w:r w:rsidR="00AF41AA" w:rsidRPr="00AF41AA">
        <w:rPr>
          <w:iCs/>
          <w:color w:val="000000" w:themeColor="text1"/>
          <w:lang w:val="cs-CZ"/>
        </w:rPr>
        <w:t>,</w:t>
      </w:r>
      <w:r w:rsidR="006F681C" w:rsidRPr="00AF41AA">
        <w:rPr>
          <w:iCs/>
          <w:color w:val="000000" w:themeColor="text1"/>
          <w:lang w:val="cs-CZ"/>
        </w:rPr>
        <w:t xml:space="preserve"> který byl osloven zadavatelem</w:t>
      </w:r>
      <w:r w:rsidR="00AF41AA" w:rsidRPr="00AF41AA">
        <w:rPr>
          <w:iCs/>
          <w:color w:val="000000" w:themeColor="text1"/>
          <w:lang w:val="cs-CZ"/>
        </w:rPr>
        <w:t>,</w:t>
      </w:r>
      <w:r w:rsidR="001211DB">
        <w:rPr>
          <w:iCs/>
          <w:color w:val="000000" w:themeColor="text1"/>
          <w:lang w:val="cs-CZ"/>
        </w:rPr>
        <w:t xml:space="preserve"> prošel procesem fúze poté, co byl </w:t>
      </w:r>
      <w:r w:rsidR="006F681C" w:rsidRPr="00AF41AA">
        <w:rPr>
          <w:iCs/>
          <w:color w:val="000000" w:themeColor="text1"/>
          <w:lang w:val="cs-CZ"/>
        </w:rPr>
        <w:t xml:space="preserve">osloven zadavatelem k podání nabídky. </w:t>
      </w:r>
      <w:r w:rsidR="006F681C">
        <w:rPr>
          <w:iCs/>
          <w:lang w:val="cs-CZ"/>
        </w:rPr>
        <w:t xml:space="preserve">Fúzí se tento oslovený hospodářský subjekt spojil s jiným osloveným hospodářským subjektem. </w:t>
      </w:r>
      <w:r w:rsidR="004A73A6">
        <w:rPr>
          <w:iCs/>
          <w:lang w:val="cs-CZ"/>
        </w:rPr>
        <w:t xml:space="preserve">Druhou otázkou byl i fakt, zda fúzí nevznikl rozpor se zásadou rovnosti. </w:t>
      </w:r>
      <w:r w:rsidR="006F681C">
        <w:rPr>
          <w:iCs/>
          <w:lang w:val="cs-CZ"/>
        </w:rPr>
        <w:t>S</w:t>
      </w:r>
      <w:r w:rsidR="004A73A6">
        <w:rPr>
          <w:iCs/>
          <w:lang w:val="cs-CZ"/>
        </w:rPr>
        <w:t>oudní dvůr dospěl k závěru, že se musí brát zřetel na právní a materiální totožnost předběžně vybraných hospodářských subjektů se subjekty, kteří skutečně předkládají závěrečnou nabídku</w:t>
      </w:r>
      <w:r w:rsidR="00D36E21">
        <w:rPr>
          <w:iCs/>
          <w:lang w:val="cs-CZ"/>
        </w:rPr>
        <w:t>. To</w:t>
      </w:r>
      <w:r w:rsidR="004A73A6">
        <w:rPr>
          <w:iCs/>
          <w:lang w:val="cs-CZ"/>
        </w:rPr>
        <w:t xml:space="preserve"> ovšem nebrání, když podá hospodářský subjekt nabídku, když v období mezi předběžným vybráním a podáním </w:t>
      </w:r>
      <w:r w:rsidR="004A73A6">
        <w:rPr>
          <w:iCs/>
          <w:lang w:val="cs-CZ"/>
        </w:rPr>
        <w:lastRenderedPageBreak/>
        <w:t>nabídek provedl subjekt fúzi s</w:t>
      </w:r>
      <w:r w:rsidR="00D36E21">
        <w:rPr>
          <w:iCs/>
          <w:lang w:val="cs-CZ"/>
        </w:rPr>
        <w:t> </w:t>
      </w:r>
      <w:r w:rsidR="004A73A6">
        <w:rPr>
          <w:iCs/>
          <w:lang w:val="cs-CZ"/>
        </w:rPr>
        <w:t>jiným</w:t>
      </w:r>
      <w:r w:rsidR="00D36E21">
        <w:rPr>
          <w:iCs/>
          <w:lang w:val="cs-CZ"/>
        </w:rPr>
        <w:t xml:space="preserve">, </w:t>
      </w:r>
      <w:r w:rsidR="004A73A6">
        <w:rPr>
          <w:iCs/>
          <w:lang w:val="cs-CZ"/>
        </w:rPr>
        <w:t>před</w:t>
      </w:r>
      <w:r w:rsidR="00D36E21">
        <w:rPr>
          <w:iCs/>
          <w:lang w:val="cs-CZ"/>
        </w:rPr>
        <w:t xml:space="preserve">em </w:t>
      </w:r>
      <w:r w:rsidR="004A73A6">
        <w:rPr>
          <w:iCs/>
          <w:lang w:val="cs-CZ"/>
        </w:rPr>
        <w:t xml:space="preserve">vybraným hospodářským subjektem. K porušení zásady rovnosti nemohlo dojít, jelikož </w:t>
      </w:r>
      <w:r w:rsidR="00003D00">
        <w:rPr>
          <w:iCs/>
          <w:lang w:val="cs-CZ"/>
        </w:rPr>
        <w:t>není možné, aby došlo v řízení ke zhoršení postavení ostatních uchazečů z důvodu spojení dvou uchazečů, čímž bude posílena jejich ekonomická či technická stránka.</w:t>
      </w:r>
      <w:r w:rsidR="00003D00">
        <w:rPr>
          <w:rStyle w:val="FootnoteReference"/>
          <w:iCs/>
          <w:lang w:val="cs-CZ"/>
        </w:rPr>
        <w:footnoteReference w:id="49"/>
      </w:r>
      <w:r w:rsidR="00BD0F8C">
        <w:rPr>
          <w:iCs/>
          <w:lang w:val="cs-CZ"/>
        </w:rPr>
        <w:t xml:space="preserve"> </w:t>
      </w:r>
      <w:r w:rsidR="004A73A6">
        <w:rPr>
          <w:iCs/>
          <w:lang w:val="cs-CZ"/>
        </w:rPr>
        <w:t xml:space="preserve">Obdobné Soudní dvůr řešil i v rámci rozhodnutí </w:t>
      </w:r>
      <w:r w:rsidR="00040B94">
        <w:rPr>
          <w:iCs/>
          <w:lang w:val="cs-CZ"/>
        </w:rPr>
        <w:t xml:space="preserve">ve věci </w:t>
      </w:r>
      <w:r w:rsidR="00040B94" w:rsidRPr="00040B94">
        <w:rPr>
          <w:iCs/>
          <w:lang w:val="cs-CZ"/>
        </w:rPr>
        <w:t xml:space="preserve">MT </w:t>
      </w:r>
      <w:proofErr w:type="spellStart"/>
      <w:r w:rsidR="00040B94" w:rsidRPr="00040B94">
        <w:rPr>
          <w:iCs/>
          <w:lang w:val="cs-CZ"/>
        </w:rPr>
        <w:t>Højgaard</w:t>
      </w:r>
      <w:proofErr w:type="spellEnd"/>
      <w:r w:rsidR="00040B94" w:rsidRPr="00040B94">
        <w:rPr>
          <w:iCs/>
          <w:lang w:val="cs-CZ"/>
        </w:rPr>
        <w:t xml:space="preserve"> A/S a </w:t>
      </w:r>
      <w:proofErr w:type="spellStart"/>
      <w:r w:rsidR="00040B94" w:rsidRPr="00040B94">
        <w:rPr>
          <w:iCs/>
          <w:lang w:val="cs-CZ"/>
        </w:rPr>
        <w:t>Züblin</w:t>
      </w:r>
      <w:proofErr w:type="spellEnd"/>
      <w:r w:rsidR="00040B94" w:rsidRPr="00040B94">
        <w:rPr>
          <w:iCs/>
          <w:lang w:val="cs-CZ"/>
        </w:rPr>
        <w:t xml:space="preserve"> A/S v. </w:t>
      </w:r>
      <w:proofErr w:type="spellStart"/>
      <w:r w:rsidR="00040B94" w:rsidRPr="00040B94">
        <w:rPr>
          <w:iCs/>
          <w:lang w:val="cs-CZ"/>
        </w:rPr>
        <w:t>Banedanmark</w:t>
      </w:r>
      <w:proofErr w:type="spellEnd"/>
      <w:r w:rsidR="00040B94">
        <w:rPr>
          <w:iCs/>
          <w:lang w:val="cs-CZ"/>
        </w:rPr>
        <w:t xml:space="preserve"> ze dne 2</w:t>
      </w:r>
      <w:r w:rsidR="00DA34EC">
        <w:rPr>
          <w:iCs/>
          <w:lang w:val="cs-CZ"/>
        </w:rPr>
        <w:t>4. 5. 2016 řízení vedeno pod spisovou</w:t>
      </w:r>
      <w:r w:rsidR="00040B94">
        <w:rPr>
          <w:iCs/>
          <w:lang w:val="cs-CZ"/>
        </w:rPr>
        <w:t xml:space="preserve"> zn.</w:t>
      </w:r>
      <w:r w:rsidR="00BD0F8C" w:rsidRPr="00BD0F8C">
        <w:rPr>
          <w:iCs/>
          <w:lang w:val="cs-CZ"/>
        </w:rPr>
        <w:t xml:space="preserve"> C</w:t>
      </w:r>
      <w:r w:rsidR="00BD0F8C" w:rsidRPr="00BD0F8C">
        <w:rPr>
          <w:rFonts w:ascii="Lucida Grande" w:hAnsi="Lucida Grande" w:cs="Lucida Grande"/>
          <w:iCs/>
          <w:lang w:val="cs-CZ"/>
        </w:rPr>
        <w:t>‑</w:t>
      </w:r>
      <w:r w:rsidR="00040B94">
        <w:rPr>
          <w:iCs/>
          <w:lang w:val="cs-CZ"/>
        </w:rPr>
        <w:t xml:space="preserve">396/14. </w:t>
      </w:r>
    </w:p>
    <w:p w14:paraId="48EAA8E2" w14:textId="72A70268" w:rsidR="008F4ED3" w:rsidRDefault="00DC5A2B" w:rsidP="002474F6">
      <w:pPr>
        <w:pStyle w:val="ListParagraph"/>
        <w:numPr>
          <w:ilvl w:val="2"/>
          <w:numId w:val="1"/>
        </w:numPr>
        <w:rPr>
          <w:b/>
          <w:lang w:val="cs-CZ"/>
        </w:rPr>
      </w:pPr>
      <w:r w:rsidRPr="00DC5A2B">
        <w:rPr>
          <w:b/>
          <w:lang w:val="cs-CZ"/>
        </w:rPr>
        <w:t>Jednací řízení s</w:t>
      </w:r>
      <w:r w:rsidR="00141057">
        <w:rPr>
          <w:b/>
          <w:lang w:val="cs-CZ"/>
        </w:rPr>
        <w:t> </w:t>
      </w:r>
      <w:r w:rsidRPr="00DC5A2B">
        <w:rPr>
          <w:b/>
          <w:lang w:val="cs-CZ"/>
        </w:rPr>
        <w:t>uveřejněním</w:t>
      </w:r>
    </w:p>
    <w:p w14:paraId="0B7FA944" w14:textId="33A85330" w:rsidR="002637A4" w:rsidRDefault="002637A4" w:rsidP="002637A4">
      <w:pPr>
        <w:ind w:firstLine="720"/>
        <w:rPr>
          <w:lang w:val="cs-CZ"/>
        </w:rPr>
      </w:pPr>
      <w:r>
        <w:rPr>
          <w:lang w:val="cs-CZ"/>
        </w:rPr>
        <w:t>V jednacím řízení s uveřejně</w:t>
      </w:r>
      <w:r w:rsidR="00BA1769">
        <w:rPr>
          <w:lang w:val="cs-CZ"/>
        </w:rPr>
        <w:t>ním vedeném dle S</w:t>
      </w:r>
      <w:r>
        <w:rPr>
          <w:lang w:val="cs-CZ"/>
        </w:rPr>
        <w:t xml:space="preserve">měrnice </w:t>
      </w:r>
      <w:r w:rsidRPr="00B02682">
        <w:rPr>
          <w:iCs/>
          <w:lang w:val="cs-CZ"/>
        </w:rPr>
        <w:t>20</w:t>
      </w:r>
      <w:r>
        <w:rPr>
          <w:iCs/>
          <w:lang w:val="cs-CZ"/>
        </w:rPr>
        <w:t>14/24/EU čl. 29 odst. 1: „</w:t>
      </w:r>
      <w:r w:rsidR="004C2418">
        <w:rPr>
          <w:i/>
          <w:iCs/>
          <w:lang w:val="cs-CZ"/>
        </w:rPr>
        <w:t>M</w:t>
      </w:r>
      <w:r w:rsidRPr="004C2418">
        <w:rPr>
          <w:i/>
          <w:iCs/>
          <w:lang w:val="cs-CZ"/>
        </w:rPr>
        <w:t>ů</w:t>
      </w:r>
      <w:r w:rsidRPr="001E34AA">
        <w:rPr>
          <w:i/>
          <w:iCs/>
          <w:lang w:val="cs-CZ"/>
        </w:rPr>
        <w:t>že kterýkoliv hospodářský subjekt jako odpověď na výzvu k účasti v soutěži, podat žádost o účast tím, že předloží informace pro výběr na základě kvalifikace požadované veřejným zadavatelem</w:t>
      </w:r>
      <w:r w:rsidR="000F2DB0">
        <w:rPr>
          <w:rStyle w:val="FootnoteReference"/>
          <w:i/>
          <w:iCs/>
          <w:lang w:val="cs-CZ"/>
        </w:rPr>
        <w:footnoteReference w:id="50"/>
      </w:r>
      <w:r>
        <w:rPr>
          <w:iCs/>
          <w:lang w:val="cs-CZ"/>
        </w:rPr>
        <w:t>.“ V zadávací dokumentaci veřejný zadavatel</w:t>
      </w:r>
      <w:r>
        <w:rPr>
          <w:rStyle w:val="FootnoteReference"/>
          <w:iCs/>
          <w:lang w:val="cs-CZ"/>
        </w:rPr>
        <w:footnoteReference w:id="51"/>
      </w:r>
      <w:r>
        <w:rPr>
          <w:iCs/>
          <w:lang w:val="cs-CZ"/>
        </w:rPr>
        <w:t xml:space="preserve"> vymezí př</w:t>
      </w:r>
      <w:r w:rsidR="00891A55">
        <w:rPr>
          <w:iCs/>
          <w:lang w:val="cs-CZ"/>
        </w:rPr>
        <w:t>edmět veřejné zakázky. Formulací</w:t>
      </w:r>
      <w:r>
        <w:rPr>
          <w:iCs/>
          <w:lang w:val="cs-CZ"/>
        </w:rPr>
        <w:t xml:space="preserve"> </w:t>
      </w:r>
      <w:r w:rsidR="00891A55">
        <w:rPr>
          <w:iCs/>
          <w:lang w:val="cs-CZ"/>
        </w:rPr>
        <w:t>veřejné zakázky zadavatel definuje</w:t>
      </w:r>
      <w:r>
        <w:rPr>
          <w:iCs/>
          <w:lang w:val="cs-CZ"/>
        </w:rPr>
        <w:t xml:space="preserve"> předmět veřejné zakázky, tzv</w:t>
      </w:r>
      <w:r w:rsidR="00891A55">
        <w:rPr>
          <w:iCs/>
          <w:lang w:val="cs-CZ"/>
        </w:rPr>
        <w:t>. předběžnou nabídku, kde navrhne</w:t>
      </w:r>
      <w:r>
        <w:rPr>
          <w:iCs/>
          <w:lang w:val="cs-CZ"/>
        </w:rPr>
        <w:t xml:space="preserve"> potřeb</w:t>
      </w:r>
      <w:r w:rsidR="00891A55">
        <w:rPr>
          <w:iCs/>
          <w:lang w:val="cs-CZ"/>
        </w:rPr>
        <w:t>y, požadované</w:t>
      </w:r>
      <w:r>
        <w:rPr>
          <w:iCs/>
          <w:lang w:val="cs-CZ"/>
        </w:rPr>
        <w:t xml:space="preserve"> vlastností dodávek, stavebních prací či služeb. U</w:t>
      </w:r>
      <w:r w:rsidR="00336F72">
        <w:rPr>
          <w:iCs/>
          <w:lang w:val="cs-CZ"/>
        </w:rPr>
        <w:t>vedené informace musí být předány</w:t>
      </w:r>
      <w:r>
        <w:rPr>
          <w:iCs/>
          <w:lang w:val="cs-CZ"/>
        </w:rPr>
        <w:t xml:space="preserve"> jasně a srozumitelně subjektům, k tomu, aby se mohli rozhodnout, zda podají žádost v zadávacím řízení, v případě účasti na řízení představuje předběžná nabídka „odrazový můstek“ k vyjednávání.</w:t>
      </w:r>
      <w:r>
        <w:rPr>
          <w:rStyle w:val="FootnoteReference"/>
          <w:iCs/>
          <w:lang w:val="cs-CZ"/>
        </w:rPr>
        <w:footnoteReference w:id="52"/>
      </w:r>
      <w:r>
        <w:rPr>
          <w:iCs/>
          <w:lang w:val="cs-CZ"/>
        </w:rPr>
        <w:t xml:space="preserve"> Stejně jako u užšího řízení, i zde může zadavatel omezit počet zájemců o účast v řízení dle čl. 65 Směrnice 2014/24/EU.</w:t>
      </w:r>
    </w:p>
    <w:p w14:paraId="6269E221" w14:textId="6EB635A0" w:rsidR="00E26B8A" w:rsidRDefault="005035D1" w:rsidP="0013046B">
      <w:pPr>
        <w:ind w:firstLine="720"/>
        <w:rPr>
          <w:iCs/>
          <w:lang w:val="cs-CZ"/>
        </w:rPr>
      </w:pPr>
      <w:r>
        <w:rPr>
          <w:iCs/>
          <w:lang w:val="cs-CZ"/>
        </w:rPr>
        <w:t>Jednací řízení s uveřejněním je řízení, které zákon o zadávání veřejných zakázek převzal doslovně. Nenajdeme</w:t>
      </w:r>
      <w:r w:rsidR="00BA1769">
        <w:rPr>
          <w:iCs/>
          <w:lang w:val="cs-CZ"/>
        </w:rPr>
        <w:t xml:space="preserve"> zde rozdíl mezi zadáváním dle S</w:t>
      </w:r>
      <w:r>
        <w:rPr>
          <w:iCs/>
          <w:lang w:val="cs-CZ"/>
        </w:rPr>
        <w:t xml:space="preserve">měrnice 2014/24/EU či zákonem o zadávání veřejných zakázek. </w:t>
      </w:r>
      <w:r w:rsidR="00735887">
        <w:rPr>
          <w:iCs/>
          <w:lang w:val="cs-CZ"/>
        </w:rPr>
        <w:t xml:space="preserve">Postupy jsou identické. </w:t>
      </w:r>
      <w:r w:rsidR="009A6AD8">
        <w:rPr>
          <w:iCs/>
          <w:lang w:val="cs-CZ"/>
        </w:rPr>
        <w:t>V rámci jednacího řízení s uveřejněním lze směrnici 2014/24/EU chápat jako „</w:t>
      </w:r>
      <w:r w:rsidR="009A6AD8" w:rsidRPr="00865D30">
        <w:rPr>
          <w:i/>
          <w:iCs/>
          <w:lang w:val="cs-CZ"/>
        </w:rPr>
        <w:t>vhodnou interpretační a aplikační pomůcku</w:t>
      </w:r>
      <w:r w:rsidR="009A6AD8">
        <w:rPr>
          <w:rStyle w:val="FootnoteReference"/>
          <w:iCs/>
          <w:lang w:val="cs-CZ"/>
        </w:rPr>
        <w:footnoteReference w:id="53"/>
      </w:r>
      <w:r w:rsidR="009A6AD8">
        <w:rPr>
          <w:iCs/>
          <w:lang w:val="cs-CZ"/>
        </w:rPr>
        <w:t xml:space="preserve">“. </w:t>
      </w:r>
    </w:p>
    <w:p w14:paraId="650DA69A" w14:textId="4266F3FB" w:rsidR="00891A55" w:rsidRPr="00036BAB" w:rsidRDefault="00893B5C" w:rsidP="0013046B">
      <w:pPr>
        <w:ind w:firstLine="720"/>
        <w:rPr>
          <w:iCs/>
          <w:lang w:val="cs-CZ"/>
        </w:rPr>
      </w:pPr>
      <w:r>
        <w:rPr>
          <w:iCs/>
          <w:lang w:val="cs-CZ"/>
        </w:rPr>
        <w:t>Zadavatel v rámci jednacího řízení s uveřej</w:t>
      </w:r>
      <w:r w:rsidR="00D36E21">
        <w:rPr>
          <w:iCs/>
          <w:lang w:val="cs-CZ"/>
        </w:rPr>
        <w:t>něním musí pamatovat na to, že</w:t>
      </w:r>
      <w:r>
        <w:rPr>
          <w:iCs/>
          <w:lang w:val="cs-CZ"/>
        </w:rPr>
        <w:t> při následném jednání ohledně zadané zakázky, musí jednání směřovat k</w:t>
      </w:r>
      <w:r w:rsidR="00D36E21">
        <w:rPr>
          <w:iCs/>
          <w:lang w:val="cs-CZ"/>
        </w:rPr>
        <w:t> </w:t>
      </w:r>
      <w:r>
        <w:rPr>
          <w:iCs/>
          <w:lang w:val="cs-CZ"/>
        </w:rPr>
        <w:t>jedinému</w:t>
      </w:r>
      <w:r w:rsidR="00D36E21">
        <w:rPr>
          <w:iCs/>
          <w:lang w:val="cs-CZ"/>
        </w:rPr>
        <w:t xml:space="preserve"> cíli</w:t>
      </w:r>
      <w:r>
        <w:rPr>
          <w:iCs/>
          <w:lang w:val="cs-CZ"/>
        </w:rPr>
        <w:t>, což je vyjednání konkrétních smluvních podmínek.</w:t>
      </w:r>
      <w:r>
        <w:rPr>
          <w:rStyle w:val="FootnoteReference"/>
          <w:iCs/>
          <w:lang w:val="cs-CZ"/>
        </w:rPr>
        <w:footnoteReference w:id="54"/>
      </w:r>
      <w:r>
        <w:rPr>
          <w:iCs/>
          <w:lang w:val="cs-CZ"/>
        </w:rPr>
        <w:t xml:space="preserve"> </w:t>
      </w:r>
    </w:p>
    <w:p w14:paraId="17670AD2" w14:textId="105D35B3" w:rsidR="00685EBF" w:rsidRPr="00167180" w:rsidRDefault="00DC5A2B" w:rsidP="009450EB">
      <w:pPr>
        <w:pStyle w:val="ListParagraph"/>
        <w:keepNext/>
        <w:numPr>
          <w:ilvl w:val="2"/>
          <w:numId w:val="1"/>
        </w:numPr>
        <w:rPr>
          <w:b/>
          <w:lang w:val="cs-CZ"/>
        </w:rPr>
      </w:pPr>
      <w:r w:rsidRPr="00DC5A2B">
        <w:rPr>
          <w:b/>
          <w:lang w:val="cs-CZ"/>
        </w:rPr>
        <w:lastRenderedPageBreak/>
        <w:t>Jednací řízení bez uveřejnění</w:t>
      </w:r>
    </w:p>
    <w:p w14:paraId="1B572B08" w14:textId="68494061" w:rsidR="007700FE" w:rsidRDefault="005C4D3C" w:rsidP="009450EB">
      <w:pPr>
        <w:keepNext/>
        <w:ind w:firstLine="720"/>
        <w:rPr>
          <w:lang w:val="cs-CZ"/>
        </w:rPr>
      </w:pPr>
      <w:r>
        <w:rPr>
          <w:lang w:val="cs-CZ"/>
        </w:rPr>
        <w:t xml:space="preserve">Směrnice povoluje členským státům stanovit podmínky pro zadávání veřejných zakázek způsobem jednacího řízení bez uveřejnění. Uvedené řízení může být použito pro zadávání veřejných zakázek na práce, dodávky a služby, za splnění podmínky, že zadavatel dříve užil řízení otevřené nebo užší </w:t>
      </w:r>
      <w:r w:rsidR="00D36E21">
        <w:rPr>
          <w:lang w:val="cs-CZ"/>
        </w:rPr>
        <w:t>řízení pro výběr dodavatele. V</w:t>
      </w:r>
      <w:r>
        <w:rPr>
          <w:lang w:val="cs-CZ"/>
        </w:rPr>
        <w:t xml:space="preserve"> těchto řízeních zadavatel nevybral vhodného kandidáta na dodavatele z důvodu nepřihlášení se do zadávacího řízení ze strany dodavatelů nebo žádné vhodné nabídky nebyla podány ze strany dodavatelů. </w:t>
      </w:r>
      <w:r w:rsidR="00571A04">
        <w:rPr>
          <w:lang w:val="cs-CZ"/>
        </w:rPr>
        <w:t>Druhým důvodem, kdy může být užito zadávacího řízení skrz jednací řízení bez uveřejnění je, kdy cílem veřejné zakázky je dodání práce, dodávky či služby konkrétním hospodářským subjektem. Směrnice 2014/24/EU v čl. 32 odst. 3 definuje přesně, na jaké případy dodávek může být řízení užito, v odst. 4 stejného článku pak definuje toto vymezení pro služby a v odst. 5 pro stavební práce. Poslední případ, kdy zadavatel může sáhnout po tomto způsobu zadávacího řízení je případ krajní naléhavosti</w:t>
      </w:r>
      <w:r w:rsidR="00336F72">
        <w:rPr>
          <w:lang w:val="cs-CZ"/>
        </w:rPr>
        <w:t xml:space="preserve">, tj.: </w:t>
      </w:r>
      <w:r w:rsidR="00792C9D">
        <w:rPr>
          <w:lang w:val="cs-CZ"/>
        </w:rPr>
        <w:t>„</w:t>
      </w:r>
      <w:r w:rsidR="00792C9D" w:rsidRPr="009450EB">
        <w:rPr>
          <w:i/>
          <w:lang w:val="cs-CZ"/>
        </w:rPr>
        <w:t>způsobené událostmi, které veřejný zadavatel nemohl předvídat, nelze dodržet lhůty pro otevřené řízení, užší řízení nebo jednací řízení. Okolnosti pro odůvodnění krajní naléhavosti nesmějí být v žádném případě způsobeny veřejným zadavatelem</w:t>
      </w:r>
      <w:r w:rsidR="00792C9D" w:rsidRPr="009450EB">
        <w:rPr>
          <w:rStyle w:val="FootnoteReference"/>
          <w:i/>
          <w:lang w:val="cs-CZ"/>
        </w:rPr>
        <w:footnoteReference w:id="55"/>
      </w:r>
      <w:r w:rsidR="00792C9D" w:rsidRPr="009450EB">
        <w:rPr>
          <w:i/>
          <w:lang w:val="cs-CZ"/>
        </w:rPr>
        <w:t>“</w:t>
      </w:r>
      <w:r w:rsidR="00792C9D">
        <w:rPr>
          <w:lang w:val="cs-CZ"/>
        </w:rPr>
        <w:t>.</w:t>
      </w:r>
      <w:r w:rsidR="00792C9D">
        <w:rPr>
          <w:rStyle w:val="FootnoteReference"/>
          <w:lang w:val="cs-CZ"/>
        </w:rPr>
        <w:footnoteReference w:id="56"/>
      </w:r>
    </w:p>
    <w:p w14:paraId="18015DAA" w14:textId="01BC7AA9" w:rsidR="009D3BF7" w:rsidRDefault="009D3BF7" w:rsidP="009D3BF7">
      <w:pPr>
        <w:ind w:firstLine="720"/>
        <w:rPr>
          <w:lang w:val="cs-CZ"/>
        </w:rPr>
      </w:pPr>
      <w:r>
        <w:rPr>
          <w:lang w:val="cs-CZ"/>
        </w:rPr>
        <w:t>Jednací řízení bez uveřejnění nabídky je více méně klasické uzavírání smluv, s tím rozdílem, že zadavatel posílá nabídku více dodavatelům a nejen jednomu. V rámci řízení nedochází k uveřejnění oznámení ohle</w:t>
      </w:r>
      <w:r w:rsidR="00336F72">
        <w:rPr>
          <w:lang w:val="cs-CZ"/>
        </w:rPr>
        <w:t>dně začátku zadávacího řízení. P</w:t>
      </w:r>
      <w:r>
        <w:rPr>
          <w:lang w:val="cs-CZ"/>
        </w:rPr>
        <w:t>růběh celého řízení není upraven příliš detailně. Jedná se o řízení, které lze užít pouze v případě splnění dalších podmínek.</w:t>
      </w:r>
      <w:r>
        <w:rPr>
          <w:rStyle w:val="FootnoteReference"/>
          <w:lang w:val="cs-CZ"/>
        </w:rPr>
        <w:footnoteReference w:id="57"/>
      </w:r>
      <w:r w:rsidR="007700FE">
        <w:rPr>
          <w:lang w:val="cs-CZ"/>
        </w:rPr>
        <w:t xml:space="preserve"> </w:t>
      </w:r>
    </w:p>
    <w:p w14:paraId="7A1A85E7" w14:textId="36BA4EFB" w:rsidR="007700FE" w:rsidRDefault="00A15AAB" w:rsidP="003C1855">
      <w:pPr>
        <w:ind w:firstLine="720"/>
        <w:rPr>
          <w:lang w:val="cs-CZ"/>
        </w:rPr>
      </w:pPr>
      <w:r>
        <w:rPr>
          <w:lang w:val="cs-CZ"/>
        </w:rPr>
        <w:t xml:space="preserve">Jednací řízení bez uveřejnění je </w:t>
      </w:r>
      <w:r w:rsidR="007700FE">
        <w:rPr>
          <w:lang w:val="cs-CZ"/>
        </w:rPr>
        <w:t>nejméně</w:t>
      </w:r>
      <w:r>
        <w:rPr>
          <w:lang w:val="cs-CZ"/>
        </w:rPr>
        <w:t xml:space="preserve"> transparen</w:t>
      </w:r>
      <w:r w:rsidR="003C1855">
        <w:rPr>
          <w:lang w:val="cs-CZ"/>
        </w:rPr>
        <w:t xml:space="preserve">tní zadávací řízení, které by se mělo </w:t>
      </w:r>
      <w:r w:rsidR="0083768D">
        <w:rPr>
          <w:lang w:val="cs-CZ"/>
        </w:rPr>
        <w:t xml:space="preserve">s ohledem na tuto skutečnost používat pouze v ojedinělých případech. </w:t>
      </w:r>
      <w:r w:rsidR="003C1855">
        <w:rPr>
          <w:lang w:val="cs-CZ"/>
        </w:rPr>
        <w:t>Toto řízení lze</w:t>
      </w:r>
      <w:r w:rsidR="00235D6D">
        <w:rPr>
          <w:lang w:val="cs-CZ"/>
        </w:rPr>
        <w:t xml:space="preserve"> užít </w:t>
      </w:r>
      <w:r w:rsidR="003C1855">
        <w:rPr>
          <w:lang w:val="cs-CZ"/>
        </w:rPr>
        <w:t>pouze z důvodu krajní naléhavosti.  Asi i z tohoto důvodu vychází, až na drobné neupřesnění, zákon o zadávání veřejných zakázek ze znění Směrnice 2014/24/EU. V případě, že bychom chtěli naleznout rozdíl, můžeme ho spatřit v tom, že z</w:t>
      </w:r>
      <w:r w:rsidR="00235D6D">
        <w:rPr>
          <w:lang w:val="cs-CZ"/>
        </w:rPr>
        <w:t>ákon o zadávání veřejných zakázek nedefinuje, zda lze užít tento způsob zadávání i v případě, že okolnosti krajní nouze jsou způso</w:t>
      </w:r>
      <w:r w:rsidR="00BA1769">
        <w:rPr>
          <w:lang w:val="cs-CZ"/>
        </w:rPr>
        <w:t>beny zadavatelem. Naproti tomu S</w:t>
      </w:r>
      <w:r w:rsidR="00235D6D">
        <w:rPr>
          <w:lang w:val="cs-CZ"/>
        </w:rPr>
        <w:t xml:space="preserve">měrnice 2014/24/EU na tento případ pamatuje a zakazuje ho. </w:t>
      </w:r>
      <w:r w:rsidR="007700FE">
        <w:rPr>
          <w:lang w:val="cs-CZ"/>
        </w:rPr>
        <w:t xml:space="preserve">Největším </w:t>
      </w:r>
      <w:r w:rsidR="007700FE">
        <w:rPr>
          <w:lang w:val="cs-CZ"/>
        </w:rPr>
        <w:lastRenderedPageBreak/>
        <w:t>rozdílem mezi směrnicí a zákonem představuje fakt, že směrnice umožňuje zadávat jednacím řízením bez uveřejnění jen veřejné zakázky v nadlimitním režimu, zadávání dle směrnice nelze užít pro zadávání veřejných zakázek v tzv. podlimitním r</w:t>
      </w:r>
      <w:r w:rsidR="00336F72">
        <w:rPr>
          <w:lang w:val="cs-CZ"/>
        </w:rPr>
        <w:t>ežimu veřejné zakázky. Jestli by chtěl</w:t>
      </w:r>
      <w:r w:rsidR="007700FE">
        <w:rPr>
          <w:lang w:val="cs-CZ"/>
        </w:rPr>
        <w:t xml:space="preserve"> zadavatel zadávat podlimitní veřejnou zakázku musel by ji zadávat pouze dle zákona o zadávání veřejných zakázek.</w:t>
      </w:r>
      <w:r w:rsidR="007700FE">
        <w:rPr>
          <w:rStyle w:val="FootnoteReference"/>
          <w:lang w:val="cs-CZ"/>
        </w:rPr>
        <w:footnoteReference w:id="58"/>
      </w:r>
      <w:r w:rsidR="007700FE">
        <w:rPr>
          <w:lang w:val="cs-CZ"/>
        </w:rPr>
        <w:t xml:space="preserve"> </w:t>
      </w:r>
    </w:p>
    <w:p w14:paraId="5197CB9F" w14:textId="0F1A857C" w:rsidR="003C1855" w:rsidRPr="00514C32" w:rsidRDefault="003C1855" w:rsidP="00514C32">
      <w:pPr>
        <w:ind w:firstLine="720"/>
        <w:rPr>
          <w:i/>
          <w:lang w:val="cs-CZ"/>
        </w:rPr>
      </w:pPr>
      <w:r>
        <w:rPr>
          <w:lang w:val="cs-CZ"/>
        </w:rPr>
        <w:t xml:space="preserve">Právě z důvodu, že tento druh zadávacího řízení lze užít jen ve velmi specifických případech, </w:t>
      </w:r>
      <w:r w:rsidR="00514C32">
        <w:rPr>
          <w:lang w:val="cs-CZ"/>
        </w:rPr>
        <w:t xml:space="preserve">proto </w:t>
      </w:r>
      <w:r w:rsidR="000E7E6F">
        <w:rPr>
          <w:lang w:val="cs-CZ"/>
        </w:rPr>
        <w:t xml:space="preserve">bylo judikováno v rozsudku ze dne 28. 3. 1996, Komise proti Německu v rozsudku, řízení pod </w:t>
      </w:r>
      <w:proofErr w:type="spellStart"/>
      <w:r w:rsidR="000E7E6F">
        <w:rPr>
          <w:lang w:val="cs-CZ"/>
        </w:rPr>
        <w:t>sp</w:t>
      </w:r>
      <w:proofErr w:type="spellEnd"/>
      <w:r w:rsidR="000E7E6F">
        <w:rPr>
          <w:lang w:val="cs-CZ"/>
        </w:rPr>
        <w:t>. zn. C-318/94, že „</w:t>
      </w:r>
      <w:r w:rsidR="00E26B8A">
        <w:rPr>
          <w:i/>
          <w:lang w:val="cs-CZ"/>
        </w:rPr>
        <w:t>možnost zadat zakázku v jednacím řízení bez uv</w:t>
      </w:r>
      <w:r w:rsidR="00514C32">
        <w:rPr>
          <w:i/>
          <w:lang w:val="cs-CZ"/>
        </w:rPr>
        <w:t>e</w:t>
      </w:r>
      <w:r w:rsidR="00E26B8A">
        <w:rPr>
          <w:i/>
          <w:lang w:val="cs-CZ"/>
        </w:rPr>
        <w:t xml:space="preserve">řejnění je dána pouze při kumulativním splnění všech podmínek, jednou z nich je vznik nepředvídatelné události. Pokud není </w:t>
      </w:r>
      <w:r w:rsidR="00AF41AA">
        <w:rPr>
          <w:i/>
          <w:lang w:val="cs-CZ"/>
        </w:rPr>
        <w:t>s</w:t>
      </w:r>
      <w:r w:rsidR="00E26B8A">
        <w:rPr>
          <w:i/>
          <w:lang w:val="cs-CZ"/>
        </w:rPr>
        <w:t>plněna byť jen jedna z těchto podmínek, není</w:t>
      </w:r>
      <w:r w:rsidR="00514C32">
        <w:rPr>
          <w:i/>
          <w:lang w:val="cs-CZ"/>
        </w:rPr>
        <w:t xml:space="preserve"> možné jednacího řízení využít</w:t>
      </w:r>
      <w:r w:rsidR="000E7E6F">
        <w:rPr>
          <w:rStyle w:val="FootnoteReference"/>
          <w:i/>
          <w:lang w:val="cs-CZ"/>
        </w:rPr>
        <w:footnoteReference w:id="59"/>
      </w:r>
      <w:r w:rsidR="00514C32">
        <w:rPr>
          <w:lang w:val="cs-CZ"/>
        </w:rPr>
        <w:t xml:space="preserve">“. </w:t>
      </w:r>
      <w:r w:rsidR="000E7E6F">
        <w:rPr>
          <w:lang w:val="cs-CZ"/>
        </w:rPr>
        <w:t>Nejvyšš</w:t>
      </w:r>
      <w:r w:rsidR="00514C32">
        <w:rPr>
          <w:lang w:val="cs-CZ"/>
        </w:rPr>
        <w:t>í správní soud České republiky v rozsudku</w:t>
      </w:r>
      <w:r w:rsidR="000E7E6F">
        <w:rPr>
          <w:lang w:val="cs-CZ"/>
        </w:rPr>
        <w:t xml:space="preserve"> </w:t>
      </w:r>
      <w:proofErr w:type="spellStart"/>
      <w:r w:rsidR="000E7E6F">
        <w:rPr>
          <w:lang w:val="cs-CZ"/>
        </w:rPr>
        <w:t>sp</w:t>
      </w:r>
      <w:proofErr w:type="spellEnd"/>
      <w:r w:rsidR="000E7E6F">
        <w:rPr>
          <w:lang w:val="cs-CZ"/>
        </w:rPr>
        <w:t>. zn. 5 As 43/2012 ze dne 11. 1. 2013</w:t>
      </w:r>
      <w:r w:rsidR="004064EC">
        <w:rPr>
          <w:lang w:val="cs-CZ"/>
        </w:rPr>
        <w:t>, řekl, že jednacího řízení bez uveřejnění je možné užít jen ve výjimečných případech, za okolnosti, že k uspokojení potřeb zadavatele není možné dospět jinou cestou, tj. soutěží o zakázku, kdy opět důkazní břemeno k naplnění zákonných podmínek je na straně zadavatele.</w:t>
      </w:r>
      <w:r w:rsidR="004064EC">
        <w:rPr>
          <w:rStyle w:val="FootnoteReference"/>
          <w:lang w:val="cs-CZ"/>
        </w:rPr>
        <w:footnoteReference w:id="60"/>
      </w:r>
      <w:r w:rsidR="004064EC">
        <w:rPr>
          <w:lang w:val="cs-CZ"/>
        </w:rPr>
        <w:t xml:space="preserve"> </w:t>
      </w:r>
      <w:r w:rsidR="00487586">
        <w:rPr>
          <w:lang w:val="cs-CZ"/>
        </w:rPr>
        <w:t xml:space="preserve">Na stejné upozornil taktéž Nejvyšší správní soud v mediáně známém případu ukládání pokuty hlavnímu městu Praha ve věci tzv. </w:t>
      </w:r>
      <w:proofErr w:type="spellStart"/>
      <w:r w:rsidR="00487586">
        <w:rPr>
          <w:lang w:val="cs-CZ"/>
        </w:rPr>
        <w:t>OpenCard</w:t>
      </w:r>
      <w:proofErr w:type="spellEnd"/>
      <w:r w:rsidR="00487586">
        <w:rPr>
          <w:lang w:val="cs-CZ"/>
        </w:rPr>
        <w:t xml:space="preserve">, rozhodnutím pod </w:t>
      </w:r>
      <w:proofErr w:type="spellStart"/>
      <w:r w:rsidR="00487586">
        <w:rPr>
          <w:lang w:val="cs-CZ"/>
        </w:rPr>
        <w:t>sp</w:t>
      </w:r>
      <w:proofErr w:type="spellEnd"/>
      <w:r w:rsidR="00487586">
        <w:rPr>
          <w:lang w:val="cs-CZ"/>
        </w:rPr>
        <w:t xml:space="preserve">. zn. 1 As 242/2017 ze dne 1. 11. 2017. </w:t>
      </w:r>
    </w:p>
    <w:p w14:paraId="6D26E12C" w14:textId="0E042D21" w:rsidR="00DC5A2B" w:rsidRDefault="00DC5A2B" w:rsidP="002474F6">
      <w:pPr>
        <w:pStyle w:val="ListParagraph"/>
        <w:numPr>
          <w:ilvl w:val="2"/>
          <w:numId w:val="1"/>
        </w:numPr>
        <w:rPr>
          <w:b/>
          <w:lang w:val="cs-CZ"/>
        </w:rPr>
      </w:pPr>
      <w:r w:rsidRPr="00DC5A2B">
        <w:rPr>
          <w:b/>
          <w:lang w:val="cs-CZ"/>
        </w:rPr>
        <w:t>Řízení se soutěžním dialogem</w:t>
      </w:r>
    </w:p>
    <w:p w14:paraId="6654D328" w14:textId="3E521295" w:rsidR="009D3BF7" w:rsidRDefault="00B54E49" w:rsidP="008B787A">
      <w:pPr>
        <w:ind w:firstLine="720"/>
        <w:rPr>
          <w:lang w:val="cs-CZ"/>
        </w:rPr>
      </w:pPr>
      <w:r w:rsidRPr="008B787A">
        <w:rPr>
          <w:lang w:val="cs-CZ"/>
        </w:rPr>
        <w:t xml:space="preserve">Řízení se soutěžním dialogem je cílené na </w:t>
      </w:r>
      <w:r w:rsidR="008B787A">
        <w:rPr>
          <w:lang w:val="cs-CZ"/>
        </w:rPr>
        <w:t>veřejné zakázky se složitým předmětem plnění, čímž se má na mysli situace, kdy zadavatel není schopen před zadáváním veřejné zakázky dostatečně vyspecifikovat předmět zakázky. Předtím, než konkrétně specifikuje předmět zakázky, je nutné, aby zadavatel jednal s potenciálními doda</w:t>
      </w:r>
      <w:r w:rsidR="00D36E21">
        <w:rPr>
          <w:lang w:val="cs-CZ"/>
        </w:rPr>
        <w:t xml:space="preserve">vateli, kteří </w:t>
      </w:r>
      <w:r w:rsidR="008B787A">
        <w:rPr>
          <w:lang w:val="cs-CZ"/>
        </w:rPr>
        <w:t xml:space="preserve">by si vymezili vzájemně řešení, podmínky a požadavky zadavatele. Dialog, stejně jako u řízení jednacího bez uveřejnění má zejména pomoci zadavateli k získání co nejlepších podmínek pro zadání veřejné zakázky. </w:t>
      </w:r>
      <w:r w:rsidR="00F27C26">
        <w:rPr>
          <w:lang w:val="cs-CZ"/>
        </w:rPr>
        <w:t xml:space="preserve">Naproti jednacího řízení s uveřejněním, má řízení se soutěžním dialogem čtyři části. </w:t>
      </w:r>
    </w:p>
    <w:p w14:paraId="1F8A85BB" w14:textId="77777777" w:rsidR="00F345E5" w:rsidRDefault="009A67AB" w:rsidP="00BF3EF3">
      <w:pPr>
        <w:ind w:firstLine="720"/>
        <w:rPr>
          <w:lang w:val="cs-CZ"/>
        </w:rPr>
      </w:pPr>
      <w:r>
        <w:rPr>
          <w:lang w:val="cs-CZ"/>
        </w:rPr>
        <w:t>V rámci soutěžního dialogu má právo jakýkoliv hospodářský subjekt odpovědět na oznámení o zahájení zadávacího řízení a podat tím, že předloží informace pro výběr na základě kvalifi</w:t>
      </w:r>
      <w:r w:rsidR="00336F72">
        <w:rPr>
          <w:lang w:val="cs-CZ"/>
        </w:rPr>
        <w:t xml:space="preserve">kačních požadavků zadavatele. Žádost o účast </w:t>
      </w:r>
      <w:r w:rsidR="00336F72">
        <w:rPr>
          <w:lang w:val="cs-CZ"/>
        </w:rPr>
        <w:lastRenderedPageBreak/>
        <w:t xml:space="preserve">na řízení </w:t>
      </w:r>
      <w:r>
        <w:rPr>
          <w:lang w:val="cs-CZ"/>
        </w:rPr>
        <w:t>soutěžního dialogu se mohou účastnit je</w:t>
      </w:r>
      <w:r w:rsidR="00336F72">
        <w:rPr>
          <w:lang w:val="cs-CZ"/>
        </w:rPr>
        <w:t>n</w:t>
      </w:r>
      <w:r>
        <w:rPr>
          <w:lang w:val="cs-CZ"/>
        </w:rPr>
        <w:t xml:space="preserve"> ty hospodářské subjekty, jež zadavatel vyzval po posouzení předložených informací,</w:t>
      </w:r>
      <w:r w:rsidR="00336F72">
        <w:rPr>
          <w:lang w:val="cs-CZ"/>
        </w:rPr>
        <w:t xml:space="preserve"> takto</w:t>
      </w:r>
      <w:r>
        <w:rPr>
          <w:lang w:val="cs-CZ"/>
        </w:rPr>
        <w:t xml:space="preserve"> může být snížen počet vhodných zájemců. </w:t>
      </w:r>
      <w:r w:rsidR="008D3F9B">
        <w:rPr>
          <w:lang w:val="cs-CZ"/>
        </w:rPr>
        <w:t>Zadavatel s vybranými účastníky řízení zahájí dialog, jehož hlavním cílem je určit a vymezit způsob řešení, který se co nejvíce podobá potřebám zadavatele. V rámci dialogu je nutné, aby bylo zajištěno rovné zacház</w:t>
      </w:r>
      <w:r w:rsidR="00336F72">
        <w:rPr>
          <w:lang w:val="cs-CZ"/>
        </w:rPr>
        <w:t>ení se všemi účastníky řízení. D</w:t>
      </w:r>
      <w:r w:rsidR="008D3F9B">
        <w:rPr>
          <w:lang w:val="cs-CZ"/>
        </w:rPr>
        <w:t>ialog mezi zadavatelem a účastníky trvá do té doby, než zadavatel nenajde jedno nebo i více řešení, které splňují požadavky zadavatele. Po</w:t>
      </w:r>
      <w:r w:rsidR="00336F72">
        <w:rPr>
          <w:lang w:val="cs-CZ"/>
        </w:rPr>
        <w:t xml:space="preserve"> ukončení dialogu jsou zbývající </w:t>
      </w:r>
      <w:r w:rsidR="008D3F9B">
        <w:rPr>
          <w:lang w:val="cs-CZ"/>
        </w:rPr>
        <w:t>účastníci vyzváni k podání konečné nabídky.</w:t>
      </w:r>
      <w:r w:rsidR="00F12963">
        <w:rPr>
          <w:lang w:val="cs-CZ"/>
        </w:rPr>
        <w:t xml:space="preserve"> Zadavatel v rámci zadávání zadávacím způsobem se soutěžním dialogem může </w:t>
      </w:r>
      <w:r w:rsidR="00FF1CA7">
        <w:rPr>
          <w:lang w:val="cs-CZ"/>
        </w:rPr>
        <w:t>stanovit cenu nebo platbu pro účastníky řízení.</w:t>
      </w:r>
      <w:r w:rsidR="00F12963">
        <w:rPr>
          <w:rStyle w:val="FootnoteReference"/>
          <w:lang w:val="cs-CZ"/>
        </w:rPr>
        <w:footnoteReference w:id="61"/>
      </w:r>
      <w:r w:rsidR="008D3F9B">
        <w:rPr>
          <w:lang w:val="cs-CZ"/>
        </w:rPr>
        <w:t xml:space="preserve">  </w:t>
      </w:r>
      <w:r w:rsidR="00F27C26">
        <w:rPr>
          <w:lang w:val="cs-CZ"/>
        </w:rPr>
        <w:t>První fáze je fáze přihlašovací, kdy zadavatel oznámí zaháje</w:t>
      </w:r>
      <w:r w:rsidR="00EF7FA3">
        <w:rPr>
          <w:lang w:val="cs-CZ"/>
        </w:rPr>
        <w:t xml:space="preserve">ní zadávacího řízení, načež potencionální dodavatelé podávají přihlášky do řízení. Opět, na základě kvalifikace, zadavatel osloví vybrané dodavatele a požádá je o účast v soutěžním dialogu. </w:t>
      </w:r>
      <w:r w:rsidR="00897BEE">
        <w:rPr>
          <w:lang w:val="cs-CZ"/>
        </w:rPr>
        <w:t xml:space="preserve">Druhá fáze je samotný soutěžní dialog. </w:t>
      </w:r>
      <w:r w:rsidR="00336F72">
        <w:rPr>
          <w:lang w:val="cs-CZ"/>
        </w:rPr>
        <w:t>Ve třetí fázi dodavatelé podáv</w:t>
      </w:r>
      <w:r w:rsidR="00144A73">
        <w:rPr>
          <w:lang w:val="cs-CZ"/>
        </w:rPr>
        <w:t>ají zadavateli konkrétní finální nabídky. Čtvrtá fáze není povinná, jedná se o fázi, kdy zadavateli je dána možnost jednat s vybraným dodavatelem s tím účelem, že si potvrdí nabídku a upřesní smluvní podmínky.</w:t>
      </w:r>
      <w:r w:rsidR="00144A73">
        <w:rPr>
          <w:rStyle w:val="FootnoteReference"/>
          <w:lang w:val="cs-CZ"/>
        </w:rPr>
        <w:footnoteReference w:id="62"/>
      </w:r>
      <w:r w:rsidR="008777DC">
        <w:rPr>
          <w:lang w:val="cs-CZ"/>
        </w:rPr>
        <w:t xml:space="preserve"> </w:t>
      </w:r>
    </w:p>
    <w:p w14:paraId="386519C8" w14:textId="27FFD437" w:rsidR="004552E4" w:rsidRDefault="00F12963" w:rsidP="00F345E5">
      <w:pPr>
        <w:ind w:firstLine="720"/>
        <w:rPr>
          <w:lang w:val="cs-CZ"/>
        </w:rPr>
      </w:pPr>
      <w:r>
        <w:rPr>
          <w:lang w:val="cs-CZ"/>
        </w:rPr>
        <w:t>Úprava řízení se soutěžním dialogem v rámci zákona o zadávání veřejný</w:t>
      </w:r>
      <w:r w:rsidR="00BA1769">
        <w:rPr>
          <w:lang w:val="cs-CZ"/>
        </w:rPr>
        <w:t>ch zakázek je shodná s úpravou S</w:t>
      </w:r>
      <w:r>
        <w:rPr>
          <w:lang w:val="cs-CZ"/>
        </w:rPr>
        <w:t xml:space="preserve">měrnice 2014/24/EU. </w:t>
      </w:r>
      <w:r w:rsidR="00FF1CA7">
        <w:rPr>
          <w:lang w:val="cs-CZ"/>
        </w:rPr>
        <w:t>Rozdílný prvek můžeme nalézt v přímo zmíněném ve Směrnici 2014/24/EU umožněním stanovení ceny nebo platby v rámci řízení, kdy v ZZVZ je tato možnost sice také připuštěna, ale není s</w:t>
      </w:r>
      <w:r w:rsidR="00336F72">
        <w:rPr>
          <w:lang w:val="cs-CZ"/>
        </w:rPr>
        <w:t xml:space="preserve">tanovena přímo, nýbrž vyplývá z </w:t>
      </w:r>
      <w:r w:rsidR="00FF1CA7">
        <w:rPr>
          <w:lang w:val="cs-CZ"/>
        </w:rPr>
        <w:t>ustanovení § 36 odst. 9 zákona o zadávání veřejných zakázek.</w:t>
      </w:r>
      <w:r w:rsidR="00E84C58">
        <w:rPr>
          <w:rStyle w:val="FootnoteReference"/>
          <w:lang w:val="cs-CZ"/>
        </w:rPr>
        <w:footnoteReference w:id="63"/>
      </w:r>
      <w:r w:rsidR="00FF1CA7">
        <w:rPr>
          <w:lang w:val="cs-CZ"/>
        </w:rPr>
        <w:t xml:space="preserve"> </w:t>
      </w:r>
      <w:r w:rsidR="00F345E5">
        <w:rPr>
          <w:lang w:val="cs-CZ"/>
        </w:rPr>
        <w:t>Ovšem, „</w:t>
      </w:r>
      <w:r w:rsidR="00F345E5" w:rsidRPr="00E84C58">
        <w:rPr>
          <w:i/>
          <w:lang w:val="cs-CZ"/>
        </w:rPr>
        <w:t>Je třeba zdůraznit, že zadavatel může použít soutěžní dialog jen v případě </w:t>
      </w:r>
      <w:r w:rsidR="00F345E5" w:rsidRPr="0064786B">
        <w:rPr>
          <w:bCs/>
          <w:i/>
          <w:lang w:val="cs-CZ"/>
        </w:rPr>
        <w:t>objektivní </w:t>
      </w:r>
      <w:r w:rsidR="00F345E5" w:rsidRPr="00E84C58">
        <w:rPr>
          <w:i/>
          <w:lang w:val="cs-CZ"/>
        </w:rPr>
        <w:t>nemožnosti přesně vymezit technické, právní nebo finanční požadavky na plnění veřejné zakázky</w:t>
      </w:r>
      <w:r w:rsidR="00F345E5" w:rsidRPr="00E84C58">
        <w:rPr>
          <w:lang w:val="cs-CZ"/>
        </w:rPr>
        <w:t>.</w:t>
      </w:r>
      <w:r w:rsidR="00F345E5">
        <w:rPr>
          <w:rStyle w:val="FootnoteReference"/>
          <w:lang w:val="cs-CZ"/>
        </w:rPr>
        <w:footnoteReference w:id="64"/>
      </w:r>
      <w:r w:rsidR="00F345E5" w:rsidRPr="00E84C58">
        <w:rPr>
          <w:lang w:val="cs-CZ"/>
        </w:rPr>
        <w:t>”</w:t>
      </w:r>
      <w:r w:rsidR="0068212A">
        <w:rPr>
          <w:lang w:val="cs-CZ"/>
        </w:rPr>
        <w:t>. Řízení se soutěžním dialogem je užíváno na případy, kdy veřejný zadavatel ví a je schopen vyjádřit veřejnou zakázkou potřeby, které mají být uspokojeny, ale na druhou stranu není již schopen určit pro něj nejvýhodnější způsobe řešení</w:t>
      </w:r>
      <w:r w:rsidR="0068212A">
        <w:rPr>
          <w:rStyle w:val="FootnoteReference"/>
          <w:lang w:val="cs-CZ"/>
        </w:rPr>
        <w:footnoteReference w:id="65"/>
      </w:r>
      <w:r w:rsidR="00912CFB">
        <w:rPr>
          <w:lang w:val="cs-CZ"/>
        </w:rPr>
        <w:t>. „</w:t>
      </w:r>
      <w:r w:rsidR="00912CFB" w:rsidRPr="00912CFB">
        <w:rPr>
          <w:i/>
          <w:lang w:val="cs-CZ"/>
        </w:rPr>
        <w:t xml:space="preserve">Taková situace může nastat zejména u </w:t>
      </w:r>
      <w:r w:rsidR="00912CFB" w:rsidRPr="00912CFB">
        <w:rPr>
          <w:i/>
          <w:lang w:val="cs-CZ"/>
        </w:rPr>
        <w:lastRenderedPageBreak/>
        <w:t>inovativních projektů, při realizaci velkých integrovaných projektů dopravní infrastruktury, rozsáhlých počítačových sítí nebo projektů zahrnujících složité a strukturované financování</w:t>
      </w:r>
      <w:r w:rsidR="00912CFB" w:rsidRPr="00912CFB">
        <w:rPr>
          <w:lang w:val="cs-CZ"/>
        </w:rPr>
        <w:t>.</w:t>
      </w:r>
      <w:r w:rsidR="00912CFB">
        <w:rPr>
          <w:rStyle w:val="FootnoteReference"/>
          <w:lang w:val="cs-CZ"/>
        </w:rPr>
        <w:footnoteReference w:id="66"/>
      </w:r>
      <w:r w:rsidR="00912CFB">
        <w:rPr>
          <w:lang w:val="cs-CZ"/>
        </w:rPr>
        <w:t>“</w:t>
      </w:r>
    </w:p>
    <w:p w14:paraId="42DF5D1E" w14:textId="4823B6D5" w:rsidR="00DC5A2B" w:rsidRDefault="00DC5A2B" w:rsidP="002474F6">
      <w:pPr>
        <w:pStyle w:val="ListParagraph"/>
        <w:numPr>
          <w:ilvl w:val="2"/>
          <w:numId w:val="1"/>
        </w:numPr>
        <w:rPr>
          <w:b/>
          <w:lang w:val="cs-CZ"/>
        </w:rPr>
      </w:pPr>
      <w:r w:rsidRPr="00DC5A2B">
        <w:rPr>
          <w:b/>
          <w:lang w:val="cs-CZ"/>
        </w:rPr>
        <w:t>Řízení o inovačním partnerství</w:t>
      </w:r>
    </w:p>
    <w:p w14:paraId="7CDB2B1E" w14:textId="06002035" w:rsidR="00305BD3" w:rsidRDefault="002B33A4" w:rsidP="00224DFB">
      <w:pPr>
        <w:ind w:firstLine="720"/>
        <w:rPr>
          <w:lang w:val="cs-CZ"/>
        </w:rPr>
      </w:pPr>
      <w:r w:rsidRPr="002B33A4">
        <w:rPr>
          <w:lang w:val="cs-CZ"/>
        </w:rPr>
        <w:t>Řízen</w:t>
      </w:r>
      <w:r w:rsidR="00C85242">
        <w:rPr>
          <w:lang w:val="cs-CZ"/>
        </w:rPr>
        <w:t xml:space="preserve">í o inovačním partnerství je </w:t>
      </w:r>
      <w:r w:rsidR="00EB4AD3">
        <w:rPr>
          <w:lang w:val="cs-CZ"/>
        </w:rPr>
        <w:t xml:space="preserve">zcela </w:t>
      </w:r>
      <w:r w:rsidR="00C85242">
        <w:rPr>
          <w:lang w:val="cs-CZ"/>
        </w:rPr>
        <w:t>zvláštní</w:t>
      </w:r>
      <w:r w:rsidR="00EB4AD3">
        <w:rPr>
          <w:lang w:val="cs-CZ"/>
        </w:rPr>
        <w:t xml:space="preserve"> druh zadávacího řízení, oproti předešlé právní úpravě se jedná o nový druh zadávacího řízení. Řízení stanovuje specifický postup pro vyvinutí a následné nakládání s inovativními výro</w:t>
      </w:r>
      <w:r w:rsidR="0064786B">
        <w:rPr>
          <w:lang w:val="cs-CZ"/>
        </w:rPr>
        <w:t>bky, stavebními pracemi či služ</w:t>
      </w:r>
      <w:r w:rsidR="00EB4AD3">
        <w:rPr>
          <w:lang w:val="cs-CZ"/>
        </w:rPr>
        <w:t>bami</w:t>
      </w:r>
      <w:r w:rsidR="0064786B">
        <w:rPr>
          <w:lang w:val="cs-CZ"/>
        </w:rPr>
        <w:t>.</w:t>
      </w:r>
      <w:r w:rsidR="00EB4AD3">
        <w:rPr>
          <w:rStyle w:val="FootnoteReference"/>
          <w:lang w:val="cs-CZ"/>
        </w:rPr>
        <w:footnoteReference w:id="67"/>
      </w:r>
      <w:r w:rsidR="00BA1769">
        <w:rPr>
          <w:lang w:val="cs-CZ"/>
        </w:rPr>
        <w:t xml:space="preserve"> Cílem zadávacího řízení dle S</w:t>
      </w:r>
      <w:r w:rsidR="00986053">
        <w:rPr>
          <w:lang w:val="cs-CZ"/>
        </w:rPr>
        <w:t>měrnice 2014/24/EU je: „</w:t>
      </w:r>
      <w:r w:rsidR="00986053" w:rsidRPr="00986053">
        <w:rPr>
          <w:i/>
          <w:lang w:val="cs-CZ"/>
        </w:rPr>
        <w:t>zajištění udržitelně vysoké kvality veřejných služeb v Evropě, kdy smyslem zavádění inovačního partnerství je dispozice institutem usnadňujícím zadávání veřejných zakázek v oblasti inovací a související prohlubování možné spolupráce mezi soukromými a veřejnými subjekty v rámci výzkumu a vývoje inovativních řešení</w:t>
      </w:r>
      <w:r w:rsidR="00AE68B9">
        <w:rPr>
          <w:rStyle w:val="FootnoteReference"/>
          <w:i/>
          <w:lang w:val="cs-CZ"/>
        </w:rPr>
        <w:footnoteReference w:id="68"/>
      </w:r>
      <w:r w:rsidR="00986053" w:rsidRPr="00986053">
        <w:rPr>
          <w:lang w:val="cs-CZ"/>
        </w:rPr>
        <w:t>.”</w:t>
      </w:r>
      <w:r w:rsidR="00742D1E">
        <w:rPr>
          <w:lang w:val="cs-CZ"/>
        </w:rPr>
        <w:t xml:space="preserve"> </w:t>
      </w:r>
      <w:r w:rsidR="00A27E40">
        <w:rPr>
          <w:lang w:val="cs-CZ"/>
        </w:rPr>
        <w:t>U tohoto druhu zadávacího řízení je nanejvýš důležité od začátku zohledňov</w:t>
      </w:r>
      <w:r>
        <w:rPr>
          <w:lang w:val="cs-CZ"/>
        </w:rPr>
        <w:t>at hodnotu budoucího plnění, jelikož</w:t>
      </w:r>
      <w:r w:rsidR="00A27E40">
        <w:rPr>
          <w:lang w:val="cs-CZ"/>
        </w:rPr>
        <w:t xml:space="preserve"> náklady na jednu stranu nemohou být nepřiměřeně nízké, </w:t>
      </w:r>
      <w:r>
        <w:rPr>
          <w:lang w:val="cs-CZ"/>
        </w:rPr>
        <w:t xml:space="preserve">díky tomu by </w:t>
      </w:r>
      <w:r w:rsidR="00A27E40">
        <w:rPr>
          <w:lang w:val="cs-CZ"/>
        </w:rPr>
        <w:t xml:space="preserve">mohla být taková cena vykládána jako obcházení jiných způsobů zadávacího řízení. </w:t>
      </w:r>
    </w:p>
    <w:p w14:paraId="30A4515C" w14:textId="6EBD062C" w:rsidR="00C85242" w:rsidRDefault="0018672E" w:rsidP="00B04124">
      <w:pPr>
        <w:ind w:firstLine="720"/>
        <w:rPr>
          <w:lang w:val="cs-CZ"/>
        </w:rPr>
      </w:pPr>
      <w:r>
        <w:rPr>
          <w:lang w:val="cs-CZ"/>
        </w:rPr>
        <w:t>Směrnice 2014/24/EU upravuje řízení o inovačním partnerství jako řízení, do kterého se m</w:t>
      </w:r>
      <w:r w:rsidR="00336F72">
        <w:rPr>
          <w:lang w:val="cs-CZ"/>
        </w:rPr>
        <w:t>ů</w:t>
      </w:r>
      <w:r>
        <w:rPr>
          <w:lang w:val="cs-CZ"/>
        </w:rPr>
        <w:t>že přihlásit kterýkoliv hospodářský subjekt s žádostí o účast v</w:t>
      </w:r>
      <w:r w:rsidR="00DD1B59">
        <w:rPr>
          <w:lang w:val="cs-CZ"/>
        </w:rPr>
        <w:t> </w:t>
      </w:r>
      <w:r>
        <w:rPr>
          <w:lang w:val="cs-CZ"/>
        </w:rPr>
        <w:t>řízení</w:t>
      </w:r>
      <w:r w:rsidR="00DD1B59">
        <w:rPr>
          <w:lang w:val="cs-CZ"/>
        </w:rPr>
        <w:t>,</w:t>
      </w:r>
      <w:r>
        <w:rPr>
          <w:lang w:val="cs-CZ"/>
        </w:rPr>
        <w:t xml:space="preserve"> a to formou odpovědi na oznámení o zahájení zadávacího řízení. </w:t>
      </w:r>
      <w:r w:rsidR="00B04124">
        <w:rPr>
          <w:lang w:val="cs-CZ"/>
        </w:rPr>
        <w:t>Lhůta pro podání žádosti o účast nesmí být kratší jak 30 dnů, od dne, kdy bylo odesláno oznámení o zahájení zadávacího řízení. Tato lhůta je stanovena pro subjekty, které byly vyzvány zadavatelem, jeliko</w:t>
      </w:r>
      <w:r w:rsidR="00336F72">
        <w:rPr>
          <w:lang w:val="cs-CZ"/>
        </w:rPr>
        <w:t>ž splňují podmínky pro řízení. Z</w:t>
      </w:r>
      <w:r w:rsidR="00B04124">
        <w:rPr>
          <w:lang w:val="cs-CZ"/>
        </w:rPr>
        <w:t>adavatel má právo s uchazeči jednat o počáteční nabídce, tak i o nabídce konečné, zejména z důvodu, aby dosáhli zlepšení obsahu nabídky. Zadavatele jsou povinni zajistit nediskriminační jednání vůči jednotlivý</w:t>
      </w:r>
      <w:r w:rsidR="00A570A1">
        <w:rPr>
          <w:lang w:val="cs-CZ"/>
        </w:rPr>
        <w:t>m uchazečům v průběhu celého řízení.</w:t>
      </w:r>
      <w:r w:rsidR="00A570A1">
        <w:rPr>
          <w:rStyle w:val="FootnoteReference"/>
          <w:lang w:val="cs-CZ"/>
        </w:rPr>
        <w:footnoteReference w:id="69"/>
      </w:r>
      <w:r w:rsidR="00A570A1">
        <w:rPr>
          <w:lang w:val="cs-CZ"/>
        </w:rPr>
        <w:t xml:space="preserve"> </w:t>
      </w:r>
    </w:p>
    <w:p w14:paraId="5438845E" w14:textId="2FBF4B59" w:rsidR="001E0B03" w:rsidRDefault="001E0B03" w:rsidP="00A927B2">
      <w:pPr>
        <w:ind w:firstLine="720"/>
        <w:rPr>
          <w:lang w:val="cs-CZ"/>
        </w:rPr>
      </w:pPr>
      <w:r>
        <w:rPr>
          <w:lang w:val="cs-CZ"/>
        </w:rPr>
        <w:t>Řízení o inovačním partnerství je založeno na principu, který má za cíl nezvolit tu nejvýhodnější</w:t>
      </w:r>
      <w:r w:rsidR="00A570A1">
        <w:rPr>
          <w:lang w:val="cs-CZ"/>
        </w:rPr>
        <w:t xml:space="preserve"> finanční nabídku, tedy nejnižší nabídku</w:t>
      </w:r>
      <w:r>
        <w:rPr>
          <w:lang w:val="cs-CZ"/>
        </w:rPr>
        <w:t xml:space="preserve"> z hlediska vynaložených ná</w:t>
      </w:r>
      <w:r w:rsidR="00BA1769">
        <w:rPr>
          <w:lang w:val="cs-CZ"/>
        </w:rPr>
        <w:t>kladů. Jedná se o transformaci S</w:t>
      </w:r>
      <w:r>
        <w:rPr>
          <w:lang w:val="cs-CZ"/>
        </w:rPr>
        <w:t xml:space="preserve">měrnice 2014/24/EU o neadekvátnosti výběru dodavatele inovativního řešení s vysokou přidanou hodnotou na </w:t>
      </w:r>
      <w:r w:rsidR="00986053">
        <w:rPr>
          <w:lang w:val="cs-CZ"/>
        </w:rPr>
        <w:t xml:space="preserve">základě jediného </w:t>
      </w:r>
      <w:r w:rsidR="00986053">
        <w:rPr>
          <w:lang w:val="cs-CZ"/>
        </w:rPr>
        <w:lastRenderedPageBreak/>
        <w:t>hodnotícího kritéria nejnižší nabídkové ceny</w:t>
      </w:r>
      <w:r w:rsidR="00986053">
        <w:rPr>
          <w:rStyle w:val="FootnoteReference"/>
          <w:lang w:val="cs-CZ"/>
        </w:rPr>
        <w:footnoteReference w:id="70"/>
      </w:r>
      <w:r w:rsidR="00986053">
        <w:rPr>
          <w:lang w:val="cs-CZ"/>
        </w:rPr>
        <w:t xml:space="preserve">. </w:t>
      </w:r>
      <w:r w:rsidR="004552E4">
        <w:rPr>
          <w:lang w:val="cs-CZ"/>
        </w:rPr>
        <w:t xml:space="preserve">Rozdíl mezi zadáváním dle Směrnice 2014/24/EU a Zákona o zadávání veřejných zakázek nenajdeme. Řízení je zcela specifické k ostatním druhům zadávacích řízení. </w:t>
      </w:r>
    </w:p>
    <w:p w14:paraId="0F7A1414" w14:textId="120A6318" w:rsidR="00224DFB" w:rsidRDefault="00FC2D8D" w:rsidP="00A927B2">
      <w:pPr>
        <w:ind w:firstLine="720"/>
        <w:rPr>
          <w:lang w:val="cs-CZ"/>
        </w:rPr>
      </w:pPr>
      <w:r>
        <w:rPr>
          <w:lang w:val="cs-CZ"/>
        </w:rPr>
        <w:t>Řízení o inovačním partnerství není jednoduchým druhem zadávacího řízení pro zadavatele veřejné zakázky. Je důležité, aby zadavatel věnoval dostatečnou přípravu zadání veřejné zakázky, tak aby vymezil veškeré své požadavky, tak aby výsledek byl dle jeho představ, kvalitní a inovativní.</w:t>
      </w:r>
      <w:r w:rsidR="008A0380">
        <w:rPr>
          <w:lang w:val="cs-CZ"/>
        </w:rPr>
        <w:t xml:space="preserve"> Nesmí ovšem zapomenout na to, že v rámci zadávací dokumentace musí dostatečně vymezit i hodnotící kritéria, což vzhledem k vytváření nových produktů není jednoduché.</w:t>
      </w:r>
      <w:r w:rsidR="008A0380">
        <w:rPr>
          <w:rStyle w:val="FootnoteReference"/>
          <w:lang w:val="cs-CZ"/>
        </w:rPr>
        <w:footnoteReference w:id="71"/>
      </w:r>
      <w:r>
        <w:rPr>
          <w:lang w:val="cs-CZ"/>
        </w:rPr>
        <w:t xml:space="preserve"> </w:t>
      </w:r>
    </w:p>
    <w:p w14:paraId="19D79173" w14:textId="193A50BE" w:rsidR="008437EC" w:rsidRPr="008437EC" w:rsidRDefault="004C3EBE" w:rsidP="00BF6091">
      <w:pPr>
        <w:pStyle w:val="ListParagraph"/>
        <w:numPr>
          <w:ilvl w:val="1"/>
          <w:numId w:val="1"/>
        </w:numPr>
        <w:ind w:left="788" w:hanging="431"/>
        <w:rPr>
          <w:b/>
          <w:lang w:val="cs-CZ"/>
        </w:rPr>
      </w:pPr>
      <w:r>
        <w:rPr>
          <w:b/>
          <w:sz w:val="28"/>
          <w:szCs w:val="28"/>
          <w:lang w:val="cs-CZ"/>
        </w:rPr>
        <w:t>Otevřené</w:t>
      </w:r>
      <w:r w:rsidR="00965388" w:rsidRPr="00124887">
        <w:rPr>
          <w:b/>
          <w:sz w:val="28"/>
          <w:szCs w:val="28"/>
          <w:lang w:val="cs-CZ"/>
        </w:rPr>
        <w:t xml:space="preserve"> zadávací řízení</w:t>
      </w:r>
    </w:p>
    <w:p w14:paraId="3E82B29F" w14:textId="7C5198E0" w:rsidR="00210091" w:rsidRDefault="00167180" w:rsidP="00BD5A07">
      <w:pPr>
        <w:ind w:firstLine="720"/>
        <w:rPr>
          <w:lang w:val="cs-CZ"/>
        </w:rPr>
      </w:pPr>
      <w:r>
        <w:rPr>
          <w:lang w:val="cs-CZ"/>
        </w:rPr>
        <w:t>Otevřené řízení je nejčastější forma zadávání veřejné zakázky.</w:t>
      </w:r>
      <w:r>
        <w:rPr>
          <w:rStyle w:val="FootnoteReference"/>
          <w:lang w:val="cs-CZ"/>
        </w:rPr>
        <w:footnoteReference w:id="72"/>
      </w:r>
      <w:r>
        <w:rPr>
          <w:lang w:val="cs-CZ"/>
        </w:rPr>
        <w:t xml:space="preserve"> </w:t>
      </w:r>
      <w:r w:rsidR="00BD5A07">
        <w:rPr>
          <w:lang w:val="cs-CZ"/>
        </w:rPr>
        <w:t>Jedná se o nejvíce konkurence schopné zadávací řízení, jelikož nabídku do ří</w:t>
      </w:r>
      <w:r w:rsidR="004C2418">
        <w:rPr>
          <w:lang w:val="cs-CZ"/>
        </w:rPr>
        <w:t>zení mohou podat všichni zájemci.</w:t>
      </w:r>
      <w:r w:rsidR="00BD5A07">
        <w:rPr>
          <w:rStyle w:val="FootnoteReference"/>
          <w:lang w:val="cs-CZ"/>
        </w:rPr>
        <w:footnoteReference w:id="73"/>
      </w:r>
      <w:r w:rsidR="00BD5A07">
        <w:rPr>
          <w:lang w:val="cs-CZ"/>
        </w:rPr>
        <w:t xml:space="preserve"> Nejčastěji se </w:t>
      </w:r>
      <w:r w:rsidR="00A027DF" w:rsidRPr="00A027DF">
        <w:rPr>
          <w:lang w:val="cs-CZ"/>
        </w:rPr>
        <w:t>využívá ve veřejném sektoru, tam kde je pravděpodobné, že bude minimální zájem o účast v soutěži, ale zároveň se uskuteční maximální možná hospodářská soutěž, kdy největší prosperitu z tohoto jednání bude mít daňový poplatník.</w:t>
      </w:r>
      <w:r w:rsidR="005547FB">
        <w:rPr>
          <w:lang w:val="cs-CZ"/>
        </w:rPr>
        <w:t xml:space="preserve"> Naproti tomu otevřené řízení není vhodné pr</w:t>
      </w:r>
      <w:r w:rsidR="00D36E21">
        <w:rPr>
          <w:lang w:val="cs-CZ"/>
        </w:rPr>
        <w:t>o zadávání veřejných zakázek, které</w:t>
      </w:r>
      <w:r w:rsidR="005547FB">
        <w:rPr>
          <w:lang w:val="cs-CZ"/>
        </w:rPr>
        <w:t xml:space="preserve"> se zaměřují na určitý výstup či výsledek procesu.</w:t>
      </w:r>
      <w:r w:rsidR="00A027DF">
        <w:rPr>
          <w:lang w:val="cs-CZ"/>
        </w:rPr>
        <w:t xml:space="preserve"> </w:t>
      </w:r>
    </w:p>
    <w:p w14:paraId="2FC281F7" w14:textId="67D5AF92" w:rsidR="00A027DF" w:rsidRDefault="00A027DF" w:rsidP="00636C4E">
      <w:pPr>
        <w:ind w:firstLine="720"/>
        <w:rPr>
          <w:lang w:val="cs-CZ"/>
        </w:rPr>
      </w:pPr>
      <w:r>
        <w:rPr>
          <w:lang w:val="cs-CZ"/>
        </w:rPr>
        <w:t xml:space="preserve">Základními požadavky otevřeného řízení je </w:t>
      </w:r>
      <w:r w:rsidR="005547FB">
        <w:rPr>
          <w:lang w:val="cs-CZ"/>
        </w:rPr>
        <w:t xml:space="preserve">zejména </w:t>
      </w:r>
      <w:r>
        <w:rPr>
          <w:lang w:val="cs-CZ"/>
        </w:rPr>
        <w:t>otevřenos</w:t>
      </w:r>
      <w:r w:rsidR="005547FB">
        <w:rPr>
          <w:lang w:val="cs-CZ"/>
        </w:rPr>
        <w:t>t všem kvalifikovaným zájemcům, kteří odpovídají na objektivní kvalifikační kritéria s neutrál</w:t>
      </w:r>
      <w:r w:rsidR="00336F72">
        <w:rPr>
          <w:lang w:val="cs-CZ"/>
        </w:rPr>
        <w:t>ní a jasné technické specifikace</w:t>
      </w:r>
      <w:r w:rsidR="005547FB">
        <w:rPr>
          <w:lang w:val="cs-CZ"/>
        </w:rPr>
        <w:t>. Jejich zájem je hodnocen jasně a objektivně.</w:t>
      </w:r>
      <w:r w:rsidR="005547FB">
        <w:rPr>
          <w:rStyle w:val="FootnoteReference"/>
          <w:lang w:val="cs-CZ"/>
        </w:rPr>
        <w:footnoteReference w:id="74"/>
      </w:r>
    </w:p>
    <w:p w14:paraId="735A6CE1" w14:textId="01FA4BAA" w:rsidR="000A1522" w:rsidRPr="000A1522" w:rsidRDefault="008437EC" w:rsidP="000A1522">
      <w:pPr>
        <w:pStyle w:val="ListParagraph"/>
        <w:numPr>
          <w:ilvl w:val="2"/>
          <w:numId w:val="1"/>
        </w:numPr>
        <w:rPr>
          <w:b/>
          <w:lang w:val="cs-CZ"/>
        </w:rPr>
      </w:pPr>
      <w:r w:rsidRPr="008437EC">
        <w:rPr>
          <w:b/>
          <w:lang w:val="cs-CZ"/>
        </w:rPr>
        <w:t>Zadávací řízen</w:t>
      </w:r>
      <w:r w:rsidR="00BA1769">
        <w:rPr>
          <w:b/>
          <w:lang w:val="cs-CZ"/>
        </w:rPr>
        <w:t>í dle S</w:t>
      </w:r>
      <w:r w:rsidRPr="008437EC">
        <w:rPr>
          <w:b/>
          <w:lang w:val="cs-CZ"/>
        </w:rPr>
        <w:t>měrnice 2014/24/EU</w:t>
      </w:r>
    </w:p>
    <w:p w14:paraId="5303E7CA" w14:textId="60512F28" w:rsidR="00A027DF" w:rsidRPr="00A027DF" w:rsidRDefault="00A027DF" w:rsidP="000A1522">
      <w:pPr>
        <w:ind w:firstLine="720"/>
        <w:rPr>
          <w:lang w:val="cs-CZ"/>
        </w:rPr>
      </w:pPr>
      <w:r w:rsidRPr="00A027DF">
        <w:rPr>
          <w:lang w:val="cs-CZ"/>
        </w:rPr>
        <w:t xml:space="preserve">Otevřené řízení je </w:t>
      </w:r>
      <w:r w:rsidR="00336F72">
        <w:rPr>
          <w:lang w:val="cs-CZ"/>
        </w:rPr>
        <w:t>takové</w:t>
      </w:r>
      <w:r w:rsidRPr="00A027DF">
        <w:rPr>
          <w:lang w:val="cs-CZ"/>
        </w:rPr>
        <w:t>, kter</w:t>
      </w:r>
      <w:r>
        <w:rPr>
          <w:lang w:val="cs-CZ"/>
        </w:rPr>
        <w:t>é je otevřené všem dodavatelům.</w:t>
      </w:r>
      <w:r w:rsidR="000A1522">
        <w:rPr>
          <w:rStyle w:val="FootnoteReference"/>
          <w:lang w:val="cs-CZ"/>
        </w:rPr>
        <w:footnoteReference w:id="75"/>
      </w:r>
      <w:r>
        <w:rPr>
          <w:lang w:val="cs-CZ"/>
        </w:rPr>
        <w:t xml:space="preserve"> </w:t>
      </w:r>
      <w:r w:rsidRPr="00A027DF">
        <w:rPr>
          <w:lang w:val="cs-CZ"/>
        </w:rPr>
        <w:t xml:space="preserve">Kterýkoliv dodavatel má zájem </w:t>
      </w:r>
      <w:r w:rsidR="00336F72">
        <w:rPr>
          <w:lang w:val="cs-CZ"/>
        </w:rPr>
        <w:t>z</w:t>
      </w:r>
      <w:r w:rsidRPr="00A027DF">
        <w:rPr>
          <w:lang w:val="cs-CZ"/>
        </w:rPr>
        <w:t xml:space="preserve">účastnit se zadávacího řízení, může podat nabídku ve lhůtě </w:t>
      </w:r>
      <w:r w:rsidR="00336F72">
        <w:rPr>
          <w:lang w:val="cs-CZ"/>
        </w:rPr>
        <w:lastRenderedPageBreak/>
        <w:t>stanovené pro výběrové řízení,</w:t>
      </w:r>
      <w:r w:rsidRPr="00A027DF">
        <w:rPr>
          <w:lang w:val="cs-CZ"/>
        </w:rPr>
        <w:t xml:space="preserve"> zadavatel veřejné zakázky nemůže omezit počet obdržených nabídek. Postup zadávání veřejných zakázek otevřeným řízením je jednostupňový, tj. všechna kritéria pro výběr a udělování jsou hodnocena v jedné fázi.</w:t>
      </w:r>
      <w:r>
        <w:rPr>
          <w:rStyle w:val="FootnoteReference"/>
          <w:lang w:val="cs-CZ"/>
        </w:rPr>
        <w:footnoteReference w:id="76"/>
      </w:r>
    </w:p>
    <w:p w14:paraId="1BB646B7" w14:textId="07349D29" w:rsidR="002E5BFD" w:rsidRDefault="00977A11" w:rsidP="00F31C17">
      <w:pPr>
        <w:ind w:firstLine="720"/>
        <w:rPr>
          <w:lang w:val="cs-CZ"/>
        </w:rPr>
      </w:pPr>
      <w:r>
        <w:rPr>
          <w:lang w:val="cs-CZ"/>
        </w:rPr>
        <w:t>Směrnice 2014/24/EU popisuje proces zadávací říz</w:t>
      </w:r>
      <w:r w:rsidR="00A027DF">
        <w:rPr>
          <w:lang w:val="cs-CZ"/>
        </w:rPr>
        <w:t xml:space="preserve">ení otevřeným způsobem v čl. 27, definuje je </w:t>
      </w:r>
      <w:r>
        <w:rPr>
          <w:lang w:val="cs-CZ"/>
        </w:rPr>
        <w:t xml:space="preserve">jako řízení, do kterého se může přihlásit jakýkoliv hospodářský subjekt, který má zájem. Tento hospodářský subjekt může předložit nabídku jako odpověď na výzvu zadavatele. Směrnice 2014/24/EU stanovuje minimální lhůtu pro podání nabídky, a to 35 dní ode dne kdy bylo odesláno oznámení o zahájení zadávacího řízení. Samozřejmostí pro hospodářský subjekt je přiložení k přihlášce pro zadávací řízení informací o kvalifikaci. </w:t>
      </w:r>
    </w:p>
    <w:p w14:paraId="09D0D0B0" w14:textId="745660DA" w:rsidR="00EF4721" w:rsidRDefault="00E25128" w:rsidP="00F31C17">
      <w:pPr>
        <w:ind w:firstLine="720"/>
        <w:rPr>
          <w:lang w:val="cs-CZ"/>
        </w:rPr>
      </w:pPr>
      <w:r>
        <w:rPr>
          <w:lang w:val="cs-CZ"/>
        </w:rPr>
        <w:t>Druhým způsobem, kterým může zadavatel oznámit zahájení zadávacího řízení, je tzv. předběžným oznámením</w:t>
      </w:r>
      <w:r>
        <w:rPr>
          <w:rStyle w:val="FootnoteReference"/>
          <w:lang w:val="cs-CZ"/>
        </w:rPr>
        <w:footnoteReference w:id="77"/>
      </w:r>
      <w:r>
        <w:rPr>
          <w:lang w:val="cs-CZ"/>
        </w:rPr>
        <w:t xml:space="preserve">. </w:t>
      </w:r>
      <w:r w:rsidR="00F73FF3">
        <w:rPr>
          <w:lang w:val="cs-CZ"/>
        </w:rPr>
        <w:t xml:space="preserve">Za těchto okolností může být </w:t>
      </w:r>
      <w:r w:rsidR="00BA6367">
        <w:rPr>
          <w:lang w:val="cs-CZ"/>
        </w:rPr>
        <w:t>lhůta pro podání nabídek zkrácena na 15 dní. Zároveň ale musí být splněna podmínka, že předběžné oznámení mělo veškeré vyžadované informace pro oznámení o zahájení zadávacího řízení a zároveň že toto předběžné oznámení byl</w:t>
      </w:r>
      <w:r w:rsidR="00336F72">
        <w:rPr>
          <w:lang w:val="cs-CZ"/>
        </w:rPr>
        <w:t>o odesláno nejméně 35 dnů, ale</w:t>
      </w:r>
      <w:r w:rsidR="00BA6367">
        <w:rPr>
          <w:lang w:val="cs-CZ"/>
        </w:rPr>
        <w:t xml:space="preserve"> ne více jak 12 měsíců před dnem oznámení o zahájení zadávacího řízení.</w:t>
      </w:r>
      <w:r w:rsidR="00BA6367">
        <w:rPr>
          <w:rStyle w:val="FootnoteReference"/>
          <w:lang w:val="cs-CZ"/>
        </w:rPr>
        <w:footnoteReference w:id="78"/>
      </w:r>
    </w:p>
    <w:p w14:paraId="73C70533" w14:textId="30DB498A" w:rsidR="00BA6367" w:rsidRDefault="00BA6367" w:rsidP="00F31C17">
      <w:pPr>
        <w:ind w:firstLine="720"/>
        <w:rPr>
          <w:lang w:val="cs-CZ"/>
        </w:rPr>
      </w:pPr>
      <w:r>
        <w:rPr>
          <w:lang w:val="cs-CZ"/>
        </w:rPr>
        <w:t xml:space="preserve">V případě, že existuje naléhavý právní zájem, který je řádně odůvodněn, </w:t>
      </w:r>
      <w:r w:rsidR="000E479C">
        <w:rPr>
          <w:lang w:val="cs-CZ"/>
        </w:rPr>
        <w:t>může být lhůta pro podání nabídky v</w:t>
      </w:r>
      <w:r>
        <w:rPr>
          <w:lang w:val="cs-CZ"/>
        </w:rPr>
        <w:t xml:space="preserve"> </w:t>
      </w:r>
      <w:r w:rsidR="000E479C">
        <w:rPr>
          <w:lang w:val="cs-CZ"/>
        </w:rPr>
        <w:t>otevřeném způsobu</w:t>
      </w:r>
      <w:r>
        <w:rPr>
          <w:lang w:val="cs-CZ"/>
        </w:rPr>
        <w:t xml:space="preserve"> řízení </w:t>
      </w:r>
      <w:r w:rsidR="000E479C">
        <w:rPr>
          <w:lang w:val="cs-CZ"/>
        </w:rPr>
        <w:t xml:space="preserve">zkrácena na 15 dní, kdy lhůta začne běžet dnem odeslání oznámení o zahájení zadávacího řízení. </w:t>
      </w:r>
      <w:r w:rsidR="00BC4E10">
        <w:rPr>
          <w:lang w:val="cs-CZ"/>
        </w:rPr>
        <w:t>V</w:t>
      </w:r>
      <w:r w:rsidR="008918E8">
        <w:rPr>
          <w:lang w:val="cs-CZ"/>
        </w:rPr>
        <w:t xml:space="preserve"> případě, že </w:t>
      </w:r>
      <w:r w:rsidR="00BC4E10">
        <w:rPr>
          <w:lang w:val="cs-CZ"/>
        </w:rPr>
        <w:t>se nabídky veřejné zakázky podávají elektronickými prostředky</w:t>
      </w:r>
      <w:r w:rsidR="00BC4E10">
        <w:rPr>
          <w:rStyle w:val="FootnoteReference"/>
          <w:lang w:val="cs-CZ"/>
        </w:rPr>
        <w:footnoteReference w:id="79"/>
      </w:r>
      <w:r w:rsidR="00BC4E10">
        <w:rPr>
          <w:lang w:val="cs-CZ"/>
        </w:rPr>
        <w:t>, může být lhůta zkrácena o pět dní, tj. minimální lhůta pro podání nabídky činí 30 dní.</w:t>
      </w:r>
      <w:r w:rsidR="00BC4E10">
        <w:rPr>
          <w:rStyle w:val="FootnoteReference"/>
          <w:lang w:val="cs-CZ"/>
        </w:rPr>
        <w:footnoteReference w:id="80"/>
      </w:r>
      <w:r w:rsidR="00C148CD">
        <w:rPr>
          <w:lang w:val="cs-CZ"/>
        </w:rPr>
        <w:t xml:space="preserve"> </w:t>
      </w:r>
    </w:p>
    <w:p w14:paraId="3B50CBD1" w14:textId="5C111684" w:rsidR="002474F6" w:rsidRDefault="00281F43" w:rsidP="009450EB">
      <w:pPr>
        <w:pStyle w:val="ListParagraph"/>
        <w:keepNext/>
        <w:numPr>
          <w:ilvl w:val="2"/>
          <w:numId w:val="1"/>
        </w:numPr>
        <w:rPr>
          <w:b/>
          <w:lang w:val="cs-CZ"/>
        </w:rPr>
      </w:pPr>
      <w:r>
        <w:rPr>
          <w:b/>
          <w:lang w:val="cs-CZ"/>
        </w:rPr>
        <w:lastRenderedPageBreak/>
        <w:t>Komparace zadávání otevřeným způsobem se zákonem</w:t>
      </w:r>
      <w:r w:rsidR="00C148CD" w:rsidRPr="00C148CD">
        <w:rPr>
          <w:b/>
          <w:lang w:val="cs-CZ"/>
        </w:rPr>
        <w:t xml:space="preserve"> o zadávání veřejných zakázek </w:t>
      </w:r>
    </w:p>
    <w:p w14:paraId="03B12D33" w14:textId="77DA592C" w:rsidR="00CE6912" w:rsidRPr="002474F6" w:rsidRDefault="00067112" w:rsidP="009450EB">
      <w:pPr>
        <w:keepNext/>
        <w:ind w:firstLine="720"/>
        <w:rPr>
          <w:lang w:val="cs-CZ"/>
        </w:rPr>
      </w:pPr>
      <w:r>
        <w:rPr>
          <w:lang w:val="cs-CZ"/>
        </w:rPr>
        <w:t xml:space="preserve">Rozdíl mezi zadáváním nadlimitní veřejné zakázky v otevřeném řízení ve znění Směrnice 2014/24/EU a ve znění zákona o zadávání veřejných zakázek </w:t>
      </w:r>
      <w:r w:rsidR="003A205E">
        <w:rPr>
          <w:lang w:val="cs-CZ"/>
        </w:rPr>
        <w:t xml:space="preserve">nejeví značné odchylky. </w:t>
      </w:r>
      <w:r w:rsidR="00CE6912">
        <w:rPr>
          <w:lang w:val="cs-CZ"/>
        </w:rPr>
        <w:t xml:space="preserve">Jak </w:t>
      </w:r>
      <w:r w:rsidR="00D36E21">
        <w:rPr>
          <w:lang w:val="cs-CZ"/>
        </w:rPr>
        <w:t>vyplývá</w:t>
      </w:r>
      <w:r w:rsidR="00CE6912">
        <w:rPr>
          <w:lang w:val="cs-CZ"/>
        </w:rPr>
        <w:t xml:space="preserve"> z obecné povahy směrnice, spočívající v tom, že Evropská unie vydá znění směrnici s určitým obecným obsahem úpravy, který je následně ve stanovené lhůtě prováděn do národních</w:t>
      </w:r>
      <w:r w:rsidR="00A45427">
        <w:rPr>
          <w:lang w:val="cs-CZ"/>
        </w:rPr>
        <w:t xml:space="preserve"> právních řádů členských států </w:t>
      </w:r>
      <w:r w:rsidR="00DD1B59">
        <w:rPr>
          <w:lang w:val="cs-CZ"/>
        </w:rPr>
        <w:t>E</w:t>
      </w:r>
      <w:r w:rsidR="00861A2F">
        <w:rPr>
          <w:lang w:val="cs-CZ"/>
        </w:rPr>
        <w:t xml:space="preserve">vropské unie </w:t>
      </w:r>
      <w:r w:rsidR="00A45427">
        <w:rPr>
          <w:lang w:val="cs-CZ"/>
        </w:rPr>
        <w:t>prostředky a formou vnitrostátního práva. Znění směrnice může být v podobě rámcové úpravy či úpravy velmi podrobné. Je pak jen a pouze na členských státech</w:t>
      </w:r>
      <w:r w:rsidR="00DD1B59">
        <w:rPr>
          <w:lang w:val="cs-CZ"/>
        </w:rPr>
        <w:t>,</w:t>
      </w:r>
      <w:r w:rsidR="00A45427">
        <w:rPr>
          <w:lang w:val="cs-CZ"/>
        </w:rPr>
        <w:t xml:space="preserve"> jak směrnici začlení do svého právního řádu.</w:t>
      </w:r>
      <w:r w:rsidR="00A45427">
        <w:rPr>
          <w:rStyle w:val="FootnoteReference"/>
          <w:lang w:val="cs-CZ"/>
        </w:rPr>
        <w:footnoteReference w:id="81"/>
      </w:r>
      <w:r w:rsidR="00A45427">
        <w:rPr>
          <w:lang w:val="cs-CZ"/>
        </w:rPr>
        <w:t xml:space="preserve"> Tak i v tomto daném případě se český zákonodárce zabýval pouhým doplňováním Směrnice 2014/24/EU, které můžeme objevit v rámci § 56 odst. 2 zákona o zadávání veřejných zakázek, kdy je výslovně zakázáno jednání o podaných nabídkách s účastníky otevřeného zadávacího řízení. </w:t>
      </w:r>
    </w:p>
    <w:p w14:paraId="0C7949B5" w14:textId="4D5B2F5A" w:rsidR="00CE6912" w:rsidRDefault="002E0260" w:rsidP="002F4C19">
      <w:pPr>
        <w:rPr>
          <w:lang w:val="cs-CZ"/>
        </w:rPr>
      </w:pPr>
      <w:r>
        <w:rPr>
          <w:lang w:val="cs-CZ"/>
        </w:rPr>
        <w:tab/>
        <w:t xml:space="preserve">Nenalezneme zde odchylky v podobě rozdílných zadávacích lhůt, jak tomu bylo např. </w:t>
      </w:r>
      <w:r w:rsidRPr="00241431">
        <w:rPr>
          <w:lang w:val="cs-CZ"/>
        </w:rPr>
        <w:t xml:space="preserve">u </w:t>
      </w:r>
      <w:r w:rsidR="00241431" w:rsidRPr="00241431">
        <w:rPr>
          <w:lang w:val="cs-CZ"/>
        </w:rPr>
        <w:t>užšího řízení</w:t>
      </w:r>
      <w:r w:rsidR="00D36E21">
        <w:rPr>
          <w:lang w:val="cs-CZ"/>
        </w:rPr>
        <w:t>, rovněž</w:t>
      </w:r>
      <w:r w:rsidR="000F0B78">
        <w:rPr>
          <w:lang w:val="cs-CZ"/>
        </w:rPr>
        <w:t xml:space="preserve"> </w:t>
      </w:r>
      <w:r w:rsidR="00D62EDF">
        <w:rPr>
          <w:lang w:val="cs-CZ"/>
        </w:rPr>
        <w:t>můžeme nají</w:t>
      </w:r>
      <w:r w:rsidR="00861A2F">
        <w:rPr>
          <w:lang w:val="cs-CZ"/>
        </w:rPr>
        <w:t>t</w:t>
      </w:r>
      <w:r w:rsidR="00D62EDF">
        <w:rPr>
          <w:lang w:val="cs-CZ"/>
        </w:rPr>
        <w:t xml:space="preserve"> drobný rozdíl v podobě terminologie, jež souvisí s určováním lhůt. V případě, že zadavatel bude zadávat veřejnou zakázku formou </w:t>
      </w:r>
      <w:r w:rsidR="00CE6912">
        <w:rPr>
          <w:lang w:val="cs-CZ"/>
        </w:rPr>
        <w:t>elektronických prostředků, lze dle znění čl. 27 odst. 4 Směrnice 2014/24/EU lhůtu k podání nabídky zkrátit o pět dní. V případě znění § 57 odst. 1 písm. a) zákona o zadávání veřejných zakázek dle českého zákonodárce musí být lhůt</w:t>
      </w:r>
      <w:r w:rsidR="00D36E21">
        <w:rPr>
          <w:lang w:val="cs-CZ"/>
        </w:rPr>
        <w:t>a pro podání nabídky prodloužena</w:t>
      </w:r>
      <w:r w:rsidR="00CE6912">
        <w:rPr>
          <w:lang w:val="cs-CZ"/>
        </w:rPr>
        <w:t xml:space="preserve"> o pět dní</w:t>
      </w:r>
      <w:r w:rsidR="00D36E21">
        <w:rPr>
          <w:lang w:val="cs-CZ"/>
        </w:rPr>
        <w:t>,</w:t>
      </w:r>
      <w:r w:rsidR="00CE6912">
        <w:rPr>
          <w:lang w:val="cs-CZ"/>
        </w:rPr>
        <w:t xml:space="preserve"> pokud nebude probíhat řízení formou elektronických nástrojů.</w:t>
      </w:r>
      <w:r w:rsidR="00CE6912">
        <w:rPr>
          <w:rStyle w:val="FootnoteReference"/>
          <w:lang w:val="cs-CZ"/>
        </w:rPr>
        <w:footnoteReference w:id="82"/>
      </w:r>
      <w:r w:rsidR="00CE6912">
        <w:rPr>
          <w:lang w:val="cs-CZ"/>
        </w:rPr>
        <w:t xml:space="preserve"> </w:t>
      </w:r>
    </w:p>
    <w:p w14:paraId="5D3EBBD5" w14:textId="03C7D7B3" w:rsidR="00D0444D" w:rsidRDefault="00D0444D" w:rsidP="00D0444D">
      <w:pPr>
        <w:pStyle w:val="ListParagraph"/>
        <w:numPr>
          <w:ilvl w:val="2"/>
          <w:numId w:val="1"/>
        </w:numPr>
        <w:rPr>
          <w:b/>
          <w:lang w:val="cs-CZ"/>
        </w:rPr>
      </w:pPr>
      <w:r>
        <w:rPr>
          <w:b/>
          <w:lang w:val="cs-CZ"/>
        </w:rPr>
        <w:t xml:space="preserve">Nejčastější problém v rámci zadávání otevřeným způsobem řízení </w:t>
      </w:r>
    </w:p>
    <w:p w14:paraId="5F5E1528" w14:textId="0E9BEF23" w:rsidR="00FD0C32" w:rsidRDefault="005E4256" w:rsidP="00FD0C32">
      <w:pPr>
        <w:ind w:firstLine="720"/>
        <w:rPr>
          <w:lang w:val="cs-CZ"/>
        </w:rPr>
      </w:pPr>
      <w:r>
        <w:rPr>
          <w:lang w:val="cs-CZ"/>
        </w:rPr>
        <w:t>Otevřené zadávací řízení je nejnáročnějším zadávacím řízením z hlediska organizace. Ze samotného názvu zadávací řízení je patrno, že zadavatel se obrací k neomezenému počtu možných uchazečů o veřejnou zakázku, což v důsledku znamená pro zadavatele, že musí zhodnotit veškeré mu podané nabídky.</w:t>
      </w:r>
      <w:r w:rsidR="00931223">
        <w:rPr>
          <w:rStyle w:val="FootnoteReference"/>
          <w:lang w:val="cs-CZ"/>
        </w:rPr>
        <w:footnoteReference w:id="83"/>
      </w:r>
      <w:r w:rsidR="00931223" w:rsidRPr="00931223">
        <w:rPr>
          <w:lang w:val="cs-CZ"/>
        </w:rPr>
        <w:t xml:space="preserve"> </w:t>
      </w:r>
      <w:r w:rsidR="00931223">
        <w:rPr>
          <w:lang w:val="cs-CZ"/>
        </w:rPr>
        <w:t>Jak zadavatel</w:t>
      </w:r>
      <w:r w:rsidR="00DD1B59">
        <w:rPr>
          <w:lang w:val="cs-CZ"/>
        </w:rPr>
        <w:t>,</w:t>
      </w:r>
      <w:r w:rsidR="00931223">
        <w:rPr>
          <w:lang w:val="cs-CZ"/>
        </w:rPr>
        <w:t xml:space="preserve"> tak uchazeči mohou celé řízení kvůli nutnosti posuzovat veškeré nabídky považovat za řízení zdlouhavé, ale zase vysoce konkurenční z hlediska neomezeného počtu nabídek. </w:t>
      </w:r>
      <w:r>
        <w:rPr>
          <w:lang w:val="cs-CZ"/>
        </w:rPr>
        <w:t xml:space="preserve">Uklidněním pro zadavatele může být fakt, že otevřené </w:t>
      </w:r>
      <w:r>
        <w:rPr>
          <w:lang w:val="cs-CZ"/>
        </w:rPr>
        <w:lastRenderedPageBreak/>
        <w:t xml:space="preserve">zadávací řízení tkví na zásadě transparentnosti, tudíž </w:t>
      </w:r>
      <w:r w:rsidR="0078157B">
        <w:rPr>
          <w:lang w:val="cs-CZ"/>
        </w:rPr>
        <w:t>v případě, že provede celé zadávací řízení správně, má velkou šanci, že se vyvaruje stížnostem ze strany neúspěšných zadavatelů.</w:t>
      </w:r>
      <w:r w:rsidR="00931223">
        <w:rPr>
          <w:rStyle w:val="FootnoteReference"/>
          <w:lang w:val="cs-CZ"/>
        </w:rPr>
        <w:footnoteReference w:id="84"/>
      </w:r>
      <w:r w:rsidR="00931223">
        <w:rPr>
          <w:lang w:val="cs-CZ"/>
        </w:rPr>
        <w:t xml:space="preserve"> </w:t>
      </w:r>
    </w:p>
    <w:p w14:paraId="7669F443" w14:textId="0F31D8D3" w:rsidR="00CC5595" w:rsidRDefault="00FD0C32" w:rsidP="00931223">
      <w:pPr>
        <w:ind w:firstLine="720"/>
        <w:rPr>
          <w:lang w:val="cs-CZ"/>
        </w:rPr>
      </w:pPr>
      <w:r>
        <w:rPr>
          <w:lang w:val="cs-CZ"/>
        </w:rPr>
        <w:t>Nejčastějším problémem</w:t>
      </w:r>
      <w:r w:rsidR="00D36E21">
        <w:rPr>
          <w:lang w:val="cs-CZ"/>
        </w:rPr>
        <w:t>, který</w:t>
      </w:r>
      <w:r>
        <w:rPr>
          <w:lang w:val="cs-CZ"/>
        </w:rPr>
        <w:t xml:space="preserve"> se týká praxe v rámci zadávání veřejných zakázek otevřeným způsobem řízení, je nesprávné vyplnění předběžného oznámení veřejné zakázky. Jelikož na předběžné oznámení má návaznost možnosti zkrácení minimální lhůty pro podání nabídek, což plyne z čl. 27 odst. 2 Směrnice 2014/24/EU, v případě chybně vyplněného předběžného oznámení nemá zadavatel právo tuto lhůtu krátit na 15 dní</w:t>
      </w:r>
      <w:r w:rsidR="00DD1B59">
        <w:rPr>
          <w:lang w:val="cs-CZ"/>
        </w:rPr>
        <w:t>,</w:t>
      </w:r>
      <w:r>
        <w:rPr>
          <w:lang w:val="cs-CZ"/>
        </w:rPr>
        <w:t xml:space="preserve"> jak plyne z uvedeného článku Směrnice 2014/24/EU.</w:t>
      </w:r>
      <w:r>
        <w:rPr>
          <w:rStyle w:val="FootnoteReference"/>
          <w:lang w:val="cs-CZ"/>
        </w:rPr>
        <w:footnoteReference w:id="85"/>
      </w:r>
    </w:p>
    <w:p w14:paraId="7D5B968A" w14:textId="77777777" w:rsidR="00ED04E3" w:rsidRDefault="00ED04E3" w:rsidP="00656EE4">
      <w:pPr>
        <w:pStyle w:val="ListParagraph"/>
        <w:numPr>
          <w:ilvl w:val="0"/>
          <w:numId w:val="19"/>
        </w:numPr>
        <w:spacing w:before="480"/>
        <w:ind w:left="357" w:hanging="357"/>
        <w:jc w:val="left"/>
        <w:rPr>
          <w:rFonts w:cs="Arial"/>
          <w:b/>
          <w:sz w:val="32"/>
          <w:szCs w:val="32"/>
          <w:lang w:val="cs-CZ"/>
        </w:rPr>
        <w:sectPr w:rsidR="00ED04E3" w:rsidSect="005D49F0">
          <w:pgSz w:w="11900" w:h="16840"/>
          <w:pgMar w:top="1418" w:right="1134" w:bottom="1418" w:left="1701" w:header="709" w:footer="709" w:gutter="0"/>
          <w:cols w:space="708"/>
          <w:docGrid w:linePitch="360"/>
        </w:sectPr>
      </w:pPr>
    </w:p>
    <w:p w14:paraId="4A470EF2" w14:textId="175A46D2" w:rsidR="00656EE4" w:rsidRDefault="00336B29" w:rsidP="00656EE4">
      <w:pPr>
        <w:pStyle w:val="ListParagraph"/>
        <w:numPr>
          <w:ilvl w:val="0"/>
          <w:numId w:val="19"/>
        </w:numPr>
        <w:spacing w:before="480"/>
        <w:ind w:left="357" w:hanging="357"/>
        <w:jc w:val="left"/>
        <w:rPr>
          <w:rFonts w:cs="Arial"/>
          <w:b/>
          <w:sz w:val="32"/>
          <w:szCs w:val="32"/>
          <w:lang w:val="cs-CZ"/>
        </w:rPr>
      </w:pPr>
      <w:r w:rsidRPr="00336B29">
        <w:rPr>
          <w:rFonts w:cs="Arial"/>
          <w:b/>
          <w:sz w:val="32"/>
          <w:szCs w:val="32"/>
          <w:lang w:val="cs-CZ"/>
        </w:rPr>
        <w:lastRenderedPageBreak/>
        <w:t>Fáze otevřeného řízení nadlimitní veřejné zakázky</w:t>
      </w:r>
    </w:p>
    <w:p w14:paraId="6EB06872" w14:textId="76736149" w:rsidR="00A66AA4" w:rsidRDefault="00A66AA4" w:rsidP="00A66AA4">
      <w:pPr>
        <w:ind w:firstLine="720"/>
        <w:rPr>
          <w:lang w:val="cs-CZ"/>
        </w:rPr>
      </w:pPr>
      <w:r>
        <w:rPr>
          <w:lang w:val="cs-CZ"/>
        </w:rPr>
        <w:t>Proces zadávání veřejných zakázek lze rozdělit do šesti fází řízení. První z fází je příprava a plánování veřejné zakázky, jejíž nedílnou součástí</w:t>
      </w:r>
      <w:r w:rsidR="00AF7484">
        <w:rPr>
          <w:lang w:val="cs-CZ"/>
        </w:rPr>
        <w:t xml:space="preserve"> je tvorba zadávací dokumentace a</w:t>
      </w:r>
      <w:r>
        <w:rPr>
          <w:lang w:val="cs-CZ"/>
        </w:rPr>
        <w:t xml:space="preserve"> stanovování předpokládané hodnoty veřejné zakázky. Druhou fází řízení je zveřejnění veřejné nabídky. Podání nabídek a výběr uchazečů je třetí fází proce</w:t>
      </w:r>
      <w:r w:rsidR="00D36E21">
        <w:rPr>
          <w:lang w:val="cs-CZ"/>
        </w:rPr>
        <w:t>su zadávání veřejných zakázek. P</w:t>
      </w:r>
      <w:r>
        <w:rPr>
          <w:lang w:val="cs-CZ"/>
        </w:rPr>
        <w:t>o této části následuje fáze hodnocení nabídek, načež navazuje předposlední část procesu zadávání veřejných zakázek, a to fáze zadání zakázky. Poslední fází je samotný proces realizace veřejné zakázky.</w:t>
      </w:r>
      <w:r>
        <w:rPr>
          <w:rStyle w:val="FootnoteReference"/>
          <w:lang w:val="cs-CZ"/>
        </w:rPr>
        <w:footnoteReference w:id="86"/>
      </w:r>
      <w:r>
        <w:rPr>
          <w:lang w:val="cs-CZ"/>
        </w:rPr>
        <w:t xml:space="preserve"> </w:t>
      </w:r>
    </w:p>
    <w:p w14:paraId="1A91E27C" w14:textId="212B2DFF" w:rsidR="00A66AA4" w:rsidRDefault="00BC25BE" w:rsidP="00A66AA4">
      <w:pPr>
        <w:ind w:firstLine="720"/>
        <w:rPr>
          <w:lang w:val="cs-CZ"/>
        </w:rPr>
      </w:pPr>
      <w:r>
        <w:rPr>
          <w:lang w:val="cs-CZ"/>
        </w:rPr>
        <w:t>F</w:t>
      </w:r>
      <w:r w:rsidR="00A66AA4">
        <w:rPr>
          <w:lang w:val="cs-CZ"/>
        </w:rPr>
        <w:t>áze řízení budou rozebrány dále, ovšem p</w:t>
      </w:r>
      <w:r w:rsidR="00320356">
        <w:rPr>
          <w:lang w:val="cs-CZ"/>
        </w:rPr>
        <w:t xml:space="preserve">ředtím bych se ráda zaměřila na zásady zadávacího řízení, jež jsou nedílnou součástí celého procesu zadávání veřejných zakázek. </w:t>
      </w:r>
    </w:p>
    <w:p w14:paraId="7BFB9CC1" w14:textId="100D6DF3" w:rsidR="00336B29" w:rsidRDefault="003723DB" w:rsidP="00BF6091">
      <w:pPr>
        <w:pStyle w:val="ListParagraph"/>
        <w:numPr>
          <w:ilvl w:val="1"/>
          <w:numId w:val="19"/>
        </w:numPr>
        <w:ind w:left="788" w:hanging="431"/>
        <w:jc w:val="left"/>
        <w:rPr>
          <w:rFonts w:cs="Arial"/>
          <w:b/>
          <w:sz w:val="28"/>
          <w:szCs w:val="28"/>
          <w:lang w:val="cs-CZ"/>
        </w:rPr>
      </w:pPr>
      <w:r w:rsidRPr="003723DB">
        <w:rPr>
          <w:rFonts w:cs="Arial"/>
          <w:b/>
          <w:sz w:val="28"/>
          <w:szCs w:val="28"/>
          <w:lang w:val="cs-CZ"/>
        </w:rPr>
        <w:t xml:space="preserve">Zásady </w:t>
      </w:r>
      <w:r>
        <w:rPr>
          <w:rFonts w:cs="Arial"/>
          <w:b/>
          <w:sz w:val="28"/>
          <w:szCs w:val="28"/>
          <w:lang w:val="cs-CZ"/>
        </w:rPr>
        <w:t xml:space="preserve">řízení </w:t>
      </w:r>
    </w:p>
    <w:p w14:paraId="04B0DCA6" w14:textId="4C596A68" w:rsidR="003723DB" w:rsidRDefault="0025488E" w:rsidP="0025488E">
      <w:pPr>
        <w:ind w:firstLine="720"/>
        <w:rPr>
          <w:lang w:val="cs-CZ"/>
        </w:rPr>
      </w:pPr>
      <w:r>
        <w:rPr>
          <w:lang w:val="cs-CZ"/>
        </w:rPr>
        <w:t xml:space="preserve">Veřejní zadavatelé se musí řídit v rámci procesu zadávání několika základními zásadami. </w:t>
      </w:r>
      <w:r w:rsidR="002C48ED">
        <w:rPr>
          <w:lang w:val="cs-CZ"/>
        </w:rPr>
        <w:t>Jedná se o takové zásady, které by měli prostupovat celým zadávacím procesem a zadavatelé by své jednání měli umět vyložit i ve vztahu k uvedeným zásadám, zejména v rámci výkladu jednotlivých ustanovení, kdy n</w:t>
      </w:r>
      <w:r w:rsidR="008D1835">
        <w:rPr>
          <w:lang w:val="cs-CZ"/>
        </w:rPr>
        <w:t>ezáleží na tom</w:t>
      </w:r>
      <w:r w:rsidR="00D54038">
        <w:rPr>
          <w:lang w:val="cs-CZ"/>
        </w:rPr>
        <w:t>,</w:t>
      </w:r>
      <w:r w:rsidR="008D1835">
        <w:rPr>
          <w:lang w:val="cs-CZ"/>
        </w:rPr>
        <w:t xml:space="preserve"> zda se jedná o zn</w:t>
      </w:r>
      <w:r w:rsidR="002C48ED">
        <w:rPr>
          <w:lang w:val="cs-CZ"/>
        </w:rPr>
        <w:t>ění Směrnice 2014/24/EU</w:t>
      </w:r>
      <w:r w:rsidR="00D54038">
        <w:rPr>
          <w:lang w:val="cs-CZ"/>
        </w:rPr>
        <w:t>,</w:t>
      </w:r>
      <w:r w:rsidR="002C48ED">
        <w:rPr>
          <w:lang w:val="cs-CZ"/>
        </w:rPr>
        <w:t xml:space="preserve"> či zákona o zadávání veřejných zakázek.</w:t>
      </w:r>
      <w:r w:rsidR="00FB68E1">
        <w:rPr>
          <w:lang w:val="cs-CZ"/>
        </w:rPr>
        <w:t xml:space="preserve"> Základní zásady zadávání veř</w:t>
      </w:r>
      <w:r w:rsidR="00BF6091">
        <w:rPr>
          <w:lang w:val="cs-CZ"/>
        </w:rPr>
        <w:t>e</w:t>
      </w:r>
      <w:r w:rsidR="008D1835">
        <w:rPr>
          <w:lang w:val="cs-CZ"/>
        </w:rPr>
        <w:t>jných zakázek vycházejí ze zn</w:t>
      </w:r>
      <w:r w:rsidR="00FB68E1">
        <w:rPr>
          <w:lang w:val="cs-CZ"/>
        </w:rPr>
        <w:t>ění Směrnice 2014/24/EU, kdy je nutné tyto základy vykládat ve světle judikatury Soudního dvora Evropské unie.</w:t>
      </w:r>
      <w:r w:rsidR="002C48ED">
        <w:rPr>
          <w:rStyle w:val="FootnoteReference"/>
          <w:lang w:val="cs-CZ"/>
        </w:rPr>
        <w:footnoteReference w:id="87"/>
      </w:r>
      <w:r w:rsidR="002C48ED">
        <w:rPr>
          <w:lang w:val="cs-CZ"/>
        </w:rPr>
        <w:t xml:space="preserve"> </w:t>
      </w:r>
    </w:p>
    <w:p w14:paraId="7C26BAD8" w14:textId="48AEBA83" w:rsidR="00020A9B" w:rsidRDefault="00020A9B" w:rsidP="00020A9B">
      <w:pPr>
        <w:ind w:firstLine="720"/>
        <w:rPr>
          <w:lang w:val="cs-CZ"/>
        </w:rPr>
      </w:pPr>
      <w:r>
        <w:rPr>
          <w:lang w:val="cs-CZ"/>
        </w:rPr>
        <w:t>V souvislosti se zásadami veřejných zakázek nesmím</w:t>
      </w:r>
      <w:r w:rsidR="00D36E21">
        <w:rPr>
          <w:lang w:val="cs-CZ"/>
        </w:rPr>
        <w:t>e</w:t>
      </w:r>
      <w:r>
        <w:rPr>
          <w:lang w:val="cs-CZ"/>
        </w:rPr>
        <w:t xml:space="preserve"> opomenout Interpretační sdělení komise o právních předpisech Společ</w:t>
      </w:r>
      <w:r w:rsidR="00C428D9">
        <w:rPr>
          <w:lang w:val="cs-CZ"/>
        </w:rPr>
        <w:t>enství použitelných pro zadávání zakázek, na které se plně</w:t>
      </w:r>
      <w:r w:rsidRPr="00020A9B">
        <w:rPr>
          <w:lang w:val="cs-CZ"/>
        </w:rPr>
        <w:t xml:space="preserve"> nebo</w:t>
      </w:r>
      <w:r>
        <w:rPr>
          <w:lang w:val="cs-CZ"/>
        </w:rPr>
        <w:t xml:space="preserve"> </w:t>
      </w:r>
      <w:r w:rsidR="00C428D9">
        <w:rPr>
          <w:lang w:val="cs-CZ"/>
        </w:rPr>
        <w:t>částečně nevztahují směrnice o zadávání veřejných zakázek. Uvedené Interpretační sdělení rozšiřuje obecné zásady vyjádřené ve Směrnice 2014/24/EU i o zásady definované v zakládacích smlouvách Evropského společenství, zejména pak o zásady volného pohybu zboží, služeb, usazování.</w:t>
      </w:r>
      <w:r w:rsidR="00C428D9">
        <w:rPr>
          <w:rStyle w:val="FootnoteReference"/>
          <w:lang w:val="cs-CZ"/>
        </w:rPr>
        <w:footnoteReference w:id="88"/>
      </w:r>
      <w:r w:rsidR="00C428D9">
        <w:rPr>
          <w:lang w:val="cs-CZ"/>
        </w:rPr>
        <w:t xml:space="preserve"> </w:t>
      </w:r>
    </w:p>
    <w:p w14:paraId="47347884" w14:textId="5D83D758" w:rsidR="00FF6295" w:rsidRDefault="00FF6295" w:rsidP="00020A9B">
      <w:pPr>
        <w:ind w:firstLine="720"/>
        <w:rPr>
          <w:lang w:val="cs-CZ"/>
        </w:rPr>
      </w:pPr>
      <w:r>
        <w:rPr>
          <w:lang w:val="cs-CZ"/>
        </w:rPr>
        <w:lastRenderedPageBreak/>
        <w:t xml:space="preserve">Základní zásady jsou vyjádřeny v čl. 18 Směrnice 2014/24/EU a zákon o zadávání veřejných </w:t>
      </w:r>
      <w:r w:rsidR="00AF7484">
        <w:rPr>
          <w:lang w:val="cs-CZ"/>
        </w:rPr>
        <w:t xml:space="preserve">zakázek vyjadřuje zásady v § 6. </w:t>
      </w:r>
      <w:r>
        <w:rPr>
          <w:lang w:val="cs-CZ"/>
        </w:rPr>
        <w:t>I v rámci vyjádření zásad máme možnost naleznout rozdíly, a to zejména v i</w:t>
      </w:r>
      <w:r w:rsidR="00096C0A">
        <w:rPr>
          <w:lang w:val="cs-CZ"/>
        </w:rPr>
        <w:t>nter</w:t>
      </w:r>
      <w:r w:rsidR="00BA1769">
        <w:rPr>
          <w:lang w:val="cs-CZ"/>
        </w:rPr>
        <w:t>pretačním vyjádřená zásad, kdy S</w:t>
      </w:r>
      <w:r>
        <w:rPr>
          <w:lang w:val="cs-CZ"/>
        </w:rPr>
        <w:t xml:space="preserve">měrnice 2014/24/EU </w:t>
      </w:r>
      <w:r w:rsidR="00096C0A">
        <w:rPr>
          <w:lang w:val="cs-CZ"/>
        </w:rPr>
        <w:t>razí zásadu</w:t>
      </w:r>
      <w:r>
        <w:rPr>
          <w:lang w:val="cs-CZ"/>
        </w:rPr>
        <w:t xml:space="preserve"> „od obecného k</w:t>
      </w:r>
      <w:r w:rsidR="00096C0A">
        <w:rPr>
          <w:lang w:val="cs-CZ"/>
        </w:rPr>
        <w:t> speciálnímu“, naopak zákon o zadávání veřejných zakázek zv</w:t>
      </w:r>
      <w:r w:rsidR="00AF7484">
        <w:rPr>
          <w:lang w:val="cs-CZ"/>
        </w:rPr>
        <w:t>olil právy</w:t>
      </w:r>
      <w:r w:rsidR="00936959">
        <w:rPr>
          <w:lang w:val="cs-CZ"/>
        </w:rPr>
        <w:t xml:space="preserve"> opak vyjádření zásad. </w:t>
      </w:r>
      <w:r w:rsidR="00544166">
        <w:rPr>
          <w:lang w:val="cs-CZ"/>
        </w:rPr>
        <w:t>Zákon o zadávání veřejných zakázek uvádí zásadu tran</w:t>
      </w:r>
      <w:r w:rsidR="003C4500">
        <w:rPr>
          <w:lang w:val="cs-CZ"/>
        </w:rPr>
        <w:t>s</w:t>
      </w:r>
      <w:r w:rsidR="00544166">
        <w:rPr>
          <w:lang w:val="cs-CZ"/>
        </w:rPr>
        <w:t>parentnosti jako zásadu první a nejdůležitější, přitom tato zásada vych</w:t>
      </w:r>
      <w:r w:rsidR="00402442">
        <w:rPr>
          <w:lang w:val="cs-CZ"/>
        </w:rPr>
        <w:t xml:space="preserve">ází ze zásady rovného zacházení. </w:t>
      </w:r>
      <w:r w:rsidR="00936959">
        <w:rPr>
          <w:lang w:val="cs-CZ"/>
        </w:rPr>
        <w:t>Obě dvě úpravy zadávání veřejných zakázek vyjad</w:t>
      </w:r>
      <w:r w:rsidR="00D36E21">
        <w:rPr>
          <w:lang w:val="cs-CZ"/>
        </w:rPr>
        <w:t>řují zásady ve formě dvojic, které</w:t>
      </w:r>
      <w:r w:rsidR="00936959">
        <w:rPr>
          <w:lang w:val="cs-CZ"/>
        </w:rPr>
        <w:t xml:space="preserve"> spojují zásady rovného zacházení a nediskriminace a pak zásady transparentnosti a postup přiměřeným způsobem. Jako samostatnou nepárovou zásadu mů</w:t>
      </w:r>
      <w:r w:rsidR="00C6619B">
        <w:rPr>
          <w:lang w:val="cs-CZ"/>
        </w:rPr>
        <w:t>žeme shledat zásadu zákazu omezo</w:t>
      </w:r>
      <w:r w:rsidR="00936959">
        <w:rPr>
          <w:lang w:val="cs-CZ"/>
        </w:rPr>
        <w:t xml:space="preserve">vání hospodářské soutěže, vyjádřené v čl. 18 </w:t>
      </w:r>
      <w:r w:rsidR="00C6619B">
        <w:rPr>
          <w:lang w:val="cs-CZ"/>
        </w:rPr>
        <w:t xml:space="preserve">prvním pododstavci Směrnice 2014/24/EU a v § 36 odst. 1 zákona o zadávání veřejných zakázek. </w:t>
      </w:r>
    </w:p>
    <w:p w14:paraId="4C3B8170" w14:textId="78627B42" w:rsidR="00BF6091" w:rsidRDefault="00BF6091" w:rsidP="00BF6091">
      <w:pPr>
        <w:pStyle w:val="ListParagraph"/>
        <w:numPr>
          <w:ilvl w:val="2"/>
          <w:numId w:val="21"/>
        </w:numPr>
        <w:ind w:left="1174" w:hanging="454"/>
        <w:rPr>
          <w:b/>
          <w:lang w:val="cs-CZ"/>
        </w:rPr>
      </w:pPr>
      <w:r w:rsidRPr="00BF6091">
        <w:rPr>
          <w:b/>
          <w:lang w:val="cs-CZ"/>
        </w:rPr>
        <w:t xml:space="preserve">Zásada rovného zacházení </w:t>
      </w:r>
    </w:p>
    <w:p w14:paraId="2FF2CE67" w14:textId="0FB8AB62" w:rsidR="00F82979" w:rsidRDefault="00F82979" w:rsidP="000A3F0F">
      <w:pPr>
        <w:ind w:firstLine="720"/>
        <w:rPr>
          <w:lang w:val="cs-CZ"/>
        </w:rPr>
      </w:pPr>
      <w:r>
        <w:rPr>
          <w:lang w:val="cs-CZ"/>
        </w:rPr>
        <w:t xml:space="preserve">Zásada rovného zacházení </w:t>
      </w:r>
      <w:r w:rsidR="000A3F0F">
        <w:rPr>
          <w:lang w:val="cs-CZ"/>
        </w:rPr>
        <w:t>je považována za obecnou právní zásadu vzhledem ke vztahu ke Směrnici 2014/24/EU.</w:t>
      </w:r>
      <w:r w:rsidR="00290BB7">
        <w:rPr>
          <w:rStyle w:val="FootnoteReference"/>
          <w:lang w:val="cs-CZ"/>
        </w:rPr>
        <w:footnoteReference w:id="89"/>
      </w:r>
      <w:r w:rsidR="000A3F0F">
        <w:rPr>
          <w:lang w:val="cs-CZ"/>
        </w:rPr>
        <w:t xml:space="preserve"> </w:t>
      </w:r>
      <w:r w:rsidR="00E14649">
        <w:rPr>
          <w:lang w:val="cs-CZ"/>
        </w:rPr>
        <w:t xml:space="preserve">Hlavním cílem zásady rovného zacházení </w:t>
      </w:r>
      <w:r w:rsidR="0024347F">
        <w:rPr>
          <w:lang w:val="cs-CZ"/>
        </w:rPr>
        <w:t xml:space="preserve">je </w:t>
      </w:r>
      <w:r w:rsidR="00E14649">
        <w:rPr>
          <w:lang w:val="cs-CZ"/>
        </w:rPr>
        <w:t>požadavek,</w:t>
      </w:r>
      <w:r>
        <w:rPr>
          <w:lang w:val="cs-CZ"/>
        </w:rPr>
        <w:t xml:space="preserve"> aby se všemi dodavateli bylo zacházeno stejně</w:t>
      </w:r>
      <w:r w:rsidR="0064428A">
        <w:rPr>
          <w:rStyle w:val="FootnoteReference"/>
          <w:lang w:val="cs-CZ"/>
        </w:rPr>
        <w:footnoteReference w:id="90"/>
      </w:r>
      <w:r>
        <w:rPr>
          <w:lang w:val="cs-CZ"/>
        </w:rPr>
        <w:t>, což se může projevit například tím, že vš</w:t>
      </w:r>
      <w:r w:rsidR="00D36E21">
        <w:rPr>
          <w:lang w:val="cs-CZ"/>
        </w:rPr>
        <w:t xml:space="preserve">em dodavatelům, kteří mají zájem se </w:t>
      </w:r>
      <w:r>
        <w:rPr>
          <w:lang w:val="cs-CZ"/>
        </w:rPr>
        <w:t xml:space="preserve">účastnit zadávacího řízení budou poskytnuty informace současně. </w:t>
      </w:r>
    </w:p>
    <w:p w14:paraId="579D5A9D" w14:textId="5DCC4CEB" w:rsidR="00936959" w:rsidRPr="00936959" w:rsidRDefault="00F82979" w:rsidP="00E87F8D">
      <w:pPr>
        <w:ind w:firstLine="720"/>
        <w:rPr>
          <w:lang w:val="cs-CZ"/>
        </w:rPr>
      </w:pPr>
      <w:r>
        <w:rPr>
          <w:lang w:val="cs-CZ"/>
        </w:rPr>
        <w:t xml:space="preserve">Nejlépe princip rovného zacházení vyjadřuje judikatura, například v rozsudku </w:t>
      </w:r>
      <w:r w:rsidR="00770307">
        <w:rPr>
          <w:lang w:val="cs-CZ"/>
        </w:rPr>
        <w:t>C-87/94 ve věci Komise Evropských společenství proti</w:t>
      </w:r>
      <w:r w:rsidR="00E87F8D">
        <w:rPr>
          <w:lang w:val="cs-CZ"/>
        </w:rPr>
        <w:t xml:space="preserve"> Belgickému království</w:t>
      </w:r>
      <w:r>
        <w:rPr>
          <w:lang w:val="cs-CZ"/>
        </w:rPr>
        <w:t xml:space="preserve"> </w:t>
      </w:r>
      <w:r w:rsidR="009D4279">
        <w:rPr>
          <w:lang w:val="cs-CZ"/>
        </w:rPr>
        <w:t>je řečeno</w:t>
      </w:r>
      <w:r w:rsidR="00770307">
        <w:rPr>
          <w:lang w:val="cs-CZ"/>
        </w:rPr>
        <w:t>, že zadavatel poruší zásadu rovného zacházení tím, když přidělí uchazeči zakázku, i když zakázka uchazeče neodpovídala povinným požadavkům zadávací dokumentace. Dále zadavatel v uvedeném sporu bral v úvahu i takové kritéria, které dříve nezmínil v zadávací dokumentaci nebo v oznámení o zakázce. V rámci výběru nejvhodnější nabídky rozhodoval na základě</w:t>
      </w:r>
      <w:r>
        <w:rPr>
          <w:lang w:val="cs-CZ"/>
        </w:rPr>
        <w:t xml:space="preserve"> právě</w:t>
      </w:r>
      <w:r w:rsidR="00770307">
        <w:rPr>
          <w:lang w:val="cs-CZ"/>
        </w:rPr>
        <w:t xml:space="preserve"> dříve nezveřejněných kritérií, přičemž dal přednost těmto kritériím před nejnižší nabídkou.</w:t>
      </w:r>
      <w:r w:rsidR="00770307">
        <w:rPr>
          <w:rStyle w:val="FootnoteReference"/>
          <w:lang w:val="cs-CZ"/>
        </w:rPr>
        <w:footnoteReference w:id="91"/>
      </w:r>
      <w:r w:rsidR="00770307">
        <w:rPr>
          <w:lang w:val="cs-CZ"/>
        </w:rPr>
        <w:t xml:space="preserve"> Ke stejným závěrům a zejména k dodržování rovného zacházení v rámci řízení o zadávání veřejných zakázek, bylo dospěno v rozsudku C-243/89 ve věci Komise Evropských </w:t>
      </w:r>
      <w:r w:rsidR="00770307">
        <w:rPr>
          <w:lang w:val="cs-CZ"/>
        </w:rPr>
        <w:lastRenderedPageBreak/>
        <w:t xml:space="preserve">společenství proti Dánskému království nebo v Rozsudku C-3/88 ve věci Komise Evropských společenství proti Italské republice. </w:t>
      </w:r>
    </w:p>
    <w:p w14:paraId="6A55BF01" w14:textId="6D7D89DC" w:rsidR="00936959" w:rsidRDefault="00936959" w:rsidP="00BF6091">
      <w:pPr>
        <w:pStyle w:val="ListParagraph"/>
        <w:numPr>
          <w:ilvl w:val="2"/>
          <w:numId w:val="21"/>
        </w:numPr>
        <w:ind w:left="1174" w:hanging="454"/>
        <w:rPr>
          <w:b/>
          <w:lang w:val="cs-CZ"/>
        </w:rPr>
      </w:pPr>
      <w:r>
        <w:rPr>
          <w:b/>
          <w:lang w:val="cs-CZ"/>
        </w:rPr>
        <w:t xml:space="preserve">Zásada nediskriminace </w:t>
      </w:r>
    </w:p>
    <w:p w14:paraId="26F0AB43" w14:textId="5A16F4E2" w:rsidR="00D1734B" w:rsidRDefault="00E52BE7" w:rsidP="00936959">
      <w:pPr>
        <w:ind w:firstLine="720"/>
        <w:rPr>
          <w:lang w:val="cs-CZ"/>
        </w:rPr>
      </w:pPr>
      <w:r>
        <w:rPr>
          <w:lang w:val="cs-CZ"/>
        </w:rPr>
        <w:t>Zásada diskriminace se dělí na dvě složky, na diskriminaci přímou a diskriminaci skrytou.</w:t>
      </w:r>
      <w:r w:rsidR="00E91F91">
        <w:rPr>
          <w:rStyle w:val="FootnoteReference"/>
          <w:lang w:val="cs-CZ"/>
        </w:rPr>
        <w:footnoteReference w:id="92"/>
      </w:r>
      <w:r w:rsidR="00E87F8D">
        <w:rPr>
          <w:lang w:val="cs-CZ"/>
        </w:rPr>
        <w:t xml:space="preserve"> Přímé neboli zjevné</w:t>
      </w:r>
      <w:r>
        <w:rPr>
          <w:lang w:val="cs-CZ"/>
        </w:rPr>
        <w:t xml:space="preserve"> disk</w:t>
      </w:r>
      <w:r w:rsidR="00E87F8D">
        <w:rPr>
          <w:lang w:val="cs-CZ"/>
        </w:rPr>
        <w:t>riminaci</w:t>
      </w:r>
      <w:r w:rsidR="006C0094">
        <w:rPr>
          <w:lang w:val="cs-CZ"/>
        </w:rPr>
        <w:t xml:space="preserve"> odpovídá</w:t>
      </w:r>
      <w:r w:rsidR="00E91F91">
        <w:rPr>
          <w:lang w:val="cs-CZ"/>
        </w:rPr>
        <w:t xml:space="preserve"> jednání, kdy zadavatel s odlišným přístupem přichází k určitému uchazeči</w:t>
      </w:r>
      <w:r w:rsidR="00E87F8D">
        <w:rPr>
          <w:lang w:val="cs-CZ"/>
        </w:rPr>
        <w:t xml:space="preserve"> ovšem</w:t>
      </w:r>
      <w:r w:rsidR="00E91F91">
        <w:rPr>
          <w:lang w:val="cs-CZ"/>
        </w:rPr>
        <w:t xml:space="preserve"> ve stejné situaci jak k ostatním.</w:t>
      </w:r>
      <w:r w:rsidR="00E91F91">
        <w:rPr>
          <w:rStyle w:val="FootnoteReference"/>
          <w:lang w:val="cs-CZ"/>
        </w:rPr>
        <w:footnoteReference w:id="93"/>
      </w:r>
      <w:r w:rsidR="00E91F91">
        <w:rPr>
          <w:lang w:val="cs-CZ"/>
        </w:rPr>
        <w:t xml:space="preserve"> </w:t>
      </w:r>
      <w:r>
        <w:rPr>
          <w:lang w:val="cs-CZ"/>
        </w:rPr>
        <w:t>Nao</w:t>
      </w:r>
      <w:r w:rsidR="006C0094">
        <w:rPr>
          <w:lang w:val="cs-CZ"/>
        </w:rPr>
        <w:t>pak skrytou diskriminací j</w:t>
      </w:r>
      <w:r>
        <w:rPr>
          <w:lang w:val="cs-CZ"/>
        </w:rPr>
        <w:t>e jednání, které na první pohled diskriminační není, ale toto jednání nějakým způsobem znevýhodňuje určitého uchazeče.</w:t>
      </w:r>
      <w:r w:rsidR="00F107BF">
        <w:rPr>
          <w:lang w:val="cs-CZ"/>
        </w:rPr>
        <w:t xml:space="preserve"> Zásady zákazu přímé diskriminace vychází z obecného zákazu diskriminace mezi muži a ženami.</w:t>
      </w:r>
      <w:r>
        <w:rPr>
          <w:rStyle w:val="FootnoteReference"/>
          <w:lang w:val="cs-CZ"/>
        </w:rPr>
        <w:footnoteReference w:id="94"/>
      </w:r>
      <w:r>
        <w:rPr>
          <w:lang w:val="cs-CZ"/>
        </w:rPr>
        <w:t xml:space="preserve"> </w:t>
      </w:r>
    </w:p>
    <w:p w14:paraId="7883A5D3" w14:textId="3BAE1925" w:rsidR="00936959" w:rsidRPr="00936959" w:rsidRDefault="00936959" w:rsidP="00936959">
      <w:pPr>
        <w:ind w:firstLine="720"/>
        <w:rPr>
          <w:b/>
          <w:lang w:val="cs-CZ"/>
        </w:rPr>
      </w:pPr>
      <w:r>
        <w:rPr>
          <w:lang w:val="cs-CZ"/>
        </w:rPr>
        <w:t xml:space="preserve">Diskriminace byla judikována ve věci Komise Evropských společenství proti Francouzské republice, kdy předmětem řízení byla i otázka toho, zda zásada zákazu diskriminace se vztahuje i na potencionální dodavatele, přičemž potencionálním dodavatelem </w:t>
      </w:r>
      <w:r w:rsidR="006C0094">
        <w:rPr>
          <w:lang w:val="cs-CZ"/>
        </w:rPr>
        <w:t xml:space="preserve">je </w:t>
      </w:r>
      <w:r>
        <w:rPr>
          <w:lang w:val="cs-CZ"/>
        </w:rPr>
        <w:t>takový dodavatel, který nabídku nepodal. V rámci řízení bylo dospěno k závěru, že z</w:t>
      </w:r>
      <w:r w:rsidR="006C0094">
        <w:rPr>
          <w:lang w:val="cs-CZ"/>
        </w:rPr>
        <w:t>á</w:t>
      </w:r>
      <w:r>
        <w:rPr>
          <w:lang w:val="cs-CZ"/>
        </w:rPr>
        <w:t>kaz diskriminace se vztahuje na řízení jako na celek</w:t>
      </w:r>
      <w:r w:rsidR="00D54038">
        <w:rPr>
          <w:lang w:val="cs-CZ"/>
        </w:rPr>
        <w:t>,</w:t>
      </w:r>
      <w:r>
        <w:rPr>
          <w:lang w:val="cs-CZ"/>
        </w:rPr>
        <w:t xml:space="preserve"> a ne pouze na fázi řízení po podání nabídky.</w:t>
      </w:r>
      <w:r w:rsidR="00081AFB">
        <w:rPr>
          <w:rStyle w:val="FootnoteReference"/>
          <w:lang w:val="cs-CZ"/>
        </w:rPr>
        <w:footnoteReference w:id="95"/>
      </w:r>
      <w:r w:rsidR="00E52BE7">
        <w:rPr>
          <w:lang w:val="cs-CZ"/>
        </w:rPr>
        <w:t xml:space="preserve"> Z uvedeného rozsudku vycházel i Nejvyšší správní soud České republiky v rozsudku ze dne 5. 6. 2008, </w:t>
      </w:r>
      <w:proofErr w:type="spellStart"/>
      <w:r w:rsidR="00E52BE7">
        <w:rPr>
          <w:lang w:val="cs-CZ"/>
        </w:rPr>
        <w:t>sp</w:t>
      </w:r>
      <w:proofErr w:type="spellEnd"/>
      <w:r w:rsidR="00E52BE7">
        <w:rPr>
          <w:lang w:val="cs-CZ"/>
        </w:rPr>
        <w:t xml:space="preserve">. zn. 1 </w:t>
      </w:r>
      <w:proofErr w:type="spellStart"/>
      <w:r w:rsidR="00E52BE7">
        <w:rPr>
          <w:lang w:val="cs-CZ"/>
        </w:rPr>
        <w:t>Afs</w:t>
      </w:r>
      <w:proofErr w:type="spellEnd"/>
      <w:r w:rsidR="00E52BE7">
        <w:rPr>
          <w:lang w:val="cs-CZ"/>
        </w:rPr>
        <w:t xml:space="preserve"> 20/2008. </w:t>
      </w:r>
    </w:p>
    <w:p w14:paraId="01AA6D1F" w14:textId="439B1AB1" w:rsidR="00BF6091" w:rsidRPr="006B4ABB" w:rsidRDefault="00BF6091" w:rsidP="00BF6091">
      <w:pPr>
        <w:pStyle w:val="ListParagraph"/>
        <w:numPr>
          <w:ilvl w:val="2"/>
          <w:numId w:val="21"/>
        </w:numPr>
        <w:ind w:left="1174" w:hanging="454"/>
        <w:rPr>
          <w:b/>
          <w:lang w:val="cs-CZ"/>
        </w:rPr>
      </w:pPr>
      <w:r w:rsidRPr="006B4ABB">
        <w:rPr>
          <w:b/>
          <w:lang w:val="cs-CZ"/>
        </w:rPr>
        <w:t>Zásada transparentnosti</w:t>
      </w:r>
    </w:p>
    <w:p w14:paraId="6E3637DF" w14:textId="3204AD54" w:rsidR="006B4ABB" w:rsidRPr="00D1734B" w:rsidRDefault="00721966" w:rsidP="006C0094">
      <w:pPr>
        <w:ind w:firstLine="720"/>
        <w:rPr>
          <w:lang w:val="cs-CZ"/>
        </w:rPr>
      </w:pPr>
      <w:r w:rsidRPr="006C0094">
        <w:rPr>
          <w:lang w:val="cs-CZ"/>
        </w:rPr>
        <w:t>Zásada transparentnosti vyž</w:t>
      </w:r>
      <w:r w:rsidR="005A2BB3" w:rsidRPr="006C0094">
        <w:rPr>
          <w:lang w:val="cs-CZ"/>
        </w:rPr>
        <w:t>aduje, aby celé</w:t>
      </w:r>
      <w:r w:rsidRPr="006C0094">
        <w:rPr>
          <w:lang w:val="cs-CZ"/>
        </w:rPr>
        <w:t xml:space="preserve"> zadávací řízení bylo postaveno na předem známých kritériích</w:t>
      </w:r>
      <w:r w:rsidR="006B4ABB" w:rsidRPr="006C0094">
        <w:rPr>
          <w:lang w:val="cs-CZ"/>
        </w:rPr>
        <w:t>.</w:t>
      </w:r>
      <w:r w:rsidR="00AD37D5" w:rsidRPr="006C0094">
        <w:rPr>
          <w:rStyle w:val="FootnoteReference"/>
          <w:lang w:val="cs-CZ"/>
        </w:rPr>
        <w:footnoteReference w:id="96"/>
      </w:r>
      <w:r w:rsidRPr="006C0094">
        <w:rPr>
          <w:lang w:val="cs-CZ"/>
        </w:rPr>
        <w:t xml:space="preserve"> </w:t>
      </w:r>
      <w:r w:rsidR="00C65B93" w:rsidRPr="006C0094">
        <w:rPr>
          <w:lang w:val="cs-CZ"/>
        </w:rPr>
        <w:t>Princip transparentnosti slouží dvěma hlavním cílům. Prvním z nich je zavedení otevře</w:t>
      </w:r>
      <w:r w:rsidR="00BC25BE">
        <w:rPr>
          <w:lang w:val="cs-CZ"/>
        </w:rPr>
        <w:t>nosti při veřejných zakázkách v</w:t>
      </w:r>
      <w:r w:rsidR="00C65B93" w:rsidRPr="006C0094">
        <w:rPr>
          <w:lang w:val="cs-CZ"/>
        </w:rPr>
        <w:t xml:space="preserve"> členských státech </w:t>
      </w:r>
      <w:r w:rsidR="00D54038">
        <w:rPr>
          <w:lang w:val="cs-CZ"/>
        </w:rPr>
        <w:t>E</w:t>
      </w:r>
      <w:r w:rsidR="00C65B93" w:rsidRPr="006C0094">
        <w:rPr>
          <w:lang w:val="cs-CZ"/>
        </w:rPr>
        <w:t xml:space="preserve">vropské unie. Druhým cílem je zajistit, aby </w:t>
      </w:r>
      <w:r w:rsidR="00FE6F63" w:rsidRPr="006C0094">
        <w:rPr>
          <w:lang w:val="cs-CZ"/>
        </w:rPr>
        <w:t>při zadávání veřejných zakázek bylo dbáno na transparentnost celého řízení, a to jak ze strany zadavatele, tak ze strany uchazeče.</w:t>
      </w:r>
      <w:r w:rsidR="00FE6F63" w:rsidRPr="006C0094">
        <w:rPr>
          <w:rStyle w:val="FootnoteReference"/>
          <w:lang w:val="cs-CZ"/>
        </w:rPr>
        <w:footnoteReference w:id="97"/>
      </w:r>
      <w:r w:rsidR="00FE6F63" w:rsidRPr="00FE6F63">
        <w:t xml:space="preserve"> </w:t>
      </w:r>
      <w:r w:rsidR="005A2BB3" w:rsidRPr="00D1734B">
        <w:rPr>
          <w:lang w:val="cs-CZ"/>
        </w:rPr>
        <w:t xml:space="preserve">Zadavatel má povinnost uveřejnit informace konkrétně, pořídit o všech </w:t>
      </w:r>
      <w:r w:rsidR="00D1734B" w:rsidRPr="00D1734B">
        <w:rPr>
          <w:lang w:val="cs-CZ"/>
        </w:rPr>
        <w:lastRenderedPageBreak/>
        <w:t>úkonech písemný záznam a tyto úkony odůvodnit. Zásada transparentnosti zajišťuje i to, že celé řízení je možné přezkoumat.</w:t>
      </w:r>
      <w:r w:rsidR="00D1734B" w:rsidRPr="00D1734B">
        <w:rPr>
          <w:rStyle w:val="FootnoteReference"/>
          <w:lang w:val="cs-CZ"/>
        </w:rPr>
        <w:footnoteReference w:id="98"/>
      </w:r>
      <w:r w:rsidR="00D1734B" w:rsidRPr="00D1734B">
        <w:rPr>
          <w:lang w:val="cs-CZ"/>
        </w:rPr>
        <w:t xml:space="preserve"> </w:t>
      </w:r>
    </w:p>
    <w:p w14:paraId="272BA45B" w14:textId="307A289B" w:rsidR="00544166" w:rsidRPr="009D03D9" w:rsidRDefault="00BC25BE" w:rsidP="00544166">
      <w:pPr>
        <w:ind w:firstLine="720"/>
        <w:rPr>
          <w:lang w:val="cs-CZ"/>
        </w:rPr>
      </w:pPr>
      <w:r>
        <w:rPr>
          <w:lang w:val="cs-CZ"/>
        </w:rPr>
        <w:t>Ve světle judikatury se zásada</w:t>
      </w:r>
      <w:r w:rsidR="009D03D9">
        <w:rPr>
          <w:lang w:val="cs-CZ"/>
        </w:rPr>
        <w:t xml:space="preserve"> transparentnosti objevuje například v rozsudku C-324/98 ve věci </w:t>
      </w:r>
      <w:proofErr w:type="spellStart"/>
      <w:r w:rsidR="009D03D9">
        <w:rPr>
          <w:lang w:val="cs-CZ"/>
        </w:rPr>
        <w:t>Teleaustria</w:t>
      </w:r>
      <w:proofErr w:type="spellEnd"/>
      <w:r w:rsidR="009D03D9">
        <w:rPr>
          <w:lang w:val="cs-CZ"/>
        </w:rPr>
        <w:t xml:space="preserve"> </w:t>
      </w:r>
      <w:proofErr w:type="spellStart"/>
      <w:r w:rsidR="009D03D9">
        <w:rPr>
          <w:lang w:val="cs-CZ"/>
        </w:rPr>
        <w:t>Verlags</w:t>
      </w:r>
      <w:proofErr w:type="spellEnd"/>
      <w:r w:rsidR="009D03D9">
        <w:rPr>
          <w:lang w:val="cs-CZ"/>
        </w:rPr>
        <w:t xml:space="preserve"> </w:t>
      </w:r>
      <w:proofErr w:type="spellStart"/>
      <w:r w:rsidR="009D03D9">
        <w:rPr>
          <w:lang w:val="cs-CZ"/>
        </w:rPr>
        <w:t>GmbH</w:t>
      </w:r>
      <w:proofErr w:type="spellEnd"/>
      <w:r w:rsidR="009D03D9">
        <w:rPr>
          <w:lang w:val="cs-CZ"/>
        </w:rPr>
        <w:t xml:space="preserve"> proti Telekom </w:t>
      </w:r>
      <w:proofErr w:type="spellStart"/>
      <w:r w:rsidR="009D03D9">
        <w:rPr>
          <w:lang w:val="cs-CZ"/>
        </w:rPr>
        <w:t>Austria</w:t>
      </w:r>
      <w:proofErr w:type="spellEnd"/>
      <w:r w:rsidR="009D03D9">
        <w:rPr>
          <w:lang w:val="cs-CZ"/>
        </w:rPr>
        <w:t xml:space="preserve"> AG, kdy povinnost transparentnosti se projevuje v zajištění určitého stupně inzerce, kdy musí být umožněno otevření trhu ve prospěch kteréhokoliv potencionáln</w:t>
      </w:r>
      <w:r>
        <w:rPr>
          <w:lang w:val="cs-CZ"/>
        </w:rPr>
        <w:t>ího uchazeče a zároveň tak může</w:t>
      </w:r>
      <w:r w:rsidR="009D03D9">
        <w:rPr>
          <w:lang w:val="cs-CZ"/>
        </w:rPr>
        <w:t xml:space="preserve"> být přezkoumáno, zda zadávací řízení je nestranné.</w:t>
      </w:r>
      <w:r w:rsidR="009D03D9">
        <w:rPr>
          <w:rStyle w:val="FootnoteReference"/>
          <w:lang w:val="cs-CZ"/>
        </w:rPr>
        <w:footnoteReference w:id="99"/>
      </w:r>
      <w:r w:rsidR="009D03D9">
        <w:rPr>
          <w:lang w:val="cs-CZ"/>
        </w:rPr>
        <w:t xml:space="preserve"> </w:t>
      </w:r>
    </w:p>
    <w:p w14:paraId="570706C2" w14:textId="5B96B5AA" w:rsidR="00BF6091" w:rsidRDefault="00BF6091" w:rsidP="00BF6091">
      <w:pPr>
        <w:pStyle w:val="ListParagraph"/>
        <w:numPr>
          <w:ilvl w:val="2"/>
          <w:numId w:val="21"/>
        </w:numPr>
        <w:ind w:left="1174" w:hanging="454"/>
        <w:rPr>
          <w:b/>
          <w:lang w:val="cs-CZ"/>
        </w:rPr>
      </w:pPr>
      <w:r>
        <w:rPr>
          <w:b/>
          <w:lang w:val="cs-CZ"/>
        </w:rPr>
        <w:t>Zásada přiměřenosti</w:t>
      </w:r>
    </w:p>
    <w:p w14:paraId="41F8F30F" w14:textId="26F529FB" w:rsidR="0024347F" w:rsidRPr="0024347F" w:rsidRDefault="0024347F" w:rsidP="006B73EC">
      <w:pPr>
        <w:ind w:firstLine="720"/>
        <w:rPr>
          <w:lang w:val="cs-CZ"/>
        </w:rPr>
      </w:pPr>
      <w:r>
        <w:rPr>
          <w:lang w:val="cs-CZ"/>
        </w:rPr>
        <w:t xml:space="preserve">Dle výkladu Soudního dvora Evropské unie zásada proporcionality znamená, že veřejný zadavatel má povinnost nalézt rovnováhu mezi potřebou zajistit, aby byla pro zakázku poskytnuta řádná záruka plnění a zájmy potencionálních hospodářských subjektů, které se </w:t>
      </w:r>
      <w:r w:rsidR="00420441">
        <w:rPr>
          <w:lang w:val="cs-CZ"/>
        </w:rPr>
        <w:t>chtě</w:t>
      </w:r>
      <w:r w:rsidR="00BC25BE">
        <w:rPr>
          <w:lang w:val="cs-CZ"/>
        </w:rPr>
        <w:t>jí zúčastnit nabídky řízení. K</w:t>
      </w:r>
      <w:r>
        <w:rPr>
          <w:lang w:val="cs-CZ"/>
        </w:rPr>
        <w:t xml:space="preserve"> takovému závěru došel Soud v rozsudku ve věci </w:t>
      </w:r>
      <w:proofErr w:type="spellStart"/>
      <w:r>
        <w:rPr>
          <w:lang w:val="cs-CZ"/>
        </w:rPr>
        <w:t>Serrantoni</w:t>
      </w:r>
      <w:proofErr w:type="spellEnd"/>
      <w:r>
        <w:rPr>
          <w:lang w:val="cs-CZ"/>
        </w:rPr>
        <w:t xml:space="preserve"> </w:t>
      </w:r>
      <w:proofErr w:type="spellStart"/>
      <w:r>
        <w:rPr>
          <w:lang w:val="cs-CZ"/>
        </w:rPr>
        <w:t>Srl</w:t>
      </w:r>
      <w:proofErr w:type="spellEnd"/>
      <w:r>
        <w:rPr>
          <w:lang w:val="cs-CZ"/>
        </w:rPr>
        <w:t xml:space="preserve"> i </w:t>
      </w:r>
      <w:proofErr w:type="spellStart"/>
      <w:r>
        <w:rPr>
          <w:lang w:val="cs-CZ"/>
        </w:rPr>
        <w:t>Consorzio</w:t>
      </w:r>
      <w:proofErr w:type="spellEnd"/>
      <w:r>
        <w:rPr>
          <w:lang w:val="cs-CZ"/>
        </w:rPr>
        <w:t xml:space="preserve"> </w:t>
      </w:r>
      <w:proofErr w:type="spellStart"/>
      <w:r>
        <w:rPr>
          <w:lang w:val="cs-CZ"/>
        </w:rPr>
        <w:t>stabile</w:t>
      </w:r>
      <w:proofErr w:type="spellEnd"/>
      <w:r>
        <w:rPr>
          <w:lang w:val="cs-CZ"/>
        </w:rPr>
        <w:t xml:space="preserve"> </w:t>
      </w:r>
      <w:proofErr w:type="spellStart"/>
      <w:r>
        <w:rPr>
          <w:lang w:val="cs-CZ"/>
        </w:rPr>
        <w:t>edili</w:t>
      </w:r>
      <w:proofErr w:type="spellEnd"/>
      <w:r>
        <w:rPr>
          <w:lang w:val="cs-CZ"/>
        </w:rPr>
        <w:t xml:space="preserve"> </w:t>
      </w:r>
      <w:proofErr w:type="spellStart"/>
      <w:r>
        <w:rPr>
          <w:lang w:val="cs-CZ"/>
        </w:rPr>
        <w:t>Scrl</w:t>
      </w:r>
      <w:proofErr w:type="spellEnd"/>
      <w:r>
        <w:rPr>
          <w:lang w:val="cs-CZ"/>
        </w:rPr>
        <w:t xml:space="preserve"> v. </w:t>
      </w:r>
      <w:proofErr w:type="spellStart"/>
      <w:r>
        <w:rPr>
          <w:lang w:val="cs-CZ"/>
        </w:rPr>
        <w:t>Comune</w:t>
      </w:r>
      <w:proofErr w:type="spellEnd"/>
      <w:r>
        <w:rPr>
          <w:lang w:val="cs-CZ"/>
        </w:rPr>
        <w:t xml:space="preserve"> di Milano, řízení vedeno pod </w:t>
      </w:r>
      <w:proofErr w:type="spellStart"/>
      <w:r>
        <w:rPr>
          <w:lang w:val="cs-CZ"/>
        </w:rPr>
        <w:t>sp</w:t>
      </w:r>
      <w:proofErr w:type="spellEnd"/>
      <w:r>
        <w:rPr>
          <w:lang w:val="cs-CZ"/>
        </w:rPr>
        <w:t>.</w:t>
      </w:r>
      <w:r w:rsidR="006B73EC">
        <w:rPr>
          <w:lang w:val="cs-CZ"/>
        </w:rPr>
        <w:t xml:space="preserve"> </w:t>
      </w:r>
      <w:r>
        <w:rPr>
          <w:lang w:val="cs-CZ"/>
        </w:rPr>
        <w:t xml:space="preserve">zn. C 376/08. V uvedeném případě soud </w:t>
      </w:r>
      <w:r w:rsidR="00651499">
        <w:rPr>
          <w:lang w:val="cs-CZ"/>
        </w:rPr>
        <w:t>rozhod</w:t>
      </w:r>
      <w:r w:rsidR="006B73EC">
        <w:rPr>
          <w:lang w:val="cs-CZ"/>
        </w:rPr>
        <w:t>l, že při určování, které hospodářské subjekty se nemohou řízení účastnit, je třeba dodržovat zásadu proporcionality.</w:t>
      </w:r>
      <w:r w:rsidR="006B73EC">
        <w:rPr>
          <w:rStyle w:val="FootnoteReference"/>
          <w:lang w:val="cs-CZ"/>
        </w:rPr>
        <w:footnoteReference w:id="100"/>
      </w:r>
      <w:r w:rsidR="006B73EC">
        <w:rPr>
          <w:lang w:val="cs-CZ"/>
        </w:rPr>
        <w:t xml:space="preserve"> </w:t>
      </w:r>
    </w:p>
    <w:p w14:paraId="654F96AB" w14:textId="7E8611B6" w:rsidR="00BF6091" w:rsidRDefault="00936959" w:rsidP="00BF6091">
      <w:pPr>
        <w:pStyle w:val="ListParagraph"/>
        <w:numPr>
          <w:ilvl w:val="2"/>
          <w:numId w:val="21"/>
        </w:numPr>
        <w:ind w:left="1174" w:hanging="454"/>
        <w:rPr>
          <w:b/>
          <w:lang w:val="cs-CZ"/>
        </w:rPr>
      </w:pPr>
      <w:r>
        <w:rPr>
          <w:b/>
          <w:lang w:val="cs-CZ"/>
        </w:rPr>
        <w:t xml:space="preserve">Zásady zákazu omezování hospodářské soutěže </w:t>
      </w:r>
    </w:p>
    <w:p w14:paraId="4D30CAC2" w14:textId="2276B5E7" w:rsidR="00FB68E1" w:rsidRPr="00F31C17" w:rsidRDefault="007E0111" w:rsidP="00F31C17">
      <w:pPr>
        <w:ind w:firstLine="720"/>
        <w:rPr>
          <w:lang w:val="cs-CZ"/>
        </w:rPr>
      </w:pPr>
      <w:r>
        <w:rPr>
          <w:lang w:val="cs-CZ"/>
        </w:rPr>
        <w:t>Zachování spravedlivé</w:t>
      </w:r>
      <w:r w:rsidR="00BC25BE">
        <w:rPr>
          <w:lang w:val="cs-CZ"/>
        </w:rPr>
        <w:t xml:space="preserve"> hospodářské soutěže je klíčovým</w:t>
      </w:r>
      <w:r>
        <w:rPr>
          <w:lang w:val="cs-CZ"/>
        </w:rPr>
        <w:t xml:space="preserve"> zájmem pro dosažení efektivních a ekonomických výsledků zadávání veřej</w:t>
      </w:r>
      <w:r w:rsidR="00F078DB">
        <w:rPr>
          <w:lang w:val="cs-CZ"/>
        </w:rPr>
        <w:t>ných zakázek. C</w:t>
      </w:r>
      <w:r>
        <w:rPr>
          <w:lang w:val="cs-CZ"/>
        </w:rPr>
        <w:t>ílem je zabránění jakémukoliv narušení nebo omezení hospodářské soutěže v rámci evropské unie.</w:t>
      </w:r>
      <w:r>
        <w:rPr>
          <w:rStyle w:val="FootnoteReference"/>
          <w:lang w:val="cs-CZ"/>
        </w:rPr>
        <w:footnoteReference w:id="101"/>
      </w:r>
      <w:r>
        <w:rPr>
          <w:lang w:val="cs-CZ"/>
        </w:rPr>
        <w:t xml:space="preserve"> </w:t>
      </w:r>
    </w:p>
    <w:p w14:paraId="571C5112" w14:textId="220E5CC0" w:rsidR="00AB30E7" w:rsidRDefault="00146B91" w:rsidP="00AB30E7">
      <w:pPr>
        <w:pStyle w:val="ListParagraph"/>
        <w:numPr>
          <w:ilvl w:val="1"/>
          <w:numId w:val="21"/>
        </w:numPr>
        <w:ind w:left="993" w:hanging="567"/>
        <w:jc w:val="left"/>
        <w:rPr>
          <w:rFonts w:cs="Arial"/>
          <w:b/>
          <w:sz w:val="28"/>
          <w:szCs w:val="28"/>
          <w:lang w:val="cs-CZ"/>
        </w:rPr>
      </w:pPr>
      <w:r>
        <w:rPr>
          <w:rFonts w:cs="Arial"/>
          <w:b/>
          <w:sz w:val="28"/>
          <w:szCs w:val="28"/>
          <w:lang w:val="cs-CZ"/>
        </w:rPr>
        <w:t>Příprava a plánování</w:t>
      </w:r>
    </w:p>
    <w:p w14:paraId="066C3D80" w14:textId="727F6AA7" w:rsidR="00F6026D" w:rsidRDefault="00327BB6" w:rsidP="00327BB6">
      <w:pPr>
        <w:ind w:firstLine="720"/>
        <w:rPr>
          <w:lang w:val="cs-CZ"/>
        </w:rPr>
      </w:pPr>
      <w:r>
        <w:rPr>
          <w:lang w:val="cs-CZ"/>
        </w:rPr>
        <w:t>Fáze přípr</w:t>
      </w:r>
      <w:r w:rsidR="00DB3D68">
        <w:rPr>
          <w:lang w:val="cs-CZ"/>
        </w:rPr>
        <w:t>avy a plánování je nejdůležitější fází celého zadáva</w:t>
      </w:r>
      <w:r w:rsidR="00F6026D">
        <w:rPr>
          <w:lang w:val="cs-CZ"/>
        </w:rPr>
        <w:t>cího řízení veřejných zakázek. P</w:t>
      </w:r>
      <w:r w:rsidR="00DB3D68">
        <w:rPr>
          <w:lang w:val="cs-CZ"/>
        </w:rPr>
        <w:t>rávě v první fázi se rozhoduje o tom, zda veřejná zakázka je za</w:t>
      </w:r>
      <w:r w:rsidR="00F6026D">
        <w:rPr>
          <w:lang w:val="cs-CZ"/>
        </w:rPr>
        <w:t>dána řádně a bez chyb, a tedy jestli následný proces zadávání veřejné zakázky bude proveden správně.</w:t>
      </w:r>
      <w:r w:rsidR="00F6026D">
        <w:rPr>
          <w:rStyle w:val="FootnoteReference"/>
          <w:lang w:val="cs-CZ"/>
        </w:rPr>
        <w:footnoteReference w:id="102"/>
      </w:r>
    </w:p>
    <w:p w14:paraId="0120C3F1" w14:textId="1A9D04F4" w:rsidR="008841E8" w:rsidRDefault="00493712" w:rsidP="00AB30E7">
      <w:pPr>
        <w:ind w:firstLine="720"/>
        <w:rPr>
          <w:lang w:val="cs-CZ"/>
        </w:rPr>
      </w:pPr>
      <w:r>
        <w:rPr>
          <w:lang w:val="cs-CZ"/>
        </w:rPr>
        <w:lastRenderedPageBreak/>
        <w:t xml:space="preserve">Základním předpokladem při zadávání veřejných zakázek je, že zakázky určitého typu a hodnoty budou zadávány pomocí předem zveřejněného soutěžního řízení, které je otevřené, spravedlivé a transparentní a zajišťuje rovné příležitosti a zacházení se všemi </w:t>
      </w:r>
      <w:r w:rsidR="008841E8">
        <w:rPr>
          <w:lang w:val="cs-CZ"/>
        </w:rPr>
        <w:t>zájemci a uchazeči.</w:t>
      </w:r>
      <w:r w:rsidR="008841E8">
        <w:rPr>
          <w:rStyle w:val="FootnoteReference"/>
          <w:lang w:val="cs-CZ"/>
        </w:rPr>
        <w:footnoteReference w:id="103"/>
      </w:r>
      <w:r w:rsidR="008841E8">
        <w:rPr>
          <w:lang w:val="cs-CZ"/>
        </w:rPr>
        <w:t xml:space="preserve"> </w:t>
      </w:r>
    </w:p>
    <w:p w14:paraId="54F2616B" w14:textId="5EE201D6" w:rsidR="00E848AA" w:rsidRDefault="009B782F" w:rsidP="003E37E2">
      <w:pPr>
        <w:ind w:firstLine="720"/>
        <w:rPr>
          <w:lang w:val="cs-CZ"/>
        </w:rPr>
      </w:pPr>
      <w:r>
        <w:rPr>
          <w:lang w:val="cs-CZ"/>
        </w:rPr>
        <w:t>Každý veřejný zadavatel by měl být schopen zadat veřejnou zakázku tak, aby odpovídala přesně jeho potřebám, ovšem tak</w:t>
      </w:r>
      <w:r w:rsidR="00624DB6">
        <w:rPr>
          <w:lang w:val="cs-CZ"/>
        </w:rPr>
        <w:t>,</w:t>
      </w:r>
      <w:r>
        <w:rPr>
          <w:lang w:val="cs-CZ"/>
        </w:rPr>
        <w:t xml:space="preserve"> aby byly i efektivně využity veřejných prostředků, čímž se má na mysli zejména nízká cena. </w:t>
      </w:r>
      <w:r w:rsidR="00115E76">
        <w:rPr>
          <w:lang w:val="cs-CZ"/>
        </w:rPr>
        <w:t>Směrnice 2014/24/EU stanoví, že „</w:t>
      </w:r>
      <w:r w:rsidR="003F21E5" w:rsidRPr="00C23880">
        <w:rPr>
          <w:i/>
          <w:lang w:val="cs-CZ"/>
        </w:rPr>
        <w:t xml:space="preserve">veřejní zadavatelé vycházejí </w:t>
      </w:r>
      <w:r w:rsidR="00F461BA">
        <w:rPr>
          <w:i/>
          <w:lang w:val="cs-CZ"/>
        </w:rPr>
        <w:t>při zadávání veřejných zakázek z</w:t>
      </w:r>
      <w:r w:rsidR="003F21E5" w:rsidRPr="00C23880">
        <w:rPr>
          <w:i/>
          <w:lang w:val="cs-CZ"/>
        </w:rPr>
        <w:t xml:space="preserve"> ekonomicky nejvýhodnější nabídky</w:t>
      </w:r>
      <w:r w:rsidR="00C23880">
        <w:rPr>
          <w:rStyle w:val="FootnoteReference"/>
          <w:i/>
          <w:lang w:val="cs-CZ"/>
        </w:rPr>
        <w:footnoteReference w:id="104"/>
      </w:r>
      <w:r w:rsidR="003F21E5">
        <w:rPr>
          <w:lang w:val="cs-CZ"/>
        </w:rPr>
        <w:t>“</w:t>
      </w:r>
      <w:r w:rsidR="00C23880">
        <w:rPr>
          <w:lang w:val="cs-CZ"/>
        </w:rPr>
        <w:t xml:space="preserve">. </w:t>
      </w:r>
      <w:r w:rsidR="00115E76">
        <w:rPr>
          <w:lang w:val="cs-CZ"/>
        </w:rPr>
        <w:t>Ekonomicky nejvýhodnější nabídku je třeba chápa</w:t>
      </w:r>
      <w:r w:rsidR="00BA1769">
        <w:rPr>
          <w:lang w:val="cs-CZ"/>
        </w:rPr>
        <w:t>t jako prvořadý koncept. Podle S</w:t>
      </w:r>
      <w:r w:rsidR="00115E76">
        <w:rPr>
          <w:lang w:val="cs-CZ"/>
        </w:rPr>
        <w:t>měrnice 2014/24/EU je ekonomicky nejvýhodnější nabídka „</w:t>
      </w:r>
      <w:r w:rsidR="00C23880" w:rsidRPr="00C23880">
        <w:rPr>
          <w:i/>
          <w:lang w:val="cs-CZ"/>
        </w:rPr>
        <w:t xml:space="preserve">identifikována na základě ceny nebo nákladů prostřednictvím nákladové efektivnosti, například podle nákladů životního cyklu, kam </w:t>
      </w:r>
      <w:r w:rsidR="00115E76" w:rsidRPr="00C23880">
        <w:rPr>
          <w:i/>
          <w:lang w:val="cs-CZ"/>
        </w:rPr>
        <w:t>může zahrnovat nejlepší poměr</w:t>
      </w:r>
      <w:r w:rsidR="00C23880" w:rsidRPr="00C23880">
        <w:rPr>
          <w:i/>
          <w:lang w:val="cs-CZ"/>
        </w:rPr>
        <w:t xml:space="preserve"> cenou a kvalitou</w:t>
      </w:r>
      <w:r w:rsidR="00115E76" w:rsidRPr="00C23880">
        <w:rPr>
          <w:i/>
          <w:lang w:val="cs-CZ"/>
        </w:rPr>
        <w:t>, který musí být posuzov</w:t>
      </w:r>
      <w:r w:rsidR="00C23880" w:rsidRPr="00C23880">
        <w:rPr>
          <w:i/>
          <w:lang w:val="cs-CZ"/>
        </w:rPr>
        <w:t>áno na základě kritérií, jež zahrnují kvalitativní, environmentální a sociální hlediska</w:t>
      </w:r>
      <w:r w:rsidR="00115E76" w:rsidRPr="00C23880">
        <w:rPr>
          <w:i/>
          <w:lang w:val="cs-CZ"/>
        </w:rPr>
        <w:t xml:space="preserve">, </w:t>
      </w:r>
      <w:r w:rsidR="00C23880" w:rsidRPr="00C23880">
        <w:rPr>
          <w:i/>
          <w:lang w:val="cs-CZ"/>
        </w:rPr>
        <w:t>spojená</w:t>
      </w:r>
      <w:r w:rsidR="00115E76" w:rsidRPr="00C23880">
        <w:rPr>
          <w:i/>
          <w:lang w:val="cs-CZ"/>
        </w:rPr>
        <w:t xml:space="preserve"> s</w:t>
      </w:r>
      <w:r w:rsidR="00C23880" w:rsidRPr="00C23880">
        <w:rPr>
          <w:i/>
          <w:lang w:val="cs-CZ"/>
        </w:rPr>
        <w:t> </w:t>
      </w:r>
      <w:r w:rsidR="00115E76" w:rsidRPr="00C23880">
        <w:rPr>
          <w:i/>
          <w:lang w:val="cs-CZ"/>
        </w:rPr>
        <w:t>předmětem</w:t>
      </w:r>
      <w:r w:rsidR="00C23880" w:rsidRPr="00C23880">
        <w:rPr>
          <w:i/>
          <w:lang w:val="cs-CZ"/>
        </w:rPr>
        <w:t xml:space="preserve"> dané</w:t>
      </w:r>
      <w:r w:rsidR="00115E76" w:rsidRPr="00C23880">
        <w:rPr>
          <w:i/>
          <w:lang w:val="cs-CZ"/>
        </w:rPr>
        <w:t xml:space="preserve"> veřejné zakázky</w:t>
      </w:r>
      <w:r w:rsidR="00C23880">
        <w:rPr>
          <w:rStyle w:val="FootnoteReference"/>
          <w:i/>
          <w:lang w:val="cs-CZ"/>
        </w:rPr>
        <w:footnoteReference w:id="105"/>
      </w:r>
      <w:r w:rsidR="00C23880">
        <w:rPr>
          <w:lang w:val="cs-CZ"/>
        </w:rPr>
        <w:t>“</w:t>
      </w:r>
      <w:r w:rsidR="00115E76">
        <w:rPr>
          <w:lang w:val="cs-CZ"/>
        </w:rPr>
        <w:t xml:space="preserve">. </w:t>
      </w:r>
      <w:r w:rsidR="00E848AA">
        <w:rPr>
          <w:lang w:val="cs-CZ"/>
        </w:rPr>
        <w:t xml:space="preserve">ze znění </w:t>
      </w:r>
      <w:r w:rsidR="00115E76">
        <w:rPr>
          <w:lang w:val="cs-CZ"/>
        </w:rPr>
        <w:t xml:space="preserve">Směrnice 2014/24/EU </w:t>
      </w:r>
      <w:r w:rsidR="00E848AA">
        <w:rPr>
          <w:lang w:val="cs-CZ"/>
        </w:rPr>
        <w:t>je patrno, že poskytuje</w:t>
      </w:r>
      <w:r w:rsidR="00115E76">
        <w:rPr>
          <w:lang w:val="cs-CZ"/>
        </w:rPr>
        <w:t xml:space="preserve"> </w:t>
      </w:r>
      <w:r w:rsidR="003E37E2">
        <w:rPr>
          <w:lang w:val="cs-CZ"/>
        </w:rPr>
        <w:t>tři</w:t>
      </w:r>
      <w:r w:rsidR="00E848AA">
        <w:rPr>
          <w:lang w:val="cs-CZ"/>
        </w:rPr>
        <w:t xml:space="preserve"> možnosti pro stanovení</w:t>
      </w:r>
      <w:r w:rsidR="00115E76">
        <w:rPr>
          <w:lang w:val="cs-CZ"/>
        </w:rPr>
        <w:t xml:space="preserve"> kritérií, která mají sloužit jako základ p</w:t>
      </w:r>
      <w:r w:rsidR="003E37E2">
        <w:rPr>
          <w:lang w:val="cs-CZ"/>
        </w:rPr>
        <w:t xml:space="preserve">ro zadávání veřejných zakázek. </w:t>
      </w:r>
      <w:r w:rsidR="00624DB6">
        <w:rPr>
          <w:lang w:val="cs-CZ"/>
        </w:rPr>
        <w:t>Prvním kritériem při</w:t>
      </w:r>
      <w:r w:rsidR="00E848AA">
        <w:rPr>
          <w:lang w:val="cs-CZ"/>
        </w:rPr>
        <w:t xml:space="preserve"> rozhodování o veřejné zakázce je založeno pouze na ceně veřejné zakázky</w:t>
      </w:r>
      <w:r w:rsidR="00624DB6">
        <w:rPr>
          <w:lang w:val="cs-CZ"/>
        </w:rPr>
        <w:t>. D</w:t>
      </w:r>
      <w:r w:rsidR="00E848AA">
        <w:rPr>
          <w:lang w:val="cs-CZ"/>
        </w:rPr>
        <w:t>ruhou možností je zohlednění poměru ceny a kvality, poslední možností je zohlednění nákladové efektivity, tzv. zejména nákladu životního cyklu</w:t>
      </w:r>
      <w:r w:rsidR="00E848AA">
        <w:rPr>
          <w:rStyle w:val="FootnoteReference"/>
          <w:lang w:val="cs-CZ"/>
        </w:rPr>
        <w:footnoteReference w:id="106"/>
      </w:r>
      <w:r w:rsidR="00E848AA">
        <w:rPr>
          <w:lang w:val="cs-CZ"/>
        </w:rPr>
        <w:t>.</w:t>
      </w:r>
      <w:r w:rsidR="00E848AA">
        <w:rPr>
          <w:rStyle w:val="FootnoteReference"/>
          <w:lang w:val="cs-CZ"/>
        </w:rPr>
        <w:footnoteReference w:id="107"/>
      </w:r>
      <w:r w:rsidR="00E848AA">
        <w:rPr>
          <w:lang w:val="cs-CZ"/>
        </w:rPr>
        <w:t xml:space="preserve"> </w:t>
      </w:r>
    </w:p>
    <w:p w14:paraId="3325146D" w14:textId="1F6D4A62" w:rsidR="003E37E2" w:rsidRDefault="003E37E2" w:rsidP="003E37E2">
      <w:pPr>
        <w:ind w:firstLine="720"/>
        <w:rPr>
          <w:lang w:val="cs-CZ"/>
        </w:rPr>
      </w:pPr>
      <w:r>
        <w:rPr>
          <w:lang w:val="cs-CZ"/>
        </w:rPr>
        <w:t>Zadavatel v rámci první fáze musí vybrat způsob zadávání veřejné zakázky. Jednotlivé druhy zadávacího řízení jsou vymezeny výše, v kapitole 2. Jelikož je práce zaměřena na otevřené řízení, dále se budu věnovat jen a pouze procesu zadávání skrze výběr druhu zadávacího řízení pr</w:t>
      </w:r>
      <w:r w:rsidR="00597FD8">
        <w:rPr>
          <w:lang w:val="cs-CZ"/>
        </w:rPr>
        <w:t>ávě otevřeným způsobem řízení. J</w:t>
      </w:r>
      <w:r>
        <w:rPr>
          <w:lang w:val="cs-CZ"/>
        </w:rPr>
        <w:t>e dobré</w:t>
      </w:r>
      <w:r w:rsidR="00C6076F">
        <w:rPr>
          <w:lang w:val="cs-CZ"/>
        </w:rPr>
        <w:t>,</w:t>
      </w:r>
      <w:r>
        <w:rPr>
          <w:lang w:val="cs-CZ"/>
        </w:rPr>
        <w:t xml:space="preserve"> </w:t>
      </w:r>
      <w:r>
        <w:rPr>
          <w:lang w:val="cs-CZ"/>
        </w:rPr>
        <w:lastRenderedPageBreak/>
        <w:t xml:space="preserve">pokud veřejný zadavatel vypracuje komplexní plán pro celý postup zadávání veřejné zakázky, aby bylo možné zorganizovat budoucí provádění. </w:t>
      </w:r>
    </w:p>
    <w:p w14:paraId="303AA446" w14:textId="1497B84E" w:rsidR="00634563" w:rsidRDefault="00E9777E" w:rsidP="00634563">
      <w:pPr>
        <w:pStyle w:val="ListParagraph"/>
        <w:numPr>
          <w:ilvl w:val="2"/>
          <w:numId w:val="19"/>
        </w:numPr>
        <w:ind w:left="1276"/>
        <w:rPr>
          <w:b/>
          <w:lang w:val="cs-CZ"/>
        </w:rPr>
      </w:pPr>
      <w:r w:rsidRPr="00E9777E">
        <w:rPr>
          <w:b/>
          <w:lang w:val="cs-CZ"/>
        </w:rPr>
        <w:t xml:space="preserve">Komparace se zákonem o zadávání veřejných zakázek a </w:t>
      </w:r>
      <w:r w:rsidR="0078066C">
        <w:rPr>
          <w:b/>
          <w:lang w:val="cs-CZ"/>
        </w:rPr>
        <w:t>nejčastější chyby v</w:t>
      </w:r>
      <w:r w:rsidR="00634563">
        <w:rPr>
          <w:b/>
          <w:lang w:val="cs-CZ"/>
        </w:rPr>
        <w:t> </w:t>
      </w:r>
      <w:r w:rsidR="0078066C">
        <w:rPr>
          <w:b/>
          <w:lang w:val="cs-CZ"/>
        </w:rPr>
        <w:t>praxi</w:t>
      </w:r>
    </w:p>
    <w:p w14:paraId="06BF4698" w14:textId="0D0A1A15" w:rsidR="00ED5F73" w:rsidRPr="00634563" w:rsidRDefault="00634563" w:rsidP="004B3064">
      <w:pPr>
        <w:ind w:firstLine="720"/>
        <w:rPr>
          <w:lang w:val="cs-CZ"/>
        </w:rPr>
      </w:pPr>
      <w:r w:rsidRPr="00634563">
        <w:rPr>
          <w:lang w:val="cs-CZ"/>
        </w:rPr>
        <w:t>Jedná se o fázi řízení, která n</w:t>
      </w:r>
      <w:r w:rsidR="00372DC3">
        <w:rPr>
          <w:lang w:val="cs-CZ"/>
        </w:rPr>
        <w:t xml:space="preserve">ení přímo </w:t>
      </w:r>
      <w:r w:rsidRPr="00634563">
        <w:rPr>
          <w:lang w:val="cs-CZ"/>
        </w:rPr>
        <w:t>Směrnicí 2014/24/EU či zákonem o zadávání veřejných zakázek vymezena, jak samotný název napovídá, jedná se o jakousi vůli a chtění zadavatele zadat veřejnou zakázku a s </w:t>
      </w:r>
      <w:r w:rsidR="00372DC3">
        <w:rPr>
          <w:lang w:val="cs-CZ"/>
        </w:rPr>
        <w:t>tím spojený úspěch při zadávacím</w:t>
      </w:r>
      <w:r w:rsidRPr="00634563">
        <w:rPr>
          <w:lang w:val="cs-CZ"/>
        </w:rPr>
        <w:t xml:space="preserve"> řízení. </w:t>
      </w:r>
      <w:r>
        <w:rPr>
          <w:lang w:val="cs-CZ"/>
        </w:rPr>
        <w:t>V případě, že chce být zadavatel úspěšný, měl by si</w:t>
      </w:r>
      <w:r w:rsidR="004B3064">
        <w:rPr>
          <w:lang w:val="cs-CZ"/>
        </w:rPr>
        <w:t xml:space="preserve"> dát záležet na </w:t>
      </w:r>
      <w:r w:rsidR="00BC25BE">
        <w:rPr>
          <w:lang w:val="cs-CZ"/>
        </w:rPr>
        <w:t>právě na této fázi zadávání.</w:t>
      </w:r>
      <w:r w:rsidR="004B3064">
        <w:rPr>
          <w:lang w:val="cs-CZ"/>
        </w:rPr>
        <w:t xml:space="preserve"> N</w:t>
      </w:r>
      <w:r>
        <w:rPr>
          <w:lang w:val="cs-CZ"/>
        </w:rPr>
        <w:t>ezáleží, zda bude zadávat veřejnou zakázku dle Směrnice 2014/24/EU či dle zákon</w:t>
      </w:r>
      <w:r w:rsidR="00A70CBC">
        <w:rPr>
          <w:lang w:val="cs-CZ"/>
        </w:rPr>
        <w:t xml:space="preserve">a o zadávání veřejných zakázek, jelikož ZZVZ vychází ze znění Směrnice 2014/24/EU co se týče druhů zadávacích řízení, hodnot výše veřejné zakázky i ustanovení o ekonomické výhodnosti. </w:t>
      </w:r>
      <w:r w:rsidR="00ED5F73">
        <w:rPr>
          <w:lang w:val="cs-CZ"/>
        </w:rPr>
        <w:t>Hodnotící kritéria jsou vymezena jak ve Směrnici 2014/24/EU</w:t>
      </w:r>
      <w:r w:rsidR="00C6076F">
        <w:rPr>
          <w:lang w:val="cs-CZ"/>
        </w:rPr>
        <w:t>,</w:t>
      </w:r>
      <w:r w:rsidR="00ED5F73">
        <w:rPr>
          <w:lang w:val="cs-CZ"/>
        </w:rPr>
        <w:t xml:space="preserve"> tak</w:t>
      </w:r>
      <w:r w:rsidR="00C6076F">
        <w:rPr>
          <w:lang w:val="cs-CZ"/>
        </w:rPr>
        <w:t xml:space="preserve"> i</w:t>
      </w:r>
      <w:r w:rsidR="00ED5F73">
        <w:rPr>
          <w:lang w:val="cs-CZ"/>
        </w:rPr>
        <w:t xml:space="preserve"> v zákoně a o zadávání veřejných zakázek</w:t>
      </w:r>
      <w:r w:rsidR="00C6076F">
        <w:rPr>
          <w:lang w:val="cs-CZ"/>
        </w:rPr>
        <w:t>,</w:t>
      </w:r>
      <w:r w:rsidR="00ED5F73">
        <w:rPr>
          <w:lang w:val="cs-CZ"/>
        </w:rPr>
        <w:t xml:space="preserve"> a právě zákon kopíruje znění Směrnice 2014/24/EU. </w:t>
      </w:r>
    </w:p>
    <w:p w14:paraId="21CF18D0" w14:textId="0963DE17" w:rsidR="00651CC8" w:rsidRDefault="00DC6860" w:rsidP="00AB30E7">
      <w:pPr>
        <w:ind w:firstLine="720"/>
        <w:rPr>
          <w:lang w:val="cs-CZ"/>
        </w:rPr>
      </w:pPr>
      <w:r>
        <w:rPr>
          <w:lang w:val="cs-CZ"/>
        </w:rPr>
        <w:t>V případě, že zadavatel tzv. přeskočí fázi přípravy a plánování, může se stát, že celé zadávací řízení nebude úspěšné, což je častým a velkým problémem, co se týká pra</w:t>
      </w:r>
      <w:r w:rsidR="00072E00">
        <w:rPr>
          <w:lang w:val="cs-CZ"/>
        </w:rPr>
        <w:t xml:space="preserve">xe zadávání veřejných zakázek. </w:t>
      </w:r>
      <w:r w:rsidR="00B71F31">
        <w:rPr>
          <w:lang w:val="cs-CZ"/>
        </w:rPr>
        <w:t xml:space="preserve">S tím souvisí i často v praxi projevující se vada, a to že zadavatel veřejnou zakázku zadá přímo uchazeči, bez toho, aby bylo provedeno transparentní </w:t>
      </w:r>
      <w:r w:rsidR="004B3064">
        <w:rPr>
          <w:lang w:val="cs-CZ"/>
        </w:rPr>
        <w:t>řízení s prvky soutěžního řízení. P</w:t>
      </w:r>
      <w:r w:rsidR="00651CC8">
        <w:rPr>
          <w:lang w:val="cs-CZ"/>
        </w:rPr>
        <w:t>řesněji řešeno se jedná o situaci zadávání veřejné zakázky bez uplatnění pravidel pro zadávání</w:t>
      </w:r>
      <w:r w:rsidR="00B71F31">
        <w:rPr>
          <w:lang w:val="cs-CZ"/>
        </w:rPr>
        <w:t>.</w:t>
      </w:r>
      <w:r w:rsidR="00651CC8">
        <w:rPr>
          <w:lang w:val="cs-CZ"/>
        </w:rPr>
        <w:t xml:space="preserve"> Druhou nejčastější chybou, kterou zadavatele činní v rámci zadávání veřejných zakázek je zvolení nesprávné volby zadávacího řízení.</w:t>
      </w:r>
      <w:r w:rsidR="00B71F31">
        <w:rPr>
          <w:rStyle w:val="FootnoteReference"/>
          <w:lang w:val="cs-CZ"/>
        </w:rPr>
        <w:footnoteReference w:id="108"/>
      </w:r>
      <w:r w:rsidR="00B71F31">
        <w:rPr>
          <w:lang w:val="cs-CZ"/>
        </w:rPr>
        <w:t xml:space="preserve"> </w:t>
      </w:r>
      <w:r w:rsidR="00072E00">
        <w:rPr>
          <w:lang w:val="cs-CZ"/>
        </w:rPr>
        <w:t>P</w:t>
      </w:r>
      <w:r>
        <w:rPr>
          <w:lang w:val="cs-CZ"/>
        </w:rPr>
        <w:t xml:space="preserve">roto je dobré, fázi přípravy a plánování nepodceňovat a věnovat ji </w:t>
      </w:r>
      <w:r w:rsidR="006C0094">
        <w:rPr>
          <w:lang w:val="cs-CZ"/>
        </w:rPr>
        <w:t xml:space="preserve">potřebný </w:t>
      </w:r>
      <w:r>
        <w:rPr>
          <w:lang w:val="cs-CZ"/>
        </w:rPr>
        <w:t xml:space="preserve">čas. </w:t>
      </w:r>
    </w:p>
    <w:p w14:paraId="6ECC8E82" w14:textId="77777777" w:rsidR="00E50F66" w:rsidRDefault="00146B91" w:rsidP="00E50F66">
      <w:pPr>
        <w:pStyle w:val="ListParagraph"/>
        <w:numPr>
          <w:ilvl w:val="1"/>
          <w:numId w:val="21"/>
        </w:numPr>
        <w:ind w:left="993" w:hanging="567"/>
        <w:jc w:val="left"/>
        <w:rPr>
          <w:rFonts w:cs="Arial"/>
          <w:b/>
          <w:sz w:val="28"/>
          <w:szCs w:val="28"/>
          <w:lang w:val="cs-CZ"/>
        </w:rPr>
      </w:pPr>
      <w:r>
        <w:rPr>
          <w:rFonts w:cs="Arial"/>
          <w:b/>
          <w:sz w:val="28"/>
          <w:szCs w:val="28"/>
          <w:lang w:val="cs-CZ"/>
        </w:rPr>
        <w:t xml:space="preserve">Zveřejnění </w:t>
      </w:r>
    </w:p>
    <w:p w14:paraId="4024C951" w14:textId="6D2B9CEF" w:rsidR="00083D1A" w:rsidRDefault="006D0AB9" w:rsidP="0092402F">
      <w:pPr>
        <w:ind w:firstLine="556"/>
        <w:rPr>
          <w:lang w:val="cs-CZ"/>
        </w:rPr>
      </w:pPr>
      <w:r>
        <w:rPr>
          <w:lang w:val="cs-CZ"/>
        </w:rPr>
        <w:t>Fáze</w:t>
      </w:r>
      <w:r w:rsidR="004B3064">
        <w:rPr>
          <w:lang w:val="cs-CZ"/>
        </w:rPr>
        <w:t xml:space="preserve"> zveřejnění má za cíl </w:t>
      </w:r>
      <w:r w:rsidR="003A3028">
        <w:rPr>
          <w:lang w:val="cs-CZ"/>
        </w:rPr>
        <w:t>„přilákat“</w:t>
      </w:r>
      <w:r>
        <w:rPr>
          <w:lang w:val="cs-CZ"/>
        </w:rPr>
        <w:t xml:space="preserve"> nabídky, </w:t>
      </w:r>
      <w:r w:rsidR="00083D1A">
        <w:rPr>
          <w:lang w:val="cs-CZ"/>
        </w:rPr>
        <w:t xml:space="preserve">tak aby co nejlépe </w:t>
      </w:r>
      <w:r w:rsidR="003A3028">
        <w:rPr>
          <w:lang w:val="cs-CZ"/>
        </w:rPr>
        <w:t>zajistily plnění zadávané veřejné zakázky</w:t>
      </w:r>
      <w:r w:rsidR="00083D1A">
        <w:rPr>
          <w:lang w:val="cs-CZ"/>
        </w:rPr>
        <w:t xml:space="preserve">. </w:t>
      </w:r>
      <w:r w:rsidR="003A3028">
        <w:rPr>
          <w:lang w:val="cs-CZ"/>
        </w:rPr>
        <w:t>Zveřejnění zakázky spočívá ve u</w:t>
      </w:r>
      <w:r w:rsidR="00A3379C">
        <w:rPr>
          <w:lang w:val="cs-CZ"/>
        </w:rPr>
        <w:t xml:space="preserve">veřejnění zadávací dokumentace, </w:t>
      </w:r>
      <w:r w:rsidR="004B3064">
        <w:rPr>
          <w:lang w:val="cs-CZ"/>
        </w:rPr>
        <w:t xml:space="preserve">tak </w:t>
      </w:r>
      <w:r w:rsidR="00A3379C">
        <w:rPr>
          <w:lang w:val="cs-CZ"/>
        </w:rPr>
        <w:t>aby všechny zúčastněné hospodářské subjekty měly možnost se účastnit předl</w:t>
      </w:r>
      <w:r w:rsidR="00597FD8">
        <w:rPr>
          <w:lang w:val="cs-CZ"/>
        </w:rPr>
        <w:t xml:space="preserve">ožením </w:t>
      </w:r>
      <w:r w:rsidR="004B3064">
        <w:rPr>
          <w:lang w:val="cs-CZ"/>
        </w:rPr>
        <w:t xml:space="preserve">jejich </w:t>
      </w:r>
      <w:r w:rsidR="00597FD8">
        <w:rPr>
          <w:lang w:val="cs-CZ"/>
        </w:rPr>
        <w:t>návrhu veřejné zakázky. Z</w:t>
      </w:r>
      <w:r w:rsidR="00A3379C">
        <w:rPr>
          <w:lang w:val="cs-CZ"/>
        </w:rPr>
        <w:t xml:space="preserve">veřejnění je jedním z nejdůležitějších prvků zadávání veřejných zakázek k zajištění transparentnosti, </w:t>
      </w:r>
      <w:r w:rsidR="00A3379C">
        <w:rPr>
          <w:lang w:val="cs-CZ"/>
        </w:rPr>
        <w:lastRenderedPageBreak/>
        <w:t>rovného zacházení a hospodářské soutěže mezi hospodářskými subjekty v rámci jednotného trhu.</w:t>
      </w:r>
      <w:r>
        <w:rPr>
          <w:rStyle w:val="FootnoteReference"/>
          <w:lang w:val="cs-CZ"/>
        </w:rPr>
        <w:footnoteReference w:id="109"/>
      </w:r>
      <w:r w:rsidR="00A3379C">
        <w:rPr>
          <w:lang w:val="cs-CZ"/>
        </w:rPr>
        <w:t xml:space="preserve"> </w:t>
      </w:r>
    </w:p>
    <w:p w14:paraId="40B93A9C" w14:textId="18F7D603" w:rsidR="00E50F66" w:rsidRDefault="00E50F66" w:rsidP="00E50F66">
      <w:pPr>
        <w:pStyle w:val="ListParagraph"/>
        <w:numPr>
          <w:ilvl w:val="2"/>
          <w:numId w:val="21"/>
        </w:numPr>
        <w:ind w:left="1276"/>
        <w:jc w:val="left"/>
        <w:rPr>
          <w:rFonts w:cs="Arial"/>
          <w:b/>
          <w:lang w:val="cs-CZ"/>
        </w:rPr>
      </w:pPr>
      <w:r w:rsidRPr="00E50F66">
        <w:rPr>
          <w:rFonts w:cs="Arial"/>
          <w:b/>
          <w:lang w:val="cs-CZ"/>
        </w:rPr>
        <w:t>Zveřejnění dle Směrn</w:t>
      </w:r>
      <w:r w:rsidR="00C4190C">
        <w:rPr>
          <w:rFonts w:cs="Arial"/>
          <w:b/>
          <w:lang w:val="cs-CZ"/>
        </w:rPr>
        <w:t>i</w:t>
      </w:r>
      <w:r w:rsidRPr="00E50F66">
        <w:rPr>
          <w:rFonts w:cs="Arial"/>
          <w:b/>
          <w:lang w:val="cs-CZ"/>
        </w:rPr>
        <w:t>ce 2014/24/EU</w:t>
      </w:r>
    </w:p>
    <w:p w14:paraId="2A890C04" w14:textId="105C0D20" w:rsidR="00083D1A" w:rsidRDefault="00083D1A" w:rsidP="00083D1A">
      <w:pPr>
        <w:ind w:firstLine="556"/>
        <w:rPr>
          <w:lang w:val="cs-CZ"/>
        </w:rPr>
      </w:pPr>
      <w:r w:rsidRPr="00083D1A">
        <w:rPr>
          <w:lang w:val="cs-CZ"/>
        </w:rPr>
        <w:t>Zveřejnění veřejné zakázky v rámci otevřeného způsobu řízení, začíná tím, že zadavatel zveřejní smluvní příležitost a poté všem hospodářským subjektům, k</w:t>
      </w:r>
      <w:r w:rsidR="004B3064">
        <w:rPr>
          <w:lang w:val="cs-CZ"/>
        </w:rPr>
        <w:t>teré o účast požádají vydá úplnou zadávací dokumentaci</w:t>
      </w:r>
      <w:r w:rsidRPr="00083D1A">
        <w:rPr>
          <w:lang w:val="cs-CZ"/>
        </w:rPr>
        <w:t xml:space="preserve">, včetně specifikací a smluv. Veškeré zadávací dokumentace musí být </w:t>
      </w:r>
      <w:r w:rsidR="006C0094">
        <w:rPr>
          <w:lang w:val="cs-CZ"/>
        </w:rPr>
        <w:t>známé</w:t>
      </w:r>
      <w:r w:rsidRPr="00083D1A">
        <w:rPr>
          <w:lang w:val="cs-CZ"/>
        </w:rPr>
        <w:t xml:space="preserve"> v den zveřejnění oznámení o zakázce. Všechny zadávací dokumentace musí být úplné, aby hospodářský subjekt již nemusel vyžadovat dokumentaci.</w:t>
      </w:r>
      <w:r>
        <w:rPr>
          <w:rStyle w:val="FootnoteReference"/>
          <w:lang w:val="cs-CZ"/>
        </w:rPr>
        <w:footnoteReference w:id="110"/>
      </w:r>
      <w:r w:rsidRPr="00083D1A">
        <w:rPr>
          <w:lang w:val="cs-CZ"/>
        </w:rPr>
        <w:t xml:space="preserve"> </w:t>
      </w:r>
    </w:p>
    <w:p w14:paraId="5BC8F3A1" w14:textId="28604648" w:rsidR="00A3379C" w:rsidRDefault="004B3064" w:rsidP="00083D1A">
      <w:pPr>
        <w:ind w:firstLine="556"/>
        <w:rPr>
          <w:lang w:val="cs-CZ"/>
        </w:rPr>
      </w:pPr>
      <w:r>
        <w:rPr>
          <w:lang w:val="cs-CZ"/>
        </w:rPr>
        <w:t>Z n</w:t>
      </w:r>
      <w:r w:rsidR="001B0FA5">
        <w:rPr>
          <w:lang w:val="cs-CZ"/>
        </w:rPr>
        <w:t>ávrh</w:t>
      </w:r>
      <w:r>
        <w:rPr>
          <w:lang w:val="cs-CZ"/>
        </w:rPr>
        <w:t>u</w:t>
      </w:r>
      <w:r w:rsidR="001B0FA5">
        <w:rPr>
          <w:lang w:val="cs-CZ"/>
        </w:rPr>
        <w:t xml:space="preserve"> zadáv</w:t>
      </w:r>
      <w:r>
        <w:rPr>
          <w:lang w:val="cs-CZ"/>
        </w:rPr>
        <w:t>ací dokumentace musí být jasně a přesně patrny potřeby zadavatele a předmět zakázky stanovený</w:t>
      </w:r>
      <w:r w:rsidR="001B0FA5">
        <w:rPr>
          <w:lang w:val="cs-CZ"/>
        </w:rPr>
        <w:t xml:space="preserve"> zadavatelem v první fázi řízení.</w:t>
      </w:r>
      <w:r w:rsidR="00DB09BC">
        <w:rPr>
          <w:lang w:val="cs-CZ"/>
        </w:rPr>
        <w:t xml:space="preserve"> Z</w:t>
      </w:r>
      <w:r w:rsidR="001B0FA5">
        <w:rPr>
          <w:lang w:val="cs-CZ"/>
        </w:rPr>
        <w:t xml:space="preserve">adavatel musí stanovit dostatečnou lhůtu k tomu, aby uchazeči mohli náležitě připravit své návrhy k předložení nabídky. Jedná se o lhůtu dle Směrnice 2014/24/EU v délce </w:t>
      </w:r>
      <w:r w:rsidR="00C42017">
        <w:rPr>
          <w:lang w:val="cs-CZ"/>
        </w:rPr>
        <w:t xml:space="preserve">minimálně </w:t>
      </w:r>
      <w:r w:rsidR="00C42017" w:rsidRPr="00C42017">
        <w:rPr>
          <w:lang w:val="cs-CZ"/>
        </w:rPr>
        <w:t>35</w:t>
      </w:r>
      <w:r w:rsidR="001B0FA5" w:rsidRPr="00C42017">
        <w:rPr>
          <w:lang w:val="cs-CZ"/>
        </w:rPr>
        <w:t xml:space="preserve"> dní</w:t>
      </w:r>
      <w:r w:rsidR="00C42017">
        <w:rPr>
          <w:rStyle w:val="FootnoteReference"/>
          <w:lang w:val="cs-CZ"/>
        </w:rPr>
        <w:footnoteReference w:id="111"/>
      </w:r>
      <w:r w:rsidR="001B0FA5" w:rsidRPr="00C42017">
        <w:rPr>
          <w:lang w:val="cs-CZ"/>
        </w:rPr>
        <w:t>.</w:t>
      </w:r>
      <w:r w:rsidR="001B0FA5">
        <w:rPr>
          <w:lang w:val="cs-CZ"/>
        </w:rPr>
        <w:t xml:space="preserve"> </w:t>
      </w:r>
      <w:r w:rsidR="00D34A4E">
        <w:rPr>
          <w:lang w:val="cs-CZ"/>
        </w:rPr>
        <w:t xml:space="preserve">Uvedená lhůta může být zkrácena o pět dní, pokud je oznámení o zakázce zasláno elektronicky a zadavatel nabídne plný elektronický přístup k zadávacím datům nebo může být lhůta zkrácena na lhůtu 15 dní, v případě, že bylo zveřejněno </w:t>
      </w:r>
      <w:r w:rsidR="00A3379C">
        <w:rPr>
          <w:lang w:val="cs-CZ"/>
        </w:rPr>
        <w:t>předběžné oznámení nejdéle před 12 měsíci před zveřejněním oznámení o zakázce</w:t>
      </w:r>
      <w:r w:rsidR="00A3379C">
        <w:rPr>
          <w:rStyle w:val="FootnoteReference"/>
          <w:lang w:val="cs-CZ"/>
        </w:rPr>
        <w:footnoteReference w:id="112"/>
      </w:r>
      <w:r w:rsidR="00A3379C">
        <w:rPr>
          <w:lang w:val="cs-CZ"/>
        </w:rPr>
        <w:t xml:space="preserve">. </w:t>
      </w:r>
    </w:p>
    <w:p w14:paraId="6AF7A25A" w14:textId="74871AFD" w:rsidR="00083D1A" w:rsidRDefault="00B450DC" w:rsidP="00626B77">
      <w:pPr>
        <w:ind w:firstLine="556"/>
        <w:rPr>
          <w:lang w:val="cs-CZ"/>
        </w:rPr>
      </w:pPr>
      <w:r>
        <w:rPr>
          <w:lang w:val="cs-CZ"/>
        </w:rPr>
        <w:t>Nedílnou součástí zveřejněné zadávací dokumentace jsou i zadávací kritéria sloužící pro výběr nejlepší nabídky. Kritéria musí být zveřejněna jasným a transparentním způsobem.</w:t>
      </w:r>
      <w:r w:rsidR="00626B77">
        <w:rPr>
          <w:rStyle w:val="FootnoteReference"/>
          <w:lang w:val="cs-CZ"/>
        </w:rPr>
        <w:footnoteReference w:id="113"/>
      </w:r>
      <w:r>
        <w:rPr>
          <w:lang w:val="cs-CZ"/>
        </w:rPr>
        <w:t xml:space="preserve"> Vhodné je i to, aby v</w:t>
      </w:r>
      <w:r w:rsidR="00DB09BC">
        <w:rPr>
          <w:lang w:val="cs-CZ"/>
        </w:rPr>
        <w:t xml:space="preserve">eřejní zadavatelé </w:t>
      </w:r>
      <w:r>
        <w:rPr>
          <w:lang w:val="cs-CZ"/>
        </w:rPr>
        <w:t>jako součást zadávací dokumentace uveřejnili i budoucí smlouvu, ktero</w:t>
      </w:r>
      <w:r w:rsidR="009D28C9">
        <w:rPr>
          <w:lang w:val="cs-CZ"/>
        </w:rPr>
        <w:t>u hodlají</w:t>
      </w:r>
      <w:r>
        <w:rPr>
          <w:lang w:val="cs-CZ"/>
        </w:rPr>
        <w:t xml:space="preserve"> podepsat s úspěšným uchazečem, a to z důvodu, aby od začátku zadávacího řízení bylo p</w:t>
      </w:r>
      <w:r w:rsidR="004B3064">
        <w:rPr>
          <w:lang w:val="cs-CZ"/>
        </w:rPr>
        <w:t>ovědomí o určeném právním rámci.</w:t>
      </w:r>
      <w:r w:rsidR="00626B77">
        <w:rPr>
          <w:rStyle w:val="FootnoteReference"/>
          <w:lang w:val="cs-CZ"/>
        </w:rPr>
        <w:footnoteReference w:id="114"/>
      </w:r>
      <w:r w:rsidR="00626B77">
        <w:rPr>
          <w:lang w:val="cs-CZ"/>
        </w:rPr>
        <w:t>N</w:t>
      </w:r>
      <w:r w:rsidR="00C42017">
        <w:rPr>
          <w:lang w:val="cs-CZ"/>
        </w:rPr>
        <w:t xml:space="preserve">ejdůležitějším dokumentem </w:t>
      </w:r>
      <w:r w:rsidR="00626B77">
        <w:rPr>
          <w:lang w:val="cs-CZ"/>
        </w:rPr>
        <w:t>v rámci zveřejnění jsou dokumenty týkající se technických specifikací. Z</w:t>
      </w:r>
      <w:r w:rsidR="00C42017">
        <w:rPr>
          <w:lang w:val="cs-CZ"/>
        </w:rPr>
        <w:t xml:space="preserve">adavatel </w:t>
      </w:r>
      <w:r w:rsidR="00626B77">
        <w:rPr>
          <w:lang w:val="cs-CZ"/>
        </w:rPr>
        <w:t xml:space="preserve">je nucen </w:t>
      </w:r>
      <w:r w:rsidR="00626B77">
        <w:rPr>
          <w:lang w:val="cs-CZ"/>
        </w:rPr>
        <w:lastRenderedPageBreak/>
        <w:t>zde popsat veškeré</w:t>
      </w:r>
      <w:r w:rsidR="004B3064">
        <w:rPr>
          <w:lang w:val="cs-CZ"/>
        </w:rPr>
        <w:t xml:space="preserve"> své potřeby, a tím umožnit</w:t>
      </w:r>
      <w:r w:rsidR="00C42017">
        <w:rPr>
          <w:lang w:val="cs-CZ"/>
        </w:rPr>
        <w:t xml:space="preserve"> hospodářskému subjektu navrhnout co nejlepší řešení </w:t>
      </w:r>
      <w:r w:rsidR="004B3064">
        <w:rPr>
          <w:lang w:val="cs-CZ"/>
        </w:rPr>
        <w:t>k uspokojení</w:t>
      </w:r>
      <w:r w:rsidR="00C42017">
        <w:rPr>
          <w:lang w:val="cs-CZ"/>
        </w:rPr>
        <w:t xml:space="preserve"> potřeb</w:t>
      </w:r>
      <w:r w:rsidR="004B3064">
        <w:rPr>
          <w:lang w:val="cs-CZ"/>
        </w:rPr>
        <w:t xml:space="preserve"> zadavatele</w:t>
      </w:r>
      <w:r w:rsidR="00C42017">
        <w:rPr>
          <w:lang w:val="cs-CZ"/>
        </w:rPr>
        <w:t>.</w:t>
      </w:r>
      <w:r w:rsidR="00626B77">
        <w:rPr>
          <w:rStyle w:val="FootnoteReference"/>
          <w:lang w:val="cs-CZ"/>
        </w:rPr>
        <w:footnoteReference w:id="115"/>
      </w:r>
      <w:r w:rsidR="00C42017">
        <w:rPr>
          <w:lang w:val="cs-CZ"/>
        </w:rPr>
        <w:t xml:space="preserve"> </w:t>
      </w:r>
    </w:p>
    <w:p w14:paraId="64AD10E9" w14:textId="72CCEBA8" w:rsidR="00F24A5B" w:rsidRPr="00083D1A" w:rsidRDefault="005848E4" w:rsidP="00626B77">
      <w:pPr>
        <w:ind w:firstLine="556"/>
        <w:rPr>
          <w:lang w:val="cs-CZ"/>
        </w:rPr>
      </w:pPr>
      <w:r>
        <w:rPr>
          <w:lang w:val="cs-CZ"/>
        </w:rPr>
        <w:t xml:space="preserve">Veřejní zadavatelé </w:t>
      </w:r>
      <w:r w:rsidR="006C0094">
        <w:rPr>
          <w:lang w:val="cs-CZ"/>
        </w:rPr>
        <w:t xml:space="preserve">mají povinnost veřejné zakázky uveřejnit </w:t>
      </w:r>
      <w:r>
        <w:rPr>
          <w:lang w:val="cs-CZ"/>
        </w:rPr>
        <w:t xml:space="preserve">v Úředním věstníku Evropské unie, či dále v mezinárodních, národních nebo místních publikacích. </w:t>
      </w:r>
      <w:r w:rsidR="001B0FA5">
        <w:rPr>
          <w:lang w:val="cs-CZ"/>
        </w:rPr>
        <w:t xml:space="preserve">Od </w:t>
      </w:r>
      <w:r w:rsidR="00774312">
        <w:rPr>
          <w:lang w:val="cs-CZ"/>
        </w:rPr>
        <w:t>18. 4. 2018 musí veřejní zadavatelé zadávat veřejnou zakázku jen a pouze v elektronickými prostředky.</w:t>
      </w:r>
      <w:r w:rsidR="004B3064">
        <w:rPr>
          <w:lang w:val="cs-CZ"/>
        </w:rPr>
        <w:t xml:space="preserve"> </w:t>
      </w:r>
      <w:r w:rsidR="004B3064" w:rsidRPr="00083D1A">
        <w:rPr>
          <w:lang w:val="cs-CZ"/>
        </w:rPr>
        <w:t xml:space="preserve">Zadavatel má zdarma k dispozici </w:t>
      </w:r>
      <w:r w:rsidR="004B3064">
        <w:rPr>
          <w:lang w:val="cs-CZ"/>
        </w:rPr>
        <w:t>tyto elektronické prostředky.</w:t>
      </w:r>
      <w:r w:rsidR="00351415">
        <w:rPr>
          <w:rStyle w:val="FootnoteReference"/>
          <w:lang w:val="cs-CZ"/>
        </w:rPr>
        <w:footnoteReference w:id="116"/>
      </w:r>
      <w:r w:rsidR="00774312">
        <w:rPr>
          <w:lang w:val="cs-CZ"/>
        </w:rPr>
        <w:t xml:space="preserve"> </w:t>
      </w:r>
      <w:r w:rsidR="00351415">
        <w:rPr>
          <w:lang w:val="cs-CZ"/>
        </w:rPr>
        <w:t>Zadavatelé se musí řídit pravidly komunikace vymezené článkem 22 Směrnice 2014/24/EU.</w:t>
      </w:r>
      <w:r w:rsidR="00351415">
        <w:rPr>
          <w:rStyle w:val="FootnoteReference"/>
          <w:lang w:val="cs-CZ"/>
        </w:rPr>
        <w:footnoteReference w:id="117"/>
      </w:r>
      <w:r w:rsidR="00351415">
        <w:rPr>
          <w:lang w:val="cs-CZ"/>
        </w:rPr>
        <w:t xml:space="preserve"> </w:t>
      </w:r>
    </w:p>
    <w:p w14:paraId="6F437C61" w14:textId="58931103" w:rsidR="00F24A5B" w:rsidRDefault="00083D1A" w:rsidP="00F24A5B">
      <w:pPr>
        <w:pStyle w:val="ListParagraph"/>
        <w:numPr>
          <w:ilvl w:val="2"/>
          <w:numId w:val="21"/>
        </w:numPr>
        <w:ind w:left="1276"/>
        <w:jc w:val="left"/>
        <w:rPr>
          <w:rFonts w:cs="Arial"/>
          <w:b/>
          <w:lang w:val="cs-CZ"/>
        </w:rPr>
      </w:pPr>
      <w:r>
        <w:rPr>
          <w:rFonts w:cs="Arial"/>
          <w:b/>
          <w:lang w:val="cs-CZ"/>
        </w:rPr>
        <w:t xml:space="preserve">Komparace se zákonem o zadávání veřejných zakázek a </w:t>
      </w:r>
      <w:r w:rsidR="0078066C">
        <w:rPr>
          <w:rFonts w:cs="Arial"/>
          <w:b/>
          <w:lang w:val="cs-CZ"/>
        </w:rPr>
        <w:t>nejčastější chyby praxe</w:t>
      </w:r>
      <w:r>
        <w:rPr>
          <w:rFonts w:cs="Arial"/>
          <w:b/>
          <w:lang w:val="cs-CZ"/>
        </w:rPr>
        <w:t xml:space="preserve"> </w:t>
      </w:r>
    </w:p>
    <w:p w14:paraId="071D6B9D" w14:textId="38A46F95" w:rsidR="00602D34" w:rsidRDefault="00602D34" w:rsidP="00602D34">
      <w:pPr>
        <w:ind w:firstLine="720"/>
        <w:rPr>
          <w:lang w:val="cs-CZ"/>
        </w:rPr>
      </w:pPr>
      <w:r w:rsidRPr="00602D34">
        <w:rPr>
          <w:lang w:val="cs-CZ"/>
        </w:rPr>
        <w:t>Veřejný zadavatel je povinen zveřejnit na svém profilu zadavatele úplné znění zadávací</w:t>
      </w:r>
      <w:r w:rsidR="00F24B1C">
        <w:rPr>
          <w:lang w:val="cs-CZ"/>
        </w:rPr>
        <w:t xml:space="preserve"> dokumentace, stejně jak uvádí</w:t>
      </w:r>
      <w:r w:rsidRPr="00602D34">
        <w:rPr>
          <w:lang w:val="cs-CZ"/>
        </w:rPr>
        <w:t xml:space="preserve"> Směrnic</w:t>
      </w:r>
      <w:r w:rsidR="002F52BA">
        <w:rPr>
          <w:lang w:val="cs-CZ"/>
        </w:rPr>
        <w:t>e 2014/24/EU. Nepatrným rozdílem v ZZVZ oproti Směrnici 2014/24/EU je nepotřebnost „</w:t>
      </w:r>
      <w:r w:rsidR="002F52BA" w:rsidRPr="00425EFD">
        <w:rPr>
          <w:i/>
          <w:lang w:val="cs-CZ"/>
        </w:rPr>
        <w:t>prodloužení lhůty pro podání nabídky o 5 dní</w:t>
      </w:r>
      <w:r w:rsidR="00425EFD">
        <w:rPr>
          <w:rStyle w:val="FootnoteReference"/>
          <w:i/>
          <w:lang w:val="cs-CZ"/>
        </w:rPr>
        <w:footnoteReference w:id="118"/>
      </w:r>
      <w:r w:rsidR="00425EFD">
        <w:rPr>
          <w:lang w:val="cs-CZ"/>
        </w:rPr>
        <w:t xml:space="preserve">“ v případě, že zadavatel neuveřejní zadávací dokumentaci na svém profilu jako celek. </w:t>
      </w:r>
    </w:p>
    <w:p w14:paraId="6DDD5536" w14:textId="60B8E4ED" w:rsidR="003F21E5" w:rsidRDefault="009A3C79" w:rsidP="00ED5F73">
      <w:pPr>
        <w:ind w:firstLine="720"/>
        <w:rPr>
          <w:lang w:val="cs-CZ"/>
        </w:rPr>
      </w:pPr>
      <w:r>
        <w:rPr>
          <w:lang w:val="cs-CZ"/>
        </w:rPr>
        <w:t xml:space="preserve">V rámci druhé fáze zadávacího řízení je </w:t>
      </w:r>
      <w:r w:rsidR="006C0094">
        <w:rPr>
          <w:lang w:val="cs-CZ"/>
        </w:rPr>
        <w:t>nejčastěji se objevující chybou</w:t>
      </w:r>
      <w:r w:rsidR="00856DC5">
        <w:rPr>
          <w:lang w:val="cs-CZ"/>
        </w:rPr>
        <w:t xml:space="preserve"> </w:t>
      </w:r>
      <w:r>
        <w:rPr>
          <w:lang w:val="cs-CZ"/>
        </w:rPr>
        <w:t>se</w:t>
      </w:r>
      <w:r w:rsidR="00653959">
        <w:rPr>
          <w:lang w:val="cs-CZ"/>
        </w:rPr>
        <w:t>lhání ohledně</w:t>
      </w:r>
      <w:r w:rsidR="00856DC5">
        <w:rPr>
          <w:lang w:val="cs-CZ"/>
        </w:rPr>
        <w:t xml:space="preserve"> nedodržení lhůt, a to lhůt k pro přijímání nabídek nebo k vyžádání si dokumentace uchazečem od zadavatele</w:t>
      </w:r>
      <w:r w:rsidR="007A1675">
        <w:rPr>
          <w:lang w:val="cs-CZ"/>
        </w:rPr>
        <w:t>. Druhou množinu chyb, které se dopouštějí veřejné zadavatelé při zadávání, můžeme nazvat jako chyby zadávací dokumentace.  Zadavatelé se chyb dopouštějí zejména tím, že nesprávně popíší předmět veřejné zakázky, použijí nesprávná hodnotící kritéria nebo nastaví taková kritéria pro účast v zadávacím řízení, která nejsou v souladu se zásadou rovného zacházení a proporcionality.</w:t>
      </w:r>
      <w:r w:rsidR="007A1675">
        <w:rPr>
          <w:rStyle w:val="FootnoteReference"/>
          <w:lang w:val="cs-CZ"/>
        </w:rPr>
        <w:footnoteReference w:id="119"/>
      </w:r>
      <w:r w:rsidR="007A1675">
        <w:rPr>
          <w:lang w:val="cs-CZ"/>
        </w:rPr>
        <w:t xml:space="preserve"> </w:t>
      </w:r>
    </w:p>
    <w:p w14:paraId="604E0CA3" w14:textId="77777777" w:rsidR="002858FF" w:rsidRDefault="00146B91" w:rsidP="009450EB">
      <w:pPr>
        <w:pStyle w:val="ListParagraph"/>
        <w:keepNext/>
        <w:numPr>
          <w:ilvl w:val="1"/>
          <w:numId w:val="21"/>
        </w:numPr>
        <w:ind w:left="993" w:hanging="567"/>
        <w:jc w:val="left"/>
        <w:rPr>
          <w:rFonts w:cs="Arial"/>
          <w:b/>
          <w:sz w:val="28"/>
          <w:szCs w:val="28"/>
          <w:lang w:val="cs-CZ"/>
        </w:rPr>
      </w:pPr>
      <w:r>
        <w:rPr>
          <w:rFonts w:cs="Arial"/>
          <w:b/>
          <w:sz w:val="28"/>
          <w:szCs w:val="28"/>
          <w:lang w:val="cs-CZ"/>
        </w:rPr>
        <w:lastRenderedPageBreak/>
        <w:t>Podání nabídek a výběr uchazečů</w:t>
      </w:r>
    </w:p>
    <w:p w14:paraId="74C61842" w14:textId="57974F86" w:rsidR="00F24A5B" w:rsidRPr="00F24A5B" w:rsidRDefault="004B3064" w:rsidP="009450EB">
      <w:pPr>
        <w:keepNext/>
        <w:ind w:firstLine="720"/>
        <w:rPr>
          <w:lang w:val="cs-CZ"/>
        </w:rPr>
      </w:pPr>
      <w:r>
        <w:rPr>
          <w:lang w:val="cs-CZ"/>
        </w:rPr>
        <w:t xml:space="preserve">Fáze podávání nabídek a výběru uchazečů </w:t>
      </w:r>
      <w:r w:rsidR="0063779B">
        <w:rPr>
          <w:lang w:val="cs-CZ"/>
        </w:rPr>
        <w:t xml:space="preserve">má za cíl </w:t>
      </w:r>
      <w:r>
        <w:rPr>
          <w:lang w:val="cs-CZ"/>
        </w:rPr>
        <w:t xml:space="preserve">zajištění přijetí nabídek a vybrání uchazeče </w:t>
      </w:r>
      <w:r w:rsidR="006C0094">
        <w:rPr>
          <w:lang w:val="cs-CZ"/>
        </w:rPr>
        <w:t>po</w:t>
      </w:r>
      <w:r>
        <w:rPr>
          <w:lang w:val="cs-CZ"/>
        </w:rPr>
        <w:t xml:space="preserve">dle pravidel a kritérií, jež byly stanoveny v zadávací dokumentaci. </w:t>
      </w:r>
    </w:p>
    <w:p w14:paraId="57E2A51E" w14:textId="409224E2" w:rsidR="00F24A5B" w:rsidRDefault="00E03DC6" w:rsidP="00F24A5B">
      <w:pPr>
        <w:pStyle w:val="ListParagraph"/>
        <w:numPr>
          <w:ilvl w:val="2"/>
          <w:numId w:val="21"/>
        </w:numPr>
        <w:ind w:left="1276"/>
        <w:jc w:val="left"/>
        <w:rPr>
          <w:rFonts w:cs="Arial"/>
          <w:b/>
          <w:lang w:val="cs-CZ"/>
        </w:rPr>
      </w:pPr>
      <w:r>
        <w:rPr>
          <w:rFonts w:cs="Arial"/>
          <w:b/>
          <w:lang w:val="cs-CZ"/>
        </w:rPr>
        <w:t>Podání nabídek a výběr uchazečů</w:t>
      </w:r>
      <w:r w:rsidR="00F24A5B" w:rsidRPr="00F24A5B">
        <w:rPr>
          <w:rFonts w:cs="Arial"/>
          <w:b/>
          <w:lang w:val="cs-CZ"/>
        </w:rPr>
        <w:t xml:space="preserve"> dle Směrnice 2014/24/EU</w:t>
      </w:r>
    </w:p>
    <w:p w14:paraId="4A8902BD" w14:textId="49782469" w:rsidR="00DF4D2E" w:rsidRPr="00DF4D2E" w:rsidRDefault="00DF4D2E" w:rsidP="00DF4D2E">
      <w:pPr>
        <w:ind w:firstLine="720"/>
        <w:rPr>
          <w:lang w:val="cs-CZ"/>
        </w:rPr>
      </w:pPr>
      <w:r w:rsidRPr="00DF4D2E">
        <w:rPr>
          <w:lang w:val="cs-CZ"/>
        </w:rPr>
        <w:t>Nabídkové řízení je otevřené všem zájemcům. Při zasílání nabídek se musí uchazeči řídit přesně pokyny</w:t>
      </w:r>
      <w:r w:rsidR="004B3064">
        <w:rPr>
          <w:lang w:val="cs-CZ"/>
        </w:rPr>
        <w:t xml:space="preserve"> veřejného zadavatele, a to jak jakým způsobem i </w:t>
      </w:r>
      <w:r w:rsidRPr="00DF4D2E">
        <w:rPr>
          <w:lang w:val="cs-CZ"/>
        </w:rPr>
        <w:t xml:space="preserve">do </w:t>
      </w:r>
      <w:r w:rsidR="004B3064">
        <w:rPr>
          <w:lang w:val="cs-CZ"/>
        </w:rPr>
        <w:t xml:space="preserve">jaké doby </w:t>
      </w:r>
      <w:r w:rsidRPr="00DF4D2E">
        <w:rPr>
          <w:lang w:val="cs-CZ"/>
        </w:rPr>
        <w:t>mají uchazeči možnost zaslat svou nabídku. Uchazeči by měli obdržet oficiální potvrzení o doručení jejich nabídky veřejnému zadavateli. Úkolem zadavatele v této fázi řízení je zajištění ucho</w:t>
      </w:r>
      <w:r w:rsidR="00B04232">
        <w:rPr>
          <w:lang w:val="cs-CZ"/>
        </w:rPr>
        <w:t>vání</w:t>
      </w:r>
      <w:r w:rsidR="00E4561F">
        <w:rPr>
          <w:lang w:val="cs-CZ"/>
        </w:rPr>
        <w:t xml:space="preserve"> nabídek v bezpečí a v tajnosti</w:t>
      </w:r>
      <w:r w:rsidRPr="00DF4D2E">
        <w:rPr>
          <w:lang w:val="cs-CZ"/>
        </w:rPr>
        <w:t>.</w:t>
      </w:r>
      <w:r w:rsidR="00535292">
        <w:rPr>
          <w:rStyle w:val="FootnoteReference"/>
          <w:lang w:val="cs-CZ"/>
        </w:rPr>
        <w:footnoteReference w:id="120"/>
      </w:r>
      <w:r w:rsidRPr="00DF4D2E">
        <w:rPr>
          <w:lang w:val="cs-CZ"/>
        </w:rPr>
        <w:t xml:space="preserve"> </w:t>
      </w:r>
    </w:p>
    <w:p w14:paraId="4C4B6571" w14:textId="465A570F" w:rsidR="00DF4D2E" w:rsidRDefault="00DF4D2E" w:rsidP="002F52BA">
      <w:pPr>
        <w:ind w:firstLine="720"/>
        <w:rPr>
          <w:lang w:val="cs-CZ"/>
        </w:rPr>
      </w:pPr>
      <w:r w:rsidRPr="00DF4D2E">
        <w:rPr>
          <w:lang w:val="cs-CZ"/>
        </w:rPr>
        <w:t xml:space="preserve">Výběr uchazečů v této fázi řízení </w:t>
      </w:r>
      <w:r w:rsidR="0019700D">
        <w:rPr>
          <w:lang w:val="cs-CZ"/>
        </w:rPr>
        <w:t xml:space="preserve">spočívá v posouzení toho, zda </w:t>
      </w:r>
      <w:r w:rsidRPr="00DF4D2E">
        <w:rPr>
          <w:lang w:val="cs-CZ"/>
        </w:rPr>
        <w:t>m</w:t>
      </w:r>
      <w:r>
        <w:rPr>
          <w:lang w:val="cs-CZ"/>
        </w:rPr>
        <w:t>ůže být daný</w:t>
      </w:r>
      <w:r w:rsidRPr="00DF4D2E">
        <w:rPr>
          <w:lang w:val="cs-CZ"/>
        </w:rPr>
        <w:t xml:space="preserve"> uchazeč vylo</w:t>
      </w:r>
      <w:r w:rsidR="0019700D">
        <w:rPr>
          <w:lang w:val="cs-CZ"/>
        </w:rPr>
        <w:t>učen z řízení z důvodu porušení</w:t>
      </w:r>
      <w:r w:rsidR="002F52BA">
        <w:rPr>
          <w:lang w:val="cs-CZ"/>
        </w:rPr>
        <w:t xml:space="preserve"> právní</w:t>
      </w:r>
      <w:r w:rsidR="0019700D">
        <w:rPr>
          <w:lang w:val="cs-CZ"/>
        </w:rPr>
        <w:t>ch předpisů, spáchání</w:t>
      </w:r>
      <w:r w:rsidR="002F52BA">
        <w:rPr>
          <w:lang w:val="cs-CZ"/>
        </w:rPr>
        <w:t xml:space="preserve"> </w:t>
      </w:r>
      <w:r w:rsidR="0019700D">
        <w:rPr>
          <w:lang w:val="cs-CZ"/>
        </w:rPr>
        <w:t>jednoho z trestných činů</w:t>
      </w:r>
      <w:r w:rsidR="002F52BA">
        <w:rPr>
          <w:lang w:val="cs-CZ"/>
        </w:rPr>
        <w:t> taxativně vyjmenovaných v čl. 57 S</w:t>
      </w:r>
      <w:r w:rsidR="0019700D">
        <w:rPr>
          <w:lang w:val="cs-CZ"/>
        </w:rPr>
        <w:t>měrnice 2014/24/EU nebo nehrazení řádným způsobem daní nebo příspěvků</w:t>
      </w:r>
      <w:r w:rsidR="002F52BA">
        <w:rPr>
          <w:lang w:val="cs-CZ"/>
        </w:rPr>
        <w:t xml:space="preserve"> na sociální pojištění ve svém domovském státě.</w:t>
      </w:r>
      <w:r>
        <w:rPr>
          <w:rStyle w:val="FootnoteReference"/>
          <w:lang w:val="cs-CZ"/>
        </w:rPr>
        <w:footnoteReference w:id="121"/>
      </w:r>
      <w:r w:rsidRPr="00DF4D2E">
        <w:rPr>
          <w:lang w:val="cs-CZ"/>
        </w:rPr>
        <w:t xml:space="preserve"> </w:t>
      </w:r>
    </w:p>
    <w:p w14:paraId="6508D686" w14:textId="13165076" w:rsidR="00DF4D2E" w:rsidRPr="00DF4D2E" w:rsidRDefault="007E374B" w:rsidP="00DF4D2E">
      <w:pPr>
        <w:ind w:firstLine="720"/>
        <w:rPr>
          <w:lang w:val="cs-CZ"/>
        </w:rPr>
      </w:pPr>
      <w:r>
        <w:rPr>
          <w:lang w:val="cs-CZ"/>
        </w:rPr>
        <w:t>Jelikož</w:t>
      </w:r>
      <w:r w:rsidR="00DF4D2E" w:rsidRPr="00DF4D2E">
        <w:rPr>
          <w:lang w:val="cs-CZ"/>
        </w:rPr>
        <w:t xml:space="preserve"> se jedná o zadávání veřejné zakázky formou otevřeného druhu zadávacího řízení, </w:t>
      </w:r>
      <w:r>
        <w:rPr>
          <w:lang w:val="cs-CZ"/>
        </w:rPr>
        <w:t xml:space="preserve">veřejný zadavatel může požadovat </w:t>
      </w:r>
      <w:r w:rsidR="00DF4D2E" w:rsidRPr="00DF4D2E">
        <w:rPr>
          <w:lang w:val="cs-CZ"/>
        </w:rPr>
        <w:t xml:space="preserve">od uchazeče objasnění určitých aspektů nabídek. Není možné, aby </w:t>
      </w:r>
      <w:r w:rsidR="006C0094">
        <w:rPr>
          <w:lang w:val="cs-CZ"/>
        </w:rPr>
        <w:t xml:space="preserve">zadavatel </w:t>
      </w:r>
      <w:r w:rsidR="00DF4D2E" w:rsidRPr="00DF4D2E">
        <w:rPr>
          <w:lang w:val="cs-CZ"/>
        </w:rPr>
        <w:t>s uchazečem vedl jednání, jelikož otevřený způsob zadávání veřejných zakázek vedení jednání zakazuje. Zadavatel může požadovat objasnění již poskytnutých informací.</w:t>
      </w:r>
      <w:r w:rsidR="00DF4D2E">
        <w:rPr>
          <w:rStyle w:val="FootnoteReference"/>
          <w:lang w:val="cs-CZ"/>
        </w:rPr>
        <w:footnoteReference w:id="122"/>
      </w:r>
      <w:r w:rsidR="004C2418">
        <w:rPr>
          <w:lang w:val="cs-CZ"/>
        </w:rPr>
        <w:t xml:space="preserve"> Srovnatelné judikuje i Soudní dvůr EU </w:t>
      </w:r>
      <w:r w:rsidR="00DF4D2E" w:rsidRPr="00DF4D2E">
        <w:rPr>
          <w:lang w:val="cs-CZ"/>
        </w:rPr>
        <w:t>v rozsudku C-42/13: „</w:t>
      </w:r>
      <w:r w:rsidR="00DF4D2E" w:rsidRPr="00DF4D2E">
        <w:rPr>
          <w:i/>
          <w:lang w:val="cs-CZ"/>
        </w:rPr>
        <w:t>Ostatně článek 51 uvedené směrnice, který stanoví, že veřejný zadavatel může vyzvat hospodářské subjekty, aby doplnily nebo objasnily osvědčení a doklady předložené podle článků 45 až 50 téže směrnice, nemůže být za takových okolností vykládán tak, že veřejnému zadavateli umožňuje připustit jakoukoli nápravu opomenutí, které podle výslovných ustanovení podkladů k zakázce musí vést k vyloučení hospodářského subjektu</w:t>
      </w:r>
      <w:r w:rsidR="00DF4D2E" w:rsidRPr="00DF4D2E">
        <w:rPr>
          <w:lang w:val="cs-CZ"/>
        </w:rPr>
        <w:t>.</w:t>
      </w:r>
      <w:r w:rsidR="00DF4D2E" w:rsidRPr="00E3585B">
        <w:rPr>
          <w:rStyle w:val="FootnoteReference"/>
          <w:lang w:val="cs-CZ"/>
        </w:rPr>
        <w:footnoteReference w:id="123"/>
      </w:r>
      <w:r w:rsidR="00DF4D2E" w:rsidRPr="00DF4D2E">
        <w:rPr>
          <w:lang w:val="cs-CZ"/>
        </w:rPr>
        <w:t xml:space="preserve">“ </w:t>
      </w:r>
    </w:p>
    <w:p w14:paraId="41039A8E" w14:textId="77777777" w:rsidR="007E374B" w:rsidRDefault="00DF4D2E" w:rsidP="009450EB">
      <w:pPr>
        <w:pStyle w:val="ListParagraph"/>
        <w:keepNext/>
        <w:numPr>
          <w:ilvl w:val="2"/>
          <w:numId w:val="21"/>
        </w:numPr>
        <w:ind w:left="1276"/>
        <w:jc w:val="left"/>
        <w:rPr>
          <w:rFonts w:cs="Arial"/>
          <w:b/>
          <w:lang w:val="cs-CZ"/>
        </w:rPr>
      </w:pPr>
      <w:r>
        <w:rPr>
          <w:rFonts w:cs="Arial"/>
          <w:b/>
          <w:lang w:val="cs-CZ"/>
        </w:rPr>
        <w:lastRenderedPageBreak/>
        <w:t>Komparace se zákonem o zadávání veřejných zakázek a nejčastější chyby praxe</w:t>
      </w:r>
    </w:p>
    <w:p w14:paraId="1E018F79" w14:textId="5314D88F" w:rsidR="00C10E7D" w:rsidRDefault="00602D34" w:rsidP="009450EB">
      <w:pPr>
        <w:keepNext/>
        <w:ind w:left="164" w:firstLine="556"/>
        <w:rPr>
          <w:lang w:val="cs-CZ"/>
        </w:rPr>
      </w:pPr>
      <w:r>
        <w:rPr>
          <w:lang w:val="cs-CZ"/>
        </w:rPr>
        <w:t>Zákon o zadávání veřejných zakázek zdůrazňuje, že nabídku je možn</w:t>
      </w:r>
      <w:r w:rsidR="007E5135">
        <w:rPr>
          <w:lang w:val="cs-CZ"/>
        </w:rPr>
        <w:t xml:space="preserve">é podat pouze v písemné podobě, a to v </w:t>
      </w:r>
      <w:r>
        <w:rPr>
          <w:lang w:val="cs-CZ"/>
        </w:rPr>
        <w:t xml:space="preserve">listinné nebo v současné době vyžadované elektronické podobě. Je vyloučené, aby byla nabídka podávána ústně. </w:t>
      </w:r>
    </w:p>
    <w:p w14:paraId="6D37CF27" w14:textId="48A57B09" w:rsidR="00602D34" w:rsidRDefault="00602D34" w:rsidP="006C0094">
      <w:pPr>
        <w:ind w:left="164" w:firstLine="556"/>
        <w:rPr>
          <w:lang w:val="cs-CZ"/>
        </w:rPr>
      </w:pPr>
      <w:r>
        <w:rPr>
          <w:lang w:val="cs-CZ"/>
        </w:rPr>
        <w:t xml:space="preserve">Ohledně otevírání nabídek zadavatelem, zákon o zadávání veřejných zakázek rozšiřuje znění Směrnice 2014/24/EU, a udává přesnější pokyny zadavateli ohledně otevírání nabídek. </w:t>
      </w:r>
    </w:p>
    <w:p w14:paraId="0154A3B3" w14:textId="0CC494CA" w:rsidR="00E4561F" w:rsidRDefault="00E4561F" w:rsidP="006C0094">
      <w:pPr>
        <w:ind w:left="164" w:firstLine="556"/>
        <w:rPr>
          <w:lang w:val="cs-CZ"/>
        </w:rPr>
      </w:pPr>
      <w:r>
        <w:rPr>
          <w:lang w:val="cs-CZ"/>
        </w:rPr>
        <w:t>Snížení počtu uchazečů o veřejnou zakázku zákon o zadávání veřejných zakázek definuje přísněji, myšleno v tom smyslu, že neumožňuje takové rozpětí pro důvody, pro které je možné uchazeče vyloučit.</w:t>
      </w:r>
      <w:r>
        <w:rPr>
          <w:rStyle w:val="FootnoteReference"/>
          <w:lang w:val="cs-CZ"/>
        </w:rPr>
        <w:footnoteReference w:id="124"/>
      </w:r>
      <w:r>
        <w:rPr>
          <w:lang w:val="cs-CZ"/>
        </w:rPr>
        <w:t xml:space="preserve"> </w:t>
      </w:r>
    </w:p>
    <w:p w14:paraId="31215624" w14:textId="13E98E41" w:rsidR="00DF4D2E" w:rsidRPr="00C10E7D" w:rsidRDefault="007E374B" w:rsidP="006C0094">
      <w:pPr>
        <w:ind w:firstLine="720"/>
        <w:rPr>
          <w:rFonts w:cs="Arial"/>
          <w:b/>
          <w:lang w:val="cs-CZ"/>
        </w:rPr>
      </w:pPr>
      <w:r w:rsidRPr="007E374B">
        <w:rPr>
          <w:lang w:val="cs-CZ"/>
        </w:rPr>
        <w:t>V rámci otevřeného řízení je i obrovskou chybou, když zadavatelé vedou jednání s uchazeči po podání nabídek, přiče</w:t>
      </w:r>
      <w:r w:rsidR="00F24B1C">
        <w:rPr>
          <w:lang w:val="cs-CZ"/>
        </w:rPr>
        <w:t xml:space="preserve">mž takové jednání je </w:t>
      </w:r>
      <w:r w:rsidR="006C0094">
        <w:rPr>
          <w:lang w:val="cs-CZ"/>
        </w:rPr>
        <w:t xml:space="preserve">nepřípustné. </w:t>
      </w:r>
      <w:r w:rsidR="007E5135">
        <w:rPr>
          <w:lang w:val="cs-CZ"/>
        </w:rPr>
        <w:t xml:space="preserve">  </w:t>
      </w:r>
    </w:p>
    <w:p w14:paraId="24AE70F0" w14:textId="77777777" w:rsidR="00F24B1C" w:rsidRDefault="00F24B1C" w:rsidP="00F24B1C">
      <w:pPr>
        <w:pStyle w:val="ListParagraph"/>
        <w:numPr>
          <w:ilvl w:val="1"/>
          <w:numId w:val="21"/>
        </w:numPr>
        <w:ind w:left="993" w:hanging="567"/>
        <w:jc w:val="left"/>
        <w:rPr>
          <w:rFonts w:cs="Arial"/>
          <w:b/>
          <w:sz w:val="28"/>
          <w:szCs w:val="28"/>
          <w:lang w:val="cs-CZ"/>
        </w:rPr>
      </w:pPr>
      <w:r>
        <w:rPr>
          <w:rFonts w:cs="Arial"/>
          <w:b/>
          <w:sz w:val="28"/>
          <w:szCs w:val="28"/>
          <w:lang w:val="cs-CZ"/>
        </w:rPr>
        <w:t xml:space="preserve">Hodnocení nabídek </w:t>
      </w:r>
    </w:p>
    <w:p w14:paraId="2F506F55" w14:textId="3980CC4E" w:rsidR="00383663" w:rsidRDefault="00383663" w:rsidP="00383663">
      <w:pPr>
        <w:ind w:firstLine="720"/>
        <w:rPr>
          <w:lang w:val="cs-CZ"/>
        </w:rPr>
      </w:pPr>
      <w:r w:rsidRPr="00383663">
        <w:rPr>
          <w:lang w:val="cs-CZ"/>
        </w:rPr>
        <w:t>Vyhodnocení nabídek je fází procesu zadávání zakázek, během níž zadavatel určí, která z nabídek splňujících stanovené požadavky je nejlepší na základě předem oznámených kritérií pro zadávání veřejné zakázky, a to buď za nejnižší cenu nebo ekonomicky nejvýhodnější nabídku. Smluvně je zadán kvalifikovaný uchazeč, jehož nabídka b</w:t>
      </w:r>
      <w:r w:rsidR="007E5135">
        <w:rPr>
          <w:lang w:val="cs-CZ"/>
        </w:rPr>
        <w:t>yla stanovena jako nejvýhodnější</w:t>
      </w:r>
      <w:r w:rsidRPr="00383663">
        <w:rPr>
          <w:lang w:val="cs-CZ"/>
        </w:rPr>
        <w:t>.</w:t>
      </w:r>
      <w:r w:rsidR="00E34B09">
        <w:rPr>
          <w:rStyle w:val="FootnoteReference"/>
          <w:lang w:val="cs-CZ"/>
        </w:rPr>
        <w:footnoteReference w:id="125"/>
      </w:r>
      <w:r w:rsidRPr="00383663">
        <w:rPr>
          <w:lang w:val="cs-CZ"/>
        </w:rPr>
        <w:t xml:space="preserve"> </w:t>
      </w:r>
    </w:p>
    <w:p w14:paraId="788142A3" w14:textId="2E866D48" w:rsidR="00B77E41" w:rsidRPr="00115E76" w:rsidRDefault="00BA1769" w:rsidP="00115E76">
      <w:pPr>
        <w:pStyle w:val="ListParagraph"/>
        <w:numPr>
          <w:ilvl w:val="2"/>
          <w:numId w:val="21"/>
        </w:numPr>
        <w:tabs>
          <w:tab w:val="left" w:pos="993"/>
        </w:tabs>
        <w:ind w:left="1418" w:hanging="675"/>
        <w:jc w:val="left"/>
        <w:rPr>
          <w:rFonts w:cs="Arial"/>
          <w:b/>
          <w:sz w:val="28"/>
          <w:szCs w:val="28"/>
          <w:lang w:val="cs-CZ"/>
        </w:rPr>
      </w:pPr>
      <w:r>
        <w:rPr>
          <w:rFonts w:cs="Arial"/>
          <w:b/>
          <w:lang w:val="cs-CZ"/>
        </w:rPr>
        <w:t>Hodnocení nabídek dle S</w:t>
      </w:r>
      <w:r w:rsidR="00383663">
        <w:rPr>
          <w:rFonts w:cs="Arial"/>
          <w:b/>
          <w:lang w:val="cs-CZ"/>
        </w:rPr>
        <w:t>měrnice 2014/24/EU</w:t>
      </w:r>
      <w:r w:rsidR="00115E76" w:rsidRPr="00115E76">
        <w:rPr>
          <w:lang w:val="cs-CZ"/>
        </w:rPr>
        <w:t xml:space="preserve"> </w:t>
      </w:r>
    </w:p>
    <w:p w14:paraId="0B599E86" w14:textId="6545D863" w:rsidR="001244A3" w:rsidRDefault="00383663" w:rsidP="00115E76">
      <w:pPr>
        <w:tabs>
          <w:tab w:val="left" w:pos="993"/>
        </w:tabs>
        <w:rPr>
          <w:lang w:val="cs-CZ"/>
        </w:rPr>
      </w:pPr>
      <w:r>
        <w:rPr>
          <w:lang w:val="cs-CZ"/>
        </w:rPr>
        <w:tab/>
      </w:r>
      <w:r w:rsidR="009D0DEA">
        <w:rPr>
          <w:lang w:val="cs-CZ"/>
        </w:rPr>
        <w:t xml:space="preserve"> </w:t>
      </w:r>
      <w:r w:rsidR="00B77E41">
        <w:rPr>
          <w:lang w:val="cs-CZ"/>
        </w:rPr>
        <w:t>V případě užití otevřeného řízení, hospodářský subjekt pře</w:t>
      </w:r>
      <w:r w:rsidR="001D6CD9">
        <w:rPr>
          <w:lang w:val="cs-CZ"/>
        </w:rPr>
        <w:t>dloží současně informace o kvalifikaci</w:t>
      </w:r>
      <w:r w:rsidR="00B77E41">
        <w:rPr>
          <w:lang w:val="cs-CZ"/>
        </w:rPr>
        <w:t xml:space="preserve"> i své nabídky. Proces hodnocení bude proto zahrnovat dva kroky v jediném procesu hodnocení. Otevřená procedura zadávání veřejných zakázek umožňuje dvě řešení procesu hodnocení. První je, že zadavatel veřejné zakázky nejprve přezkoumá informace o </w:t>
      </w:r>
      <w:r w:rsidR="006C0094">
        <w:rPr>
          <w:lang w:val="cs-CZ"/>
        </w:rPr>
        <w:t>kvali</w:t>
      </w:r>
      <w:r w:rsidR="001D6CD9">
        <w:rPr>
          <w:lang w:val="cs-CZ"/>
        </w:rPr>
        <w:t>fikaci</w:t>
      </w:r>
      <w:r w:rsidR="00B77E41">
        <w:rPr>
          <w:lang w:val="cs-CZ"/>
        </w:rPr>
        <w:t xml:space="preserve"> a ověří neexistenci důvodů pro vyloučení a splnění kritérií výběru, aby zajistil, že hospodářské subjekty mají vhodnou kvalifikaci, a poté přistoupí přímo k hodnocení nabídek obdržených od vhodně kvalifikovaných hospodářských subjektů. Druhou možností je rozhodnutí veřejného zadavatele o přezkou</w:t>
      </w:r>
      <w:r w:rsidR="00F0613B">
        <w:rPr>
          <w:lang w:val="cs-CZ"/>
        </w:rPr>
        <w:t>mání nabídky</w:t>
      </w:r>
      <w:r w:rsidR="003023FB">
        <w:rPr>
          <w:lang w:val="cs-CZ"/>
        </w:rPr>
        <w:t xml:space="preserve"> před otevřením, a to o tom</w:t>
      </w:r>
      <w:r w:rsidR="00F0613B">
        <w:rPr>
          <w:lang w:val="cs-CZ"/>
        </w:rPr>
        <w:t>, že neexistuje důvod pro vyloučení z výběrového řízení a že jsou splně</w:t>
      </w:r>
      <w:r w:rsidR="00BE6617">
        <w:rPr>
          <w:lang w:val="cs-CZ"/>
        </w:rPr>
        <w:t>na kritéria výběrového řízení. V</w:t>
      </w:r>
      <w:r w:rsidR="00F0613B">
        <w:rPr>
          <w:lang w:val="cs-CZ"/>
        </w:rPr>
        <w:t xml:space="preserve"> uvedeném případě musí být uchazeč, kterému se veřejný </w:t>
      </w:r>
      <w:r w:rsidR="00F0613B">
        <w:rPr>
          <w:lang w:val="cs-CZ"/>
        </w:rPr>
        <w:lastRenderedPageBreak/>
        <w:t xml:space="preserve">zadavatel rozhodl zadat veřejnou zakázku, </w:t>
      </w:r>
      <w:r w:rsidR="003023FB">
        <w:rPr>
          <w:lang w:val="cs-CZ"/>
        </w:rPr>
        <w:t xml:space="preserve">i </w:t>
      </w:r>
      <w:r w:rsidR="00F0613B">
        <w:rPr>
          <w:lang w:val="cs-CZ"/>
        </w:rPr>
        <w:t>přesto povinen předložit příslušné důkazy a zadavatel nesmí uzavřít smlouvu s uchazečem, který není schopen tak učinit. Veřejný zadavatel je rovněž oprávněn kdykoliv požádat o všechny podpůrné dokumenty, které požaduje za nezbytné pro zajištění řádného průběhu řízení.</w:t>
      </w:r>
      <w:r w:rsidR="00DC170C">
        <w:rPr>
          <w:rStyle w:val="FootnoteReference"/>
          <w:lang w:val="cs-CZ"/>
        </w:rPr>
        <w:footnoteReference w:id="126"/>
      </w:r>
      <w:r w:rsidR="00F0613B">
        <w:rPr>
          <w:lang w:val="cs-CZ"/>
        </w:rPr>
        <w:t xml:space="preserve"> </w:t>
      </w:r>
    </w:p>
    <w:p w14:paraId="563005C1" w14:textId="7686E178" w:rsidR="001244A3" w:rsidRDefault="00115E76" w:rsidP="00115E76">
      <w:pPr>
        <w:tabs>
          <w:tab w:val="left" w:pos="993"/>
        </w:tabs>
        <w:rPr>
          <w:lang w:val="cs-CZ"/>
        </w:rPr>
      </w:pPr>
      <w:r>
        <w:rPr>
          <w:lang w:val="cs-CZ"/>
        </w:rPr>
        <w:tab/>
      </w:r>
      <w:r w:rsidR="00E30C9C">
        <w:rPr>
          <w:lang w:val="cs-CZ"/>
        </w:rPr>
        <w:t xml:space="preserve">Obecně </w:t>
      </w:r>
      <w:r w:rsidR="003023FB">
        <w:rPr>
          <w:lang w:val="cs-CZ"/>
        </w:rPr>
        <w:t xml:space="preserve">je vhodné, </w:t>
      </w:r>
      <w:r w:rsidR="00E30C9C">
        <w:rPr>
          <w:lang w:val="cs-CZ"/>
        </w:rPr>
        <w:t xml:space="preserve">aby bylo přenecháno </w:t>
      </w:r>
      <w:r w:rsidR="003023FB">
        <w:rPr>
          <w:lang w:val="cs-CZ"/>
        </w:rPr>
        <w:t>hodnocení nabídek kompetentně</w:t>
      </w:r>
      <w:r w:rsidR="00744797">
        <w:rPr>
          <w:lang w:val="cs-CZ"/>
        </w:rPr>
        <w:t xml:space="preserve"> hodnotící komisí</w:t>
      </w:r>
      <w:r w:rsidR="00246F6F">
        <w:rPr>
          <w:lang w:val="cs-CZ"/>
        </w:rPr>
        <w:t>, jejíž zřízení není ve Směrnici 2014/24/EU sice přímo definováno, ale dá se tato možnost analogicky dovodit z čl. 40 Směrnice 2014/24/EU. Rozhodovací komise musí následně jednat</w:t>
      </w:r>
      <w:r w:rsidR="00E30C9C">
        <w:rPr>
          <w:lang w:val="cs-CZ"/>
        </w:rPr>
        <w:t xml:space="preserve"> v souladu s obecným právem, </w:t>
      </w:r>
      <w:r w:rsidR="00744797">
        <w:rPr>
          <w:lang w:val="cs-CZ"/>
        </w:rPr>
        <w:t>se zásadami rovného zacházení, nediskriminace a transparentnosti. Musí být zachována důvěrnost informací získaných osobami zapojenými do procesu hodnocení.</w:t>
      </w:r>
      <w:r w:rsidR="00246F6F">
        <w:rPr>
          <w:rStyle w:val="FootnoteReference"/>
          <w:lang w:val="cs-CZ"/>
        </w:rPr>
        <w:footnoteReference w:id="127"/>
      </w:r>
      <w:r w:rsidR="00744797">
        <w:rPr>
          <w:lang w:val="cs-CZ"/>
        </w:rPr>
        <w:t xml:space="preserve"> </w:t>
      </w:r>
      <w:r w:rsidR="0043596E">
        <w:rPr>
          <w:lang w:val="cs-CZ"/>
        </w:rPr>
        <w:t xml:space="preserve"> </w:t>
      </w:r>
    </w:p>
    <w:p w14:paraId="6C608082" w14:textId="4E5439CE" w:rsidR="0043596E" w:rsidRDefault="00115E76" w:rsidP="00115E76">
      <w:pPr>
        <w:tabs>
          <w:tab w:val="left" w:pos="993"/>
        </w:tabs>
        <w:rPr>
          <w:lang w:val="cs-CZ"/>
        </w:rPr>
      </w:pPr>
      <w:r>
        <w:rPr>
          <w:lang w:val="cs-CZ"/>
        </w:rPr>
        <w:tab/>
      </w:r>
      <w:r w:rsidR="0043596E">
        <w:rPr>
          <w:lang w:val="cs-CZ"/>
        </w:rPr>
        <w:t xml:space="preserve">Hodnocení veřejné zakázky má dvě fáze. První fází je přijetí a otevření nabídek, kdy veřejný zadavatel je povinen zaznamenat jména uchazečů a přesné datum a čas přijetí nabídek. Souhrn obdržených nabídek je poté přiložen ke zprávě </w:t>
      </w:r>
      <w:r w:rsidR="006C0094">
        <w:rPr>
          <w:lang w:val="cs-CZ"/>
        </w:rPr>
        <w:t xml:space="preserve">o zahájení nabídkového řízení. </w:t>
      </w:r>
      <w:r w:rsidR="003023FB">
        <w:rPr>
          <w:lang w:val="cs-CZ"/>
        </w:rPr>
        <w:t>Nabídky</w:t>
      </w:r>
      <w:r w:rsidR="0043596E">
        <w:rPr>
          <w:lang w:val="cs-CZ"/>
        </w:rPr>
        <w:t xml:space="preserve"> musí zůstat zapečetěny a musí být uchovány na bezpečném místě dokud nejsou otevřeny. Otevírání nabídek může probíhat formou veřejnou nebo neveřejnou. Otevírání nabídek veřejným způsobem probíhá za přítomnosti oprávněných osob a v čase a místě určeném zadavatelem již v oznámení o zakázce. V případě neveřejného otevírání nabídek, otevírání probíh</w:t>
      </w:r>
      <w:r w:rsidR="00E3585B">
        <w:rPr>
          <w:lang w:val="cs-CZ"/>
        </w:rPr>
        <w:t>á tzv. za zavřenými dveřmi pouze za účasti hodnotící komise.</w:t>
      </w:r>
      <w:r w:rsidR="00E24B04">
        <w:rPr>
          <w:rStyle w:val="FootnoteReference"/>
          <w:lang w:val="cs-CZ"/>
        </w:rPr>
        <w:footnoteReference w:id="128"/>
      </w:r>
      <w:r w:rsidR="00E3585B">
        <w:rPr>
          <w:lang w:val="cs-CZ"/>
        </w:rPr>
        <w:t xml:space="preserve"> </w:t>
      </w:r>
    </w:p>
    <w:p w14:paraId="2270B936" w14:textId="24882D0F" w:rsidR="00115E76" w:rsidRDefault="00115E76" w:rsidP="00DB33CE">
      <w:pPr>
        <w:tabs>
          <w:tab w:val="left" w:pos="993"/>
        </w:tabs>
        <w:rPr>
          <w:lang w:val="cs-CZ"/>
        </w:rPr>
      </w:pPr>
      <w:r>
        <w:rPr>
          <w:lang w:val="cs-CZ"/>
        </w:rPr>
        <w:tab/>
      </w:r>
      <w:r w:rsidR="00E30C9C">
        <w:rPr>
          <w:lang w:val="cs-CZ"/>
        </w:rPr>
        <w:t>V případě zřízení h</w:t>
      </w:r>
      <w:r w:rsidR="00E3585B">
        <w:rPr>
          <w:lang w:val="cs-CZ"/>
        </w:rPr>
        <w:t>odnotící komise</w:t>
      </w:r>
      <w:r w:rsidR="00E30C9C">
        <w:rPr>
          <w:lang w:val="cs-CZ"/>
        </w:rPr>
        <w:t xml:space="preserve"> ta</w:t>
      </w:r>
      <w:r w:rsidR="00E3585B">
        <w:rPr>
          <w:lang w:val="cs-CZ"/>
        </w:rPr>
        <w:t xml:space="preserve"> musí zajistit, aby obdržené nabídky byly úplné a aby splňovaly všechny požadavky stanovené zadavatelem v zadáva</w:t>
      </w:r>
      <w:r w:rsidR="006C0094">
        <w:rPr>
          <w:lang w:val="cs-CZ"/>
        </w:rPr>
        <w:t>cí dokumentaci. Hodnotící komise</w:t>
      </w:r>
      <w:r w:rsidR="00E3585B">
        <w:rPr>
          <w:lang w:val="cs-CZ"/>
        </w:rPr>
        <w:t xml:space="preserve"> musí zejména provést formální kontrolu souladnosti požadavku zadání a nabídky, technickou a věcnou kontrolu, výběr nejlepší nabídky na základě předem oznámených kritérií a doporučení pro zadání zakázky. </w:t>
      </w:r>
      <w:r w:rsidR="00A279CF">
        <w:rPr>
          <w:lang w:val="cs-CZ"/>
        </w:rPr>
        <w:t xml:space="preserve">Hodnotící komise má v zásadě pouze pravomoc určit nejlepší nabídku a vydat veřejnému zadavateli doporučení ohledně zadání zakázky. Výběr nejlepší nabídky probíhá na </w:t>
      </w:r>
      <w:r w:rsidR="00A279CF">
        <w:rPr>
          <w:lang w:val="cs-CZ"/>
        </w:rPr>
        <w:lastRenderedPageBreak/>
        <w:t>základě kritérií, které jsou vymezeny již v zadávací dokumentaci, byly rozebrány výše v této kapitole v rámci přípravné fáze a plánování.</w:t>
      </w:r>
      <w:r w:rsidR="00E24B04">
        <w:rPr>
          <w:rStyle w:val="FootnoteReference"/>
          <w:lang w:val="cs-CZ"/>
        </w:rPr>
        <w:footnoteReference w:id="129"/>
      </w:r>
      <w:r>
        <w:rPr>
          <w:lang w:val="cs-CZ"/>
        </w:rPr>
        <w:t xml:space="preserve"> </w:t>
      </w:r>
    </w:p>
    <w:p w14:paraId="4D3F61B9" w14:textId="7DCA478E" w:rsidR="001D46FF" w:rsidRPr="00DB33CE" w:rsidRDefault="009C411F" w:rsidP="00DB33CE">
      <w:pPr>
        <w:tabs>
          <w:tab w:val="left" w:pos="993"/>
        </w:tabs>
        <w:rPr>
          <w:lang w:val="cs-CZ"/>
        </w:rPr>
      </w:pPr>
      <w:r>
        <w:rPr>
          <w:lang w:val="cs-CZ"/>
        </w:rPr>
        <w:tab/>
      </w:r>
      <w:r w:rsidR="001D46FF">
        <w:rPr>
          <w:lang w:val="cs-CZ"/>
        </w:rPr>
        <w:t>V samotném závěru fáze hodnocení, hodnotící komise připojí k jednotlivým nabídkám připomínky a sestaví pořadí jednot</w:t>
      </w:r>
      <w:r>
        <w:rPr>
          <w:lang w:val="cs-CZ"/>
        </w:rPr>
        <w:t>livých nabídek v ucelené zprávě, tzv. hodnotící zprávě.</w:t>
      </w:r>
      <w:r w:rsidR="001D46FF">
        <w:rPr>
          <w:lang w:val="cs-CZ"/>
        </w:rPr>
        <w:t xml:space="preserve"> Hodnotící komise má pravomoc vyd</w:t>
      </w:r>
      <w:r>
        <w:rPr>
          <w:lang w:val="cs-CZ"/>
        </w:rPr>
        <w:t>at doporučení zadavateli týkají</w:t>
      </w:r>
      <w:r w:rsidR="001D46FF">
        <w:rPr>
          <w:lang w:val="cs-CZ"/>
        </w:rPr>
        <w:t>c</w:t>
      </w:r>
      <w:r>
        <w:rPr>
          <w:lang w:val="cs-CZ"/>
        </w:rPr>
        <w:t>í</w:t>
      </w:r>
      <w:r w:rsidR="001D46FF">
        <w:rPr>
          <w:lang w:val="cs-CZ"/>
        </w:rPr>
        <w:t xml:space="preserve"> se zadání zakázky a nečinit konečná rozhodnutí o zadání zakázky. </w:t>
      </w:r>
      <w:r>
        <w:rPr>
          <w:lang w:val="cs-CZ"/>
        </w:rPr>
        <w:t>Doporučení komise může spočívat i ve zrušení zadávacího řízení.</w:t>
      </w:r>
      <w:r w:rsidR="000E1597">
        <w:rPr>
          <w:rStyle w:val="FootnoteReference"/>
          <w:lang w:val="cs-CZ"/>
        </w:rPr>
        <w:footnoteReference w:id="130"/>
      </w:r>
    </w:p>
    <w:p w14:paraId="7953991B" w14:textId="5855C7C2" w:rsidR="003F21E5" w:rsidRPr="003F21E5" w:rsidRDefault="007B2A7E" w:rsidP="003F21E5">
      <w:pPr>
        <w:pStyle w:val="ListParagraph"/>
        <w:numPr>
          <w:ilvl w:val="2"/>
          <w:numId w:val="21"/>
        </w:numPr>
        <w:tabs>
          <w:tab w:val="left" w:pos="993"/>
        </w:tabs>
        <w:ind w:left="1418" w:hanging="675"/>
        <w:jc w:val="left"/>
        <w:rPr>
          <w:rFonts w:cs="Arial"/>
          <w:b/>
          <w:sz w:val="28"/>
          <w:szCs w:val="28"/>
          <w:lang w:val="cs-CZ"/>
        </w:rPr>
      </w:pPr>
      <w:r>
        <w:rPr>
          <w:rFonts w:cs="Arial"/>
          <w:b/>
          <w:lang w:val="cs-CZ"/>
        </w:rPr>
        <w:t>Komparace se zákon o zadávání veřejných zakázek</w:t>
      </w:r>
      <w:r w:rsidR="003F21E5">
        <w:rPr>
          <w:rFonts w:cs="Arial"/>
          <w:b/>
          <w:lang w:val="cs-CZ"/>
        </w:rPr>
        <w:t xml:space="preserve"> a hlavní chyby praxe</w:t>
      </w:r>
    </w:p>
    <w:p w14:paraId="0D07FE9B" w14:textId="04315B0F" w:rsidR="00ED5F73" w:rsidRPr="001D6CD9" w:rsidRDefault="00F24B1C" w:rsidP="001D6CD9">
      <w:pPr>
        <w:ind w:firstLine="720"/>
        <w:rPr>
          <w:highlight w:val="cyan"/>
          <w:lang w:val="cs-CZ"/>
        </w:rPr>
      </w:pPr>
      <w:r>
        <w:rPr>
          <w:lang w:val="cs-CZ"/>
        </w:rPr>
        <w:t>Směrnice 2014/24/EU neobsahuje žádné další zvláštní pravidla o tom, jak by měl být proces hodnocení nabídek strukturován, ani organizaci a odpovědnosti hodnotící komise. Tyto otázky jsou ponechány na regulaci členských států.</w:t>
      </w:r>
      <w:r>
        <w:rPr>
          <w:rStyle w:val="FootnoteReference"/>
          <w:lang w:val="cs-CZ"/>
        </w:rPr>
        <w:footnoteReference w:id="131"/>
      </w:r>
      <w:r>
        <w:rPr>
          <w:lang w:val="cs-CZ"/>
        </w:rPr>
        <w:t xml:space="preserve">  </w:t>
      </w:r>
      <w:r w:rsidR="00246F6F" w:rsidRPr="00F24B1C">
        <w:rPr>
          <w:lang w:val="cs-CZ"/>
        </w:rPr>
        <w:t xml:space="preserve">Zákon o zadávání veřejných zakázek přímo ve svém znění pamatuje na možnost zřízení komise, na rozdíl od Směrnice 2014/24/EU, ze které se tato možnost dá pouze dovodit. </w:t>
      </w:r>
    </w:p>
    <w:p w14:paraId="1B2ACC9B" w14:textId="2A31A8F1" w:rsidR="003F21E5" w:rsidRDefault="0020075B" w:rsidP="0020075B">
      <w:pPr>
        <w:ind w:firstLine="720"/>
        <w:rPr>
          <w:lang w:val="cs-CZ"/>
        </w:rPr>
      </w:pPr>
      <w:r>
        <w:rPr>
          <w:lang w:val="cs-CZ"/>
        </w:rPr>
        <w:t xml:space="preserve">Neuskutečnění přípravy a plánování je nejzávažnější chybou zadávacího řízení, nejvíce chyb v zadávacím řízení se naopak projevuje při fázi hodnocení nabídek. </w:t>
      </w:r>
      <w:r w:rsidR="00D43714">
        <w:rPr>
          <w:lang w:val="cs-CZ"/>
        </w:rPr>
        <w:t xml:space="preserve">Nejhorší chyby, které se může zadavatel dopustit během hodnocení veřejné zakázky je nedostatečná transparentnost a nerovné zacházení s uchazeči o veřejnou zakázku. </w:t>
      </w:r>
      <w:r w:rsidR="00535292">
        <w:rPr>
          <w:lang w:val="cs-CZ"/>
        </w:rPr>
        <w:t xml:space="preserve">Takové porušení může například spočívat ve změně hodnotících kritérií po otevření nabídek nebo naopak ve změně nabídky po otevření nabídek. </w:t>
      </w:r>
      <w:r w:rsidR="00D43714">
        <w:rPr>
          <w:lang w:val="cs-CZ"/>
        </w:rPr>
        <w:t>Porušením základních zásad by se totiž jednalo nejenom o rozpor se Směrnicí 2014/24/EU, ale i se zakládacími smlouvami Evropské unie.</w:t>
      </w:r>
      <w:r w:rsidR="00D43714">
        <w:rPr>
          <w:rStyle w:val="FootnoteReference"/>
          <w:lang w:val="cs-CZ"/>
        </w:rPr>
        <w:footnoteReference w:id="132"/>
      </w:r>
      <w:r w:rsidR="00D43714">
        <w:rPr>
          <w:lang w:val="cs-CZ"/>
        </w:rPr>
        <w:t xml:space="preserve"> </w:t>
      </w:r>
    </w:p>
    <w:p w14:paraId="7F896A1F" w14:textId="6128FD96" w:rsidR="0060208E" w:rsidRDefault="00146B91" w:rsidP="00F31C17">
      <w:pPr>
        <w:pStyle w:val="ListParagraph"/>
        <w:numPr>
          <w:ilvl w:val="1"/>
          <w:numId w:val="21"/>
        </w:numPr>
        <w:ind w:left="993" w:hanging="567"/>
        <w:jc w:val="left"/>
        <w:rPr>
          <w:rFonts w:cs="Arial"/>
          <w:b/>
          <w:sz w:val="28"/>
          <w:szCs w:val="28"/>
          <w:lang w:val="cs-CZ"/>
        </w:rPr>
      </w:pPr>
      <w:r>
        <w:rPr>
          <w:rFonts w:cs="Arial"/>
          <w:b/>
          <w:sz w:val="28"/>
          <w:szCs w:val="28"/>
          <w:lang w:val="cs-CZ"/>
        </w:rPr>
        <w:t>Zadání zakázky</w:t>
      </w:r>
    </w:p>
    <w:p w14:paraId="1E7D785F" w14:textId="2CA64718" w:rsidR="00D66623" w:rsidRPr="00D66623" w:rsidRDefault="00D66623" w:rsidP="00D66623">
      <w:pPr>
        <w:ind w:firstLine="698"/>
        <w:rPr>
          <w:lang w:val="cs-CZ"/>
        </w:rPr>
      </w:pPr>
      <w:r>
        <w:rPr>
          <w:lang w:val="cs-CZ"/>
        </w:rPr>
        <w:t>Jedná se o fázi řízení, kdy veřejný zadavatel má již před</w:t>
      </w:r>
      <w:r w:rsidR="00C6076F">
        <w:rPr>
          <w:lang w:val="cs-CZ"/>
        </w:rPr>
        <w:t>-</w:t>
      </w:r>
      <w:r>
        <w:rPr>
          <w:lang w:val="cs-CZ"/>
        </w:rPr>
        <w:t xml:space="preserve">vybraného úspěšného uchazeče a zadá tomuto úspěšnému uchazeči veřejnou zakázku. </w:t>
      </w:r>
    </w:p>
    <w:p w14:paraId="204322AF" w14:textId="23FDE785" w:rsidR="000E1597" w:rsidRDefault="00F01E6C" w:rsidP="009450EB">
      <w:pPr>
        <w:pStyle w:val="ListParagraph"/>
        <w:keepNext/>
        <w:numPr>
          <w:ilvl w:val="2"/>
          <w:numId w:val="21"/>
        </w:numPr>
        <w:ind w:left="1418"/>
        <w:jc w:val="left"/>
        <w:rPr>
          <w:rFonts w:cs="Arial"/>
          <w:b/>
          <w:lang w:val="cs-CZ"/>
        </w:rPr>
      </w:pPr>
      <w:r>
        <w:rPr>
          <w:rFonts w:cs="Arial"/>
          <w:b/>
          <w:lang w:val="cs-CZ"/>
        </w:rPr>
        <w:lastRenderedPageBreak/>
        <w:t xml:space="preserve">Zadání veřejné zakázky dle </w:t>
      </w:r>
      <w:r w:rsidR="000E1597" w:rsidRPr="000E1597">
        <w:rPr>
          <w:rFonts w:cs="Arial"/>
          <w:b/>
          <w:lang w:val="cs-CZ"/>
        </w:rPr>
        <w:t>Směrnice 2014/24/EU</w:t>
      </w:r>
    </w:p>
    <w:p w14:paraId="76D9E4F0" w14:textId="31D8E843" w:rsidR="00C4190C" w:rsidRDefault="00E30C9C" w:rsidP="009450EB">
      <w:pPr>
        <w:keepNext/>
        <w:ind w:firstLine="698"/>
        <w:rPr>
          <w:lang w:val="cs-CZ"/>
        </w:rPr>
      </w:pPr>
      <w:r>
        <w:rPr>
          <w:lang w:val="cs-CZ"/>
        </w:rPr>
        <w:t>V pří</w:t>
      </w:r>
      <w:r w:rsidR="00246F6F">
        <w:rPr>
          <w:lang w:val="cs-CZ"/>
        </w:rPr>
        <w:t>padě zřízení hodnotící komise by měl</w:t>
      </w:r>
      <w:r w:rsidR="006C0094">
        <w:rPr>
          <w:lang w:val="cs-CZ"/>
        </w:rPr>
        <w:t xml:space="preserve"> zadavatel </w:t>
      </w:r>
      <w:r>
        <w:rPr>
          <w:lang w:val="cs-CZ"/>
        </w:rPr>
        <w:t>a</w:t>
      </w:r>
      <w:r w:rsidR="006C0094">
        <w:rPr>
          <w:lang w:val="cs-CZ"/>
        </w:rPr>
        <w:t xml:space="preserve"> na</w:t>
      </w:r>
      <w:r>
        <w:rPr>
          <w:lang w:val="cs-CZ"/>
        </w:rPr>
        <w:t xml:space="preserve"> její </w:t>
      </w:r>
      <w:r w:rsidR="00A279CF" w:rsidRPr="00A279CF">
        <w:rPr>
          <w:lang w:val="cs-CZ"/>
        </w:rPr>
        <w:t xml:space="preserve">doporučení zahájit postup k tomu, aby získal oficiální rozhodnutí o zadání veřejné zakázky. </w:t>
      </w:r>
      <w:r w:rsidR="00A279CF">
        <w:rPr>
          <w:lang w:val="cs-CZ"/>
        </w:rPr>
        <w:t xml:space="preserve">Po schválení veřejné zakázky musí zadavatelé co nejdříve písemně informovat úspěšného uchazeče o tom, že jeho nabídka byla přijata k zadání zakázky. Neúspěšní uchazeči musí být rovněž informováni o rozhodnutí o </w:t>
      </w:r>
      <w:r w:rsidR="001D6CD9">
        <w:rPr>
          <w:lang w:val="cs-CZ"/>
        </w:rPr>
        <w:t>zadání zakázky a jeho důvodech</w:t>
      </w:r>
      <w:r w:rsidR="00A279CF">
        <w:rPr>
          <w:lang w:val="cs-CZ"/>
        </w:rPr>
        <w:t>.</w:t>
      </w:r>
      <w:r w:rsidR="000641E4">
        <w:rPr>
          <w:lang w:val="cs-CZ"/>
        </w:rPr>
        <w:t xml:space="preserve"> Oznámení o zadání zakázky m</w:t>
      </w:r>
      <w:r w:rsidR="00A279CF">
        <w:rPr>
          <w:lang w:val="cs-CZ"/>
        </w:rPr>
        <w:t xml:space="preserve">usí obsahovat shrnutí </w:t>
      </w:r>
      <w:r w:rsidR="00FC6E46">
        <w:rPr>
          <w:lang w:val="cs-CZ"/>
        </w:rPr>
        <w:t>důvodů pro rozhodnutí, a zej</w:t>
      </w:r>
      <w:r w:rsidR="001D6CD9">
        <w:rPr>
          <w:lang w:val="cs-CZ"/>
        </w:rPr>
        <w:t xml:space="preserve">ména jméno úspěšného uchazeče, přičemž i </w:t>
      </w:r>
      <w:r w:rsidR="00FC6E46">
        <w:rPr>
          <w:lang w:val="cs-CZ"/>
        </w:rPr>
        <w:t>souvisejí</w:t>
      </w:r>
      <w:r w:rsidR="006C0094">
        <w:rPr>
          <w:lang w:val="cs-CZ"/>
        </w:rPr>
        <w:t>cí výhody spočívající ve vybrání</w:t>
      </w:r>
      <w:r w:rsidR="00FC6E46">
        <w:rPr>
          <w:lang w:val="cs-CZ"/>
        </w:rPr>
        <w:t xml:space="preserve"> jeho nabídky.</w:t>
      </w:r>
      <w:r w:rsidR="00E24B04">
        <w:rPr>
          <w:rStyle w:val="FootnoteReference"/>
          <w:lang w:val="cs-CZ"/>
        </w:rPr>
        <w:footnoteReference w:id="133"/>
      </w:r>
      <w:r w:rsidR="00FC6E46">
        <w:rPr>
          <w:lang w:val="cs-CZ"/>
        </w:rPr>
        <w:t xml:space="preserve"> </w:t>
      </w:r>
    </w:p>
    <w:p w14:paraId="714D7372" w14:textId="7D0270DA" w:rsidR="00FC6E46" w:rsidRDefault="00FC6E46" w:rsidP="00A279CF">
      <w:pPr>
        <w:ind w:firstLine="698"/>
        <w:rPr>
          <w:lang w:val="cs-CZ"/>
        </w:rPr>
      </w:pPr>
      <w:r>
        <w:rPr>
          <w:lang w:val="cs-CZ"/>
        </w:rPr>
        <w:t>Na žádost jakéhokoliv neúspěšného uchazeče musí zadavatel do 15 dní od obdržení žádosti informovat neúspěšné uchazeče o důvodech odmítnutí jeho nabídky.</w:t>
      </w:r>
      <w:r w:rsidR="00E24B04">
        <w:rPr>
          <w:rStyle w:val="FootnoteReference"/>
          <w:lang w:val="cs-CZ"/>
        </w:rPr>
        <w:footnoteReference w:id="134"/>
      </w:r>
      <w:r>
        <w:rPr>
          <w:lang w:val="cs-CZ"/>
        </w:rPr>
        <w:t xml:space="preserve"> </w:t>
      </w:r>
    </w:p>
    <w:p w14:paraId="67356A6C" w14:textId="373FED78" w:rsidR="00FC6E46" w:rsidRDefault="00FC6E46" w:rsidP="00A279CF">
      <w:pPr>
        <w:ind w:firstLine="698"/>
        <w:rPr>
          <w:lang w:val="cs-CZ"/>
        </w:rPr>
      </w:pPr>
      <w:r>
        <w:rPr>
          <w:lang w:val="cs-CZ"/>
        </w:rPr>
        <w:t xml:space="preserve">Zadání veřejné zakázky může skončit také tak, že nebude zadána, nebude udělena. Taková situace může nastat, pokud by </w:t>
      </w:r>
      <w:r w:rsidR="006C0094">
        <w:rPr>
          <w:lang w:val="cs-CZ"/>
        </w:rPr>
        <w:t xml:space="preserve">nebyly obdrženy žádné nabídky </w:t>
      </w:r>
      <w:r>
        <w:rPr>
          <w:lang w:val="cs-CZ"/>
        </w:rPr>
        <w:t>nebo byly všechny zamítnuty. Specifickou situací vedoucí k neudělení veřejné zakázky by byl případ překro</w:t>
      </w:r>
      <w:r w:rsidR="001803AC">
        <w:rPr>
          <w:lang w:val="cs-CZ"/>
        </w:rPr>
        <w:t xml:space="preserve">čení rozpočtu všech nabídek, nebo </w:t>
      </w:r>
      <w:r>
        <w:rPr>
          <w:lang w:val="cs-CZ"/>
        </w:rPr>
        <w:t>by došlo k podstatným změnám smlouvy.</w:t>
      </w:r>
      <w:r w:rsidR="00E24B04">
        <w:rPr>
          <w:rStyle w:val="FootnoteReference"/>
          <w:lang w:val="cs-CZ"/>
        </w:rPr>
        <w:footnoteReference w:id="135"/>
      </w:r>
      <w:r>
        <w:rPr>
          <w:lang w:val="cs-CZ"/>
        </w:rPr>
        <w:t xml:space="preserve"> </w:t>
      </w:r>
    </w:p>
    <w:p w14:paraId="03BCF8B6" w14:textId="03A9735C" w:rsidR="000641E4" w:rsidRPr="00C4190C" w:rsidRDefault="000641E4" w:rsidP="00A279CF">
      <w:pPr>
        <w:ind w:firstLine="698"/>
        <w:rPr>
          <w:lang w:val="cs-CZ"/>
        </w:rPr>
      </w:pPr>
      <w:r>
        <w:rPr>
          <w:lang w:val="cs-CZ"/>
        </w:rPr>
        <w:t xml:space="preserve">V případě, že se rozhodne veřejný zadavatel zadat veřejnou zakázku, </w:t>
      </w:r>
      <w:r w:rsidR="001D6CD9">
        <w:rPr>
          <w:lang w:val="cs-CZ"/>
        </w:rPr>
        <w:t xml:space="preserve">rozhodne tak komu </w:t>
      </w:r>
      <w:r>
        <w:rPr>
          <w:lang w:val="cs-CZ"/>
        </w:rPr>
        <w:t>veřejnou zakázku zadá</w:t>
      </w:r>
      <w:r w:rsidR="0030086C">
        <w:rPr>
          <w:lang w:val="cs-CZ"/>
        </w:rPr>
        <w:t xml:space="preserve">. Na základě toho </w:t>
      </w:r>
      <w:r w:rsidR="001D6CD9">
        <w:rPr>
          <w:lang w:val="cs-CZ"/>
        </w:rPr>
        <w:t>mohou</w:t>
      </w:r>
      <w:r w:rsidR="0030086C">
        <w:rPr>
          <w:lang w:val="cs-CZ"/>
        </w:rPr>
        <w:t xml:space="preserve"> spolu </w:t>
      </w:r>
      <w:r w:rsidR="001D6CD9">
        <w:rPr>
          <w:lang w:val="cs-CZ"/>
        </w:rPr>
        <w:t xml:space="preserve"> zadavatel s vítězným uchazečem podepsat smlouvu. </w:t>
      </w:r>
      <w:r>
        <w:rPr>
          <w:lang w:val="cs-CZ"/>
        </w:rPr>
        <w:t xml:space="preserve">Oznámení o zadání zakázky musí být zveřejněno </w:t>
      </w:r>
      <w:r w:rsidR="00983BAA">
        <w:rPr>
          <w:lang w:val="cs-CZ"/>
        </w:rPr>
        <w:t xml:space="preserve">v Úředním věstníku EU </w:t>
      </w:r>
      <w:r>
        <w:rPr>
          <w:lang w:val="cs-CZ"/>
        </w:rPr>
        <w:t>do 30 dnů od uzavření smlouvy</w:t>
      </w:r>
      <w:r>
        <w:rPr>
          <w:rStyle w:val="FootnoteReference"/>
          <w:lang w:val="cs-CZ"/>
        </w:rPr>
        <w:footnoteReference w:id="136"/>
      </w:r>
      <w:r>
        <w:rPr>
          <w:lang w:val="cs-CZ"/>
        </w:rPr>
        <w:t>. V případě neudělení veřejné zakázky není zadavatel povinen zveřejnit oznámení o zadání zakázky.</w:t>
      </w:r>
      <w:r w:rsidR="00284B29">
        <w:rPr>
          <w:rStyle w:val="FootnoteReference"/>
          <w:lang w:val="cs-CZ"/>
        </w:rPr>
        <w:footnoteReference w:id="137"/>
      </w:r>
      <w:r>
        <w:rPr>
          <w:lang w:val="cs-CZ"/>
        </w:rPr>
        <w:t xml:space="preserve"> </w:t>
      </w:r>
    </w:p>
    <w:p w14:paraId="65636681" w14:textId="36BFDB7A" w:rsidR="000E1597" w:rsidRPr="000E1597" w:rsidRDefault="000E1597" w:rsidP="009450EB">
      <w:pPr>
        <w:pStyle w:val="ListParagraph"/>
        <w:keepNext/>
        <w:numPr>
          <w:ilvl w:val="2"/>
          <w:numId w:val="21"/>
        </w:numPr>
        <w:ind w:left="1418"/>
        <w:jc w:val="left"/>
        <w:rPr>
          <w:rFonts w:cs="Arial"/>
          <w:b/>
          <w:lang w:val="cs-CZ"/>
        </w:rPr>
      </w:pPr>
      <w:r w:rsidRPr="000E1597">
        <w:rPr>
          <w:rFonts w:cs="Arial"/>
          <w:b/>
          <w:lang w:val="cs-CZ"/>
        </w:rPr>
        <w:lastRenderedPageBreak/>
        <w:t xml:space="preserve">Komparace se zákonem o zadávání veřejných zakázek </w:t>
      </w:r>
      <w:r w:rsidR="003F21E5">
        <w:rPr>
          <w:rFonts w:cs="Arial"/>
          <w:b/>
          <w:lang w:val="cs-CZ"/>
        </w:rPr>
        <w:t>a hlavní chyby zadávání veřejných zakázek v praxi</w:t>
      </w:r>
    </w:p>
    <w:p w14:paraId="1D679FA2" w14:textId="3660722C" w:rsidR="00816D73" w:rsidRDefault="005A62D9" w:rsidP="009450EB">
      <w:pPr>
        <w:keepNext/>
        <w:rPr>
          <w:lang w:val="cs-CZ"/>
        </w:rPr>
      </w:pPr>
      <w:r>
        <w:rPr>
          <w:lang w:val="cs-CZ"/>
        </w:rPr>
        <w:t xml:space="preserve"> </w:t>
      </w:r>
      <w:r w:rsidR="008C2824">
        <w:rPr>
          <w:lang w:val="cs-CZ"/>
        </w:rPr>
        <w:tab/>
        <w:t xml:space="preserve">Největší rozdíly mezi Směrnicí 2014/24/EU a zákonem o zadávání veřejných zakázek v rámci celého procesu </w:t>
      </w:r>
      <w:r w:rsidR="00BB6130">
        <w:rPr>
          <w:lang w:val="cs-CZ"/>
        </w:rPr>
        <w:t xml:space="preserve">zadávání </w:t>
      </w:r>
      <w:r w:rsidR="008C2824">
        <w:rPr>
          <w:lang w:val="cs-CZ"/>
        </w:rPr>
        <w:t xml:space="preserve">můžeme naleznout </w:t>
      </w:r>
      <w:r w:rsidR="00BB6130">
        <w:rPr>
          <w:lang w:val="cs-CZ"/>
        </w:rPr>
        <w:t>právě u</w:t>
      </w:r>
      <w:r w:rsidR="008C2824">
        <w:rPr>
          <w:lang w:val="cs-CZ"/>
        </w:rPr>
        <w:t xml:space="preserve"> zadání zakázky. </w:t>
      </w:r>
      <w:r w:rsidR="00BB6130">
        <w:rPr>
          <w:lang w:val="cs-CZ"/>
        </w:rPr>
        <w:t>Směrnice 2014/24/EU totiž nedef</w:t>
      </w:r>
      <w:r w:rsidR="00740282">
        <w:rPr>
          <w:lang w:val="cs-CZ"/>
        </w:rPr>
        <w:t>inuje samotné uzavření smlouvy. Z</w:t>
      </w:r>
      <w:r w:rsidR="006C0094">
        <w:rPr>
          <w:lang w:val="cs-CZ"/>
        </w:rPr>
        <w:t>působ úpravy uzavřené</w:t>
      </w:r>
      <w:r w:rsidR="000E72A2">
        <w:rPr>
          <w:lang w:val="cs-CZ"/>
        </w:rPr>
        <w:t xml:space="preserve"> smlouvy je</w:t>
      </w:r>
      <w:r w:rsidR="006C0094">
        <w:rPr>
          <w:lang w:val="cs-CZ"/>
        </w:rPr>
        <w:t xml:space="preserve"> přenesen</w:t>
      </w:r>
      <w:r w:rsidR="000E72A2">
        <w:rPr>
          <w:lang w:val="cs-CZ"/>
        </w:rPr>
        <w:t xml:space="preserve"> </w:t>
      </w:r>
      <w:r w:rsidR="006C0094">
        <w:rPr>
          <w:lang w:val="cs-CZ"/>
        </w:rPr>
        <w:t xml:space="preserve">a závisí </w:t>
      </w:r>
      <w:r w:rsidR="000E72A2">
        <w:rPr>
          <w:lang w:val="cs-CZ"/>
        </w:rPr>
        <w:t xml:space="preserve">zcela </w:t>
      </w:r>
      <w:r w:rsidR="006C0094">
        <w:rPr>
          <w:lang w:val="cs-CZ"/>
        </w:rPr>
        <w:t>na národní úpravě</w:t>
      </w:r>
      <w:r w:rsidR="000E72A2">
        <w:rPr>
          <w:lang w:val="cs-CZ"/>
        </w:rPr>
        <w:t>.</w:t>
      </w:r>
      <w:r w:rsidR="000E72A2">
        <w:rPr>
          <w:rStyle w:val="FootnoteReference"/>
          <w:lang w:val="cs-CZ"/>
        </w:rPr>
        <w:footnoteReference w:id="138"/>
      </w:r>
      <w:r w:rsidR="000E72A2">
        <w:rPr>
          <w:lang w:val="cs-CZ"/>
        </w:rPr>
        <w:t xml:space="preserve"> </w:t>
      </w:r>
    </w:p>
    <w:p w14:paraId="3FD48C55" w14:textId="6665B763" w:rsidR="00E02FC8" w:rsidRPr="00816D73" w:rsidRDefault="00E02FC8" w:rsidP="003F21E5">
      <w:pPr>
        <w:rPr>
          <w:lang w:val="cs-CZ"/>
        </w:rPr>
      </w:pPr>
      <w:r>
        <w:rPr>
          <w:lang w:val="cs-CZ"/>
        </w:rPr>
        <w:tab/>
        <w:t>Uzavření smlouvy, která není v souladu s podmínkami stanovenými ve vítězné nabídce je největší chybou, které se mohou zadavatel společně s vítězným uchazečem dopustit. Takovým jednáním je porušena zásada rovného zacházení, kdy například veřejný zadavatel umožnil vítěznému uchazeči splnit smlouvu za pro něj výhodnějších podmínek.</w:t>
      </w:r>
      <w:r>
        <w:rPr>
          <w:rStyle w:val="FootnoteReference"/>
          <w:lang w:val="cs-CZ"/>
        </w:rPr>
        <w:footnoteReference w:id="139"/>
      </w:r>
      <w:r>
        <w:rPr>
          <w:lang w:val="cs-CZ"/>
        </w:rPr>
        <w:t xml:space="preserve"> </w:t>
      </w:r>
    </w:p>
    <w:p w14:paraId="67AC99DA" w14:textId="632F2673" w:rsidR="00357D61" w:rsidRDefault="00146B91" w:rsidP="00630514">
      <w:pPr>
        <w:pStyle w:val="ListParagraph"/>
        <w:numPr>
          <w:ilvl w:val="1"/>
          <w:numId w:val="21"/>
        </w:numPr>
        <w:ind w:left="993" w:hanging="567"/>
        <w:jc w:val="left"/>
        <w:rPr>
          <w:rFonts w:cs="Arial"/>
          <w:b/>
          <w:sz w:val="28"/>
          <w:szCs w:val="28"/>
          <w:lang w:val="cs-CZ"/>
        </w:rPr>
      </w:pPr>
      <w:r>
        <w:rPr>
          <w:rFonts w:cs="Arial"/>
          <w:b/>
          <w:sz w:val="28"/>
          <w:szCs w:val="28"/>
          <w:lang w:val="cs-CZ"/>
        </w:rPr>
        <w:t>Realizace zakázky</w:t>
      </w:r>
    </w:p>
    <w:p w14:paraId="419B35D5" w14:textId="179C0B7B" w:rsidR="00A66125" w:rsidRPr="00A66125" w:rsidRDefault="000641E4" w:rsidP="00A66125">
      <w:pPr>
        <w:ind w:firstLine="720"/>
        <w:rPr>
          <w:lang w:val="cs-CZ"/>
        </w:rPr>
      </w:pPr>
      <w:r w:rsidRPr="00357D61">
        <w:rPr>
          <w:lang w:val="cs-CZ"/>
        </w:rPr>
        <w:t xml:space="preserve">Realizace </w:t>
      </w:r>
      <w:r>
        <w:rPr>
          <w:lang w:val="cs-CZ"/>
        </w:rPr>
        <w:t>veřejné zakázky je poslední fázi celého procesu zadávání veřejné zakázky.</w:t>
      </w:r>
      <w:r w:rsidR="00373F75">
        <w:rPr>
          <w:lang w:val="cs-CZ"/>
        </w:rPr>
        <w:t xml:space="preserve"> </w:t>
      </w:r>
      <w:r w:rsidR="00731D8D">
        <w:rPr>
          <w:lang w:val="cs-CZ"/>
        </w:rPr>
        <w:t xml:space="preserve">V této fázi dochází ke změnám v rámci názvosloví úspěšného uchazeče a zadavatele. Kdy úspěšný uchazeč je od zadání veřejné zakázky nazýván jako dodavatel, který je odpovědný za </w:t>
      </w:r>
      <w:r w:rsidR="00373F75">
        <w:rPr>
          <w:lang w:val="cs-CZ"/>
        </w:rPr>
        <w:t xml:space="preserve">realizaci </w:t>
      </w:r>
      <w:r w:rsidR="00731D8D">
        <w:rPr>
          <w:lang w:val="cs-CZ"/>
        </w:rPr>
        <w:t xml:space="preserve">zakázky </w:t>
      </w:r>
      <w:r w:rsidR="00373F75">
        <w:rPr>
          <w:lang w:val="cs-CZ"/>
        </w:rPr>
        <w:t xml:space="preserve">tím, že dílo, dodávku nebo službu dodá zadavateli. </w:t>
      </w:r>
      <w:r w:rsidR="00731D8D">
        <w:rPr>
          <w:lang w:val="cs-CZ"/>
        </w:rPr>
        <w:t>Realizace veřejné zakázky má za úkon uspokojit potřeby zadavatele tím, že dodavatel zakázku proveden.</w:t>
      </w:r>
      <w:r w:rsidR="00731D8D">
        <w:rPr>
          <w:rStyle w:val="FootnoteReference"/>
          <w:lang w:val="cs-CZ"/>
        </w:rPr>
        <w:footnoteReference w:id="140"/>
      </w:r>
      <w:r w:rsidR="00731D8D">
        <w:rPr>
          <w:lang w:val="cs-CZ"/>
        </w:rPr>
        <w:t xml:space="preserve"> </w:t>
      </w:r>
    </w:p>
    <w:p w14:paraId="2C114552" w14:textId="062B7E86" w:rsidR="000641E4" w:rsidRDefault="001A492B" w:rsidP="00A66125">
      <w:pPr>
        <w:pStyle w:val="ListParagraph"/>
        <w:numPr>
          <w:ilvl w:val="2"/>
          <w:numId w:val="21"/>
        </w:numPr>
        <w:ind w:left="1418"/>
        <w:jc w:val="left"/>
        <w:rPr>
          <w:rFonts w:cs="Arial"/>
          <w:b/>
          <w:lang w:val="cs-CZ"/>
        </w:rPr>
      </w:pPr>
      <w:r>
        <w:rPr>
          <w:rFonts w:cs="Arial"/>
          <w:b/>
          <w:lang w:val="cs-CZ"/>
        </w:rPr>
        <w:t>Realizace</w:t>
      </w:r>
      <w:r w:rsidR="000641E4" w:rsidRPr="00A66125">
        <w:rPr>
          <w:rFonts w:cs="Arial"/>
          <w:b/>
          <w:lang w:val="cs-CZ"/>
        </w:rPr>
        <w:t xml:space="preserve"> dle Směrnice </w:t>
      </w:r>
      <w:r w:rsidR="003F21E5">
        <w:rPr>
          <w:rFonts w:cs="Arial"/>
          <w:b/>
          <w:lang w:val="cs-CZ"/>
        </w:rPr>
        <w:t>2014/24/EU</w:t>
      </w:r>
    </w:p>
    <w:p w14:paraId="55839D33" w14:textId="02021F84" w:rsidR="00552C43" w:rsidRDefault="00552C43" w:rsidP="00552C43">
      <w:pPr>
        <w:ind w:firstLine="720"/>
        <w:rPr>
          <w:lang w:val="cs-CZ"/>
        </w:rPr>
      </w:pPr>
      <w:r>
        <w:rPr>
          <w:lang w:val="cs-CZ"/>
        </w:rPr>
        <w:t>Směrnice 2014/24/EU upravuje tuto konečnou fázi řízení v kapitole IV, kde ji nazývá jako „</w:t>
      </w:r>
      <w:r w:rsidRPr="00552C43">
        <w:rPr>
          <w:i/>
          <w:lang w:val="cs-CZ"/>
        </w:rPr>
        <w:t>plnění veřejné zakázky</w:t>
      </w:r>
      <w:r>
        <w:rPr>
          <w:lang w:val="cs-CZ"/>
        </w:rPr>
        <w:t xml:space="preserve">“. </w:t>
      </w:r>
      <w:r w:rsidR="00D65DAA">
        <w:rPr>
          <w:lang w:val="cs-CZ"/>
        </w:rPr>
        <w:t xml:space="preserve">Jedná se o fázi, kde má být zajištěno plnění veřejné zakázky, tak aby odpovídalo znění uzavřené smlouvy. </w:t>
      </w:r>
    </w:p>
    <w:p w14:paraId="09CCC294" w14:textId="267FBC7C" w:rsidR="00A66125" w:rsidRDefault="00A66125" w:rsidP="00EA19BA">
      <w:pPr>
        <w:ind w:firstLine="720"/>
        <w:rPr>
          <w:lang w:val="cs-CZ"/>
        </w:rPr>
      </w:pPr>
      <w:r>
        <w:rPr>
          <w:lang w:val="cs-CZ"/>
        </w:rPr>
        <w:t xml:space="preserve">Provádění smlouvy o veřejné zakázce </w:t>
      </w:r>
      <w:r w:rsidR="00EA19BA">
        <w:rPr>
          <w:lang w:val="cs-CZ"/>
        </w:rPr>
        <w:t>je mimo jiné r</w:t>
      </w:r>
      <w:r w:rsidR="006C0094">
        <w:rPr>
          <w:lang w:val="cs-CZ"/>
        </w:rPr>
        <w:t xml:space="preserve">ozřazeno do několika úseků, na které </w:t>
      </w:r>
      <w:r>
        <w:rPr>
          <w:lang w:val="cs-CZ"/>
        </w:rPr>
        <w:t xml:space="preserve">musí obě smluvní strany pamatovat a pečlivě </w:t>
      </w:r>
      <w:r w:rsidR="00F2564F">
        <w:rPr>
          <w:lang w:val="cs-CZ"/>
        </w:rPr>
        <w:t xml:space="preserve">je </w:t>
      </w:r>
      <w:r>
        <w:rPr>
          <w:lang w:val="cs-CZ"/>
        </w:rPr>
        <w:t xml:space="preserve">zvážit, </w:t>
      </w:r>
      <w:r w:rsidR="00F2564F">
        <w:rPr>
          <w:lang w:val="cs-CZ"/>
        </w:rPr>
        <w:t xml:space="preserve">a to </w:t>
      </w:r>
      <w:r>
        <w:rPr>
          <w:lang w:val="cs-CZ"/>
        </w:rPr>
        <w:t>počínaje komunikací mezi smluvními stranami, přes úpravu smluv</w:t>
      </w:r>
      <w:r w:rsidR="00C6076F">
        <w:rPr>
          <w:lang w:val="cs-CZ"/>
        </w:rPr>
        <w:t>,</w:t>
      </w:r>
      <w:r>
        <w:rPr>
          <w:lang w:val="cs-CZ"/>
        </w:rPr>
        <w:t xml:space="preserve"> až k předčasnému ukončení smlouvy. Pro obě strany nejvýhodnějším a nejlepším způsobem realizace veřejné zakázky je bezproblémové plnění veřejné zakázky v souladu s uzavřenou smlouvou.</w:t>
      </w:r>
      <w:r w:rsidR="00EA19BA">
        <w:rPr>
          <w:rStyle w:val="FootnoteReference"/>
          <w:lang w:val="cs-CZ"/>
        </w:rPr>
        <w:footnoteReference w:id="141"/>
      </w:r>
      <w:r>
        <w:rPr>
          <w:lang w:val="cs-CZ"/>
        </w:rPr>
        <w:t xml:space="preserve"> </w:t>
      </w:r>
    </w:p>
    <w:p w14:paraId="3C47F1F9" w14:textId="38E3E1BB" w:rsidR="00552C43" w:rsidRDefault="00552C43" w:rsidP="00552C43">
      <w:pPr>
        <w:ind w:firstLine="720"/>
        <w:rPr>
          <w:lang w:val="cs-CZ"/>
        </w:rPr>
      </w:pPr>
      <w:r>
        <w:rPr>
          <w:lang w:val="cs-CZ"/>
        </w:rPr>
        <w:lastRenderedPageBreak/>
        <w:t xml:space="preserve">Směrnice 2014/24/EU </w:t>
      </w:r>
      <w:r w:rsidR="00A66125">
        <w:rPr>
          <w:lang w:val="cs-CZ"/>
        </w:rPr>
        <w:t xml:space="preserve">ovšem </w:t>
      </w:r>
      <w:r>
        <w:rPr>
          <w:lang w:val="cs-CZ"/>
        </w:rPr>
        <w:t>umožňuje veřejným</w:t>
      </w:r>
      <w:r w:rsidR="00F2564F">
        <w:rPr>
          <w:lang w:val="cs-CZ"/>
        </w:rPr>
        <w:t xml:space="preserve"> zadavatelům, aby určili</w:t>
      </w:r>
      <w:r>
        <w:rPr>
          <w:lang w:val="cs-CZ"/>
        </w:rPr>
        <w:t xml:space="preserve"> zvláštní podmínky, za kterých se bude následně veřejná zakázka plnit. Musí</w:t>
      </w:r>
      <w:r w:rsidR="00825089">
        <w:rPr>
          <w:lang w:val="cs-CZ"/>
        </w:rPr>
        <w:t xml:space="preserve"> </w:t>
      </w:r>
      <w:r>
        <w:rPr>
          <w:lang w:val="cs-CZ"/>
        </w:rPr>
        <w:t xml:space="preserve">ovšem </w:t>
      </w:r>
      <w:r w:rsidR="00825089">
        <w:rPr>
          <w:lang w:val="cs-CZ"/>
        </w:rPr>
        <w:t>být tyto zvláštní podmínky</w:t>
      </w:r>
      <w:r>
        <w:rPr>
          <w:lang w:val="cs-CZ"/>
        </w:rPr>
        <w:t xml:space="preserve"> v s</w:t>
      </w:r>
      <w:r w:rsidR="00825089">
        <w:rPr>
          <w:lang w:val="cs-CZ"/>
        </w:rPr>
        <w:t>ouladu</w:t>
      </w:r>
      <w:r>
        <w:rPr>
          <w:lang w:val="cs-CZ"/>
        </w:rPr>
        <w:t xml:space="preserve"> s předmětem zadané veřejné zakázky a </w:t>
      </w:r>
      <w:r w:rsidR="00825089">
        <w:rPr>
          <w:lang w:val="cs-CZ"/>
        </w:rPr>
        <w:t xml:space="preserve">zároveň </w:t>
      </w:r>
      <w:r>
        <w:rPr>
          <w:lang w:val="cs-CZ"/>
        </w:rPr>
        <w:t xml:space="preserve">musí být </w:t>
      </w:r>
      <w:r w:rsidR="00F2564F">
        <w:rPr>
          <w:lang w:val="cs-CZ"/>
        </w:rPr>
        <w:t xml:space="preserve">tyto podmínky </w:t>
      </w:r>
      <w:r>
        <w:rPr>
          <w:lang w:val="cs-CZ"/>
        </w:rPr>
        <w:t>uvedeny již v zadávací dokumentace. Jedná se například o podmínky hospodářské, inovační, environmentální, sociální či aspekty zaměstnanosti.</w:t>
      </w:r>
      <w:r w:rsidR="00770D36">
        <w:rPr>
          <w:rStyle w:val="FootnoteReference"/>
          <w:lang w:val="cs-CZ"/>
        </w:rPr>
        <w:footnoteReference w:id="142"/>
      </w:r>
      <w:r>
        <w:rPr>
          <w:lang w:val="cs-CZ"/>
        </w:rPr>
        <w:t xml:space="preserve"> </w:t>
      </w:r>
    </w:p>
    <w:p w14:paraId="671EF515" w14:textId="01599ACA" w:rsidR="004A53E2" w:rsidRDefault="00BF4BF0" w:rsidP="00960D87">
      <w:pPr>
        <w:ind w:firstLine="720"/>
        <w:rPr>
          <w:lang w:val="cs-CZ"/>
        </w:rPr>
      </w:pPr>
      <w:r>
        <w:rPr>
          <w:lang w:val="cs-CZ"/>
        </w:rPr>
        <w:t>Jako každý smluvní vztah, i vztah na základě zadání</w:t>
      </w:r>
      <w:r w:rsidR="00F13B7F">
        <w:rPr>
          <w:lang w:val="cs-CZ"/>
        </w:rPr>
        <w:t xml:space="preserve"> veřejné zakázky může být v době trvání zakázky změněn</w:t>
      </w:r>
      <w:r w:rsidR="00014E28">
        <w:rPr>
          <w:lang w:val="cs-CZ"/>
        </w:rPr>
        <w:t>, a to i bez nového zadávacího řízení</w:t>
      </w:r>
      <w:r w:rsidR="00F13B7F">
        <w:rPr>
          <w:lang w:val="cs-CZ"/>
        </w:rPr>
        <w:t xml:space="preserve">. </w:t>
      </w:r>
      <w:r w:rsidR="00014E28">
        <w:rPr>
          <w:lang w:val="cs-CZ"/>
        </w:rPr>
        <w:t>Směrnice na tyto sit</w:t>
      </w:r>
      <w:r w:rsidR="004A53E2">
        <w:rPr>
          <w:lang w:val="cs-CZ"/>
        </w:rPr>
        <w:t xml:space="preserve">uace myslí a upravuje v čl. 72, kdy tyto úpravy zakázky jsou povoleny, aniž by bylo nutné provádět nové zadávací řízení, ale pouze ve velmi přísných mezích </w:t>
      </w:r>
      <w:r w:rsidR="00F2564F">
        <w:rPr>
          <w:lang w:val="cs-CZ"/>
        </w:rPr>
        <w:t>a</w:t>
      </w:r>
      <w:r w:rsidR="004A53E2">
        <w:rPr>
          <w:lang w:val="cs-CZ"/>
        </w:rPr>
        <w:t xml:space="preserve"> pouze ve specifických situacích. Obecně lze smlouvy upravit, pokud změny nejsou podstatné. Článek 72 Směrnice 2014/24/EU stanoví šest povolených </w:t>
      </w:r>
      <w:r w:rsidR="001D6CD9">
        <w:rPr>
          <w:lang w:val="cs-CZ"/>
        </w:rPr>
        <w:t>nebo</w:t>
      </w:r>
      <w:r w:rsidR="004A53E2">
        <w:rPr>
          <w:lang w:val="cs-CZ"/>
        </w:rPr>
        <w:t xml:space="preserve"> nepodstatných úprav smlouvy během jejího trvání.</w:t>
      </w:r>
      <w:r w:rsidR="009632F6">
        <w:rPr>
          <w:lang w:val="cs-CZ"/>
        </w:rPr>
        <w:t xml:space="preserve"> Změny jsou povoleny, pokud je tak výslovně stanoveno již v zadávací dokumentaci</w:t>
      </w:r>
      <w:r w:rsidR="00EA532A">
        <w:rPr>
          <w:lang w:val="cs-CZ"/>
        </w:rPr>
        <w:t xml:space="preserve"> v doložkách o přezkumu, kde </w:t>
      </w:r>
      <w:r w:rsidR="009632F6">
        <w:rPr>
          <w:lang w:val="cs-CZ"/>
        </w:rPr>
        <w:t>musí být ustanovení u změnách v zadávací dokumentaci vymezena jasně, přesně a jednoznačně, a tak, aby zahrnovala všechny možné změny, tj. musí být vymezena široce.</w:t>
      </w:r>
      <w:r w:rsidR="00EA532A">
        <w:rPr>
          <w:lang w:val="cs-CZ"/>
        </w:rPr>
        <w:t xml:space="preserve"> Následně je pak možno měnit smlouvu na základě z jednoho z taxativně vyjmenovaného důvodu v čl. 72 odst. 1 písm. a) až e) Směrnice 2014/24/EU. V případě, že je nutné měnit finanční hodnotu ve smlouvě, je nutné postupovat </w:t>
      </w:r>
      <w:r w:rsidR="00F2564F">
        <w:rPr>
          <w:lang w:val="cs-CZ"/>
        </w:rPr>
        <w:t>po</w:t>
      </w:r>
      <w:r w:rsidR="00EA532A">
        <w:rPr>
          <w:lang w:val="cs-CZ"/>
        </w:rPr>
        <w:t xml:space="preserve">dle ustanovení čl. 72 odst. 2 Směrnice 2014/24/EU. Finanční hodnota musí splňovat obě finanční podmínky, tj. </w:t>
      </w:r>
      <w:r w:rsidR="00376C23">
        <w:rPr>
          <w:lang w:val="cs-CZ"/>
        </w:rPr>
        <w:t>musí být finanční hodno</w:t>
      </w:r>
      <w:r w:rsidR="00B35062">
        <w:rPr>
          <w:lang w:val="cs-CZ"/>
        </w:rPr>
        <w:t>t</w:t>
      </w:r>
      <w:r w:rsidR="00376C23">
        <w:rPr>
          <w:lang w:val="cs-CZ"/>
        </w:rPr>
        <w:t>y</w:t>
      </w:r>
      <w:r w:rsidR="00B35062">
        <w:rPr>
          <w:lang w:val="cs-CZ"/>
        </w:rPr>
        <w:t xml:space="preserve"> pod příslušným prahem EU pro danou veřejnou zakázku a musí být menší než 10% původní hodnoty zakázky na služby či dodávky nebo méně něž 10% původní hodnoty u zakázek na stavební práce. </w:t>
      </w:r>
      <w:r w:rsidR="003507D4">
        <w:rPr>
          <w:lang w:val="cs-CZ"/>
        </w:rPr>
        <w:t xml:space="preserve">V případě, že se jedná o podstatnou změnu smlouvy, je nutné, aby </w:t>
      </w:r>
      <w:r w:rsidR="00F2564F">
        <w:rPr>
          <w:lang w:val="cs-CZ"/>
        </w:rPr>
        <w:t>byla uzavřena nová smlouva a s ní je spojen</w:t>
      </w:r>
      <w:r w:rsidR="003507D4">
        <w:rPr>
          <w:lang w:val="cs-CZ"/>
        </w:rPr>
        <w:t xml:space="preserve"> i nový postup zadávání zakázky. Jedná se </w:t>
      </w:r>
      <w:r w:rsidR="00C6076F">
        <w:rPr>
          <w:lang w:val="cs-CZ"/>
        </w:rPr>
        <w:t>o</w:t>
      </w:r>
      <w:r w:rsidR="003507D4">
        <w:rPr>
          <w:lang w:val="cs-CZ"/>
        </w:rPr>
        <w:t xml:space="preserve"> situaci, kdy není možné uspokojit zadavatele, aniž by do</w:t>
      </w:r>
      <w:r w:rsidR="00BB2BAC">
        <w:rPr>
          <w:lang w:val="cs-CZ"/>
        </w:rPr>
        <w:t>šlo k podstatným změnám smlouvy.  J</w:t>
      </w:r>
      <w:r w:rsidR="003507D4">
        <w:rPr>
          <w:lang w:val="cs-CZ"/>
        </w:rPr>
        <w:t xml:space="preserve">edinou možností </w:t>
      </w:r>
      <w:r w:rsidR="00BB2BAC">
        <w:rPr>
          <w:lang w:val="cs-CZ"/>
        </w:rPr>
        <w:t xml:space="preserve">je tak </w:t>
      </w:r>
      <w:r w:rsidR="003507D4">
        <w:rPr>
          <w:lang w:val="cs-CZ"/>
        </w:rPr>
        <w:t>ukončit stávající smlouvu a</w:t>
      </w:r>
      <w:r w:rsidR="00BB2BAC">
        <w:rPr>
          <w:lang w:val="cs-CZ"/>
        </w:rPr>
        <w:t xml:space="preserve"> provézt nové zadávací řízení. Č</w:t>
      </w:r>
      <w:r w:rsidR="003507D4">
        <w:rPr>
          <w:lang w:val="cs-CZ"/>
        </w:rPr>
        <w:t>l. 72 odst. 4 Směrnice 2014/24/EU stanoví, že změny se považují za podstatné a vyžadují nový postup zadávání zakázky, pokud způsobí, že smlouva nebo rámcová dohoda se podstatně liší od původně uzavřené smlouvy.</w:t>
      </w:r>
      <w:r w:rsidR="004A53E2">
        <w:rPr>
          <w:rStyle w:val="FootnoteReference"/>
          <w:lang w:val="cs-CZ"/>
        </w:rPr>
        <w:footnoteReference w:id="143"/>
      </w:r>
      <w:r w:rsidR="004A53E2">
        <w:rPr>
          <w:lang w:val="cs-CZ"/>
        </w:rPr>
        <w:t xml:space="preserve"> </w:t>
      </w:r>
    </w:p>
    <w:p w14:paraId="076A65FB" w14:textId="6593F68C" w:rsidR="00014E28" w:rsidRDefault="00014E28" w:rsidP="00552C43">
      <w:pPr>
        <w:ind w:firstLine="720"/>
        <w:rPr>
          <w:lang w:val="cs-CZ"/>
        </w:rPr>
      </w:pPr>
      <w:r>
        <w:rPr>
          <w:lang w:val="cs-CZ"/>
        </w:rPr>
        <w:lastRenderedPageBreak/>
        <w:t xml:space="preserve">Další nedílnou součástí smluvních vztahů je předčasné ukončení plnění, v tomto případě veřejné zakázky. Směrnice 2014/24/EU upravuje danou situaci v čl. 73, kdy ale pouze dává vodítko členským státům </w:t>
      </w:r>
      <w:r w:rsidR="00C6076F">
        <w:rPr>
          <w:lang w:val="cs-CZ"/>
        </w:rPr>
        <w:t>E</w:t>
      </w:r>
      <w:r>
        <w:rPr>
          <w:lang w:val="cs-CZ"/>
        </w:rPr>
        <w:t xml:space="preserve">vropské unie k tomu, aby </w:t>
      </w:r>
      <w:r w:rsidR="005C7F43">
        <w:rPr>
          <w:lang w:val="cs-CZ"/>
        </w:rPr>
        <w:t xml:space="preserve">byla </w:t>
      </w:r>
      <w:r>
        <w:rPr>
          <w:lang w:val="cs-CZ"/>
        </w:rPr>
        <w:t>m</w:t>
      </w:r>
      <w:r w:rsidR="005C7F43">
        <w:rPr>
          <w:lang w:val="cs-CZ"/>
        </w:rPr>
        <w:t>ožnost ukončení smlouvy na veřejné zakázky ze strany</w:t>
      </w:r>
      <w:r>
        <w:rPr>
          <w:lang w:val="cs-CZ"/>
        </w:rPr>
        <w:t xml:space="preserve"> </w:t>
      </w:r>
      <w:r w:rsidR="005C7F43">
        <w:rPr>
          <w:lang w:val="cs-CZ"/>
        </w:rPr>
        <w:t xml:space="preserve">zadavatele. V případě, že zadavatel přistoupí k takovému kroku, musí být splněna jedna ze tří podmínek uváděných směrnicí 2014/24/EU, a to že byla provedena změna smlouvy, která podstatným způsobem mění znění smlouvy či </w:t>
      </w:r>
      <w:r w:rsidR="004C570D">
        <w:rPr>
          <w:lang w:val="cs-CZ"/>
        </w:rPr>
        <w:t>byl dodavatel odsouzen za jeden z taxativně vyjmenovaných trestných činů uvedených v čl. 57 odst. 1 Směrnice 2014/24/EU nebo v případě, že veřejná zakázka neměla být vůbec zadána z důvodu porušení smluvních povinností vyplývaj</w:t>
      </w:r>
      <w:r w:rsidR="00F2564F">
        <w:rPr>
          <w:lang w:val="cs-CZ"/>
        </w:rPr>
        <w:t xml:space="preserve">ících </w:t>
      </w:r>
      <w:r w:rsidR="00BA1769">
        <w:rPr>
          <w:lang w:val="cs-CZ"/>
        </w:rPr>
        <w:t>ze S</w:t>
      </w:r>
      <w:r w:rsidR="00F2564F">
        <w:rPr>
          <w:lang w:val="cs-CZ"/>
        </w:rPr>
        <w:t xml:space="preserve">měrnice 2014/24/EU nebo </w:t>
      </w:r>
      <w:r w:rsidR="004C570D">
        <w:rPr>
          <w:lang w:val="cs-CZ"/>
        </w:rPr>
        <w:t>zakládajících smluv EU, kdy o daném porušení rozhodl Soudní dvůr</w:t>
      </w:r>
      <w:r w:rsidR="00BB2BAC">
        <w:rPr>
          <w:lang w:val="cs-CZ"/>
        </w:rPr>
        <w:t xml:space="preserve"> EU</w:t>
      </w:r>
      <w:r w:rsidR="004C570D">
        <w:rPr>
          <w:lang w:val="cs-CZ"/>
        </w:rPr>
        <w:t>.</w:t>
      </w:r>
      <w:r w:rsidR="00983BAA">
        <w:rPr>
          <w:rStyle w:val="FootnoteReference"/>
          <w:lang w:val="cs-CZ"/>
        </w:rPr>
        <w:footnoteReference w:id="144"/>
      </w:r>
      <w:r w:rsidR="004C570D">
        <w:rPr>
          <w:lang w:val="cs-CZ"/>
        </w:rPr>
        <w:t xml:space="preserve"> </w:t>
      </w:r>
    </w:p>
    <w:p w14:paraId="08E72AAC" w14:textId="5ECC1490" w:rsidR="003F21E5" w:rsidRPr="003F21E5" w:rsidRDefault="00064E5E" w:rsidP="003F21E5">
      <w:pPr>
        <w:ind w:firstLine="720"/>
        <w:rPr>
          <w:lang w:val="cs-CZ"/>
        </w:rPr>
      </w:pPr>
      <w:r>
        <w:rPr>
          <w:lang w:val="cs-CZ"/>
        </w:rPr>
        <w:t>Nedílnou součástí zadávání veřejných zakázek je jejich archivace. Před tímto krokem je dobré uspořádat schůzku zadavatel s dodavatelem ohledně porovnání předpokladů veřejné zakázky a samotného uskutečnění veřejné zakázky.</w:t>
      </w:r>
      <w:r w:rsidR="00922CC9">
        <w:rPr>
          <w:rStyle w:val="FootnoteReference"/>
          <w:lang w:val="cs-CZ"/>
        </w:rPr>
        <w:footnoteReference w:id="145"/>
      </w:r>
      <w:r>
        <w:rPr>
          <w:lang w:val="cs-CZ"/>
        </w:rPr>
        <w:t xml:space="preserve"> </w:t>
      </w:r>
    </w:p>
    <w:p w14:paraId="42FA70C1" w14:textId="77777777" w:rsidR="003F21E5" w:rsidRPr="00A66125" w:rsidRDefault="003F21E5" w:rsidP="003F21E5">
      <w:pPr>
        <w:pStyle w:val="ListParagraph"/>
        <w:numPr>
          <w:ilvl w:val="2"/>
          <w:numId w:val="21"/>
        </w:numPr>
        <w:ind w:left="1418"/>
        <w:jc w:val="left"/>
        <w:rPr>
          <w:rFonts w:cs="Arial"/>
          <w:b/>
          <w:lang w:val="cs-CZ"/>
        </w:rPr>
      </w:pPr>
      <w:r>
        <w:rPr>
          <w:rFonts w:cs="Arial"/>
          <w:b/>
          <w:lang w:val="cs-CZ"/>
        </w:rPr>
        <w:t>Komparace se zákonem o zadávání veřejných zakázek a hlavní problémy praxe</w:t>
      </w:r>
    </w:p>
    <w:p w14:paraId="5FEF6A5D" w14:textId="21497D58" w:rsidR="00CB1E12" w:rsidRDefault="00F05A4E" w:rsidP="00CB1E12">
      <w:pPr>
        <w:ind w:firstLine="698"/>
        <w:rPr>
          <w:lang w:val="cs-CZ"/>
        </w:rPr>
      </w:pPr>
      <w:r>
        <w:rPr>
          <w:lang w:val="cs-CZ"/>
        </w:rPr>
        <w:t xml:space="preserve">Co se týká </w:t>
      </w:r>
      <w:r w:rsidR="00786965">
        <w:rPr>
          <w:lang w:val="cs-CZ"/>
        </w:rPr>
        <w:t xml:space="preserve">změny smlouvy na zadanou veřejnou zakázku ve znění zákona o zadávání veřejných zakázek, musí být brán ohled na judikaturu Soudního dvora Evropské unie, zejména rozsudku ze dne 19. 6. 2008, ve věci </w:t>
      </w:r>
      <w:proofErr w:type="spellStart"/>
      <w:r w:rsidR="004C2418">
        <w:rPr>
          <w:lang w:val="cs-CZ"/>
        </w:rPr>
        <w:t>P</w:t>
      </w:r>
      <w:r w:rsidR="00786965" w:rsidRPr="00786965">
        <w:rPr>
          <w:lang w:val="cs-CZ"/>
        </w:rPr>
        <w:t>ressetext</w:t>
      </w:r>
      <w:proofErr w:type="spellEnd"/>
      <w:r w:rsidR="00786965" w:rsidRPr="00786965">
        <w:rPr>
          <w:lang w:val="cs-CZ"/>
        </w:rPr>
        <w:t xml:space="preserve"> </w:t>
      </w:r>
      <w:proofErr w:type="spellStart"/>
      <w:r w:rsidR="00786965" w:rsidRPr="00786965">
        <w:rPr>
          <w:lang w:val="cs-CZ"/>
        </w:rPr>
        <w:t>Nachrichtenagentur</w:t>
      </w:r>
      <w:proofErr w:type="spellEnd"/>
      <w:r w:rsidR="00786965" w:rsidRPr="00786965">
        <w:rPr>
          <w:lang w:val="cs-CZ"/>
        </w:rPr>
        <w:t xml:space="preserve"> </w:t>
      </w:r>
      <w:proofErr w:type="spellStart"/>
      <w:r w:rsidR="00786965" w:rsidRPr="00786965">
        <w:rPr>
          <w:lang w:val="cs-CZ"/>
        </w:rPr>
        <w:t>GmbH</w:t>
      </w:r>
      <w:proofErr w:type="spellEnd"/>
      <w:r w:rsidR="00786965">
        <w:rPr>
          <w:lang w:val="cs-CZ"/>
        </w:rPr>
        <w:t xml:space="preserve"> proti Rakousku, C-454/06, který vymezuje co je podstatné a nepodstatné změny veřejné zakázky během doby trvání.</w:t>
      </w:r>
      <w:r w:rsidR="00786965">
        <w:rPr>
          <w:rStyle w:val="FootnoteReference"/>
          <w:lang w:val="cs-CZ"/>
        </w:rPr>
        <w:footnoteReference w:id="146"/>
      </w:r>
      <w:r w:rsidR="00786965">
        <w:rPr>
          <w:lang w:val="cs-CZ"/>
        </w:rPr>
        <w:t xml:space="preserve">  </w:t>
      </w:r>
      <w:r w:rsidR="00CB1E12">
        <w:rPr>
          <w:lang w:val="cs-CZ"/>
        </w:rPr>
        <w:t>Veřejný zadavatel má pak z hlediska českého práva na výběr učinit změn smlouvy pomocí novace či narovnání nebo v mezním případě provést nové řízení.</w:t>
      </w:r>
      <w:r w:rsidR="00CB1E12">
        <w:rPr>
          <w:rStyle w:val="FootnoteReference"/>
          <w:lang w:val="cs-CZ"/>
        </w:rPr>
        <w:footnoteReference w:id="147"/>
      </w:r>
      <w:r w:rsidR="00CB1E12">
        <w:rPr>
          <w:lang w:val="cs-CZ"/>
        </w:rPr>
        <w:t xml:space="preserve"> Veřejný zadavatel si může ale i vymínit změnu závazku v souladu s § 100 zákona o zadávání veřejných zakázek. </w:t>
      </w:r>
      <w:r w:rsidR="009A031C">
        <w:rPr>
          <w:lang w:val="cs-CZ"/>
        </w:rPr>
        <w:t xml:space="preserve">Změna smlouvy v průběhu realizace je jedním z možných </w:t>
      </w:r>
      <w:r w:rsidR="0058146B">
        <w:rPr>
          <w:lang w:val="cs-CZ"/>
        </w:rPr>
        <w:t xml:space="preserve">a </w:t>
      </w:r>
      <w:r w:rsidR="0058146B">
        <w:rPr>
          <w:lang w:val="cs-CZ"/>
        </w:rPr>
        <w:lastRenderedPageBreak/>
        <w:t xml:space="preserve">nejčastějších </w:t>
      </w:r>
      <w:r w:rsidR="009A031C">
        <w:rPr>
          <w:lang w:val="cs-CZ"/>
        </w:rPr>
        <w:t>případu chyb v</w:t>
      </w:r>
      <w:r w:rsidR="0058146B">
        <w:rPr>
          <w:lang w:val="cs-CZ"/>
        </w:rPr>
        <w:t> praxi při zadávání veřejných zakázkách.</w:t>
      </w:r>
      <w:r w:rsidR="0058146B">
        <w:rPr>
          <w:rStyle w:val="FootnoteReference"/>
          <w:lang w:val="cs-CZ"/>
        </w:rPr>
        <w:footnoteReference w:id="148"/>
      </w:r>
      <w:r w:rsidR="0058146B">
        <w:rPr>
          <w:lang w:val="cs-CZ"/>
        </w:rPr>
        <w:t xml:space="preserve"> </w:t>
      </w:r>
      <w:r w:rsidR="001F068C">
        <w:rPr>
          <w:lang w:val="cs-CZ"/>
        </w:rPr>
        <w:t xml:space="preserve">Se změnou smlouvy ruku v ruce jdou i chyby způsobované prováděním změny uzavřené smlouvy. </w:t>
      </w:r>
      <w:r w:rsidR="00163842">
        <w:rPr>
          <w:lang w:val="cs-CZ"/>
        </w:rPr>
        <w:t>Zadavatelé se jich nejčastěji dopouštějí tím, že mění smlouvu</w:t>
      </w:r>
      <w:r w:rsidR="00F2564F">
        <w:rPr>
          <w:lang w:val="cs-CZ"/>
        </w:rPr>
        <w:t>,</w:t>
      </w:r>
      <w:r w:rsidR="00163842">
        <w:rPr>
          <w:lang w:val="cs-CZ"/>
        </w:rPr>
        <w:t xml:space="preserve"> aniž by k tomu byly okolnosti vyžadující změnu.</w:t>
      </w:r>
      <w:r w:rsidR="00163842">
        <w:rPr>
          <w:rStyle w:val="FootnoteReference"/>
          <w:lang w:val="cs-CZ"/>
        </w:rPr>
        <w:footnoteReference w:id="149"/>
      </w:r>
      <w:r w:rsidR="00163842">
        <w:rPr>
          <w:lang w:val="cs-CZ"/>
        </w:rPr>
        <w:t xml:space="preserve"> </w:t>
      </w:r>
    </w:p>
    <w:p w14:paraId="212F7DA5" w14:textId="3FCA6ADA" w:rsidR="00FB2DF2" w:rsidRDefault="00F36BB8" w:rsidP="00F05A4E">
      <w:pPr>
        <w:ind w:firstLine="720"/>
        <w:rPr>
          <w:i/>
          <w:lang w:val="cs-CZ"/>
        </w:rPr>
      </w:pPr>
      <w:r w:rsidRPr="00B40126">
        <w:rPr>
          <w:lang w:val="cs-CZ"/>
        </w:rPr>
        <w:t xml:space="preserve">Zákon o zadávání veřejných zakázek na rozdíl od Směrnice 2014/24/EU </w:t>
      </w:r>
      <w:r w:rsidR="00F05A4E" w:rsidRPr="00B40126">
        <w:rPr>
          <w:lang w:val="cs-CZ"/>
        </w:rPr>
        <w:t xml:space="preserve">navíc </w:t>
      </w:r>
      <w:r w:rsidRPr="00B40126">
        <w:rPr>
          <w:lang w:val="cs-CZ"/>
        </w:rPr>
        <w:t>upravuje situaci, že zadavatel, může zrušit zadávací řízení</w:t>
      </w:r>
      <w:r w:rsidR="00B40126" w:rsidRPr="00B40126">
        <w:rPr>
          <w:lang w:val="cs-CZ"/>
        </w:rPr>
        <w:t xml:space="preserve">. </w:t>
      </w:r>
      <w:r w:rsidRPr="00B40126">
        <w:rPr>
          <w:lang w:val="cs-CZ"/>
        </w:rPr>
        <w:t>Z uv</w:t>
      </w:r>
      <w:r>
        <w:rPr>
          <w:lang w:val="cs-CZ"/>
        </w:rPr>
        <w:t>edeného je patrno, že se nejedná o transpozici Směrnice 2014/24/EU, ale o volnou úvahu českého zákonodárce, je</w:t>
      </w:r>
      <w:r w:rsidR="00C6076F">
        <w:rPr>
          <w:lang w:val="cs-CZ"/>
        </w:rPr>
        <w:t>nž</w:t>
      </w:r>
      <w:r>
        <w:rPr>
          <w:lang w:val="cs-CZ"/>
        </w:rPr>
        <w:t xml:space="preserve"> má sloužit k „</w:t>
      </w:r>
      <w:r>
        <w:rPr>
          <w:i/>
          <w:lang w:val="cs-CZ"/>
        </w:rPr>
        <w:t>ochranně hospodářské soutěže před samotným zadavatelem</w:t>
      </w:r>
      <w:r>
        <w:rPr>
          <w:rStyle w:val="FootnoteReference"/>
          <w:i/>
          <w:lang w:val="cs-CZ"/>
        </w:rPr>
        <w:footnoteReference w:id="150"/>
      </w:r>
      <w:r>
        <w:rPr>
          <w:i/>
          <w:lang w:val="cs-CZ"/>
        </w:rPr>
        <w:t xml:space="preserve">“. </w:t>
      </w:r>
      <w:r w:rsidR="00C449D1">
        <w:rPr>
          <w:lang w:val="cs-CZ"/>
        </w:rPr>
        <w:t>Při zrušení zadávacího řízení je nezbytné, aby se zadavatel řídil judikaturou Soudního dvora Evropské unie, který uvádí, že „</w:t>
      </w:r>
      <w:r w:rsidR="00C449D1" w:rsidRPr="00C449D1">
        <w:rPr>
          <w:i/>
          <w:lang w:val="cs-CZ"/>
        </w:rPr>
        <w:t>rozhodnutí o zruše</w:t>
      </w:r>
      <w:r w:rsidR="00C449D1">
        <w:rPr>
          <w:i/>
          <w:lang w:val="cs-CZ"/>
        </w:rPr>
        <w:t>ní zadávacího řízení je v souladu se základními pravidly komunitárního práva v oblasti veřejných zakázek, jako je například zásada rovného zacházení</w:t>
      </w:r>
      <w:r w:rsidR="00F2564F">
        <w:rPr>
          <w:i/>
          <w:lang w:val="cs-CZ"/>
        </w:rPr>
        <w:t>“</w:t>
      </w:r>
      <w:r w:rsidR="00C449D1">
        <w:rPr>
          <w:i/>
          <w:lang w:val="cs-CZ"/>
        </w:rPr>
        <w:t>.</w:t>
      </w:r>
      <w:r w:rsidR="00C449D1">
        <w:rPr>
          <w:rStyle w:val="FootnoteReference"/>
          <w:i/>
          <w:lang w:val="cs-CZ"/>
        </w:rPr>
        <w:footnoteReference w:id="151"/>
      </w:r>
    </w:p>
    <w:p w14:paraId="3A32547A" w14:textId="242B63C4" w:rsidR="000766D8" w:rsidRPr="000766D8" w:rsidRDefault="000766D8" w:rsidP="00F05A4E">
      <w:pPr>
        <w:ind w:firstLine="720"/>
        <w:rPr>
          <w:lang w:val="cs-CZ"/>
        </w:rPr>
      </w:pPr>
      <w:r>
        <w:rPr>
          <w:lang w:val="cs-CZ"/>
        </w:rPr>
        <w:t>Ani v rámci konečné fáze zadávání veřejných zakázek se zadavatelé nevyvarovávají chyb. Často asi aniž by si to sami uvědomili, zadají další zakázku, k již realiz</w:t>
      </w:r>
      <w:r w:rsidR="00F2564F">
        <w:rPr>
          <w:lang w:val="cs-CZ"/>
        </w:rPr>
        <w:t>ované zakázce</w:t>
      </w:r>
      <w:r>
        <w:rPr>
          <w:lang w:val="cs-CZ"/>
        </w:rPr>
        <w:t xml:space="preserve"> na další služby, stavební práce či dodávky bez toho, aby zakázku provedli skrze výběrové zadávací řízení.</w:t>
      </w:r>
      <w:r w:rsidR="00163842">
        <w:rPr>
          <w:rStyle w:val="FootnoteReference"/>
          <w:lang w:val="cs-CZ"/>
        </w:rPr>
        <w:footnoteReference w:id="152"/>
      </w:r>
      <w:r w:rsidR="001F068C">
        <w:rPr>
          <w:lang w:val="cs-CZ"/>
        </w:rPr>
        <w:t xml:space="preserve"> </w:t>
      </w:r>
      <w:r>
        <w:rPr>
          <w:lang w:val="cs-CZ"/>
        </w:rPr>
        <w:t xml:space="preserve"> </w:t>
      </w:r>
    </w:p>
    <w:p w14:paraId="4ACC441F" w14:textId="77777777" w:rsidR="009A031C" w:rsidRPr="009A031C" w:rsidRDefault="009A031C" w:rsidP="00F05A4E">
      <w:pPr>
        <w:ind w:firstLine="720"/>
        <w:rPr>
          <w:lang w:val="cs-CZ"/>
        </w:rPr>
      </w:pPr>
    </w:p>
    <w:p w14:paraId="38883642" w14:textId="77777777" w:rsidR="00F36BB8" w:rsidRDefault="00F36BB8" w:rsidP="003F21E5"/>
    <w:p w14:paraId="5C965539" w14:textId="77777777" w:rsidR="00F36BB8" w:rsidRPr="003F21E5" w:rsidRDefault="00F36BB8" w:rsidP="003F21E5">
      <w:pPr>
        <w:sectPr w:rsidR="00F36BB8" w:rsidRPr="003F21E5" w:rsidSect="005D49F0">
          <w:pgSz w:w="11900" w:h="16840"/>
          <w:pgMar w:top="1418" w:right="1134" w:bottom="1418" w:left="1701" w:header="709" w:footer="709" w:gutter="0"/>
          <w:cols w:space="708"/>
          <w:docGrid w:linePitch="360"/>
        </w:sectPr>
      </w:pPr>
    </w:p>
    <w:p w14:paraId="10317A85" w14:textId="5DDA67FA" w:rsidR="0015138B" w:rsidRDefault="0015138B" w:rsidP="002858FF">
      <w:pPr>
        <w:pStyle w:val="Heading1"/>
        <w:numPr>
          <w:ilvl w:val="0"/>
          <w:numId w:val="19"/>
        </w:numPr>
      </w:pPr>
      <w:r>
        <w:lastRenderedPageBreak/>
        <w:t>Benevolence úprav zadávání veřejných zakázek</w:t>
      </w:r>
      <w:r w:rsidR="00E31901">
        <w:t xml:space="preserve"> </w:t>
      </w:r>
    </w:p>
    <w:p w14:paraId="142FDBEA" w14:textId="6E89FA0C" w:rsidR="00E31901" w:rsidRDefault="00E31901" w:rsidP="00957D85">
      <w:pPr>
        <w:ind w:firstLine="720"/>
        <w:rPr>
          <w:lang w:val="cs-CZ"/>
        </w:rPr>
      </w:pPr>
      <w:r>
        <w:rPr>
          <w:lang w:val="cs-CZ"/>
        </w:rPr>
        <w:t xml:space="preserve">Zákon o zadávání veřejných zakázek v platném a účinném znění je v České republice již od roku 2016, kdy český zákonodárce se snažil pomocí transpozice Směrnice 2014/24/EU do českého právního řádu vtělit úpravu zadávání veřejných zakázek. </w:t>
      </w:r>
      <w:r w:rsidR="00167C26">
        <w:rPr>
          <w:lang w:val="cs-CZ"/>
        </w:rPr>
        <w:t>Přijetí samotného zákona o z</w:t>
      </w:r>
      <w:r w:rsidR="00FD75CF">
        <w:rPr>
          <w:lang w:val="cs-CZ"/>
        </w:rPr>
        <w:t>adávání veřejných zakázek nebylo jednoduché</w:t>
      </w:r>
      <w:r w:rsidR="00167C26">
        <w:rPr>
          <w:lang w:val="cs-CZ"/>
        </w:rPr>
        <w:t>, k jeho první verzi bylo zasláno více jak tisíc připomínek</w:t>
      </w:r>
      <w:r w:rsidR="00167C26">
        <w:rPr>
          <w:rStyle w:val="FootnoteReference"/>
          <w:lang w:val="cs-CZ"/>
        </w:rPr>
        <w:footnoteReference w:id="153"/>
      </w:r>
      <w:r w:rsidR="00A16D40">
        <w:rPr>
          <w:lang w:val="cs-CZ"/>
        </w:rPr>
        <w:t xml:space="preserve">, i proto byla Česká republika z tohoto důvodu terčem kritiky ze strany Evropské komise. </w:t>
      </w:r>
      <w:r w:rsidR="00167C26">
        <w:rPr>
          <w:lang w:val="cs-CZ"/>
        </w:rPr>
        <w:t xml:space="preserve"> </w:t>
      </w:r>
      <w:r w:rsidR="000F7008">
        <w:rPr>
          <w:lang w:val="cs-CZ"/>
        </w:rPr>
        <w:t xml:space="preserve">I přes tuto složitou cestu se domnívám, že </w:t>
      </w:r>
      <w:r w:rsidR="00957D85">
        <w:rPr>
          <w:lang w:val="cs-CZ"/>
        </w:rPr>
        <w:t>Česká republika splnila svou povinnost, která pro ni plyne ze smlouvy o fungování EU, čl. 288, který stanoví, že „</w:t>
      </w:r>
      <w:r w:rsidR="00957D85" w:rsidRPr="00957D85">
        <w:rPr>
          <w:i/>
          <w:lang w:val="cs-CZ"/>
        </w:rPr>
        <w:t>Směrnice je závazná pro každý stát, kterému je</w:t>
      </w:r>
      <w:r w:rsidR="00957D85" w:rsidRPr="00957D85">
        <w:rPr>
          <w:i/>
        </w:rPr>
        <w:t xml:space="preserve"> </w:t>
      </w:r>
      <w:r w:rsidR="00957D85" w:rsidRPr="00957D85">
        <w:rPr>
          <w:i/>
          <w:lang w:val="cs-CZ"/>
        </w:rPr>
        <w:t>určena, pokud jde o výsledek, jehož má být dosaženo, přičemž volba formy a prostředky se ponechává vnitrostátním orgánům</w:t>
      </w:r>
      <w:r w:rsidR="00957D85">
        <w:rPr>
          <w:rStyle w:val="FootnoteReference"/>
          <w:i/>
          <w:lang w:val="cs-CZ"/>
        </w:rPr>
        <w:footnoteReference w:id="154"/>
      </w:r>
      <w:r w:rsidR="00957D85">
        <w:rPr>
          <w:lang w:val="cs-CZ"/>
        </w:rPr>
        <w:t xml:space="preserve">“ a v </w:t>
      </w:r>
      <w:r w:rsidR="000F7008">
        <w:rPr>
          <w:lang w:val="cs-CZ"/>
        </w:rPr>
        <w:t>současné době již je transpo</w:t>
      </w:r>
      <w:r w:rsidR="00FD75CF">
        <w:rPr>
          <w:lang w:val="cs-CZ"/>
        </w:rPr>
        <w:t>zice Směrnice 2014/24/EU úspěšnější</w:t>
      </w:r>
      <w:r w:rsidR="00A16D40">
        <w:rPr>
          <w:lang w:val="cs-CZ"/>
        </w:rPr>
        <w:t xml:space="preserve">. </w:t>
      </w:r>
      <w:r w:rsidR="0042613D">
        <w:rPr>
          <w:lang w:val="cs-CZ"/>
        </w:rPr>
        <w:t>Samozřejmě je nutné pamatovat na to, že úprava veřejných zakázek na poli Evropské unie je úpravou v podobě směrnice, tedy je na každém členském státě</w:t>
      </w:r>
      <w:r w:rsidR="005268D7">
        <w:rPr>
          <w:lang w:val="cs-CZ"/>
        </w:rPr>
        <w:t>,</w:t>
      </w:r>
      <w:r w:rsidR="0042613D">
        <w:rPr>
          <w:lang w:val="cs-CZ"/>
        </w:rPr>
        <w:t xml:space="preserve"> jakou cestu zvolí v rámci povinnosti přijetí této unijní povinnosti.</w:t>
      </w:r>
    </w:p>
    <w:p w14:paraId="45CF2077" w14:textId="403D7059" w:rsidR="00171760" w:rsidRDefault="00171760" w:rsidP="00957D85">
      <w:pPr>
        <w:ind w:firstLine="720"/>
        <w:rPr>
          <w:lang w:val="cs-CZ"/>
        </w:rPr>
      </w:pPr>
      <w:r>
        <w:rPr>
          <w:lang w:val="cs-CZ"/>
        </w:rPr>
        <w:t>Cílem této kapitoly diplomové práce je poukázat na to, která z právních úprav zadávání veřejných zakázek je benevolentnější. Uvedené bych ráda demonstrovala tř</w:t>
      </w:r>
      <w:r w:rsidR="005268D7">
        <w:rPr>
          <w:lang w:val="cs-CZ"/>
        </w:rPr>
        <w:t>e</w:t>
      </w:r>
      <w:r>
        <w:rPr>
          <w:lang w:val="cs-CZ"/>
        </w:rPr>
        <w:t>mi způsoby. Prvním z nich je poukázání na samotné přijímání českého zákona o zadávání veřej</w:t>
      </w:r>
      <w:r w:rsidR="00BA1769">
        <w:rPr>
          <w:lang w:val="cs-CZ"/>
        </w:rPr>
        <w:t>ných zakázek skrze transpozici S</w:t>
      </w:r>
      <w:r>
        <w:rPr>
          <w:lang w:val="cs-CZ"/>
        </w:rPr>
        <w:t>měrnice 2014/24/EU. Druhý způsob shledávám v</w:t>
      </w:r>
      <w:r w:rsidR="00DD2E65">
        <w:rPr>
          <w:lang w:val="cs-CZ"/>
        </w:rPr>
        <w:t> nalezení</w:t>
      </w:r>
      <w:r>
        <w:rPr>
          <w:lang w:val="cs-CZ"/>
        </w:rPr>
        <w:t xml:space="preserve"> odliš</w:t>
      </w:r>
      <w:r w:rsidR="00DD2E65">
        <w:rPr>
          <w:lang w:val="cs-CZ"/>
        </w:rPr>
        <w:t>ností</w:t>
      </w:r>
      <w:r w:rsidR="006F7CB3">
        <w:rPr>
          <w:lang w:val="cs-CZ"/>
        </w:rPr>
        <w:t xml:space="preserve"> dikce právních předpisů</w:t>
      </w:r>
      <w:r w:rsidR="00DD2E65">
        <w:rPr>
          <w:lang w:val="cs-CZ"/>
        </w:rPr>
        <w:t>.  U posledního způsobu, nejsložitějšího, bych chtěla poukázat na rozhodovací praxe</w:t>
      </w:r>
      <w:r w:rsidR="006F7CB3">
        <w:rPr>
          <w:lang w:val="cs-CZ"/>
        </w:rPr>
        <w:t xml:space="preserve"> soudu, zejména </w:t>
      </w:r>
      <w:r w:rsidR="005B5702">
        <w:rPr>
          <w:lang w:val="cs-CZ"/>
        </w:rPr>
        <w:t>Soudního dvora E</w:t>
      </w:r>
      <w:r w:rsidR="00DD2E65">
        <w:rPr>
          <w:lang w:val="cs-CZ"/>
        </w:rPr>
        <w:t xml:space="preserve">vropské unie. </w:t>
      </w:r>
      <w:r w:rsidR="006F7CB3">
        <w:rPr>
          <w:lang w:val="cs-CZ"/>
        </w:rPr>
        <w:t xml:space="preserve"> </w:t>
      </w:r>
    </w:p>
    <w:p w14:paraId="0E1C5C93" w14:textId="1225EBB0" w:rsidR="00171760" w:rsidRDefault="00945CC0" w:rsidP="00171760">
      <w:pPr>
        <w:ind w:firstLine="720"/>
        <w:rPr>
          <w:lang w:val="cs-CZ"/>
        </w:rPr>
      </w:pPr>
      <w:r>
        <w:rPr>
          <w:lang w:val="cs-CZ"/>
        </w:rPr>
        <w:t>Domnívám se, že česká zákonodárce v rámci transpozice Směrnice 2014/24/EU se v určitých částech zákona o zadávání veřejných zakázek pevně držel znění uveden</w:t>
      </w:r>
      <w:r w:rsidR="00A16D40">
        <w:rPr>
          <w:lang w:val="cs-CZ"/>
        </w:rPr>
        <w:t>é S</w:t>
      </w:r>
      <w:r>
        <w:rPr>
          <w:lang w:val="cs-CZ"/>
        </w:rPr>
        <w:t xml:space="preserve">měrnice, naopak v určitých pasážích byl kritizován </w:t>
      </w:r>
      <w:r w:rsidR="005268D7">
        <w:rPr>
          <w:lang w:val="cs-CZ"/>
        </w:rPr>
        <w:t>E</w:t>
      </w:r>
      <w:r>
        <w:rPr>
          <w:lang w:val="cs-CZ"/>
        </w:rPr>
        <w:t xml:space="preserve">vropskou komisí za nedodržení a neúplnou transpozici Směrnice 2014/24/EU. </w:t>
      </w:r>
      <w:r w:rsidR="00940352">
        <w:rPr>
          <w:lang w:val="cs-CZ"/>
        </w:rPr>
        <w:t xml:space="preserve">Poslanecká sněmovna České republiky ve spolupráci s Ministerstvem pro místní rozvoj ČR </w:t>
      </w:r>
      <w:r w:rsidR="003673CC">
        <w:rPr>
          <w:lang w:val="cs-CZ"/>
        </w:rPr>
        <w:t>vytvořila rozdílovou tabulku návrhu předpisu ČR s legislativou EU, kdy</w:t>
      </w:r>
      <w:r w:rsidR="00A16D40">
        <w:rPr>
          <w:lang w:val="cs-CZ"/>
        </w:rPr>
        <w:t xml:space="preserve"> u jednotlivých paragrafů ZZVZ</w:t>
      </w:r>
      <w:r w:rsidR="003673CC">
        <w:rPr>
          <w:lang w:val="cs-CZ"/>
        </w:rPr>
        <w:t xml:space="preserve"> je vyznačena výše shody právě se Směrnicí 2014/24/EU. </w:t>
      </w:r>
      <w:r w:rsidR="003673CC">
        <w:rPr>
          <w:lang w:val="cs-CZ"/>
        </w:rPr>
        <w:lastRenderedPageBreak/>
        <w:t>Nejčastějším vyjádřením u paragrafů je „</w:t>
      </w:r>
      <w:r w:rsidR="003673CC" w:rsidRPr="003673CC">
        <w:rPr>
          <w:i/>
          <w:lang w:val="cs-CZ"/>
        </w:rPr>
        <w:t>obdobná úprava jako ve Směrnici 2014/24/EU</w:t>
      </w:r>
      <w:r w:rsidR="003673CC">
        <w:rPr>
          <w:lang w:val="cs-CZ"/>
        </w:rPr>
        <w:t xml:space="preserve">“. </w:t>
      </w:r>
    </w:p>
    <w:p w14:paraId="641C4BCE" w14:textId="0681516A" w:rsidR="0042613D" w:rsidRDefault="00F6203F" w:rsidP="003F4D1D">
      <w:pPr>
        <w:rPr>
          <w:lang w:val="cs-CZ"/>
        </w:rPr>
      </w:pPr>
      <w:r>
        <w:tab/>
      </w:r>
      <w:r w:rsidR="0016558A" w:rsidRPr="00D5478B">
        <w:rPr>
          <w:lang w:val="cs-CZ"/>
        </w:rPr>
        <w:t xml:space="preserve">Zaměříme-li se </w:t>
      </w:r>
      <w:r w:rsidR="00D5478B" w:rsidRPr="00D5478B">
        <w:rPr>
          <w:lang w:val="cs-CZ"/>
        </w:rPr>
        <w:t xml:space="preserve">na samotný </w:t>
      </w:r>
      <w:r w:rsidR="00D5478B">
        <w:rPr>
          <w:lang w:val="cs-CZ"/>
        </w:rPr>
        <w:t xml:space="preserve">proces přijetí zákona o zadávání veřejných zakázek, můžeme právě </w:t>
      </w:r>
      <w:r w:rsidR="0004162B" w:rsidRPr="00D5478B">
        <w:rPr>
          <w:lang w:val="cs-CZ"/>
        </w:rPr>
        <w:t>skrze něj p</w:t>
      </w:r>
      <w:r w:rsidRPr="00D5478B">
        <w:rPr>
          <w:lang w:val="cs-CZ"/>
        </w:rPr>
        <w:t>rohlásit, že zákon o zadávání veřejnýc</w:t>
      </w:r>
      <w:r w:rsidR="00F2564F" w:rsidRPr="00D5478B">
        <w:rPr>
          <w:lang w:val="cs-CZ"/>
        </w:rPr>
        <w:t>h zakázek</w:t>
      </w:r>
      <w:r w:rsidR="00F2564F">
        <w:rPr>
          <w:lang w:val="cs-CZ"/>
        </w:rPr>
        <w:t xml:space="preserve"> je složitější</w:t>
      </w:r>
      <w:r w:rsidRPr="00F6203F">
        <w:rPr>
          <w:lang w:val="cs-CZ"/>
        </w:rPr>
        <w:t xml:space="preserve"> a</w:t>
      </w:r>
      <w:r>
        <w:rPr>
          <w:lang w:val="cs-CZ"/>
        </w:rPr>
        <w:t xml:space="preserve"> méně benevo</w:t>
      </w:r>
      <w:r w:rsidR="00D5478B">
        <w:rPr>
          <w:lang w:val="cs-CZ"/>
        </w:rPr>
        <w:t>lentnější</w:t>
      </w:r>
      <w:r>
        <w:rPr>
          <w:lang w:val="cs-CZ"/>
        </w:rPr>
        <w:t>.</w:t>
      </w:r>
      <w:r>
        <w:rPr>
          <w:rStyle w:val="FootnoteReference"/>
          <w:lang w:val="cs-CZ"/>
        </w:rPr>
        <w:footnoteReference w:id="155"/>
      </w:r>
      <w:r>
        <w:rPr>
          <w:lang w:val="cs-CZ"/>
        </w:rPr>
        <w:t xml:space="preserve"> </w:t>
      </w:r>
      <w:r w:rsidR="0016558A">
        <w:rPr>
          <w:lang w:val="cs-CZ"/>
        </w:rPr>
        <w:t xml:space="preserve">Jak již jsem uvedla výše, </w:t>
      </w:r>
      <w:r>
        <w:rPr>
          <w:lang w:val="cs-CZ"/>
        </w:rPr>
        <w:t>zákon obsa</w:t>
      </w:r>
      <w:r w:rsidR="006E529D">
        <w:rPr>
          <w:lang w:val="cs-CZ"/>
        </w:rPr>
        <w:t>hoval značnou výši připomínek, a</w:t>
      </w:r>
      <w:r>
        <w:rPr>
          <w:lang w:val="cs-CZ"/>
        </w:rPr>
        <w:t xml:space="preserve"> to zejména ze strany Úřadu pro kontrolu hospodářské soutěže, ministerstev a krajských úřadů. Jejich kritika směřovala na nepřehlednost zákona a nesystematické uspořádání jednotlivých ustanovení zákona.</w:t>
      </w:r>
      <w:r w:rsidR="006233C8">
        <w:rPr>
          <w:lang w:val="cs-CZ"/>
        </w:rPr>
        <w:t xml:space="preserve"> Zákonu bylo vytýkáno i to, že se až přespříliš drží znění Směrnice 2014/24/EU, aniž by jak </w:t>
      </w:r>
      <w:r w:rsidR="000D4E78">
        <w:rPr>
          <w:lang w:val="cs-CZ"/>
        </w:rPr>
        <w:t>podstat obecně směrnice dovoluje, přizpůsobila zákon co nejvíce potřebám konkrétního členského státu. Naštěstí k takto dramatickému přijetí, dá se říci pouze k předkladu Směrnice 2014/24/EU</w:t>
      </w:r>
      <w:r w:rsidR="00A16D40">
        <w:rPr>
          <w:lang w:val="cs-CZ"/>
        </w:rPr>
        <w:t>, nedošlo. Č</w:t>
      </w:r>
      <w:r w:rsidR="000D4E78">
        <w:rPr>
          <w:lang w:val="cs-CZ"/>
        </w:rPr>
        <w:t>eský zákonodárce vydal zákon o zadávání veřejných zakázek v současné platné a účinné podobě.</w:t>
      </w:r>
      <w:r>
        <w:rPr>
          <w:rStyle w:val="FootnoteReference"/>
          <w:lang w:val="cs-CZ"/>
        </w:rPr>
        <w:footnoteReference w:id="156"/>
      </w:r>
      <w:r w:rsidR="000D4E78">
        <w:rPr>
          <w:lang w:val="cs-CZ"/>
        </w:rPr>
        <w:t xml:space="preserve"> </w:t>
      </w:r>
      <w:r w:rsidR="0042613D">
        <w:rPr>
          <w:lang w:val="cs-CZ"/>
        </w:rPr>
        <w:t xml:space="preserve"> </w:t>
      </w:r>
    </w:p>
    <w:p w14:paraId="45B0CCCE" w14:textId="1259C2C8" w:rsidR="00A63CCD" w:rsidRDefault="00A63CCD" w:rsidP="003F4D1D">
      <w:pPr>
        <w:rPr>
          <w:lang w:val="cs-CZ"/>
        </w:rPr>
      </w:pPr>
      <w:r>
        <w:rPr>
          <w:lang w:val="cs-CZ"/>
        </w:rPr>
        <w:tab/>
        <w:t>Asi nejrazantnější zpřísnění můžeme shledat v zákoně o zadávání veřejných zakázek oproti Směrnic</w:t>
      </w:r>
      <w:r w:rsidR="0074370D">
        <w:rPr>
          <w:lang w:val="cs-CZ"/>
        </w:rPr>
        <w:t>i 2014/24/EU při stanovení lhůt.</w:t>
      </w:r>
      <w:r>
        <w:rPr>
          <w:lang w:val="cs-CZ"/>
        </w:rPr>
        <w:t xml:space="preserve"> Český zákonodár</w:t>
      </w:r>
      <w:r w:rsidR="00A16D40">
        <w:rPr>
          <w:lang w:val="cs-CZ"/>
        </w:rPr>
        <w:t>ce zkrátil lhůty, uvedeno</w:t>
      </w:r>
      <w:r w:rsidR="0074370D">
        <w:rPr>
          <w:lang w:val="cs-CZ"/>
        </w:rPr>
        <w:t xml:space="preserve"> na konkrétním případě již zmiňované v této práci, v rámci otevřeného způsob</w:t>
      </w:r>
      <w:r w:rsidR="0042613D">
        <w:rPr>
          <w:lang w:val="cs-CZ"/>
        </w:rPr>
        <w:t xml:space="preserve">u zadávání veřejné zakázky pro podání nabídek. Tato lhůta je českým zákonodárcem snížena ze </w:t>
      </w:r>
      <w:r w:rsidR="005268D7">
        <w:rPr>
          <w:lang w:val="cs-CZ"/>
        </w:rPr>
        <w:t>s</w:t>
      </w:r>
      <w:r w:rsidR="0042613D">
        <w:rPr>
          <w:lang w:val="cs-CZ"/>
        </w:rPr>
        <w:t>měrnicové úpravy 35 dní na 30 dní.</w:t>
      </w:r>
      <w:r w:rsidR="00544E67">
        <w:rPr>
          <w:rStyle w:val="FootnoteReference"/>
          <w:lang w:val="cs-CZ"/>
        </w:rPr>
        <w:footnoteReference w:id="157"/>
      </w:r>
      <w:r w:rsidR="0042613D">
        <w:rPr>
          <w:lang w:val="cs-CZ"/>
        </w:rPr>
        <w:t xml:space="preserve"> Sice to není velký rozdíl, ale domnívám se, že pro kvalitní přípravu nabídky každý den dobrý. Ovšem na druhou stranu je řízení nepatrně rychlejší. </w:t>
      </w:r>
      <w:r w:rsidR="00714650">
        <w:rPr>
          <w:lang w:val="cs-CZ"/>
        </w:rPr>
        <w:t xml:space="preserve">Snížení lhůt oproti Směrnici 2014/24/EU se v zákoně o zadávání veřejných zakázek neobjevuje jen na tomto jediném konkrétním místě, ale </w:t>
      </w:r>
      <w:r w:rsidR="00A16D40">
        <w:rPr>
          <w:lang w:val="cs-CZ"/>
        </w:rPr>
        <w:t>napříč celý</w:t>
      </w:r>
      <w:r w:rsidR="009738F2">
        <w:rPr>
          <w:lang w:val="cs-CZ"/>
        </w:rPr>
        <w:t xml:space="preserve">m zákonem. </w:t>
      </w:r>
    </w:p>
    <w:p w14:paraId="6BD058CF" w14:textId="18923E1D" w:rsidR="009738F2" w:rsidRDefault="009738F2" w:rsidP="009738F2">
      <w:pPr>
        <w:ind w:firstLine="720"/>
        <w:rPr>
          <w:lang w:val="cs-CZ"/>
        </w:rPr>
      </w:pPr>
      <w:r>
        <w:rPr>
          <w:lang w:val="cs-CZ"/>
        </w:rPr>
        <w:t>Další ztížením pro zadavatele, v případě rozhodnutí se použít česká zákon o zadávání veřejných zakázek</w:t>
      </w:r>
      <w:r w:rsidR="0057246A">
        <w:rPr>
          <w:lang w:val="cs-CZ"/>
        </w:rPr>
        <w:t>,</w:t>
      </w:r>
      <w:r>
        <w:rPr>
          <w:lang w:val="cs-CZ"/>
        </w:rPr>
        <w:t xml:space="preserve"> nalezneme v rámci závěrečné fáze zadání zakázky, a to </w:t>
      </w:r>
      <w:r w:rsidR="00A16D40">
        <w:rPr>
          <w:lang w:val="cs-CZ"/>
        </w:rPr>
        <w:t xml:space="preserve">ten </w:t>
      </w:r>
      <w:r>
        <w:rPr>
          <w:lang w:val="cs-CZ"/>
        </w:rPr>
        <w:t xml:space="preserve">že Směrnice 2014/24/EU vůbec nepamatuje na uzavření smlouvy s vybraným uchazečem. Přičemž v tomto případě zákon o zadávání veřejných zakázek přidává zadavateli možnost uzavřít smlouvu s vybraným dodavatelem až po splnění </w:t>
      </w:r>
      <w:r w:rsidR="0057246A">
        <w:rPr>
          <w:lang w:val="cs-CZ"/>
        </w:rPr>
        <w:t>i dalších podmínek, jako je</w:t>
      </w:r>
      <w:r>
        <w:rPr>
          <w:lang w:val="cs-CZ"/>
        </w:rPr>
        <w:t xml:space="preserve"> například úspěšná zkouška vzorku. </w:t>
      </w:r>
    </w:p>
    <w:p w14:paraId="50091AD5" w14:textId="7D99DC8A" w:rsidR="00B27B13" w:rsidRDefault="00B27B13" w:rsidP="0016558A">
      <w:pPr>
        <w:ind w:firstLine="720"/>
        <w:rPr>
          <w:lang w:val="cs-CZ"/>
        </w:rPr>
      </w:pPr>
      <w:r>
        <w:rPr>
          <w:lang w:val="cs-CZ"/>
        </w:rPr>
        <w:lastRenderedPageBreak/>
        <w:t>Zákon o zadávání veřejných zakázek je přísnější než Směrnice 2014/24/EU. Jedním,</w:t>
      </w:r>
      <w:r w:rsidR="00A16D40">
        <w:rPr>
          <w:lang w:val="cs-CZ"/>
        </w:rPr>
        <w:t xml:space="preserve"> dovolím si říci jasným důvodem</w:t>
      </w:r>
      <w:r>
        <w:rPr>
          <w:lang w:val="cs-CZ"/>
        </w:rPr>
        <w:t xml:space="preserve"> je fakt, že zadávání veřejných zakázek je upraveno na evropské úrovni formo</w:t>
      </w:r>
      <w:r w:rsidR="00A16D40">
        <w:rPr>
          <w:lang w:val="cs-CZ"/>
        </w:rPr>
        <w:t>u směrnice, která určuje cíl. Ú</w:t>
      </w:r>
      <w:r>
        <w:rPr>
          <w:lang w:val="cs-CZ"/>
        </w:rPr>
        <w:t xml:space="preserve">prava cesty za stanoveným cílem je ponechána </w:t>
      </w:r>
      <w:r w:rsidR="00A16D40">
        <w:rPr>
          <w:lang w:val="cs-CZ"/>
        </w:rPr>
        <w:t xml:space="preserve">pak </w:t>
      </w:r>
      <w:r>
        <w:rPr>
          <w:lang w:val="cs-CZ"/>
        </w:rPr>
        <w:t>na každém jednotlivém členském státě samostatně. Od zmíněného se odvíjí i veškeré další důvody, které dokazují b</w:t>
      </w:r>
      <w:r w:rsidR="00AD0D46">
        <w:rPr>
          <w:lang w:val="cs-CZ"/>
        </w:rPr>
        <w:t xml:space="preserve">enevolenci Směrnice 2014/24/EU oproti přísnosti zákona o zadávání veřejných zakázek. </w:t>
      </w:r>
    </w:p>
    <w:p w14:paraId="0BF75E0C" w14:textId="73F7EE26" w:rsidR="006F7CB3" w:rsidRDefault="00DA346A" w:rsidP="0016558A">
      <w:pPr>
        <w:ind w:firstLine="720"/>
        <w:rPr>
          <w:lang w:val="cs-CZ"/>
        </w:rPr>
      </w:pPr>
      <w:r>
        <w:rPr>
          <w:lang w:val="cs-CZ"/>
        </w:rPr>
        <w:t xml:space="preserve">Najít rozdíl v rámci judikatury soudního </w:t>
      </w:r>
      <w:r w:rsidR="001B2072">
        <w:rPr>
          <w:lang w:val="cs-CZ"/>
        </w:rPr>
        <w:t>dvora a českých soudu je značný</w:t>
      </w:r>
      <w:r w:rsidR="00A16D40">
        <w:rPr>
          <w:lang w:val="cs-CZ"/>
        </w:rPr>
        <w:t xml:space="preserve"> </w:t>
      </w:r>
      <w:r>
        <w:rPr>
          <w:lang w:val="cs-CZ"/>
        </w:rPr>
        <w:t xml:space="preserve">oříšek. Judikatura </w:t>
      </w:r>
      <w:r w:rsidR="00B40126" w:rsidRPr="00B40126">
        <w:rPr>
          <w:lang w:val="cs-CZ"/>
        </w:rPr>
        <w:t>S</w:t>
      </w:r>
      <w:r w:rsidRPr="00B40126">
        <w:rPr>
          <w:lang w:val="cs-CZ"/>
        </w:rPr>
        <w:t xml:space="preserve">oudního dvora </w:t>
      </w:r>
      <w:r w:rsidR="00B40126" w:rsidRPr="00B40126">
        <w:rPr>
          <w:lang w:val="cs-CZ"/>
        </w:rPr>
        <w:t>E</w:t>
      </w:r>
      <w:r w:rsidR="0037704B" w:rsidRPr="00B40126">
        <w:rPr>
          <w:lang w:val="cs-CZ"/>
        </w:rPr>
        <w:t>vropské unie se</w:t>
      </w:r>
      <w:r w:rsidR="0037704B">
        <w:rPr>
          <w:lang w:val="cs-CZ"/>
        </w:rPr>
        <w:t xml:space="preserve"> zaměřuje </w:t>
      </w:r>
      <w:r>
        <w:rPr>
          <w:lang w:val="cs-CZ"/>
        </w:rPr>
        <w:t xml:space="preserve">na vymezení </w:t>
      </w:r>
      <w:r w:rsidR="0037704B">
        <w:rPr>
          <w:lang w:val="cs-CZ"/>
        </w:rPr>
        <w:t xml:space="preserve">co nejlepšího </w:t>
      </w:r>
      <w:r>
        <w:rPr>
          <w:lang w:val="cs-CZ"/>
        </w:rPr>
        <w:t xml:space="preserve">právního </w:t>
      </w:r>
      <w:r w:rsidR="0037704B">
        <w:rPr>
          <w:lang w:val="cs-CZ"/>
        </w:rPr>
        <w:t xml:space="preserve">rámce pro členské státy pro </w:t>
      </w:r>
      <w:r>
        <w:rPr>
          <w:lang w:val="cs-CZ"/>
        </w:rPr>
        <w:t>vtělení Směrnice 2014/24/EU do jednotlivých</w:t>
      </w:r>
      <w:r w:rsidR="0037704B">
        <w:rPr>
          <w:lang w:val="cs-CZ"/>
        </w:rPr>
        <w:t xml:space="preserve"> právních řádů. Dá se říci, že judikatura rozvíjí znění Směrnice 2014/24/</w:t>
      </w:r>
      <w:r w:rsidR="0037704B" w:rsidRPr="00B40126">
        <w:rPr>
          <w:lang w:val="cs-CZ"/>
        </w:rPr>
        <w:t xml:space="preserve">EU a dále jej podrobněji vykládá. </w:t>
      </w:r>
      <w:r w:rsidRPr="00B40126">
        <w:rPr>
          <w:lang w:val="cs-CZ"/>
        </w:rPr>
        <w:t xml:space="preserve">Jedním příkladem za všechny může být rozsudek </w:t>
      </w:r>
      <w:r w:rsidR="00B40126" w:rsidRPr="00B40126">
        <w:rPr>
          <w:lang w:val="cs-CZ"/>
        </w:rPr>
        <w:t>S</w:t>
      </w:r>
      <w:r w:rsidRPr="00B40126">
        <w:rPr>
          <w:lang w:val="cs-CZ"/>
        </w:rPr>
        <w:t>oudního dvora EU ve</w:t>
      </w:r>
      <w:r>
        <w:rPr>
          <w:lang w:val="cs-CZ"/>
        </w:rPr>
        <w:t xml:space="preserve"> věci řízení o předběžné otázce v řízení </w:t>
      </w:r>
      <w:proofErr w:type="spellStart"/>
      <w:r>
        <w:rPr>
          <w:lang w:val="cs-CZ"/>
        </w:rPr>
        <w:t>Montte</w:t>
      </w:r>
      <w:proofErr w:type="spellEnd"/>
      <w:r>
        <w:rPr>
          <w:lang w:val="cs-CZ"/>
        </w:rPr>
        <w:t xml:space="preserve"> </w:t>
      </w:r>
      <w:proofErr w:type="spellStart"/>
      <w:r>
        <w:rPr>
          <w:lang w:val="cs-CZ"/>
        </w:rPr>
        <w:t>Sl</w:t>
      </w:r>
      <w:proofErr w:type="spellEnd"/>
      <w:r>
        <w:rPr>
          <w:lang w:val="cs-CZ"/>
        </w:rPr>
        <w:t xml:space="preserve"> proti </w:t>
      </w:r>
      <w:proofErr w:type="spellStart"/>
      <w:r>
        <w:rPr>
          <w:lang w:val="cs-CZ"/>
        </w:rPr>
        <w:t>Musikene</w:t>
      </w:r>
      <w:proofErr w:type="spellEnd"/>
      <w:r>
        <w:rPr>
          <w:lang w:val="cs-CZ"/>
        </w:rPr>
        <w:t>, kdy bylo judikována možnost pro veřejné zadavatele nastavit minimální p</w:t>
      </w:r>
      <w:r w:rsidR="0037704B">
        <w:rPr>
          <w:lang w:val="cs-CZ"/>
        </w:rPr>
        <w:t>ožadavky na technické hodnocení tak, aby v případě, kdy jim bude předložena nabídka, která by nedosáhla na požadované hodnocení, může být vyloučena. Hlavním cílem uvedeného judikátu je zejména výklad článku 66 Směrnice 2014/24/EU tak, aby nebránil vnitrostátní právní úpravě.</w:t>
      </w:r>
      <w:r w:rsidR="0037704B">
        <w:rPr>
          <w:rStyle w:val="FootnoteReference"/>
          <w:lang w:val="cs-CZ"/>
        </w:rPr>
        <w:footnoteReference w:id="158"/>
      </w:r>
      <w:r w:rsidR="0037704B">
        <w:rPr>
          <w:lang w:val="cs-CZ"/>
        </w:rPr>
        <w:t xml:space="preserve"> </w:t>
      </w:r>
    </w:p>
    <w:p w14:paraId="558D5CEC" w14:textId="3561A0B7" w:rsidR="009738F2" w:rsidRDefault="009738F2" w:rsidP="0016558A">
      <w:pPr>
        <w:ind w:firstLine="720"/>
        <w:rPr>
          <w:lang w:val="cs-CZ"/>
        </w:rPr>
      </w:pPr>
      <w:r>
        <w:rPr>
          <w:lang w:val="cs-CZ"/>
        </w:rPr>
        <w:t>Je ovšem hodno říci, že účel</w:t>
      </w:r>
      <w:r w:rsidR="001D4354">
        <w:rPr>
          <w:lang w:val="cs-CZ"/>
        </w:rPr>
        <w:t>em</w:t>
      </w:r>
      <w:r>
        <w:rPr>
          <w:lang w:val="cs-CZ"/>
        </w:rPr>
        <w:t xml:space="preserve"> Směrnice 2014/24/EU </w:t>
      </w:r>
      <w:r w:rsidR="001D4354">
        <w:rPr>
          <w:lang w:val="cs-CZ"/>
        </w:rPr>
        <w:t xml:space="preserve">je </w:t>
      </w:r>
      <w:r>
        <w:rPr>
          <w:lang w:val="cs-CZ"/>
        </w:rPr>
        <w:t>zjednodušení a zefekt</w:t>
      </w:r>
      <w:r w:rsidR="001C434D">
        <w:rPr>
          <w:lang w:val="cs-CZ"/>
        </w:rPr>
        <w:t>i</w:t>
      </w:r>
      <w:r w:rsidR="001B2072">
        <w:rPr>
          <w:lang w:val="cs-CZ"/>
        </w:rPr>
        <w:t xml:space="preserve">vnění celého zadávacího řízení, </w:t>
      </w:r>
      <w:r w:rsidR="001C434D">
        <w:rPr>
          <w:lang w:val="cs-CZ"/>
        </w:rPr>
        <w:t>ze</w:t>
      </w:r>
      <w:r w:rsidR="001B2072">
        <w:rPr>
          <w:lang w:val="cs-CZ"/>
        </w:rPr>
        <w:t>jména tím, aby bylo sníženo</w:t>
      </w:r>
      <w:r w:rsidR="001C434D">
        <w:rPr>
          <w:lang w:val="cs-CZ"/>
        </w:rPr>
        <w:t xml:space="preserve"> administrativní zatížení celého řízení, </w:t>
      </w:r>
      <w:r w:rsidR="001B2072">
        <w:rPr>
          <w:lang w:val="cs-CZ"/>
        </w:rPr>
        <w:t xml:space="preserve">což </w:t>
      </w:r>
      <w:r w:rsidR="001C434D">
        <w:rPr>
          <w:lang w:val="cs-CZ"/>
        </w:rPr>
        <w:t>bylo dodrženo.</w:t>
      </w:r>
      <w:r w:rsidR="001C434D">
        <w:rPr>
          <w:rStyle w:val="FootnoteReference"/>
          <w:lang w:val="cs-CZ"/>
        </w:rPr>
        <w:footnoteReference w:id="159"/>
      </w:r>
      <w:r w:rsidR="001B2072">
        <w:rPr>
          <w:lang w:val="cs-CZ"/>
        </w:rPr>
        <w:t xml:space="preserve">  M</w:t>
      </w:r>
      <w:r w:rsidR="001C434D">
        <w:rPr>
          <w:lang w:val="cs-CZ"/>
        </w:rPr>
        <w:t>yslím</w:t>
      </w:r>
      <w:r w:rsidR="001B2072">
        <w:rPr>
          <w:lang w:val="cs-CZ"/>
        </w:rPr>
        <w:t xml:space="preserve"> si</w:t>
      </w:r>
      <w:r w:rsidR="001C434D">
        <w:rPr>
          <w:lang w:val="cs-CZ"/>
        </w:rPr>
        <w:t>, že</w:t>
      </w:r>
      <w:r w:rsidR="001B2072">
        <w:rPr>
          <w:lang w:val="cs-CZ"/>
        </w:rPr>
        <w:t xml:space="preserve"> právě snížení administrativního zatížení</w:t>
      </w:r>
      <w:r w:rsidR="001C434D">
        <w:rPr>
          <w:lang w:val="cs-CZ"/>
        </w:rPr>
        <w:t xml:space="preserve"> je asi nej</w:t>
      </w:r>
      <w:r w:rsidR="00582419">
        <w:rPr>
          <w:lang w:val="cs-CZ"/>
        </w:rPr>
        <w:t>důležitějším pokrokem</w:t>
      </w:r>
      <w:r w:rsidR="001B2072">
        <w:rPr>
          <w:lang w:val="cs-CZ"/>
        </w:rPr>
        <w:t xml:space="preserve"> pro zadavatele</w:t>
      </w:r>
      <w:r w:rsidR="001C434D">
        <w:rPr>
          <w:lang w:val="cs-CZ"/>
        </w:rPr>
        <w:t xml:space="preserve"> </w:t>
      </w:r>
      <w:r w:rsidR="00582419">
        <w:rPr>
          <w:lang w:val="cs-CZ"/>
        </w:rPr>
        <w:t>v rámci řízení, i z důvodu</w:t>
      </w:r>
      <w:r w:rsidR="001B2072">
        <w:rPr>
          <w:lang w:val="cs-CZ"/>
        </w:rPr>
        <w:t>, že</w:t>
      </w:r>
      <w:r w:rsidR="001C434D">
        <w:rPr>
          <w:lang w:val="cs-CZ"/>
        </w:rPr>
        <w:t xml:space="preserve"> ostatní </w:t>
      </w:r>
      <w:r w:rsidR="001B2072">
        <w:rPr>
          <w:lang w:val="cs-CZ"/>
        </w:rPr>
        <w:t xml:space="preserve">kroky zadávání jsou </w:t>
      </w:r>
      <w:r w:rsidR="001C434D">
        <w:rPr>
          <w:lang w:val="cs-CZ"/>
        </w:rPr>
        <w:t>pro zadavatele z hlediska českého zákona o za</w:t>
      </w:r>
      <w:r w:rsidR="001B2072">
        <w:rPr>
          <w:lang w:val="cs-CZ"/>
        </w:rPr>
        <w:t>dávání veřejných zakázek ztíženy</w:t>
      </w:r>
      <w:r w:rsidR="001C434D">
        <w:rPr>
          <w:lang w:val="cs-CZ"/>
        </w:rPr>
        <w:t xml:space="preserve">. </w:t>
      </w:r>
    </w:p>
    <w:p w14:paraId="5F0790A8" w14:textId="50A67166" w:rsidR="0016558A" w:rsidRDefault="0042613D" w:rsidP="0016558A">
      <w:pPr>
        <w:ind w:firstLine="720"/>
        <w:rPr>
          <w:lang w:val="cs-CZ"/>
        </w:rPr>
      </w:pPr>
      <w:r>
        <w:rPr>
          <w:lang w:val="cs-CZ"/>
        </w:rPr>
        <w:t>V závěru je nutno podotknout, že z</w:t>
      </w:r>
      <w:r w:rsidR="0016558A" w:rsidRPr="00B05137">
        <w:rPr>
          <w:lang w:val="cs-CZ"/>
        </w:rPr>
        <w:t xml:space="preserve">ákon </w:t>
      </w:r>
      <w:r w:rsidR="0016558A">
        <w:rPr>
          <w:lang w:val="cs-CZ"/>
        </w:rPr>
        <w:t>o zadávání veřejných zakázek mapuje ve svém znění proces zadávání veřejných zakázek od zadání nabídky po otevření obál</w:t>
      </w:r>
      <w:r w:rsidR="001B2072">
        <w:rPr>
          <w:lang w:val="cs-CZ"/>
        </w:rPr>
        <w:t>ek až k možnému zrušení uzavřené</w:t>
      </w:r>
      <w:r w:rsidR="0016558A">
        <w:rPr>
          <w:lang w:val="cs-CZ"/>
        </w:rPr>
        <w:t xml:space="preserve"> smlouvy. Ovšem, to nejdůležitější</w:t>
      </w:r>
      <w:r w:rsidR="005268D7">
        <w:rPr>
          <w:lang w:val="cs-CZ"/>
        </w:rPr>
        <w:t>,</w:t>
      </w:r>
      <w:r w:rsidR="0016558A">
        <w:rPr>
          <w:lang w:val="cs-CZ"/>
        </w:rPr>
        <w:t xml:space="preserve"> co by mělo být v rámci zákona řešeno, tj. veřejný užitek z čerpaných veřejných zdrojů </w:t>
      </w:r>
      <w:r w:rsidR="0016558A">
        <w:rPr>
          <w:lang w:val="cs-CZ"/>
        </w:rPr>
        <w:lastRenderedPageBreak/>
        <w:t>je částečně opomenut</w:t>
      </w:r>
      <w:r w:rsidR="001C434D">
        <w:rPr>
          <w:lang w:val="cs-CZ"/>
        </w:rPr>
        <w:t>, i když právě toto bylo klade</w:t>
      </w:r>
      <w:r w:rsidR="005268D7">
        <w:rPr>
          <w:lang w:val="cs-CZ"/>
        </w:rPr>
        <w:t>no</w:t>
      </w:r>
      <w:r w:rsidR="001C434D">
        <w:rPr>
          <w:lang w:val="cs-CZ"/>
        </w:rPr>
        <w:t xml:space="preserve"> jako účel zákona.</w:t>
      </w:r>
      <w:r w:rsidR="0016558A">
        <w:rPr>
          <w:rStyle w:val="FootnoteReference"/>
          <w:lang w:val="cs-CZ"/>
        </w:rPr>
        <w:footnoteReference w:id="160"/>
      </w:r>
      <w:r w:rsidR="0016558A">
        <w:rPr>
          <w:lang w:val="cs-CZ"/>
        </w:rPr>
        <w:t xml:space="preserve"> </w:t>
      </w:r>
      <w:r w:rsidR="00406FAD">
        <w:rPr>
          <w:lang w:val="cs-CZ"/>
        </w:rPr>
        <w:t xml:space="preserve">Domnívám se, že je to chybou, protože tak přetrvá nedůvěra lidí v zadávání veřejných zakázek. </w:t>
      </w:r>
    </w:p>
    <w:p w14:paraId="74E06174" w14:textId="77777777" w:rsidR="0016558A" w:rsidRDefault="0016558A" w:rsidP="003F4D1D">
      <w:pPr>
        <w:rPr>
          <w:lang w:val="cs-CZ"/>
        </w:rPr>
      </w:pPr>
    </w:p>
    <w:p w14:paraId="2E7B1DF7" w14:textId="0047A265" w:rsidR="006E529D" w:rsidRDefault="006E529D" w:rsidP="003F4D1D">
      <w:pPr>
        <w:rPr>
          <w:lang w:val="cs-CZ"/>
        </w:rPr>
      </w:pPr>
      <w:r>
        <w:rPr>
          <w:lang w:val="cs-CZ"/>
        </w:rPr>
        <w:tab/>
        <w:t xml:space="preserve"> </w:t>
      </w:r>
    </w:p>
    <w:p w14:paraId="346DCD13" w14:textId="77777777" w:rsidR="0009382E" w:rsidRDefault="0009382E" w:rsidP="00921DB0">
      <w:pPr>
        <w:pStyle w:val="Heading1"/>
        <w:sectPr w:rsidR="0009382E" w:rsidSect="005D49F0">
          <w:pgSz w:w="11900" w:h="16840"/>
          <w:pgMar w:top="1418" w:right="1134" w:bottom="1418" w:left="1701" w:header="709" w:footer="709" w:gutter="0"/>
          <w:cols w:space="708"/>
          <w:docGrid w:linePitch="360"/>
        </w:sectPr>
      </w:pPr>
    </w:p>
    <w:p w14:paraId="0FA351E6" w14:textId="6A4D5975" w:rsidR="00921DB0" w:rsidRDefault="0015138B" w:rsidP="00921DB0">
      <w:pPr>
        <w:pStyle w:val="Heading1"/>
      </w:pPr>
      <w:r>
        <w:lastRenderedPageBreak/>
        <w:t xml:space="preserve">Závěr </w:t>
      </w:r>
    </w:p>
    <w:p w14:paraId="465DEB1F" w14:textId="48147EF5" w:rsidR="00DA7BF7" w:rsidRDefault="00144A3B" w:rsidP="0097380F">
      <w:pPr>
        <w:rPr>
          <w:lang w:val="cs-CZ"/>
        </w:rPr>
      </w:pPr>
      <w:r>
        <w:rPr>
          <w:lang w:val="cs-CZ"/>
        </w:rPr>
        <w:tab/>
      </w:r>
      <w:r w:rsidR="00F2564F">
        <w:rPr>
          <w:lang w:val="cs-CZ"/>
        </w:rPr>
        <w:t>S problematikou veřejných zakázek a jejich realizací se setkávají občané Evropské unie a Če</w:t>
      </w:r>
      <w:r w:rsidR="001E56AF">
        <w:rPr>
          <w:lang w:val="cs-CZ"/>
        </w:rPr>
        <w:t xml:space="preserve">ské republiky na každém kroku. </w:t>
      </w:r>
      <w:r>
        <w:rPr>
          <w:lang w:val="cs-CZ"/>
        </w:rPr>
        <w:t>Veřejné zakázky</w:t>
      </w:r>
      <w:r w:rsidR="00563820">
        <w:rPr>
          <w:lang w:val="cs-CZ"/>
        </w:rPr>
        <w:t xml:space="preserve"> </w:t>
      </w:r>
      <w:r w:rsidR="00AD0ACB">
        <w:rPr>
          <w:lang w:val="cs-CZ"/>
        </w:rPr>
        <w:t xml:space="preserve">jsou v současné době </w:t>
      </w:r>
      <w:r w:rsidR="0097380F">
        <w:rPr>
          <w:lang w:val="cs-CZ"/>
        </w:rPr>
        <w:t>nedílnou součást</w:t>
      </w:r>
      <w:r w:rsidR="00AD0ACB">
        <w:rPr>
          <w:lang w:val="cs-CZ"/>
        </w:rPr>
        <w:t>í</w:t>
      </w:r>
      <w:r w:rsidR="0097380F">
        <w:rPr>
          <w:lang w:val="cs-CZ"/>
        </w:rPr>
        <w:t xml:space="preserve"> </w:t>
      </w:r>
      <w:r w:rsidR="00F2564F">
        <w:rPr>
          <w:lang w:val="cs-CZ"/>
        </w:rPr>
        <w:t xml:space="preserve">života </w:t>
      </w:r>
      <w:r w:rsidR="00AD0ACB">
        <w:rPr>
          <w:lang w:val="cs-CZ"/>
        </w:rPr>
        <w:t>každého jednotlivce</w:t>
      </w:r>
      <w:r w:rsidR="0097380F">
        <w:rPr>
          <w:lang w:val="cs-CZ"/>
        </w:rPr>
        <w:t xml:space="preserve">. </w:t>
      </w:r>
      <w:r w:rsidR="007B3230">
        <w:rPr>
          <w:lang w:val="cs-CZ"/>
        </w:rPr>
        <w:t xml:space="preserve">Sama </w:t>
      </w:r>
      <w:r w:rsidR="00825AD4">
        <w:rPr>
          <w:lang w:val="cs-CZ"/>
        </w:rPr>
        <w:t>jsem se zamý</w:t>
      </w:r>
      <w:r w:rsidR="00EE1B55">
        <w:rPr>
          <w:lang w:val="cs-CZ"/>
        </w:rPr>
        <w:t>šlela</w:t>
      </w:r>
      <w:r w:rsidR="007B3230">
        <w:rPr>
          <w:lang w:val="cs-CZ"/>
        </w:rPr>
        <w:t xml:space="preserve"> nad tím, </w:t>
      </w:r>
      <w:r w:rsidR="00F2564F">
        <w:rPr>
          <w:lang w:val="cs-CZ"/>
        </w:rPr>
        <w:t xml:space="preserve">kde všude se s nimi setkávám </w:t>
      </w:r>
      <w:r w:rsidR="00D50663">
        <w:rPr>
          <w:lang w:val="cs-CZ"/>
        </w:rPr>
        <w:t xml:space="preserve">v průběhu jednoho dne mého života. </w:t>
      </w:r>
      <w:r w:rsidR="00222D82">
        <w:rPr>
          <w:lang w:val="cs-CZ"/>
        </w:rPr>
        <w:t>Co se týká</w:t>
      </w:r>
      <w:r w:rsidR="00F2564F">
        <w:rPr>
          <w:lang w:val="cs-CZ"/>
        </w:rPr>
        <w:t xml:space="preserve"> </w:t>
      </w:r>
      <w:r w:rsidR="00222D82">
        <w:rPr>
          <w:lang w:val="cs-CZ"/>
        </w:rPr>
        <w:t>veřejných zakázek zadaných</w:t>
      </w:r>
      <w:r w:rsidR="00AD0ACB">
        <w:rPr>
          <w:lang w:val="cs-CZ"/>
        </w:rPr>
        <w:t xml:space="preserve"> evropskými institucemi, zejména</w:t>
      </w:r>
      <w:r w:rsidR="00F2564F">
        <w:rPr>
          <w:lang w:val="cs-CZ"/>
        </w:rPr>
        <w:t xml:space="preserve"> </w:t>
      </w:r>
      <w:r w:rsidR="00DD3E4B">
        <w:rPr>
          <w:lang w:val="cs-CZ"/>
        </w:rPr>
        <w:t>služby či dodávky, které si běžný člověk asi a</w:t>
      </w:r>
      <w:r w:rsidR="00804AB7">
        <w:rPr>
          <w:lang w:val="cs-CZ"/>
        </w:rPr>
        <w:t xml:space="preserve">ni neuvědomí, že </w:t>
      </w:r>
      <w:r w:rsidR="00222D82">
        <w:rPr>
          <w:lang w:val="cs-CZ"/>
        </w:rPr>
        <w:t xml:space="preserve">jejich financování bylo prostřednictvím zadané </w:t>
      </w:r>
      <w:r w:rsidR="00804AB7">
        <w:rPr>
          <w:lang w:val="cs-CZ"/>
        </w:rPr>
        <w:t>veřejné zakázky. Spadají</w:t>
      </w:r>
      <w:r w:rsidR="00F2564F">
        <w:rPr>
          <w:lang w:val="cs-CZ"/>
        </w:rPr>
        <w:t xml:space="preserve"> sem nejrůznější studie </w:t>
      </w:r>
      <w:r w:rsidR="00804AB7">
        <w:rPr>
          <w:lang w:val="cs-CZ"/>
        </w:rPr>
        <w:t>a činnosti, které zajišťují fungování samotné Evropské unie</w:t>
      </w:r>
      <w:r w:rsidR="00F2564F">
        <w:rPr>
          <w:lang w:val="cs-CZ"/>
        </w:rPr>
        <w:t xml:space="preserve"> a jsou </w:t>
      </w:r>
      <w:r w:rsidR="00D50663">
        <w:rPr>
          <w:lang w:val="cs-CZ"/>
        </w:rPr>
        <w:t>nedílnou součástí života každého Evropana</w:t>
      </w:r>
      <w:r w:rsidR="00133E9A">
        <w:rPr>
          <w:rStyle w:val="FootnoteReference"/>
          <w:lang w:val="cs-CZ"/>
        </w:rPr>
        <w:footnoteReference w:id="161"/>
      </w:r>
      <w:r w:rsidR="00D50663">
        <w:rPr>
          <w:lang w:val="cs-CZ"/>
        </w:rPr>
        <w:t xml:space="preserve"> </w:t>
      </w:r>
      <w:r w:rsidR="00F2564F">
        <w:rPr>
          <w:lang w:val="cs-CZ"/>
        </w:rPr>
        <w:t>a základem</w:t>
      </w:r>
      <w:r w:rsidR="00D50663">
        <w:rPr>
          <w:lang w:val="cs-CZ"/>
        </w:rPr>
        <w:t xml:space="preserve"> fungování </w:t>
      </w:r>
      <w:r w:rsidR="00C93920">
        <w:rPr>
          <w:lang w:val="cs-CZ"/>
        </w:rPr>
        <w:t>E</w:t>
      </w:r>
      <w:r w:rsidR="00D50663">
        <w:rPr>
          <w:lang w:val="cs-CZ"/>
        </w:rPr>
        <w:t xml:space="preserve">vropské unie. </w:t>
      </w:r>
      <w:r w:rsidR="001E56AF">
        <w:rPr>
          <w:lang w:val="cs-CZ"/>
        </w:rPr>
        <w:t xml:space="preserve">Co se týče národních veřejných zakázek, ty se </w:t>
      </w:r>
      <w:r w:rsidR="00D50663">
        <w:rPr>
          <w:lang w:val="cs-CZ"/>
        </w:rPr>
        <w:t>objevují</w:t>
      </w:r>
      <w:r w:rsidR="00E2632F">
        <w:rPr>
          <w:lang w:val="cs-CZ"/>
        </w:rPr>
        <w:t xml:space="preserve"> </w:t>
      </w:r>
      <w:r w:rsidR="00AD0ACB">
        <w:rPr>
          <w:lang w:val="cs-CZ"/>
        </w:rPr>
        <w:t xml:space="preserve">od </w:t>
      </w:r>
      <w:r w:rsidR="00804AB7">
        <w:rPr>
          <w:lang w:val="cs-CZ"/>
        </w:rPr>
        <w:t>poskytování</w:t>
      </w:r>
      <w:r w:rsidR="00AD0ACB">
        <w:rPr>
          <w:lang w:val="cs-CZ"/>
        </w:rPr>
        <w:t>m</w:t>
      </w:r>
      <w:r w:rsidR="00804AB7">
        <w:rPr>
          <w:lang w:val="cs-CZ"/>
        </w:rPr>
        <w:t xml:space="preserve"> </w:t>
      </w:r>
      <w:r w:rsidR="009E057D">
        <w:rPr>
          <w:lang w:val="cs-CZ"/>
        </w:rPr>
        <w:t>veřejných služeb v přepravě cestujících</w:t>
      </w:r>
      <w:r w:rsidR="00DA7BF7">
        <w:rPr>
          <w:lang w:val="cs-CZ"/>
        </w:rPr>
        <w:t xml:space="preserve"> formou železniční osobní dopravy pr</w:t>
      </w:r>
      <w:r w:rsidR="00804AB7">
        <w:rPr>
          <w:lang w:val="cs-CZ"/>
        </w:rPr>
        <w:t xml:space="preserve">o cesty do školy či práce, přes </w:t>
      </w:r>
      <w:r w:rsidR="00AD0ACB">
        <w:rPr>
          <w:lang w:val="cs-CZ"/>
        </w:rPr>
        <w:t>vybavení nemocnic, až po poskytování</w:t>
      </w:r>
      <w:r w:rsidR="00F2564F">
        <w:rPr>
          <w:lang w:val="cs-CZ"/>
        </w:rPr>
        <w:t xml:space="preserve"> </w:t>
      </w:r>
      <w:r w:rsidR="00DA7BF7">
        <w:rPr>
          <w:lang w:val="cs-CZ"/>
        </w:rPr>
        <w:t>úklidových služeb veřejných budov. Vybrala jsem namátk</w:t>
      </w:r>
      <w:r w:rsidR="00C93920">
        <w:rPr>
          <w:lang w:val="cs-CZ"/>
        </w:rPr>
        <w:t>ou</w:t>
      </w:r>
      <w:r w:rsidR="00DA7BF7">
        <w:rPr>
          <w:lang w:val="cs-CZ"/>
        </w:rPr>
        <w:t xml:space="preserve"> ze zadaných nadlimitních veřejných zakázek Jihomoravského kraje, dvě často se opakující veřejné zakázky a jednu specifickou veřejnou zakázku, která ovšem zasáhla do životů téměř každého obyvatele druhého největšího kraje v České republice.</w:t>
      </w:r>
      <w:r w:rsidR="00DA7BF7">
        <w:rPr>
          <w:rStyle w:val="FootnoteReference"/>
          <w:lang w:val="cs-CZ"/>
        </w:rPr>
        <w:footnoteReference w:id="162"/>
      </w:r>
      <w:r w:rsidR="00DA7BF7">
        <w:rPr>
          <w:lang w:val="cs-CZ"/>
        </w:rPr>
        <w:t xml:space="preserve"> </w:t>
      </w:r>
    </w:p>
    <w:p w14:paraId="4304EED0" w14:textId="586C0C95" w:rsidR="00921DB0" w:rsidRDefault="00921DB0" w:rsidP="00921DB0">
      <w:pPr>
        <w:ind w:firstLine="720"/>
        <w:rPr>
          <w:lang w:val="cs-CZ"/>
        </w:rPr>
      </w:pPr>
      <w:r w:rsidRPr="00921DB0">
        <w:rPr>
          <w:lang w:val="cs-CZ"/>
        </w:rPr>
        <w:t>Cílem</w:t>
      </w:r>
      <w:r w:rsidR="00F2564F">
        <w:rPr>
          <w:lang w:val="cs-CZ"/>
        </w:rPr>
        <w:t xml:space="preserve"> mé diplomové</w:t>
      </w:r>
      <w:r w:rsidRPr="00921DB0">
        <w:rPr>
          <w:lang w:val="cs-CZ"/>
        </w:rPr>
        <w:t xml:space="preserve"> práce </w:t>
      </w:r>
      <w:r>
        <w:rPr>
          <w:lang w:val="cs-CZ"/>
        </w:rPr>
        <w:t>byla analýza rozdílů mezi unijní úpravou zadávání veřejných</w:t>
      </w:r>
      <w:r w:rsidR="00144A3B">
        <w:rPr>
          <w:lang w:val="cs-CZ"/>
        </w:rPr>
        <w:t xml:space="preserve"> zakázek, tj. Směrnicí E</w:t>
      </w:r>
      <w:r>
        <w:rPr>
          <w:lang w:val="cs-CZ"/>
        </w:rPr>
        <w:t>vropského parlamentu a Rady 2014/24/EU a české úpravy zákona o zadávání veřejných zakázek, zejména nastínění ro</w:t>
      </w:r>
      <w:r w:rsidR="00BF5727">
        <w:rPr>
          <w:lang w:val="cs-CZ"/>
        </w:rPr>
        <w:t>zdílu obou úprav zadávání a jejich benevolencí</w:t>
      </w:r>
      <w:r>
        <w:rPr>
          <w:lang w:val="cs-CZ"/>
        </w:rPr>
        <w:t>.</w:t>
      </w:r>
      <w:r w:rsidR="000A24A5">
        <w:rPr>
          <w:lang w:val="cs-CZ"/>
        </w:rPr>
        <w:t xml:space="preserve"> Druhým cílem bylo zjistit nejčastější chyby </w:t>
      </w:r>
      <w:r>
        <w:rPr>
          <w:lang w:val="cs-CZ"/>
        </w:rPr>
        <w:t xml:space="preserve"> </w:t>
      </w:r>
      <w:r w:rsidR="000A24A5">
        <w:rPr>
          <w:lang w:val="cs-CZ"/>
        </w:rPr>
        <w:t xml:space="preserve">zadavatelů při zadávání veřejné zakázky a zejména možnosti jak těmto chybám předejít. </w:t>
      </w:r>
    </w:p>
    <w:p w14:paraId="1409E914" w14:textId="0AB1518E" w:rsidR="00921DB0" w:rsidRDefault="00921DB0" w:rsidP="00BF5727">
      <w:pPr>
        <w:ind w:firstLine="720"/>
        <w:rPr>
          <w:lang w:val="cs-CZ"/>
        </w:rPr>
      </w:pPr>
      <w:r>
        <w:rPr>
          <w:lang w:val="cs-CZ"/>
        </w:rPr>
        <w:t xml:space="preserve">Český zákonodárce byl s ohledem na zadavatele přísnější než ten evropský. Český zákon o zadávání veřejných zakázek v mnoha případech zpřísňuje systém </w:t>
      </w:r>
      <w:r w:rsidR="00BF5727">
        <w:rPr>
          <w:lang w:val="cs-CZ"/>
        </w:rPr>
        <w:t>zadávání veřejných zakázek, nabádá</w:t>
      </w:r>
      <w:r>
        <w:rPr>
          <w:lang w:val="cs-CZ"/>
        </w:rPr>
        <w:t xml:space="preserve"> zadavatele k</w:t>
      </w:r>
      <w:r w:rsidR="00694D76">
        <w:rPr>
          <w:lang w:val="cs-CZ"/>
        </w:rPr>
        <w:t> precizn</w:t>
      </w:r>
      <w:r w:rsidR="00222D82">
        <w:rPr>
          <w:lang w:val="cs-CZ"/>
        </w:rPr>
        <w:t>ějšímu zadávání veřejné zakázky</w:t>
      </w:r>
      <w:r w:rsidR="00BF5727">
        <w:rPr>
          <w:lang w:val="cs-CZ"/>
        </w:rPr>
        <w:t>. Soudní dvůr Evropské unie</w:t>
      </w:r>
      <w:r w:rsidR="00694D76">
        <w:rPr>
          <w:lang w:val="cs-CZ"/>
        </w:rPr>
        <w:t xml:space="preserve"> </w:t>
      </w:r>
      <w:r w:rsidR="00222D82">
        <w:rPr>
          <w:lang w:val="cs-CZ"/>
        </w:rPr>
        <w:t xml:space="preserve"> </w:t>
      </w:r>
      <w:r w:rsidR="00BF5727">
        <w:rPr>
          <w:lang w:val="cs-CZ"/>
        </w:rPr>
        <w:t xml:space="preserve">nutí </w:t>
      </w:r>
      <w:r w:rsidR="00222D82">
        <w:rPr>
          <w:lang w:val="cs-CZ"/>
        </w:rPr>
        <w:t xml:space="preserve">zadavatele k </w:t>
      </w:r>
      <w:r w:rsidR="00792AF5">
        <w:rPr>
          <w:lang w:val="cs-CZ"/>
        </w:rPr>
        <w:t xml:space="preserve">dodržování základních zásad, a to nejen zásad vymezených ve Směrnici 2014/24/EU, ale i obecných zásad </w:t>
      </w:r>
      <w:r w:rsidR="00792AF5">
        <w:rPr>
          <w:lang w:val="cs-CZ"/>
        </w:rPr>
        <w:lastRenderedPageBreak/>
        <w:t xml:space="preserve">vymezených ve smlouvách o založení evropského společenství, potažmo </w:t>
      </w:r>
      <w:r w:rsidR="00C93920">
        <w:rPr>
          <w:lang w:val="cs-CZ"/>
        </w:rPr>
        <w:t>E</w:t>
      </w:r>
      <w:r w:rsidR="00792AF5">
        <w:rPr>
          <w:lang w:val="cs-CZ"/>
        </w:rPr>
        <w:t>vropské unie</w:t>
      </w:r>
      <w:r w:rsidR="008D67F2">
        <w:rPr>
          <w:lang w:val="cs-CZ"/>
        </w:rPr>
        <w:t xml:space="preserve">, jež jsou </w:t>
      </w:r>
      <w:r w:rsidR="00222D82">
        <w:rPr>
          <w:lang w:val="cs-CZ"/>
        </w:rPr>
        <w:t xml:space="preserve">pak </w:t>
      </w:r>
      <w:r w:rsidR="008D67F2">
        <w:rPr>
          <w:lang w:val="cs-CZ"/>
        </w:rPr>
        <w:t>i nedílnou součástí zákona</w:t>
      </w:r>
      <w:r w:rsidR="00D50663">
        <w:rPr>
          <w:lang w:val="cs-CZ"/>
        </w:rPr>
        <w:t xml:space="preserve"> o zadávání veřejných zakázek. K</w:t>
      </w:r>
      <w:r w:rsidR="008D67F2">
        <w:rPr>
          <w:lang w:val="cs-CZ"/>
        </w:rPr>
        <w:t xml:space="preserve"> tomu, aby </w:t>
      </w:r>
      <w:r w:rsidR="00BF5727">
        <w:rPr>
          <w:lang w:val="cs-CZ"/>
        </w:rPr>
        <w:t>se zákonodárce</w:t>
      </w:r>
      <w:r w:rsidR="008D67F2">
        <w:rPr>
          <w:lang w:val="cs-CZ"/>
        </w:rPr>
        <w:t xml:space="preserve"> neztratil v rámci zadávání veřejných z</w:t>
      </w:r>
      <w:r w:rsidR="00F2564F">
        <w:rPr>
          <w:lang w:val="cs-CZ"/>
        </w:rPr>
        <w:t>akázek</w:t>
      </w:r>
      <w:r w:rsidR="00BF5727">
        <w:rPr>
          <w:lang w:val="cs-CZ"/>
        </w:rPr>
        <w:t>,</w:t>
      </w:r>
      <w:r w:rsidR="008D67F2">
        <w:rPr>
          <w:lang w:val="cs-CZ"/>
        </w:rPr>
        <w:t xml:space="preserve"> je </w:t>
      </w:r>
      <w:r w:rsidR="00F2564F">
        <w:rPr>
          <w:lang w:val="cs-CZ"/>
        </w:rPr>
        <w:t xml:space="preserve">mu </w:t>
      </w:r>
      <w:r w:rsidR="008D67F2">
        <w:rPr>
          <w:lang w:val="cs-CZ"/>
        </w:rPr>
        <w:t xml:space="preserve">značně nápomocna judikatura Soudního dvora Evropské unie, ale i českých soudů. Jsem ráda, že jsem v této práci mohla zdůraznit alespoň </w:t>
      </w:r>
      <w:r w:rsidR="00222D82">
        <w:rPr>
          <w:lang w:val="cs-CZ"/>
        </w:rPr>
        <w:t xml:space="preserve">několik rozhodnutí soudů, ze specifické </w:t>
      </w:r>
      <w:r w:rsidR="00BF5727">
        <w:rPr>
          <w:lang w:val="cs-CZ"/>
        </w:rPr>
        <w:t>množiny rozhodnutí, která</w:t>
      </w:r>
      <w:r w:rsidR="008D67F2">
        <w:rPr>
          <w:lang w:val="cs-CZ"/>
        </w:rPr>
        <w:t xml:space="preserve"> jsou k dispozici zadavatelům, </w:t>
      </w:r>
      <w:r w:rsidR="00D50663">
        <w:rPr>
          <w:lang w:val="cs-CZ"/>
        </w:rPr>
        <w:t xml:space="preserve">ale </w:t>
      </w:r>
      <w:r w:rsidR="008D67F2">
        <w:rPr>
          <w:lang w:val="cs-CZ"/>
        </w:rPr>
        <w:t>nejen těm, i lidem zajímající</w:t>
      </w:r>
      <w:r w:rsidR="00BF5727">
        <w:rPr>
          <w:lang w:val="cs-CZ"/>
        </w:rPr>
        <w:t>m</w:t>
      </w:r>
      <w:r w:rsidR="008D67F2">
        <w:rPr>
          <w:lang w:val="cs-CZ"/>
        </w:rPr>
        <w:t xml:space="preserve"> se o problematiku veřejných zakázek. </w:t>
      </w:r>
    </w:p>
    <w:p w14:paraId="1A1AEAE9" w14:textId="2BA4C925" w:rsidR="008D67F2" w:rsidRDefault="008D67F2" w:rsidP="00921DB0">
      <w:pPr>
        <w:ind w:firstLine="720"/>
        <w:rPr>
          <w:lang w:val="cs-CZ"/>
        </w:rPr>
      </w:pPr>
      <w:r>
        <w:rPr>
          <w:lang w:val="cs-CZ"/>
        </w:rPr>
        <w:t>V závěru své práce bych chtěla zdůrazn</w:t>
      </w:r>
      <w:r w:rsidR="00F2564F">
        <w:rPr>
          <w:lang w:val="cs-CZ"/>
        </w:rPr>
        <w:t>it, že český zákonodárce nebyl při transpozici</w:t>
      </w:r>
      <w:r w:rsidR="00144A3B">
        <w:rPr>
          <w:lang w:val="cs-CZ"/>
        </w:rPr>
        <w:t xml:space="preserve"> Směrnice Evropského parlamentu a Rady příliš </w:t>
      </w:r>
      <w:r w:rsidR="00D50663">
        <w:rPr>
          <w:lang w:val="cs-CZ"/>
        </w:rPr>
        <w:t>„</w:t>
      </w:r>
      <w:r w:rsidR="00144A3B">
        <w:rPr>
          <w:lang w:val="cs-CZ"/>
        </w:rPr>
        <w:t>kreativní</w:t>
      </w:r>
      <w:r w:rsidR="00D50663">
        <w:rPr>
          <w:lang w:val="cs-CZ"/>
        </w:rPr>
        <w:t>“</w:t>
      </w:r>
      <w:r w:rsidR="00144A3B">
        <w:rPr>
          <w:lang w:val="cs-CZ"/>
        </w:rPr>
        <w:t>. Až na drobné odchylky se držel pevně znění Směrnice 2014/24/EU a vycházel z ní. V zákon</w:t>
      </w:r>
      <w:r w:rsidR="00D50663">
        <w:rPr>
          <w:lang w:val="cs-CZ"/>
        </w:rPr>
        <w:t>ě</w:t>
      </w:r>
      <w:r w:rsidR="00144A3B">
        <w:rPr>
          <w:lang w:val="cs-CZ"/>
        </w:rPr>
        <w:t xml:space="preserve"> o zadávání veřejných zakázek můžeme naleznout jen drobné odchylky v rámci procesu zadávání, a ty ke smůle zadavatele</w:t>
      </w:r>
      <w:r w:rsidR="00222D82">
        <w:rPr>
          <w:lang w:val="cs-CZ"/>
        </w:rPr>
        <w:t>, jak jsem již uváděla,</w:t>
      </w:r>
      <w:r w:rsidR="00144A3B">
        <w:rPr>
          <w:lang w:val="cs-CZ"/>
        </w:rPr>
        <w:t xml:space="preserve"> zpřísňují podmínky zadávání veřejných zakázek. </w:t>
      </w:r>
      <w:r w:rsidR="00F2564F">
        <w:rPr>
          <w:lang w:val="cs-CZ"/>
        </w:rPr>
        <w:t>Takto</w:t>
      </w:r>
      <w:r w:rsidR="007F6961">
        <w:rPr>
          <w:lang w:val="cs-CZ"/>
        </w:rPr>
        <w:t xml:space="preserve"> je možné i odpovědět i na druhou výzkumnou otázku práce, benevolence úprav. Z uvedeného vyplývá, že v případě, že by si zadavatel chtěl ulehčit svou práci, úprava Směrnice 2014/24/EU je benevolentnější</w:t>
      </w:r>
      <w:r w:rsidR="00913DAE">
        <w:rPr>
          <w:lang w:val="cs-CZ"/>
        </w:rPr>
        <w:t xml:space="preserve"> a není natolik svazující jak český</w:t>
      </w:r>
      <w:r w:rsidR="00F2564F">
        <w:rPr>
          <w:lang w:val="cs-CZ"/>
        </w:rPr>
        <w:t xml:space="preserve"> zákon o zadávání veřejných zakázek.</w:t>
      </w:r>
    </w:p>
    <w:p w14:paraId="47940F93" w14:textId="3091A68E" w:rsidR="00180763" w:rsidRDefault="00144A3B" w:rsidP="00180763">
      <w:pPr>
        <w:ind w:firstLine="720"/>
        <w:rPr>
          <w:lang w:val="cs-CZ"/>
        </w:rPr>
      </w:pPr>
      <w:r>
        <w:rPr>
          <w:lang w:val="cs-CZ"/>
        </w:rPr>
        <w:t>Směrnice Evropského parlamentu a Rady 2014/24/EU o zadávání veřejných zakázek i český zákon jsou již delší dobu v platnosti a účinnosti, ale stále se domnívám, že zadavatelé si nejsou zcela jistí procesem zadávání veřejných zakázek</w:t>
      </w:r>
      <w:r w:rsidR="00563820">
        <w:rPr>
          <w:lang w:val="cs-CZ"/>
        </w:rPr>
        <w:t xml:space="preserve">. </w:t>
      </w:r>
      <w:r w:rsidR="00563820" w:rsidRPr="003225DF">
        <w:rPr>
          <w:lang w:val="cs-CZ"/>
        </w:rPr>
        <w:t>Kdyby panovala jistota vzhledem k zadávání zakázek,</w:t>
      </w:r>
      <w:r w:rsidRPr="003225DF">
        <w:rPr>
          <w:lang w:val="cs-CZ"/>
        </w:rPr>
        <w:t xml:space="preserve"> nemusela by se má práce vůbec věnovat chybám v rámci zadávání.</w:t>
      </w:r>
      <w:r w:rsidR="00913DAE">
        <w:rPr>
          <w:lang w:val="cs-CZ"/>
        </w:rPr>
        <w:t xml:space="preserve"> Doufám, </w:t>
      </w:r>
      <w:r>
        <w:rPr>
          <w:lang w:val="cs-CZ"/>
        </w:rPr>
        <w:t xml:space="preserve">že </w:t>
      </w:r>
      <w:r w:rsidR="00913DAE">
        <w:rPr>
          <w:lang w:val="cs-CZ"/>
        </w:rPr>
        <w:t xml:space="preserve">se situace </w:t>
      </w:r>
      <w:r>
        <w:rPr>
          <w:lang w:val="cs-CZ"/>
        </w:rPr>
        <w:t xml:space="preserve">zlepší, </w:t>
      </w:r>
      <w:r w:rsidR="009D55EE">
        <w:rPr>
          <w:lang w:val="cs-CZ"/>
        </w:rPr>
        <w:t>zadavatelé</w:t>
      </w:r>
      <w:r w:rsidR="00563820">
        <w:rPr>
          <w:lang w:val="cs-CZ"/>
        </w:rPr>
        <w:t xml:space="preserve"> více </w:t>
      </w:r>
      <w:r w:rsidR="009D55EE">
        <w:rPr>
          <w:lang w:val="cs-CZ"/>
        </w:rPr>
        <w:t xml:space="preserve">propracují </w:t>
      </w:r>
      <w:r w:rsidR="00563820">
        <w:rPr>
          <w:lang w:val="cs-CZ"/>
        </w:rPr>
        <w:t xml:space="preserve">proces </w:t>
      </w:r>
      <w:r w:rsidR="00913DAE">
        <w:rPr>
          <w:lang w:val="cs-CZ"/>
        </w:rPr>
        <w:t xml:space="preserve">zadávání, </w:t>
      </w:r>
      <w:r w:rsidR="00563820">
        <w:rPr>
          <w:lang w:val="cs-CZ"/>
        </w:rPr>
        <w:t>aby zbytečně n</w:t>
      </w:r>
      <w:r w:rsidR="00D50663">
        <w:rPr>
          <w:lang w:val="cs-CZ"/>
        </w:rPr>
        <w:t>emuselo docházet k prodlužování</w:t>
      </w:r>
      <w:r w:rsidR="00563820">
        <w:rPr>
          <w:lang w:val="cs-CZ"/>
        </w:rPr>
        <w:t>, zdržov</w:t>
      </w:r>
      <w:r w:rsidR="00750EB9">
        <w:rPr>
          <w:lang w:val="cs-CZ"/>
        </w:rPr>
        <w:t xml:space="preserve">ání a rušení veřejných zakázek. </w:t>
      </w:r>
      <w:r w:rsidR="00913DAE">
        <w:rPr>
          <w:lang w:val="cs-CZ"/>
        </w:rPr>
        <w:t>Uspokojujícím by bylo, kdyby byl naplněn záměr</w:t>
      </w:r>
      <w:r w:rsidR="00750EB9">
        <w:rPr>
          <w:lang w:val="cs-CZ"/>
        </w:rPr>
        <w:t>, j</w:t>
      </w:r>
      <w:r w:rsidR="00D50663">
        <w:rPr>
          <w:lang w:val="cs-CZ"/>
        </w:rPr>
        <w:t xml:space="preserve">ež si dal Evropská komise, </w:t>
      </w:r>
      <w:r w:rsidR="00C65414">
        <w:rPr>
          <w:lang w:val="cs-CZ"/>
        </w:rPr>
        <w:t>prostřednictvím Směrnice 2014/24/EU</w:t>
      </w:r>
      <w:r w:rsidR="00750EB9">
        <w:rPr>
          <w:lang w:val="cs-CZ"/>
        </w:rPr>
        <w:t xml:space="preserve">, </w:t>
      </w:r>
      <w:r w:rsidR="0046710D">
        <w:rPr>
          <w:lang w:val="cs-CZ"/>
        </w:rPr>
        <w:t>a to „</w:t>
      </w:r>
      <w:r w:rsidR="00D3176D" w:rsidRPr="00D3176D">
        <w:rPr>
          <w:i/>
          <w:lang w:val="cs-CZ"/>
        </w:rPr>
        <w:t>stanovit rámec pro flexibilní zadávání veřejných zakázek</w:t>
      </w:r>
      <w:r w:rsidR="0046710D" w:rsidRPr="00D3176D">
        <w:rPr>
          <w:rStyle w:val="FootnoteReference"/>
          <w:i/>
          <w:lang w:val="cs-CZ"/>
        </w:rPr>
        <w:footnoteReference w:id="163"/>
      </w:r>
      <w:r w:rsidR="0046710D">
        <w:rPr>
          <w:lang w:val="cs-CZ"/>
        </w:rPr>
        <w:t>“</w:t>
      </w:r>
      <w:r w:rsidR="00FB1DB5">
        <w:rPr>
          <w:lang w:val="cs-CZ"/>
        </w:rPr>
        <w:t xml:space="preserve"> a zároveň „</w:t>
      </w:r>
      <w:r w:rsidR="00FB1DB5" w:rsidRPr="00FB1DB5">
        <w:rPr>
          <w:i/>
          <w:lang w:val="cs-CZ"/>
        </w:rPr>
        <w:t>v</w:t>
      </w:r>
      <w:r w:rsidR="00FB1DB5">
        <w:rPr>
          <w:i/>
          <w:lang w:val="cs-CZ"/>
        </w:rPr>
        <w:t xml:space="preserve"> oblasti zadávání veřejných zakázek musí být zajištěno co nejúčinnější využívání veřejných financí a trhy pro zadávání veřejných zakázek musí být pro celou EU otevřené</w:t>
      </w:r>
      <w:r w:rsidR="00FB1DB5">
        <w:rPr>
          <w:rStyle w:val="FootnoteReference"/>
          <w:i/>
          <w:lang w:val="cs-CZ"/>
        </w:rPr>
        <w:footnoteReference w:id="164"/>
      </w:r>
      <w:r w:rsidR="00FB1DB5">
        <w:rPr>
          <w:i/>
          <w:lang w:val="cs-CZ"/>
        </w:rPr>
        <w:t>“</w:t>
      </w:r>
      <w:r w:rsidR="00D3176D">
        <w:rPr>
          <w:lang w:val="cs-CZ"/>
        </w:rPr>
        <w:t>. Ani z</w:t>
      </w:r>
      <w:r w:rsidR="00C65414">
        <w:rPr>
          <w:lang w:val="cs-CZ"/>
        </w:rPr>
        <w:t>ákon o zadávání veřejných zakázek nezůstal pozadu</w:t>
      </w:r>
      <w:r w:rsidR="0046710D">
        <w:rPr>
          <w:lang w:val="cs-CZ"/>
        </w:rPr>
        <w:t xml:space="preserve"> při stanovování cílů</w:t>
      </w:r>
      <w:r w:rsidR="00913DAE">
        <w:rPr>
          <w:lang w:val="cs-CZ"/>
        </w:rPr>
        <w:t>. Záměrem</w:t>
      </w:r>
      <w:r w:rsidR="00750EB9">
        <w:rPr>
          <w:lang w:val="cs-CZ"/>
        </w:rPr>
        <w:t xml:space="preserve"> </w:t>
      </w:r>
      <w:r w:rsidR="00913DAE">
        <w:rPr>
          <w:lang w:val="cs-CZ"/>
        </w:rPr>
        <w:t xml:space="preserve">zákona </w:t>
      </w:r>
      <w:r w:rsidR="00750EB9">
        <w:rPr>
          <w:lang w:val="cs-CZ"/>
        </w:rPr>
        <w:t xml:space="preserve">bylo předejít nejasnostem, jasně stanovit pravidla pro zadávání veřejných zakázek a tyto pravidla nastavit tak, aby bylo předcházeno </w:t>
      </w:r>
      <w:r w:rsidR="00750EB9">
        <w:rPr>
          <w:lang w:val="cs-CZ"/>
        </w:rPr>
        <w:lastRenderedPageBreak/>
        <w:t>nehospodárnému n</w:t>
      </w:r>
      <w:r w:rsidR="00913DAE">
        <w:rPr>
          <w:lang w:val="cs-CZ"/>
        </w:rPr>
        <w:t>akládání s veřejnými prostředky a</w:t>
      </w:r>
      <w:r w:rsidR="00750EB9">
        <w:rPr>
          <w:lang w:val="cs-CZ"/>
        </w:rPr>
        <w:t xml:space="preserve"> s tím související i možnou korupcí. Zákon si kladl hlavně za cíl urychlení procesu zadávání</w:t>
      </w:r>
      <w:r w:rsidR="00B62766">
        <w:rPr>
          <w:lang w:val="cs-CZ"/>
        </w:rPr>
        <w:t xml:space="preserve"> veřejných zakázek</w:t>
      </w:r>
      <w:r w:rsidR="00750EB9">
        <w:rPr>
          <w:lang w:val="cs-CZ"/>
        </w:rPr>
        <w:t xml:space="preserve">. </w:t>
      </w:r>
      <w:r w:rsidR="00BF466F">
        <w:rPr>
          <w:lang w:val="cs-CZ"/>
        </w:rPr>
        <w:t xml:space="preserve">Jak je vidět, Směrnice 2014/24/EU, tak </w:t>
      </w:r>
      <w:r w:rsidR="00B62766">
        <w:rPr>
          <w:lang w:val="cs-CZ"/>
        </w:rPr>
        <w:t>i zákon</w:t>
      </w:r>
      <w:r w:rsidR="00BF466F">
        <w:rPr>
          <w:lang w:val="cs-CZ"/>
        </w:rPr>
        <w:t xml:space="preserve"> o zadávání veřejných zakázek si stanovili stejný cíl. D</w:t>
      </w:r>
      <w:r w:rsidR="007F6961">
        <w:rPr>
          <w:lang w:val="cs-CZ"/>
        </w:rPr>
        <w:t>oufejme, že postupem ča</w:t>
      </w:r>
      <w:r w:rsidR="000B2043">
        <w:rPr>
          <w:lang w:val="cs-CZ"/>
        </w:rPr>
        <w:t>su se jejich vize naplní zcela, čímž by se myslím změnil i názor na veřejné zakázky z </w:t>
      </w:r>
      <w:r w:rsidR="00B62766">
        <w:rPr>
          <w:lang w:val="cs-CZ"/>
        </w:rPr>
        <w:t>pohledu laické veřejnosti. N</w:t>
      </w:r>
      <w:r w:rsidR="000B2043">
        <w:rPr>
          <w:lang w:val="cs-CZ"/>
        </w:rPr>
        <w:t xml:space="preserve">ěkteří </w:t>
      </w:r>
      <w:r w:rsidR="00B62766">
        <w:rPr>
          <w:lang w:val="cs-CZ"/>
        </w:rPr>
        <w:t xml:space="preserve">lidé </w:t>
      </w:r>
      <w:r w:rsidR="000B2043">
        <w:rPr>
          <w:lang w:val="cs-CZ"/>
        </w:rPr>
        <w:t xml:space="preserve">mají zadávání veřejných zakázek spojeno pouze </w:t>
      </w:r>
      <w:r w:rsidR="00B62766">
        <w:rPr>
          <w:lang w:val="cs-CZ"/>
        </w:rPr>
        <w:t xml:space="preserve">s </w:t>
      </w:r>
      <w:r w:rsidR="000B2043">
        <w:rPr>
          <w:lang w:val="cs-CZ"/>
        </w:rPr>
        <w:t>nástroj</w:t>
      </w:r>
      <w:r w:rsidR="00B62766">
        <w:rPr>
          <w:lang w:val="cs-CZ"/>
        </w:rPr>
        <w:t>em</w:t>
      </w:r>
      <w:r w:rsidR="000B2043">
        <w:rPr>
          <w:lang w:val="cs-CZ"/>
        </w:rPr>
        <w:t xml:space="preserve"> „pro praní či manipulování </w:t>
      </w:r>
      <w:r w:rsidR="00B62766">
        <w:rPr>
          <w:lang w:val="cs-CZ"/>
        </w:rPr>
        <w:t xml:space="preserve">s </w:t>
      </w:r>
      <w:r w:rsidR="000B2043">
        <w:rPr>
          <w:lang w:val="cs-CZ"/>
        </w:rPr>
        <w:t>peněz</w:t>
      </w:r>
      <w:r w:rsidR="00B62766">
        <w:rPr>
          <w:lang w:val="cs-CZ"/>
        </w:rPr>
        <w:t>i</w:t>
      </w:r>
      <w:r w:rsidR="000B2043">
        <w:rPr>
          <w:lang w:val="cs-CZ"/>
        </w:rPr>
        <w:t xml:space="preserve">“. </w:t>
      </w:r>
    </w:p>
    <w:p w14:paraId="298AA977" w14:textId="79FD87BF" w:rsidR="00180763" w:rsidRDefault="00180763" w:rsidP="00180763">
      <w:pPr>
        <w:ind w:firstLine="720"/>
        <w:rPr>
          <w:lang w:val="cs-CZ"/>
        </w:rPr>
      </w:pPr>
      <w:r>
        <w:rPr>
          <w:lang w:val="cs-CZ"/>
        </w:rPr>
        <w:t>Nabídkové řízení je otevřené všem zájemcům, otevřený postup řízení podporuje hospodářskou soutěž, což má za následek vyšší hodnotu pro zadavatele. Podíl otevřených řízení je ve skutečnosti považován za klíčový ukazatel úrovně hospodářské soutěže ve veřejném zadávacím systému. Na toto by mělo být primárně myšleno v rámci zadávacího řízen</w:t>
      </w:r>
      <w:r w:rsidR="00B62766">
        <w:rPr>
          <w:lang w:val="cs-CZ"/>
        </w:rPr>
        <w:t>í</w:t>
      </w:r>
      <w:r w:rsidR="00A8554A">
        <w:rPr>
          <w:lang w:val="cs-CZ"/>
        </w:rPr>
        <w:t>. Jedná se o</w:t>
      </w:r>
      <w:r>
        <w:rPr>
          <w:lang w:val="cs-CZ"/>
        </w:rPr>
        <w:t xml:space="preserve"> veřejné prostředky, k</w:t>
      </w:r>
      <w:r w:rsidR="00B62766">
        <w:rPr>
          <w:lang w:val="cs-CZ"/>
        </w:rPr>
        <w:t>teré by neměly být zneužívány a j</w:t>
      </w:r>
      <w:r w:rsidR="00A8554A">
        <w:rPr>
          <w:lang w:val="cs-CZ"/>
        </w:rPr>
        <w:t xml:space="preserve">ejich ochrana by měla být </w:t>
      </w:r>
      <w:r w:rsidR="00B62766">
        <w:rPr>
          <w:lang w:val="cs-CZ"/>
        </w:rPr>
        <w:t>zprostředkována jasným, srozumitelným a transparentním zadávacím</w:t>
      </w:r>
      <w:r>
        <w:rPr>
          <w:lang w:val="cs-CZ"/>
        </w:rPr>
        <w:t xml:space="preserve"> řízení</w:t>
      </w:r>
      <w:r w:rsidR="00B62766">
        <w:rPr>
          <w:lang w:val="cs-CZ"/>
        </w:rPr>
        <w:t>m</w:t>
      </w:r>
      <w:r>
        <w:rPr>
          <w:lang w:val="cs-CZ"/>
        </w:rPr>
        <w:t xml:space="preserve">. </w:t>
      </w:r>
    </w:p>
    <w:p w14:paraId="10003E8D" w14:textId="653BADF5" w:rsidR="00750EB9" w:rsidRDefault="008C5FC5" w:rsidP="00D3176D">
      <w:pPr>
        <w:ind w:firstLine="720"/>
        <w:rPr>
          <w:lang w:val="cs-CZ"/>
        </w:rPr>
      </w:pPr>
      <w:r>
        <w:rPr>
          <w:lang w:val="cs-CZ"/>
        </w:rPr>
        <w:t xml:space="preserve">Doufám, že má diplomová práce bude přínosem pro zadavatele veřejných zakázek. Tím, že jsem </w:t>
      </w:r>
      <w:r w:rsidR="00E642D3">
        <w:rPr>
          <w:lang w:val="cs-CZ"/>
        </w:rPr>
        <w:t xml:space="preserve">se snažila vyzdvihnout nejčastější chyby zadavatelů při zadávání veřejných zakázek, </w:t>
      </w:r>
      <w:r w:rsidR="00412A78">
        <w:rPr>
          <w:lang w:val="cs-CZ"/>
        </w:rPr>
        <w:t xml:space="preserve">a naplnila tak druhý cíl diplomové práce, </w:t>
      </w:r>
      <w:r w:rsidR="00E642D3">
        <w:rPr>
          <w:lang w:val="cs-CZ"/>
        </w:rPr>
        <w:t xml:space="preserve">by právě tato diplomová práce mohla přispět ke zlepšení a zejména k předejití problému v rámci zadávání veřejných zakázek. </w:t>
      </w:r>
    </w:p>
    <w:p w14:paraId="5B5C4BBF" w14:textId="77777777" w:rsidR="004D51CF" w:rsidRDefault="00E642D3" w:rsidP="004D51CF">
      <w:pPr>
        <w:ind w:firstLine="720"/>
        <w:rPr>
          <w:lang w:val="cs-CZ"/>
        </w:rPr>
      </w:pPr>
      <w:r>
        <w:rPr>
          <w:lang w:val="cs-CZ"/>
        </w:rPr>
        <w:t xml:space="preserve">Závěrem bych ráda doporučila </w:t>
      </w:r>
      <w:r w:rsidR="00BF6D83">
        <w:rPr>
          <w:lang w:val="cs-CZ"/>
        </w:rPr>
        <w:t>všem zadavatelům, aby zejména věnovali čas přípravě a plánování veřejných zakázek a tím předešli už v počátku největším chybám v rámci zadávání nadlimitních veřejných zakázek</w:t>
      </w:r>
      <w:r w:rsidR="00B40126">
        <w:rPr>
          <w:lang w:val="cs-CZ"/>
        </w:rPr>
        <w:t xml:space="preserve"> otevřeným způsobem řízení</w:t>
      </w:r>
      <w:r w:rsidR="00BF6D83">
        <w:rPr>
          <w:lang w:val="cs-CZ"/>
        </w:rPr>
        <w:t>.</w:t>
      </w:r>
      <w:r w:rsidR="00B40126">
        <w:rPr>
          <w:lang w:val="cs-CZ"/>
        </w:rPr>
        <w:t xml:space="preserve"> Domnívám se, že </w:t>
      </w:r>
      <w:r w:rsidR="00BF6D83">
        <w:rPr>
          <w:lang w:val="cs-CZ"/>
        </w:rPr>
        <w:t xml:space="preserve"> </w:t>
      </w:r>
      <w:r w:rsidR="00B40126">
        <w:rPr>
          <w:lang w:val="cs-CZ"/>
        </w:rPr>
        <w:t>při nastavení zadávacího řízení</w:t>
      </w:r>
      <w:r w:rsidR="006E5A79">
        <w:rPr>
          <w:lang w:val="cs-CZ"/>
        </w:rPr>
        <w:t xml:space="preserve"> od samého </w:t>
      </w:r>
      <w:r w:rsidR="004D51CF">
        <w:rPr>
          <w:lang w:val="cs-CZ"/>
        </w:rPr>
        <w:t>počátku</w:t>
      </w:r>
      <w:r w:rsidR="006E5A79">
        <w:rPr>
          <w:lang w:val="cs-CZ"/>
        </w:rPr>
        <w:t xml:space="preserve"> </w:t>
      </w:r>
      <w:r w:rsidR="00B40126">
        <w:rPr>
          <w:lang w:val="cs-CZ"/>
        </w:rPr>
        <w:t xml:space="preserve">správně, zejména s ohledem na </w:t>
      </w:r>
      <w:r w:rsidR="006E5A79">
        <w:rPr>
          <w:lang w:val="cs-CZ"/>
        </w:rPr>
        <w:t>kvalitní</w:t>
      </w:r>
      <w:r w:rsidR="00B40126">
        <w:rPr>
          <w:lang w:val="cs-CZ"/>
        </w:rPr>
        <w:t xml:space="preserve"> hodnotící kritéria a držení se dikce zákona podporovaným výkladem soudů, je schopen každý zadavatel </w:t>
      </w:r>
      <w:r w:rsidR="009E057D">
        <w:rPr>
          <w:lang w:val="cs-CZ"/>
        </w:rPr>
        <w:t>úspěšně zadat veřejnou zakázku a předejít tak nejčastějších chybám</w:t>
      </w:r>
      <w:r w:rsidR="006E5A79">
        <w:rPr>
          <w:lang w:val="cs-CZ"/>
        </w:rPr>
        <w:t>. Myslím si</w:t>
      </w:r>
      <w:r w:rsidR="009E057D">
        <w:rPr>
          <w:lang w:val="cs-CZ"/>
        </w:rPr>
        <w:t>, že Směrnice 2014/24/EU i zákon o zadávání veřejných zakázek jsou nastaveny pro zadavatele příznivě v tom</w:t>
      </w:r>
      <w:r w:rsidR="005C21A8">
        <w:rPr>
          <w:lang w:val="cs-CZ"/>
        </w:rPr>
        <w:t xml:space="preserve"> smyslu, že předchází </w:t>
      </w:r>
      <w:r w:rsidR="00C312F9">
        <w:rPr>
          <w:lang w:val="cs-CZ"/>
        </w:rPr>
        <w:t>vypočítavcům, kteří se snaží poškodi</w:t>
      </w:r>
      <w:r w:rsidR="005C21A8">
        <w:rPr>
          <w:lang w:val="cs-CZ"/>
        </w:rPr>
        <w:t xml:space="preserve">t veřejné zakázky nebo </w:t>
      </w:r>
      <w:r w:rsidR="00C312F9">
        <w:rPr>
          <w:lang w:val="cs-CZ"/>
        </w:rPr>
        <w:t xml:space="preserve">získat </w:t>
      </w:r>
      <w:r w:rsidR="005C21A8">
        <w:rPr>
          <w:lang w:val="cs-CZ"/>
        </w:rPr>
        <w:t xml:space="preserve">z nich </w:t>
      </w:r>
      <w:r w:rsidR="00C312F9">
        <w:rPr>
          <w:lang w:val="cs-CZ"/>
        </w:rPr>
        <w:t>velký majetkový prospěch</w:t>
      </w:r>
      <w:r w:rsidR="005C21A8">
        <w:rPr>
          <w:lang w:val="cs-CZ"/>
        </w:rPr>
        <w:t>. Na druhé straně</w:t>
      </w:r>
      <w:r w:rsidR="00C312F9">
        <w:rPr>
          <w:lang w:val="cs-CZ"/>
        </w:rPr>
        <w:t xml:space="preserve"> ovšem záleží pak jen a pouze na zadavatelích</w:t>
      </w:r>
      <w:r w:rsidR="004D51CF">
        <w:rPr>
          <w:lang w:val="cs-CZ"/>
        </w:rPr>
        <w:t>,</w:t>
      </w:r>
      <w:r w:rsidR="00C312F9">
        <w:rPr>
          <w:lang w:val="cs-CZ"/>
        </w:rPr>
        <w:t xml:space="preserve"> s jakou vervou a úsilím se postaví k zadání veřejné zakázky, která bude úspěšná a mohla by být vzorem všem dalším zadavatelům</w:t>
      </w:r>
      <w:r w:rsidR="006E5A79">
        <w:rPr>
          <w:lang w:val="cs-CZ"/>
        </w:rPr>
        <w:t xml:space="preserve"> při zadávání jejich zakázek</w:t>
      </w:r>
      <w:r w:rsidR="005C21A8">
        <w:rPr>
          <w:lang w:val="cs-CZ"/>
        </w:rPr>
        <w:t>. Taková</w:t>
      </w:r>
      <w:r w:rsidR="00C312F9">
        <w:rPr>
          <w:lang w:val="cs-CZ"/>
        </w:rPr>
        <w:t xml:space="preserve">to veřejná zakázka je zejména ta, která není </w:t>
      </w:r>
      <w:r w:rsidR="004D51CF">
        <w:rPr>
          <w:lang w:val="cs-CZ"/>
        </w:rPr>
        <w:t>diskriminační, má kvalitně </w:t>
      </w:r>
      <w:r w:rsidR="00C312F9">
        <w:rPr>
          <w:lang w:val="cs-CZ"/>
        </w:rPr>
        <w:t>nastav</w:t>
      </w:r>
      <w:r w:rsidR="004D51CF">
        <w:rPr>
          <w:lang w:val="cs-CZ"/>
        </w:rPr>
        <w:t>ena hodnotící </w:t>
      </w:r>
      <w:r w:rsidR="006E5A79">
        <w:rPr>
          <w:lang w:val="cs-CZ"/>
        </w:rPr>
        <w:t>kritéria </w:t>
      </w:r>
      <w:r w:rsidR="00C312F9">
        <w:rPr>
          <w:lang w:val="cs-CZ"/>
        </w:rPr>
        <w:t>a </w:t>
      </w:r>
      <w:r w:rsidR="006E5A79">
        <w:rPr>
          <w:lang w:val="cs-CZ"/>
        </w:rPr>
        <w:t>řízení je vedeno dle </w:t>
      </w:r>
      <w:r w:rsidR="004D51CF">
        <w:rPr>
          <w:lang w:val="cs-CZ"/>
        </w:rPr>
        <w:t xml:space="preserve">dikce zákona. </w:t>
      </w:r>
    </w:p>
    <w:p w14:paraId="5833472A" w14:textId="7ED2BA18" w:rsidR="00921DB0" w:rsidRDefault="004D51CF" w:rsidP="004D51CF">
      <w:pPr>
        <w:ind w:firstLine="720"/>
        <w:rPr>
          <w:lang w:val="cs-CZ"/>
        </w:rPr>
        <w:sectPr w:rsidR="00921DB0" w:rsidSect="005D49F0">
          <w:pgSz w:w="11900" w:h="16840"/>
          <w:pgMar w:top="1418" w:right="1134" w:bottom="1418" w:left="1701" w:header="709" w:footer="709" w:gutter="0"/>
          <w:cols w:space="708"/>
          <w:docGrid w:linePitch="360"/>
        </w:sectPr>
      </w:pPr>
      <w:r>
        <w:rPr>
          <w:lang w:val="cs-CZ"/>
        </w:rPr>
        <w:lastRenderedPageBreak/>
        <w:t xml:space="preserve">Kdyby má diplomová práce pomohla i jen jedinému zadavateli, považovala bych to za úspěch.  </w:t>
      </w:r>
    </w:p>
    <w:p w14:paraId="273F696A" w14:textId="2F4A8093" w:rsidR="00630514" w:rsidRPr="0097001E" w:rsidRDefault="00630514" w:rsidP="00630514">
      <w:pPr>
        <w:pStyle w:val="Title"/>
        <w:rPr>
          <w:lang w:val="cs-CZ"/>
        </w:rPr>
      </w:pPr>
      <w:r w:rsidRPr="0097001E">
        <w:rPr>
          <w:lang w:val="cs-CZ"/>
        </w:rPr>
        <w:lastRenderedPageBreak/>
        <w:t xml:space="preserve">Seznam použité literatury </w:t>
      </w:r>
    </w:p>
    <w:p w14:paraId="46BBE1DF" w14:textId="6D6059EE" w:rsidR="00630514" w:rsidRPr="0097001E" w:rsidRDefault="0097001E" w:rsidP="00961708">
      <w:pPr>
        <w:pStyle w:val="Heading2"/>
        <w:rPr>
          <w:lang w:val="cs-CZ"/>
        </w:rPr>
      </w:pPr>
      <w:bookmarkStart w:id="24" w:name="_Toc435378277"/>
      <w:bookmarkStart w:id="25" w:name="_Toc436130175"/>
      <w:bookmarkStart w:id="26" w:name="_Toc436130205"/>
      <w:bookmarkStart w:id="27" w:name="_Toc436130435"/>
      <w:bookmarkStart w:id="28" w:name="_Toc436644049"/>
      <w:r>
        <w:rPr>
          <w:lang w:val="cs-CZ"/>
        </w:rPr>
        <w:t>Člá</w:t>
      </w:r>
      <w:r w:rsidR="00630514" w:rsidRPr="0097001E">
        <w:rPr>
          <w:lang w:val="cs-CZ"/>
        </w:rPr>
        <w:t>nk</w:t>
      </w:r>
      <w:r>
        <w:rPr>
          <w:lang w:val="cs-CZ"/>
        </w:rPr>
        <w:t>y, monografie, učebnice, komentář</w:t>
      </w:r>
      <w:r w:rsidR="00630514" w:rsidRPr="0097001E">
        <w:rPr>
          <w:lang w:val="cs-CZ"/>
        </w:rPr>
        <w:t>e</w:t>
      </w:r>
      <w:bookmarkEnd w:id="24"/>
      <w:bookmarkEnd w:id="25"/>
      <w:bookmarkEnd w:id="26"/>
      <w:bookmarkEnd w:id="27"/>
      <w:bookmarkEnd w:id="28"/>
      <w:r w:rsidR="00630514" w:rsidRPr="0097001E">
        <w:rPr>
          <w:lang w:val="cs-CZ"/>
        </w:rPr>
        <w:t xml:space="preserve"> </w:t>
      </w:r>
    </w:p>
    <w:p w14:paraId="0FC6E27B" w14:textId="53A2A266" w:rsidR="00764CD4" w:rsidRPr="001E717C" w:rsidRDefault="00764CD4" w:rsidP="00764CD4">
      <w:pPr>
        <w:pStyle w:val="ListParagraph"/>
        <w:numPr>
          <w:ilvl w:val="0"/>
          <w:numId w:val="5"/>
        </w:numPr>
        <w:ind w:left="284"/>
        <w:rPr>
          <w:lang w:val="cs-CZ"/>
        </w:rPr>
      </w:pPr>
      <w:r w:rsidRPr="001E717C">
        <w:rPr>
          <w:lang w:val="cs-CZ"/>
        </w:rPr>
        <w:t xml:space="preserve">BALÝOVÁ, Lucie. </w:t>
      </w:r>
      <w:r w:rsidRPr="001E717C">
        <w:rPr>
          <w:i/>
          <w:lang w:val="cs-CZ"/>
        </w:rPr>
        <w:t>Veřejné zakázky</w:t>
      </w:r>
      <w:r w:rsidR="008C4845">
        <w:rPr>
          <w:lang w:val="cs-CZ"/>
        </w:rPr>
        <w:t>. Praha: Beck, 2015.</w:t>
      </w:r>
      <w:r w:rsidR="00A717C0">
        <w:rPr>
          <w:lang w:val="cs-CZ"/>
        </w:rPr>
        <w:t xml:space="preserve"> 230 s</w:t>
      </w:r>
      <w:r w:rsidRPr="001E717C">
        <w:rPr>
          <w:lang w:val="cs-CZ"/>
        </w:rPr>
        <w:t xml:space="preserve">. </w:t>
      </w:r>
    </w:p>
    <w:p w14:paraId="367F1AE2" w14:textId="77777777" w:rsidR="002F00F8" w:rsidRPr="001E717C" w:rsidRDefault="002F00F8" w:rsidP="002F00F8">
      <w:pPr>
        <w:rPr>
          <w:lang w:val="cs-CZ"/>
        </w:rPr>
      </w:pPr>
    </w:p>
    <w:p w14:paraId="6EE3F89D" w14:textId="2B32FBA8" w:rsidR="00764CD4" w:rsidRPr="001E717C" w:rsidRDefault="00764CD4" w:rsidP="002F00F8">
      <w:pPr>
        <w:pStyle w:val="ListParagraph"/>
        <w:numPr>
          <w:ilvl w:val="0"/>
          <w:numId w:val="5"/>
        </w:numPr>
        <w:ind w:left="284"/>
        <w:rPr>
          <w:lang w:val="cs-CZ"/>
        </w:rPr>
      </w:pPr>
      <w:r w:rsidRPr="001E717C">
        <w:rPr>
          <w:lang w:val="cs-CZ"/>
        </w:rPr>
        <w:t xml:space="preserve">BOVIS, Christopher. </w:t>
      </w:r>
      <w:r w:rsidRPr="001E717C">
        <w:rPr>
          <w:i/>
          <w:lang w:val="cs-CZ"/>
        </w:rPr>
        <w:t xml:space="preserve">EU Public </w:t>
      </w:r>
      <w:proofErr w:type="spellStart"/>
      <w:r w:rsidRPr="001E717C">
        <w:rPr>
          <w:i/>
          <w:lang w:val="cs-CZ"/>
        </w:rPr>
        <w:t>Procurement</w:t>
      </w:r>
      <w:proofErr w:type="spellEnd"/>
      <w:r w:rsidRPr="001E717C">
        <w:rPr>
          <w:i/>
          <w:lang w:val="cs-CZ"/>
        </w:rPr>
        <w:t xml:space="preserve"> </w:t>
      </w:r>
      <w:proofErr w:type="spellStart"/>
      <w:r w:rsidRPr="001E717C">
        <w:rPr>
          <w:i/>
          <w:lang w:val="cs-CZ"/>
        </w:rPr>
        <w:t>Law</w:t>
      </w:r>
      <w:proofErr w:type="spellEnd"/>
      <w:r w:rsidRPr="001E717C">
        <w:rPr>
          <w:lang w:val="cs-CZ"/>
        </w:rPr>
        <w:t xml:space="preserve">. </w:t>
      </w:r>
      <w:proofErr w:type="spellStart"/>
      <w:r w:rsidRPr="001E717C">
        <w:rPr>
          <w:lang w:val="cs-CZ"/>
        </w:rPr>
        <w:t>Northampton</w:t>
      </w:r>
      <w:proofErr w:type="spellEnd"/>
      <w:r w:rsidRPr="001E717C">
        <w:rPr>
          <w:lang w:val="cs-CZ"/>
        </w:rPr>
        <w:t xml:space="preserve">: Edward </w:t>
      </w:r>
      <w:proofErr w:type="spellStart"/>
      <w:r w:rsidRPr="001E717C">
        <w:rPr>
          <w:lang w:val="cs-CZ"/>
        </w:rPr>
        <w:t>Elgar</w:t>
      </w:r>
      <w:proofErr w:type="spellEnd"/>
      <w:r w:rsidRPr="001E717C">
        <w:rPr>
          <w:lang w:val="cs-CZ"/>
        </w:rPr>
        <w:t xml:space="preserve"> </w:t>
      </w:r>
      <w:proofErr w:type="spellStart"/>
      <w:r w:rsidRPr="001E717C">
        <w:rPr>
          <w:lang w:val="cs-CZ"/>
        </w:rPr>
        <w:t>Pu</w:t>
      </w:r>
      <w:r w:rsidR="008C4845">
        <w:rPr>
          <w:lang w:val="cs-CZ"/>
        </w:rPr>
        <w:t>blishing</w:t>
      </w:r>
      <w:proofErr w:type="spellEnd"/>
      <w:r w:rsidR="008C4845">
        <w:rPr>
          <w:lang w:val="cs-CZ"/>
        </w:rPr>
        <w:t xml:space="preserve"> Limited, 2012. </w:t>
      </w:r>
      <w:r w:rsidRPr="001E717C">
        <w:rPr>
          <w:lang w:val="cs-CZ"/>
        </w:rPr>
        <w:t>544 s.</w:t>
      </w:r>
    </w:p>
    <w:p w14:paraId="62D5FC7E" w14:textId="77777777" w:rsidR="002F00F8" w:rsidRPr="001E717C" w:rsidRDefault="002F00F8" w:rsidP="002F00F8">
      <w:pPr>
        <w:rPr>
          <w:lang w:val="cs-CZ"/>
        </w:rPr>
      </w:pPr>
    </w:p>
    <w:p w14:paraId="3B29535E" w14:textId="70217EB7" w:rsidR="002E1275" w:rsidRPr="001E717C" w:rsidRDefault="002E1275" w:rsidP="00BD5F58">
      <w:pPr>
        <w:pStyle w:val="ListParagraph"/>
        <w:numPr>
          <w:ilvl w:val="0"/>
          <w:numId w:val="5"/>
        </w:numPr>
        <w:ind w:left="284"/>
        <w:rPr>
          <w:lang w:val="cs-CZ"/>
        </w:rPr>
      </w:pPr>
      <w:r w:rsidRPr="001E717C">
        <w:rPr>
          <w:lang w:val="cs-CZ"/>
        </w:rPr>
        <w:t xml:space="preserve">BUGAN, Anna. </w:t>
      </w:r>
      <w:r w:rsidRPr="001E717C">
        <w:rPr>
          <w:i/>
          <w:lang w:val="cs-CZ"/>
        </w:rPr>
        <w:t xml:space="preserve">Férové zadávání veřejných zakázek příručka pro veřejné zadavatele. </w:t>
      </w:r>
      <w:r w:rsidRPr="001E717C">
        <w:rPr>
          <w:lang w:val="cs-CZ"/>
        </w:rPr>
        <w:t xml:space="preserve">Praha: </w:t>
      </w:r>
      <w:proofErr w:type="spellStart"/>
      <w:r w:rsidRPr="001E717C">
        <w:rPr>
          <w:lang w:val="cs-CZ"/>
        </w:rPr>
        <w:t>Transparency</w:t>
      </w:r>
      <w:proofErr w:type="spellEnd"/>
      <w:r w:rsidRPr="001E717C">
        <w:rPr>
          <w:lang w:val="cs-CZ"/>
        </w:rPr>
        <w:t xml:space="preserve"> Interna</w:t>
      </w:r>
      <w:r w:rsidR="008C4845">
        <w:rPr>
          <w:lang w:val="cs-CZ"/>
        </w:rPr>
        <w:t>tional – Česká republika, 2019.</w:t>
      </w:r>
      <w:r w:rsidR="00590FCF">
        <w:rPr>
          <w:lang w:val="cs-CZ"/>
        </w:rPr>
        <w:t xml:space="preserve"> </w:t>
      </w:r>
      <w:r w:rsidRPr="001E717C">
        <w:rPr>
          <w:lang w:val="cs-CZ"/>
        </w:rPr>
        <w:t xml:space="preserve">64 s. </w:t>
      </w:r>
    </w:p>
    <w:p w14:paraId="07FEEC69" w14:textId="77777777" w:rsidR="0005747C" w:rsidRPr="001E717C" w:rsidRDefault="0005747C" w:rsidP="0005747C">
      <w:pPr>
        <w:pStyle w:val="ListParagraph"/>
        <w:ind w:left="284"/>
        <w:rPr>
          <w:lang w:val="cs-CZ"/>
        </w:rPr>
      </w:pPr>
    </w:p>
    <w:p w14:paraId="6E7C4318" w14:textId="77777777" w:rsidR="002F00F8" w:rsidRPr="001E717C" w:rsidRDefault="002F00F8" w:rsidP="002F00F8">
      <w:pPr>
        <w:pStyle w:val="ListParagraph"/>
        <w:numPr>
          <w:ilvl w:val="0"/>
          <w:numId w:val="5"/>
        </w:numPr>
        <w:ind w:left="284"/>
        <w:rPr>
          <w:lang w:val="cs-CZ"/>
        </w:rPr>
      </w:pPr>
      <w:r w:rsidRPr="001E717C">
        <w:rPr>
          <w:lang w:val="cs-CZ"/>
        </w:rPr>
        <w:t xml:space="preserve">DVOŘÁK, David. </w:t>
      </w:r>
      <w:r w:rsidRPr="001E717C">
        <w:rPr>
          <w:i/>
          <w:lang w:val="cs-CZ"/>
        </w:rPr>
        <w:t>Zákon o zadávání veřejných zakázek: komentář.</w:t>
      </w:r>
      <w:r w:rsidRPr="001E717C">
        <w:rPr>
          <w:lang w:val="cs-CZ"/>
        </w:rPr>
        <w:t xml:space="preserve"> Praha: C. H. Beck, 2017, 1294 s.</w:t>
      </w:r>
    </w:p>
    <w:p w14:paraId="39F6EAD2" w14:textId="77777777" w:rsidR="002F00F8" w:rsidRPr="001E717C" w:rsidRDefault="002F00F8" w:rsidP="002F00F8">
      <w:pPr>
        <w:rPr>
          <w:lang w:val="cs-CZ"/>
        </w:rPr>
      </w:pPr>
    </w:p>
    <w:p w14:paraId="4555AB0C" w14:textId="3E1D0E32" w:rsidR="002F00F8" w:rsidRPr="001E717C" w:rsidRDefault="002F00F8" w:rsidP="002F00F8">
      <w:pPr>
        <w:pStyle w:val="ListParagraph"/>
        <w:numPr>
          <w:ilvl w:val="0"/>
          <w:numId w:val="5"/>
        </w:numPr>
        <w:ind w:left="284"/>
        <w:rPr>
          <w:lang w:val="cs-CZ"/>
        </w:rPr>
      </w:pPr>
      <w:r w:rsidRPr="001E717C">
        <w:rPr>
          <w:lang w:val="cs-CZ"/>
        </w:rPr>
        <w:t xml:space="preserve">Důvodová zpráva k zákonu č. 134/2016 </w:t>
      </w:r>
      <w:proofErr w:type="spellStart"/>
      <w:r w:rsidRPr="001E717C">
        <w:rPr>
          <w:lang w:val="cs-CZ"/>
        </w:rPr>
        <w:t>Sb</w:t>
      </w:r>
      <w:proofErr w:type="spellEnd"/>
      <w:r w:rsidRPr="001E717C">
        <w:rPr>
          <w:lang w:val="cs-CZ"/>
        </w:rPr>
        <w:t>, o zadávání veřejných zakázek</w:t>
      </w:r>
      <w:r w:rsidR="0019053E">
        <w:rPr>
          <w:lang w:val="cs-CZ"/>
        </w:rPr>
        <w:t>.</w:t>
      </w:r>
    </w:p>
    <w:p w14:paraId="028FB312" w14:textId="77777777" w:rsidR="002F00F8" w:rsidRPr="001E717C" w:rsidRDefault="002F00F8" w:rsidP="002F00F8">
      <w:pPr>
        <w:rPr>
          <w:lang w:val="cs-CZ"/>
        </w:rPr>
      </w:pPr>
    </w:p>
    <w:p w14:paraId="6C5BE5CF" w14:textId="3E4FFF69" w:rsidR="002F00F8" w:rsidRPr="001E717C" w:rsidRDefault="002F00F8" w:rsidP="002F00F8">
      <w:pPr>
        <w:pStyle w:val="ListParagraph"/>
        <w:numPr>
          <w:ilvl w:val="0"/>
          <w:numId w:val="5"/>
        </w:numPr>
        <w:ind w:left="284"/>
        <w:rPr>
          <w:lang w:val="cs-CZ"/>
        </w:rPr>
      </w:pPr>
      <w:proofErr w:type="spellStart"/>
      <w:r w:rsidRPr="001E717C">
        <w:rPr>
          <w:lang w:val="cs-CZ"/>
        </w:rPr>
        <w:t>European</w:t>
      </w:r>
      <w:proofErr w:type="spellEnd"/>
      <w:r w:rsidRPr="001E717C">
        <w:rPr>
          <w:lang w:val="cs-CZ"/>
        </w:rPr>
        <w:t xml:space="preserve"> </w:t>
      </w:r>
      <w:proofErr w:type="spellStart"/>
      <w:r w:rsidRPr="001E717C">
        <w:rPr>
          <w:lang w:val="cs-CZ"/>
        </w:rPr>
        <w:t>Commission</w:t>
      </w:r>
      <w:proofErr w:type="spellEnd"/>
      <w:r w:rsidRPr="001E717C">
        <w:rPr>
          <w:lang w:val="cs-CZ"/>
        </w:rPr>
        <w:t xml:space="preserve">, </w:t>
      </w:r>
      <w:proofErr w:type="spellStart"/>
      <w:r w:rsidRPr="001E717C">
        <w:rPr>
          <w:lang w:val="cs-CZ"/>
        </w:rPr>
        <w:t>Directorate</w:t>
      </w:r>
      <w:proofErr w:type="spellEnd"/>
      <w:r w:rsidRPr="001E717C">
        <w:rPr>
          <w:lang w:val="cs-CZ"/>
        </w:rPr>
        <w:t xml:space="preserve">-General </w:t>
      </w:r>
      <w:proofErr w:type="spellStart"/>
      <w:r w:rsidRPr="001E717C">
        <w:rPr>
          <w:lang w:val="cs-CZ"/>
        </w:rPr>
        <w:t>for</w:t>
      </w:r>
      <w:proofErr w:type="spellEnd"/>
      <w:r w:rsidRPr="001E717C">
        <w:rPr>
          <w:lang w:val="cs-CZ"/>
        </w:rPr>
        <w:t xml:space="preserve"> </w:t>
      </w:r>
      <w:proofErr w:type="spellStart"/>
      <w:r w:rsidRPr="001E717C">
        <w:rPr>
          <w:lang w:val="cs-CZ"/>
        </w:rPr>
        <w:t>Regional</w:t>
      </w:r>
      <w:proofErr w:type="spellEnd"/>
      <w:r w:rsidRPr="001E717C">
        <w:rPr>
          <w:lang w:val="cs-CZ"/>
        </w:rPr>
        <w:t xml:space="preserve"> and Urban </w:t>
      </w:r>
      <w:proofErr w:type="spellStart"/>
      <w:r w:rsidRPr="001E717C">
        <w:rPr>
          <w:lang w:val="cs-CZ"/>
        </w:rPr>
        <w:t>policy</w:t>
      </w:r>
      <w:proofErr w:type="spellEnd"/>
      <w:r w:rsidRPr="001E717C">
        <w:rPr>
          <w:lang w:val="cs-CZ"/>
        </w:rPr>
        <w:t xml:space="preserve">. </w:t>
      </w:r>
      <w:proofErr w:type="spellStart"/>
      <w:r w:rsidRPr="001E717C">
        <w:rPr>
          <w:i/>
          <w:lang w:val="cs-CZ"/>
        </w:rPr>
        <w:t>Prakticka</w:t>
      </w:r>
      <w:proofErr w:type="spellEnd"/>
      <w:r w:rsidRPr="001E717C">
        <w:rPr>
          <w:i/>
          <w:lang w:val="cs-CZ"/>
        </w:rPr>
        <w:t xml:space="preserve">́ </w:t>
      </w:r>
      <w:proofErr w:type="spellStart"/>
      <w:r w:rsidRPr="001E717C">
        <w:rPr>
          <w:i/>
          <w:lang w:val="cs-CZ"/>
        </w:rPr>
        <w:t>příručka</w:t>
      </w:r>
      <w:proofErr w:type="spellEnd"/>
      <w:r w:rsidRPr="001E717C">
        <w:rPr>
          <w:i/>
          <w:lang w:val="cs-CZ"/>
        </w:rPr>
        <w:t xml:space="preserve">, jak </w:t>
      </w:r>
      <w:proofErr w:type="spellStart"/>
      <w:r w:rsidRPr="001E717C">
        <w:rPr>
          <w:i/>
          <w:lang w:val="cs-CZ"/>
        </w:rPr>
        <w:t>předcházet</w:t>
      </w:r>
      <w:proofErr w:type="spellEnd"/>
      <w:r w:rsidRPr="001E717C">
        <w:rPr>
          <w:i/>
          <w:lang w:val="cs-CZ"/>
        </w:rPr>
        <w:t xml:space="preserve"> </w:t>
      </w:r>
      <w:proofErr w:type="spellStart"/>
      <w:r w:rsidRPr="001E717C">
        <w:rPr>
          <w:i/>
          <w:lang w:val="cs-CZ"/>
        </w:rPr>
        <w:t>nejčastějším</w:t>
      </w:r>
      <w:proofErr w:type="spellEnd"/>
      <w:r w:rsidRPr="001E717C">
        <w:rPr>
          <w:i/>
          <w:lang w:val="cs-CZ"/>
        </w:rPr>
        <w:t xml:space="preserve"> </w:t>
      </w:r>
      <w:proofErr w:type="spellStart"/>
      <w:r w:rsidRPr="001E717C">
        <w:rPr>
          <w:i/>
          <w:lang w:val="cs-CZ"/>
        </w:rPr>
        <w:t>chybám</w:t>
      </w:r>
      <w:proofErr w:type="spellEnd"/>
      <w:r w:rsidRPr="001E717C">
        <w:rPr>
          <w:i/>
          <w:lang w:val="cs-CZ"/>
        </w:rPr>
        <w:t xml:space="preserve"> </w:t>
      </w:r>
      <w:proofErr w:type="spellStart"/>
      <w:r w:rsidRPr="001E717C">
        <w:rPr>
          <w:i/>
          <w:lang w:val="cs-CZ"/>
        </w:rPr>
        <w:t>při</w:t>
      </w:r>
      <w:proofErr w:type="spellEnd"/>
      <w:r w:rsidRPr="001E717C">
        <w:rPr>
          <w:i/>
          <w:lang w:val="cs-CZ"/>
        </w:rPr>
        <w:t xml:space="preserve"> </w:t>
      </w:r>
      <w:proofErr w:type="spellStart"/>
      <w:r w:rsidRPr="001E717C">
        <w:rPr>
          <w:i/>
          <w:lang w:val="cs-CZ"/>
        </w:rPr>
        <w:t>zadáváni</w:t>
      </w:r>
      <w:proofErr w:type="spellEnd"/>
      <w:r w:rsidRPr="001E717C">
        <w:rPr>
          <w:i/>
          <w:lang w:val="cs-CZ"/>
        </w:rPr>
        <w:t xml:space="preserve">́ </w:t>
      </w:r>
      <w:proofErr w:type="spellStart"/>
      <w:r w:rsidRPr="001E717C">
        <w:rPr>
          <w:i/>
          <w:lang w:val="cs-CZ"/>
        </w:rPr>
        <w:t>veřejných</w:t>
      </w:r>
      <w:proofErr w:type="spellEnd"/>
      <w:r w:rsidRPr="001E717C">
        <w:rPr>
          <w:i/>
          <w:lang w:val="cs-CZ"/>
        </w:rPr>
        <w:t xml:space="preserve"> </w:t>
      </w:r>
      <w:proofErr w:type="spellStart"/>
      <w:r w:rsidRPr="001E717C">
        <w:rPr>
          <w:i/>
          <w:lang w:val="cs-CZ"/>
        </w:rPr>
        <w:t>zakázek</w:t>
      </w:r>
      <w:proofErr w:type="spellEnd"/>
      <w:r w:rsidRPr="001E717C">
        <w:rPr>
          <w:i/>
          <w:lang w:val="cs-CZ"/>
        </w:rPr>
        <w:t xml:space="preserve"> na projekty </w:t>
      </w:r>
      <w:proofErr w:type="spellStart"/>
      <w:r w:rsidRPr="001E717C">
        <w:rPr>
          <w:i/>
          <w:lang w:val="cs-CZ"/>
        </w:rPr>
        <w:t>financovane</w:t>
      </w:r>
      <w:proofErr w:type="spellEnd"/>
      <w:r w:rsidRPr="001E717C">
        <w:rPr>
          <w:i/>
          <w:lang w:val="cs-CZ"/>
        </w:rPr>
        <w:t xml:space="preserve">́ z </w:t>
      </w:r>
      <w:proofErr w:type="spellStart"/>
      <w:r w:rsidRPr="001E717C">
        <w:rPr>
          <w:i/>
          <w:lang w:val="cs-CZ"/>
        </w:rPr>
        <w:t>evropských</w:t>
      </w:r>
      <w:proofErr w:type="spellEnd"/>
      <w:r w:rsidRPr="001E717C">
        <w:rPr>
          <w:i/>
          <w:lang w:val="cs-CZ"/>
        </w:rPr>
        <w:t xml:space="preserve"> </w:t>
      </w:r>
      <w:proofErr w:type="spellStart"/>
      <w:r w:rsidRPr="001E717C">
        <w:rPr>
          <w:i/>
          <w:lang w:val="cs-CZ"/>
        </w:rPr>
        <w:t>strukturálních</w:t>
      </w:r>
      <w:proofErr w:type="spellEnd"/>
      <w:r w:rsidRPr="001E717C">
        <w:rPr>
          <w:i/>
          <w:lang w:val="cs-CZ"/>
        </w:rPr>
        <w:t xml:space="preserve"> a </w:t>
      </w:r>
      <w:proofErr w:type="spellStart"/>
      <w:r w:rsidRPr="001E717C">
        <w:rPr>
          <w:i/>
          <w:lang w:val="cs-CZ"/>
        </w:rPr>
        <w:t>investičních</w:t>
      </w:r>
      <w:proofErr w:type="spellEnd"/>
      <w:r w:rsidRPr="001E717C">
        <w:rPr>
          <w:i/>
          <w:lang w:val="cs-CZ"/>
        </w:rPr>
        <w:t xml:space="preserve"> fondů, </w:t>
      </w:r>
      <w:proofErr w:type="spellStart"/>
      <w:r w:rsidRPr="001E717C">
        <w:rPr>
          <w:i/>
          <w:lang w:val="cs-CZ"/>
        </w:rPr>
        <w:t>určena</w:t>
      </w:r>
      <w:proofErr w:type="spellEnd"/>
      <w:r w:rsidRPr="001E717C">
        <w:rPr>
          <w:i/>
          <w:lang w:val="cs-CZ"/>
        </w:rPr>
        <w:t xml:space="preserve">́ </w:t>
      </w:r>
      <w:proofErr w:type="spellStart"/>
      <w:r w:rsidRPr="001E717C">
        <w:rPr>
          <w:i/>
          <w:lang w:val="cs-CZ"/>
        </w:rPr>
        <w:t>odborníkům</w:t>
      </w:r>
      <w:proofErr w:type="spellEnd"/>
      <w:r w:rsidRPr="001E717C">
        <w:rPr>
          <w:i/>
          <w:lang w:val="cs-CZ"/>
        </w:rPr>
        <w:t xml:space="preserve"> z praxe. </w:t>
      </w:r>
      <w:r w:rsidRPr="001E717C">
        <w:rPr>
          <w:lang w:val="cs-CZ"/>
        </w:rPr>
        <w:t xml:space="preserve">Lucemburk: </w:t>
      </w:r>
      <w:proofErr w:type="spellStart"/>
      <w:r w:rsidRPr="001E717C">
        <w:rPr>
          <w:lang w:val="cs-CZ"/>
        </w:rPr>
        <w:t>Úřad</w:t>
      </w:r>
      <w:proofErr w:type="spellEnd"/>
      <w:r w:rsidRPr="001E717C">
        <w:rPr>
          <w:lang w:val="cs-CZ"/>
        </w:rPr>
        <w:t xml:space="preserve"> pro </w:t>
      </w:r>
      <w:r w:rsidR="008C4845">
        <w:rPr>
          <w:lang w:val="cs-CZ"/>
        </w:rPr>
        <w:t xml:space="preserve">publikace </w:t>
      </w:r>
      <w:proofErr w:type="spellStart"/>
      <w:r w:rsidR="008C4845">
        <w:rPr>
          <w:lang w:val="cs-CZ"/>
        </w:rPr>
        <w:t>Evropske</w:t>
      </w:r>
      <w:proofErr w:type="spellEnd"/>
      <w:r w:rsidR="008C4845">
        <w:rPr>
          <w:lang w:val="cs-CZ"/>
        </w:rPr>
        <w:t>́ unie, 2015.</w:t>
      </w:r>
      <w:r w:rsidR="00E30415">
        <w:rPr>
          <w:lang w:val="cs-CZ"/>
        </w:rPr>
        <w:t xml:space="preserve"> 92 s. </w:t>
      </w:r>
    </w:p>
    <w:p w14:paraId="6DD89B18" w14:textId="77777777" w:rsidR="002F00F8" w:rsidRPr="001E717C" w:rsidRDefault="002F00F8" w:rsidP="002F00F8">
      <w:pPr>
        <w:pStyle w:val="ListParagraph"/>
        <w:ind w:left="284"/>
        <w:rPr>
          <w:lang w:val="cs-CZ"/>
        </w:rPr>
      </w:pPr>
    </w:p>
    <w:p w14:paraId="29C2D6D7" w14:textId="6D2CEB17" w:rsidR="002F00F8" w:rsidRDefault="002F00F8" w:rsidP="002F00F8">
      <w:pPr>
        <w:pStyle w:val="ListParagraph"/>
        <w:numPr>
          <w:ilvl w:val="0"/>
          <w:numId w:val="5"/>
        </w:numPr>
        <w:ind w:left="284"/>
        <w:rPr>
          <w:lang w:val="cs-CZ"/>
        </w:rPr>
      </w:pPr>
      <w:r w:rsidRPr="001E717C">
        <w:rPr>
          <w:lang w:val="cs-CZ"/>
        </w:rPr>
        <w:t xml:space="preserve">Evropská komise. </w:t>
      </w:r>
      <w:r w:rsidRPr="001E717C">
        <w:rPr>
          <w:i/>
          <w:lang w:val="cs-CZ"/>
        </w:rPr>
        <w:t>Pokyny k zadávání veřejných zakázek určené aplikujícím odborníkům, jak předcházet nejčastějším chybám u projektů financovaných z evropských strukturálních a investičních fondů.</w:t>
      </w:r>
      <w:r w:rsidRPr="001E717C">
        <w:rPr>
          <w:lang w:val="cs-CZ"/>
        </w:rPr>
        <w:t xml:space="preserve"> Lucemburk: Ú</w:t>
      </w:r>
      <w:r w:rsidR="008C4845">
        <w:rPr>
          <w:lang w:val="cs-CZ"/>
        </w:rPr>
        <w:t>řad pro publikace, 2018.</w:t>
      </w:r>
      <w:r w:rsidR="00A717C0">
        <w:rPr>
          <w:lang w:val="cs-CZ"/>
        </w:rPr>
        <w:t xml:space="preserve"> 132 s.</w:t>
      </w:r>
    </w:p>
    <w:p w14:paraId="737671F8" w14:textId="77777777" w:rsidR="002F00F8" w:rsidRPr="001E717C" w:rsidRDefault="002F00F8" w:rsidP="002F00F8">
      <w:pPr>
        <w:rPr>
          <w:lang w:val="cs-CZ"/>
        </w:rPr>
      </w:pPr>
    </w:p>
    <w:p w14:paraId="636DEE39" w14:textId="749C4267" w:rsidR="002F00F8" w:rsidRDefault="002F00F8" w:rsidP="002F00F8">
      <w:pPr>
        <w:pStyle w:val="ListParagraph"/>
        <w:numPr>
          <w:ilvl w:val="0"/>
          <w:numId w:val="5"/>
        </w:numPr>
        <w:ind w:left="284"/>
        <w:rPr>
          <w:lang w:val="cs-CZ"/>
        </w:rPr>
      </w:pPr>
      <w:r w:rsidRPr="001E717C">
        <w:rPr>
          <w:lang w:val="cs-CZ"/>
        </w:rPr>
        <w:t xml:space="preserve">Evropská komise. </w:t>
      </w:r>
      <w:r w:rsidR="007614CA">
        <w:rPr>
          <w:lang w:val="cs-CZ"/>
        </w:rPr>
        <w:t xml:space="preserve">EVROPA 2020 </w:t>
      </w:r>
      <w:r w:rsidRPr="001E717C">
        <w:rPr>
          <w:i/>
          <w:lang w:val="cs-CZ"/>
        </w:rPr>
        <w:t xml:space="preserve">Strategie pro </w:t>
      </w:r>
      <w:proofErr w:type="spellStart"/>
      <w:r w:rsidRPr="001E717C">
        <w:rPr>
          <w:i/>
          <w:lang w:val="cs-CZ"/>
        </w:rPr>
        <w:t>inteligentni</w:t>
      </w:r>
      <w:proofErr w:type="spellEnd"/>
      <w:r w:rsidRPr="001E717C">
        <w:rPr>
          <w:i/>
          <w:lang w:val="cs-CZ"/>
        </w:rPr>
        <w:t xml:space="preserve">́ a </w:t>
      </w:r>
      <w:proofErr w:type="spellStart"/>
      <w:r w:rsidRPr="001E717C">
        <w:rPr>
          <w:i/>
          <w:lang w:val="cs-CZ"/>
        </w:rPr>
        <w:t>udržitelny</w:t>
      </w:r>
      <w:proofErr w:type="spellEnd"/>
      <w:r w:rsidRPr="001E717C">
        <w:rPr>
          <w:i/>
          <w:lang w:val="cs-CZ"/>
        </w:rPr>
        <w:t xml:space="preserve">́ </w:t>
      </w:r>
      <w:proofErr w:type="spellStart"/>
      <w:r w:rsidRPr="001E717C">
        <w:rPr>
          <w:i/>
          <w:lang w:val="cs-CZ"/>
        </w:rPr>
        <w:t>růst</w:t>
      </w:r>
      <w:proofErr w:type="spellEnd"/>
      <w:r w:rsidRPr="001E717C">
        <w:rPr>
          <w:i/>
          <w:lang w:val="cs-CZ"/>
        </w:rPr>
        <w:t xml:space="preserve"> </w:t>
      </w:r>
      <w:proofErr w:type="spellStart"/>
      <w:r w:rsidRPr="001E717C">
        <w:rPr>
          <w:i/>
          <w:lang w:val="cs-CZ"/>
        </w:rPr>
        <w:t>podporujíci</w:t>
      </w:r>
      <w:proofErr w:type="spellEnd"/>
      <w:r w:rsidRPr="001E717C">
        <w:rPr>
          <w:i/>
          <w:lang w:val="cs-CZ"/>
        </w:rPr>
        <w:t xml:space="preserve">́ </w:t>
      </w:r>
      <w:proofErr w:type="spellStart"/>
      <w:r w:rsidRPr="001E717C">
        <w:rPr>
          <w:i/>
          <w:lang w:val="cs-CZ"/>
        </w:rPr>
        <w:t>začleněni</w:t>
      </w:r>
      <w:proofErr w:type="spellEnd"/>
      <w:r w:rsidRPr="001E717C">
        <w:rPr>
          <w:i/>
          <w:lang w:val="cs-CZ"/>
        </w:rPr>
        <w:t xml:space="preserve">́. </w:t>
      </w:r>
      <w:r w:rsidR="008C4845">
        <w:rPr>
          <w:lang w:val="cs-CZ"/>
        </w:rPr>
        <w:t>Brusel: 2010.</w:t>
      </w:r>
      <w:r w:rsidRPr="001E717C">
        <w:rPr>
          <w:lang w:val="cs-CZ"/>
        </w:rPr>
        <w:t xml:space="preserve"> 34 s. </w:t>
      </w:r>
    </w:p>
    <w:p w14:paraId="531A21D1" w14:textId="77777777" w:rsidR="00E30415" w:rsidRPr="00E30415" w:rsidRDefault="00E30415" w:rsidP="00E30415">
      <w:pPr>
        <w:rPr>
          <w:lang w:val="cs-CZ"/>
        </w:rPr>
      </w:pPr>
    </w:p>
    <w:p w14:paraId="0D77D3C6" w14:textId="77777777" w:rsidR="002F00F8" w:rsidRPr="001E717C" w:rsidRDefault="002F00F8" w:rsidP="002F00F8">
      <w:pPr>
        <w:pStyle w:val="ListParagraph"/>
        <w:numPr>
          <w:ilvl w:val="0"/>
          <w:numId w:val="5"/>
        </w:numPr>
        <w:ind w:left="284"/>
        <w:rPr>
          <w:lang w:val="cs-CZ"/>
        </w:rPr>
      </w:pPr>
      <w:r w:rsidRPr="001E717C">
        <w:rPr>
          <w:lang w:val="cs-CZ"/>
        </w:rPr>
        <w:t xml:space="preserve">HERMAN, Pavel a kolektiv. </w:t>
      </w:r>
      <w:r w:rsidRPr="001E717C">
        <w:rPr>
          <w:i/>
          <w:lang w:val="cs-CZ"/>
        </w:rPr>
        <w:t>Komentář k zákonu o zadávání veřejných zakázek</w:t>
      </w:r>
      <w:r w:rsidRPr="001E717C">
        <w:rPr>
          <w:lang w:val="cs-CZ"/>
        </w:rPr>
        <w:t xml:space="preserve">. 2. aktualizované vydání. Plzeň: Vydavatelství a nakladatelství Aleš Čeněk, s.r.o., 2017, 639 s. </w:t>
      </w:r>
    </w:p>
    <w:p w14:paraId="4BEBC385" w14:textId="77777777" w:rsidR="009C198D" w:rsidRPr="001E717C" w:rsidRDefault="009C198D" w:rsidP="009C198D">
      <w:pPr>
        <w:pStyle w:val="ListParagraph"/>
        <w:ind w:left="284"/>
        <w:rPr>
          <w:lang w:val="cs-CZ"/>
        </w:rPr>
      </w:pPr>
    </w:p>
    <w:p w14:paraId="529D57E8" w14:textId="7A891A90" w:rsidR="009C198D" w:rsidRPr="001E717C" w:rsidRDefault="009C198D" w:rsidP="009C198D">
      <w:pPr>
        <w:pStyle w:val="ListParagraph"/>
        <w:numPr>
          <w:ilvl w:val="0"/>
          <w:numId w:val="5"/>
        </w:numPr>
        <w:ind w:left="284"/>
        <w:rPr>
          <w:lang w:val="cs-CZ"/>
        </w:rPr>
      </w:pPr>
      <w:r w:rsidRPr="001E717C">
        <w:rPr>
          <w:lang w:val="cs-CZ"/>
        </w:rPr>
        <w:t xml:space="preserve">Interpretační sdělení komise o </w:t>
      </w:r>
      <w:proofErr w:type="spellStart"/>
      <w:r w:rsidRPr="001E717C">
        <w:rPr>
          <w:lang w:val="cs-CZ"/>
        </w:rPr>
        <w:t>právních</w:t>
      </w:r>
      <w:proofErr w:type="spellEnd"/>
      <w:r w:rsidRPr="001E717C">
        <w:rPr>
          <w:lang w:val="cs-CZ"/>
        </w:rPr>
        <w:t xml:space="preserve"> </w:t>
      </w:r>
      <w:proofErr w:type="spellStart"/>
      <w:r w:rsidRPr="001E717C">
        <w:rPr>
          <w:lang w:val="cs-CZ"/>
        </w:rPr>
        <w:t>předpisech</w:t>
      </w:r>
      <w:proofErr w:type="spellEnd"/>
      <w:r w:rsidRPr="001E717C">
        <w:rPr>
          <w:lang w:val="cs-CZ"/>
        </w:rPr>
        <w:t xml:space="preserve"> </w:t>
      </w:r>
      <w:proofErr w:type="spellStart"/>
      <w:r w:rsidRPr="001E717C">
        <w:rPr>
          <w:lang w:val="cs-CZ"/>
        </w:rPr>
        <w:t>Společenstvi</w:t>
      </w:r>
      <w:proofErr w:type="spellEnd"/>
      <w:r w:rsidRPr="001E717C">
        <w:rPr>
          <w:lang w:val="cs-CZ"/>
        </w:rPr>
        <w:t xml:space="preserve">́ </w:t>
      </w:r>
      <w:proofErr w:type="spellStart"/>
      <w:r w:rsidRPr="001E717C">
        <w:rPr>
          <w:lang w:val="cs-CZ"/>
        </w:rPr>
        <w:t>použitelných</w:t>
      </w:r>
      <w:proofErr w:type="spellEnd"/>
      <w:r w:rsidRPr="001E717C">
        <w:rPr>
          <w:lang w:val="cs-CZ"/>
        </w:rPr>
        <w:t xml:space="preserve"> pro </w:t>
      </w:r>
      <w:proofErr w:type="spellStart"/>
      <w:r w:rsidRPr="001E717C">
        <w:rPr>
          <w:lang w:val="cs-CZ"/>
        </w:rPr>
        <w:t>zadáváni</w:t>
      </w:r>
      <w:proofErr w:type="spellEnd"/>
      <w:r w:rsidRPr="001E717C">
        <w:rPr>
          <w:lang w:val="cs-CZ"/>
        </w:rPr>
        <w:t xml:space="preserve">́ </w:t>
      </w:r>
      <w:proofErr w:type="spellStart"/>
      <w:r w:rsidRPr="001E717C">
        <w:rPr>
          <w:lang w:val="cs-CZ"/>
        </w:rPr>
        <w:t>zakázek</w:t>
      </w:r>
      <w:proofErr w:type="spellEnd"/>
      <w:r w:rsidRPr="001E717C">
        <w:rPr>
          <w:lang w:val="cs-CZ"/>
        </w:rPr>
        <w:t xml:space="preserve">, na </w:t>
      </w:r>
      <w:proofErr w:type="spellStart"/>
      <w:r w:rsidRPr="001E717C">
        <w:rPr>
          <w:lang w:val="cs-CZ"/>
        </w:rPr>
        <w:t>ktere</w:t>
      </w:r>
      <w:proofErr w:type="spellEnd"/>
      <w:r w:rsidRPr="001E717C">
        <w:rPr>
          <w:lang w:val="cs-CZ"/>
        </w:rPr>
        <w:t xml:space="preserve">́ se </w:t>
      </w:r>
      <w:proofErr w:type="spellStart"/>
      <w:r w:rsidRPr="001E717C">
        <w:rPr>
          <w:lang w:val="cs-CZ"/>
        </w:rPr>
        <w:t>plne</w:t>
      </w:r>
      <w:proofErr w:type="spellEnd"/>
      <w:r w:rsidRPr="001E717C">
        <w:rPr>
          <w:lang w:val="cs-CZ"/>
        </w:rPr>
        <w:t xml:space="preserve">̌ nebo </w:t>
      </w:r>
      <w:proofErr w:type="spellStart"/>
      <w:r w:rsidRPr="001E717C">
        <w:rPr>
          <w:lang w:val="cs-CZ"/>
        </w:rPr>
        <w:t>částečne</w:t>
      </w:r>
      <w:proofErr w:type="spellEnd"/>
      <w:r w:rsidRPr="001E717C">
        <w:rPr>
          <w:lang w:val="cs-CZ"/>
        </w:rPr>
        <w:t xml:space="preserve">̌ nevztahují </w:t>
      </w:r>
      <w:proofErr w:type="spellStart"/>
      <w:r w:rsidRPr="001E717C">
        <w:rPr>
          <w:lang w:val="cs-CZ"/>
        </w:rPr>
        <w:t>směrnice</w:t>
      </w:r>
      <w:proofErr w:type="spellEnd"/>
      <w:r w:rsidRPr="001E717C">
        <w:rPr>
          <w:lang w:val="cs-CZ"/>
        </w:rPr>
        <w:t xml:space="preserve"> o </w:t>
      </w:r>
      <w:proofErr w:type="spellStart"/>
      <w:r w:rsidRPr="001E717C">
        <w:rPr>
          <w:lang w:val="cs-CZ"/>
        </w:rPr>
        <w:t>zadáváni</w:t>
      </w:r>
      <w:proofErr w:type="spellEnd"/>
      <w:r w:rsidRPr="001E717C">
        <w:rPr>
          <w:lang w:val="cs-CZ"/>
        </w:rPr>
        <w:t xml:space="preserve">́ </w:t>
      </w:r>
      <w:proofErr w:type="spellStart"/>
      <w:r w:rsidRPr="001E717C">
        <w:rPr>
          <w:lang w:val="cs-CZ"/>
        </w:rPr>
        <w:t>veřejných</w:t>
      </w:r>
      <w:proofErr w:type="spellEnd"/>
      <w:r w:rsidRPr="001E717C">
        <w:rPr>
          <w:lang w:val="cs-CZ"/>
        </w:rPr>
        <w:t xml:space="preserve"> </w:t>
      </w:r>
      <w:proofErr w:type="spellStart"/>
      <w:r w:rsidRPr="001E717C">
        <w:rPr>
          <w:lang w:val="cs-CZ"/>
        </w:rPr>
        <w:t>zaká</w:t>
      </w:r>
      <w:r w:rsidR="008C4845">
        <w:rPr>
          <w:lang w:val="cs-CZ"/>
        </w:rPr>
        <w:t>zek</w:t>
      </w:r>
      <w:proofErr w:type="spellEnd"/>
      <w:r w:rsidR="008C4845">
        <w:rPr>
          <w:lang w:val="cs-CZ"/>
        </w:rPr>
        <w:t xml:space="preserve">. </w:t>
      </w:r>
      <w:proofErr w:type="spellStart"/>
      <w:r w:rsidR="008C4845">
        <w:rPr>
          <w:lang w:val="cs-CZ"/>
        </w:rPr>
        <w:t>Úř</w:t>
      </w:r>
      <w:proofErr w:type="spellEnd"/>
      <w:r w:rsidR="008C4845">
        <w:rPr>
          <w:lang w:val="cs-CZ"/>
        </w:rPr>
        <w:t xml:space="preserve">. </w:t>
      </w:r>
      <w:proofErr w:type="spellStart"/>
      <w:r w:rsidR="008C4845">
        <w:rPr>
          <w:lang w:val="cs-CZ"/>
        </w:rPr>
        <w:t>věst</w:t>
      </w:r>
      <w:proofErr w:type="spellEnd"/>
      <w:r w:rsidR="008C4845">
        <w:rPr>
          <w:lang w:val="cs-CZ"/>
        </w:rPr>
        <w:t>. C179, 1. 8. 2006.</w:t>
      </w:r>
      <w:r w:rsidRPr="001E717C">
        <w:rPr>
          <w:lang w:val="cs-CZ"/>
        </w:rPr>
        <w:t xml:space="preserve"> s. 2. </w:t>
      </w:r>
    </w:p>
    <w:p w14:paraId="0E08DB64" w14:textId="77777777" w:rsidR="002F00F8" w:rsidRPr="001E717C" w:rsidRDefault="002F00F8" w:rsidP="002F00F8">
      <w:pPr>
        <w:pStyle w:val="ListParagraph"/>
        <w:ind w:left="284"/>
        <w:rPr>
          <w:lang w:val="cs-CZ"/>
        </w:rPr>
      </w:pPr>
    </w:p>
    <w:p w14:paraId="398DBFEE" w14:textId="6B7193DB" w:rsidR="002F00F8" w:rsidRPr="001E717C" w:rsidRDefault="002F00F8" w:rsidP="002F00F8">
      <w:pPr>
        <w:pStyle w:val="ListParagraph"/>
        <w:numPr>
          <w:ilvl w:val="0"/>
          <w:numId w:val="5"/>
        </w:numPr>
        <w:ind w:left="284"/>
        <w:rPr>
          <w:lang w:val="cs-CZ"/>
        </w:rPr>
      </w:pPr>
      <w:r w:rsidRPr="001E717C">
        <w:rPr>
          <w:lang w:val="cs-CZ"/>
        </w:rPr>
        <w:t xml:space="preserve">KOMÁREK, Jaroslav. </w:t>
      </w:r>
      <w:r w:rsidRPr="00590FCF">
        <w:rPr>
          <w:lang w:val="cs-CZ"/>
        </w:rPr>
        <w:t>Paradoxy novelizace zákona o veřejných zakázkách</w:t>
      </w:r>
      <w:r w:rsidRPr="001E717C">
        <w:rPr>
          <w:lang w:val="cs-CZ"/>
        </w:rPr>
        <w:t xml:space="preserve">. </w:t>
      </w:r>
      <w:r w:rsidRPr="001E717C">
        <w:rPr>
          <w:i/>
          <w:lang w:val="cs-CZ"/>
        </w:rPr>
        <w:t xml:space="preserve">Obec a finance, </w:t>
      </w:r>
      <w:r w:rsidR="008C4845">
        <w:rPr>
          <w:lang w:val="cs-CZ"/>
        </w:rPr>
        <w:t>2019, roč. 24,</w:t>
      </w:r>
      <w:r w:rsidRPr="001E717C">
        <w:rPr>
          <w:lang w:val="cs-CZ"/>
        </w:rPr>
        <w:t xml:space="preserve"> č. 4. </w:t>
      </w:r>
    </w:p>
    <w:p w14:paraId="3CB3A7BB" w14:textId="77777777" w:rsidR="009C198D" w:rsidRPr="001E717C" w:rsidRDefault="009C198D" w:rsidP="009C198D">
      <w:pPr>
        <w:rPr>
          <w:lang w:val="cs-CZ"/>
        </w:rPr>
      </w:pPr>
    </w:p>
    <w:p w14:paraId="494C081C" w14:textId="684A8F07" w:rsidR="0005747C" w:rsidRPr="001E717C" w:rsidRDefault="00590FCF" w:rsidP="0005747C">
      <w:pPr>
        <w:pStyle w:val="ListParagraph"/>
        <w:numPr>
          <w:ilvl w:val="0"/>
          <w:numId w:val="5"/>
        </w:numPr>
        <w:ind w:left="284"/>
        <w:rPr>
          <w:lang w:val="cs-CZ"/>
        </w:rPr>
      </w:pPr>
      <w:r>
        <w:rPr>
          <w:szCs w:val="20"/>
          <w:lang w:val="cs-CZ"/>
        </w:rPr>
        <w:t>KRUTÁK, Tomáš.</w:t>
      </w:r>
      <w:r w:rsidR="002F00F8" w:rsidRPr="001E717C">
        <w:rPr>
          <w:szCs w:val="20"/>
          <w:lang w:val="cs-CZ"/>
        </w:rPr>
        <w:t xml:space="preserve"> </w:t>
      </w:r>
      <w:r w:rsidR="002F00F8" w:rsidRPr="001E717C">
        <w:rPr>
          <w:lang w:val="cs-CZ"/>
        </w:rPr>
        <w:t xml:space="preserve"> </w:t>
      </w:r>
      <w:r w:rsidR="002F00F8" w:rsidRPr="00590FCF">
        <w:rPr>
          <w:i/>
          <w:lang w:val="cs-CZ"/>
        </w:rPr>
        <w:t>Zákon o zadávání veřejných zakázek s komentářem k 1. 10. 2016. 1.</w:t>
      </w:r>
      <w:r w:rsidR="002F00F8" w:rsidRPr="001E717C">
        <w:rPr>
          <w:lang w:val="cs-CZ"/>
        </w:rPr>
        <w:t xml:space="preserve"> Vydání. Olomouc: ANAG, 2016, 942 s.  </w:t>
      </w:r>
    </w:p>
    <w:p w14:paraId="22F97FC5" w14:textId="77777777" w:rsidR="0005747C" w:rsidRPr="001E717C" w:rsidRDefault="0005747C" w:rsidP="0005747C">
      <w:pPr>
        <w:rPr>
          <w:lang w:val="cs-CZ"/>
        </w:rPr>
      </w:pPr>
    </w:p>
    <w:p w14:paraId="7A33D121" w14:textId="500C8001" w:rsidR="003D0904" w:rsidRPr="001E717C" w:rsidRDefault="003D0904" w:rsidP="00961708">
      <w:pPr>
        <w:pStyle w:val="ListParagraph"/>
        <w:numPr>
          <w:ilvl w:val="0"/>
          <w:numId w:val="5"/>
        </w:numPr>
        <w:ind w:left="284"/>
        <w:rPr>
          <w:lang w:val="cs-CZ"/>
        </w:rPr>
      </w:pPr>
      <w:r w:rsidRPr="001E717C">
        <w:rPr>
          <w:lang w:val="cs-CZ"/>
        </w:rPr>
        <w:t xml:space="preserve">MACEK, Ivo. </w:t>
      </w:r>
      <w:r w:rsidRPr="00590FCF">
        <w:rPr>
          <w:i/>
          <w:lang w:val="cs-CZ"/>
        </w:rPr>
        <w:t>Zákon o zadávání veřejných zakázek : praktický komentář s judikaturou. </w:t>
      </w:r>
      <w:r w:rsidRPr="001E717C">
        <w:rPr>
          <w:lang w:val="cs-CZ"/>
        </w:rPr>
        <w:t xml:space="preserve">Praha: </w:t>
      </w:r>
      <w:proofErr w:type="spellStart"/>
      <w:r w:rsidRPr="001E717C">
        <w:rPr>
          <w:lang w:val="cs-CZ"/>
        </w:rPr>
        <w:t>Leges</w:t>
      </w:r>
      <w:proofErr w:type="spellEnd"/>
      <w:r w:rsidRPr="001E717C">
        <w:rPr>
          <w:lang w:val="cs-CZ"/>
        </w:rPr>
        <w:t xml:space="preserve">, 2017, 844 s. </w:t>
      </w:r>
    </w:p>
    <w:p w14:paraId="7A7795E7" w14:textId="77777777" w:rsidR="002F00F8" w:rsidRPr="001E717C" w:rsidRDefault="002F00F8" w:rsidP="002F00F8">
      <w:pPr>
        <w:rPr>
          <w:lang w:val="cs-CZ"/>
        </w:rPr>
      </w:pPr>
    </w:p>
    <w:p w14:paraId="60D3C8F7" w14:textId="2EB330FD" w:rsidR="002F00F8" w:rsidRPr="001E717C" w:rsidRDefault="002F00F8" w:rsidP="002F00F8">
      <w:pPr>
        <w:pStyle w:val="ListParagraph"/>
        <w:numPr>
          <w:ilvl w:val="0"/>
          <w:numId w:val="5"/>
        </w:numPr>
        <w:ind w:left="284"/>
        <w:rPr>
          <w:lang w:val="cs-CZ"/>
        </w:rPr>
      </w:pPr>
      <w:r w:rsidRPr="001E717C">
        <w:rPr>
          <w:lang w:val="cs-CZ"/>
        </w:rPr>
        <w:t xml:space="preserve">MACRORY, Patrick F. J.. </w:t>
      </w:r>
      <w:proofErr w:type="spellStart"/>
      <w:r w:rsidRPr="008F401C">
        <w:rPr>
          <w:i/>
          <w:lang w:val="cs-CZ"/>
        </w:rPr>
        <w:t>The</w:t>
      </w:r>
      <w:proofErr w:type="spellEnd"/>
      <w:r w:rsidRPr="008F401C">
        <w:rPr>
          <w:i/>
          <w:lang w:val="cs-CZ"/>
        </w:rPr>
        <w:t xml:space="preserve"> </w:t>
      </w:r>
      <w:proofErr w:type="spellStart"/>
      <w:r w:rsidRPr="008F401C">
        <w:rPr>
          <w:i/>
          <w:lang w:val="cs-CZ"/>
        </w:rPr>
        <w:t>World</w:t>
      </w:r>
      <w:proofErr w:type="spellEnd"/>
      <w:r w:rsidRPr="008F401C">
        <w:rPr>
          <w:i/>
          <w:lang w:val="cs-CZ"/>
        </w:rPr>
        <w:t xml:space="preserve"> </w:t>
      </w:r>
      <w:proofErr w:type="spellStart"/>
      <w:r w:rsidRPr="008F401C">
        <w:rPr>
          <w:i/>
          <w:lang w:val="cs-CZ"/>
        </w:rPr>
        <w:t>Trade</w:t>
      </w:r>
      <w:proofErr w:type="spellEnd"/>
      <w:r w:rsidRPr="008F401C">
        <w:rPr>
          <w:i/>
          <w:lang w:val="cs-CZ"/>
        </w:rPr>
        <w:t xml:space="preserve"> </w:t>
      </w:r>
      <w:proofErr w:type="spellStart"/>
      <w:r w:rsidRPr="008F401C">
        <w:rPr>
          <w:i/>
          <w:lang w:val="cs-CZ"/>
        </w:rPr>
        <w:t>Organization</w:t>
      </w:r>
      <w:proofErr w:type="spellEnd"/>
      <w:r w:rsidRPr="008F401C">
        <w:rPr>
          <w:i/>
          <w:lang w:val="cs-CZ"/>
        </w:rPr>
        <w:t xml:space="preserve">: </w:t>
      </w:r>
      <w:proofErr w:type="spellStart"/>
      <w:r w:rsidRPr="008F401C">
        <w:rPr>
          <w:i/>
          <w:lang w:val="cs-CZ"/>
        </w:rPr>
        <w:t>Legal</w:t>
      </w:r>
      <w:proofErr w:type="spellEnd"/>
      <w:r w:rsidRPr="008F401C">
        <w:rPr>
          <w:i/>
          <w:lang w:val="cs-CZ"/>
        </w:rPr>
        <w:t xml:space="preserve">, </w:t>
      </w:r>
      <w:proofErr w:type="spellStart"/>
      <w:r w:rsidRPr="008F401C">
        <w:rPr>
          <w:i/>
          <w:lang w:val="cs-CZ"/>
        </w:rPr>
        <w:t>Economic</w:t>
      </w:r>
      <w:proofErr w:type="spellEnd"/>
      <w:r w:rsidRPr="008F401C">
        <w:rPr>
          <w:i/>
          <w:lang w:val="cs-CZ"/>
        </w:rPr>
        <w:t xml:space="preserve"> and </w:t>
      </w:r>
      <w:proofErr w:type="spellStart"/>
      <w:r w:rsidRPr="008F401C">
        <w:rPr>
          <w:i/>
          <w:lang w:val="cs-CZ"/>
        </w:rPr>
        <w:t>Political</w:t>
      </w:r>
      <w:proofErr w:type="spellEnd"/>
      <w:r w:rsidRPr="008F401C">
        <w:rPr>
          <w:i/>
          <w:lang w:val="cs-CZ"/>
        </w:rPr>
        <w:t xml:space="preserve"> </w:t>
      </w:r>
      <w:proofErr w:type="spellStart"/>
      <w:r w:rsidRPr="008F401C">
        <w:rPr>
          <w:i/>
          <w:lang w:val="cs-CZ"/>
        </w:rPr>
        <w:t>Analysis</w:t>
      </w:r>
      <w:proofErr w:type="spellEnd"/>
      <w:r w:rsidRPr="008F401C">
        <w:rPr>
          <w:i/>
          <w:lang w:val="cs-CZ"/>
        </w:rPr>
        <w:t>.</w:t>
      </w:r>
      <w:r w:rsidRPr="001E717C">
        <w:rPr>
          <w:lang w:val="cs-CZ"/>
        </w:rPr>
        <w:t xml:space="preserve"> Boston: </w:t>
      </w:r>
      <w:proofErr w:type="spellStart"/>
      <w:r w:rsidRPr="001E717C">
        <w:rPr>
          <w:lang w:val="cs-CZ"/>
        </w:rPr>
        <w:t>Springer</w:t>
      </w:r>
      <w:proofErr w:type="spellEnd"/>
      <w:r w:rsidRPr="001E717C">
        <w:rPr>
          <w:lang w:val="cs-CZ"/>
        </w:rPr>
        <w:t xml:space="preserve"> Science + Bu</w:t>
      </w:r>
      <w:r w:rsidR="008C4845">
        <w:rPr>
          <w:lang w:val="cs-CZ"/>
        </w:rPr>
        <w:t>siness Media, Inc. 2005.</w:t>
      </w:r>
      <w:r w:rsidR="008F401C">
        <w:rPr>
          <w:lang w:val="cs-CZ"/>
        </w:rPr>
        <w:t xml:space="preserve"> 3083 s</w:t>
      </w:r>
      <w:r w:rsidRPr="001E717C">
        <w:rPr>
          <w:lang w:val="cs-CZ"/>
        </w:rPr>
        <w:t>.</w:t>
      </w:r>
    </w:p>
    <w:p w14:paraId="4CD6B005" w14:textId="77777777" w:rsidR="002F00F8" w:rsidRPr="008F401C" w:rsidRDefault="002F00F8" w:rsidP="008F401C">
      <w:pPr>
        <w:rPr>
          <w:lang w:val="cs-CZ"/>
        </w:rPr>
      </w:pPr>
    </w:p>
    <w:p w14:paraId="2315129B" w14:textId="5EE3BB67" w:rsidR="002F00F8" w:rsidRPr="001E717C" w:rsidRDefault="002F00F8" w:rsidP="002F00F8">
      <w:pPr>
        <w:pStyle w:val="ListParagraph"/>
        <w:numPr>
          <w:ilvl w:val="0"/>
          <w:numId w:val="5"/>
        </w:numPr>
        <w:ind w:left="284"/>
        <w:rPr>
          <w:lang w:val="cs-CZ"/>
        </w:rPr>
      </w:pPr>
      <w:r w:rsidRPr="001E717C">
        <w:rPr>
          <w:lang w:val="cs-CZ"/>
        </w:rPr>
        <w:t xml:space="preserve">MIŠÚR, </w:t>
      </w:r>
      <w:proofErr w:type="spellStart"/>
      <w:r w:rsidRPr="001E717C">
        <w:rPr>
          <w:lang w:val="cs-CZ"/>
        </w:rPr>
        <w:t>Perer</w:t>
      </w:r>
      <w:proofErr w:type="spellEnd"/>
      <w:r w:rsidRPr="001E717C">
        <w:rPr>
          <w:lang w:val="cs-CZ"/>
        </w:rPr>
        <w:t xml:space="preserve">. Právo zadávání veřejných zakázek EU čeká komplexní modernizace. </w:t>
      </w:r>
      <w:r w:rsidRPr="001E717C">
        <w:rPr>
          <w:rFonts w:eastAsia="Times New Roman" w:cs="Arial"/>
          <w:i/>
          <w:iCs/>
          <w:color w:val="000000"/>
          <w:szCs w:val="20"/>
          <w:shd w:val="clear" w:color="auto" w:fill="FFFFFF"/>
          <w:lang w:val="cs-CZ"/>
        </w:rPr>
        <w:t xml:space="preserve">Obchodněprávní revue, </w:t>
      </w:r>
      <w:r w:rsidRPr="001E717C">
        <w:rPr>
          <w:rFonts w:eastAsia="Times New Roman" w:cs="Arial"/>
          <w:iCs/>
          <w:color w:val="000000"/>
          <w:szCs w:val="20"/>
          <w:shd w:val="clear" w:color="auto" w:fill="FFFFFF"/>
          <w:lang w:val="cs-CZ"/>
        </w:rPr>
        <w:t>2012, roč. 4 č. 6, s. 181.</w:t>
      </w:r>
      <w:r w:rsidRPr="001E717C">
        <w:rPr>
          <w:rFonts w:eastAsia="Times New Roman" w:cs="Arial"/>
          <w:i/>
          <w:iCs/>
          <w:color w:val="000000"/>
          <w:szCs w:val="20"/>
          <w:shd w:val="clear" w:color="auto" w:fill="FFFFFF"/>
          <w:lang w:val="cs-CZ"/>
        </w:rPr>
        <w:t xml:space="preserve"> </w:t>
      </w:r>
    </w:p>
    <w:p w14:paraId="0B461C76" w14:textId="77777777" w:rsidR="002F00F8" w:rsidRPr="001E717C" w:rsidRDefault="002F00F8" w:rsidP="002F00F8">
      <w:pPr>
        <w:rPr>
          <w:lang w:val="cs-CZ"/>
        </w:rPr>
      </w:pPr>
    </w:p>
    <w:p w14:paraId="21E1E9B6" w14:textId="385F7B29" w:rsidR="002F00F8" w:rsidRPr="001E717C" w:rsidRDefault="002F00F8" w:rsidP="002F00F8">
      <w:pPr>
        <w:pStyle w:val="ListParagraph"/>
        <w:numPr>
          <w:ilvl w:val="0"/>
          <w:numId w:val="5"/>
        </w:numPr>
        <w:ind w:left="284"/>
        <w:rPr>
          <w:lang w:val="cs-CZ"/>
        </w:rPr>
      </w:pPr>
      <w:r w:rsidRPr="001E717C">
        <w:rPr>
          <w:lang w:val="cs-CZ"/>
        </w:rPr>
        <w:t xml:space="preserve">PODEŠVA, Vilém, SOMMER Lukáš a kolektiv. </w:t>
      </w:r>
      <w:r w:rsidRPr="008C4845">
        <w:rPr>
          <w:i/>
          <w:lang w:val="cs-CZ"/>
        </w:rPr>
        <w:t xml:space="preserve">Zákon o zadávání veřejných </w:t>
      </w:r>
      <w:r w:rsidR="008F401C" w:rsidRPr="008C4845">
        <w:rPr>
          <w:i/>
          <w:lang w:val="cs-CZ"/>
        </w:rPr>
        <w:t xml:space="preserve">zakázek. Zákon o registru smluv </w:t>
      </w:r>
      <w:r w:rsidRPr="008C4845">
        <w:rPr>
          <w:i/>
          <w:lang w:val="cs-CZ"/>
        </w:rPr>
        <w:t>- Komentář.</w:t>
      </w:r>
      <w:r w:rsidRPr="001E717C">
        <w:rPr>
          <w:lang w:val="cs-CZ"/>
        </w:rPr>
        <w:t xml:space="preserve"> Praha: </w:t>
      </w:r>
      <w:proofErr w:type="spellStart"/>
      <w:r w:rsidRPr="001E717C">
        <w:rPr>
          <w:lang w:val="cs-CZ"/>
        </w:rPr>
        <w:t>Wolters</w:t>
      </w:r>
      <w:proofErr w:type="spellEnd"/>
      <w:r w:rsidRPr="001E717C">
        <w:rPr>
          <w:lang w:val="cs-CZ"/>
        </w:rPr>
        <w:t xml:space="preserve"> </w:t>
      </w:r>
      <w:proofErr w:type="spellStart"/>
      <w:r w:rsidRPr="001E717C">
        <w:rPr>
          <w:lang w:val="cs-CZ"/>
        </w:rPr>
        <w:t>Kluwer</w:t>
      </w:r>
      <w:proofErr w:type="spellEnd"/>
      <w:r w:rsidRPr="001E717C">
        <w:rPr>
          <w:lang w:val="cs-CZ"/>
        </w:rPr>
        <w:t xml:space="preserve"> ČR, 2016, 1108 s. </w:t>
      </w:r>
    </w:p>
    <w:p w14:paraId="619957E0" w14:textId="77777777" w:rsidR="009C198D" w:rsidRPr="001E717C" w:rsidRDefault="009C198D" w:rsidP="009C198D">
      <w:pPr>
        <w:rPr>
          <w:lang w:val="cs-CZ"/>
        </w:rPr>
      </w:pPr>
    </w:p>
    <w:p w14:paraId="236FAFA9" w14:textId="7866376B" w:rsidR="002F00F8" w:rsidRDefault="002F00F8" w:rsidP="002F00F8">
      <w:pPr>
        <w:pStyle w:val="ListParagraph"/>
        <w:numPr>
          <w:ilvl w:val="0"/>
          <w:numId w:val="5"/>
        </w:numPr>
        <w:ind w:left="284"/>
        <w:rPr>
          <w:lang w:val="cs-CZ"/>
        </w:rPr>
      </w:pPr>
      <w:r w:rsidRPr="001E717C">
        <w:rPr>
          <w:lang w:val="cs-CZ"/>
        </w:rPr>
        <w:t xml:space="preserve">POREMSKÁ, Michaela. </w:t>
      </w:r>
      <w:r w:rsidRPr="00D67DB3">
        <w:rPr>
          <w:lang w:val="cs-CZ"/>
        </w:rPr>
        <w:t>Právní zásady v rozhodnutích ve věci veřejných zakázek</w:t>
      </w:r>
      <w:r w:rsidRPr="001E717C">
        <w:rPr>
          <w:lang w:val="cs-CZ"/>
        </w:rPr>
        <w:t xml:space="preserve">. </w:t>
      </w:r>
      <w:r w:rsidRPr="00D67DB3">
        <w:rPr>
          <w:i/>
          <w:lang w:val="cs-CZ"/>
        </w:rPr>
        <w:t>Časopis pro právní vědu a praxi</w:t>
      </w:r>
      <w:r w:rsidRPr="001E717C">
        <w:rPr>
          <w:lang w:val="cs-CZ"/>
        </w:rPr>
        <w:t>, 2009, roč. 17, č. 2, s. 88</w:t>
      </w:r>
      <w:r w:rsidR="00BB2BAC">
        <w:rPr>
          <w:lang w:val="cs-CZ"/>
        </w:rPr>
        <w:t xml:space="preserve">. </w:t>
      </w:r>
    </w:p>
    <w:p w14:paraId="36D8F933" w14:textId="77777777" w:rsidR="008F401C" w:rsidRPr="008F401C" w:rsidRDefault="008F401C" w:rsidP="008F401C">
      <w:pPr>
        <w:rPr>
          <w:lang w:val="cs-CZ"/>
        </w:rPr>
      </w:pPr>
    </w:p>
    <w:p w14:paraId="74EB3000" w14:textId="5C638A51" w:rsidR="002F00F8" w:rsidRPr="001E717C" w:rsidRDefault="002F00F8" w:rsidP="002F00F8">
      <w:pPr>
        <w:pStyle w:val="ListParagraph"/>
        <w:numPr>
          <w:ilvl w:val="0"/>
          <w:numId w:val="5"/>
        </w:numPr>
        <w:ind w:left="284"/>
        <w:rPr>
          <w:lang w:val="cs-CZ"/>
        </w:rPr>
      </w:pPr>
      <w:r w:rsidRPr="001E717C">
        <w:rPr>
          <w:lang w:val="cs-CZ"/>
        </w:rPr>
        <w:t xml:space="preserve">PODEŠVA, Vilém a kolektiv. </w:t>
      </w:r>
      <w:r w:rsidRPr="001E717C">
        <w:rPr>
          <w:i/>
          <w:lang w:val="cs-CZ"/>
        </w:rPr>
        <w:t xml:space="preserve">Zákon o zadávání veřejných </w:t>
      </w:r>
      <w:r w:rsidR="00D67DB3">
        <w:rPr>
          <w:i/>
          <w:lang w:val="cs-CZ"/>
        </w:rPr>
        <w:t xml:space="preserve">zakázek. Zákon o registru smluv </w:t>
      </w:r>
      <w:r w:rsidRPr="001E717C">
        <w:rPr>
          <w:i/>
          <w:lang w:val="cs-CZ"/>
        </w:rPr>
        <w:t>- Komentář.</w:t>
      </w:r>
      <w:r w:rsidRPr="001E717C">
        <w:rPr>
          <w:lang w:val="cs-CZ"/>
        </w:rPr>
        <w:t xml:space="preserve"> Praha: </w:t>
      </w:r>
      <w:proofErr w:type="spellStart"/>
      <w:r w:rsidRPr="001E717C">
        <w:rPr>
          <w:lang w:val="cs-CZ"/>
        </w:rPr>
        <w:t>Wolters</w:t>
      </w:r>
      <w:proofErr w:type="spellEnd"/>
      <w:r w:rsidRPr="001E717C">
        <w:rPr>
          <w:lang w:val="cs-CZ"/>
        </w:rPr>
        <w:t xml:space="preserve"> </w:t>
      </w:r>
      <w:proofErr w:type="spellStart"/>
      <w:r w:rsidRPr="001E717C">
        <w:rPr>
          <w:lang w:val="cs-CZ"/>
        </w:rPr>
        <w:t>Kluwer</w:t>
      </w:r>
      <w:proofErr w:type="spellEnd"/>
      <w:r w:rsidRPr="001E717C">
        <w:rPr>
          <w:lang w:val="cs-CZ"/>
        </w:rPr>
        <w:t xml:space="preserve"> ČR, 2016, 1108 s. </w:t>
      </w:r>
    </w:p>
    <w:p w14:paraId="0CAC4A81" w14:textId="77777777" w:rsidR="009C198D" w:rsidRPr="001E717C" w:rsidRDefault="009C198D" w:rsidP="009C198D">
      <w:pPr>
        <w:pStyle w:val="ListParagraph"/>
        <w:ind w:left="284"/>
        <w:rPr>
          <w:lang w:val="cs-CZ"/>
        </w:rPr>
      </w:pPr>
    </w:p>
    <w:p w14:paraId="1F58E32B" w14:textId="4C1D0EB1" w:rsidR="0005747C" w:rsidRPr="002F52D8" w:rsidRDefault="002E1275" w:rsidP="008F401C">
      <w:pPr>
        <w:pStyle w:val="ListParagraph"/>
        <w:numPr>
          <w:ilvl w:val="0"/>
          <w:numId w:val="5"/>
        </w:numPr>
        <w:ind w:left="284"/>
        <w:rPr>
          <w:lang w:val="cs-CZ"/>
        </w:rPr>
      </w:pPr>
      <w:r w:rsidRPr="001E717C">
        <w:rPr>
          <w:lang w:val="cs-CZ"/>
        </w:rPr>
        <w:t xml:space="preserve">SCHNELLEOVÁ, Andrea. Vybrané otázky zadávání veřejných zakázek ve světle současné a nadcházející právní úpravy. </w:t>
      </w:r>
      <w:r w:rsidRPr="001E717C">
        <w:rPr>
          <w:i/>
          <w:lang w:val="cs-CZ"/>
        </w:rPr>
        <w:t xml:space="preserve">Rekodifikace &amp; praxe, </w:t>
      </w:r>
      <w:r w:rsidRPr="001E717C">
        <w:rPr>
          <w:lang w:val="cs-CZ"/>
        </w:rPr>
        <w:t>2016, roč. 4</w:t>
      </w:r>
      <w:r w:rsidRPr="001E717C">
        <w:rPr>
          <w:i/>
          <w:lang w:val="cs-CZ"/>
        </w:rPr>
        <w:t xml:space="preserve"> </w:t>
      </w:r>
      <w:r w:rsidRPr="001E717C">
        <w:rPr>
          <w:lang w:val="cs-CZ"/>
        </w:rPr>
        <w:t xml:space="preserve">č. 4, s. 19. </w:t>
      </w:r>
    </w:p>
    <w:p w14:paraId="7F575BC1" w14:textId="22E2F826" w:rsidR="00630514" w:rsidRPr="001E717C" w:rsidRDefault="0097001E" w:rsidP="00961708">
      <w:pPr>
        <w:pStyle w:val="Heading2"/>
        <w:rPr>
          <w:rFonts w:ascii="Times New Roman" w:hAnsi="Times New Roman" w:cs="Times New Roman"/>
          <w:sz w:val="20"/>
          <w:szCs w:val="20"/>
          <w:lang w:val="cs-CZ"/>
        </w:rPr>
      </w:pPr>
      <w:bookmarkStart w:id="29" w:name="_Toc435378278"/>
      <w:bookmarkStart w:id="30" w:name="_Toc436130176"/>
      <w:bookmarkStart w:id="31" w:name="_Toc436130206"/>
      <w:bookmarkStart w:id="32" w:name="_Toc436130436"/>
      <w:bookmarkStart w:id="33" w:name="_Toc436644050"/>
      <w:r w:rsidRPr="001E717C">
        <w:rPr>
          <w:lang w:val="cs-CZ"/>
        </w:rPr>
        <w:lastRenderedPageBreak/>
        <w:t>Právní př</w:t>
      </w:r>
      <w:r w:rsidR="00630514" w:rsidRPr="001E717C">
        <w:rPr>
          <w:lang w:val="cs-CZ"/>
        </w:rPr>
        <w:t>edpisy</w:t>
      </w:r>
      <w:bookmarkEnd w:id="29"/>
      <w:bookmarkEnd w:id="30"/>
      <w:bookmarkEnd w:id="31"/>
      <w:bookmarkEnd w:id="32"/>
      <w:bookmarkEnd w:id="33"/>
      <w:r w:rsidR="00630514" w:rsidRPr="001E717C">
        <w:rPr>
          <w:lang w:val="cs-CZ"/>
        </w:rPr>
        <w:t xml:space="preserve"> </w:t>
      </w:r>
    </w:p>
    <w:p w14:paraId="4A76CDC8" w14:textId="77777777" w:rsidR="009C198D" w:rsidRPr="001E717C" w:rsidRDefault="009C198D" w:rsidP="009C198D">
      <w:pPr>
        <w:pStyle w:val="ListParagraph"/>
        <w:ind w:left="284"/>
        <w:rPr>
          <w:lang w:val="cs-CZ"/>
        </w:rPr>
      </w:pPr>
    </w:p>
    <w:p w14:paraId="3481DFF1" w14:textId="51C4D798" w:rsidR="009C198D" w:rsidRPr="001E717C" w:rsidRDefault="009C198D" w:rsidP="009C198D">
      <w:pPr>
        <w:pStyle w:val="ListParagraph"/>
        <w:numPr>
          <w:ilvl w:val="0"/>
          <w:numId w:val="6"/>
        </w:numPr>
        <w:ind w:left="284"/>
        <w:rPr>
          <w:lang w:val="cs-CZ"/>
        </w:rPr>
      </w:pPr>
      <w:r w:rsidRPr="001E717C">
        <w:rPr>
          <w:lang w:val="cs-CZ"/>
        </w:rPr>
        <w:t xml:space="preserve">Rozhodnutí Rady ze dne 2. 12. 2013 o uzavření Protokolu o změně Dohody o vládních zakázkách 2014/115/EU. </w:t>
      </w:r>
      <w:proofErr w:type="spellStart"/>
      <w:r w:rsidRPr="001E717C">
        <w:rPr>
          <w:lang w:val="cs-CZ"/>
        </w:rPr>
        <w:t>Úř</w:t>
      </w:r>
      <w:proofErr w:type="spellEnd"/>
      <w:r w:rsidRPr="001E717C">
        <w:rPr>
          <w:lang w:val="cs-CZ"/>
        </w:rPr>
        <w:t xml:space="preserve">. </w:t>
      </w:r>
      <w:proofErr w:type="spellStart"/>
      <w:r w:rsidRPr="001E717C">
        <w:rPr>
          <w:lang w:val="cs-CZ"/>
        </w:rPr>
        <w:t>věst</w:t>
      </w:r>
      <w:proofErr w:type="spellEnd"/>
      <w:r w:rsidRPr="001E717C">
        <w:rPr>
          <w:lang w:val="cs-CZ"/>
        </w:rPr>
        <w:t xml:space="preserve">. </w:t>
      </w:r>
      <w:r w:rsidRPr="001E717C">
        <w:rPr>
          <w:i/>
          <w:iCs/>
          <w:lang w:val="cs-CZ"/>
        </w:rPr>
        <w:t>68, 7.3.2014</w:t>
      </w:r>
      <w:r w:rsidR="005F251B">
        <w:rPr>
          <w:i/>
          <w:iCs/>
          <w:lang w:val="cs-CZ"/>
        </w:rPr>
        <w:t xml:space="preserve">, </w:t>
      </w:r>
      <w:r w:rsidR="005F251B">
        <w:rPr>
          <w:iCs/>
          <w:lang w:val="cs-CZ"/>
        </w:rPr>
        <w:t xml:space="preserve">s. 1 a násl. </w:t>
      </w:r>
    </w:p>
    <w:p w14:paraId="08A3A417" w14:textId="77777777" w:rsidR="009C198D" w:rsidRPr="001E717C" w:rsidRDefault="009C198D" w:rsidP="009C198D">
      <w:pPr>
        <w:pStyle w:val="ListParagraph"/>
        <w:ind w:left="284"/>
        <w:rPr>
          <w:lang w:val="cs-CZ"/>
        </w:rPr>
      </w:pPr>
    </w:p>
    <w:p w14:paraId="4DEEA4E7" w14:textId="141B0AA4" w:rsidR="002610C7" w:rsidRPr="001E717C" w:rsidRDefault="002610C7" w:rsidP="00961708">
      <w:pPr>
        <w:pStyle w:val="ListParagraph"/>
        <w:numPr>
          <w:ilvl w:val="0"/>
          <w:numId w:val="6"/>
        </w:numPr>
        <w:ind w:left="284"/>
        <w:rPr>
          <w:lang w:val="cs-CZ"/>
        </w:rPr>
      </w:pPr>
      <w:r w:rsidRPr="001E717C">
        <w:rPr>
          <w:lang w:val="cs-CZ"/>
        </w:rPr>
        <w:t xml:space="preserve">Směrnice Evropského parlamentu a Rady 2014/24/EU ze dne 26. února 2014 o zadávání veřejných zakázek a zrušení směrnice 2004/18/ES. </w:t>
      </w:r>
      <w:proofErr w:type="spellStart"/>
      <w:r w:rsidR="005F251B">
        <w:rPr>
          <w:lang w:val="cs-CZ"/>
        </w:rPr>
        <w:t>Úř</w:t>
      </w:r>
      <w:proofErr w:type="spellEnd"/>
      <w:r w:rsidR="005F251B">
        <w:rPr>
          <w:lang w:val="cs-CZ"/>
        </w:rPr>
        <w:t xml:space="preserve">. </w:t>
      </w:r>
      <w:proofErr w:type="spellStart"/>
      <w:r w:rsidR="005F251B">
        <w:rPr>
          <w:lang w:val="cs-CZ"/>
        </w:rPr>
        <w:t>věst</w:t>
      </w:r>
      <w:proofErr w:type="spellEnd"/>
      <w:r w:rsidR="005F251B">
        <w:rPr>
          <w:lang w:val="cs-CZ"/>
        </w:rPr>
        <w:t xml:space="preserve">. L 94, 28. 3. 2014, s. 65 a násl. </w:t>
      </w:r>
    </w:p>
    <w:p w14:paraId="69D54F69" w14:textId="77777777" w:rsidR="0005747C" w:rsidRPr="001E717C" w:rsidRDefault="0005747C" w:rsidP="009C198D">
      <w:pPr>
        <w:rPr>
          <w:lang w:val="cs-CZ"/>
        </w:rPr>
      </w:pPr>
    </w:p>
    <w:p w14:paraId="5F73D314" w14:textId="7BE7D730" w:rsidR="009C198D" w:rsidRDefault="009C198D" w:rsidP="009C198D">
      <w:pPr>
        <w:pStyle w:val="ListParagraph"/>
        <w:numPr>
          <w:ilvl w:val="0"/>
          <w:numId w:val="6"/>
        </w:numPr>
        <w:ind w:left="284"/>
        <w:rPr>
          <w:lang w:val="cs-CZ"/>
        </w:rPr>
      </w:pPr>
      <w:r w:rsidRPr="001E717C">
        <w:rPr>
          <w:lang w:val="cs-CZ"/>
        </w:rPr>
        <w:t>Smlouvy o evropské unii (konsolidované znění). Úřední věstník</w:t>
      </w:r>
      <w:r w:rsidR="005F251B">
        <w:rPr>
          <w:lang w:val="cs-CZ"/>
        </w:rPr>
        <w:t xml:space="preserve"> C 326, 26. 10. 2012, s. 13 a násl. </w:t>
      </w:r>
    </w:p>
    <w:p w14:paraId="26775B62" w14:textId="77777777" w:rsidR="005F251B" w:rsidRPr="005F251B" w:rsidRDefault="005F251B" w:rsidP="005F251B">
      <w:pPr>
        <w:rPr>
          <w:lang w:val="cs-CZ"/>
        </w:rPr>
      </w:pPr>
    </w:p>
    <w:p w14:paraId="7993642F" w14:textId="791E4464" w:rsidR="005F251B" w:rsidRPr="001E717C" w:rsidRDefault="005F251B" w:rsidP="009C198D">
      <w:pPr>
        <w:pStyle w:val="ListParagraph"/>
        <w:numPr>
          <w:ilvl w:val="0"/>
          <w:numId w:val="6"/>
        </w:numPr>
        <w:ind w:left="284"/>
        <w:rPr>
          <w:lang w:val="cs-CZ"/>
        </w:rPr>
      </w:pPr>
      <w:proofErr w:type="spellStart"/>
      <w:r w:rsidRPr="00957D85">
        <w:t>Smlouv</w:t>
      </w:r>
      <w:r>
        <w:t>y</w:t>
      </w:r>
      <w:proofErr w:type="spellEnd"/>
      <w:r>
        <w:t xml:space="preserve"> o </w:t>
      </w:r>
      <w:proofErr w:type="spellStart"/>
      <w:r>
        <w:t>fungo</w:t>
      </w:r>
      <w:r w:rsidR="00D67DB3">
        <w:t>váni</w:t>
      </w:r>
      <w:proofErr w:type="spellEnd"/>
      <w:r w:rsidR="00D67DB3">
        <w:t xml:space="preserve">́ </w:t>
      </w:r>
      <w:proofErr w:type="spellStart"/>
      <w:r w:rsidR="00D67DB3">
        <w:t>Evropske</w:t>
      </w:r>
      <w:proofErr w:type="spellEnd"/>
      <w:r w:rsidR="00D67DB3">
        <w:t xml:space="preserve">́ </w:t>
      </w:r>
      <w:proofErr w:type="spellStart"/>
      <w:r w:rsidR="00D67DB3">
        <w:t>unie</w:t>
      </w:r>
      <w:proofErr w:type="spellEnd"/>
      <w:r w:rsidR="00D67DB3">
        <w:t xml:space="preserve">. </w:t>
      </w:r>
      <w:proofErr w:type="spellStart"/>
      <w:r w:rsidR="00D67DB3">
        <w:t>Úř</w:t>
      </w:r>
      <w:proofErr w:type="spellEnd"/>
      <w:r w:rsidR="00D67DB3">
        <w:t xml:space="preserve">. </w:t>
      </w:r>
      <w:proofErr w:type="spellStart"/>
      <w:proofErr w:type="gramStart"/>
      <w:r w:rsidR="00D67DB3">
        <w:t>věst</w:t>
      </w:r>
      <w:proofErr w:type="spellEnd"/>
      <w:proofErr w:type="gramEnd"/>
      <w:r w:rsidR="00D67DB3">
        <w:t xml:space="preserve">. </w:t>
      </w:r>
      <w:r>
        <w:t xml:space="preserve">C 326, 26. 10. 2012, s. 47 </w:t>
      </w:r>
      <w:proofErr w:type="gramStart"/>
      <w:r>
        <w:t>a</w:t>
      </w:r>
      <w:proofErr w:type="gramEnd"/>
      <w:r>
        <w:t xml:space="preserve"> </w:t>
      </w:r>
      <w:proofErr w:type="spellStart"/>
      <w:r>
        <w:t>násl</w:t>
      </w:r>
      <w:proofErr w:type="spellEnd"/>
      <w:r>
        <w:t xml:space="preserve">. </w:t>
      </w:r>
    </w:p>
    <w:p w14:paraId="797585A5" w14:textId="77777777" w:rsidR="009C198D" w:rsidRPr="001E717C" w:rsidRDefault="009C198D" w:rsidP="009C198D">
      <w:pPr>
        <w:rPr>
          <w:lang w:val="cs-CZ"/>
        </w:rPr>
      </w:pPr>
    </w:p>
    <w:p w14:paraId="3C62133D" w14:textId="3F85E2D0" w:rsidR="00BD5F58" w:rsidRPr="001E717C" w:rsidRDefault="00BD5F58" w:rsidP="00961708">
      <w:pPr>
        <w:pStyle w:val="ListParagraph"/>
        <w:numPr>
          <w:ilvl w:val="0"/>
          <w:numId w:val="6"/>
        </w:numPr>
        <w:ind w:left="284"/>
        <w:rPr>
          <w:lang w:val="cs-CZ"/>
        </w:rPr>
      </w:pPr>
      <w:r w:rsidRPr="001E717C">
        <w:rPr>
          <w:lang w:val="cs-CZ"/>
        </w:rPr>
        <w:t xml:space="preserve">Směrnice Rady 2004/113/ES ze dne 13. 12. 2004, kterou se zavádí rovné zacházení s muži a ženami v přístupu ke zboží a službám a jejich poskytování. </w:t>
      </w:r>
      <w:proofErr w:type="spellStart"/>
      <w:r w:rsidRPr="001E717C">
        <w:rPr>
          <w:lang w:val="cs-CZ"/>
        </w:rPr>
        <w:t>Úř</w:t>
      </w:r>
      <w:proofErr w:type="spellEnd"/>
      <w:r w:rsidRPr="001E717C">
        <w:rPr>
          <w:lang w:val="cs-CZ"/>
        </w:rPr>
        <w:t xml:space="preserve">. </w:t>
      </w:r>
      <w:proofErr w:type="spellStart"/>
      <w:r w:rsidRPr="001E717C">
        <w:rPr>
          <w:lang w:val="cs-CZ"/>
        </w:rPr>
        <w:t>v</w:t>
      </w:r>
      <w:r w:rsidR="005F251B">
        <w:rPr>
          <w:lang w:val="cs-CZ"/>
        </w:rPr>
        <w:t>ěst</w:t>
      </w:r>
      <w:proofErr w:type="spellEnd"/>
      <w:r w:rsidR="005F251B">
        <w:rPr>
          <w:lang w:val="cs-CZ"/>
        </w:rPr>
        <w:t xml:space="preserve">. L 373, 21. 12. 2004, s. 37 a násl. </w:t>
      </w:r>
    </w:p>
    <w:p w14:paraId="37CEFC0F" w14:textId="77777777" w:rsidR="009C198D" w:rsidRPr="001E717C" w:rsidRDefault="009C198D" w:rsidP="009C198D">
      <w:pPr>
        <w:rPr>
          <w:lang w:val="cs-CZ"/>
        </w:rPr>
      </w:pPr>
    </w:p>
    <w:p w14:paraId="6C458A21" w14:textId="29851963" w:rsidR="0005747C" w:rsidRPr="002F52D8" w:rsidRDefault="009C198D" w:rsidP="002F52D8">
      <w:pPr>
        <w:pStyle w:val="ListParagraph"/>
        <w:numPr>
          <w:ilvl w:val="0"/>
          <w:numId w:val="6"/>
        </w:numPr>
        <w:ind w:left="284"/>
        <w:rPr>
          <w:lang w:val="cs-CZ"/>
        </w:rPr>
      </w:pPr>
      <w:r w:rsidRPr="001E717C">
        <w:rPr>
          <w:lang w:val="cs-CZ"/>
        </w:rPr>
        <w:t>Zákon č. 134/2016 Sb., o zadávání veřejných zakázek, ve znění pozdějších předpisů</w:t>
      </w:r>
      <w:r w:rsidR="005F251B">
        <w:rPr>
          <w:lang w:val="cs-CZ"/>
        </w:rPr>
        <w:t xml:space="preserve">. </w:t>
      </w:r>
    </w:p>
    <w:p w14:paraId="0E649544" w14:textId="1F6246F5" w:rsidR="00630514" w:rsidRPr="001E717C" w:rsidRDefault="0097001E" w:rsidP="00961708">
      <w:pPr>
        <w:pStyle w:val="Heading2"/>
        <w:rPr>
          <w:lang w:val="cs-CZ"/>
        </w:rPr>
      </w:pPr>
      <w:bookmarkStart w:id="34" w:name="_Toc435378279"/>
      <w:bookmarkStart w:id="35" w:name="_Toc436130177"/>
      <w:bookmarkStart w:id="36" w:name="_Toc436130207"/>
      <w:bookmarkStart w:id="37" w:name="_Toc436130437"/>
      <w:bookmarkStart w:id="38" w:name="_Toc436644051"/>
      <w:r w:rsidRPr="001E717C">
        <w:rPr>
          <w:lang w:val="cs-CZ"/>
        </w:rPr>
        <w:t>Internetové</w:t>
      </w:r>
      <w:r w:rsidR="00630514" w:rsidRPr="001E717C">
        <w:rPr>
          <w:lang w:val="cs-CZ"/>
        </w:rPr>
        <w:t xml:space="preserve"> zdroje</w:t>
      </w:r>
      <w:bookmarkEnd w:id="34"/>
      <w:bookmarkEnd w:id="35"/>
      <w:bookmarkEnd w:id="36"/>
      <w:bookmarkEnd w:id="37"/>
      <w:bookmarkEnd w:id="38"/>
      <w:r w:rsidR="00630514" w:rsidRPr="001E717C">
        <w:rPr>
          <w:lang w:val="cs-CZ"/>
        </w:rPr>
        <w:t xml:space="preserve"> </w:t>
      </w:r>
    </w:p>
    <w:p w14:paraId="7BE9ACCF" w14:textId="1E2AD57C" w:rsidR="00A07E2D" w:rsidRPr="00A07E2D" w:rsidRDefault="00A07E2D" w:rsidP="004503E3">
      <w:pPr>
        <w:pStyle w:val="ListParagraph"/>
        <w:numPr>
          <w:ilvl w:val="0"/>
          <w:numId w:val="9"/>
        </w:numPr>
        <w:ind w:left="284"/>
        <w:rPr>
          <w:lang w:val="cs-CZ"/>
        </w:rPr>
      </w:pPr>
      <w:r>
        <w:t xml:space="preserve">BLAŽEK, </w:t>
      </w:r>
      <w:proofErr w:type="spellStart"/>
      <w:r>
        <w:t>Vojtěch</w:t>
      </w:r>
      <w:proofErr w:type="spellEnd"/>
      <w:r>
        <w:t xml:space="preserve">. </w:t>
      </w:r>
      <w:proofErr w:type="spellStart"/>
      <w:r w:rsidRPr="00167C26">
        <w:rPr>
          <w:i/>
        </w:rPr>
        <w:t>Nad</w:t>
      </w:r>
      <w:proofErr w:type="spellEnd"/>
      <w:r w:rsidRPr="00167C26">
        <w:rPr>
          <w:i/>
        </w:rPr>
        <w:t xml:space="preserve"> </w:t>
      </w:r>
      <w:proofErr w:type="spellStart"/>
      <w:r w:rsidRPr="00167C26">
        <w:rPr>
          <w:i/>
        </w:rPr>
        <w:t>připravovaným</w:t>
      </w:r>
      <w:proofErr w:type="spellEnd"/>
      <w:r w:rsidRPr="00167C26">
        <w:rPr>
          <w:i/>
        </w:rPr>
        <w:t xml:space="preserve"> </w:t>
      </w:r>
      <w:proofErr w:type="spellStart"/>
      <w:r w:rsidRPr="00167C26">
        <w:rPr>
          <w:i/>
        </w:rPr>
        <w:t>zákonem</w:t>
      </w:r>
      <w:proofErr w:type="spellEnd"/>
      <w:r w:rsidRPr="00167C26">
        <w:rPr>
          <w:i/>
        </w:rPr>
        <w:t xml:space="preserve"> o </w:t>
      </w:r>
      <w:proofErr w:type="spellStart"/>
      <w:r w:rsidRPr="00167C26">
        <w:rPr>
          <w:i/>
        </w:rPr>
        <w:t>zadávání</w:t>
      </w:r>
      <w:proofErr w:type="spellEnd"/>
      <w:r w:rsidRPr="00167C26">
        <w:rPr>
          <w:i/>
        </w:rPr>
        <w:t xml:space="preserve"> </w:t>
      </w:r>
      <w:proofErr w:type="spellStart"/>
      <w:r w:rsidRPr="00167C26">
        <w:rPr>
          <w:i/>
        </w:rPr>
        <w:t>veřejných</w:t>
      </w:r>
      <w:proofErr w:type="spellEnd"/>
      <w:r w:rsidRPr="00167C26">
        <w:rPr>
          <w:i/>
        </w:rPr>
        <w:t xml:space="preserve"> </w:t>
      </w:r>
      <w:proofErr w:type="spellStart"/>
      <w:r w:rsidRPr="00167C26">
        <w:rPr>
          <w:i/>
        </w:rPr>
        <w:t>zakázek</w:t>
      </w:r>
      <w:proofErr w:type="spellEnd"/>
      <w:r>
        <w:rPr>
          <w:i/>
        </w:rPr>
        <w:t xml:space="preserve"> </w:t>
      </w:r>
      <w:r>
        <w:t>[online]. Pravniprostor.cz, 11. 11.  2015 [cit. 8. 3. 2020]. </w:t>
      </w:r>
      <w:proofErr w:type="spellStart"/>
      <w:r>
        <w:t>Dostupné</w:t>
      </w:r>
      <w:proofErr w:type="spellEnd"/>
      <w:r>
        <w:t> </w:t>
      </w:r>
      <w:proofErr w:type="spellStart"/>
      <w:proofErr w:type="gramStart"/>
      <w:r>
        <w:t>na</w:t>
      </w:r>
      <w:proofErr w:type="spellEnd"/>
      <w:proofErr w:type="gramEnd"/>
      <w:r>
        <w:t> &lt;</w:t>
      </w:r>
      <w:r w:rsidRPr="00167C26">
        <w:t>https://www.pravniprostor.cz/clanky/obchodni-pravo/nad-pripravovanym-zakonem-o-zadavani-verejnych-zakazek</w:t>
      </w:r>
      <w:r>
        <w:t>&gt;.</w:t>
      </w:r>
    </w:p>
    <w:p w14:paraId="49E2A629" w14:textId="77777777" w:rsidR="00A07E2D" w:rsidRPr="00A07E2D" w:rsidRDefault="00A07E2D" w:rsidP="00A07E2D">
      <w:pPr>
        <w:rPr>
          <w:lang w:val="cs-CZ"/>
        </w:rPr>
      </w:pPr>
    </w:p>
    <w:p w14:paraId="5C4F8B30" w14:textId="77777777" w:rsidR="004503E3" w:rsidRPr="001E717C" w:rsidRDefault="002E1275" w:rsidP="004503E3">
      <w:pPr>
        <w:pStyle w:val="ListParagraph"/>
        <w:numPr>
          <w:ilvl w:val="0"/>
          <w:numId w:val="9"/>
        </w:numPr>
        <w:ind w:left="284"/>
        <w:rPr>
          <w:lang w:val="cs-CZ"/>
        </w:rPr>
      </w:pPr>
      <w:proofErr w:type="spellStart"/>
      <w:r w:rsidRPr="001E717C">
        <w:rPr>
          <w:lang w:val="cs-CZ"/>
        </w:rPr>
        <w:t>European</w:t>
      </w:r>
      <w:proofErr w:type="spellEnd"/>
      <w:r w:rsidRPr="001E717C">
        <w:rPr>
          <w:lang w:val="cs-CZ"/>
        </w:rPr>
        <w:t xml:space="preserve"> </w:t>
      </w:r>
      <w:proofErr w:type="spellStart"/>
      <w:r w:rsidRPr="001E717C">
        <w:rPr>
          <w:lang w:val="cs-CZ"/>
        </w:rPr>
        <w:t>Commission</w:t>
      </w:r>
      <w:proofErr w:type="spellEnd"/>
      <w:r w:rsidRPr="001E717C">
        <w:rPr>
          <w:lang w:val="cs-CZ"/>
        </w:rPr>
        <w:t xml:space="preserve">. </w:t>
      </w:r>
      <w:proofErr w:type="spellStart"/>
      <w:r w:rsidRPr="001E717C">
        <w:rPr>
          <w:i/>
          <w:lang w:val="cs-CZ"/>
        </w:rPr>
        <w:t>Communication</w:t>
      </w:r>
      <w:proofErr w:type="spellEnd"/>
      <w:r w:rsidRPr="001E717C">
        <w:rPr>
          <w:i/>
          <w:lang w:val="cs-CZ"/>
        </w:rPr>
        <w:t xml:space="preserve"> </w:t>
      </w:r>
      <w:proofErr w:type="spellStart"/>
      <w:r w:rsidRPr="001E717C">
        <w:rPr>
          <w:i/>
          <w:lang w:val="cs-CZ"/>
        </w:rPr>
        <w:t>from</w:t>
      </w:r>
      <w:proofErr w:type="spellEnd"/>
      <w:r w:rsidRPr="001E717C">
        <w:rPr>
          <w:i/>
          <w:lang w:val="cs-CZ"/>
        </w:rPr>
        <w:t xml:space="preserve"> </w:t>
      </w:r>
      <w:proofErr w:type="spellStart"/>
      <w:r w:rsidRPr="001E717C">
        <w:rPr>
          <w:i/>
          <w:lang w:val="cs-CZ"/>
        </w:rPr>
        <w:t>the</w:t>
      </w:r>
      <w:proofErr w:type="spellEnd"/>
      <w:r w:rsidRPr="001E717C">
        <w:rPr>
          <w:i/>
          <w:lang w:val="cs-CZ"/>
        </w:rPr>
        <w:t xml:space="preserve"> </w:t>
      </w:r>
      <w:proofErr w:type="spellStart"/>
      <w:r w:rsidRPr="001E717C">
        <w:rPr>
          <w:i/>
          <w:lang w:val="cs-CZ"/>
        </w:rPr>
        <w:t>commission</w:t>
      </w:r>
      <w:proofErr w:type="spellEnd"/>
      <w:r w:rsidRPr="001E717C">
        <w:rPr>
          <w:i/>
          <w:lang w:val="cs-CZ"/>
        </w:rPr>
        <w:t xml:space="preserve"> to </w:t>
      </w:r>
      <w:proofErr w:type="spellStart"/>
      <w:r w:rsidRPr="001E717C">
        <w:rPr>
          <w:i/>
          <w:lang w:val="cs-CZ"/>
        </w:rPr>
        <w:t>the</w:t>
      </w:r>
      <w:proofErr w:type="spellEnd"/>
      <w:r w:rsidRPr="001E717C">
        <w:rPr>
          <w:i/>
          <w:lang w:val="cs-CZ"/>
        </w:rPr>
        <w:t xml:space="preserve"> </w:t>
      </w:r>
      <w:proofErr w:type="spellStart"/>
      <w:r w:rsidRPr="001E717C">
        <w:rPr>
          <w:i/>
          <w:lang w:val="cs-CZ"/>
        </w:rPr>
        <w:t>european</w:t>
      </w:r>
      <w:proofErr w:type="spellEnd"/>
      <w:r w:rsidRPr="001E717C">
        <w:rPr>
          <w:i/>
          <w:lang w:val="cs-CZ"/>
        </w:rPr>
        <w:t xml:space="preserve"> parlament, </w:t>
      </w:r>
      <w:proofErr w:type="spellStart"/>
      <w:r w:rsidRPr="001E717C">
        <w:rPr>
          <w:i/>
          <w:lang w:val="cs-CZ"/>
        </w:rPr>
        <w:t>the</w:t>
      </w:r>
      <w:proofErr w:type="spellEnd"/>
      <w:r w:rsidRPr="001E717C">
        <w:rPr>
          <w:i/>
          <w:lang w:val="cs-CZ"/>
        </w:rPr>
        <w:t xml:space="preserve"> </w:t>
      </w:r>
      <w:proofErr w:type="spellStart"/>
      <w:r w:rsidRPr="001E717C">
        <w:rPr>
          <w:i/>
          <w:lang w:val="cs-CZ"/>
        </w:rPr>
        <w:t>council</w:t>
      </w:r>
      <w:proofErr w:type="spellEnd"/>
      <w:r w:rsidRPr="001E717C">
        <w:rPr>
          <w:i/>
          <w:lang w:val="cs-CZ"/>
        </w:rPr>
        <w:t xml:space="preserve">, </w:t>
      </w:r>
      <w:proofErr w:type="spellStart"/>
      <w:r w:rsidRPr="001E717C">
        <w:rPr>
          <w:i/>
          <w:lang w:val="cs-CZ"/>
        </w:rPr>
        <w:t>the</w:t>
      </w:r>
      <w:proofErr w:type="spellEnd"/>
      <w:r w:rsidRPr="001E717C">
        <w:rPr>
          <w:i/>
          <w:lang w:val="cs-CZ"/>
        </w:rPr>
        <w:t xml:space="preserve"> </w:t>
      </w:r>
      <w:proofErr w:type="spellStart"/>
      <w:r w:rsidRPr="001E717C">
        <w:rPr>
          <w:i/>
          <w:lang w:val="cs-CZ"/>
        </w:rPr>
        <w:t>european</w:t>
      </w:r>
      <w:proofErr w:type="spellEnd"/>
      <w:r w:rsidRPr="001E717C">
        <w:rPr>
          <w:i/>
          <w:lang w:val="cs-CZ"/>
        </w:rPr>
        <w:t xml:space="preserve"> </w:t>
      </w:r>
      <w:proofErr w:type="spellStart"/>
      <w:r w:rsidRPr="001E717C">
        <w:rPr>
          <w:i/>
          <w:lang w:val="cs-CZ"/>
        </w:rPr>
        <w:t>economic</w:t>
      </w:r>
      <w:proofErr w:type="spellEnd"/>
      <w:r w:rsidRPr="001E717C">
        <w:rPr>
          <w:i/>
          <w:lang w:val="cs-CZ"/>
        </w:rPr>
        <w:t xml:space="preserve"> and </w:t>
      </w:r>
      <w:proofErr w:type="spellStart"/>
      <w:r w:rsidRPr="001E717C">
        <w:rPr>
          <w:i/>
          <w:lang w:val="cs-CZ"/>
        </w:rPr>
        <w:t>social</w:t>
      </w:r>
      <w:proofErr w:type="spellEnd"/>
      <w:r w:rsidRPr="001E717C">
        <w:rPr>
          <w:i/>
          <w:lang w:val="cs-CZ"/>
        </w:rPr>
        <w:t xml:space="preserve"> </w:t>
      </w:r>
      <w:proofErr w:type="spellStart"/>
      <w:r w:rsidRPr="001E717C">
        <w:rPr>
          <w:i/>
          <w:lang w:val="cs-CZ"/>
        </w:rPr>
        <w:t>committee</w:t>
      </w:r>
      <w:proofErr w:type="spellEnd"/>
      <w:r w:rsidRPr="001E717C">
        <w:rPr>
          <w:i/>
          <w:lang w:val="cs-CZ"/>
        </w:rPr>
        <w:t xml:space="preserve"> and </w:t>
      </w:r>
      <w:proofErr w:type="spellStart"/>
      <w:r w:rsidRPr="001E717C">
        <w:rPr>
          <w:i/>
          <w:lang w:val="cs-CZ"/>
        </w:rPr>
        <w:t>the</w:t>
      </w:r>
      <w:proofErr w:type="spellEnd"/>
      <w:r w:rsidRPr="001E717C">
        <w:rPr>
          <w:i/>
          <w:lang w:val="cs-CZ"/>
        </w:rPr>
        <w:t xml:space="preserve"> </w:t>
      </w:r>
      <w:proofErr w:type="spellStart"/>
      <w:r w:rsidRPr="001E717C">
        <w:rPr>
          <w:i/>
          <w:lang w:val="cs-CZ"/>
        </w:rPr>
        <w:t>committee</w:t>
      </w:r>
      <w:proofErr w:type="spellEnd"/>
      <w:r w:rsidRPr="001E717C">
        <w:rPr>
          <w:i/>
          <w:lang w:val="cs-CZ"/>
        </w:rPr>
        <w:t xml:space="preserve"> </w:t>
      </w:r>
      <w:proofErr w:type="spellStart"/>
      <w:r w:rsidRPr="001E717C">
        <w:rPr>
          <w:i/>
          <w:lang w:val="cs-CZ"/>
        </w:rPr>
        <w:t>of</w:t>
      </w:r>
      <w:proofErr w:type="spellEnd"/>
      <w:r w:rsidRPr="001E717C">
        <w:rPr>
          <w:i/>
          <w:lang w:val="cs-CZ"/>
        </w:rPr>
        <w:t xml:space="preserve"> </w:t>
      </w:r>
      <w:proofErr w:type="spellStart"/>
      <w:r w:rsidRPr="001E717C">
        <w:rPr>
          <w:i/>
          <w:lang w:val="cs-CZ"/>
        </w:rPr>
        <w:t>the</w:t>
      </w:r>
      <w:proofErr w:type="spellEnd"/>
      <w:r w:rsidRPr="001E717C">
        <w:rPr>
          <w:i/>
          <w:lang w:val="cs-CZ"/>
        </w:rPr>
        <w:t xml:space="preserve"> </w:t>
      </w:r>
      <w:proofErr w:type="spellStart"/>
      <w:r w:rsidRPr="001E717C">
        <w:rPr>
          <w:i/>
          <w:lang w:val="cs-CZ"/>
        </w:rPr>
        <w:t>regions</w:t>
      </w:r>
      <w:proofErr w:type="spellEnd"/>
      <w:r w:rsidRPr="001E717C">
        <w:rPr>
          <w:lang w:val="cs-CZ"/>
        </w:rPr>
        <w:t xml:space="preserve"> [online]. ec.europa.eu, 3. 10. 2017 [cit. 24. 2. 2020]. Dostupné na &lt;https://ec.europa.eu/docsroom/documents/25612&gt;.</w:t>
      </w:r>
    </w:p>
    <w:p w14:paraId="78EDF57E" w14:textId="77777777" w:rsidR="004503E3" w:rsidRPr="00590FCF" w:rsidRDefault="004503E3" w:rsidP="00590FCF">
      <w:pPr>
        <w:rPr>
          <w:lang w:val="cs-CZ"/>
        </w:rPr>
      </w:pPr>
    </w:p>
    <w:p w14:paraId="711FF781" w14:textId="70B1F422" w:rsidR="004503E3" w:rsidRPr="001E717C" w:rsidRDefault="004503E3" w:rsidP="004503E3">
      <w:pPr>
        <w:pStyle w:val="ListParagraph"/>
        <w:numPr>
          <w:ilvl w:val="0"/>
          <w:numId w:val="9"/>
        </w:numPr>
        <w:ind w:left="284"/>
        <w:rPr>
          <w:lang w:val="cs-CZ"/>
        </w:rPr>
      </w:pPr>
      <w:proofErr w:type="spellStart"/>
      <w:r w:rsidRPr="001E717C">
        <w:rPr>
          <w:lang w:val="cs-CZ"/>
        </w:rPr>
        <w:t>European</w:t>
      </w:r>
      <w:proofErr w:type="spellEnd"/>
      <w:r w:rsidRPr="001E717C">
        <w:rPr>
          <w:lang w:val="cs-CZ"/>
        </w:rPr>
        <w:t xml:space="preserve"> </w:t>
      </w:r>
      <w:proofErr w:type="spellStart"/>
      <w:r w:rsidRPr="001E717C">
        <w:rPr>
          <w:lang w:val="cs-CZ"/>
        </w:rPr>
        <w:t>Commission</w:t>
      </w:r>
      <w:proofErr w:type="spellEnd"/>
      <w:r w:rsidRPr="001E717C">
        <w:rPr>
          <w:i/>
          <w:lang w:val="cs-CZ"/>
        </w:rPr>
        <w:t xml:space="preserve">. </w:t>
      </w:r>
      <w:proofErr w:type="spellStart"/>
      <w:r w:rsidRPr="001E717C">
        <w:rPr>
          <w:i/>
          <w:lang w:val="cs-CZ"/>
        </w:rPr>
        <w:t>Life-cycle</w:t>
      </w:r>
      <w:proofErr w:type="spellEnd"/>
      <w:r w:rsidRPr="001E717C">
        <w:rPr>
          <w:i/>
          <w:lang w:val="cs-CZ"/>
        </w:rPr>
        <w:t xml:space="preserve"> </w:t>
      </w:r>
      <w:proofErr w:type="spellStart"/>
      <w:r w:rsidRPr="001E717C">
        <w:rPr>
          <w:i/>
          <w:lang w:val="cs-CZ"/>
        </w:rPr>
        <w:t>costing</w:t>
      </w:r>
      <w:proofErr w:type="spellEnd"/>
      <w:r w:rsidRPr="001E717C">
        <w:rPr>
          <w:i/>
          <w:lang w:val="cs-CZ"/>
        </w:rPr>
        <w:t xml:space="preserve"> [online]. ec.europa.eu, 2. 1. 2020 [cit. 21. 2. 2020]. Dostupné na </w:t>
      </w:r>
      <w:r w:rsidR="00740540" w:rsidRPr="001E717C">
        <w:rPr>
          <w:i/>
          <w:lang w:val="cs-CZ"/>
        </w:rPr>
        <w:t xml:space="preserve"> </w:t>
      </w:r>
      <w:r w:rsidRPr="001E717C">
        <w:rPr>
          <w:i/>
          <w:lang w:val="cs-CZ"/>
        </w:rPr>
        <w:t>&lt;https://ec.europa.eu/environment/gpp/lcc.htm&gt;.</w:t>
      </w:r>
    </w:p>
    <w:p w14:paraId="4EDFDCA6" w14:textId="77777777" w:rsidR="004503E3" w:rsidRPr="001E717C" w:rsidRDefault="004503E3" w:rsidP="004503E3">
      <w:pPr>
        <w:rPr>
          <w:lang w:val="cs-CZ"/>
        </w:rPr>
      </w:pPr>
    </w:p>
    <w:p w14:paraId="390C0F9E" w14:textId="3114EAE9" w:rsidR="00223663" w:rsidRDefault="00FE2434" w:rsidP="00842E64">
      <w:pPr>
        <w:pStyle w:val="ListParagraph"/>
        <w:numPr>
          <w:ilvl w:val="0"/>
          <w:numId w:val="9"/>
        </w:numPr>
        <w:ind w:left="284"/>
        <w:rPr>
          <w:lang w:val="cs-CZ"/>
        </w:rPr>
      </w:pPr>
      <w:proofErr w:type="spellStart"/>
      <w:r w:rsidRPr="001E717C">
        <w:rPr>
          <w:lang w:val="cs-CZ"/>
        </w:rPr>
        <w:t>European</w:t>
      </w:r>
      <w:proofErr w:type="spellEnd"/>
      <w:r w:rsidRPr="001E717C">
        <w:rPr>
          <w:lang w:val="cs-CZ"/>
        </w:rPr>
        <w:t xml:space="preserve"> </w:t>
      </w:r>
      <w:proofErr w:type="spellStart"/>
      <w:r w:rsidRPr="001E717C">
        <w:rPr>
          <w:lang w:val="cs-CZ"/>
        </w:rPr>
        <w:t>Commission</w:t>
      </w:r>
      <w:proofErr w:type="spellEnd"/>
      <w:r w:rsidRPr="001E717C">
        <w:rPr>
          <w:lang w:val="cs-CZ"/>
        </w:rPr>
        <w:t xml:space="preserve">. </w:t>
      </w:r>
      <w:r w:rsidR="004503E3" w:rsidRPr="001E717C">
        <w:rPr>
          <w:i/>
          <w:lang w:val="cs-CZ"/>
        </w:rPr>
        <w:t xml:space="preserve">Public </w:t>
      </w:r>
      <w:proofErr w:type="spellStart"/>
      <w:r w:rsidR="004503E3" w:rsidRPr="001E717C">
        <w:rPr>
          <w:i/>
          <w:lang w:val="cs-CZ"/>
        </w:rPr>
        <w:t>Procurement</w:t>
      </w:r>
      <w:proofErr w:type="spellEnd"/>
      <w:r w:rsidR="00BB2BAC">
        <w:rPr>
          <w:i/>
          <w:lang w:val="cs-CZ"/>
        </w:rPr>
        <w:t xml:space="preserve"> </w:t>
      </w:r>
      <w:r w:rsidR="00BB2BAC">
        <w:rPr>
          <w:lang w:val="cs-CZ"/>
        </w:rPr>
        <w:t>[online]</w:t>
      </w:r>
      <w:r w:rsidR="004503E3" w:rsidRPr="001E717C">
        <w:rPr>
          <w:lang w:val="cs-CZ"/>
        </w:rPr>
        <w:t>. ec.europa.eu [cit</w:t>
      </w:r>
      <w:r w:rsidR="00BB2BAC">
        <w:rPr>
          <w:lang w:val="cs-CZ"/>
        </w:rPr>
        <w:t>. dne 28. 9. 2019]. Dostupné na </w:t>
      </w:r>
      <w:r w:rsidR="004503E3" w:rsidRPr="001E717C">
        <w:rPr>
          <w:lang w:val="cs-CZ"/>
        </w:rPr>
        <w:t>&lt;https://ec.europa.eu/growth/single-market/public-procurement_en&gt;.</w:t>
      </w:r>
    </w:p>
    <w:p w14:paraId="4745D871" w14:textId="77777777" w:rsidR="00223663" w:rsidRPr="00223663" w:rsidRDefault="00223663" w:rsidP="00223663">
      <w:pPr>
        <w:rPr>
          <w:szCs w:val="20"/>
        </w:rPr>
      </w:pPr>
    </w:p>
    <w:p w14:paraId="45CB1F67" w14:textId="1EC00328" w:rsidR="00842E64" w:rsidRPr="00223663" w:rsidRDefault="00223663" w:rsidP="00842E64">
      <w:pPr>
        <w:pStyle w:val="ListParagraph"/>
        <w:numPr>
          <w:ilvl w:val="0"/>
          <w:numId w:val="9"/>
        </w:numPr>
        <w:ind w:left="284"/>
        <w:rPr>
          <w:lang w:val="cs-CZ"/>
        </w:rPr>
      </w:pPr>
      <w:r w:rsidRPr="00223663">
        <w:rPr>
          <w:szCs w:val="20"/>
        </w:rPr>
        <w:t>Euro</w:t>
      </w:r>
      <w:r>
        <w:t>pa. </w:t>
      </w:r>
      <w:proofErr w:type="spellStart"/>
      <w:r w:rsidRPr="00223663">
        <w:rPr>
          <w:i/>
        </w:rPr>
        <w:t>Ted.eTendering</w:t>
      </w:r>
      <w:proofErr w:type="spellEnd"/>
      <w:r w:rsidRPr="00223663">
        <w:rPr>
          <w:i/>
        </w:rPr>
        <w:t> Calls for tenders from the European institutions</w:t>
      </w:r>
      <w:r>
        <w:t> [online]. Etendering.ted.europa.eu [cit. 23. 2. 2020]. </w:t>
      </w:r>
      <w:proofErr w:type="spellStart"/>
      <w:r>
        <w:t>Dostupné</w:t>
      </w:r>
      <w:proofErr w:type="spellEnd"/>
      <w:r>
        <w:t> </w:t>
      </w:r>
      <w:proofErr w:type="spellStart"/>
      <w:r>
        <w:t>na</w:t>
      </w:r>
      <w:proofErr w:type="spellEnd"/>
      <w:r>
        <w:t> &lt;</w:t>
      </w:r>
      <w:r w:rsidRPr="00133E9A">
        <w:t>https://etendering.ted.europa.eu/cft/cft-search.html</w:t>
      </w:r>
      <w:proofErr w:type="gramStart"/>
      <w:r w:rsidRPr="00133E9A">
        <w:t>?_</w:t>
      </w:r>
      <w:proofErr w:type="gramEnd"/>
      <w:r w:rsidRPr="00133E9A">
        <w:t>caList=1&amp;procedureType=cft.procedure_type.open_procedure&amp;startDateTo=&amp;confirm=Search&amp;closingDateFrom=&amp;closingDateTo=&amp;startDateFrom=&amp;_procedureType=1&amp;caList=&amp;page=11&amp;text=&amp;status=</w:t>
      </w:r>
      <w:r>
        <w:t>&gt;.</w:t>
      </w:r>
    </w:p>
    <w:p w14:paraId="65B1E942" w14:textId="77777777" w:rsidR="00223663" w:rsidRPr="00223663" w:rsidRDefault="00223663" w:rsidP="00223663">
      <w:pPr>
        <w:rPr>
          <w:lang w:val="cs-CZ"/>
        </w:rPr>
      </w:pPr>
    </w:p>
    <w:p w14:paraId="46C00C2A" w14:textId="35F4F312" w:rsidR="00A14640" w:rsidRDefault="00A14640" w:rsidP="00740540">
      <w:pPr>
        <w:pStyle w:val="ListParagraph"/>
        <w:numPr>
          <w:ilvl w:val="0"/>
          <w:numId w:val="9"/>
        </w:numPr>
        <w:ind w:left="284" w:hanging="284"/>
        <w:rPr>
          <w:lang w:val="cs-CZ"/>
        </w:rPr>
      </w:pPr>
      <w:r>
        <w:t xml:space="preserve">HAVLOVÁ, </w:t>
      </w:r>
      <w:proofErr w:type="spellStart"/>
      <w:r>
        <w:t>Adéla</w:t>
      </w:r>
      <w:proofErr w:type="spellEnd"/>
      <w:r>
        <w:t xml:space="preserve">. </w:t>
      </w:r>
      <w:proofErr w:type="spellStart"/>
      <w:r>
        <w:rPr>
          <w:i/>
        </w:rPr>
        <w:t>Nový</w:t>
      </w:r>
      <w:proofErr w:type="spellEnd"/>
      <w:r>
        <w:rPr>
          <w:i/>
        </w:rPr>
        <w:t xml:space="preserve"> </w:t>
      </w:r>
      <w:proofErr w:type="spellStart"/>
      <w:r>
        <w:rPr>
          <w:i/>
        </w:rPr>
        <w:t>zákon</w:t>
      </w:r>
      <w:proofErr w:type="spellEnd"/>
      <w:r>
        <w:rPr>
          <w:i/>
        </w:rPr>
        <w:t xml:space="preserve"> o </w:t>
      </w:r>
      <w:proofErr w:type="spellStart"/>
      <w:r>
        <w:rPr>
          <w:i/>
        </w:rPr>
        <w:t>zadávání</w:t>
      </w:r>
      <w:proofErr w:type="spellEnd"/>
      <w:r>
        <w:rPr>
          <w:i/>
        </w:rPr>
        <w:t xml:space="preserve"> </w:t>
      </w:r>
      <w:proofErr w:type="spellStart"/>
      <w:r>
        <w:rPr>
          <w:i/>
        </w:rPr>
        <w:t>veřejných</w:t>
      </w:r>
      <w:proofErr w:type="spellEnd"/>
      <w:r>
        <w:rPr>
          <w:i/>
        </w:rPr>
        <w:t xml:space="preserve"> </w:t>
      </w:r>
      <w:proofErr w:type="spellStart"/>
      <w:r>
        <w:rPr>
          <w:i/>
        </w:rPr>
        <w:t>zakázek</w:t>
      </w:r>
      <w:proofErr w:type="spellEnd"/>
      <w:r>
        <w:rPr>
          <w:i/>
        </w:rPr>
        <w:t xml:space="preserve"> </w:t>
      </w:r>
      <w:r>
        <w:t xml:space="preserve">[online]. Pravniprostor.cz, 21. 6. 2016, [cit. 9. 3. 2020]. </w:t>
      </w:r>
      <w:proofErr w:type="spellStart"/>
      <w:r>
        <w:t>Dostupné</w:t>
      </w:r>
      <w:proofErr w:type="spellEnd"/>
      <w:r>
        <w:t xml:space="preserve"> </w:t>
      </w:r>
      <w:proofErr w:type="spellStart"/>
      <w:proofErr w:type="gramStart"/>
      <w:r>
        <w:t>na</w:t>
      </w:r>
      <w:proofErr w:type="spellEnd"/>
      <w:proofErr w:type="gramEnd"/>
      <w:r>
        <w:t xml:space="preserve"> &lt;</w:t>
      </w:r>
      <w:r w:rsidRPr="001C434D">
        <w:t>https://www.pravniprostor.cz/clanky/ostatni-pravo/novy-zakon-o-zadavani-verejnych-zakazek</w:t>
      </w:r>
      <w:r>
        <w:t>&gt;.</w:t>
      </w:r>
    </w:p>
    <w:p w14:paraId="509F80CC" w14:textId="77777777" w:rsidR="00A14640" w:rsidRPr="00A14640" w:rsidRDefault="00A14640" w:rsidP="00A14640">
      <w:pPr>
        <w:rPr>
          <w:lang w:val="cs-CZ"/>
        </w:rPr>
      </w:pPr>
    </w:p>
    <w:p w14:paraId="23512DC6" w14:textId="5ECC03B1" w:rsidR="00740540" w:rsidRPr="001E717C" w:rsidRDefault="004503E3" w:rsidP="00740540">
      <w:pPr>
        <w:pStyle w:val="ListParagraph"/>
        <w:numPr>
          <w:ilvl w:val="0"/>
          <w:numId w:val="9"/>
        </w:numPr>
        <w:ind w:left="284" w:hanging="284"/>
        <w:rPr>
          <w:lang w:val="cs-CZ"/>
        </w:rPr>
      </w:pPr>
      <w:r w:rsidRPr="001E717C">
        <w:rPr>
          <w:lang w:val="cs-CZ"/>
        </w:rPr>
        <w:t xml:space="preserve">HILL, Karen. </w:t>
      </w:r>
      <w:proofErr w:type="spellStart"/>
      <w:r w:rsidRPr="001E717C">
        <w:rPr>
          <w:i/>
          <w:lang w:val="cs-CZ"/>
        </w:rPr>
        <w:t>Contract</w:t>
      </w:r>
      <w:proofErr w:type="spellEnd"/>
      <w:r w:rsidRPr="001E717C">
        <w:rPr>
          <w:i/>
          <w:lang w:val="cs-CZ"/>
        </w:rPr>
        <w:t xml:space="preserve"> </w:t>
      </w:r>
      <w:proofErr w:type="spellStart"/>
      <w:r w:rsidRPr="001E717C">
        <w:rPr>
          <w:i/>
          <w:lang w:val="cs-CZ"/>
        </w:rPr>
        <w:t>Modifications</w:t>
      </w:r>
      <w:proofErr w:type="spellEnd"/>
      <w:r w:rsidRPr="001E717C">
        <w:rPr>
          <w:i/>
          <w:lang w:val="cs-CZ"/>
        </w:rPr>
        <w:t xml:space="preserve"> </w:t>
      </w:r>
      <w:r w:rsidRPr="001E717C">
        <w:rPr>
          <w:lang w:val="cs-CZ"/>
        </w:rPr>
        <w:t xml:space="preserve">[online]. sigmaweb.org, </w:t>
      </w:r>
      <w:proofErr w:type="spellStart"/>
      <w:r w:rsidRPr="001E717C">
        <w:rPr>
          <w:lang w:val="cs-CZ"/>
        </w:rPr>
        <w:t>september</w:t>
      </w:r>
      <w:proofErr w:type="spellEnd"/>
      <w:r w:rsidRPr="001E717C">
        <w:rPr>
          <w:lang w:val="cs-CZ"/>
        </w:rPr>
        <w:t xml:space="preserve"> 2016,</w:t>
      </w:r>
      <w:r w:rsidR="00740540" w:rsidRPr="001E717C">
        <w:rPr>
          <w:lang w:val="cs-CZ"/>
        </w:rPr>
        <w:t xml:space="preserve"> [cit. 3. 2. 2020]. Dostupné na </w:t>
      </w:r>
      <w:r w:rsidRPr="001E717C">
        <w:rPr>
          <w:lang w:val="cs-CZ"/>
        </w:rPr>
        <w:t>&lt;http://www.sigmaweb.org/publications/Public-Procurement-Policy-Brief-38-200117.pdf&gt;.</w:t>
      </w:r>
    </w:p>
    <w:p w14:paraId="021FA1F9" w14:textId="77777777" w:rsidR="00740540" w:rsidRPr="001E717C" w:rsidRDefault="00740540" w:rsidP="00740540">
      <w:pPr>
        <w:pStyle w:val="ListParagraph"/>
        <w:ind w:left="284"/>
        <w:rPr>
          <w:lang w:val="cs-CZ"/>
        </w:rPr>
      </w:pPr>
    </w:p>
    <w:p w14:paraId="72CC279F" w14:textId="77777777" w:rsidR="00740540" w:rsidRPr="001E717C" w:rsidRDefault="002E1275" w:rsidP="00740540">
      <w:pPr>
        <w:pStyle w:val="ListParagraph"/>
        <w:numPr>
          <w:ilvl w:val="0"/>
          <w:numId w:val="9"/>
        </w:numPr>
        <w:ind w:left="284" w:hanging="284"/>
        <w:rPr>
          <w:lang w:val="cs-CZ"/>
        </w:rPr>
      </w:pPr>
      <w:r w:rsidRPr="001E717C">
        <w:rPr>
          <w:lang w:val="cs-CZ"/>
        </w:rPr>
        <w:t xml:space="preserve">HILL, Karen. </w:t>
      </w:r>
      <w:proofErr w:type="spellStart"/>
      <w:r w:rsidRPr="001E717C">
        <w:rPr>
          <w:i/>
          <w:lang w:val="cs-CZ"/>
        </w:rPr>
        <w:t>Detecting</w:t>
      </w:r>
      <w:proofErr w:type="spellEnd"/>
      <w:r w:rsidRPr="001E717C">
        <w:rPr>
          <w:i/>
          <w:lang w:val="cs-CZ"/>
        </w:rPr>
        <w:t xml:space="preserve"> and </w:t>
      </w:r>
      <w:proofErr w:type="spellStart"/>
      <w:r w:rsidRPr="001E717C">
        <w:rPr>
          <w:i/>
          <w:lang w:val="cs-CZ"/>
        </w:rPr>
        <w:t>Correcting</w:t>
      </w:r>
      <w:proofErr w:type="spellEnd"/>
      <w:r w:rsidRPr="001E717C">
        <w:rPr>
          <w:i/>
          <w:lang w:val="cs-CZ"/>
        </w:rPr>
        <w:t xml:space="preserve"> </w:t>
      </w:r>
      <w:proofErr w:type="spellStart"/>
      <w:r w:rsidRPr="001E717C">
        <w:rPr>
          <w:i/>
          <w:lang w:val="cs-CZ"/>
        </w:rPr>
        <w:t>Common</w:t>
      </w:r>
      <w:proofErr w:type="spellEnd"/>
      <w:r w:rsidRPr="001E717C">
        <w:rPr>
          <w:i/>
          <w:lang w:val="cs-CZ"/>
        </w:rPr>
        <w:t xml:space="preserve"> </w:t>
      </w:r>
      <w:proofErr w:type="spellStart"/>
      <w:r w:rsidRPr="001E717C">
        <w:rPr>
          <w:i/>
          <w:lang w:val="cs-CZ"/>
        </w:rPr>
        <w:t>Errors</w:t>
      </w:r>
      <w:proofErr w:type="spellEnd"/>
      <w:r w:rsidRPr="001E717C">
        <w:rPr>
          <w:i/>
          <w:lang w:val="cs-CZ"/>
        </w:rPr>
        <w:t xml:space="preserve"> in Public </w:t>
      </w:r>
      <w:proofErr w:type="spellStart"/>
      <w:r w:rsidRPr="001E717C">
        <w:rPr>
          <w:i/>
          <w:lang w:val="cs-CZ"/>
        </w:rPr>
        <w:t>Procurement</w:t>
      </w:r>
      <w:proofErr w:type="spellEnd"/>
      <w:r w:rsidR="00BC47F4" w:rsidRPr="001E717C">
        <w:rPr>
          <w:lang w:val="cs-CZ"/>
        </w:rPr>
        <w:t xml:space="preserve"> [online]. s</w:t>
      </w:r>
      <w:r w:rsidRPr="001E717C">
        <w:rPr>
          <w:lang w:val="cs-CZ"/>
        </w:rPr>
        <w:t xml:space="preserve">igmaweb.org, </w:t>
      </w:r>
      <w:proofErr w:type="spellStart"/>
      <w:r w:rsidRPr="001E717C">
        <w:rPr>
          <w:lang w:val="cs-CZ"/>
        </w:rPr>
        <w:t>september</w:t>
      </w:r>
      <w:proofErr w:type="spellEnd"/>
      <w:r w:rsidRPr="001E717C">
        <w:rPr>
          <w:lang w:val="cs-CZ"/>
        </w:rPr>
        <w:t xml:space="preserve"> 2016 [cit. 22. 2. 2020]. Dostupné na &lt;http://www.sigmaweb.org/publications/Public-Procurement-Policy-Brief-29-200117.pdf&gt;.</w:t>
      </w:r>
    </w:p>
    <w:p w14:paraId="61704D45" w14:textId="77777777" w:rsidR="00740540" w:rsidRPr="001E717C" w:rsidRDefault="00740540" w:rsidP="00740540">
      <w:pPr>
        <w:rPr>
          <w:lang w:val="cs-CZ"/>
        </w:rPr>
      </w:pPr>
    </w:p>
    <w:p w14:paraId="1138865E" w14:textId="77777777" w:rsidR="00D67DB3" w:rsidRDefault="004503E3" w:rsidP="00D67DB3">
      <w:pPr>
        <w:pStyle w:val="ListParagraph"/>
        <w:numPr>
          <w:ilvl w:val="0"/>
          <w:numId w:val="9"/>
        </w:numPr>
        <w:ind w:left="284" w:hanging="284"/>
        <w:rPr>
          <w:lang w:val="cs-CZ"/>
        </w:rPr>
      </w:pPr>
      <w:r w:rsidRPr="001E717C">
        <w:rPr>
          <w:lang w:val="cs-CZ"/>
        </w:rPr>
        <w:t xml:space="preserve">HILL, Karen. </w:t>
      </w:r>
      <w:r w:rsidRPr="001E717C">
        <w:rPr>
          <w:i/>
          <w:lang w:val="cs-CZ"/>
        </w:rPr>
        <w:t xml:space="preserve">Public </w:t>
      </w:r>
      <w:proofErr w:type="spellStart"/>
      <w:r w:rsidRPr="001E717C">
        <w:rPr>
          <w:i/>
          <w:lang w:val="cs-CZ"/>
        </w:rPr>
        <w:t>Procurement</w:t>
      </w:r>
      <w:proofErr w:type="spellEnd"/>
      <w:r w:rsidRPr="001E717C">
        <w:rPr>
          <w:i/>
          <w:lang w:val="cs-CZ"/>
        </w:rPr>
        <w:t xml:space="preserve"> </w:t>
      </w:r>
      <w:proofErr w:type="spellStart"/>
      <w:r w:rsidRPr="001E717C">
        <w:rPr>
          <w:i/>
          <w:lang w:val="cs-CZ"/>
        </w:rPr>
        <w:t>Procedures</w:t>
      </w:r>
      <w:proofErr w:type="spellEnd"/>
      <w:r w:rsidR="00590FCF">
        <w:rPr>
          <w:i/>
          <w:lang w:val="cs-CZ"/>
        </w:rPr>
        <w:t xml:space="preserve"> </w:t>
      </w:r>
      <w:r w:rsidR="00590FCF">
        <w:rPr>
          <w:lang w:val="cs-CZ"/>
        </w:rPr>
        <w:t>[online]</w:t>
      </w:r>
      <w:r w:rsidRPr="001E717C">
        <w:rPr>
          <w:lang w:val="cs-CZ"/>
        </w:rPr>
        <w:t xml:space="preserve">. sigmaweb.org, </w:t>
      </w:r>
      <w:proofErr w:type="spellStart"/>
      <w:r w:rsidRPr="001E717C">
        <w:rPr>
          <w:lang w:val="cs-CZ"/>
        </w:rPr>
        <w:t>september</w:t>
      </w:r>
      <w:proofErr w:type="spellEnd"/>
      <w:r w:rsidRPr="001E717C">
        <w:rPr>
          <w:lang w:val="cs-CZ"/>
        </w:rPr>
        <w:t xml:space="preserve"> 2016, [15. 2. 2020]</w:t>
      </w:r>
      <w:r w:rsidR="00590FCF">
        <w:rPr>
          <w:lang w:val="cs-CZ"/>
        </w:rPr>
        <w:t>.</w:t>
      </w:r>
      <w:r w:rsidRPr="001E717C">
        <w:rPr>
          <w:lang w:val="cs-CZ"/>
        </w:rPr>
        <w:t xml:space="preserve"> Dostupné na &lt;http://www.sigmaweb.org/publications/Public-Procurement-Policy-Brief-10-200117.pdf&gt;.</w:t>
      </w:r>
    </w:p>
    <w:p w14:paraId="29A5D40C" w14:textId="77777777" w:rsidR="00D67DB3" w:rsidRDefault="00D67DB3" w:rsidP="00D67DB3"/>
    <w:p w14:paraId="64F8DDAF" w14:textId="4087827D" w:rsidR="00341018" w:rsidRPr="00D67DB3" w:rsidRDefault="00341018" w:rsidP="00D67DB3">
      <w:pPr>
        <w:pStyle w:val="ListParagraph"/>
        <w:numPr>
          <w:ilvl w:val="0"/>
          <w:numId w:val="9"/>
        </w:numPr>
        <w:ind w:left="284"/>
        <w:rPr>
          <w:lang w:val="cs-CZ"/>
        </w:rPr>
      </w:pPr>
      <w:r>
        <w:t xml:space="preserve">HILL, Karen. </w:t>
      </w:r>
      <w:r w:rsidRPr="00D67DB3">
        <w:rPr>
          <w:i/>
        </w:rPr>
        <w:t>Public Procurement in the EU: Legislative Framework, Basic Principles and Institutions</w:t>
      </w:r>
      <w:r w:rsidRPr="003F1F66">
        <w:t xml:space="preserve"> </w:t>
      </w:r>
      <w:r>
        <w:t>[</w:t>
      </w:r>
      <w:proofErr w:type="spellStart"/>
      <w:r>
        <w:t>onine</w:t>
      </w:r>
      <w:proofErr w:type="spellEnd"/>
      <w:r>
        <w:t xml:space="preserve">]. </w:t>
      </w:r>
      <w:proofErr w:type="gramStart"/>
      <w:r>
        <w:t>sigmaweb.org</w:t>
      </w:r>
      <w:proofErr w:type="gramEnd"/>
      <w:r>
        <w:t xml:space="preserve">, </w:t>
      </w:r>
      <w:proofErr w:type="spellStart"/>
      <w:r>
        <w:t>september</w:t>
      </w:r>
      <w:proofErr w:type="spellEnd"/>
      <w:r>
        <w:t xml:space="preserve"> 2016, [cit. 21. 2. 2020]. </w:t>
      </w:r>
      <w:proofErr w:type="spellStart"/>
      <w:r>
        <w:t>Dostupné</w:t>
      </w:r>
      <w:proofErr w:type="spellEnd"/>
      <w:r>
        <w:t xml:space="preserve"> </w:t>
      </w:r>
      <w:proofErr w:type="spellStart"/>
      <w:proofErr w:type="gramStart"/>
      <w:r>
        <w:t>na</w:t>
      </w:r>
      <w:proofErr w:type="spellEnd"/>
      <w:proofErr w:type="gramEnd"/>
      <w:r>
        <w:t xml:space="preserve"> &lt;</w:t>
      </w:r>
      <w:r w:rsidRPr="007E0111">
        <w:t>http://www.sigmaweb.org/publications/Public-Procurement-Policy-Brief-1-200117.pdf</w:t>
      </w:r>
      <w:r>
        <w:t>&gt;.</w:t>
      </w:r>
    </w:p>
    <w:p w14:paraId="13302873" w14:textId="77777777" w:rsidR="00740540" w:rsidRPr="001E717C" w:rsidRDefault="00740540" w:rsidP="00740540">
      <w:pPr>
        <w:rPr>
          <w:lang w:val="cs-CZ"/>
        </w:rPr>
      </w:pPr>
    </w:p>
    <w:p w14:paraId="3269BDD5" w14:textId="12CD7B6A" w:rsidR="00740540" w:rsidRPr="001E717C" w:rsidRDefault="00B852C2" w:rsidP="00A07E2D">
      <w:pPr>
        <w:pStyle w:val="ListParagraph"/>
        <w:numPr>
          <w:ilvl w:val="0"/>
          <w:numId w:val="9"/>
        </w:numPr>
        <w:ind w:left="284"/>
        <w:rPr>
          <w:lang w:val="cs-CZ"/>
        </w:rPr>
      </w:pPr>
      <w:r w:rsidRPr="001E717C">
        <w:rPr>
          <w:lang w:val="cs-CZ"/>
        </w:rPr>
        <w:t xml:space="preserve">HILL, Karen. </w:t>
      </w:r>
      <w:r w:rsidRPr="001E717C">
        <w:rPr>
          <w:i/>
          <w:lang w:val="cs-CZ"/>
        </w:rPr>
        <w:t xml:space="preserve">Tender </w:t>
      </w:r>
      <w:proofErr w:type="spellStart"/>
      <w:r w:rsidRPr="001E717C">
        <w:rPr>
          <w:i/>
          <w:lang w:val="cs-CZ"/>
        </w:rPr>
        <w:t>Evalution</w:t>
      </w:r>
      <w:proofErr w:type="spellEnd"/>
      <w:r w:rsidRPr="001E717C">
        <w:rPr>
          <w:i/>
          <w:lang w:val="cs-CZ"/>
        </w:rPr>
        <w:t xml:space="preserve"> and </w:t>
      </w:r>
      <w:proofErr w:type="spellStart"/>
      <w:r w:rsidRPr="001E717C">
        <w:rPr>
          <w:i/>
          <w:lang w:val="cs-CZ"/>
        </w:rPr>
        <w:t>Constract</w:t>
      </w:r>
      <w:proofErr w:type="spellEnd"/>
      <w:r w:rsidRPr="001E717C">
        <w:rPr>
          <w:i/>
          <w:lang w:val="cs-CZ"/>
        </w:rPr>
        <w:t xml:space="preserve"> </w:t>
      </w:r>
      <w:proofErr w:type="spellStart"/>
      <w:r w:rsidRPr="001E717C">
        <w:rPr>
          <w:i/>
          <w:lang w:val="cs-CZ"/>
        </w:rPr>
        <w:t>Awared</w:t>
      </w:r>
      <w:proofErr w:type="spellEnd"/>
      <w:r w:rsidRPr="001E717C">
        <w:rPr>
          <w:lang w:val="cs-CZ"/>
        </w:rPr>
        <w:t xml:space="preserve"> [</w:t>
      </w:r>
      <w:r w:rsidR="00590FCF">
        <w:rPr>
          <w:lang w:val="cs-CZ"/>
        </w:rPr>
        <w:t xml:space="preserve">online]. sigmaweb.org, </w:t>
      </w:r>
      <w:proofErr w:type="spellStart"/>
      <w:r w:rsidR="00590FCF">
        <w:rPr>
          <w:lang w:val="cs-CZ"/>
        </w:rPr>
        <w:t>September</w:t>
      </w:r>
      <w:proofErr w:type="spellEnd"/>
      <w:r w:rsidR="00590FCF">
        <w:rPr>
          <w:lang w:val="cs-CZ"/>
        </w:rPr>
        <w:t> 2016, [cit. 14. 2. </w:t>
      </w:r>
      <w:r w:rsidRPr="001E717C">
        <w:rPr>
          <w:lang w:val="cs-CZ"/>
        </w:rPr>
        <w:t>2020]</w:t>
      </w:r>
      <w:r w:rsidR="00590FCF">
        <w:rPr>
          <w:lang w:val="cs-CZ"/>
        </w:rPr>
        <w:t>. Dostupné na </w:t>
      </w:r>
      <w:r w:rsidRPr="001E717C">
        <w:rPr>
          <w:lang w:val="cs-CZ"/>
        </w:rPr>
        <w:t>&lt;http://www.sigmaweb.org/publications/Public-Procurement-Policy-Brief-9-200117.pdf&gt;.</w:t>
      </w:r>
    </w:p>
    <w:p w14:paraId="43CCBE11" w14:textId="77777777" w:rsidR="00740540" w:rsidRPr="001E717C" w:rsidRDefault="00740540" w:rsidP="00740540">
      <w:pPr>
        <w:rPr>
          <w:lang w:val="cs-CZ"/>
        </w:rPr>
      </w:pPr>
    </w:p>
    <w:p w14:paraId="278A7258" w14:textId="136A28BD" w:rsidR="008F401C" w:rsidRDefault="00B852C2" w:rsidP="008F401C">
      <w:pPr>
        <w:pStyle w:val="ListParagraph"/>
        <w:numPr>
          <w:ilvl w:val="0"/>
          <w:numId w:val="9"/>
        </w:numPr>
        <w:ind w:left="284"/>
        <w:rPr>
          <w:lang w:val="cs-CZ"/>
        </w:rPr>
      </w:pPr>
      <w:r w:rsidRPr="001E717C">
        <w:rPr>
          <w:lang w:val="cs-CZ"/>
        </w:rPr>
        <w:t xml:space="preserve">HILL, Karen. </w:t>
      </w:r>
      <w:proofErr w:type="spellStart"/>
      <w:r w:rsidRPr="001E717C">
        <w:rPr>
          <w:i/>
          <w:lang w:val="cs-CZ"/>
        </w:rPr>
        <w:t>Setting</w:t>
      </w:r>
      <w:proofErr w:type="spellEnd"/>
      <w:r w:rsidRPr="001E717C">
        <w:rPr>
          <w:i/>
          <w:lang w:val="cs-CZ"/>
        </w:rPr>
        <w:t xml:space="preserve"> </w:t>
      </w:r>
      <w:proofErr w:type="spellStart"/>
      <w:r w:rsidRPr="001E717C">
        <w:rPr>
          <w:i/>
          <w:lang w:val="cs-CZ"/>
        </w:rPr>
        <w:t>the</w:t>
      </w:r>
      <w:proofErr w:type="spellEnd"/>
      <w:r w:rsidRPr="001E717C">
        <w:rPr>
          <w:i/>
          <w:lang w:val="cs-CZ"/>
        </w:rPr>
        <w:t xml:space="preserve"> </w:t>
      </w:r>
      <w:proofErr w:type="spellStart"/>
      <w:r w:rsidRPr="001E717C">
        <w:rPr>
          <w:i/>
          <w:lang w:val="cs-CZ"/>
        </w:rPr>
        <w:t>award</w:t>
      </w:r>
      <w:proofErr w:type="spellEnd"/>
      <w:r w:rsidRPr="001E717C">
        <w:rPr>
          <w:i/>
          <w:lang w:val="cs-CZ"/>
        </w:rPr>
        <w:t xml:space="preserve"> </w:t>
      </w:r>
      <w:proofErr w:type="spellStart"/>
      <w:r w:rsidRPr="001E717C">
        <w:rPr>
          <w:i/>
          <w:lang w:val="cs-CZ"/>
        </w:rPr>
        <w:t>Criteria</w:t>
      </w:r>
      <w:proofErr w:type="spellEnd"/>
      <w:r w:rsidR="00590FCF">
        <w:rPr>
          <w:i/>
          <w:lang w:val="cs-CZ"/>
        </w:rPr>
        <w:t xml:space="preserve"> </w:t>
      </w:r>
      <w:r w:rsidR="00590FCF">
        <w:rPr>
          <w:lang w:val="cs-CZ"/>
        </w:rPr>
        <w:t>[online]</w:t>
      </w:r>
      <w:r w:rsidR="00BC47F4" w:rsidRPr="001E717C">
        <w:rPr>
          <w:lang w:val="cs-CZ"/>
        </w:rPr>
        <w:t>. s</w:t>
      </w:r>
      <w:r w:rsidRPr="001E717C">
        <w:rPr>
          <w:lang w:val="cs-CZ"/>
        </w:rPr>
        <w:t xml:space="preserve">igmaweb.org. </w:t>
      </w:r>
      <w:proofErr w:type="spellStart"/>
      <w:r w:rsidRPr="001E717C">
        <w:rPr>
          <w:lang w:val="cs-CZ"/>
        </w:rPr>
        <w:t>se</w:t>
      </w:r>
      <w:r w:rsidR="00D67DB3">
        <w:rPr>
          <w:lang w:val="cs-CZ"/>
        </w:rPr>
        <w:t>ptember</w:t>
      </w:r>
      <w:proofErr w:type="spellEnd"/>
      <w:r w:rsidR="00D67DB3">
        <w:rPr>
          <w:lang w:val="cs-CZ"/>
        </w:rPr>
        <w:t xml:space="preserve"> 2016, [cit. 2. 2. 2020].</w:t>
      </w:r>
      <w:r w:rsidRPr="001E717C">
        <w:rPr>
          <w:lang w:val="cs-CZ"/>
        </w:rPr>
        <w:t xml:space="preserve"> Dostupné na &lt;</w:t>
      </w:r>
      <w:r w:rsidR="003F1F66" w:rsidRPr="001E717C">
        <w:rPr>
          <w:lang w:val="cs-CZ"/>
        </w:rPr>
        <w:t>http://www.sigmaweb.org/publications/Public-Procurement-Policy-Brief-8-200117.pdf&gt;.</w:t>
      </w:r>
    </w:p>
    <w:p w14:paraId="1FD1E983" w14:textId="77777777" w:rsidR="008F401C" w:rsidRPr="008F401C" w:rsidRDefault="008F401C" w:rsidP="008F401C">
      <w:pPr>
        <w:rPr>
          <w:lang w:val="cs-CZ"/>
        </w:rPr>
      </w:pPr>
    </w:p>
    <w:p w14:paraId="5DC0BD95" w14:textId="22D31061" w:rsidR="008F401C" w:rsidRPr="008F401C" w:rsidRDefault="008F401C" w:rsidP="008F401C">
      <w:pPr>
        <w:pStyle w:val="ListParagraph"/>
        <w:numPr>
          <w:ilvl w:val="0"/>
          <w:numId w:val="9"/>
        </w:numPr>
        <w:ind w:left="284"/>
        <w:rPr>
          <w:lang w:val="cs-CZ"/>
        </w:rPr>
      </w:pPr>
      <w:r w:rsidRPr="008F401C">
        <w:rPr>
          <w:lang w:val="cs-CZ"/>
        </w:rPr>
        <w:t xml:space="preserve">MAREK, Karel. </w:t>
      </w:r>
      <w:r w:rsidRPr="008F401C">
        <w:rPr>
          <w:i/>
          <w:lang w:val="cs-CZ"/>
        </w:rPr>
        <w:t>Aktuální problémy zadávání veřejných zakázek</w:t>
      </w:r>
      <w:r w:rsidRPr="008F401C">
        <w:rPr>
          <w:lang w:val="cs-CZ"/>
        </w:rPr>
        <w:t xml:space="preserve"> [online]. Bulletin-advokacie.cz, 22. 5. 2017 [cit. 21. 2. 2020]. Dostupné na &lt;http://www.bulletin-advokacie.cz/aktualni-problemy-zadavani-verejnych-zakazek&gt;.</w:t>
      </w:r>
    </w:p>
    <w:p w14:paraId="66C9B26B" w14:textId="77777777" w:rsidR="00842E64" w:rsidRPr="001E717C" w:rsidRDefault="00842E64" w:rsidP="00842E64">
      <w:pPr>
        <w:rPr>
          <w:lang w:val="cs-CZ"/>
        </w:rPr>
      </w:pPr>
    </w:p>
    <w:p w14:paraId="2E98009E" w14:textId="2452D2CA" w:rsidR="00842E64" w:rsidRPr="001E717C" w:rsidRDefault="00842E64" w:rsidP="001E717C">
      <w:pPr>
        <w:pStyle w:val="ListParagraph"/>
        <w:numPr>
          <w:ilvl w:val="0"/>
          <w:numId w:val="9"/>
        </w:numPr>
        <w:ind w:left="284"/>
        <w:rPr>
          <w:lang w:val="cs-CZ"/>
        </w:rPr>
      </w:pPr>
      <w:r w:rsidRPr="001E717C">
        <w:rPr>
          <w:lang w:val="cs-CZ"/>
        </w:rPr>
        <w:t>Protik</w:t>
      </w:r>
      <w:r w:rsidR="00590FCF">
        <w:rPr>
          <w:lang w:val="cs-CZ"/>
        </w:rPr>
        <w:t>orupční portál. </w:t>
      </w:r>
      <w:r w:rsidR="00590FCF">
        <w:rPr>
          <w:i/>
          <w:lang w:val="cs-CZ"/>
        </w:rPr>
        <w:t>Přehled veřejných </w:t>
      </w:r>
      <w:r w:rsidRPr="001E717C">
        <w:rPr>
          <w:i/>
          <w:lang w:val="cs-CZ"/>
        </w:rPr>
        <w:t>zakázek</w:t>
      </w:r>
      <w:r w:rsidR="00590FCF">
        <w:rPr>
          <w:lang w:val="cs-CZ"/>
        </w:rPr>
        <w:t> [online]. Zakazky.krajbezkorupce.cz, [cit. 23. 2. </w:t>
      </w:r>
      <w:r w:rsidRPr="001E717C">
        <w:rPr>
          <w:lang w:val="cs-CZ"/>
        </w:rPr>
        <w:t>2020].</w:t>
      </w:r>
      <w:r w:rsidR="00590FCF">
        <w:rPr>
          <w:lang w:val="cs-CZ"/>
        </w:rPr>
        <w:t> Dostupné na </w:t>
      </w:r>
      <w:r w:rsidRPr="001E717C">
        <w:rPr>
          <w:lang w:val="cs-CZ"/>
        </w:rPr>
        <w:t>&lt;https://zakazky.krajbezkorupce.cz/contract_index.html?type=NAD&amp;state=all&amp;archive=ACTUAL&amp;page=8&gt;.</w:t>
      </w:r>
    </w:p>
    <w:p w14:paraId="185C6F12" w14:textId="77777777" w:rsidR="00842E64" w:rsidRPr="001E717C" w:rsidRDefault="00842E64" w:rsidP="00842E64">
      <w:pPr>
        <w:rPr>
          <w:i/>
          <w:lang w:val="cs-CZ"/>
        </w:rPr>
      </w:pPr>
    </w:p>
    <w:p w14:paraId="1F3411A6" w14:textId="32B64314" w:rsidR="00842E64" w:rsidRPr="001E717C" w:rsidRDefault="004503E3" w:rsidP="00842E64">
      <w:pPr>
        <w:pStyle w:val="ListParagraph"/>
        <w:numPr>
          <w:ilvl w:val="0"/>
          <w:numId w:val="9"/>
        </w:numPr>
        <w:ind w:left="284"/>
        <w:rPr>
          <w:lang w:val="cs-CZ"/>
        </w:rPr>
      </w:pPr>
      <w:proofErr w:type="spellStart"/>
      <w:r w:rsidRPr="001E717C">
        <w:rPr>
          <w:i/>
          <w:lang w:val="cs-CZ"/>
        </w:rPr>
        <w:t>Publick</w:t>
      </w:r>
      <w:proofErr w:type="spellEnd"/>
      <w:r w:rsidRPr="001E717C">
        <w:rPr>
          <w:i/>
          <w:lang w:val="cs-CZ"/>
        </w:rPr>
        <w:t xml:space="preserve"> </w:t>
      </w:r>
      <w:proofErr w:type="spellStart"/>
      <w:r w:rsidRPr="001E717C">
        <w:rPr>
          <w:i/>
          <w:lang w:val="cs-CZ"/>
        </w:rPr>
        <w:t>tendering</w:t>
      </w:r>
      <w:proofErr w:type="spellEnd"/>
      <w:r w:rsidRPr="001E717C">
        <w:rPr>
          <w:i/>
          <w:lang w:val="cs-CZ"/>
        </w:rPr>
        <w:t xml:space="preserve"> </w:t>
      </w:r>
      <w:proofErr w:type="spellStart"/>
      <w:r w:rsidRPr="001E717C">
        <w:rPr>
          <w:i/>
          <w:lang w:val="cs-CZ"/>
        </w:rPr>
        <w:t>rules</w:t>
      </w:r>
      <w:proofErr w:type="spellEnd"/>
      <w:r w:rsidRPr="001E717C">
        <w:rPr>
          <w:lang w:val="cs-CZ"/>
        </w:rPr>
        <w:t xml:space="preserve"> [online]. europa.eu, 3. 1. 2020, </w:t>
      </w:r>
      <w:r w:rsidR="00590FCF">
        <w:rPr>
          <w:lang w:val="cs-CZ"/>
        </w:rPr>
        <w:t>[cit. 21. 2. 2020]. Dostupné na </w:t>
      </w:r>
      <w:r w:rsidRPr="001E717C">
        <w:rPr>
          <w:lang w:val="cs-CZ"/>
        </w:rPr>
        <w:t>&lt;https://europa.eu/youreurope/business/selling-in-eu/public-contracts/public-tendering-rules/index_en.htm&gt;.</w:t>
      </w:r>
    </w:p>
    <w:p w14:paraId="27C5CB6A" w14:textId="77777777" w:rsidR="00740540" w:rsidRPr="001E717C" w:rsidRDefault="00740540" w:rsidP="00740540">
      <w:pPr>
        <w:rPr>
          <w:lang w:val="cs-CZ"/>
        </w:rPr>
      </w:pPr>
    </w:p>
    <w:p w14:paraId="7FB18E4F" w14:textId="77777777" w:rsidR="00895D3F" w:rsidRPr="001E717C" w:rsidRDefault="004503E3" w:rsidP="00895D3F">
      <w:pPr>
        <w:pStyle w:val="ListParagraph"/>
        <w:numPr>
          <w:ilvl w:val="0"/>
          <w:numId w:val="9"/>
        </w:numPr>
        <w:ind w:left="284"/>
        <w:rPr>
          <w:lang w:val="cs-CZ"/>
        </w:rPr>
      </w:pPr>
      <w:r w:rsidRPr="001E717C">
        <w:rPr>
          <w:lang w:val="cs-CZ"/>
        </w:rPr>
        <w:t xml:space="preserve">Odbor 58 – Mezinárodních vztahy. </w:t>
      </w:r>
      <w:r w:rsidRPr="001E717C">
        <w:rPr>
          <w:i/>
          <w:lang w:val="cs-CZ"/>
        </w:rPr>
        <w:t xml:space="preserve">IMF - Mezinárodní měnový fond </w:t>
      </w:r>
      <w:r w:rsidRPr="001E717C">
        <w:rPr>
          <w:lang w:val="cs-CZ"/>
        </w:rPr>
        <w:t>[online]</w:t>
      </w:r>
      <w:r w:rsidRPr="001E717C">
        <w:rPr>
          <w:i/>
          <w:lang w:val="cs-CZ"/>
        </w:rPr>
        <w:t xml:space="preserve">. </w:t>
      </w:r>
      <w:r w:rsidRPr="001E717C">
        <w:rPr>
          <w:lang w:val="cs-CZ"/>
        </w:rPr>
        <w:t>mfcr.cz, 1. 6. 2005 [cit. dne 8. 2. 2020]. Dostupné na &lt;https://www.mfcr.cz/cs/zahranicni-sektor/mezinarodni-spoluprace/mezinarodni-instituce/imf-mezinarodni-menovy-fond-11650&gt;.</w:t>
      </w:r>
    </w:p>
    <w:p w14:paraId="69ED71A1" w14:textId="77777777" w:rsidR="00895D3F" w:rsidRPr="001E717C" w:rsidRDefault="00895D3F" w:rsidP="00895D3F">
      <w:pPr>
        <w:rPr>
          <w:lang w:val="cs-CZ"/>
        </w:rPr>
      </w:pPr>
    </w:p>
    <w:p w14:paraId="303E55AD" w14:textId="47C3DBE8" w:rsidR="00895D3F" w:rsidRDefault="00BD5F58" w:rsidP="00895D3F">
      <w:pPr>
        <w:pStyle w:val="ListParagraph"/>
        <w:numPr>
          <w:ilvl w:val="0"/>
          <w:numId w:val="9"/>
        </w:numPr>
        <w:ind w:left="284"/>
        <w:rPr>
          <w:lang w:val="cs-CZ"/>
        </w:rPr>
      </w:pPr>
      <w:r w:rsidRPr="001E717C">
        <w:rPr>
          <w:lang w:val="cs-CZ"/>
        </w:rPr>
        <w:t xml:space="preserve">RYDVAN, Tomáš, SEMÉNKOVÁ, Dita. </w:t>
      </w:r>
      <w:r w:rsidRPr="001E717C">
        <w:rPr>
          <w:i/>
          <w:lang w:val="cs-CZ"/>
        </w:rPr>
        <w:t>Povinnost vyznačit v předběžném oznámení informaci o zkrácení lhůt pro doručení nabídek a obecně ke lhůtě pro podání nabídek</w:t>
      </w:r>
      <w:r w:rsidR="00A805D5">
        <w:rPr>
          <w:lang w:val="cs-CZ"/>
        </w:rPr>
        <w:t xml:space="preserve"> [online]. e</w:t>
      </w:r>
      <w:r w:rsidRPr="001E717C">
        <w:rPr>
          <w:lang w:val="cs-CZ"/>
        </w:rPr>
        <w:t>pravo.cz, 24. 10. 2019 [cit. 22. 2. 2020]. Dostupné na &lt;https://www.epravo.cz/top/clanky/povinnost-vyznacit-v-predbeznem-oznameni-informaci-o-zkraceni-lhut-pro-doruceni-nabidek-a-obecne-ke-lhute-pro-podani-nabidek-110140.html&gt;.</w:t>
      </w:r>
    </w:p>
    <w:p w14:paraId="1B1EC02C" w14:textId="77777777" w:rsidR="00D40446" w:rsidRPr="00D40446" w:rsidRDefault="00D40446" w:rsidP="00D40446">
      <w:pPr>
        <w:rPr>
          <w:lang w:val="cs-CZ"/>
        </w:rPr>
      </w:pPr>
    </w:p>
    <w:p w14:paraId="225467CC" w14:textId="44E99E00" w:rsidR="00D40446" w:rsidRPr="001E717C" w:rsidRDefault="000C7619" w:rsidP="00895D3F">
      <w:pPr>
        <w:pStyle w:val="ListParagraph"/>
        <w:numPr>
          <w:ilvl w:val="0"/>
          <w:numId w:val="9"/>
        </w:numPr>
        <w:ind w:left="284"/>
        <w:rPr>
          <w:lang w:val="cs-CZ"/>
        </w:rPr>
      </w:pPr>
      <w:r>
        <w:lastRenderedPageBreak/>
        <w:t>ŘEZNÍČEK</w:t>
      </w:r>
      <w:r w:rsidR="00D40446">
        <w:t>, David. Ž</w:t>
      </w:r>
      <w:r>
        <w:t>IDZIKOVÁ</w:t>
      </w:r>
      <w:r w:rsidR="00D40446">
        <w:t xml:space="preserve">, Jana. </w:t>
      </w:r>
      <w:proofErr w:type="spellStart"/>
      <w:r w:rsidR="00D40446" w:rsidRPr="0064428A">
        <w:rPr>
          <w:i/>
        </w:rPr>
        <w:t>Zadávací</w:t>
      </w:r>
      <w:proofErr w:type="spellEnd"/>
      <w:r w:rsidR="00D40446" w:rsidRPr="0064428A">
        <w:rPr>
          <w:i/>
        </w:rPr>
        <w:t xml:space="preserve"> </w:t>
      </w:r>
      <w:proofErr w:type="spellStart"/>
      <w:r w:rsidR="00D40446" w:rsidRPr="0064428A">
        <w:rPr>
          <w:i/>
        </w:rPr>
        <w:t>řízení</w:t>
      </w:r>
      <w:proofErr w:type="spellEnd"/>
      <w:r w:rsidR="00D40446" w:rsidRPr="0064428A">
        <w:rPr>
          <w:i/>
        </w:rPr>
        <w:t xml:space="preserve"> </w:t>
      </w:r>
      <w:proofErr w:type="spellStart"/>
      <w:r w:rsidR="00D40446" w:rsidRPr="0064428A">
        <w:rPr>
          <w:i/>
        </w:rPr>
        <w:t>podle</w:t>
      </w:r>
      <w:proofErr w:type="spellEnd"/>
      <w:r w:rsidR="00D40446" w:rsidRPr="0064428A">
        <w:rPr>
          <w:i/>
        </w:rPr>
        <w:t xml:space="preserve"> </w:t>
      </w:r>
      <w:proofErr w:type="spellStart"/>
      <w:r w:rsidR="00D40446" w:rsidRPr="0064428A">
        <w:rPr>
          <w:i/>
        </w:rPr>
        <w:t>zákona</w:t>
      </w:r>
      <w:proofErr w:type="spellEnd"/>
      <w:r w:rsidR="00D40446" w:rsidRPr="0064428A">
        <w:rPr>
          <w:i/>
        </w:rPr>
        <w:t xml:space="preserve"> o </w:t>
      </w:r>
      <w:proofErr w:type="spellStart"/>
      <w:r w:rsidR="00D40446" w:rsidRPr="0064428A">
        <w:rPr>
          <w:i/>
        </w:rPr>
        <w:t>veřejných</w:t>
      </w:r>
      <w:proofErr w:type="spellEnd"/>
      <w:r w:rsidR="00D40446" w:rsidRPr="0064428A">
        <w:rPr>
          <w:i/>
        </w:rPr>
        <w:t xml:space="preserve"> </w:t>
      </w:r>
      <w:proofErr w:type="spellStart"/>
      <w:r w:rsidR="00D40446" w:rsidRPr="0064428A">
        <w:rPr>
          <w:i/>
        </w:rPr>
        <w:t>zakázkách</w:t>
      </w:r>
      <w:proofErr w:type="spellEnd"/>
      <w:r w:rsidR="00D40446">
        <w:rPr>
          <w:i/>
        </w:rPr>
        <w:t xml:space="preserve"> </w:t>
      </w:r>
      <w:r w:rsidR="00D40446">
        <w:t xml:space="preserve">[online]. </w:t>
      </w:r>
      <w:proofErr w:type="gramStart"/>
      <w:r w:rsidR="00D40446">
        <w:t>epravo.cz</w:t>
      </w:r>
      <w:proofErr w:type="gramEnd"/>
      <w:r w:rsidR="00D40446">
        <w:t xml:space="preserve">, 10. 2. 2015 [cit. 23. 3. 2020]. </w:t>
      </w:r>
      <w:proofErr w:type="spellStart"/>
      <w:r w:rsidR="00D40446">
        <w:t>Dostupné</w:t>
      </w:r>
      <w:proofErr w:type="spellEnd"/>
      <w:r w:rsidR="00D40446">
        <w:t xml:space="preserve"> </w:t>
      </w:r>
      <w:proofErr w:type="spellStart"/>
      <w:proofErr w:type="gramStart"/>
      <w:r w:rsidR="00D40446">
        <w:t>na</w:t>
      </w:r>
      <w:proofErr w:type="spellEnd"/>
      <w:proofErr w:type="gramEnd"/>
      <w:r w:rsidR="00D40446">
        <w:t xml:space="preserve"> &lt;</w:t>
      </w:r>
      <w:r w:rsidR="00D40446" w:rsidRPr="0064428A">
        <w:t>https://www.epravo.cz/top/clanky/zadavaci-rizeni-podle-zakona-o-verejnych-zakazkach-96828.html</w:t>
      </w:r>
      <w:r w:rsidR="00D40446">
        <w:t>&gt;.</w:t>
      </w:r>
    </w:p>
    <w:p w14:paraId="05CC70BB" w14:textId="77777777" w:rsidR="00895D3F" w:rsidRPr="001E717C" w:rsidRDefault="00895D3F" w:rsidP="00895D3F">
      <w:pPr>
        <w:rPr>
          <w:lang w:val="cs-CZ"/>
        </w:rPr>
      </w:pPr>
    </w:p>
    <w:p w14:paraId="0B94C255" w14:textId="77777777" w:rsidR="00895D3F" w:rsidRPr="001E717C" w:rsidRDefault="00740540" w:rsidP="00895D3F">
      <w:pPr>
        <w:pStyle w:val="ListParagraph"/>
        <w:numPr>
          <w:ilvl w:val="0"/>
          <w:numId w:val="9"/>
        </w:numPr>
        <w:ind w:left="284"/>
        <w:rPr>
          <w:lang w:val="cs-CZ"/>
        </w:rPr>
      </w:pPr>
      <w:r w:rsidRPr="001E717C">
        <w:rPr>
          <w:lang w:val="cs-CZ"/>
        </w:rPr>
        <w:t xml:space="preserve">SIGMA </w:t>
      </w:r>
      <w:proofErr w:type="spellStart"/>
      <w:r w:rsidRPr="001E717C">
        <w:rPr>
          <w:lang w:val="cs-CZ"/>
        </w:rPr>
        <w:t>Creating</w:t>
      </w:r>
      <w:proofErr w:type="spellEnd"/>
      <w:r w:rsidRPr="001E717C">
        <w:rPr>
          <w:lang w:val="cs-CZ"/>
        </w:rPr>
        <w:t xml:space="preserve"> </w:t>
      </w:r>
      <w:proofErr w:type="spellStart"/>
      <w:r w:rsidRPr="001E717C">
        <w:rPr>
          <w:lang w:val="cs-CZ"/>
        </w:rPr>
        <w:t>Change</w:t>
      </w:r>
      <w:proofErr w:type="spellEnd"/>
      <w:r w:rsidRPr="001E717C">
        <w:rPr>
          <w:lang w:val="cs-CZ"/>
        </w:rPr>
        <w:t xml:space="preserve"> </w:t>
      </w:r>
      <w:proofErr w:type="spellStart"/>
      <w:r w:rsidRPr="001E717C">
        <w:rPr>
          <w:lang w:val="cs-CZ"/>
        </w:rPr>
        <w:t>Together</w:t>
      </w:r>
      <w:proofErr w:type="spellEnd"/>
      <w:r w:rsidRPr="001E717C">
        <w:rPr>
          <w:lang w:val="cs-CZ"/>
        </w:rPr>
        <w:t xml:space="preserve">. </w:t>
      </w:r>
      <w:r w:rsidRPr="001E717C">
        <w:rPr>
          <w:i/>
          <w:lang w:val="cs-CZ"/>
        </w:rPr>
        <w:t xml:space="preserve">SIGMA </w:t>
      </w:r>
      <w:proofErr w:type="spellStart"/>
      <w:r w:rsidRPr="001E717C">
        <w:rPr>
          <w:i/>
          <w:lang w:val="cs-CZ"/>
        </w:rPr>
        <w:t>at</w:t>
      </w:r>
      <w:proofErr w:type="spellEnd"/>
      <w:r w:rsidRPr="001E717C">
        <w:rPr>
          <w:i/>
          <w:lang w:val="cs-CZ"/>
        </w:rPr>
        <w:t xml:space="preserve"> a glance</w:t>
      </w:r>
      <w:r w:rsidRPr="001E717C">
        <w:rPr>
          <w:lang w:val="cs-CZ"/>
        </w:rPr>
        <w:t xml:space="preserve"> [online]. Sigmaweb.org, [cit. 24. 2. 2020]. Dostupné na &lt;http://www.sigmaweb.org/about/&gt;.</w:t>
      </w:r>
    </w:p>
    <w:p w14:paraId="61CDC470" w14:textId="77777777" w:rsidR="00895D3F" w:rsidRPr="001E717C" w:rsidRDefault="00895D3F" w:rsidP="00895D3F">
      <w:pPr>
        <w:rPr>
          <w:lang w:val="cs-CZ"/>
        </w:rPr>
      </w:pPr>
    </w:p>
    <w:p w14:paraId="011962D0" w14:textId="49195DE4" w:rsidR="00895D3F" w:rsidRPr="001E717C" w:rsidRDefault="00740540" w:rsidP="00895D3F">
      <w:pPr>
        <w:pStyle w:val="ListParagraph"/>
        <w:numPr>
          <w:ilvl w:val="0"/>
          <w:numId w:val="9"/>
        </w:numPr>
        <w:ind w:left="284"/>
        <w:rPr>
          <w:lang w:val="cs-CZ"/>
        </w:rPr>
      </w:pPr>
      <w:r w:rsidRPr="001E717C">
        <w:rPr>
          <w:lang w:val="cs-CZ"/>
        </w:rPr>
        <w:t xml:space="preserve">STANĚK, Pavel. </w:t>
      </w:r>
      <w:r w:rsidRPr="001E717C">
        <w:rPr>
          <w:i/>
          <w:lang w:val="cs-CZ"/>
        </w:rPr>
        <w:t>K zákazu diskriminace při zadávání veřejných zakázek [online]</w:t>
      </w:r>
      <w:r w:rsidRPr="001E717C">
        <w:rPr>
          <w:lang w:val="cs-CZ"/>
        </w:rPr>
        <w:t>. epravo.cz, 10. 10. 2018 [c</w:t>
      </w:r>
      <w:r w:rsidR="00BB2BAC">
        <w:rPr>
          <w:lang w:val="cs-CZ"/>
        </w:rPr>
        <w:t>it. 22. 2. 2020]. Dostupné na &lt;</w:t>
      </w:r>
      <w:r w:rsidR="00895D3F" w:rsidRPr="001E717C">
        <w:rPr>
          <w:lang w:val="cs-CZ"/>
        </w:rPr>
        <w:t>https://www.epravo.cz/top/clanky/k-zakazu-diskriminace-pri-zadavani-verejnych-zakazek-108209.html&gt;.</w:t>
      </w:r>
    </w:p>
    <w:p w14:paraId="52673664" w14:textId="77777777" w:rsidR="00895D3F" w:rsidRPr="001E717C" w:rsidRDefault="00895D3F" w:rsidP="00895D3F">
      <w:pPr>
        <w:rPr>
          <w:lang w:val="cs-CZ"/>
        </w:rPr>
      </w:pPr>
    </w:p>
    <w:p w14:paraId="6AB8AAF0" w14:textId="77777777" w:rsidR="00895D3F" w:rsidRPr="001E717C" w:rsidRDefault="00BD5F58" w:rsidP="00895D3F">
      <w:pPr>
        <w:pStyle w:val="ListParagraph"/>
        <w:numPr>
          <w:ilvl w:val="0"/>
          <w:numId w:val="9"/>
        </w:numPr>
        <w:ind w:left="284"/>
        <w:rPr>
          <w:lang w:val="cs-CZ"/>
        </w:rPr>
      </w:pPr>
      <w:r w:rsidRPr="001E717C">
        <w:rPr>
          <w:lang w:val="cs-CZ"/>
        </w:rPr>
        <w:t xml:space="preserve">STUDNIČKA, Vladimír. </w:t>
      </w:r>
      <w:r w:rsidRPr="001E717C">
        <w:rPr>
          <w:i/>
          <w:lang w:val="cs-CZ"/>
        </w:rPr>
        <w:t>Inovace v zadávání veřejných zakázek</w:t>
      </w:r>
      <w:r w:rsidR="00162437" w:rsidRPr="001E717C">
        <w:rPr>
          <w:i/>
          <w:lang w:val="cs-CZ"/>
        </w:rPr>
        <w:t xml:space="preserve"> </w:t>
      </w:r>
      <w:r w:rsidR="00162437" w:rsidRPr="001E717C">
        <w:rPr>
          <w:lang w:val="cs-CZ"/>
        </w:rPr>
        <w:t>[online]</w:t>
      </w:r>
      <w:r w:rsidRPr="001E717C">
        <w:rPr>
          <w:i/>
          <w:lang w:val="cs-CZ"/>
        </w:rPr>
        <w:t xml:space="preserve">. </w:t>
      </w:r>
      <w:r w:rsidRPr="001E717C">
        <w:rPr>
          <w:lang w:val="cs-CZ"/>
        </w:rPr>
        <w:t>dotaceeu.cz, 15. 10. 2018, [cit.</w:t>
      </w:r>
      <w:r w:rsidRPr="001E717C">
        <w:rPr>
          <w:i/>
          <w:lang w:val="cs-CZ"/>
        </w:rPr>
        <w:t xml:space="preserve"> </w:t>
      </w:r>
      <w:r w:rsidRPr="001E717C">
        <w:rPr>
          <w:lang w:val="cs-CZ"/>
        </w:rPr>
        <w:t>4. 2. 2020]. Dostupné na &lt;https://www.dotaceeu.cz/cs/microsites/op-urbact-ii/novinky/inovace-v-zadavani-verejnych-zakazek&gt;.</w:t>
      </w:r>
    </w:p>
    <w:p w14:paraId="32B3B52E" w14:textId="77777777" w:rsidR="00895D3F" w:rsidRPr="001E717C" w:rsidRDefault="00895D3F" w:rsidP="00895D3F">
      <w:pPr>
        <w:rPr>
          <w:lang w:val="cs-CZ"/>
        </w:rPr>
      </w:pPr>
    </w:p>
    <w:p w14:paraId="7726766F" w14:textId="765CF8B4" w:rsidR="0005747C" w:rsidRPr="001E56AF" w:rsidRDefault="004503E3" w:rsidP="00740540">
      <w:pPr>
        <w:pStyle w:val="ListParagraph"/>
        <w:numPr>
          <w:ilvl w:val="0"/>
          <w:numId w:val="9"/>
        </w:numPr>
        <w:ind w:left="284"/>
        <w:rPr>
          <w:lang w:val="cs-CZ"/>
        </w:rPr>
      </w:pPr>
      <w:r w:rsidRPr="001E717C">
        <w:rPr>
          <w:lang w:val="cs-CZ"/>
        </w:rPr>
        <w:t xml:space="preserve">VYCH, Jan. </w:t>
      </w:r>
      <w:r w:rsidR="00223663" w:rsidRPr="001E717C">
        <w:rPr>
          <w:i/>
          <w:lang w:val="cs-CZ"/>
        </w:rPr>
        <w:t>Nový zákon o zadávání ve</w:t>
      </w:r>
      <w:r w:rsidRPr="001E717C">
        <w:rPr>
          <w:i/>
          <w:lang w:val="cs-CZ"/>
        </w:rPr>
        <w:t>řejných zakázek – myšlenka dobrá, provedení zatím o dost horší</w:t>
      </w:r>
      <w:r w:rsidRPr="001E717C">
        <w:rPr>
          <w:lang w:val="cs-CZ"/>
        </w:rPr>
        <w:t xml:space="preserve"> [online]. epravo.cz, 23. 9. 2015 [cit. 2</w:t>
      </w:r>
      <w:r w:rsidR="00590FCF">
        <w:rPr>
          <w:lang w:val="cs-CZ"/>
        </w:rPr>
        <w:t>3. 2. 3020]. Dostupné na </w:t>
      </w:r>
      <w:r w:rsidRPr="001E717C">
        <w:rPr>
          <w:lang w:val="cs-CZ"/>
        </w:rPr>
        <w:t>&lt;https://www.epravo.cz/top/clanky/novy-zakon-o-zadavani-verejnych-zakazek-myslenka-dobra-provedeni-zatim-o-dost-horsi-98904.html&gt;.</w:t>
      </w:r>
    </w:p>
    <w:p w14:paraId="1244E6BD" w14:textId="4E3EC288" w:rsidR="00630514" w:rsidRPr="001E717C" w:rsidRDefault="00630514" w:rsidP="00BC47F4">
      <w:pPr>
        <w:pStyle w:val="Heading2"/>
        <w:rPr>
          <w:rFonts w:ascii="Times New Roman" w:hAnsi="Times New Roman" w:cs="Times New Roman"/>
          <w:sz w:val="20"/>
          <w:szCs w:val="20"/>
          <w:lang w:val="cs-CZ"/>
        </w:rPr>
      </w:pPr>
      <w:bookmarkStart w:id="39" w:name="_Toc435378280"/>
      <w:bookmarkStart w:id="40" w:name="_Toc436130178"/>
      <w:bookmarkStart w:id="41" w:name="_Toc436130208"/>
      <w:bookmarkStart w:id="42" w:name="_Toc436130438"/>
      <w:bookmarkStart w:id="43" w:name="_Toc436644052"/>
      <w:r w:rsidRPr="001E717C">
        <w:rPr>
          <w:lang w:val="cs-CZ"/>
        </w:rPr>
        <w:t>Judikatura</w:t>
      </w:r>
      <w:bookmarkEnd w:id="39"/>
      <w:bookmarkEnd w:id="40"/>
      <w:bookmarkEnd w:id="41"/>
      <w:bookmarkEnd w:id="42"/>
      <w:bookmarkEnd w:id="43"/>
      <w:r w:rsidRPr="001E717C">
        <w:rPr>
          <w:lang w:val="cs-CZ"/>
        </w:rPr>
        <w:t xml:space="preserve"> </w:t>
      </w:r>
    </w:p>
    <w:p w14:paraId="09D1E408" w14:textId="1CFC3149" w:rsidR="009C198D" w:rsidRPr="001E717C" w:rsidRDefault="00335433" w:rsidP="009C198D">
      <w:pPr>
        <w:pStyle w:val="ListParagraph"/>
        <w:numPr>
          <w:ilvl w:val="0"/>
          <w:numId w:val="8"/>
        </w:numPr>
        <w:ind w:left="284" w:hanging="284"/>
        <w:rPr>
          <w:lang w:val="cs-CZ"/>
        </w:rPr>
      </w:pPr>
      <w:r w:rsidRPr="001E717C">
        <w:rPr>
          <w:lang w:val="cs-CZ"/>
        </w:rPr>
        <w:t>Rozsudek ze dne 25. 4.</w:t>
      </w:r>
      <w:r w:rsidRPr="001E717C">
        <w:rPr>
          <w:i/>
          <w:lang w:val="cs-CZ"/>
        </w:rPr>
        <w:t xml:space="preserve"> </w:t>
      </w:r>
      <w:r w:rsidRPr="001E717C">
        <w:rPr>
          <w:lang w:val="cs-CZ"/>
        </w:rPr>
        <w:t xml:space="preserve">1996, </w:t>
      </w:r>
      <w:r w:rsidRPr="001E717C">
        <w:rPr>
          <w:i/>
          <w:lang w:val="cs-CZ"/>
        </w:rPr>
        <w:t>Komise Evropských společenství proti Belgickému království, C</w:t>
      </w:r>
      <w:r w:rsidR="00F64FF0">
        <w:rPr>
          <w:lang w:val="cs-CZ"/>
        </w:rPr>
        <w:t xml:space="preserve">-87/94, Sb. </w:t>
      </w:r>
      <w:proofErr w:type="spellStart"/>
      <w:r w:rsidR="00F64FF0">
        <w:rPr>
          <w:lang w:val="cs-CZ"/>
        </w:rPr>
        <w:t>rozh</w:t>
      </w:r>
      <w:proofErr w:type="spellEnd"/>
      <w:r w:rsidR="00F64FF0">
        <w:rPr>
          <w:lang w:val="cs-CZ"/>
        </w:rPr>
        <w:t xml:space="preserve">. 1996, s. I-02043, bod. 51. </w:t>
      </w:r>
    </w:p>
    <w:p w14:paraId="60F16E3A" w14:textId="77777777" w:rsidR="009C198D" w:rsidRPr="001E717C" w:rsidRDefault="009C198D" w:rsidP="009C198D">
      <w:pPr>
        <w:pStyle w:val="ListParagraph"/>
        <w:ind w:left="284"/>
        <w:rPr>
          <w:lang w:val="cs-CZ"/>
        </w:rPr>
      </w:pPr>
    </w:p>
    <w:p w14:paraId="4EDDACE4" w14:textId="02329BB6" w:rsidR="009C198D" w:rsidRPr="001E717C" w:rsidRDefault="009C198D" w:rsidP="009C198D">
      <w:pPr>
        <w:pStyle w:val="ListParagraph"/>
        <w:numPr>
          <w:ilvl w:val="0"/>
          <w:numId w:val="8"/>
        </w:numPr>
        <w:ind w:left="284"/>
        <w:rPr>
          <w:lang w:val="cs-CZ"/>
        </w:rPr>
      </w:pPr>
      <w:r w:rsidRPr="001E717C">
        <w:rPr>
          <w:lang w:val="cs-CZ"/>
        </w:rPr>
        <w:t xml:space="preserve">Rozsudek ze dne 28. 3. 1996, </w:t>
      </w:r>
      <w:r w:rsidRPr="001E717C">
        <w:rPr>
          <w:i/>
          <w:lang w:val="cs-CZ"/>
        </w:rPr>
        <w:t>Komise proti Spolkové republice Německo</w:t>
      </w:r>
      <w:r w:rsidR="00A805D5">
        <w:rPr>
          <w:lang w:val="cs-CZ"/>
        </w:rPr>
        <w:t xml:space="preserve">, C-318/94, </w:t>
      </w:r>
      <w:r w:rsidRPr="001E717C">
        <w:rPr>
          <w:lang w:val="cs-CZ"/>
        </w:rPr>
        <w:t xml:space="preserve"> </w:t>
      </w:r>
      <w:r w:rsidR="00A805D5">
        <w:rPr>
          <w:lang w:val="cs-CZ"/>
        </w:rPr>
        <w:t xml:space="preserve">Sb. </w:t>
      </w:r>
      <w:proofErr w:type="spellStart"/>
      <w:r w:rsidR="00A805D5">
        <w:rPr>
          <w:lang w:val="cs-CZ"/>
        </w:rPr>
        <w:t>rozh</w:t>
      </w:r>
      <w:proofErr w:type="spellEnd"/>
      <w:r w:rsidR="00A805D5">
        <w:rPr>
          <w:lang w:val="cs-CZ"/>
        </w:rPr>
        <w:t xml:space="preserve">. </w:t>
      </w:r>
      <w:r w:rsidRPr="001E717C">
        <w:rPr>
          <w:lang w:val="cs-CZ"/>
        </w:rPr>
        <w:t>s</w:t>
      </w:r>
      <w:r w:rsidR="007614CA">
        <w:rPr>
          <w:lang w:val="cs-CZ"/>
        </w:rPr>
        <w:t>.</w:t>
      </w:r>
      <w:r w:rsidRPr="001E717C">
        <w:rPr>
          <w:lang w:val="cs-CZ"/>
        </w:rPr>
        <w:t xml:space="preserve"> I-1949, bod. 13. </w:t>
      </w:r>
    </w:p>
    <w:p w14:paraId="5C745D27" w14:textId="77777777" w:rsidR="0005747C" w:rsidRPr="001E717C" w:rsidRDefault="0005747C" w:rsidP="0005747C">
      <w:pPr>
        <w:pStyle w:val="ListParagraph"/>
        <w:ind w:left="284"/>
        <w:rPr>
          <w:lang w:val="cs-CZ"/>
        </w:rPr>
      </w:pPr>
    </w:p>
    <w:p w14:paraId="753DB114" w14:textId="16F193FA" w:rsidR="009C198D" w:rsidRPr="001E717C" w:rsidRDefault="009C198D" w:rsidP="009C198D">
      <w:pPr>
        <w:pStyle w:val="ListParagraph"/>
        <w:numPr>
          <w:ilvl w:val="0"/>
          <w:numId w:val="8"/>
        </w:numPr>
        <w:ind w:left="284" w:hanging="284"/>
        <w:rPr>
          <w:lang w:val="cs-CZ"/>
        </w:rPr>
      </w:pPr>
      <w:r w:rsidRPr="001E717C">
        <w:rPr>
          <w:lang w:val="cs-CZ"/>
        </w:rPr>
        <w:t xml:space="preserve">Rozsudek ze dne 7. 10. 2000, </w:t>
      </w:r>
      <w:proofErr w:type="spellStart"/>
      <w:r w:rsidRPr="001E717C">
        <w:rPr>
          <w:i/>
          <w:lang w:val="cs-CZ"/>
        </w:rPr>
        <w:t>Telaustria</w:t>
      </w:r>
      <w:proofErr w:type="spellEnd"/>
      <w:r w:rsidRPr="001E717C">
        <w:rPr>
          <w:i/>
          <w:lang w:val="cs-CZ"/>
        </w:rPr>
        <w:t xml:space="preserve"> </w:t>
      </w:r>
      <w:proofErr w:type="spellStart"/>
      <w:r w:rsidRPr="001E717C">
        <w:rPr>
          <w:i/>
          <w:lang w:val="cs-CZ"/>
        </w:rPr>
        <w:t>Verlags</w:t>
      </w:r>
      <w:proofErr w:type="spellEnd"/>
      <w:r w:rsidRPr="001E717C">
        <w:rPr>
          <w:i/>
          <w:lang w:val="cs-CZ"/>
        </w:rPr>
        <w:t xml:space="preserve"> </w:t>
      </w:r>
      <w:proofErr w:type="spellStart"/>
      <w:r w:rsidRPr="001E717C">
        <w:rPr>
          <w:i/>
          <w:lang w:val="cs-CZ"/>
        </w:rPr>
        <w:t>GmbH</w:t>
      </w:r>
      <w:proofErr w:type="spellEnd"/>
      <w:r w:rsidRPr="001E717C">
        <w:rPr>
          <w:i/>
          <w:lang w:val="cs-CZ"/>
        </w:rPr>
        <w:t xml:space="preserve"> and </w:t>
      </w:r>
      <w:proofErr w:type="spellStart"/>
      <w:r w:rsidRPr="001E717C">
        <w:rPr>
          <w:i/>
          <w:lang w:val="cs-CZ"/>
        </w:rPr>
        <w:t>Telefonadress</w:t>
      </w:r>
      <w:proofErr w:type="spellEnd"/>
      <w:r w:rsidRPr="001E717C">
        <w:rPr>
          <w:i/>
          <w:lang w:val="cs-CZ"/>
        </w:rPr>
        <w:t xml:space="preserve"> </w:t>
      </w:r>
      <w:proofErr w:type="spellStart"/>
      <w:r w:rsidRPr="001E717C">
        <w:rPr>
          <w:i/>
          <w:lang w:val="cs-CZ"/>
        </w:rPr>
        <w:t>GmbH</w:t>
      </w:r>
      <w:proofErr w:type="spellEnd"/>
      <w:r w:rsidRPr="001E717C">
        <w:rPr>
          <w:i/>
          <w:lang w:val="cs-CZ"/>
        </w:rPr>
        <w:t xml:space="preserve"> v</w:t>
      </w:r>
      <w:r w:rsidR="006546ED">
        <w:rPr>
          <w:i/>
          <w:lang w:val="cs-CZ"/>
        </w:rPr>
        <w:t xml:space="preserve">. Telekom </w:t>
      </w:r>
      <w:proofErr w:type="spellStart"/>
      <w:r w:rsidR="006546ED">
        <w:rPr>
          <w:i/>
          <w:lang w:val="cs-CZ"/>
        </w:rPr>
        <w:t>Austria</w:t>
      </w:r>
      <w:proofErr w:type="spellEnd"/>
      <w:r w:rsidR="006546ED">
        <w:rPr>
          <w:i/>
          <w:lang w:val="cs-CZ"/>
        </w:rPr>
        <w:t xml:space="preserve"> AG</w:t>
      </w:r>
      <w:r w:rsidRPr="001E717C">
        <w:rPr>
          <w:lang w:val="cs-CZ"/>
        </w:rPr>
        <w:t>, C-324/</w:t>
      </w:r>
      <w:r w:rsidR="00A805D5">
        <w:rPr>
          <w:lang w:val="cs-CZ"/>
        </w:rPr>
        <w:t xml:space="preserve">98, Sb. </w:t>
      </w:r>
      <w:proofErr w:type="spellStart"/>
      <w:r w:rsidR="00A805D5">
        <w:rPr>
          <w:lang w:val="cs-CZ"/>
        </w:rPr>
        <w:t>rozh</w:t>
      </w:r>
      <w:proofErr w:type="spellEnd"/>
      <w:r w:rsidR="00A805D5">
        <w:rPr>
          <w:lang w:val="cs-CZ"/>
        </w:rPr>
        <w:t xml:space="preserve">. 2000 s. I-10745, bod 62. </w:t>
      </w:r>
    </w:p>
    <w:p w14:paraId="7CEA58AF" w14:textId="77777777" w:rsidR="0034126E" w:rsidRPr="001E717C" w:rsidRDefault="0034126E" w:rsidP="0034126E">
      <w:pPr>
        <w:rPr>
          <w:lang w:val="cs-CZ"/>
        </w:rPr>
      </w:pPr>
    </w:p>
    <w:p w14:paraId="7801792F" w14:textId="6E22E9A8" w:rsidR="00471805" w:rsidRPr="00471805" w:rsidRDefault="00471805" w:rsidP="0034126E">
      <w:pPr>
        <w:pStyle w:val="ListParagraph"/>
        <w:numPr>
          <w:ilvl w:val="0"/>
          <w:numId w:val="8"/>
        </w:numPr>
        <w:ind w:left="284"/>
        <w:rPr>
          <w:lang w:val="cs-CZ"/>
        </w:rPr>
      </w:pPr>
      <w:proofErr w:type="spellStart"/>
      <w:r>
        <w:lastRenderedPageBreak/>
        <w:t>Rozsudek</w:t>
      </w:r>
      <w:proofErr w:type="spellEnd"/>
      <w:r>
        <w:t xml:space="preserve"> </w:t>
      </w:r>
      <w:proofErr w:type="spellStart"/>
      <w:r>
        <w:t>ze</w:t>
      </w:r>
      <w:proofErr w:type="spellEnd"/>
      <w:r>
        <w:t xml:space="preserve"> </w:t>
      </w:r>
      <w:proofErr w:type="spellStart"/>
      <w:r>
        <w:t>dne</w:t>
      </w:r>
      <w:proofErr w:type="spellEnd"/>
      <w:r>
        <w:t xml:space="preserve"> 5. 10. 2000, </w:t>
      </w:r>
      <w:proofErr w:type="spellStart"/>
      <w:r w:rsidRPr="00471805">
        <w:rPr>
          <w:i/>
        </w:rPr>
        <w:t>Komise</w:t>
      </w:r>
      <w:proofErr w:type="spellEnd"/>
      <w:r w:rsidRPr="00471805">
        <w:rPr>
          <w:i/>
        </w:rPr>
        <w:t xml:space="preserve"> </w:t>
      </w:r>
      <w:proofErr w:type="spellStart"/>
      <w:r w:rsidRPr="00471805">
        <w:rPr>
          <w:i/>
        </w:rPr>
        <w:t>proti</w:t>
      </w:r>
      <w:proofErr w:type="spellEnd"/>
      <w:r w:rsidRPr="00471805">
        <w:rPr>
          <w:i/>
        </w:rPr>
        <w:t xml:space="preserve"> </w:t>
      </w:r>
      <w:proofErr w:type="spellStart"/>
      <w:r w:rsidRPr="00471805">
        <w:rPr>
          <w:i/>
        </w:rPr>
        <w:t>Francouzské</w:t>
      </w:r>
      <w:proofErr w:type="spellEnd"/>
      <w:r w:rsidRPr="00471805">
        <w:rPr>
          <w:i/>
        </w:rPr>
        <w:t xml:space="preserve"> </w:t>
      </w:r>
      <w:proofErr w:type="spellStart"/>
      <w:r w:rsidRPr="00471805">
        <w:rPr>
          <w:i/>
        </w:rPr>
        <w:t>republice</w:t>
      </w:r>
      <w:proofErr w:type="spellEnd"/>
      <w:r>
        <w:t xml:space="preserve">, </w:t>
      </w:r>
      <w:r w:rsidRPr="00081AFB">
        <w:t>C</w:t>
      </w:r>
      <w:r w:rsidRPr="00081AFB">
        <w:rPr>
          <w:rFonts w:ascii="Lucida Grande" w:hAnsi="Lucida Grande" w:cs="Lucida Grande"/>
        </w:rPr>
        <w:t>‑</w:t>
      </w:r>
      <w:r>
        <w:t xml:space="preserve">16/98, Sb. </w:t>
      </w:r>
      <w:proofErr w:type="spellStart"/>
      <w:r>
        <w:t>rozh</w:t>
      </w:r>
      <w:proofErr w:type="spellEnd"/>
      <w:r>
        <w:t xml:space="preserve">. 2000 </w:t>
      </w:r>
      <w:r w:rsidRPr="00471805">
        <w:t>I-08315</w:t>
      </w:r>
      <w:r>
        <w:t>.</w:t>
      </w:r>
    </w:p>
    <w:p w14:paraId="6B9309DD" w14:textId="77777777" w:rsidR="00471805" w:rsidRPr="00471805" w:rsidRDefault="00471805" w:rsidP="00471805">
      <w:pPr>
        <w:rPr>
          <w:szCs w:val="20"/>
          <w:lang w:val="cs-CZ"/>
        </w:rPr>
      </w:pPr>
    </w:p>
    <w:p w14:paraId="62C6BA6A" w14:textId="3B7AF3CA" w:rsidR="0034126E" w:rsidRPr="001E717C" w:rsidRDefault="0034126E" w:rsidP="0034126E">
      <w:pPr>
        <w:pStyle w:val="ListParagraph"/>
        <w:numPr>
          <w:ilvl w:val="0"/>
          <w:numId w:val="8"/>
        </w:numPr>
        <w:ind w:left="284"/>
        <w:rPr>
          <w:lang w:val="cs-CZ"/>
        </w:rPr>
      </w:pPr>
      <w:r w:rsidRPr="001E717C">
        <w:rPr>
          <w:szCs w:val="20"/>
          <w:lang w:val="cs-CZ"/>
        </w:rPr>
        <w:t xml:space="preserve">Rozsudek Krajského soudu v Brně ze dne 14. 5. 2007, </w:t>
      </w:r>
      <w:proofErr w:type="spellStart"/>
      <w:r w:rsidRPr="001E717C">
        <w:rPr>
          <w:szCs w:val="20"/>
          <w:lang w:val="cs-CZ"/>
        </w:rPr>
        <w:t>sp</w:t>
      </w:r>
      <w:proofErr w:type="spellEnd"/>
      <w:r w:rsidRPr="001E717C">
        <w:rPr>
          <w:szCs w:val="20"/>
          <w:lang w:val="cs-CZ"/>
        </w:rPr>
        <w:t>. zn. 31 Ca 166/2005.</w:t>
      </w:r>
    </w:p>
    <w:p w14:paraId="24E190AF" w14:textId="77777777" w:rsidR="009C198D" w:rsidRPr="009C198D" w:rsidRDefault="009C198D" w:rsidP="009C198D">
      <w:pPr>
        <w:rPr>
          <w:lang w:val="cs-CZ"/>
        </w:rPr>
      </w:pPr>
    </w:p>
    <w:p w14:paraId="4B52C5A2" w14:textId="15C36145" w:rsidR="00431847" w:rsidRDefault="00431847" w:rsidP="009C198D">
      <w:pPr>
        <w:pStyle w:val="ListParagraph"/>
        <w:numPr>
          <w:ilvl w:val="0"/>
          <w:numId w:val="8"/>
        </w:numPr>
        <w:ind w:left="284" w:hanging="284"/>
        <w:rPr>
          <w:lang w:val="cs-CZ"/>
        </w:rPr>
      </w:pPr>
      <w:proofErr w:type="spellStart"/>
      <w:r>
        <w:t>Rozsudek</w:t>
      </w:r>
      <w:proofErr w:type="spellEnd"/>
      <w:r>
        <w:t xml:space="preserve"> </w:t>
      </w:r>
      <w:proofErr w:type="spellStart"/>
      <w:r>
        <w:t>ze</w:t>
      </w:r>
      <w:proofErr w:type="spellEnd"/>
      <w:r>
        <w:t xml:space="preserve"> </w:t>
      </w:r>
      <w:proofErr w:type="spellStart"/>
      <w:r>
        <w:t>dne</w:t>
      </w:r>
      <w:proofErr w:type="spellEnd"/>
      <w:r>
        <w:t xml:space="preserve"> 18. 1. 2007, </w:t>
      </w:r>
      <w:r w:rsidRPr="00072FB5">
        <w:rPr>
          <w:i/>
        </w:rPr>
        <w:t xml:space="preserve">Jean </w:t>
      </w:r>
      <w:proofErr w:type="spellStart"/>
      <w:r w:rsidRPr="00072FB5">
        <w:rPr>
          <w:i/>
        </w:rPr>
        <w:t>Auroux</w:t>
      </w:r>
      <w:proofErr w:type="spellEnd"/>
      <w:r w:rsidRPr="00072FB5">
        <w:rPr>
          <w:i/>
        </w:rPr>
        <w:t xml:space="preserve"> and Others v</w:t>
      </w:r>
      <w:r w:rsidR="006546ED">
        <w:rPr>
          <w:i/>
        </w:rPr>
        <w:t>.</w:t>
      </w:r>
      <w:r w:rsidRPr="00072FB5">
        <w:rPr>
          <w:i/>
        </w:rPr>
        <w:t xml:space="preserve"> Commune de </w:t>
      </w:r>
      <w:proofErr w:type="spellStart"/>
      <w:r w:rsidRPr="00072FB5">
        <w:rPr>
          <w:i/>
        </w:rPr>
        <w:t>Roanne</w:t>
      </w:r>
      <w:proofErr w:type="spellEnd"/>
      <w:r>
        <w:t xml:space="preserve">, C-220/05, Sb. </w:t>
      </w:r>
      <w:proofErr w:type="spellStart"/>
      <w:r>
        <w:t>rozh</w:t>
      </w:r>
      <w:proofErr w:type="spellEnd"/>
      <w:r>
        <w:t>. s. I-00385, bod 64.</w:t>
      </w:r>
    </w:p>
    <w:p w14:paraId="4174B4D6" w14:textId="77777777" w:rsidR="00431847" w:rsidRPr="00431847" w:rsidRDefault="00431847" w:rsidP="00431847">
      <w:pPr>
        <w:rPr>
          <w:lang w:val="cs-CZ"/>
        </w:rPr>
      </w:pPr>
    </w:p>
    <w:p w14:paraId="0F4EE423" w14:textId="77777777" w:rsidR="009C198D" w:rsidRDefault="009C198D" w:rsidP="009C198D">
      <w:pPr>
        <w:pStyle w:val="ListParagraph"/>
        <w:numPr>
          <w:ilvl w:val="0"/>
          <w:numId w:val="8"/>
        </w:numPr>
        <w:ind w:left="284" w:hanging="284"/>
        <w:rPr>
          <w:lang w:val="cs-CZ"/>
        </w:rPr>
      </w:pPr>
      <w:r w:rsidRPr="00162437">
        <w:rPr>
          <w:lang w:val="cs-CZ"/>
        </w:rPr>
        <w:t>Rozhodnutí Úřadu pro kontrolu hospodářské soutěže ze dne 19. 2. 2008, č. j. S304/2008/VZ-2207/2009/510/IFA.</w:t>
      </w:r>
    </w:p>
    <w:p w14:paraId="1B770B2A" w14:textId="77777777" w:rsidR="009C198D" w:rsidRPr="009C198D" w:rsidRDefault="009C198D" w:rsidP="009C198D">
      <w:pPr>
        <w:rPr>
          <w:lang w:val="cs-CZ"/>
        </w:rPr>
      </w:pPr>
    </w:p>
    <w:p w14:paraId="20DDA579" w14:textId="798D42E0" w:rsidR="00431847" w:rsidRDefault="00431847" w:rsidP="0034126E">
      <w:pPr>
        <w:pStyle w:val="ListParagraph"/>
        <w:numPr>
          <w:ilvl w:val="0"/>
          <w:numId w:val="8"/>
        </w:numPr>
        <w:ind w:left="284" w:hanging="284"/>
        <w:rPr>
          <w:lang w:val="cs-CZ"/>
        </w:rPr>
      </w:pPr>
      <w:proofErr w:type="spellStart"/>
      <w:r>
        <w:t>Rozsudek</w:t>
      </w:r>
      <w:proofErr w:type="spellEnd"/>
      <w:r>
        <w:t xml:space="preserve"> </w:t>
      </w:r>
      <w:proofErr w:type="spellStart"/>
      <w:r>
        <w:t>ze</w:t>
      </w:r>
      <w:proofErr w:type="spellEnd"/>
      <w:r>
        <w:t xml:space="preserve"> </w:t>
      </w:r>
      <w:proofErr w:type="spellStart"/>
      <w:r>
        <w:t>dne</w:t>
      </w:r>
      <w:proofErr w:type="spellEnd"/>
      <w:r>
        <w:t xml:space="preserve"> 11. </w:t>
      </w:r>
      <w:proofErr w:type="spellStart"/>
      <w:r>
        <w:t>července</w:t>
      </w:r>
      <w:proofErr w:type="spellEnd"/>
      <w:r>
        <w:t xml:space="preserve"> 2019, </w:t>
      </w:r>
      <w:proofErr w:type="spellStart"/>
      <w:r w:rsidRPr="00685EBF">
        <w:rPr>
          <w:bCs/>
          <w:i/>
        </w:rPr>
        <w:t>Vitali</w:t>
      </w:r>
      <w:proofErr w:type="spellEnd"/>
      <w:r w:rsidRPr="00685EBF">
        <w:rPr>
          <w:bCs/>
          <w:i/>
        </w:rPr>
        <w:t xml:space="preserve"> </w:t>
      </w:r>
      <w:proofErr w:type="spellStart"/>
      <w:proofErr w:type="gramStart"/>
      <w:r w:rsidRPr="00685EBF">
        <w:rPr>
          <w:bCs/>
          <w:i/>
        </w:rPr>
        <w:t>Sp</w:t>
      </w:r>
      <w:proofErr w:type="spellEnd"/>
      <w:proofErr w:type="gramEnd"/>
      <w:r w:rsidRPr="00685EBF">
        <w:rPr>
          <w:bCs/>
          <w:i/>
        </w:rPr>
        <w:t xml:space="preserve"> v.</w:t>
      </w:r>
      <w:r>
        <w:rPr>
          <w:bCs/>
          <w:i/>
        </w:rPr>
        <w:t xml:space="preserve"> </w:t>
      </w:r>
      <w:proofErr w:type="spellStart"/>
      <w:r w:rsidRPr="00685EBF">
        <w:rPr>
          <w:bCs/>
          <w:i/>
        </w:rPr>
        <w:t>Autostrade</w:t>
      </w:r>
      <w:proofErr w:type="spellEnd"/>
      <w:r w:rsidRPr="00685EBF">
        <w:rPr>
          <w:bCs/>
          <w:i/>
        </w:rPr>
        <w:t xml:space="preserve"> per </w:t>
      </w:r>
      <w:proofErr w:type="spellStart"/>
      <w:r w:rsidRPr="00685EBF">
        <w:rPr>
          <w:bCs/>
          <w:i/>
        </w:rPr>
        <w:t>l’Italia</w:t>
      </w:r>
      <w:proofErr w:type="spellEnd"/>
      <w:r w:rsidRPr="00685EBF">
        <w:rPr>
          <w:bCs/>
          <w:i/>
        </w:rPr>
        <w:t xml:space="preserve"> </w:t>
      </w:r>
      <w:proofErr w:type="spellStart"/>
      <w:r w:rsidRPr="00685EBF">
        <w:rPr>
          <w:bCs/>
          <w:i/>
        </w:rPr>
        <w:t>SpA</w:t>
      </w:r>
      <w:proofErr w:type="spellEnd"/>
      <w:r w:rsidRPr="00685EBF">
        <w:rPr>
          <w:bCs/>
          <w:i/>
        </w:rPr>
        <w:t>,</w:t>
      </w:r>
      <w:r>
        <w:t xml:space="preserve"> C</w:t>
      </w:r>
      <w:r>
        <w:noBreakHyphen/>
        <w:t xml:space="preserve">697/17, </w:t>
      </w:r>
      <w:proofErr w:type="spellStart"/>
      <w:r>
        <w:t>Úřední</w:t>
      </w:r>
      <w:proofErr w:type="spellEnd"/>
      <w:r>
        <w:t xml:space="preserve"> </w:t>
      </w:r>
      <w:proofErr w:type="spellStart"/>
      <w:r>
        <w:t>věst</w:t>
      </w:r>
      <w:proofErr w:type="spellEnd"/>
      <w:r>
        <w:t>. EU C 112, bod 19.</w:t>
      </w:r>
    </w:p>
    <w:p w14:paraId="7221D39E" w14:textId="77777777" w:rsidR="00431847" w:rsidRPr="00431847" w:rsidRDefault="00431847" w:rsidP="00431847">
      <w:pPr>
        <w:rPr>
          <w:lang w:val="cs-CZ"/>
        </w:rPr>
      </w:pPr>
    </w:p>
    <w:p w14:paraId="30D2A0FE" w14:textId="015A85FE" w:rsidR="009C198D" w:rsidRPr="0034126E" w:rsidRDefault="009C198D" w:rsidP="0034126E">
      <w:pPr>
        <w:pStyle w:val="ListParagraph"/>
        <w:numPr>
          <w:ilvl w:val="0"/>
          <w:numId w:val="8"/>
        </w:numPr>
        <w:ind w:left="284" w:hanging="284"/>
        <w:rPr>
          <w:lang w:val="cs-CZ"/>
        </w:rPr>
      </w:pPr>
      <w:r w:rsidRPr="00162437">
        <w:rPr>
          <w:lang w:val="cs-CZ"/>
        </w:rPr>
        <w:t xml:space="preserve">Rozsudek ze dne 23. 10. 2009, </w:t>
      </w:r>
      <w:proofErr w:type="spellStart"/>
      <w:r w:rsidRPr="00B51F1F">
        <w:rPr>
          <w:i/>
          <w:lang w:val="cs-CZ"/>
        </w:rPr>
        <w:t>Serrantoni</w:t>
      </w:r>
      <w:proofErr w:type="spellEnd"/>
      <w:r w:rsidRPr="00B51F1F">
        <w:rPr>
          <w:i/>
          <w:lang w:val="cs-CZ"/>
        </w:rPr>
        <w:t xml:space="preserve"> </w:t>
      </w:r>
      <w:proofErr w:type="spellStart"/>
      <w:r w:rsidRPr="00B51F1F">
        <w:rPr>
          <w:i/>
          <w:lang w:val="cs-CZ"/>
        </w:rPr>
        <w:t>Srl</w:t>
      </w:r>
      <w:proofErr w:type="spellEnd"/>
      <w:r w:rsidRPr="00B51F1F">
        <w:rPr>
          <w:i/>
          <w:lang w:val="cs-CZ"/>
        </w:rPr>
        <w:t xml:space="preserve"> and </w:t>
      </w:r>
      <w:proofErr w:type="spellStart"/>
      <w:r w:rsidRPr="00B51F1F">
        <w:rPr>
          <w:i/>
          <w:lang w:val="cs-CZ"/>
        </w:rPr>
        <w:t>Consorzio</w:t>
      </w:r>
      <w:proofErr w:type="spellEnd"/>
      <w:r w:rsidRPr="00B51F1F">
        <w:rPr>
          <w:i/>
          <w:lang w:val="cs-CZ"/>
        </w:rPr>
        <w:t xml:space="preserve"> </w:t>
      </w:r>
      <w:proofErr w:type="spellStart"/>
      <w:r w:rsidRPr="00B51F1F">
        <w:rPr>
          <w:i/>
          <w:lang w:val="cs-CZ"/>
        </w:rPr>
        <w:t>stabile</w:t>
      </w:r>
      <w:proofErr w:type="spellEnd"/>
      <w:r w:rsidRPr="00B51F1F">
        <w:rPr>
          <w:i/>
          <w:lang w:val="cs-CZ"/>
        </w:rPr>
        <w:t xml:space="preserve"> </w:t>
      </w:r>
      <w:proofErr w:type="spellStart"/>
      <w:r w:rsidRPr="00B51F1F">
        <w:rPr>
          <w:i/>
          <w:lang w:val="cs-CZ"/>
        </w:rPr>
        <w:t>edili</w:t>
      </w:r>
      <w:proofErr w:type="spellEnd"/>
      <w:r w:rsidRPr="00B51F1F">
        <w:rPr>
          <w:i/>
          <w:lang w:val="cs-CZ"/>
        </w:rPr>
        <w:t xml:space="preserve"> </w:t>
      </w:r>
      <w:proofErr w:type="spellStart"/>
      <w:r w:rsidRPr="00B51F1F">
        <w:rPr>
          <w:i/>
          <w:lang w:val="cs-CZ"/>
        </w:rPr>
        <w:t>Scrl</w:t>
      </w:r>
      <w:proofErr w:type="spellEnd"/>
      <w:r w:rsidRPr="00B51F1F">
        <w:rPr>
          <w:i/>
          <w:lang w:val="cs-CZ"/>
        </w:rPr>
        <w:t xml:space="preserve"> v</w:t>
      </w:r>
      <w:r w:rsidR="006546ED">
        <w:rPr>
          <w:i/>
          <w:lang w:val="cs-CZ"/>
        </w:rPr>
        <w:t>.</w:t>
      </w:r>
      <w:r w:rsidRPr="00B51F1F">
        <w:rPr>
          <w:i/>
          <w:lang w:val="cs-CZ"/>
        </w:rPr>
        <w:t xml:space="preserve"> </w:t>
      </w:r>
      <w:proofErr w:type="spellStart"/>
      <w:r w:rsidRPr="00B51F1F">
        <w:rPr>
          <w:i/>
          <w:lang w:val="cs-CZ"/>
        </w:rPr>
        <w:t>Comune</w:t>
      </w:r>
      <w:proofErr w:type="spellEnd"/>
      <w:r w:rsidRPr="00B51F1F">
        <w:rPr>
          <w:i/>
          <w:lang w:val="cs-CZ"/>
        </w:rPr>
        <w:t xml:space="preserve"> di Milano</w:t>
      </w:r>
      <w:r w:rsidRPr="00162437">
        <w:rPr>
          <w:lang w:val="cs-CZ"/>
        </w:rPr>
        <w:t xml:space="preserve">, C-376/08, Úřední věstník EU C 51, bod 13. </w:t>
      </w:r>
    </w:p>
    <w:p w14:paraId="6092CC09" w14:textId="77777777" w:rsidR="009C198D" w:rsidRPr="00162437" w:rsidRDefault="009C198D" w:rsidP="009C198D">
      <w:pPr>
        <w:pStyle w:val="ListParagraph"/>
        <w:ind w:left="284"/>
        <w:rPr>
          <w:lang w:val="cs-CZ"/>
        </w:rPr>
      </w:pPr>
    </w:p>
    <w:p w14:paraId="7AAA4D62" w14:textId="77777777" w:rsidR="009C198D" w:rsidRDefault="009C198D" w:rsidP="00A14640">
      <w:pPr>
        <w:pStyle w:val="ListParagraph"/>
        <w:numPr>
          <w:ilvl w:val="0"/>
          <w:numId w:val="8"/>
        </w:numPr>
        <w:ind w:left="284"/>
        <w:rPr>
          <w:lang w:val="cs-CZ"/>
        </w:rPr>
      </w:pPr>
      <w:r w:rsidRPr="00162437">
        <w:rPr>
          <w:lang w:val="cs-CZ"/>
        </w:rPr>
        <w:t>Rozhodnutí Úřadu pro kontrolu hospodářské soutěže ze dne 3. 5. 2013, č. j. S249/2012/VZ-8167/2013/550/</w:t>
      </w:r>
      <w:proofErr w:type="spellStart"/>
      <w:r w:rsidRPr="00162437">
        <w:rPr>
          <w:lang w:val="cs-CZ"/>
        </w:rPr>
        <w:t>HKu</w:t>
      </w:r>
      <w:proofErr w:type="spellEnd"/>
      <w:r w:rsidRPr="00162437">
        <w:rPr>
          <w:lang w:val="cs-CZ"/>
        </w:rPr>
        <w:t>.</w:t>
      </w:r>
    </w:p>
    <w:p w14:paraId="0B84D274" w14:textId="77777777" w:rsidR="009C198D" w:rsidRPr="009C198D" w:rsidRDefault="009C198D" w:rsidP="009C198D">
      <w:pPr>
        <w:rPr>
          <w:lang w:val="cs-CZ"/>
        </w:rPr>
      </w:pPr>
    </w:p>
    <w:p w14:paraId="58B4A317" w14:textId="423F9644" w:rsidR="009C198D" w:rsidRPr="0034126E" w:rsidRDefault="009C198D" w:rsidP="0034126E">
      <w:pPr>
        <w:pStyle w:val="ListParagraph"/>
        <w:numPr>
          <w:ilvl w:val="0"/>
          <w:numId w:val="8"/>
        </w:numPr>
        <w:ind w:left="284"/>
        <w:rPr>
          <w:lang w:val="cs-CZ"/>
        </w:rPr>
      </w:pPr>
      <w:r w:rsidRPr="00162437">
        <w:rPr>
          <w:lang w:val="cs-CZ"/>
        </w:rPr>
        <w:t xml:space="preserve">Rozsudek Nejvyššího správního osudu ze dne 11. 1. 2013, </w:t>
      </w:r>
      <w:proofErr w:type="spellStart"/>
      <w:r w:rsidRPr="00162437">
        <w:rPr>
          <w:lang w:val="cs-CZ"/>
        </w:rPr>
        <w:t>sp</w:t>
      </w:r>
      <w:proofErr w:type="spellEnd"/>
      <w:r w:rsidRPr="00162437">
        <w:rPr>
          <w:lang w:val="cs-CZ"/>
        </w:rPr>
        <w:t>. zn. 5 As 43/2012.</w:t>
      </w:r>
    </w:p>
    <w:p w14:paraId="3B2A453D" w14:textId="77777777" w:rsidR="009C198D" w:rsidRPr="009C198D" w:rsidRDefault="009C198D" w:rsidP="009C198D">
      <w:pPr>
        <w:rPr>
          <w:lang w:val="cs-CZ"/>
        </w:rPr>
      </w:pPr>
    </w:p>
    <w:p w14:paraId="7374F8B3" w14:textId="2E90BAC9" w:rsidR="002E1275" w:rsidRDefault="002E1275" w:rsidP="006A476D">
      <w:pPr>
        <w:pStyle w:val="ListParagraph"/>
        <w:numPr>
          <w:ilvl w:val="0"/>
          <w:numId w:val="8"/>
        </w:numPr>
        <w:ind w:left="284"/>
        <w:rPr>
          <w:lang w:val="cs-CZ"/>
        </w:rPr>
      </w:pPr>
      <w:r w:rsidRPr="00162437">
        <w:rPr>
          <w:lang w:val="cs-CZ"/>
        </w:rPr>
        <w:t xml:space="preserve">Rozsudek ze dne 6. 11. 2014, </w:t>
      </w:r>
      <w:proofErr w:type="spellStart"/>
      <w:r w:rsidRPr="00162437">
        <w:rPr>
          <w:i/>
          <w:lang w:val="cs-CZ"/>
        </w:rPr>
        <w:t>Kauppatalo</w:t>
      </w:r>
      <w:proofErr w:type="spellEnd"/>
      <w:r w:rsidRPr="00162437">
        <w:rPr>
          <w:i/>
          <w:lang w:val="cs-CZ"/>
        </w:rPr>
        <w:t xml:space="preserve"> </w:t>
      </w:r>
      <w:proofErr w:type="spellStart"/>
      <w:r w:rsidRPr="00162437">
        <w:rPr>
          <w:i/>
          <w:lang w:val="cs-CZ"/>
        </w:rPr>
        <w:t>Hansel</w:t>
      </w:r>
      <w:proofErr w:type="spellEnd"/>
      <w:r w:rsidRPr="00162437">
        <w:rPr>
          <w:i/>
          <w:lang w:val="cs-CZ"/>
        </w:rPr>
        <w:t xml:space="preserve"> </w:t>
      </w:r>
      <w:proofErr w:type="spellStart"/>
      <w:r w:rsidRPr="00162437">
        <w:rPr>
          <w:i/>
          <w:lang w:val="cs-CZ"/>
        </w:rPr>
        <w:t>Oy</w:t>
      </w:r>
      <w:proofErr w:type="spellEnd"/>
      <w:r w:rsidRPr="00162437">
        <w:rPr>
          <w:i/>
          <w:lang w:val="cs-CZ"/>
        </w:rPr>
        <w:t xml:space="preserve"> v</w:t>
      </w:r>
      <w:r w:rsidR="00B51F1F">
        <w:rPr>
          <w:i/>
          <w:lang w:val="cs-CZ"/>
        </w:rPr>
        <w:t>.</w:t>
      </w:r>
      <w:r w:rsidRPr="00162437">
        <w:rPr>
          <w:i/>
          <w:lang w:val="cs-CZ"/>
        </w:rPr>
        <w:t xml:space="preserve"> </w:t>
      </w:r>
      <w:proofErr w:type="spellStart"/>
      <w:r w:rsidRPr="00162437">
        <w:rPr>
          <w:i/>
          <w:lang w:val="cs-CZ"/>
        </w:rPr>
        <w:t>Imatran</w:t>
      </w:r>
      <w:proofErr w:type="spellEnd"/>
      <w:r w:rsidRPr="00162437">
        <w:rPr>
          <w:i/>
          <w:lang w:val="cs-CZ"/>
        </w:rPr>
        <w:t xml:space="preserve"> </w:t>
      </w:r>
      <w:proofErr w:type="spellStart"/>
      <w:r w:rsidRPr="00162437">
        <w:rPr>
          <w:i/>
          <w:lang w:val="cs-CZ"/>
        </w:rPr>
        <w:t>kaupunki</w:t>
      </w:r>
      <w:proofErr w:type="spellEnd"/>
      <w:r w:rsidRPr="00162437">
        <w:rPr>
          <w:i/>
          <w:lang w:val="cs-CZ"/>
        </w:rPr>
        <w:t>,</w:t>
      </w:r>
      <w:r w:rsidRPr="00162437">
        <w:rPr>
          <w:lang w:val="cs-CZ"/>
        </w:rPr>
        <w:t xml:space="preserve"> C-244/02, Sb. </w:t>
      </w:r>
      <w:proofErr w:type="spellStart"/>
      <w:r w:rsidRPr="00162437">
        <w:rPr>
          <w:lang w:val="cs-CZ"/>
        </w:rPr>
        <w:t>rozh</w:t>
      </w:r>
      <w:proofErr w:type="spellEnd"/>
      <w:r w:rsidRPr="00162437">
        <w:rPr>
          <w:lang w:val="cs-CZ"/>
        </w:rPr>
        <w:t>. s. I-12139, bod  32.</w:t>
      </w:r>
    </w:p>
    <w:p w14:paraId="3A4DF9C9" w14:textId="77777777" w:rsidR="0005747C" w:rsidRPr="00162437" w:rsidRDefault="0005747C" w:rsidP="0005747C">
      <w:pPr>
        <w:pStyle w:val="ListParagraph"/>
        <w:ind w:left="284"/>
        <w:rPr>
          <w:lang w:val="cs-CZ"/>
        </w:rPr>
      </w:pPr>
    </w:p>
    <w:p w14:paraId="198A9FAD" w14:textId="64E13F25" w:rsidR="0034126E" w:rsidRDefault="002E1275" w:rsidP="0034126E">
      <w:pPr>
        <w:pStyle w:val="ListParagraph"/>
        <w:numPr>
          <w:ilvl w:val="0"/>
          <w:numId w:val="8"/>
        </w:numPr>
        <w:ind w:left="284"/>
        <w:rPr>
          <w:lang w:val="cs-CZ"/>
        </w:rPr>
      </w:pPr>
      <w:r w:rsidRPr="00162437">
        <w:rPr>
          <w:lang w:val="cs-CZ"/>
        </w:rPr>
        <w:t xml:space="preserve">Rozsudek ze dne 6. 11. 2014, </w:t>
      </w:r>
      <w:proofErr w:type="spellStart"/>
      <w:r w:rsidR="00B51F1F">
        <w:rPr>
          <w:i/>
          <w:lang w:val="cs-CZ"/>
        </w:rPr>
        <w:t>P</w:t>
      </w:r>
      <w:r w:rsidRPr="00162437">
        <w:rPr>
          <w:i/>
          <w:lang w:val="cs-CZ"/>
        </w:rPr>
        <w:t>ressetext</w:t>
      </w:r>
      <w:proofErr w:type="spellEnd"/>
      <w:r w:rsidRPr="00162437">
        <w:rPr>
          <w:i/>
          <w:lang w:val="cs-CZ"/>
        </w:rPr>
        <w:t xml:space="preserve"> </w:t>
      </w:r>
      <w:proofErr w:type="spellStart"/>
      <w:r w:rsidRPr="00162437">
        <w:rPr>
          <w:i/>
          <w:lang w:val="cs-CZ"/>
        </w:rPr>
        <w:t>Nachrichtenagentur</w:t>
      </w:r>
      <w:proofErr w:type="spellEnd"/>
      <w:r w:rsidRPr="00162437">
        <w:rPr>
          <w:i/>
          <w:lang w:val="cs-CZ"/>
        </w:rPr>
        <w:t xml:space="preserve"> </w:t>
      </w:r>
      <w:proofErr w:type="spellStart"/>
      <w:r w:rsidRPr="00162437">
        <w:rPr>
          <w:i/>
          <w:lang w:val="cs-CZ"/>
        </w:rPr>
        <w:t>GmbH</w:t>
      </w:r>
      <w:proofErr w:type="spellEnd"/>
      <w:r w:rsidRPr="00162437">
        <w:rPr>
          <w:i/>
          <w:lang w:val="cs-CZ"/>
        </w:rPr>
        <w:t xml:space="preserve"> v. Rakousku</w:t>
      </w:r>
      <w:r w:rsidRPr="00162437">
        <w:rPr>
          <w:lang w:val="cs-CZ"/>
        </w:rPr>
        <w:t>, C</w:t>
      </w:r>
      <w:r w:rsidR="0035720F">
        <w:rPr>
          <w:lang w:val="cs-CZ"/>
        </w:rPr>
        <w:t xml:space="preserve">-454/06, </w:t>
      </w:r>
      <w:r w:rsidR="0035720F">
        <w:rPr>
          <w:lang w:val="cs-CZ"/>
        </w:rPr>
        <w:tab/>
      </w:r>
      <w:proofErr w:type="spellStart"/>
      <w:r w:rsidR="0035720F">
        <w:rPr>
          <w:lang w:val="cs-CZ"/>
        </w:rPr>
        <w:t>Úř</w:t>
      </w:r>
      <w:proofErr w:type="spellEnd"/>
      <w:r w:rsidR="0035720F">
        <w:rPr>
          <w:lang w:val="cs-CZ"/>
        </w:rPr>
        <w:t xml:space="preserve">. </w:t>
      </w:r>
      <w:proofErr w:type="spellStart"/>
      <w:r w:rsidR="0035720F">
        <w:rPr>
          <w:lang w:val="cs-CZ"/>
        </w:rPr>
        <w:t>věst</w:t>
      </w:r>
      <w:proofErr w:type="spellEnd"/>
      <w:r w:rsidR="0035720F">
        <w:rPr>
          <w:lang w:val="cs-CZ"/>
        </w:rPr>
        <w:t xml:space="preserve">. C 209, bod </w:t>
      </w:r>
      <w:r w:rsidRPr="00162437">
        <w:rPr>
          <w:lang w:val="cs-CZ"/>
        </w:rPr>
        <w:t>10.</w:t>
      </w:r>
    </w:p>
    <w:p w14:paraId="3E3D093C" w14:textId="77777777" w:rsidR="0034126E" w:rsidRPr="0034126E" w:rsidRDefault="0034126E" w:rsidP="0034126E">
      <w:pPr>
        <w:rPr>
          <w:lang w:val="cs-CZ"/>
        </w:rPr>
      </w:pPr>
    </w:p>
    <w:p w14:paraId="51FFAE2C" w14:textId="114A9F09" w:rsidR="0005747C" w:rsidRDefault="00B852C2" w:rsidP="0034126E">
      <w:pPr>
        <w:pStyle w:val="ListParagraph"/>
        <w:numPr>
          <w:ilvl w:val="0"/>
          <w:numId w:val="8"/>
        </w:numPr>
        <w:ind w:left="284"/>
        <w:rPr>
          <w:lang w:val="cs-CZ"/>
        </w:rPr>
      </w:pPr>
      <w:r w:rsidRPr="0034126E">
        <w:rPr>
          <w:lang w:val="cs-CZ"/>
        </w:rPr>
        <w:t xml:space="preserve">Rozsudek ze dne 6. 11. 2014, </w:t>
      </w:r>
      <w:proofErr w:type="spellStart"/>
      <w:r w:rsidRPr="0034126E">
        <w:rPr>
          <w:i/>
          <w:lang w:val="cs-CZ"/>
        </w:rPr>
        <w:t>Cartiera</w:t>
      </w:r>
      <w:proofErr w:type="spellEnd"/>
      <w:r w:rsidRPr="0034126E">
        <w:rPr>
          <w:i/>
          <w:lang w:val="cs-CZ"/>
        </w:rPr>
        <w:t xml:space="preserve"> </w:t>
      </w:r>
      <w:proofErr w:type="spellStart"/>
      <w:r w:rsidRPr="0034126E">
        <w:rPr>
          <w:i/>
          <w:lang w:val="cs-CZ"/>
        </w:rPr>
        <w:t>dell’Adda</w:t>
      </w:r>
      <w:proofErr w:type="spellEnd"/>
      <w:r w:rsidRPr="0034126E">
        <w:rPr>
          <w:i/>
          <w:lang w:val="cs-CZ"/>
        </w:rPr>
        <w:t xml:space="preserve"> </w:t>
      </w:r>
      <w:proofErr w:type="spellStart"/>
      <w:r w:rsidRPr="0034126E">
        <w:rPr>
          <w:i/>
          <w:lang w:val="cs-CZ"/>
        </w:rPr>
        <w:t>SpA</w:t>
      </w:r>
      <w:proofErr w:type="spellEnd"/>
      <w:r w:rsidRPr="0034126E">
        <w:rPr>
          <w:i/>
          <w:lang w:val="cs-CZ"/>
        </w:rPr>
        <w:t xml:space="preserve"> proti CEM Ambiente </w:t>
      </w:r>
      <w:proofErr w:type="spellStart"/>
      <w:r w:rsidRPr="0034126E">
        <w:rPr>
          <w:i/>
          <w:lang w:val="cs-CZ"/>
        </w:rPr>
        <w:t>SpA</w:t>
      </w:r>
      <w:proofErr w:type="spellEnd"/>
      <w:r w:rsidRPr="0034126E">
        <w:rPr>
          <w:i/>
          <w:lang w:val="cs-CZ"/>
        </w:rPr>
        <w:t>,</w:t>
      </w:r>
      <w:r w:rsidR="0037704B">
        <w:rPr>
          <w:lang w:val="cs-CZ"/>
        </w:rPr>
        <w:t xml:space="preserve"> C-42/13, </w:t>
      </w:r>
      <w:proofErr w:type="spellStart"/>
      <w:r w:rsidR="0037704B">
        <w:rPr>
          <w:lang w:val="cs-CZ"/>
        </w:rPr>
        <w:t>Úř</w:t>
      </w:r>
      <w:proofErr w:type="spellEnd"/>
      <w:r w:rsidR="0037704B">
        <w:rPr>
          <w:lang w:val="cs-CZ"/>
        </w:rPr>
        <w:t xml:space="preserve">. </w:t>
      </w:r>
      <w:proofErr w:type="spellStart"/>
      <w:r w:rsidR="0037704B">
        <w:rPr>
          <w:lang w:val="cs-CZ"/>
        </w:rPr>
        <w:t>věst</w:t>
      </w:r>
      <w:proofErr w:type="spellEnd"/>
      <w:r w:rsidR="0037704B">
        <w:rPr>
          <w:lang w:val="cs-CZ"/>
        </w:rPr>
        <w:t>.</w:t>
      </w:r>
      <w:r w:rsidRPr="0034126E">
        <w:rPr>
          <w:lang w:val="cs-CZ"/>
        </w:rPr>
        <w:t xml:space="preserve"> C 101, bod 23.</w:t>
      </w:r>
    </w:p>
    <w:p w14:paraId="5ACB6A19" w14:textId="77777777" w:rsidR="0037704B" w:rsidRPr="0037704B" w:rsidRDefault="0037704B" w:rsidP="0037704B">
      <w:pPr>
        <w:rPr>
          <w:lang w:val="cs-CZ"/>
        </w:rPr>
      </w:pPr>
    </w:p>
    <w:p w14:paraId="135FBC67" w14:textId="1DF4AF79" w:rsidR="0037704B" w:rsidRPr="0034126E" w:rsidRDefault="0037704B" w:rsidP="0034126E">
      <w:pPr>
        <w:pStyle w:val="ListParagraph"/>
        <w:numPr>
          <w:ilvl w:val="0"/>
          <w:numId w:val="8"/>
        </w:numPr>
        <w:ind w:left="284"/>
        <w:rPr>
          <w:lang w:val="cs-CZ"/>
        </w:rPr>
      </w:pPr>
      <w:proofErr w:type="spellStart"/>
      <w:r>
        <w:t>Rozsudek</w:t>
      </w:r>
      <w:proofErr w:type="spellEnd"/>
      <w:r>
        <w:t xml:space="preserve"> </w:t>
      </w:r>
      <w:proofErr w:type="spellStart"/>
      <w:r>
        <w:t>ze</w:t>
      </w:r>
      <w:proofErr w:type="spellEnd"/>
      <w:r>
        <w:t xml:space="preserve"> </w:t>
      </w:r>
      <w:proofErr w:type="spellStart"/>
      <w:r>
        <w:t>dne</w:t>
      </w:r>
      <w:proofErr w:type="spellEnd"/>
      <w:r>
        <w:t xml:space="preserve"> 20. 9. 2018, </w:t>
      </w:r>
      <w:proofErr w:type="spellStart"/>
      <w:r w:rsidRPr="0037704B">
        <w:rPr>
          <w:i/>
        </w:rPr>
        <w:t>Montte</w:t>
      </w:r>
      <w:proofErr w:type="spellEnd"/>
      <w:r w:rsidRPr="0037704B">
        <w:rPr>
          <w:i/>
        </w:rPr>
        <w:t xml:space="preserve"> </w:t>
      </w:r>
      <w:proofErr w:type="spellStart"/>
      <w:proofErr w:type="gramStart"/>
      <w:r w:rsidRPr="0037704B">
        <w:rPr>
          <w:i/>
        </w:rPr>
        <w:t>Sl</w:t>
      </w:r>
      <w:proofErr w:type="spellEnd"/>
      <w:proofErr w:type="gramEnd"/>
      <w:r w:rsidRPr="0037704B">
        <w:rPr>
          <w:i/>
        </w:rPr>
        <w:t xml:space="preserve"> </w:t>
      </w:r>
      <w:proofErr w:type="spellStart"/>
      <w:r w:rsidRPr="0037704B">
        <w:rPr>
          <w:i/>
        </w:rPr>
        <w:t>proti</w:t>
      </w:r>
      <w:proofErr w:type="spellEnd"/>
      <w:r w:rsidRPr="0037704B">
        <w:rPr>
          <w:i/>
        </w:rPr>
        <w:t xml:space="preserve"> </w:t>
      </w:r>
      <w:proofErr w:type="spellStart"/>
      <w:r w:rsidRPr="0037704B">
        <w:rPr>
          <w:i/>
        </w:rPr>
        <w:t>Musikene</w:t>
      </w:r>
      <w:proofErr w:type="spellEnd"/>
      <w:r w:rsidRPr="0037704B">
        <w:rPr>
          <w:i/>
        </w:rPr>
        <w:t>,</w:t>
      </w:r>
      <w:r w:rsidR="0082670E">
        <w:t xml:space="preserve"> </w:t>
      </w:r>
      <w:r>
        <w:t xml:space="preserve">C-546/16, </w:t>
      </w:r>
      <w:proofErr w:type="spellStart"/>
      <w:r>
        <w:t>Úř</w:t>
      </w:r>
      <w:proofErr w:type="spellEnd"/>
      <w:r>
        <w:t xml:space="preserve">. </w:t>
      </w:r>
      <w:proofErr w:type="spellStart"/>
      <w:proofErr w:type="gramStart"/>
      <w:r>
        <w:t>věst</w:t>
      </w:r>
      <w:proofErr w:type="spellEnd"/>
      <w:proofErr w:type="gramEnd"/>
      <w:r>
        <w:t xml:space="preserve">. </w:t>
      </w:r>
      <w:r w:rsidR="0082670E">
        <w:t xml:space="preserve">C 408, bod 7. </w:t>
      </w:r>
    </w:p>
    <w:p w14:paraId="61BEA619" w14:textId="77777777" w:rsidR="0005747C" w:rsidRPr="00162437" w:rsidRDefault="0005747C" w:rsidP="0005747C">
      <w:pPr>
        <w:pStyle w:val="ListParagraph"/>
        <w:ind w:left="284"/>
        <w:rPr>
          <w:lang w:val="cs-CZ"/>
        </w:rPr>
      </w:pPr>
    </w:p>
    <w:p w14:paraId="3A920AE7" w14:textId="76C3E911" w:rsidR="00BC47F4" w:rsidRPr="0005747C" w:rsidRDefault="00AD5ED5" w:rsidP="00BC47F4">
      <w:pPr>
        <w:pStyle w:val="ListParagraph"/>
        <w:numPr>
          <w:ilvl w:val="0"/>
          <w:numId w:val="8"/>
        </w:numPr>
        <w:ind w:left="284"/>
        <w:rPr>
          <w:lang w:val="cs-CZ"/>
        </w:rPr>
      </w:pPr>
      <w:r w:rsidRPr="00162437">
        <w:rPr>
          <w:szCs w:val="20"/>
          <w:lang w:val="cs-CZ"/>
        </w:rPr>
        <w:lastRenderedPageBreak/>
        <w:t xml:space="preserve">Rozsudek ze dne 11. 7. 2019, </w:t>
      </w:r>
      <w:r w:rsidRPr="00162437">
        <w:rPr>
          <w:i/>
          <w:szCs w:val="20"/>
          <w:lang w:val="cs-CZ"/>
        </w:rPr>
        <w:t xml:space="preserve">Telecom Italia </w:t>
      </w:r>
      <w:proofErr w:type="spellStart"/>
      <w:r w:rsidRPr="00162437">
        <w:rPr>
          <w:i/>
          <w:szCs w:val="20"/>
          <w:lang w:val="cs-CZ"/>
        </w:rPr>
        <w:t>SpA</w:t>
      </w:r>
      <w:proofErr w:type="spellEnd"/>
      <w:r w:rsidRPr="00162437">
        <w:rPr>
          <w:i/>
          <w:szCs w:val="20"/>
          <w:lang w:val="cs-CZ"/>
        </w:rPr>
        <w:t xml:space="preserve"> proti </w:t>
      </w:r>
      <w:proofErr w:type="spellStart"/>
      <w:r w:rsidRPr="00162437">
        <w:rPr>
          <w:i/>
          <w:szCs w:val="20"/>
          <w:lang w:val="cs-CZ"/>
        </w:rPr>
        <w:t>Ministero</w:t>
      </w:r>
      <w:proofErr w:type="spellEnd"/>
      <w:r w:rsidRPr="00162437">
        <w:rPr>
          <w:i/>
          <w:szCs w:val="20"/>
          <w:lang w:val="cs-CZ"/>
        </w:rPr>
        <w:t xml:space="preserve"> </w:t>
      </w:r>
      <w:proofErr w:type="spellStart"/>
      <w:r w:rsidRPr="00162437">
        <w:rPr>
          <w:i/>
          <w:szCs w:val="20"/>
          <w:lang w:val="cs-CZ"/>
        </w:rPr>
        <w:t>dello</w:t>
      </w:r>
      <w:proofErr w:type="spellEnd"/>
      <w:r w:rsidRPr="00162437">
        <w:rPr>
          <w:i/>
          <w:szCs w:val="20"/>
          <w:lang w:val="cs-CZ"/>
        </w:rPr>
        <w:t xml:space="preserve"> </w:t>
      </w:r>
      <w:proofErr w:type="spellStart"/>
      <w:r w:rsidRPr="00162437">
        <w:rPr>
          <w:i/>
          <w:szCs w:val="20"/>
          <w:lang w:val="cs-CZ"/>
        </w:rPr>
        <w:t>Sviluppo</w:t>
      </w:r>
      <w:proofErr w:type="spellEnd"/>
      <w:r w:rsidRPr="00162437">
        <w:rPr>
          <w:i/>
          <w:szCs w:val="20"/>
          <w:lang w:val="cs-CZ"/>
        </w:rPr>
        <w:t xml:space="preserve"> </w:t>
      </w:r>
      <w:proofErr w:type="spellStart"/>
      <w:r w:rsidRPr="00162437">
        <w:rPr>
          <w:i/>
          <w:szCs w:val="20"/>
          <w:lang w:val="cs-CZ"/>
        </w:rPr>
        <w:t>Economico</w:t>
      </w:r>
      <w:proofErr w:type="spellEnd"/>
      <w:r w:rsidRPr="00162437">
        <w:rPr>
          <w:i/>
          <w:szCs w:val="20"/>
          <w:lang w:val="cs-CZ"/>
        </w:rPr>
        <w:t xml:space="preserve">, </w:t>
      </w:r>
      <w:proofErr w:type="spellStart"/>
      <w:r w:rsidRPr="00162437">
        <w:rPr>
          <w:i/>
          <w:szCs w:val="20"/>
          <w:lang w:val="cs-CZ"/>
        </w:rPr>
        <w:t>Infrastrutture</w:t>
      </w:r>
      <w:proofErr w:type="spellEnd"/>
      <w:r w:rsidRPr="00162437">
        <w:rPr>
          <w:i/>
          <w:szCs w:val="20"/>
          <w:lang w:val="cs-CZ"/>
        </w:rPr>
        <w:t xml:space="preserve"> e </w:t>
      </w:r>
      <w:proofErr w:type="spellStart"/>
      <w:r w:rsidRPr="00162437">
        <w:rPr>
          <w:i/>
          <w:szCs w:val="20"/>
          <w:lang w:val="cs-CZ"/>
        </w:rPr>
        <w:t>telecomunicazioni</w:t>
      </w:r>
      <w:proofErr w:type="spellEnd"/>
      <w:r w:rsidRPr="00162437">
        <w:rPr>
          <w:i/>
          <w:szCs w:val="20"/>
          <w:lang w:val="cs-CZ"/>
        </w:rPr>
        <w:t xml:space="preserve"> per </w:t>
      </w:r>
      <w:proofErr w:type="spellStart"/>
      <w:r w:rsidRPr="00162437">
        <w:rPr>
          <w:i/>
          <w:szCs w:val="20"/>
          <w:lang w:val="cs-CZ"/>
        </w:rPr>
        <w:t>l’Italia</w:t>
      </w:r>
      <w:proofErr w:type="spellEnd"/>
      <w:r w:rsidRPr="00162437">
        <w:rPr>
          <w:i/>
          <w:szCs w:val="20"/>
          <w:lang w:val="cs-CZ"/>
        </w:rPr>
        <w:t xml:space="preserve"> (</w:t>
      </w:r>
      <w:proofErr w:type="spellStart"/>
      <w:r w:rsidRPr="00162437">
        <w:rPr>
          <w:i/>
          <w:szCs w:val="20"/>
          <w:lang w:val="cs-CZ"/>
        </w:rPr>
        <w:t>Infratel</w:t>
      </w:r>
      <w:proofErr w:type="spellEnd"/>
      <w:r w:rsidRPr="00162437">
        <w:rPr>
          <w:i/>
          <w:szCs w:val="20"/>
          <w:lang w:val="cs-CZ"/>
        </w:rPr>
        <w:t xml:space="preserve"> Italia) </w:t>
      </w:r>
      <w:proofErr w:type="spellStart"/>
      <w:r w:rsidRPr="00162437">
        <w:rPr>
          <w:i/>
          <w:szCs w:val="20"/>
          <w:lang w:val="cs-CZ"/>
        </w:rPr>
        <w:t>SpA</w:t>
      </w:r>
      <w:proofErr w:type="spellEnd"/>
      <w:r w:rsidRPr="00162437">
        <w:rPr>
          <w:i/>
          <w:szCs w:val="20"/>
          <w:lang w:val="cs-CZ"/>
        </w:rPr>
        <w:t>, C</w:t>
      </w:r>
      <w:r w:rsidRPr="00162437">
        <w:rPr>
          <w:szCs w:val="20"/>
          <w:lang w:val="cs-CZ"/>
        </w:rPr>
        <w:t xml:space="preserve">-697/17, </w:t>
      </w:r>
      <w:proofErr w:type="spellStart"/>
      <w:r w:rsidRPr="00162437">
        <w:rPr>
          <w:szCs w:val="20"/>
          <w:lang w:val="cs-CZ"/>
        </w:rPr>
        <w:t>Úř</w:t>
      </w:r>
      <w:proofErr w:type="spellEnd"/>
      <w:r w:rsidRPr="00162437">
        <w:rPr>
          <w:szCs w:val="20"/>
          <w:lang w:val="cs-CZ"/>
        </w:rPr>
        <w:t xml:space="preserve">. </w:t>
      </w:r>
      <w:proofErr w:type="spellStart"/>
      <w:r w:rsidRPr="00162437">
        <w:rPr>
          <w:szCs w:val="20"/>
          <w:lang w:val="cs-CZ"/>
        </w:rPr>
        <w:t>věst</w:t>
      </w:r>
      <w:proofErr w:type="spellEnd"/>
      <w:r w:rsidRPr="00162437">
        <w:rPr>
          <w:szCs w:val="20"/>
          <w:lang w:val="cs-CZ"/>
        </w:rPr>
        <w:t>.</w:t>
      </w:r>
      <w:r w:rsidR="0037704B">
        <w:rPr>
          <w:szCs w:val="20"/>
          <w:lang w:val="cs-CZ"/>
        </w:rPr>
        <w:t xml:space="preserve"> </w:t>
      </w:r>
      <w:r w:rsidRPr="00162437">
        <w:rPr>
          <w:szCs w:val="20"/>
          <w:lang w:val="cs-CZ"/>
        </w:rPr>
        <w:t>C 112, bod 14.</w:t>
      </w:r>
    </w:p>
    <w:p w14:paraId="574734BA" w14:textId="77777777" w:rsidR="0005747C" w:rsidRPr="00162437" w:rsidRDefault="0005747C" w:rsidP="0005747C">
      <w:pPr>
        <w:pStyle w:val="ListParagraph"/>
        <w:ind w:left="284"/>
        <w:rPr>
          <w:lang w:val="cs-CZ"/>
        </w:rPr>
      </w:pPr>
    </w:p>
    <w:p w14:paraId="65C87CC7" w14:textId="77777777" w:rsidR="00BC47F4" w:rsidRPr="00162437" w:rsidRDefault="00BC47F4" w:rsidP="0014224C">
      <w:pPr>
        <w:pStyle w:val="Title"/>
        <w:rPr>
          <w:lang w:val="cs-CZ"/>
        </w:rPr>
        <w:sectPr w:rsidR="00BC47F4" w:rsidRPr="00162437" w:rsidSect="005D49F0">
          <w:pgSz w:w="11900" w:h="16840"/>
          <w:pgMar w:top="1418" w:right="1134" w:bottom="1418" w:left="1701" w:header="709" w:footer="709" w:gutter="0"/>
          <w:cols w:space="708"/>
          <w:docGrid w:linePitch="360"/>
        </w:sectPr>
      </w:pPr>
    </w:p>
    <w:p w14:paraId="4C728149" w14:textId="77777777" w:rsidR="001E717C" w:rsidRDefault="001E717C" w:rsidP="001E717C">
      <w:pPr>
        <w:pStyle w:val="Title"/>
        <w:rPr>
          <w:lang w:val="cs-CZ"/>
        </w:rPr>
      </w:pPr>
      <w:r>
        <w:rPr>
          <w:lang w:val="cs-CZ"/>
        </w:rPr>
        <w:lastRenderedPageBreak/>
        <w:t xml:space="preserve">Abstrakt a klíčová slova </w:t>
      </w:r>
    </w:p>
    <w:p w14:paraId="11D033CD" w14:textId="7B6E2472" w:rsidR="002E489A" w:rsidRPr="002E489A" w:rsidRDefault="002E489A" w:rsidP="00D311C5">
      <w:pPr>
        <w:pStyle w:val="Heading2"/>
        <w:rPr>
          <w:lang w:val="cs-CZ"/>
        </w:rPr>
      </w:pPr>
      <w:r w:rsidRPr="002E489A">
        <w:rPr>
          <w:lang w:val="cs-CZ"/>
        </w:rPr>
        <w:t>Název</w:t>
      </w:r>
    </w:p>
    <w:p w14:paraId="7B5FF3C5" w14:textId="4B791709" w:rsidR="002E489A" w:rsidRPr="002E489A" w:rsidRDefault="002E489A" w:rsidP="002E489A">
      <w:pPr>
        <w:rPr>
          <w:lang w:val="cs-CZ"/>
        </w:rPr>
      </w:pPr>
      <w:r w:rsidRPr="002E489A">
        <w:rPr>
          <w:lang w:val="cs-CZ"/>
        </w:rPr>
        <w:t xml:space="preserve">Zadávání nadlimitních veřejných zakázek v unijním a českém právu. </w:t>
      </w:r>
    </w:p>
    <w:p w14:paraId="5A5E2AEA" w14:textId="77777777" w:rsidR="002E489A" w:rsidRPr="002E489A" w:rsidRDefault="002E489A" w:rsidP="002E489A">
      <w:pPr>
        <w:rPr>
          <w:lang w:val="cs-CZ"/>
        </w:rPr>
      </w:pPr>
    </w:p>
    <w:p w14:paraId="69A13370" w14:textId="4245F535" w:rsidR="002E489A" w:rsidRPr="002E489A" w:rsidRDefault="002E489A" w:rsidP="00D311C5">
      <w:pPr>
        <w:pStyle w:val="Heading2"/>
        <w:rPr>
          <w:lang w:val="cs-CZ"/>
        </w:rPr>
      </w:pPr>
      <w:r w:rsidRPr="002E489A">
        <w:rPr>
          <w:lang w:val="cs-CZ"/>
        </w:rPr>
        <w:t>A</w:t>
      </w:r>
      <w:r>
        <w:rPr>
          <w:lang w:val="cs-CZ"/>
        </w:rPr>
        <w:t>bstrak</w:t>
      </w:r>
      <w:r w:rsidRPr="002E489A">
        <w:rPr>
          <w:lang w:val="cs-CZ"/>
        </w:rPr>
        <w:t>t</w:t>
      </w:r>
    </w:p>
    <w:p w14:paraId="683F471F" w14:textId="5182EB8B" w:rsidR="002E489A" w:rsidRPr="002E489A" w:rsidRDefault="002E489A" w:rsidP="002E489A">
      <w:pPr>
        <w:rPr>
          <w:lang w:val="cs-CZ"/>
        </w:rPr>
      </w:pPr>
      <w:r>
        <w:rPr>
          <w:lang w:val="cs-CZ"/>
        </w:rPr>
        <w:t xml:space="preserve">Předmětem diplomové práce je </w:t>
      </w:r>
      <w:r w:rsidR="00590FCF">
        <w:rPr>
          <w:lang w:val="cs-CZ"/>
        </w:rPr>
        <w:t>nalezení rozdílu mezi právní úpravou</w:t>
      </w:r>
      <w:r w:rsidR="00886A9A">
        <w:rPr>
          <w:lang w:val="cs-CZ"/>
        </w:rPr>
        <w:t xml:space="preserve"> </w:t>
      </w:r>
      <w:r w:rsidRPr="001E717C">
        <w:rPr>
          <w:lang w:val="cs-CZ"/>
        </w:rPr>
        <w:t>Směrnice Evropského parlamentu a Rady 2014/24/EU ze dne 26. února 2014 o zadávání veřejných zakázek a zrušení směrnice 2004/18/ES</w:t>
      </w:r>
      <w:r w:rsidR="00886A9A">
        <w:rPr>
          <w:lang w:val="cs-CZ"/>
        </w:rPr>
        <w:t xml:space="preserve"> a zákona </w:t>
      </w:r>
      <w:r w:rsidR="000B7254">
        <w:rPr>
          <w:lang w:val="cs-CZ"/>
        </w:rPr>
        <w:t xml:space="preserve">č. 134/2016 Sb., </w:t>
      </w:r>
      <w:r w:rsidR="00886A9A">
        <w:rPr>
          <w:lang w:val="cs-CZ"/>
        </w:rPr>
        <w:t xml:space="preserve">o zadávání veřejných zakázek, zejména </w:t>
      </w:r>
      <w:r w:rsidR="00FE2633">
        <w:rPr>
          <w:lang w:val="cs-CZ"/>
        </w:rPr>
        <w:t>se zaměřením</w:t>
      </w:r>
      <w:r w:rsidR="00886A9A">
        <w:rPr>
          <w:lang w:val="cs-CZ"/>
        </w:rPr>
        <w:t xml:space="preserve"> na jejich rozdíly </w:t>
      </w:r>
      <w:r w:rsidR="00FE2633">
        <w:rPr>
          <w:lang w:val="cs-CZ"/>
        </w:rPr>
        <w:t xml:space="preserve">právních úprav, </w:t>
      </w:r>
      <w:r w:rsidR="00886A9A">
        <w:rPr>
          <w:lang w:val="cs-CZ"/>
        </w:rPr>
        <w:t xml:space="preserve">a to v rámci nadlimitních veřejných zakázek při otevřeném druhu zadávacího řízení. </w:t>
      </w:r>
      <w:r w:rsidR="00590FCF">
        <w:rPr>
          <w:lang w:val="cs-CZ"/>
        </w:rPr>
        <w:t>Ú</w:t>
      </w:r>
      <w:r w:rsidR="00FE2633">
        <w:rPr>
          <w:lang w:val="cs-CZ"/>
        </w:rPr>
        <w:t xml:space="preserve">vodní kapitoly práce jsou zaměřeny obecně na druhy zadávacího řízení, další kapitola se naopak věnuje jen a pouze jednotlivým krokům zadávacího řízení otevřeným způsobem zadávání. Práce se taktéž zabývá nejčastějšími problémy zadavatelů v rámci zadávání veřejných zakázek a v neposlední řadě i benevolencí obou právních úprav. </w:t>
      </w:r>
    </w:p>
    <w:p w14:paraId="3BE34384" w14:textId="77777777" w:rsidR="002E489A" w:rsidRPr="002E489A" w:rsidRDefault="002E489A" w:rsidP="002E489A">
      <w:pPr>
        <w:rPr>
          <w:lang w:val="cs-CZ"/>
        </w:rPr>
      </w:pPr>
    </w:p>
    <w:p w14:paraId="18A1EF0E" w14:textId="175CA63C" w:rsidR="002E489A" w:rsidRPr="002E489A" w:rsidRDefault="002E489A" w:rsidP="00D311C5">
      <w:pPr>
        <w:pStyle w:val="Heading2"/>
        <w:rPr>
          <w:lang w:val="cs-CZ"/>
        </w:rPr>
      </w:pPr>
      <w:r w:rsidRPr="002E489A">
        <w:rPr>
          <w:lang w:val="cs-CZ"/>
        </w:rPr>
        <w:t xml:space="preserve">Klíčová slova </w:t>
      </w:r>
    </w:p>
    <w:p w14:paraId="3335DF42" w14:textId="01E77BE0" w:rsidR="00B861F4" w:rsidRPr="00B861F4" w:rsidRDefault="00B861F4" w:rsidP="001E717C">
      <w:pPr>
        <w:rPr>
          <w:lang w:val="cs-CZ"/>
        </w:rPr>
      </w:pPr>
      <w:r w:rsidRPr="00B861F4">
        <w:rPr>
          <w:lang w:val="cs-CZ"/>
        </w:rPr>
        <w:t xml:space="preserve">Veřejná zakázka, </w:t>
      </w:r>
      <w:r>
        <w:rPr>
          <w:lang w:val="cs-CZ"/>
        </w:rPr>
        <w:t>zadávání veřejných zakázek, nadlimitní veřejné zakázky, otevřené říz</w:t>
      </w:r>
      <w:r w:rsidR="00EE3844">
        <w:rPr>
          <w:lang w:val="cs-CZ"/>
        </w:rPr>
        <w:t>ení, unijní právo, české právo,</w:t>
      </w:r>
    </w:p>
    <w:p w14:paraId="34C2A2EC" w14:textId="77777777" w:rsidR="00B861F4" w:rsidRPr="00B861F4" w:rsidRDefault="00B861F4" w:rsidP="00B861F4">
      <w:pPr>
        <w:rPr>
          <w:lang w:val="cs-CZ"/>
        </w:rPr>
      </w:pPr>
    </w:p>
    <w:p w14:paraId="29F0F733" w14:textId="77777777" w:rsidR="00B861F4" w:rsidRPr="00B861F4" w:rsidRDefault="00B861F4" w:rsidP="00B861F4">
      <w:pPr>
        <w:rPr>
          <w:lang w:val="cs-CZ"/>
        </w:rPr>
      </w:pPr>
    </w:p>
    <w:p w14:paraId="1C483399" w14:textId="77777777" w:rsidR="00B861F4" w:rsidRPr="00B861F4" w:rsidRDefault="00B861F4" w:rsidP="00B861F4">
      <w:pPr>
        <w:rPr>
          <w:lang w:val="cs-CZ"/>
        </w:rPr>
      </w:pPr>
    </w:p>
    <w:p w14:paraId="4FF10A91" w14:textId="77777777" w:rsidR="001E717C" w:rsidRDefault="001E717C" w:rsidP="001E717C">
      <w:pPr>
        <w:spacing w:before="100" w:beforeAutospacing="1" w:after="100" w:afterAutospacing="1" w:line="240" w:lineRule="auto"/>
        <w:jc w:val="left"/>
        <w:rPr>
          <w:rFonts w:cs="Arial"/>
          <w:b/>
          <w:bCs/>
          <w:sz w:val="32"/>
          <w:szCs w:val="32"/>
        </w:rPr>
        <w:sectPr w:rsidR="001E717C" w:rsidSect="005D49F0">
          <w:pgSz w:w="11900" w:h="16840"/>
          <w:pgMar w:top="1418" w:right="1134" w:bottom="1418" w:left="1701" w:header="709" w:footer="709" w:gutter="0"/>
          <w:cols w:space="708"/>
          <w:docGrid w:linePitch="360"/>
        </w:sectPr>
      </w:pPr>
    </w:p>
    <w:p w14:paraId="5A539B4C" w14:textId="54799BBC" w:rsidR="00BF796B" w:rsidRPr="00BF796B" w:rsidRDefault="001E717C" w:rsidP="00BF796B">
      <w:pPr>
        <w:spacing w:before="100" w:beforeAutospacing="1" w:after="100" w:afterAutospacing="1"/>
        <w:jc w:val="left"/>
        <w:rPr>
          <w:rFonts w:cs="Arial"/>
          <w:b/>
          <w:bCs/>
          <w:sz w:val="32"/>
          <w:szCs w:val="32"/>
        </w:rPr>
      </w:pPr>
      <w:r w:rsidRPr="001E717C">
        <w:rPr>
          <w:rFonts w:cs="Arial"/>
          <w:b/>
          <w:bCs/>
          <w:sz w:val="32"/>
          <w:szCs w:val="32"/>
        </w:rPr>
        <w:lastRenderedPageBreak/>
        <w:t xml:space="preserve">Abstract and key words </w:t>
      </w:r>
    </w:p>
    <w:p w14:paraId="10DCBB76" w14:textId="258A6B22" w:rsidR="002E489A" w:rsidRDefault="002E489A" w:rsidP="00D311C5">
      <w:pPr>
        <w:pStyle w:val="Heading2"/>
      </w:pPr>
      <w:r>
        <w:t xml:space="preserve">Title </w:t>
      </w:r>
    </w:p>
    <w:p w14:paraId="4A3CB23F" w14:textId="22168762" w:rsidR="002E489A" w:rsidRDefault="002E489A" w:rsidP="000D2933">
      <w:r w:rsidRPr="002E489A">
        <w:t>Over-limit public procurement in EU and Czech law</w:t>
      </w:r>
    </w:p>
    <w:p w14:paraId="158EEBE3" w14:textId="77777777" w:rsidR="002E489A" w:rsidRDefault="002E489A" w:rsidP="000D2933"/>
    <w:p w14:paraId="26FC2481" w14:textId="7FB6463D" w:rsidR="002E489A" w:rsidRDefault="002E489A" w:rsidP="00D311C5">
      <w:pPr>
        <w:pStyle w:val="Heading2"/>
      </w:pPr>
      <w:r>
        <w:t>Abstract</w:t>
      </w:r>
    </w:p>
    <w:p w14:paraId="75ABC93A" w14:textId="12FFA813" w:rsidR="00BF796B" w:rsidRDefault="00FE2633" w:rsidP="000D2933">
      <w:r w:rsidRPr="00FE2633">
        <w:t xml:space="preserve">The subject of this </w:t>
      </w:r>
      <w:r w:rsidR="00F10619">
        <w:t>these</w:t>
      </w:r>
      <w:r w:rsidRPr="00FE2633">
        <w:t xml:space="preserve">s is the examination of the </w:t>
      </w:r>
      <w:r w:rsidR="000B7254">
        <w:t>legislation Directive 2014/24/</w:t>
      </w:r>
      <w:r w:rsidRPr="00FE2633">
        <w:t>EU of the European Parliament and of the Council of 26</w:t>
      </w:r>
      <w:r w:rsidR="00F10619" w:rsidRPr="00F10619">
        <w:rPr>
          <w:vertAlign w:val="superscript"/>
        </w:rPr>
        <w:t>th</w:t>
      </w:r>
      <w:r w:rsidR="00F10619">
        <w:t xml:space="preserve"> of</w:t>
      </w:r>
      <w:r w:rsidRPr="00FE2633">
        <w:t xml:space="preserve"> February 2014 on </w:t>
      </w:r>
      <w:r w:rsidR="00F10619">
        <w:t xml:space="preserve">the </w:t>
      </w:r>
      <w:r w:rsidRPr="00FE2633">
        <w:t>Public Procurement a</w:t>
      </w:r>
      <w:r w:rsidR="000B7254">
        <w:t xml:space="preserve">nd repealing </w:t>
      </w:r>
      <w:r w:rsidR="00F10619">
        <w:t xml:space="preserve">the </w:t>
      </w:r>
      <w:r w:rsidR="000B7254">
        <w:t>Directive 2004/18/</w:t>
      </w:r>
      <w:r w:rsidRPr="00FE2633">
        <w:t>EC</w:t>
      </w:r>
      <w:r w:rsidR="000B7254">
        <w:t xml:space="preserve"> and the Public Procurement Act</w:t>
      </w:r>
      <w:r w:rsidRPr="00FE2633">
        <w:t xml:space="preserve">, in the framework of above-the-threshold public contracts in the open type of tendering procedure. The introductory chapters of the thesis are generally focused on the types of procurement procedure, while the next chapter is devoted only to individual steps of the </w:t>
      </w:r>
      <w:r w:rsidR="00F10619">
        <w:t xml:space="preserve">open </w:t>
      </w:r>
      <w:r w:rsidRPr="00FE2633">
        <w:t>p</w:t>
      </w:r>
      <w:r w:rsidR="00F10619">
        <w:t xml:space="preserve">rocurement procedure. </w:t>
      </w:r>
      <w:r w:rsidRPr="00FE2633">
        <w:t xml:space="preserve">The work also deals with the most frequent problems of contracting authorities in the framework of </w:t>
      </w:r>
      <w:r w:rsidR="00F10619">
        <w:t xml:space="preserve">the </w:t>
      </w:r>
      <w:r w:rsidRPr="00FE2633">
        <w:t>public procurement</w:t>
      </w:r>
      <w:r w:rsidR="00F10619">
        <w:t>,</w:t>
      </w:r>
      <w:r w:rsidRPr="00FE2633">
        <w:t xml:space="preserve"> and last but not least</w:t>
      </w:r>
      <w:r w:rsidR="00F10619">
        <w:t>,</w:t>
      </w:r>
      <w:r w:rsidRPr="00FE2633">
        <w:t xml:space="preserve"> with the benevolence of both legal regulations.</w:t>
      </w:r>
    </w:p>
    <w:p w14:paraId="5199E3A2" w14:textId="77777777" w:rsidR="00FE2633" w:rsidRDefault="00FE2633" w:rsidP="000D2933"/>
    <w:p w14:paraId="0EB17C30" w14:textId="1CA382AE" w:rsidR="002E489A" w:rsidRDefault="002E489A" w:rsidP="00D311C5">
      <w:pPr>
        <w:pStyle w:val="Heading2"/>
      </w:pPr>
      <w:r>
        <w:t>Key words</w:t>
      </w:r>
    </w:p>
    <w:p w14:paraId="17BEA302" w14:textId="4CE7BF99" w:rsidR="00FE2633" w:rsidRDefault="00FE2633" w:rsidP="000D2933">
      <w:r>
        <w:t xml:space="preserve">Public contract, public procurement, over-limit public contract, open procedure, EU law, Czech law. </w:t>
      </w:r>
    </w:p>
    <w:p w14:paraId="3711A862" w14:textId="71AE1C98" w:rsidR="000D2933" w:rsidRPr="000D2933" w:rsidRDefault="000D2933" w:rsidP="000D2933"/>
    <w:sectPr w:rsidR="000D2933" w:rsidRPr="000D2933" w:rsidSect="005D49F0">
      <w:pgSz w:w="11900" w:h="16840"/>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B64BA8" w14:textId="77777777" w:rsidR="001A492B" w:rsidRDefault="001A492B" w:rsidP="008D7234">
      <w:pPr>
        <w:spacing w:line="240" w:lineRule="auto"/>
      </w:pPr>
      <w:r>
        <w:separator/>
      </w:r>
    </w:p>
  </w:endnote>
  <w:endnote w:type="continuationSeparator" w:id="0">
    <w:p w14:paraId="60F2B541" w14:textId="77777777" w:rsidR="001A492B" w:rsidRDefault="001A492B" w:rsidP="008D72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Lucida Grande CE">
    <w:panose1 w:val="020B0600040502020204"/>
    <w:charset w:val="58"/>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43DC89" w14:textId="77777777" w:rsidR="001A492B" w:rsidRDefault="001A492B" w:rsidP="009767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5F04B1" w14:textId="77777777" w:rsidR="001A492B" w:rsidRDefault="001A492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B9703" w14:textId="77777777" w:rsidR="001A492B" w:rsidRDefault="001A492B" w:rsidP="009767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C3EBE">
      <w:rPr>
        <w:rStyle w:val="PageNumber"/>
        <w:noProof/>
      </w:rPr>
      <w:t>52</w:t>
    </w:r>
    <w:r>
      <w:rPr>
        <w:rStyle w:val="PageNumber"/>
      </w:rPr>
      <w:fldChar w:fldCharType="end"/>
    </w:r>
  </w:p>
  <w:p w14:paraId="675F04E4" w14:textId="77777777" w:rsidR="001A492B" w:rsidRDefault="001A492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258C48" w14:textId="77777777" w:rsidR="001A492B" w:rsidRDefault="001A492B" w:rsidP="008D7234">
      <w:pPr>
        <w:spacing w:line="240" w:lineRule="auto"/>
      </w:pPr>
      <w:r>
        <w:separator/>
      </w:r>
    </w:p>
  </w:footnote>
  <w:footnote w:type="continuationSeparator" w:id="0">
    <w:p w14:paraId="242B1BCB" w14:textId="77777777" w:rsidR="001A492B" w:rsidRDefault="001A492B" w:rsidP="008D7234">
      <w:pPr>
        <w:spacing w:line="240" w:lineRule="auto"/>
      </w:pPr>
      <w:r>
        <w:continuationSeparator/>
      </w:r>
    </w:p>
  </w:footnote>
  <w:footnote w:id="1">
    <w:p w14:paraId="7BCBC206" w14:textId="3AC1DAD2" w:rsidR="001A492B" w:rsidRPr="009B0071" w:rsidRDefault="001A492B" w:rsidP="00BA5441">
      <w:pPr>
        <w:pStyle w:val="NoSpacing"/>
        <w:jc w:val="both"/>
      </w:pPr>
      <w:r>
        <w:rPr>
          <w:rStyle w:val="FootnoteReference"/>
        </w:rPr>
        <w:footnoteRef/>
      </w:r>
      <w:r>
        <w:t xml:space="preserve">BUGAN, Anna. </w:t>
      </w:r>
      <w:r w:rsidRPr="009B0071">
        <w:rPr>
          <w:i/>
        </w:rPr>
        <w:t>Férové zadávání veřejných zakázek příručka pro veřejné zadavatele</w:t>
      </w:r>
      <w:r>
        <w:rPr>
          <w:i/>
        </w:rPr>
        <w:t xml:space="preserve">. </w:t>
      </w:r>
      <w:r w:rsidRPr="009B0071">
        <w:t>Praha</w:t>
      </w:r>
      <w:r>
        <w:t xml:space="preserve">: </w:t>
      </w:r>
      <w:proofErr w:type="spellStart"/>
      <w:r>
        <w:t>Transparency</w:t>
      </w:r>
      <w:proofErr w:type="spellEnd"/>
      <w:r>
        <w:t xml:space="preserve"> International – Česká republika, </w:t>
      </w:r>
      <w:r w:rsidRPr="009B0071">
        <w:t>2019</w:t>
      </w:r>
      <w:r>
        <w:t xml:space="preserve">. s. 2. </w:t>
      </w:r>
    </w:p>
  </w:footnote>
  <w:footnote w:id="2">
    <w:p w14:paraId="3A024B1A" w14:textId="1DDA7EC9" w:rsidR="001A492B" w:rsidRPr="00BA5441" w:rsidRDefault="001A492B" w:rsidP="00BA5441">
      <w:pPr>
        <w:pStyle w:val="NoSpacing"/>
        <w:jc w:val="both"/>
      </w:pPr>
      <w:r>
        <w:rPr>
          <w:rStyle w:val="FootnoteReference"/>
        </w:rPr>
        <w:footnoteRef/>
      </w:r>
      <w:proofErr w:type="spellStart"/>
      <w:r>
        <w:t>European</w:t>
      </w:r>
      <w:proofErr w:type="spellEnd"/>
      <w:r>
        <w:t xml:space="preserve"> </w:t>
      </w:r>
      <w:proofErr w:type="spellStart"/>
      <w:r>
        <w:t>Commission</w:t>
      </w:r>
      <w:proofErr w:type="spellEnd"/>
      <w:r>
        <w:t xml:space="preserve">. </w:t>
      </w:r>
      <w:proofErr w:type="spellStart"/>
      <w:r w:rsidRPr="00BA5441">
        <w:rPr>
          <w:i/>
        </w:rPr>
        <w:t>C</w:t>
      </w:r>
      <w:r>
        <w:rPr>
          <w:i/>
        </w:rPr>
        <w:t>ommunication</w:t>
      </w:r>
      <w:proofErr w:type="spellEnd"/>
      <w:r>
        <w:rPr>
          <w:i/>
        </w:rPr>
        <w:t xml:space="preserve"> </w:t>
      </w:r>
      <w:proofErr w:type="spellStart"/>
      <w:r>
        <w:rPr>
          <w:i/>
        </w:rPr>
        <w:t>from</w:t>
      </w:r>
      <w:proofErr w:type="spellEnd"/>
      <w:r>
        <w:rPr>
          <w:i/>
        </w:rPr>
        <w:t xml:space="preserve"> </w:t>
      </w:r>
      <w:proofErr w:type="spellStart"/>
      <w:r>
        <w:rPr>
          <w:i/>
        </w:rPr>
        <w:t>the</w:t>
      </w:r>
      <w:proofErr w:type="spellEnd"/>
      <w:r>
        <w:rPr>
          <w:i/>
        </w:rPr>
        <w:t xml:space="preserve"> </w:t>
      </w:r>
      <w:proofErr w:type="spellStart"/>
      <w:r>
        <w:rPr>
          <w:i/>
        </w:rPr>
        <w:t>commission</w:t>
      </w:r>
      <w:proofErr w:type="spellEnd"/>
      <w:r>
        <w:rPr>
          <w:i/>
        </w:rPr>
        <w:t xml:space="preserve"> to </w:t>
      </w:r>
      <w:proofErr w:type="spellStart"/>
      <w:r>
        <w:rPr>
          <w:i/>
        </w:rPr>
        <w:t>the</w:t>
      </w:r>
      <w:proofErr w:type="spellEnd"/>
      <w:r>
        <w:rPr>
          <w:i/>
        </w:rPr>
        <w:t xml:space="preserve"> </w:t>
      </w:r>
      <w:proofErr w:type="spellStart"/>
      <w:r>
        <w:rPr>
          <w:i/>
        </w:rPr>
        <w:t>european</w:t>
      </w:r>
      <w:proofErr w:type="spellEnd"/>
      <w:r>
        <w:rPr>
          <w:i/>
        </w:rPr>
        <w:t xml:space="preserve"> parlament, </w:t>
      </w:r>
      <w:proofErr w:type="spellStart"/>
      <w:r>
        <w:rPr>
          <w:i/>
        </w:rPr>
        <w:t>the</w:t>
      </w:r>
      <w:proofErr w:type="spellEnd"/>
      <w:r>
        <w:rPr>
          <w:i/>
        </w:rPr>
        <w:t xml:space="preserve"> </w:t>
      </w:r>
      <w:proofErr w:type="spellStart"/>
      <w:r>
        <w:rPr>
          <w:i/>
        </w:rPr>
        <w:t>council</w:t>
      </w:r>
      <w:proofErr w:type="spellEnd"/>
      <w:r>
        <w:rPr>
          <w:i/>
        </w:rPr>
        <w:t xml:space="preserve">, </w:t>
      </w:r>
      <w:proofErr w:type="spellStart"/>
      <w:r>
        <w:rPr>
          <w:i/>
        </w:rPr>
        <w:t>the</w:t>
      </w:r>
      <w:proofErr w:type="spellEnd"/>
      <w:r>
        <w:rPr>
          <w:i/>
        </w:rPr>
        <w:t xml:space="preserve"> </w:t>
      </w:r>
      <w:proofErr w:type="spellStart"/>
      <w:r>
        <w:rPr>
          <w:i/>
        </w:rPr>
        <w:t>european</w:t>
      </w:r>
      <w:proofErr w:type="spellEnd"/>
      <w:r>
        <w:rPr>
          <w:i/>
        </w:rPr>
        <w:t xml:space="preserve"> </w:t>
      </w:r>
      <w:proofErr w:type="spellStart"/>
      <w:r>
        <w:rPr>
          <w:i/>
        </w:rPr>
        <w:t>economic</w:t>
      </w:r>
      <w:proofErr w:type="spellEnd"/>
      <w:r>
        <w:rPr>
          <w:i/>
        </w:rPr>
        <w:t xml:space="preserve"> and </w:t>
      </w:r>
      <w:proofErr w:type="spellStart"/>
      <w:r>
        <w:rPr>
          <w:i/>
        </w:rPr>
        <w:t>social</w:t>
      </w:r>
      <w:proofErr w:type="spellEnd"/>
      <w:r>
        <w:rPr>
          <w:i/>
        </w:rPr>
        <w:t xml:space="preserve"> </w:t>
      </w:r>
      <w:proofErr w:type="spellStart"/>
      <w:r>
        <w:rPr>
          <w:i/>
        </w:rPr>
        <w:t>committee</w:t>
      </w:r>
      <w:proofErr w:type="spellEnd"/>
      <w:r>
        <w:rPr>
          <w:i/>
        </w:rPr>
        <w:t xml:space="preserve"> and </w:t>
      </w:r>
      <w:proofErr w:type="spellStart"/>
      <w:r>
        <w:rPr>
          <w:i/>
        </w:rPr>
        <w:t>the</w:t>
      </w:r>
      <w:proofErr w:type="spellEnd"/>
      <w:r>
        <w:rPr>
          <w:i/>
        </w:rPr>
        <w:t xml:space="preserve"> </w:t>
      </w:r>
      <w:proofErr w:type="spellStart"/>
      <w:r>
        <w:rPr>
          <w:i/>
        </w:rPr>
        <w:t>committee</w:t>
      </w:r>
      <w:proofErr w:type="spellEnd"/>
      <w:r>
        <w:rPr>
          <w:i/>
        </w:rPr>
        <w:t xml:space="preserve"> </w:t>
      </w:r>
      <w:proofErr w:type="spellStart"/>
      <w:r>
        <w:rPr>
          <w:i/>
        </w:rPr>
        <w:t>of</w:t>
      </w:r>
      <w:proofErr w:type="spellEnd"/>
      <w:r>
        <w:rPr>
          <w:i/>
        </w:rPr>
        <w:t xml:space="preserve"> </w:t>
      </w:r>
      <w:proofErr w:type="spellStart"/>
      <w:r>
        <w:rPr>
          <w:i/>
        </w:rPr>
        <w:t>the</w:t>
      </w:r>
      <w:proofErr w:type="spellEnd"/>
      <w:r>
        <w:rPr>
          <w:i/>
        </w:rPr>
        <w:t xml:space="preserve"> </w:t>
      </w:r>
      <w:proofErr w:type="spellStart"/>
      <w:r>
        <w:rPr>
          <w:i/>
        </w:rPr>
        <w:t>regions</w:t>
      </w:r>
      <w:proofErr w:type="spellEnd"/>
      <w:r>
        <w:rPr>
          <w:i/>
        </w:rPr>
        <w:t xml:space="preserve"> </w:t>
      </w:r>
      <w:r w:rsidRPr="0092527F">
        <w:t>[online</w:t>
      </w:r>
      <w:r>
        <w:t>]</w:t>
      </w:r>
      <w:r>
        <w:rPr>
          <w:i/>
        </w:rPr>
        <w:t xml:space="preserve">. </w:t>
      </w:r>
      <w:r>
        <w:t>ec.europa.eu, 3. 10. 2017 [cit. 24. 2. 2020]. Dostupné na &lt;</w:t>
      </w:r>
      <w:r w:rsidRPr="00245DD6">
        <w:t xml:space="preserve"> https://ec.europa.eu/docsroom/documents/25612</w:t>
      </w:r>
      <w:r>
        <w:t>&gt;.</w:t>
      </w:r>
    </w:p>
  </w:footnote>
  <w:footnote w:id="3">
    <w:p w14:paraId="3FF1C703" w14:textId="3C3BFCB5" w:rsidR="001A492B" w:rsidRPr="00BC193E" w:rsidRDefault="001A492B" w:rsidP="00BA5441">
      <w:pPr>
        <w:pStyle w:val="NoSpacing"/>
        <w:jc w:val="both"/>
      </w:pPr>
      <w:r>
        <w:rPr>
          <w:rStyle w:val="FootnoteReference"/>
        </w:rPr>
        <w:footnoteRef/>
      </w:r>
      <w:r>
        <w:t xml:space="preserve">Tamtéž. </w:t>
      </w:r>
    </w:p>
  </w:footnote>
  <w:footnote w:id="4">
    <w:p w14:paraId="2FA2187C" w14:textId="329263C3" w:rsidR="001A492B" w:rsidRPr="00AE3332" w:rsidRDefault="001A492B" w:rsidP="00BA5441">
      <w:pPr>
        <w:pStyle w:val="NoSpacing"/>
        <w:jc w:val="both"/>
      </w:pPr>
      <w:r>
        <w:rPr>
          <w:rStyle w:val="FootnoteReference"/>
        </w:rPr>
        <w:footnoteRef/>
      </w:r>
      <w:r>
        <w:t xml:space="preserve">Bod 1 a 2 preambule směrnice Evropského parlamentu a Rady 2014/24/EU ze dne 26. února 2014 o zadávání veřejných zakázek a zrušení směrnice 2004/18/ES. </w:t>
      </w:r>
      <w:proofErr w:type="spellStart"/>
      <w:r>
        <w:t>Úř</w:t>
      </w:r>
      <w:proofErr w:type="spellEnd"/>
      <w:r>
        <w:t xml:space="preserve">. </w:t>
      </w:r>
      <w:proofErr w:type="spellStart"/>
      <w:r>
        <w:t>věst</w:t>
      </w:r>
      <w:proofErr w:type="spellEnd"/>
      <w:r>
        <w:t xml:space="preserve">. L 94, 28. 3. 2014, s. 65. </w:t>
      </w:r>
    </w:p>
  </w:footnote>
  <w:footnote w:id="5">
    <w:p w14:paraId="1477A557" w14:textId="1F7BE687" w:rsidR="001A492B" w:rsidRPr="00D927CC" w:rsidRDefault="001A492B" w:rsidP="00C942E5">
      <w:pPr>
        <w:pStyle w:val="NoSpacing"/>
      </w:pPr>
      <w:r>
        <w:rPr>
          <w:rStyle w:val="FootnoteReference"/>
        </w:rPr>
        <w:footnoteRef/>
      </w:r>
      <w:r>
        <w:t xml:space="preserve">HILL, Karen. </w:t>
      </w:r>
      <w:proofErr w:type="spellStart"/>
      <w:r w:rsidRPr="00670B92">
        <w:rPr>
          <w:i/>
        </w:rPr>
        <w:t>Detecting</w:t>
      </w:r>
      <w:proofErr w:type="spellEnd"/>
      <w:r w:rsidRPr="00670B92">
        <w:rPr>
          <w:i/>
        </w:rPr>
        <w:t xml:space="preserve"> and </w:t>
      </w:r>
      <w:proofErr w:type="spellStart"/>
      <w:r w:rsidRPr="00670B92">
        <w:rPr>
          <w:i/>
        </w:rPr>
        <w:t>Correcting</w:t>
      </w:r>
      <w:proofErr w:type="spellEnd"/>
      <w:r w:rsidRPr="00670B92">
        <w:rPr>
          <w:i/>
        </w:rPr>
        <w:t xml:space="preserve"> </w:t>
      </w:r>
      <w:proofErr w:type="spellStart"/>
      <w:r w:rsidRPr="00670B92">
        <w:rPr>
          <w:i/>
        </w:rPr>
        <w:t>Common</w:t>
      </w:r>
      <w:proofErr w:type="spellEnd"/>
      <w:r w:rsidRPr="00670B92">
        <w:rPr>
          <w:i/>
        </w:rPr>
        <w:t xml:space="preserve"> </w:t>
      </w:r>
      <w:proofErr w:type="spellStart"/>
      <w:r w:rsidRPr="00670B92">
        <w:rPr>
          <w:i/>
        </w:rPr>
        <w:t>Errors</w:t>
      </w:r>
      <w:proofErr w:type="spellEnd"/>
      <w:r w:rsidRPr="00670B92">
        <w:rPr>
          <w:i/>
        </w:rPr>
        <w:t xml:space="preserve"> in Public </w:t>
      </w:r>
      <w:proofErr w:type="spellStart"/>
      <w:r w:rsidRPr="00670B92">
        <w:rPr>
          <w:i/>
        </w:rPr>
        <w:t>Procurement</w:t>
      </w:r>
      <w:proofErr w:type="spellEnd"/>
      <w:r w:rsidRPr="00670B92">
        <w:t xml:space="preserve"> </w:t>
      </w:r>
      <w:r>
        <w:t xml:space="preserve">[online]. sigmaweb.org, </w:t>
      </w:r>
      <w:proofErr w:type="spellStart"/>
      <w:r>
        <w:t>September</w:t>
      </w:r>
      <w:proofErr w:type="spellEnd"/>
      <w:r>
        <w:t xml:space="preserve"> 2016 [cit. 22.2. 2020]. Dostupné na &lt;</w:t>
      </w:r>
      <w:r w:rsidRPr="00D927CC">
        <w:t>http://www.sigmaweb.org/publications/Public-Procurement-Policy-Brief-29-200117.pdf</w:t>
      </w:r>
      <w:r>
        <w:t>&gt;.</w:t>
      </w:r>
    </w:p>
  </w:footnote>
  <w:footnote w:id="6">
    <w:p w14:paraId="49027CF4" w14:textId="1C95BB79" w:rsidR="001A492B" w:rsidRPr="008E7825" w:rsidRDefault="001A492B" w:rsidP="008E7825">
      <w:pPr>
        <w:pStyle w:val="NoSpacing"/>
      </w:pPr>
      <w:r>
        <w:rPr>
          <w:rStyle w:val="FootnoteReference"/>
        </w:rPr>
        <w:footnoteRef/>
      </w:r>
      <w:r>
        <w:t xml:space="preserve">SIGMA </w:t>
      </w:r>
      <w:proofErr w:type="spellStart"/>
      <w:r>
        <w:t>Creating</w:t>
      </w:r>
      <w:proofErr w:type="spellEnd"/>
      <w:r>
        <w:t xml:space="preserve"> </w:t>
      </w:r>
      <w:proofErr w:type="spellStart"/>
      <w:r>
        <w:t>Change</w:t>
      </w:r>
      <w:proofErr w:type="spellEnd"/>
      <w:r>
        <w:t xml:space="preserve"> </w:t>
      </w:r>
      <w:proofErr w:type="spellStart"/>
      <w:r>
        <w:t>Together</w:t>
      </w:r>
      <w:proofErr w:type="spellEnd"/>
      <w:r>
        <w:t xml:space="preserve">. </w:t>
      </w:r>
      <w:r w:rsidRPr="00670B92">
        <w:rPr>
          <w:i/>
        </w:rPr>
        <w:t xml:space="preserve">SIGMA </w:t>
      </w:r>
      <w:proofErr w:type="spellStart"/>
      <w:r w:rsidRPr="00670B92">
        <w:rPr>
          <w:i/>
        </w:rPr>
        <w:t>at</w:t>
      </w:r>
      <w:proofErr w:type="spellEnd"/>
      <w:r w:rsidRPr="00670B92">
        <w:rPr>
          <w:i/>
        </w:rPr>
        <w:t xml:space="preserve"> a glance</w:t>
      </w:r>
      <w:r>
        <w:t xml:space="preserve"> [online]. sigmaweb.org [cit. 24. 2. 2020]. Dostupné na &lt;</w:t>
      </w:r>
      <w:r w:rsidRPr="008E7825">
        <w:t>http://www.sigmaweb.org/about/</w:t>
      </w:r>
      <w:r>
        <w:t>&gt;.</w:t>
      </w:r>
    </w:p>
  </w:footnote>
  <w:footnote w:id="7">
    <w:p w14:paraId="0C547461" w14:textId="3745C28F" w:rsidR="001A492B" w:rsidRPr="00720BD8" w:rsidRDefault="001A492B" w:rsidP="00720BD8">
      <w:pPr>
        <w:pStyle w:val="NoSpacing"/>
      </w:pPr>
      <w:r>
        <w:rPr>
          <w:rStyle w:val="FootnoteReference"/>
        </w:rPr>
        <w:footnoteRef/>
      </w:r>
      <w:proofErr w:type="spellStart"/>
      <w:r>
        <w:t>European</w:t>
      </w:r>
      <w:proofErr w:type="spellEnd"/>
      <w:r>
        <w:t xml:space="preserve"> </w:t>
      </w:r>
      <w:proofErr w:type="spellStart"/>
      <w:r>
        <w:t>Commission</w:t>
      </w:r>
      <w:proofErr w:type="spellEnd"/>
      <w:r>
        <w:t xml:space="preserve">. </w:t>
      </w:r>
      <w:r w:rsidRPr="007B0602">
        <w:rPr>
          <w:i/>
        </w:rPr>
        <w:t xml:space="preserve">Public </w:t>
      </w:r>
      <w:proofErr w:type="spellStart"/>
      <w:r w:rsidRPr="007B0602">
        <w:rPr>
          <w:i/>
        </w:rPr>
        <w:t>Procurement</w:t>
      </w:r>
      <w:proofErr w:type="spellEnd"/>
      <w:r>
        <w:rPr>
          <w:i/>
        </w:rPr>
        <w:t xml:space="preserve"> </w:t>
      </w:r>
      <w:r>
        <w:t>[online]. ec.europa.eu [cit. dne 28. 9. 2019]. Dostupné na &lt;</w:t>
      </w:r>
      <w:r w:rsidRPr="00A8373F">
        <w:t>https://ec.europa.eu/growth/single-market/public-procurement_en</w:t>
      </w:r>
      <w:r>
        <w:t>&gt;.</w:t>
      </w:r>
    </w:p>
  </w:footnote>
  <w:footnote w:id="8">
    <w:p w14:paraId="2504B3BE" w14:textId="4E40FBE2" w:rsidR="001A492B" w:rsidRPr="00A8373F" w:rsidRDefault="001A492B" w:rsidP="007B0602">
      <w:pPr>
        <w:pStyle w:val="NoSpacing"/>
        <w:jc w:val="both"/>
      </w:pPr>
      <w:r>
        <w:rPr>
          <w:rStyle w:val="FootnoteReference"/>
        </w:rPr>
        <w:footnoteRef/>
      </w:r>
      <w:proofErr w:type="spellStart"/>
      <w:r>
        <w:t>European</w:t>
      </w:r>
      <w:proofErr w:type="spellEnd"/>
      <w:r>
        <w:t xml:space="preserve"> </w:t>
      </w:r>
      <w:proofErr w:type="spellStart"/>
      <w:r>
        <w:t>Commission</w:t>
      </w:r>
      <w:proofErr w:type="spellEnd"/>
      <w:r>
        <w:t xml:space="preserve">. </w:t>
      </w:r>
      <w:r w:rsidRPr="007B0602">
        <w:rPr>
          <w:i/>
        </w:rPr>
        <w:t xml:space="preserve">Public </w:t>
      </w:r>
      <w:proofErr w:type="spellStart"/>
      <w:r w:rsidRPr="007B0602">
        <w:rPr>
          <w:i/>
        </w:rPr>
        <w:t>Procurement</w:t>
      </w:r>
      <w:proofErr w:type="spellEnd"/>
      <w:r>
        <w:t>. ec.europa.eu [cit. dne 28. 9. 2019]. Dostupné na &lt;</w:t>
      </w:r>
      <w:r w:rsidRPr="00A8373F">
        <w:t>https://ec.europa.eu/growth/single-market/public-procurement_en</w:t>
      </w:r>
      <w:r>
        <w:t>&gt;.</w:t>
      </w:r>
    </w:p>
  </w:footnote>
  <w:footnote w:id="9">
    <w:p w14:paraId="5D7AEBD7" w14:textId="2E0BFA80" w:rsidR="001A492B" w:rsidRPr="00AB2E16" w:rsidRDefault="001A492B" w:rsidP="007B0602">
      <w:pPr>
        <w:pStyle w:val="NoSpacing"/>
        <w:jc w:val="both"/>
      </w:pPr>
      <w:r>
        <w:rPr>
          <w:rStyle w:val="FootnoteReference"/>
        </w:rPr>
        <w:footnoteRef/>
      </w:r>
      <w:r w:rsidRPr="00AB2E16">
        <w:t>Čl</w:t>
      </w:r>
      <w:r>
        <w:t xml:space="preserve">. 2 odst. 5 směrnice Evropského parlamentu a Rady 2014/24/EU ze dne 26. února 2014 o zadávání veřejných zakázek a zrušení směrnice 2004/18/ES. </w:t>
      </w:r>
      <w:proofErr w:type="spellStart"/>
      <w:r>
        <w:t>Úř</w:t>
      </w:r>
      <w:proofErr w:type="spellEnd"/>
      <w:r>
        <w:t xml:space="preserve">. </w:t>
      </w:r>
      <w:proofErr w:type="spellStart"/>
      <w:r>
        <w:t>věst</w:t>
      </w:r>
      <w:proofErr w:type="spellEnd"/>
      <w:r>
        <w:t>. L 94, 28. 3. 2014, s. 97.</w:t>
      </w:r>
    </w:p>
  </w:footnote>
  <w:footnote w:id="10">
    <w:p w14:paraId="57AB81A8" w14:textId="57903014" w:rsidR="001A492B" w:rsidRPr="00111FEB" w:rsidRDefault="001A492B" w:rsidP="007B0602">
      <w:pPr>
        <w:pStyle w:val="NoSpacing"/>
        <w:jc w:val="both"/>
      </w:pPr>
      <w:r>
        <w:rPr>
          <w:rStyle w:val="FootnoteReference"/>
        </w:rPr>
        <w:footnoteRef/>
      </w:r>
      <w:r>
        <w:t xml:space="preserve">DVOŘÁK, David. </w:t>
      </w:r>
      <w:r w:rsidRPr="00750E03">
        <w:rPr>
          <w:i/>
        </w:rPr>
        <w:t>Zákon o zadávání veřejných zakázek: komentář</w:t>
      </w:r>
      <w:r>
        <w:rPr>
          <w:i/>
        </w:rPr>
        <w:t>.</w:t>
      </w:r>
      <w:r>
        <w:t xml:space="preserve"> Praha: C. H. Beck, 2017, s. 14-</w:t>
      </w:r>
      <w:r w:rsidRPr="00111FEB">
        <w:t>18</w:t>
      </w:r>
      <w:r>
        <w:t>.</w:t>
      </w:r>
    </w:p>
  </w:footnote>
  <w:footnote w:id="11">
    <w:p w14:paraId="5F77F9AA" w14:textId="18A56C72" w:rsidR="001A492B" w:rsidRPr="00B51F1F" w:rsidRDefault="001A492B" w:rsidP="00B51F1F">
      <w:pPr>
        <w:pStyle w:val="NoSpacing"/>
      </w:pPr>
      <w:r>
        <w:rPr>
          <w:rStyle w:val="FootnoteReference"/>
        </w:rPr>
        <w:footnoteRef/>
      </w:r>
      <w:r>
        <w:t>§ 7</w:t>
      </w:r>
      <w:r w:rsidRPr="00B51F1F">
        <w:t xml:space="preserve"> zákona č. 134/2016 Sb., o zadávání veřejných zakázek (ve znění pozdějších předpisů).</w:t>
      </w:r>
    </w:p>
  </w:footnote>
  <w:footnote w:id="12">
    <w:p w14:paraId="2471D262" w14:textId="7AAD35A9" w:rsidR="001A492B" w:rsidRPr="00961E4F" w:rsidRDefault="001A492B" w:rsidP="00D80CE1">
      <w:pPr>
        <w:pStyle w:val="NoSpacing"/>
      </w:pPr>
      <w:r>
        <w:rPr>
          <w:rStyle w:val="FootnoteReference"/>
        </w:rPr>
        <w:footnoteRef/>
      </w:r>
      <w:r>
        <w:t xml:space="preserve">PODEŠVA, Vilém a kolektiv. </w:t>
      </w:r>
      <w:r w:rsidRPr="002A3904">
        <w:rPr>
          <w:i/>
        </w:rPr>
        <w:t>Zákon o zadávání veřejných zakázek. Zákon o registru smluv.- Komentář.</w:t>
      </w:r>
      <w:r>
        <w:t xml:space="preserve"> Praha: </w:t>
      </w:r>
      <w:proofErr w:type="spellStart"/>
      <w:r>
        <w:t>Wolters</w:t>
      </w:r>
      <w:proofErr w:type="spellEnd"/>
      <w:r>
        <w:t xml:space="preserve"> </w:t>
      </w:r>
      <w:proofErr w:type="spellStart"/>
      <w:r>
        <w:t>Kluwer</w:t>
      </w:r>
      <w:proofErr w:type="spellEnd"/>
      <w:r>
        <w:t xml:space="preserve"> ČR, 2016, s. 11. </w:t>
      </w:r>
    </w:p>
  </w:footnote>
  <w:footnote w:id="13">
    <w:p w14:paraId="5F34A8C7" w14:textId="5BB5E10F" w:rsidR="001A492B" w:rsidRPr="00B23052" w:rsidRDefault="001A492B" w:rsidP="00B23052">
      <w:pPr>
        <w:pStyle w:val="NoSpacing"/>
      </w:pPr>
      <w:r>
        <w:rPr>
          <w:rStyle w:val="FootnoteReference"/>
        </w:rPr>
        <w:footnoteRef/>
      </w:r>
      <w:r>
        <w:t xml:space="preserve">Čl. 5 Směrnice Evropského parlamentu a Rady 2014/24/EU ze dne 26. února 2014 o zadávání veřejných zakázek a zrušení směrnice 2004/18/ES. </w:t>
      </w:r>
      <w:proofErr w:type="spellStart"/>
      <w:r>
        <w:t>Úř</w:t>
      </w:r>
      <w:proofErr w:type="spellEnd"/>
      <w:r>
        <w:t xml:space="preserve">. </w:t>
      </w:r>
      <w:proofErr w:type="spellStart"/>
      <w:r>
        <w:t>věst</w:t>
      </w:r>
      <w:proofErr w:type="spellEnd"/>
      <w:r>
        <w:t>. L 94, 28. 3. 2014, s. 99.</w:t>
      </w:r>
    </w:p>
  </w:footnote>
  <w:footnote w:id="14">
    <w:p w14:paraId="6134D2BC" w14:textId="6B87E8B8" w:rsidR="001A492B" w:rsidRPr="00E21939" w:rsidRDefault="001A492B" w:rsidP="00CE1111">
      <w:pPr>
        <w:pStyle w:val="NoSpacing"/>
      </w:pPr>
      <w:r>
        <w:rPr>
          <w:rStyle w:val="FootnoteReference"/>
        </w:rPr>
        <w:footnoteRef/>
      </w:r>
      <w:r>
        <w:t xml:space="preserve">HERMAN, Pavel a kolektiv. </w:t>
      </w:r>
      <w:r w:rsidRPr="00750E03">
        <w:rPr>
          <w:i/>
        </w:rPr>
        <w:t>Komentář k zákonu o zadávání veřejných zakázek</w:t>
      </w:r>
      <w:r>
        <w:t>. 2. aktualizované vydání. Plzeň</w:t>
      </w:r>
      <w:r w:rsidRPr="003D0904">
        <w:t xml:space="preserve">: Vydavatelství a nakladatelství Aleš Čeněk, s.r.o., </w:t>
      </w:r>
      <w:r w:rsidRPr="00AD0AA4">
        <w:t>2017, s. 14.</w:t>
      </w:r>
      <w:r>
        <w:t xml:space="preserve"> </w:t>
      </w:r>
    </w:p>
  </w:footnote>
  <w:footnote w:id="15">
    <w:p w14:paraId="10102B0E" w14:textId="57F7C6BD" w:rsidR="001A492B" w:rsidRPr="00B13850" w:rsidRDefault="001A492B" w:rsidP="00447A26">
      <w:pPr>
        <w:pStyle w:val="NoSpacing"/>
      </w:pPr>
      <w:r>
        <w:rPr>
          <w:rStyle w:val="FootnoteReference"/>
        </w:rPr>
        <w:footnoteRef/>
      </w:r>
      <w:r w:rsidRPr="00B13850">
        <w:t xml:space="preserve">DVOŘÁK, David. </w:t>
      </w:r>
      <w:r w:rsidRPr="0092527F">
        <w:rPr>
          <w:i/>
        </w:rPr>
        <w:t>Zákon o zadávání veřejných zakázek: komentář.</w:t>
      </w:r>
      <w:r w:rsidRPr="00B13850">
        <w:t xml:space="preserve"> Praha: C. H. Beck, 2017, s. 14-18</w:t>
      </w:r>
      <w:r>
        <w:t>.</w:t>
      </w:r>
    </w:p>
  </w:footnote>
  <w:footnote w:id="16">
    <w:p w14:paraId="7A73B282" w14:textId="1D3E1514" w:rsidR="001A492B" w:rsidRPr="00B51F1F" w:rsidRDefault="001A492B" w:rsidP="00B51F1F">
      <w:pPr>
        <w:pStyle w:val="NoSpacing"/>
      </w:pPr>
      <w:r>
        <w:rPr>
          <w:rStyle w:val="FootnoteReference"/>
        </w:rPr>
        <w:footnoteRef/>
      </w:r>
      <w:r>
        <w:t xml:space="preserve">Čl. 2 Směrnice Evropského parlamentu a Rady 2014/24/EU ze dne 26. února 2014 o zadávání veřejných zakázek a zrušení směrnice 2004/18/ES. </w:t>
      </w:r>
      <w:proofErr w:type="spellStart"/>
      <w:r>
        <w:t>Úř</w:t>
      </w:r>
      <w:proofErr w:type="spellEnd"/>
      <w:r>
        <w:t xml:space="preserve">. </w:t>
      </w:r>
      <w:proofErr w:type="spellStart"/>
      <w:r>
        <w:t>věst</w:t>
      </w:r>
      <w:proofErr w:type="spellEnd"/>
      <w:r>
        <w:t>. L 94, 28. 3. 2014, s. 96-97.</w:t>
      </w:r>
    </w:p>
  </w:footnote>
  <w:footnote w:id="17">
    <w:p w14:paraId="67364DCC" w14:textId="71BB5490" w:rsidR="001A492B" w:rsidRPr="00B51F1F" w:rsidRDefault="001A492B" w:rsidP="00B51F1F">
      <w:pPr>
        <w:pStyle w:val="NoSpacing"/>
      </w:pPr>
      <w:r>
        <w:rPr>
          <w:rStyle w:val="FootnoteReference"/>
        </w:rPr>
        <w:footnoteRef/>
      </w:r>
      <w:r>
        <w:t xml:space="preserve">§ 4 zákona č. 134/2016 Sb., o zadávání veřejných zakázek. </w:t>
      </w:r>
    </w:p>
  </w:footnote>
  <w:footnote w:id="18">
    <w:p w14:paraId="0C5FE2D8" w14:textId="3AA81046" w:rsidR="001A492B" w:rsidRPr="00237C03" w:rsidRDefault="001A492B" w:rsidP="00237C03">
      <w:pPr>
        <w:pStyle w:val="NoSpacing"/>
      </w:pPr>
      <w:r>
        <w:rPr>
          <w:rStyle w:val="FootnoteReference"/>
        </w:rPr>
        <w:footnoteRef/>
      </w:r>
      <w:r>
        <w:t>§ 5 zákona č. 134/2016 Sb., o zadávání veřejných zakázek.</w:t>
      </w:r>
    </w:p>
  </w:footnote>
  <w:footnote w:id="19">
    <w:p w14:paraId="64650A21" w14:textId="5C851FED" w:rsidR="001A492B" w:rsidRPr="00B23052" w:rsidRDefault="001A492B" w:rsidP="005B3AC7">
      <w:pPr>
        <w:pStyle w:val="NoSpacing"/>
      </w:pPr>
      <w:r>
        <w:rPr>
          <w:rStyle w:val="FootnoteReference"/>
        </w:rPr>
        <w:footnoteRef/>
      </w:r>
      <w:r>
        <w:t xml:space="preserve">Čl. 2 odst. 5 Směrnice Evropského parlamentu a Rady 2014/24/EU ze dne 26. února 2014 o zadávání veřejných zakázek a zrušení směrnice 2004/18/ES. </w:t>
      </w:r>
      <w:proofErr w:type="spellStart"/>
      <w:r>
        <w:t>Úř</w:t>
      </w:r>
      <w:proofErr w:type="spellEnd"/>
      <w:r>
        <w:t xml:space="preserve">. </w:t>
      </w:r>
      <w:proofErr w:type="spellStart"/>
      <w:r>
        <w:t>věst</w:t>
      </w:r>
      <w:proofErr w:type="spellEnd"/>
      <w:r>
        <w:t>. L 94, 28. 3. 2014, s. 97.</w:t>
      </w:r>
    </w:p>
    <w:p w14:paraId="14A29668" w14:textId="4DF86700" w:rsidR="001A492B" w:rsidRPr="005B3AC7" w:rsidRDefault="001A492B" w:rsidP="005B3AC7">
      <w:pPr>
        <w:pStyle w:val="NoSpacing"/>
      </w:pPr>
    </w:p>
  </w:footnote>
  <w:footnote w:id="20">
    <w:p w14:paraId="172EB62F" w14:textId="26EA28B6" w:rsidR="001A492B" w:rsidRPr="00750E03" w:rsidRDefault="001A492B" w:rsidP="000E4D8B">
      <w:pPr>
        <w:pStyle w:val="NoSpacing"/>
      </w:pPr>
      <w:r>
        <w:rPr>
          <w:rStyle w:val="FootnoteReference"/>
        </w:rPr>
        <w:footnoteRef/>
      </w:r>
      <w:r>
        <w:t xml:space="preserve">DVOŘÁK, David. </w:t>
      </w:r>
      <w:r w:rsidRPr="00750E03">
        <w:rPr>
          <w:i/>
        </w:rPr>
        <w:t>Zákon o zadávání veřejných zakázek: komentář</w:t>
      </w:r>
      <w:r>
        <w:rPr>
          <w:i/>
        </w:rPr>
        <w:t>.</w:t>
      </w:r>
      <w:r>
        <w:t xml:space="preserve"> Praha: C. H. Beck, 2017, s. 20.</w:t>
      </w:r>
    </w:p>
  </w:footnote>
  <w:footnote w:id="21">
    <w:p w14:paraId="33080458" w14:textId="7EA6E592" w:rsidR="001A492B" w:rsidRPr="004C3FFA" w:rsidRDefault="001A492B" w:rsidP="00336B29">
      <w:pPr>
        <w:pStyle w:val="NoSpacing"/>
      </w:pPr>
      <w:r>
        <w:rPr>
          <w:rStyle w:val="FootnoteReference"/>
        </w:rPr>
        <w:footnoteRef/>
      </w:r>
      <w:r>
        <w:t xml:space="preserve">BALÝOVÁ, Lucie. </w:t>
      </w:r>
      <w:r w:rsidRPr="00FF0EF2">
        <w:rPr>
          <w:i/>
        </w:rPr>
        <w:t>Veřejné zakázky</w:t>
      </w:r>
      <w:r>
        <w:t xml:space="preserve">. Praha: Beck, 2015. </w:t>
      </w:r>
      <w:r w:rsidRPr="00F77BB8">
        <w:t>s.</w:t>
      </w:r>
      <w:r>
        <w:t xml:space="preserve"> 24.</w:t>
      </w:r>
    </w:p>
  </w:footnote>
  <w:footnote w:id="22">
    <w:p w14:paraId="559B8287" w14:textId="30EBA8C2" w:rsidR="001A492B" w:rsidRPr="004C3FFA" w:rsidRDefault="001A492B" w:rsidP="00336B29">
      <w:pPr>
        <w:pStyle w:val="NoSpacing"/>
      </w:pPr>
      <w:r>
        <w:rPr>
          <w:rStyle w:val="FootnoteReference"/>
        </w:rPr>
        <w:footnoteRef/>
      </w:r>
      <w:r>
        <w:t xml:space="preserve">Čl. 4 odst. 4 Směrnice Evropského parlamentu a Rady 2014/24/EU ze dne 26. února 2014 o zadávání veřejných zakázek a zrušení směrnice 2004/18/ES. </w:t>
      </w:r>
      <w:proofErr w:type="spellStart"/>
      <w:r>
        <w:t>Úř</w:t>
      </w:r>
      <w:proofErr w:type="spellEnd"/>
      <w:r>
        <w:t xml:space="preserve">. </w:t>
      </w:r>
      <w:proofErr w:type="spellStart"/>
      <w:r>
        <w:t>věst</w:t>
      </w:r>
      <w:proofErr w:type="spellEnd"/>
      <w:r>
        <w:t>. L 94, 28. 3. 2014, s. 99.</w:t>
      </w:r>
    </w:p>
  </w:footnote>
  <w:footnote w:id="23">
    <w:p w14:paraId="38E12B0B" w14:textId="4D4CA75F" w:rsidR="001A492B" w:rsidRPr="00E65F83" w:rsidRDefault="001A492B" w:rsidP="00E65F83">
      <w:pPr>
        <w:pStyle w:val="NoSpacing"/>
      </w:pPr>
      <w:r>
        <w:rPr>
          <w:rStyle w:val="FootnoteReference"/>
        </w:rPr>
        <w:footnoteRef/>
      </w:r>
      <w:r>
        <w:t xml:space="preserve">Čl. 5 odst. 1 Směrnice Evropského parlamentu a Rady 2014/24/EU ze dne 26. února 2014 o zadávání veřejných zakázek a zrušení směrnice 2004/18/ES. </w:t>
      </w:r>
      <w:proofErr w:type="spellStart"/>
      <w:r>
        <w:t>Úř</w:t>
      </w:r>
      <w:proofErr w:type="spellEnd"/>
      <w:r>
        <w:t xml:space="preserve">. </w:t>
      </w:r>
      <w:proofErr w:type="spellStart"/>
      <w:r>
        <w:t>věst</w:t>
      </w:r>
      <w:proofErr w:type="spellEnd"/>
      <w:r>
        <w:t>. L 94, 28. 3. 2014, s. 99.</w:t>
      </w:r>
    </w:p>
  </w:footnote>
  <w:footnote w:id="24">
    <w:p w14:paraId="4530CB91" w14:textId="10BDD211" w:rsidR="001A492B" w:rsidRPr="004C3FFA" w:rsidRDefault="001A492B" w:rsidP="004C3FFA">
      <w:pPr>
        <w:pStyle w:val="NoSpacing"/>
      </w:pPr>
      <w:r>
        <w:rPr>
          <w:rStyle w:val="FootnoteReference"/>
        </w:rPr>
        <w:footnoteRef/>
      </w:r>
      <w:r>
        <w:t xml:space="preserve">Čl. 5 odst. 2 Směrnice Evropského parlamentu a Rady 2014/24/EU ze dne 26. února 2014 o zadávání veřejných zakázek a zrušení směrnice 2004/18/ES. </w:t>
      </w:r>
      <w:proofErr w:type="spellStart"/>
      <w:r>
        <w:t>Úř</w:t>
      </w:r>
      <w:proofErr w:type="spellEnd"/>
      <w:r>
        <w:t xml:space="preserve">. </w:t>
      </w:r>
      <w:proofErr w:type="spellStart"/>
      <w:r>
        <w:t>věst</w:t>
      </w:r>
      <w:proofErr w:type="spellEnd"/>
      <w:r>
        <w:t>. L 94, 28. 3. 2014, s. 99.</w:t>
      </w:r>
    </w:p>
  </w:footnote>
  <w:footnote w:id="25">
    <w:p w14:paraId="5C469DB9" w14:textId="5D308587" w:rsidR="001A492B" w:rsidRPr="00FD60EA" w:rsidRDefault="001A492B" w:rsidP="00E23033">
      <w:pPr>
        <w:pStyle w:val="NoSpacing"/>
      </w:pPr>
      <w:r>
        <w:rPr>
          <w:rStyle w:val="FootnoteReference"/>
        </w:rPr>
        <w:footnoteRef/>
      </w:r>
      <w:r>
        <w:t xml:space="preserve">Čl. 5 odst. 7 Směrnice Evropského parlamentu a Rady 2014/24/EU ze dne 26. února 2014 o zadávání veřejných zakázek a zrušení směrnice 2004/18/ES. </w:t>
      </w:r>
      <w:proofErr w:type="spellStart"/>
      <w:r>
        <w:t>Úř</w:t>
      </w:r>
      <w:proofErr w:type="spellEnd"/>
      <w:r>
        <w:t xml:space="preserve">. </w:t>
      </w:r>
      <w:proofErr w:type="spellStart"/>
      <w:r>
        <w:t>věst</w:t>
      </w:r>
      <w:proofErr w:type="spellEnd"/>
      <w:r>
        <w:t>. L 94, 28. 3. 2014, s. 99.</w:t>
      </w:r>
    </w:p>
  </w:footnote>
  <w:footnote w:id="26">
    <w:p w14:paraId="56902093" w14:textId="297F8474" w:rsidR="001A492B" w:rsidRPr="00E50328" w:rsidRDefault="001A492B" w:rsidP="00E50328">
      <w:pPr>
        <w:pStyle w:val="NoSpacing"/>
      </w:pPr>
      <w:r>
        <w:rPr>
          <w:rStyle w:val="FootnoteReference"/>
        </w:rPr>
        <w:footnoteRef/>
      </w:r>
      <w:r>
        <w:t xml:space="preserve">Rozsudek ze dne 18. 1. 2007, </w:t>
      </w:r>
      <w:r w:rsidRPr="00072FB5">
        <w:rPr>
          <w:i/>
        </w:rPr>
        <w:t xml:space="preserve">Jean </w:t>
      </w:r>
      <w:proofErr w:type="spellStart"/>
      <w:r w:rsidRPr="00072FB5">
        <w:rPr>
          <w:i/>
        </w:rPr>
        <w:t>Auroux</w:t>
      </w:r>
      <w:proofErr w:type="spellEnd"/>
      <w:r w:rsidRPr="00072FB5">
        <w:rPr>
          <w:i/>
        </w:rPr>
        <w:t xml:space="preserve"> and </w:t>
      </w:r>
      <w:proofErr w:type="spellStart"/>
      <w:r w:rsidRPr="00072FB5">
        <w:rPr>
          <w:i/>
        </w:rPr>
        <w:t>Others</w:t>
      </w:r>
      <w:proofErr w:type="spellEnd"/>
      <w:r w:rsidRPr="00072FB5">
        <w:rPr>
          <w:i/>
        </w:rPr>
        <w:t xml:space="preserve"> v </w:t>
      </w:r>
      <w:proofErr w:type="spellStart"/>
      <w:r w:rsidRPr="00072FB5">
        <w:rPr>
          <w:i/>
        </w:rPr>
        <w:t>Commune</w:t>
      </w:r>
      <w:proofErr w:type="spellEnd"/>
      <w:r w:rsidRPr="00072FB5">
        <w:rPr>
          <w:i/>
        </w:rPr>
        <w:t xml:space="preserve"> de </w:t>
      </w:r>
      <w:proofErr w:type="spellStart"/>
      <w:r w:rsidRPr="00072FB5">
        <w:rPr>
          <w:i/>
        </w:rPr>
        <w:t>Roanne</w:t>
      </w:r>
      <w:proofErr w:type="spellEnd"/>
      <w:r>
        <w:t xml:space="preserve">, C-220/05, Sb. </w:t>
      </w:r>
      <w:proofErr w:type="spellStart"/>
      <w:r>
        <w:t>rozh</w:t>
      </w:r>
      <w:proofErr w:type="spellEnd"/>
      <w:r>
        <w:t xml:space="preserve">. s. I-00385, bod 64. </w:t>
      </w:r>
    </w:p>
  </w:footnote>
  <w:footnote w:id="27">
    <w:p w14:paraId="2BC7A3CD" w14:textId="1C092C03" w:rsidR="001A492B" w:rsidRPr="008F05C0" w:rsidRDefault="001A492B" w:rsidP="00E23033">
      <w:pPr>
        <w:pStyle w:val="NoSpacing"/>
      </w:pPr>
      <w:r>
        <w:rPr>
          <w:rStyle w:val="FootnoteReference"/>
        </w:rPr>
        <w:footnoteRef/>
      </w:r>
      <w:r>
        <w:t xml:space="preserve">Čl. 5 odst. 11 Směrnice Evropského parlamentu a Rady 2014/24/EU ze dne 26. února 2014 o zadávání veřejných zakázek a zrušení směrnice 2004/18/ES. </w:t>
      </w:r>
      <w:proofErr w:type="spellStart"/>
      <w:r>
        <w:t>Úř</w:t>
      </w:r>
      <w:proofErr w:type="spellEnd"/>
      <w:r>
        <w:t xml:space="preserve">. </w:t>
      </w:r>
      <w:proofErr w:type="spellStart"/>
      <w:r>
        <w:t>věst</w:t>
      </w:r>
      <w:proofErr w:type="spellEnd"/>
      <w:r>
        <w:t>. L 94, 28. 3. 2014, s. 100.</w:t>
      </w:r>
    </w:p>
  </w:footnote>
  <w:footnote w:id="28">
    <w:p w14:paraId="77AA25BC" w14:textId="547BE8BC" w:rsidR="001A492B" w:rsidRPr="00E23033" w:rsidRDefault="001A492B" w:rsidP="00E23033">
      <w:pPr>
        <w:pStyle w:val="NoSpacing"/>
      </w:pPr>
      <w:r>
        <w:rPr>
          <w:rStyle w:val="FootnoteReference"/>
        </w:rPr>
        <w:footnoteRef/>
      </w:r>
      <w:r>
        <w:t xml:space="preserve">Čl. 5 odst. 12 - 14 Směrnice Evropského parlamentu a Rady 2014/24/EU ze dne 26. února 2014 o zadávání veřejných zakázek a zrušení směrnice 2004/18/ES. </w:t>
      </w:r>
      <w:proofErr w:type="spellStart"/>
      <w:r>
        <w:t>Úř</w:t>
      </w:r>
      <w:proofErr w:type="spellEnd"/>
      <w:r>
        <w:t xml:space="preserve">. </w:t>
      </w:r>
      <w:proofErr w:type="spellStart"/>
      <w:r>
        <w:t>věst</w:t>
      </w:r>
      <w:proofErr w:type="spellEnd"/>
      <w:r>
        <w:t>. L 94, 28. 3. 2014, s. 100.</w:t>
      </w:r>
    </w:p>
  </w:footnote>
  <w:footnote w:id="29">
    <w:p w14:paraId="7783BA16" w14:textId="309C5EC5" w:rsidR="001A492B" w:rsidRPr="00297C47" w:rsidRDefault="001A492B" w:rsidP="00297C47">
      <w:pPr>
        <w:pStyle w:val="NoSpacing"/>
      </w:pPr>
      <w:r>
        <w:rPr>
          <w:rStyle w:val="FootnoteReference"/>
        </w:rPr>
        <w:footnoteRef/>
      </w:r>
      <w:r>
        <w:t xml:space="preserve">Čl. 5 odst. 5 a 6 Směrnice Evropského parlamentu a Rady 2014/24/EU ze dne 26. února 2014 o zadávání veřejných zakázek a zrušení směrnice 2004/18/ES. </w:t>
      </w:r>
      <w:proofErr w:type="spellStart"/>
      <w:r>
        <w:t>Úř</w:t>
      </w:r>
      <w:proofErr w:type="spellEnd"/>
      <w:r>
        <w:t xml:space="preserve">. </w:t>
      </w:r>
      <w:proofErr w:type="spellStart"/>
      <w:r>
        <w:t>věst</w:t>
      </w:r>
      <w:proofErr w:type="spellEnd"/>
      <w:r>
        <w:t>. L 94, 28. 3. 2014, s. 99.</w:t>
      </w:r>
    </w:p>
  </w:footnote>
  <w:footnote w:id="30">
    <w:p w14:paraId="44BFB2A3" w14:textId="79EC89AC" w:rsidR="001A492B" w:rsidRPr="00682B69" w:rsidRDefault="001A492B" w:rsidP="0064221D">
      <w:pPr>
        <w:pStyle w:val="NoSpacing"/>
      </w:pPr>
      <w:r>
        <w:rPr>
          <w:rStyle w:val="FootnoteReference"/>
        </w:rPr>
        <w:footnoteRef/>
      </w:r>
      <w:r>
        <w:t xml:space="preserve">Čl. 4 směrnice Evropského parlamentu a Rady 2014/24/EU ze dne 26. února 2014 o zadávání veřejných zakázek a zrušení směrnice 2004/18/ES. </w:t>
      </w:r>
      <w:proofErr w:type="spellStart"/>
      <w:r>
        <w:t>Úř</w:t>
      </w:r>
      <w:proofErr w:type="spellEnd"/>
      <w:r>
        <w:t xml:space="preserve">. </w:t>
      </w:r>
      <w:proofErr w:type="spellStart"/>
      <w:r>
        <w:t>věst</w:t>
      </w:r>
      <w:proofErr w:type="spellEnd"/>
      <w:r>
        <w:t>. L 94, 28. 3. 2014, s. 99.</w:t>
      </w:r>
    </w:p>
  </w:footnote>
  <w:footnote w:id="31">
    <w:p w14:paraId="6CFFC82B" w14:textId="026A9116" w:rsidR="001A492B" w:rsidRPr="00011775" w:rsidRDefault="001A492B" w:rsidP="0064221D">
      <w:pPr>
        <w:pStyle w:val="NoSpacing"/>
      </w:pPr>
      <w:r>
        <w:rPr>
          <w:rStyle w:val="FootnoteReference"/>
        </w:rPr>
        <w:footnoteRef/>
      </w:r>
      <w:r>
        <w:t>Rozhodnutí Rady ze d</w:t>
      </w:r>
      <w:r w:rsidRPr="0064221D">
        <w:t xml:space="preserve">ne 2. 12. 2013 o uzavření Protokolu o změně Dohody o </w:t>
      </w:r>
      <w:r>
        <w:t xml:space="preserve">vládních zakázkách 2014/115/EU. </w:t>
      </w:r>
      <w:proofErr w:type="spellStart"/>
      <w:r>
        <w:t>Úř</w:t>
      </w:r>
      <w:proofErr w:type="spellEnd"/>
      <w:r>
        <w:t xml:space="preserve">. </w:t>
      </w:r>
      <w:proofErr w:type="spellStart"/>
      <w:r>
        <w:t>věst</w:t>
      </w:r>
      <w:proofErr w:type="spellEnd"/>
      <w:r>
        <w:t xml:space="preserve">. </w:t>
      </w:r>
      <w:r w:rsidRPr="00011775">
        <w:rPr>
          <w:i/>
          <w:iCs/>
        </w:rPr>
        <w:t>68, 7.3.2014</w:t>
      </w:r>
      <w:r>
        <w:t xml:space="preserve">. </w:t>
      </w:r>
    </w:p>
  </w:footnote>
  <w:footnote w:id="32">
    <w:p w14:paraId="23F950AE" w14:textId="02F44583" w:rsidR="001A492B" w:rsidRPr="00E33415" w:rsidRDefault="001A492B" w:rsidP="002861E3">
      <w:pPr>
        <w:pStyle w:val="NoSpacing"/>
        <w:keepLines/>
        <w:jc w:val="both"/>
      </w:pPr>
      <w:r>
        <w:rPr>
          <w:rStyle w:val="FootnoteReference"/>
        </w:rPr>
        <w:footnoteRef/>
      </w:r>
      <w:r>
        <w:t>„</w:t>
      </w:r>
      <w:r w:rsidRPr="002861E3">
        <w:rPr>
          <w:i/>
        </w:rPr>
        <w:t>Zvláštní práva čerpání (</w:t>
      </w:r>
      <w:proofErr w:type="spellStart"/>
      <w:r w:rsidRPr="002861E3">
        <w:rPr>
          <w:i/>
        </w:rPr>
        <w:t>Special</w:t>
      </w:r>
      <w:proofErr w:type="spellEnd"/>
      <w:r w:rsidRPr="002861E3">
        <w:rPr>
          <w:i/>
        </w:rPr>
        <w:t xml:space="preserve"> </w:t>
      </w:r>
      <w:proofErr w:type="spellStart"/>
      <w:r w:rsidRPr="002861E3">
        <w:rPr>
          <w:i/>
        </w:rPr>
        <w:t>Drawing</w:t>
      </w:r>
      <w:proofErr w:type="spellEnd"/>
      <w:r w:rsidRPr="002861E3">
        <w:rPr>
          <w:i/>
        </w:rPr>
        <w:t xml:space="preserve"> </w:t>
      </w:r>
      <w:proofErr w:type="spellStart"/>
      <w:r w:rsidRPr="002861E3">
        <w:rPr>
          <w:i/>
        </w:rPr>
        <w:t>Rights</w:t>
      </w:r>
      <w:proofErr w:type="spellEnd"/>
      <w:r w:rsidRPr="002861E3">
        <w:rPr>
          <w:i/>
        </w:rPr>
        <w:t>) jsou mezinárodní rezervní měnou k zajištění potřebné výše mezinárodních rezerv, odpovídající aktuální potřebě mezinárodního obchodu.“</w:t>
      </w:r>
      <w:r w:rsidRPr="00E33415">
        <w:t xml:space="preserve"> </w:t>
      </w:r>
      <w:r>
        <w:t xml:space="preserve">Odbor 58 – Mezinárodní vztahy. </w:t>
      </w:r>
      <w:r w:rsidRPr="005A7C0C">
        <w:rPr>
          <w:i/>
        </w:rPr>
        <w:t>IMF - Mezinárodní měnový fond</w:t>
      </w:r>
      <w:r>
        <w:rPr>
          <w:i/>
        </w:rPr>
        <w:t xml:space="preserve"> </w:t>
      </w:r>
      <w:r>
        <w:t>[online]</w:t>
      </w:r>
      <w:r>
        <w:rPr>
          <w:i/>
        </w:rPr>
        <w:t xml:space="preserve">. </w:t>
      </w:r>
      <w:r>
        <w:t xml:space="preserve">mfcr.cz, </w:t>
      </w:r>
      <w:r w:rsidRPr="00E33415">
        <w:t>1</w:t>
      </w:r>
      <w:r>
        <w:t>. 6. 2005 [cit. dne 8. 2. 2020]. Dostupné na &lt;</w:t>
      </w:r>
      <w:r w:rsidRPr="00E33415">
        <w:t>https://www.mfcr.cz/cs/zahranicni-sektor/mezinarodni-spoluprace/mezinarodni-instituce/imf-mezinarodni-menovy-fond-11650</w:t>
      </w:r>
      <w:r>
        <w:t>&gt;.</w:t>
      </w:r>
    </w:p>
  </w:footnote>
  <w:footnote w:id="33">
    <w:p w14:paraId="39BA1A3C" w14:textId="701B774C" w:rsidR="001A492B" w:rsidRPr="00011775" w:rsidRDefault="001A492B" w:rsidP="002861E3">
      <w:pPr>
        <w:pStyle w:val="NoSpacing"/>
        <w:jc w:val="both"/>
      </w:pPr>
      <w:r w:rsidRPr="0064221D">
        <w:rPr>
          <w:rStyle w:val="FootnoteReference"/>
        </w:rPr>
        <w:footnoteRef/>
      </w:r>
      <w:r w:rsidRPr="0064221D">
        <w:t>Čl</w:t>
      </w:r>
      <w:r>
        <w:t xml:space="preserve">. 6 odst. 1, 2 pododstavec </w:t>
      </w:r>
      <w:r w:rsidRPr="0064221D">
        <w:t xml:space="preserve"> </w:t>
      </w:r>
      <w:r>
        <w:t xml:space="preserve">Směrnice Evropského parlamentu a Rady 2014/24/EU ze dne 26. února 2014 o zadávání veřejných zakázek a zrušení směrnice 2004/18/ES. </w:t>
      </w:r>
      <w:proofErr w:type="spellStart"/>
      <w:r>
        <w:t>Úř</w:t>
      </w:r>
      <w:proofErr w:type="spellEnd"/>
      <w:r>
        <w:t xml:space="preserve">. </w:t>
      </w:r>
      <w:proofErr w:type="spellStart"/>
      <w:r>
        <w:t>věst</w:t>
      </w:r>
      <w:proofErr w:type="spellEnd"/>
      <w:r>
        <w:t>. L 94, 28. 3. 2014, s. 100.</w:t>
      </w:r>
    </w:p>
  </w:footnote>
  <w:footnote w:id="34">
    <w:p w14:paraId="0684BB4E" w14:textId="68BC8E1A" w:rsidR="001A492B" w:rsidRPr="0064221D" w:rsidRDefault="001A492B" w:rsidP="002861E3">
      <w:pPr>
        <w:pStyle w:val="NoSpacing"/>
        <w:jc w:val="both"/>
      </w:pPr>
      <w:r w:rsidRPr="0064221D">
        <w:rPr>
          <w:rStyle w:val="FootnoteReference"/>
        </w:rPr>
        <w:footnoteRef/>
      </w:r>
      <w:r>
        <w:t xml:space="preserve">Čl. 6 Směrnice Evropského parlamentu a Rady 2014/24/EU ze dne 26. února 2014 o zadávání veřejných zakázek a zrušení směrnice 2004/18/ES. </w:t>
      </w:r>
      <w:proofErr w:type="spellStart"/>
      <w:r>
        <w:t>Úř</w:t>
      </w:r>
      <w:proofErr w:type="spellEnd"/>
      <w:r>
        <w:t xml:space="preserve">. </w:t>
      </w:r>
      <w:proofErr w:type="spellStart"/>
      <w:r>
        <w:t>věst</w:t>
      </w:r>
      <w:proofErr w:type="spellEnd"/>
      <w:r>
        <w:t>. L 94, 28. 3. 2014, s. 100.</w:t>
      </w:r>
    </w:p>
  </w:footnote>
  <w:footnote w:id="35">
    <w:p w14:paraId="30316FAB" w14:textId="2C4896EC" w:rsidR="001A492B" w:rsidRPr="00D75CE9" w:rsidRDefault="001A492B" w:rsidP="002861E3">
      <w:pPr>
        <w:pStyle w:val="NoSpacing"/>
        <w:jc w:val="both"/>
      </w:pPr>
      <w:r>
        <w:rPr>
          <w:rStyle w:val="FootnoteReference"/>
        </w:rPr>
        <w:footnoteRef/>
      </w:r>
      <w:r>
        <w:rPr>
          <w:szCs w:val="20"/>
        </w:rPr>
        <w:t xml:space="preserve">KRUTÁK, Tomáš. </w:t>
      </w:r>
      <w:r w:rsidRPr="0092527F">
        <w:rPr>
          <w:i/>
        </w:rPr>
        <w:t>Zákon o zadávání veřejných zakázek s komentářem k 1. 10. 2016</w:t>
      </w:r>
      <w:r>
        <w:t xml:space="preserve">. 1. Vydání. Olomouc: ANAG, 2016. </w:t>
      </w:r>
    </w:p>
  </w:footnote>
  <w:footnote w:id="36">
    <w:p w14:paraId="06585CCE" w14:textId="024F9BAA" w:rsidR="001A492B" w:rsidRPr="007767F5" w:rsidRDefault="001A492B" w:rsidP="002861E3">
      <w:pPr>
        <w:pStyle w:val="NoSpacing"/>
        <w:jc w:val="both"/>
      </w:pPr>
      <w:r>
        <w:rPr>
          <w:rStyle w:val="FootnoteReference"/>
        </w:rPr>
        <w:footnoteRef/>
      </w:r>
      <w:r w:rsidRPr="00B13850">
        <w:t xml:space="preserve">DVOŘÁK, David. </w:t>
      </w:r>
      <w:r w:rsidRPr="00B13850">
        <w:rPr>
          <w:i/>
        </w:rPr>
        <w:t>Zákon o zadávání veřejných zakázek: komentář.</w:t>
      </w:r>
      <w:r w:rsidRPr="00B13850">
        <w:t xml:space="preserve"> Praha: C. H. Beck, 2017, </w:t>
      </w:r>
      <w:r>
        <w:t>s. 97 – 136.</w:t>
      </w:r>
    </w:p>
  </w:footnote>
  <w:footnote w:id="37">
    <w:p w14:paraId="6DE46C0B" w14:textId="43136CCC" w:rsidR="001A492B" w:rsidRPr="002E0260" w:rsidRDefault="001A492B" w:rsidP="002E0260">
      <w:pPr>
        <w:pStyle w:val="NoSpacing"/>
      </w:pPr>
      <w:r>
        <w:rPr>
          <w:rStyle w:val="FootnoteReference"/>
        </w:rPr>
        <w:footnoteRef/>
      </w:r>
      <w:r w:rsidRPr="00E20D5F">
        <w:t xml:space="preserve">DVOŘÁK, David. </w:t>
      </w:r>
      <w:r w:rsidRPr="00E20D5F">
        <w:rPr>
          <w:i/>
        </w:rPr>
        <w:t>Zákon o zadávání veřejných zakázek: komentář.</w:t>
      </w:r>
      <w:r w:rsidRPr="00E20D5F">
        <w:t xml:space="preserve"> Praha: C. H. Beck, 2017, </w:t>
      </w:r>
      <w:r>
        <w:t xml:space="preserve">s. 138. </w:t>
      </w:r>
    </w:p>
  </w:footnote>
  <w:footnote w:id="38">
    <w:p w14:paraId="0B791286" w14:textId="5B41B61C" w:rsidR="001A492B" w:rsidRPr="00F2038D" w:rsidRDefault="001A492B" w:rsidP="0094736E">
      <w:pPr>
        <w:pStyle w:val="NoSpacing"/>
      </w:pPr>
      <w:r>
        <w:rPr>
          <w:rStyle w:val="FootnoteReference"/>
        </w:rPr>
        <w:footnoteRef/>
      </w:r>
      <w:r w:rsidRPr="00E20D5F">
        <w:t xml:space="preserve">DVOŘÁK, David. </w:t>
      </w:r>
      <w:r w:rsidRPr="00E20D5F">
        <w:rPr>
          <w:i/>
        </w:rPr>
        <w:t>Zákon o zadávání veřejných zakázek: komentář.</w:t>
      </w:r>
      <w:r w:rsidRPr="00E20D5F">
        <w:t xml:space="preserve"> Praha: C. H. Beck, 2017,</w:t>
      </w:r>
      <w:r>
        <w:t xml:space="preserve"> s. 143.</w:t>
      </w:r>
    </w:p>
  </w:footnote>
  <w:footnote w:id="39">
    <w:p w14:paraId="3B19B06E" w14:textId="7B27F775" w:rsidR="001A492B" w:rsidRPr="00F2038D" w:rsidRDefault="001A492B" w:rsidP="0094736E">
      <w:pPr>
        <w:pStyle w:val="NoSpacing"/>
      </w:pPr>
      <w:r>
        <w:rPr>
          <w:rStyle w:val="FootnoteReference"/>
        </w:rPr>
        <w:footnoteRef/>
      </w:r>
      <w:r w:rsidRPr="00E20D5F">
        <w:t xml:space="preserve">DVOŘÁK, David. </w:t>
      </w:r>
      <w:r w:rsidRPr="00E20D5F">
        <w:rPr>
          <w:i/>
        </w:rPr>
        <w:t>Zákon o zadávání veřejných zakázek: komentář.</w:t>
      </w:r>
      <w:r w:rsidRPr="00E20D5F">
        <w:t xml:space="preserve"> Praha: C. H. Beck, 2017, </w:t>
      </w:r>
      <w:r>
        <w:t>s. 141.</w:t>
      </w:r>
    </w:p>
  </w:footnote>
  <w:footnote w:id="40">
    <w:p w14:paraId="735514C7" w14:textId="44829CB0" w:rsidR="001A492B" w:rsidRPr="0094736E" w:rsidRDefault="001A492B" w:rsidP="0094736E">
      <w:pPr>
        <w:pStyle w:val="NoSpacing"/>
      </w:pPr>
      <w:r>
        <w:rPr>
          <w:rStyle w:val="FootnoteReference"/>
        </w:rPr>
        <w:footnoteRef/>
      </w:r>
      <w:r>
        <w:t xml:space="preserve">§ 25 zákona č. </w:t>
      </w:r>
      <w:r w:rsidRPr="0097001E">
        <w:t>134/2016 Sb., o zadávání veřejných zakázek</w:t>
      </w:r>
      <w:r>
        <w:t xml:space="preserve"> (ve znění pozdějších předpisů).</w:t>
      </w:r>
    </w:p>
  </w:footnote>
  <w:footnote w:id="41">
    <w:p w14:paraId="4333C151" w14:textId="29481B42" w:rsidR="001A492B" w:rsidRPr="00D1741F" w:rsidRDefault="001A492B" w:rsidP="002637A4">
      <w:pPr>
        <w:pStyle w:val="NoSpacing"/>
        <w:jc w:val="both"/>
      </w:pPr>
      <w:r>
        <w:rPr>
          <w:rStyle w:val="FootnoteReference"/>
        </w:rPr>
        <w:footnoteRef/>
      </w:r>
      <w:r>
        <w:t>„</w:t>
      </w:r>
      <w:r w:rsidRPr="00396059">
        <w:rPr>
          <w:i/>
        </w:rPr>
        <w:t>Hospodářským subjektem se rozumí jakákoliv fyzická nebo právnická osoba nebo veřejný subjekt nebo skupina těchto osob nebo subjektů, včetně dočasných sdružení podniků, které na trhu nabízejí provedení stavebních prací nebo stavby, dodání výrobků nebo poskytnutí služeb</w:t>
      </w:r>
      <w:r>
        <w:t xml:space="preserve">.“ Čl. 2 odst. 10 </w:t>
      </w:r>
      <w:r w:rsidRPr="00630514">
        <w:t xml:space="preserve">Směrnice Evropského parlamentu a Rady 2014/24/EU ze dne 26. února 2014 o zadávání veřejných </w:t>
      </w:r>
      <w:r w:rsidRPr="00E20D5F">
        <w:t>zakázek a o zrušení s</w:t>
      </w:r>
      <w:r>
        <w:t xml:space="preserve">měrnice 2004/18/ES. </w:t>
      </w:r>
      <w:proofErr w:type="spellStart"/>
      <w:r>
        <w:t>Úř</w:t>
      </w:r>
      <w:proofErr w:type="spellEnd"/>
      <w:r>
        <w:t xml:space="preserve">. </w:t>
      </w:r>
      <w:proofErr w:type="spellStart"/>
      <w:r>
        <w:t>věst</w:t>
      </w:r>
      <w:proofErr w:type="spellEnd"/>
      <w:r>
        <w:t xml:space="preserve">. L 94, 28. 3. 2014, s. 97. </w:t>
      </w:r>
    </w:p>
  </w:footnote>
  <w:footnote w:id="42">
    <w:p w14:paraId="338C0EA7" w14:textId="42FC8CFD" w:rsidR="001A492B" w:rsidRPr="00E20D5F" w:rsidRDefault="001A492B" w:rsidP="002637A4">
      <w:pPr>
        <w:pStyle w:val="NoSpacing"/>
        <w:jc w:val="both"/>
      </w:pPr>
      <w:r w:rsidRPr="00E20D5F">
        <w:rPr>
          <w:rStyle w:val="FootnoteReference"/>
        </w:rPr>
        <w:footnoteRef/>
      </w:r>
      <w:r>
        <w:t>Č</w:t>
      </w:r>
      <w:r w:rsidRPr="00E20D5F">
        <w:t xml:space="preserve">l. 65 odst. 1 Směrnice 2014/24/EU říká, že: V užším řízení, jednacím řízení, v soutěžním dialogu a inovačním partnerství mohou veřejní zadavatelé omezit počet zájemců splňující kvalifikační kritéria pro výběr, které vyzvou k podání nabídky nebo dialogu, ze předpokladu, že je k dispozici minimální počet kvalifikovaných zájemců v souladu s odst. 2. </w:t>
      </w:r>
    </w:p>
  </w:footnote>
  <w:footnote w:id="43">
    <w:p w14:paraId="1F1AE86C" w14:textId="6DB98C7D" w:rsidR="001A492B" w:rsidRPr="00E20D5F" w:rsidRDefault="001A492B" w:rsidP="002637A4">
      <w:pPr>
        <w:pStyle w:val="NoSpacing"/>
        <w:jc w:val="both"/>
      </w:pPr>
      <w:r w:rsidRPr="00E20D5F">
        <w:rPr>
          <w:rStyle w:val="FootnoteReference"/>
        </w:rPr>
        <w:footnoteRef/>
      </w:r>
      <w:r>
        <w:t xml:space="preserve">Směrnice Evropského parlamentu a Rady 2014/24/EU ze dne 26. února 2014 o zadávání veřejných zakázek a zrušení směrnice 2004/18/ES. </w:t>
      </w:r>
      <w:proofErr w:type="spellStart"/>
      <w:r>
        <w:t>Úř</w:t>
      </w:r>
      <w:proofErr w:type="spellEnd"/>
      <w:r>
        <w:t xml:space="preserve">. </w:t>
      </w:r>
      <w:proofErr w:type="spellStart"/>
      <w:r>
        <w:t>věst</w:t>
      </w:r>
      <w:proofErr w:type="spellEnd"/>
      <w:r>
        <w:t xml:space="preserve">. L 94, 28. 3. 2014, s. 133. </w:t>
      </w:r>
    </w:p>
  </w:footnote>
  <w:footnote w:id="44">
    <w:p w14:paraId="43238243" w14:textId="685D37A7" w:rsidR="001A492B" w:rsidRPr="00471DA7" w:rsidRDefault="001A492B" w:rsidP="00471DA7">
      <w:pPr>
        <w:pStyle w:val="NoSpacing"/>
      </w:pPr>
      <w:r>
        <w:rPr>
          <w:rStyle w:val="FootnoteReference"/>
        </w:rPr>
        <w:footnoteRef/>
      </w:r>
      <w:r>
        <w:t xml:space="preserve">Rozsudek ze dne 11. července 2019, </w:t>
      </w:r>
      <w:proofErr w:type="spellStart"/>
      <w:r w:rsidRPr="00685EBF">
        <w:rPr>
          <w:bCs/>
          <w:i/>
        </w:rPr>
        <w:t>Vitali</w:t>
      </w:r>
      <w:proofErr w:type="spellEnd"/>
      <w:r w:rsidRPr="00685EBF">
        <w:rPr>
          <w:bCs/>
          <w:i/>
        </w:rPr>
        <w:t xml:space="preserve"> </w:t>
      </w:r>
      <w:proofErr w:type="spellStart"/>
      <w:r w:rsidRPr="00685EBF">
        <w:rPr>
          <w:bCs/>
          <w:i/>
        </w:rPr>
        <w:t>Sp</w:t>
      </w:r>
      <w:proofErr w:type="spellEnd"/>
      <w:r w:rsidRPr="00685EBF">
        <w:rPr>
          <w:bCs/>
          <w:i/>
        </w:rPr>
        <w:t xml:space="preserve"> v.</w:t>
      </w:r>
      <w:r>
        <w:rPr>
          <w:bCs/>
          <w:i/>
        </w:rPr>
        <w:t xml:space="preserve"> </w:t>
      </w:r>
      <w:proofErr w:type="spellStart"/>
      <w:r w:rsidRPr="00685EBF">
        <w:rPr>
          <w:bCs/>
          <w:i/>
        </w:rPr>
        <w:t>Autostrade</w:t>
      </w:r>
      <w:proofErr w:type="spellEnd"/>
      <w:r w:rsidRPr="00685EBF">
        <w:rPr>
          <w:bCs/>
          <w:i/>
        </w:rPr>
        <w:t xml:space="preserve"> per </w:t>
      </w:r>
      <w:proofErr w:type="spellStart"/>
      <w:r w:rsidRPr="00685EBF">
        <w:rPr>
          <w:bCs/>
          <w:i/>
        </w:rPr>
        <w:t>l’Italia</w:t>
      </w:r>
      <w:proofErr w:type="spellEnd"/>
      <w:r w:rsidRPr="00685EBF">
        <w:rPr>
          <w:bCs/>
          <w:i/>
        </w:rPr>
        <w:t xml:space="preserve"> </w:t>
      </w:r>
      <w:proofErr w:type="spellStart"/>
      <w:r w:rsidRPr="00685EBF">
        <w:rPr>
          <w:bCs/>
          <w:i/>
        </w:rPr>
        <w:t>SpA</w:t>
      </w:r>
      <w:proofErr w:type="spellEnd"/>
      <w:r w:rsidRPr="00685EBF">
        <w:rPr>
          <w:bCs/>
          <w:i/>
        </w:rPr>
        <w:t>,</w:t>
      </w:r>
      <w:r>
        <w:t xml:space="preserve"> C</w:t>
      </w:r>
      <w:r>
        <w:noBreakHyphen/>
        <w:t xml:space="preserve">697/17, Úřední </w:t>
      </w:r>
      <w:proofErr w:type="spellStart"/>
      <w:r>
        <w:t>věst</w:t>
      </w:r>
      <w:proofErr w:type="spellEnd"/>
      <w:r>
        <w:t xml:space="preserve">. EU C 112, bod 19. </w:t>
      </w:r>
    </w:p>
  </w:footnote>
  <w:footnote w:id="45">
    <w:p w14:paraId="09443C81" w14:textId="4132856C" w:rsidR="001A492B" w:rsidRPr="00E20D5F" w:rsidRDefault="001A492B" w:rsidP="00D22684">
      <w:pPr>
        <w:pStyle w:val="NoSpacing"/>
      </w:pPr>
      <w:r w:rsidRPr="00E20D5F">
        <w:rPr>
          <w:rStyle w:val="FootnoteReference"/>
        </w:rPr>
        <w:footnoteRef/>
      </w:r>
      <w:r w:rsidRPr="00E20D5F">
        <w:t xml:space="preserve">§ 58 odst. 4 druhá věta zákona </w:t>
      </w:r>
      <w:r>
        <w:t xml:space="preserve">č. 134/2016 </w:t>
      </w:r>
      <w:r w:rsidRPr="00E20D5F">
        <w:t>o zadávání veřejných zakázek</w:t>
      </w:r>
      <w:r>
        <w:t xml:space="preserve"> ve znění pozdějších předpisů).</w:t>
      </w:r>
    </w:p>
  </w:footnote>
  <w:footnote w:id="46">
    <w:p w14:paraId="072566BA" w14:textId="5B8FE435" w:rsidR="001A492B" w:rsidRPr="00E20D5F" w:rsidRDefault="001A492B" w:rsidP="00E20D5F">
      <w:pPr>
        <w:pStyle w:val="NoSpacing"/>
      </w:pPr>
      <w:r w:rsidRPr="00E20D5F">
        <w:rPr>
          <w:rStyle w:val="FootnoteReference"/>
        </w:rPr>
        <w:footnoteRef/>
      </w:r>
      <w:r>
        <w:t>Tak je</w:t>
      </w:r>
      <w:r w:rsidRPr="00820688">
        <w:t xml:space="preserve"> tomu u sektorové veřejné zakázky či veřejné zakázky v oblasti obrany nebo bezpečnosti</w:t>
      </w:r>
      <w:r>
        <w:t xml:space="preserve">. § 163 odst. 1 a § 200 Zákona o zadávání veřejných zakázek. </w:t>
      </w:r>
    </w:p>
  </w:footnote>
  <w:footnote w:id="47">
    <w:p w14:paraId="7D6D8704" w14:textId="4A356397" w:rsidR="001A492B" w:rsidRPr="00E20D5F" w:rsidRDefault="001A492B" w:rsidP="00E20D5F">
      <w:pPr>
        <w:pStyle w:val="NoSpacing"/>
      </w:pPr>
      <w:r w:rsidRPr="00E20D5F">
        <w:rPr>
          <w:rStyle w:val="FootnoteReference"/>
        </w:rPr>
        <w:footnoteRef/>
      </w:r>
      <w:r w:rsidRPr="00E20D5F">
        <w:t xml:space="preserve">DVOŘÁK, David. </w:t>
      </w:r>
      <w:r w:rsidRPr="00E20D5F">
        <w:rPr>
          <w:i/>
        </w:rPr>
        <w:t>Zákon o zadávání veřejných zakázek: komentář.</w:t>
      </w:r>
      <w:r w:rsidRPr="00E20D5F">
        <w:t xml:space="preserve"> Praha: C. H. Beck, 2017, s. 362</w:t>
      </w:r>
      <w:r>
        <w:t>.</w:t>
      </w:r>
    </w:p>
  </w:footnote>
  <w:footnote w:id="48">
    <w:p w14:paraId="5A60E258" w14:textId="7D3A6C25" w:rsidR="001A492B" w:rsidRPr="00E20D5F" w:rsidRDefault="001A492B" w:rsidP="00E20D5F">
      <w:pPr>
        <w:pStyle w:val="NoSpacing"/>
      </w:pPr>
      <w:r>
        <w:rPr>
          <w:rStyle w:val="FootnoteReference"/>
        </w:rPr>
        <w:footnoteRef/>
      </w:r>
      <w:r>
        <w:t xml:space="preserve">§ 58 odst. 3 zákona o zadávání veřejných zakázek, shodně čl. 28 odst. 1 směrnice </w:t>
      </w:r>
      <w:r w:rsidRPr="00B02682">
        <w:rPr>
          <w:iCs/>
        </w:rPr>
        <w:t>20</w:t>
      </w:r>
      <w:r>
        <w:rPr>
          <w:iCs/>
        </w:rPr>
        <w:t>14/24/EU.</w:t>
      </w:r>
    </w:p>
  </w:footnote>
  <w:footnote w:id="49">
    <w:p w14:paraId="5A4A4212" w14:textId="4D8CD631" w:rsidR="001A492B" w:rsidRPr="002861E3" w:rsidRDefault="001A492B" w:rsidP="006E356C">
      <w:pPr>
        <w:pStyle w:val="NoSpacing"/>
        <w:jc w:val="both"/>
        <w:rPr>
          <w:i/>
          <w:szCs w:val="20"/>
        </w:rPr>
      </w:pPr>
      <w:r>
        <w:rPr>
          <w:rStyle w:val="FootnoteReference"/>
        </w:rPr>
        <w:footnoteRef/>
      </w:r>
      <w:r>
        <w:rPr>
          <w:szCs w:val="20"/>
        </w:rPr>
        <w:t xml:space="preserve">Rozsudek ze dne 11. 7. </w:t>
      </w:r>
      <w:r w:rsidRPr="002861E3">
        <w:rPr>
          <w:szCs w:val="20"/>
        </w:rPr>
        <w:t xml:space="preserve">2019, </w:t>
      </w:r>
      <w:r w:rsidRPr="002861E3">
        <w:rPr>
          <w:i/>
          <w:szCs w:val="20"/>
        </w:rPr>
        <w:t xml:space="preserve">Telecom Italia </w:t>
      </w:r>
      <w:proofErr w:type="spellStart"/>
      <w:r w:rsidRPr="002861E3">
        <w:rPr>
          <w:i/>
          <w:szCs w:val="20"/>
        </w:rPr>
        <w:t>SpA</w:t>
      </w:r>
      <w:proofErr w:type="spellEnd"/>
      <w:r w:rsidRPr="002861E3">
        <w:rPr>
          <w:i/>
          <w:szCs w:val="20"/>
        </w:rPr>
        <w:t xml:space="preserve"> proti </w:t>
      </w:r>
      <w:proofErr w:type="spellStart"/>
      <w:r w:rsidRPr="002861E3">
        <w:rPr>
          <w:i/>
          <w:szCs w:val="20"/>
        </w:rPr>
        <w:t>Ministero</w:t>
      </w:r>
      <w:proofErr w:type="spellEnd"/>
      <w:r w:rsidRPr="002861E3">
        <w:rPr>
          <w:i/>
          <w:szCs w:val="20"/>
        </w:rPr>
        <w:t xml:space="preserve"> </w:t>
      </w:r>
      <w:proofErr w:type="spellStart"/>
      <w:r w:rsidRPr="002861E3">
        <w:rPr>
          <w:i/>
          <w:szCs w:val="20"/>
        </w:rPr>
        <w:t>dello</w:t>
      </w:r>
      <w:proofErr w:type="spellEnd"/>
      <w:r w:rsidRPr="002861E3">
        <w:rPr>
          <w:i/>
          <w:szCs w:val="20"/>
        </w:rPr>
        <w:t xml:space="preserve"> </w:t>
      </w:r>
      <w:proofErr w:type="spellStart"/>
      <w:r w:rsidRPr="002861E3">
        <w:rPr>
          <w:i/>
          <w:szCs w:val="20"/>
        </w:rPr>
        <w:t>Sviluppo</w:t>
      </w:r>
      <w:proofErr w:type="spellEnd"/>
      <w:r w:rsidRPr="002861E3">
        <w:rPr>
          <w:i/>
          <w:szCs w:val="20"/>
        </w:rPr>
        <w:t xml:space="preserve"> </w:t>
      </w:r>
      <w:proofErr w:type="spellStart"/>
      <w:r w:rsidRPr="002861E3">
        <w:rPr>
          <w:i/>
          <w:szCs w:val="20"/>
        </w:rPr>
        <w:t>Economico</w:t>
      </w:r>
      <w:proofErr w:type="spellEnd"/>
      <w:r w:rsidRPr="002861E3">
        <w:rPr>
          <w:i/>
          <w:szCs w:val="20"/>
        </w:rPr>
        <w:t xml:space="preserve">, </w:t>
      </w:r>
      <w:proofErr w:type="spellStart"/>
      <w:r w:rsidRPr="002861E3">
        <w:rPr>
          <w:i/>
          <w:szCs w:val="20"/>
        </w:rPr>
        <w:t>Infrastrutture</w:t>
      </w:r>
      <w:proofErr w:type="spellEnd"/>
      <w:r w:rsidRPr="002861E3">
        <w:rPr>
          <w:i/>
          <w:szCs w:val="20"/>
        </w:rPr>
        <w:t xml:space="preserve"> e </w:t>
      </w:r>
      <w:proofErr w:type="spellStart"/>
      <w:r w:rsidRPr="002861E3">
        <w:rPr>
          <w:i/>
          <w:szCs w:val="20"/>
        </w:rPr>
        <w:t>telecomunicazioni</w:t>
      </w:r>
      <w:proofErr w:type="spellEnd"/>
      <w:r w:rsidRPr="002861E3">
        <w:rPr>
          <w:i/>
          <w:szCs w:val="20"/>
        </w:rPr>
        <w:t xml:space="preserve"> per </w:t>
      </w:r>
      <w:proofErr w:type="spellStart"/>
      <w:r w:rsidRPr="002861E3">
        <w:rPr>
          <w:i/>
          <w:szCs w:val="20"/>
        </w:rPr>
        <w:t>l’Italia</w:t>
      </w:r>
      <w:proofErr w:type="spellEnd"/>
      <w:r w:rsidRPr="002861E3">
        <w:rPr>
          <w:i/>
          <w:szCs w:val="20"/>
        </w:rPr>
        <w:t xml:space="preserve"> (</w:t>
      </w:r>
      <w:proofErr w:type="spellStart"/>
      <w:r w:rsidRPr="002861E3">
        <w:rPr>
          <w:i/>
          <w:szCs w:val="20"/>
        </w:rPr>
        <w:t>Infratel</w:t>
      </w:r>
      <w:proofErr w:type="spellEnd"/>
      <w:r w:rsidRPr="002861E3">
        <w:rPr>
          <w:i/>
          <w:szCs w:val="20"/>
        </w:rPr>
        <w:t xml:space="preserve"> Italia) </w:t>
      </w:r>
      <w:proofErr w:type="spellStart"/>
      <w:r w:rsidRPr="002861E3">
        <w:rPr>
          <w:i/>
          <w:szCs w:val="20"/>
        </w:rPr>
        <w:t>SpA</w:t>
      </w:r>
      <w:proofErr w:type="spellEnd"/>
      <w:r w:rsidRPr="002861E3">
        <w:rPr>
          <w:i/>
          <w:szCs w:val="20"/>
        </w:rPr>
        <w:t>, C</w:t>
      </w:r>
      <w:r>
        <w:rPr>
          <w:szCs w:val="20"/>
        </w:rPr>
        <w:t xml:space="preserve">-697/17, </w:t>
      </w:r>
      <w:proofErr w:type="spellStart"/>
      <w:r>
        <w:rPr>
          <w:szCs w:val="20"/>
        </w:rPr>
        <w:t>Úř</w:t>
      </w:r>
      <w:proofErr w:type="spellEnd"/>
      <w:r>
        <w:rPr>
          <w:szCs w:val="20"/>
        </w:rPr>
        <w:t xml:space="preserve">. </w:t>
      </w:r>
      <w:proofErr w:type="spellStart"/>
      <w:r>
        <w:rPr>
          <w:szCs w:val="20"/>
        </w:rPr>
        <w:t>věst</w:t>
      </w:r>
      <w:proofErr w:type="spellEnd"/>
      <w:r>
        <w:rPr>
          <w:szCs w:val="20"/>
        </w:rPr>
        <w:t xml:space="preserve">. </w:t>
      </w:r>
      <w:r w:rsidRPr="002861E3">
        <w:rPr>
          <w:szCs w:val="20"/>
        </w:rPr>
        <w:t>C 112, bod 14.</w:t>
      </w:r>
    </w:p>
  </w:footnote>
  <w:footnote w:id="50">
    <w:p w14:paraId="453A27E6" w14:textId="2F01FA5B" w:rsidR="001A492B" w:rsidRPr="002861E3" w:rsidRDefault="001A492B" w:rsidP="006E356C">
      <w:pPr>
        <w:pStyle w:val="NoSpacing"/>
        <w:jc w:val="both"/>
        <w:rPr>
          <w:szCs w:val="20"/>
        </w:rPr>
      </w:pPr>
      <w:r w:rsidRPr="002861E3">
        <w:rPr>
          <w:rStyle w:val="FootnoteReference"/>
          <w:szCs w:val="20"/>
        </w:rPr>
        <w:footnoteRef/>
      </w:r>
      <w:r w:rsidRPr="002861E3">
        <w:rPr>
          <w:szCs w:val="20"/>
        </w:rPr>
        <w:t xml:space="preserve">Čl. 29 odst. 1 Směrnice Evropského parlamentu a Rady 2014/24/EU ze dne 26. února 2014 o zadávání veřejných zakázek a zrušení směrnice 2004/18/ES. </w:t>
      </w:r>
      <w:proofErr w:type="spellStart"/>
      <w:r w:rsidRPr="002861E3">
        <w:rPr>
          <w:szCs w:val="20"/>
        </w:rPr>
        <w:t>Úř</w:t>
      </w:r>
      <w:proofErr w:type="spellEnd"/>
      <w:r w:rsidRPr="002861E3">
        <w:rPr>
          <w:szCs w:val="20"/>
        </w:rPr>
        <w:t xml:space="preserve">. </w:t>
      </w:r>
      <w:proofErr w:type="spellStart"/>
      <w:r w:rsidRPr="002861E3">
        <w:rPr>
          <w:szCs w:val="20"/>
        </w:rPr>
        <w:t>věst</w:t>
      </w:r>
      <w:proofErr w:type="spellEnd"/>
      <w:r w:rsidRPr="002861E3">
        <w:rPr>
          <w:szCs w:val="20"/>
        </w:rPr>
        <w:t>. L 94, 28. 3. 2014, s. 110.</w:t>
      </w:r>
    </w:p>
  </w:footnote>
  <w:footnote w:id="51">
    <w:p w14:paraId="351248D5" w14:textId="22AC3D5B" w:rsidR="001A492B" w:rsidRPr="00954328" w:rsidRDefault="001A492B" w:rsidP="006E356C">
      <w:pPr>
        <w:pStyle w:val="NoSpacing"/>
        <w:jc w:val="both"/>
      </w:pPr>
      <w:r w:rsidRPr="002861E3">
        <w:rPr>
          <w:rStyle w:val="FootnoteReference"/>
          <w:szCs w:val="20"/>
        </w:rPr>
        <w:footnoteRef/>
      </w:r>
      <w:r>
        <w:rPr>
          <w:szCs w:val="20"/>
        </w:rPr>
        <w:t>„</w:t>
      </w:r>
      <w:r w:rsidRPr="00396059">
        <w:rPr>
          <w:i/>
          <w:szCs w:val="20"/>
        </w:rPr>
        <w:t>Veřejným zadavatelem se rozumí stát, regionální nebo místní orgány, veřejnosprávní subjekty, sdružení tvořená jedním nebo vice takovými orgány či jedním nebo vice veřejnoprávními subjekty</w:t>
      </w:r>
      <w:r w:rsidRPr="002861E3">
        <w:rPr>
          <w:szCs w:val="20"/>
        </w:rPr>
        <w:t xml:space="preserve">.” Čl. 2 odst. 1 bod 3 Směrnice 2014/24/EU. </w:t>
      </w:r>
      <w:proofErr w:type="spellStart"/>
      <w:r>
        <w:t>Úř</w:t>
      </w:r>
      <w:proofErr w:type="spellEnd"/>
      <w:r>
        <w:t xml:space="preserve">. </w:t>
      </w:r>
      <w:proofErr w:type="spellStart"/>
      <w:r>
        <w:t>věst</w:t>
      </w:r>
      <w:proofErr w:type="spellEnd"/>
      <w:r>
        <w:t xml:space="preserve">. L 94, 28. 3. 2014, s. 96. </w:t>
      </w:r>
    </w:p>
  </w:footnote>
  <w:footnote w:id="52">
    <w:p w14:paraId="1980F35D" w14:textId="44BA9F74" w:rsidR="001A492B" w:rsidRPr="002861E3" w:rsidRDefault="001A492B" w:rsidP="006E356C">
      <w:pPr>
        <w:pStyle w:val="NoSpacing"/>
        <w:jc w:val="both"/>
        <w:rPr>
          <w:szCs w:val="20"/>
        </w:rPr>
      </w:pPr>
      <w:r w:rsidRPr="002861E3">
        <w:rPr>
          <w:rStyle w:val="FootnoteReference"/>
          <w:szCs w:val="20"/>
        </w:rPr>
        <w:footnoteRef/>
      </w:r>
      <w:r w:rsidRPr="002861E3">
        <w:rPr>
          <w:szCs w:val="20"/>
        </w:rPr>
        <w:t xml:space="preserve">Čl. 29 odst. 1 a 2 Směrnice Evropského parlamentu a Rady 2014/24/EU ze dne 26. února 2014 o zadávání veřejných zakázek a zrušení směrnice 2004/18/ES. </w:t>
      </w:r>
      <w:proofErr w:type="spellStart"/>
      <w:r w:rsidRPr="002861E3">
        <w:rPr>
          <w:szCs w:val="20"/>
        </w:rPr>
        <w:t>Úř</w:t>
      </w:r>
      <w:proofErr w:type="spellEnd"/>
      <w:r w:rsidRPr="002861E3">
        <w:rPr>
          <w:szCs w:val="20"/>
        </w:rPr>
        <w:t xml:space="preserve">. </w:t>
      </w:r>
      <w:proofErr w:type="spellStart"/>
      <w:r w:rsidRPr="002861E3">
        <w:rPr>
          <w:szCs w:val="20"/>
        </w:rPr>
        <w:t>věst</w:t>
      </w:r>
      <w:proofErr w:type="spellEnd"/>
      <w:r w:rsidRPr="002861E3">
        <w:rPr>
          <w:szCs w:val="20"/>
        </w:rPr>
        <w:t>. L 94, 28. 3. 2014, s. 110-111.</w:t>
      </w:r>
    </w:p>
  </w:footnote>
  <w:footnote w:id="53">
    <w:p w14:paraId="1B32F4D0" w14:textId="63C20534" w:rsidR="001A492B" w:rsidRPr="002861E3" w:rsidRDefault="001A492B" w:rsidP="006E356C">
      <w:pPr>
        <w:pStyle w:val="NoSpacing"/>
        <w:jc w:val="both"/>
        <w:rPr>
          <w:szCs w:val="20"/>
        </w:rPr>
      </w:pPr>
      <w:r w:rsidRPr="002861E3">
        <w:rPr>
          <w:rStyle w:val="FootnoteReference"/>
          <w:szCs w:val="20"/>
        </w:rPr>
        <w:footnoteRef/>
      </w:r>
      <w:r w:rsidRPr="002861E3">
        <w:rPr>
          <w:szCs w:val="20"/>
        </w:rPr>
        <w:t xml:space="preserve">DVOŘÁK, David. </w:t>
      </w:r>
      <w:r w:rsidRPr="002861E3">
        <w:rPr>
          <w:i/>
          <w:szCs w:val="20"/>
        </w:rPr>
        <w:t>Zákon o zadávání veřejných zakázek: komentář.</w:t>
      </w:r>
      <w:r w:rsidRPr="002861E3">
        <w:rPr>
          <w:szCs w:val="20"/>
        </w:rPr>
        <w:t xml:space="preserve"> Praha: C. H. Beck, 2017, s. 383</w:t>
      </w:r>
      <w:r>
        <w:rPr>
          <w:szCs w:val="20"/>
        </w:rPr>
        <w:t>.</w:t>
      </w:r>
    </w:p>
  </w:footnote>
  <w:footnote w:id="54">
    <w:p w14:paraId="2168A61D" w14:textId="51CE09DD" w:rsidR="001A492B" w:rsidRPr="00893B5C" w:rsidRDefault="001A492B" w:rsidP="00893B5C">
      <w:pPr>
        <w:pStyle w:val="NoSpacing"/>
      </w:pPr>
      <w:r w:rsidRPr="002861E3">
        <w:rPr>
          <w:rStyle w:val="FootnoteReference"/>
          <w:szCs w:val="20"/>
        </w:rPr>
        <w:footnoteRef/>
      </w:r>
      <w:r w:rsidRPr="002861E3">
        <w:rPr>
          <w:szCs w:val="20"/>
        </w:rPr>
        <w:t>Rozsudek Krajského soudu v Brně ze dne 14. 5. 2007</w:t>
      </w:r>
      <w:r w:rsidRPr="00954328">
        <w:rPr>
          <w:szCs w:val="20"/>
        </w:rPr>
        <w:t xml:space="preserve">, </w:t>
      </w:r>
      <w:proofErr w:type="spellStart"/>
      <w:r w:rsidRPr="00954328">
        <w:rPr>
          <w:szCs w:val="20"/>
        </w:rPr>
        <w:t>sp</w:t>
      </w:r>
      <w:proofErr w:type="spellEnd"/>
      <w:r w:rsidRPr="00954328">
        <w:rPr>
          <w:szCs w:val="20"/>
        </w:rPr>
        <w:t>. zn. 31 Ca 166/2005.</w:t>
      </w:r>
      <w:r>
        <w:t xml:space="preserve"> </w:t>
      </w:r>
    </w:p>
  </w:footnote>
  <w:footnote w:id="55">
    <w:p w14:paraId="78A3DD43" w14:textId="59FD4E18" w:rsidR="001A492B" w:rsidRPr="00792C9D" w:rsidRDefault="001A492B" w:rsidP="006E356C">
      <w:pPr>
        <w:pStyle w:val="NoSpacing"/>
        <w:jc w:val="both"/>
      </w:pPr>
      <w:r>
        <w:rPr>
          <w:rStyle w:val="FootnoteReference"/>
        </w:rPr>
        <w:footnoteRef/>
      </w:r>
      <w:r>
        <w:t>Č</w:t>
      </w:r>
      <w:r w:rsidRPr="00792C9D">
        <w:t xml:space="preserve">l. 32 odst. 2 písm. c) </w:t>
      </w:r>
      <w:r>
        <w:t xml:space="preserve">Směrnice Evropského parlamentu a Rady 2014/24/EU ze dne 26. února 2014 o zadávání veřejných zakázek a zrušení směrnice 2004/18/ES. </w:t>
      </w:r>
      <w:proofErr w:type="spellStart"/>
      <w:r>
        <w:t>Úř</w:t>
      </w:r>
      <w:proofErr w:type="spellEnd"/>
      <w:r>
        <w:t xml:space="preserve">. </w:t>
      </w:r>
      <w:proofErr w:type="spellStart"/>
      <w:r>
        <w:t>věst</w:t>
      </w:r>
      <w:proofErr w:type="spellEnd"/>
      <w:r>
        <w:t>. L 94, 28. 3. 2014, s. 113.</w:t>
      </w:r>
    </w:p>
  </w:footnote>
  <w:footnote w:id="56">
    <w:p w14:paraId="67D64618" w14:textId="692D8549" w:rsidR="001A492B" w:rsidRPr="00792C9D" w:rsidRDefault="001A492B" w:rsidP="006E356C">
      <w:pPr>
        <w:pStyle w:val="NoSpacing"/>
        <w:jc w:val="both"/>
      </w:pPr>
      <w:r w:rsidRPr="00792C9D">
        <w:rPr>
          <w:rStyle w:val="FootnoteReference"/>
        </w:rPr>
        <w:footnoteRef/>
      </w:r>
      <w:r>
        <w:t xml:space="preserve">Čl. 32 Směrnice Evropského parlamentu a Rady 2014/24/EU ze dne 26. února 2014 o zadávání veřejných zakázek a zrušení směrnice 2004/18/ES. </w:t>
      </w:r>
      <w:proofErr w:type="spellStart"/>
      <w:r>
        <w:t>Úř</w:t>
      </w:r>
      <w:proofErr w:type="spellEnd"/>
      <w:r>
        <w:t xml:space="preserve">. </w:t>
      </w:r>
      <w:proofErr w:type="spellStart"/>
      <w:r>
        <w:t>věst</w:t>
      </w:r>
      <w:proofErr w:type="spellEnd"/>
      <w:r>
        <w:t>. L 94, bod 113.</w:t>
      </w:r>
    </w:p>
  </w:footnote>
  <w:footnote w:id="57">
    <w:p w14:paraId="6A944C7D" w14:textId="689A8835" w:rsidR="001A492B" w:rsidRPr="009D3BF7" w:rsidRDefault="001A492B" w:rsidP="006E356C">
      <w:pPr>
        <w:pStyle w:val="NoSpacing"/>
        <w:jc w:val="both"/>
      </w:pPr>
      <w:r>
        <w:rPr>
          <w:rStyle w:val="FootnoteReference"/>
        </w:rPr>
        <w:footnoteRef/>
      </w:r>
      <w:r>
        <w:t xml:space="preserve">Tamtéž. </w:t>
      </w:r>
    </w:p>
  </w:footnote>
  <w:footnote w:id="58">
    <w:p w14:paraId="500F0330" w14:textId="131B9286" w:rsidR="001A492B" w:rsidRPr="007700FE" w:rsidRDefault="001A492B" w:rsidP="007700FE">
      <w:pPr>
        <w:pStyle w:val="NoSpacing"/>
      </w:pPr>
      <w:r>
        <w:rPr>
          <w:rStyle w:val="FootnoteReference"/>
        </w:rPr>
        <w:footnoteRef/>
      </w:r>
      <w:r w:rsidRPr="00E20D5F">
        <w:t xml:space="preserve">DVOŘÁK, David. </w:t>
      </w:r>
      <w:r w:rsidRPr="00954328">
        <w:rPr>
          <w:i/>
        </w:rPr>
        <w:t>Zákon o zadávání veřejných zakázek: komentář</w:t>
      </w:r>
      <w:r w:rsidRPr="00E20D5F">
        <w:t>. Praha: C. H. Beck, 2017,</w:t>
      </w:r>
      <w:r>
        <w:t xml:space="preserve"> s. 396.</w:t>
      </w:r>
    </w:p>
  </w:footnote>
  <w:footnote w:id="59">
    <w:p w14:paraId="2ADB1D1C" w14:textId="254F9816" w:rsidR="001A492B" w:rsidRPr="000E7E6F" w:rsidRDefault="001A492B">
      <w:pPr>
        <w:pStyle w:val="FootnoteText"/>
        <w:rPr>
          <w:lang w:val="cs-CZ"/>
        </w:rPr>
      </w:pPr>
      <w:r>
        <w:rPr>
          <w:rStyle w:val="FootnoteReference"/>
        </w:rPr>
        <w:footnoteRef/>
      </w:r>
      <w:r>
        <w:rPr>
          <w:sz w:val="20"/>
          <w:szCs w:val="20"/>
          <w:lang w:val="cs-CZ"/>
        </w:rPr>
        <w:t>Rozsudek ze dne 28. 3. 1996</w:t>
      </w:r>
      <w:r w:rsidRPr="000E7E6F">
        <w:rPr>
          <w:sz w:val="20"/>
          <w:szCs w:val="20"/>
          <w:lang w:val="cs-CZ"/>
        </w:rPr>
        <w:t xml:space="preserve">, </w:t>
      </w:r>
      <w:r w:rsidRPr="000E7E6F">
        <w:rPr>
          <w:i/>
          <w:sz w:val="20"/>
          <w:szCs w:val="20"/>
          <w:lang w:val="cs-CZ"/>
        </w:rPr>
        <w:t>Komise proti</w:t>
      </w:r>
      <w:r>
        <w:rPr>
          <w:i/>
          <w:sz w:val="20"/>
          <w:szCs w:val="20"/>
          <w:lang w:val="cs-CZ"/>
        </w:rPr>
        <w:t xml:space="preserve"> Spolkové republice</w:t>
      </w:r>
      <w:r w:rsidRPr="000E7E6F">
        <w:rPr>
          <w:i/>
          <w:sz w:val="20"/>
          <w:szCs w:val="20"/>
          <w:lang w:val="cs-CZ"/>
        </w:rPr>
        <w:t xml:space="preserve"> Německ</w:t>
      </w:r>
      <w:r>
        <w:rPr>
          <w:i/>
          <w:sz w:val="20"/>
          <w:szCs w:val="20"/>
          <w:lang w:val="cs-CZ"/>
        </w:rPr>
        <w:t>o</w:t>
      </w:r>
      <w:r>
        <w:rPr>
          <w:sz w:val="20"/>
          <w:szCs w:val="20"/>
          <w:lang w:val="cs-CZ"/>
        </w:rPr>
        <w:t>, C-318/94,</w:t>
      </w:r>
      <w:r w:rsidRPr="000E7E6F">
        <w:rPr>
          <w:sz w:val="20"/>
          <w:szCs w:val="20"/>
          <w:lang w:val="cs-CZ"/>
        </w:rPr>
        <w:t xml:space="preserve"> </w:t>
      </w:r>
      <w:r>
        <w:rPr>
          <w:sz w:val="20"/>
          <w:szCs w:val="20"/>
          <w:lang w:val="cs-CZ"/>
        </w:rPr>
        <w:t xml:space="preserve">Sb. </w:t>
      </w:r>
      <w:proofErr w:type="spellStart"/>
      <w:r>
        <w:rPr>
          <w:sz w:val="20"/>
          <w:szCs w:val="20"/>
          <w:lang w:val="cs-CZ"/>
        </w:rPr>
        <w:t>rozh</w:t>
      </w:r>
      <w:proofErr w:type="spellEnd"/>
      <w:r>
        <w:rPr>
          <w:sz w:val="20"/>
          <w:szCs w:val="20"/>
          <w:lang w:val="cs-CZ"/>
        </w:rPr>
        <w:t xml:space="preserve">. </w:t>
      </w:r>
      <w:r w:rsidRPr="000E7E6F">
        <w:rPr>
          <w:sz w:val="20"/>
          <w:szCs w:val="20"/>
          <w:lang w:val="cs-CZ"/>
        </w:rPr>
        <w:t>s I-1949, bod. 13.</w:t>
      </w:r>
      <w:r>
        <w:rPr>
          <w:lang w:val="cs-CZ"/>
        </w:rPr>
        <w:t xml:space="preserve"> </w:t>
      </w:r>
    </w:p>
  </w:footnote>
  <w:footnote w:id="60">
    <w:p w14:paraId="4BF89D68" w14:textId="23D0ED22" w:rsidR="001A492B" w:rsidRPr="004064EC" w:rsidRDefault="001A492B" w:rsidP="00DB3508">
      <w:pPr>
        <w:pStyle w:val="NoSpacing"/>
      </w:pPr>
      <w:r>
        <w:rPr>
          <w:rStyle w:val="FootnoteReference"/>
        </w:rPr>
        <w:footnoteRef/>
      </w:r>
      <w:r>
        <w:t xml:space="preserve">Rozsudek Nejvyššího správního osudu ze dne 11. 1. 2013, </w:t>
      </w:r>
      <w:proofErr w:type="spellStart"/>
      <w:r>
        <w:t>sp</w:t>
      </w:r>
      <w:proofErr w:type="spellEnd"/>
      <w:r>
        <w:t xml:space="preserve">. zn. 5 As 43/2012. </w:t>
      </w:r>
    </w:p>
  </w:footnote>
  <w:footnote w:id="61">
    <w:p w14:paraId="06CA0843" w14:textId="0B685377" w:rsidR="001A492B" w:rsidRPr="00F12963" w:rsidRDefault="001A492B" w:rsidP="008F74C9">
      <w:pPr>
        <w:pStyle w:val="NoSpacing"/>
        <w:jc w:val="both"/>
      </w:pPr>
      <w:r>
        <w:rPr>
          <w:rStyle w:val="FootnoteReference"/>
        </w:rPr>
        <w:footnoteRef/>
      </w:r>
      <w:r>
        <w:t xml:space="preserve">Čl. 30 Směrnice Evropského parlamentu a Rady 2014/24/EU ze dne 26. února 2014 o zadávání veřejných zakázek a zrušení směrnice 2004/18/ES. </w:t>
      </w:r>
      <w:proofErr w:type="spellStart"/>
      <w:r>
        <w:t>Úř</w:t>
      </w:r>
      <w:proofErr w:type="spellEnd"/>
      <w:r>
        <w:t xml:space="preserve">. </w:t>
      </w:r>
      <w:proofErr w:type="spellStart"/>
      <w:r>
        <w:t>věst</w:t>
      </w:r>
      <w:proofErr w:type="spellEnd"/>
      <w:r>
        <w:t>. L 94, 28. 3. 2014, s. 111-112.</w:t>
      </w:r>
    </w:p>
  </w:footnote>
  <w:footnote w:id="62">
    <w:p w14:paraId="48B91AEC" w14:textId="3C1B9FB9" w:rsidR="001A492B" w:rsidRPr="00CC5595" w:rsidRDefault="001A492B" w:rsidP="008F74C9">
      <w:pPr>
        <w:pStyle w:val="NoSpacing"/>
        <w:jc w:val="both"/>
      </w:pPr>
      <w:r>
        <w:rPr>
          <w:rStyle w:val="FootnoteReference"/>
        </w:rPr>
        <w:footnoteRef/>
      </w:r>
      <w:r>
        <w:t xml:space="preserve">BARTOŇ, Daniel, in. </w:t>
      </w:r>
      <w:r w:rsidRPr="003D0904">
        <w:t xml:space="preserve">MACEK, Ivo. </w:t>
      </w:r>
      <w:r w:rsidRPr="00A83DE1">
        <w:rPr>
          <w:i/>
        </w:rPr>
        <w:t>Zákon o zadávání veřejných zakázek : praktický komentář s judikaturou</w:t>
      </w:r>
      <w:r>
        <w:t xml:space="preserve">. Praha: </w:t>
      </w:r>
      <w:proofErr w:type="spellStart"/>
      <w:r>
        <w:t>Leges</w:t>
      </w:r>
      <w:proofErr w:type="spellEnd"/>
      <w:r>
        <w:t>, 2017, s. 24.</w:t>
      </w:r>
    </w:p>
  </w:footnote>
  <w:footnote w:id="63">
    <w:p w14:paraId="388E4073" w14:textId="4553D4E8" w:rsidR="001A492B" w:rsidRPr="00E84C58" w:rsidRDefault="001A492B" w:rsidP="008F74C9">
      <w:pPr>
        <w:pStyle w:val="NoSpacing"/>
        <w:jc w:val="both"/>
      </w:pPr>
      <w:r>
        <w:rPr>
          <w:rStyle w:val="FootnoteReference"/>
        </w:rPr>
        <w:footnoteRef/>
      </w:r>
      <w:r w:rsidRPr="00E20D5F">
        <w:t xml:space="preserve">DVOŘÁK, David. </w:t>
      </w:r>
      <w:r w:rsidRPr="00A83DE1">
        <w:rPr>
          <w:i/>
        </w:rPr>
        <w:t>Zákon o zadávání veřejných zakázek: komentář.</w:t>
      </w:r>
      <w:r w:rsidRPr="00E20D5F">
        <w:t xml:space="preserve"> Praha: C. H. Beck, 2017,</w:t>
      </w:r>
      <w:r>
        <w:t xml:space="preserve"> s. </w:t>
      </w:r>
      <w:r w:rsidRPr="004C2418">
        <w:t>209-222</w:t>
      </w:r>
      <w:r>
        <w:t>.</w:t>
      </w:r>
    </w:p>
  </w:footnote>
  <w:footnote w:id="64">
    <w:p w14:paraId="2D30AC7A" w14:textId="44B052AA" w:rsidR="001A492B" w:rsidRPr="0064786B" w:rsidRDefault="001A492B" w:rsidP="008F74C9">
      <w:pPr>
        <w:pStyle w:val="NoSpacing"/>
        <w:jc w:val="both"/>
      </w:pPr>
      <w:r>
        <w:rPr>
          <w:rStyle w:val="FootnoteReference"/>
        </w:rPr>
        <w:footnoteRef/>
      </w:r>
      <w:r>
        <w:t xml:space="preserve">Rozhodnutí Úřadu pro kontrolu hospodářské soutěže ze dne 19. 2. 2008, č. j. </w:t>
      </w:r>
      <w:r w:rsidRPr="0064786B">
        <w:t>S304/2008/VZ-2207/2009/510/IFA</w:t>
      </w:r>
      <w:r>
        <w:t>.</w:t>
      </w:r>
    </w:p>
  </w:footnote>
  <w:footnote w:id="65">
    <w:p w14:paraId="7AAE7857" w14:textId="3B601CB3" w:rsidR="001A492B" w:rsidRPr="0068212A" w:rsidRDefault="001A492B" w:rsidP="008F74C9">
      <w:pPr>
        <w:pStyle w:val="NoSpacing"/>
        <w:jc w:val="both"/>
      </w:pPr>
      <w:r>
        <w:rPr>
          <w:rStyle w:val="FootnoteReference"/>
        </w:rPr>
        <w:footnoteRef/>
      </w:r>
      <w:r>
        <w:t>Rozhodnutí Úřadu pro kontrolu hospodářské soutěže ze dne 3. 5. 2013, č. j. S249/2012/VZ-8167/2013/550/</w:t>
      </w:r>
      <w:proofErr w:type="spellStart"/>
      <w:r>
        <w:t>HKu</w:t>
      </w:r>
      <w:proofErr w:type="spellEnd"/>
      <w:r>
        <w:t>.</w:t>
      </w:r>
    </w:p>
  </w:footnote>
  <w:footnote w:id="66">
    <w:p w14:paraId="43CCD981" w14:textId="7139C9CE" w:rsidR="001A492B" w:rsidRPr="00912CFB" w:rsidRDefault="001A492B" w:rsidP="008F74C9">
      <w:pPr>
        <w:pStyle w:val="NoSpacing"/>
        <w:jc w:val="both"/>
      </w:pPr>
      <w:r>
        <w:rPr>
          <w:rStyle w:val="FootnoteReference"/>
        </w:rPr>
        <w:footnoteRef/>
      </w:r>
      <w:r>
        <w:t xml:space="preserve">Bod 42 Směrnice Evropského parlamentu a Rady 2014/24/EU ze dne 26. února 2014 o zadávání veřejných zakázek a zrušení směrnice 2004/18/ES. </w:t>
      </w:r>
      <w:proofErr w:type="spellStart"/>
      <w:r>
        <w:t>Úř</w:t>
      </w:r>
      <w:proofErr w:type="spellEnd"/>
      <w:r>
        <w:t xml:space="preserve">. </w:t>
      </w:r>
      <w:proofErr w:type="spellStart"/>
      <w:r>
        <w:t>věst</w:t>
      </w:r>
      <w:proofErr w:type="spellEnd"/>
      <w:r>
        <w:t xml:space="preserve">. L 94, 28. 3. 2014, s. 71. </w:t>
      </w:r>
    </w:p>
  </w:footnote>
  <w:footnote w:id="67">
    <w:p w14:paraId="0F68A584" w14:textId="603FCAD8" w:rsidR="001A492B" w:rsidRPr="00EB4AD3" w:rsidRDefault="001A492B" w:rsidP="00BF5F02">
      <w:pPr>
        <w:pStyle w:val="NoSpacing"/>
        <w:jc w:val="both"/>
        <w:rPr>
          <w:rFonts w:ascii="Times New Roman" w:eastAsia="Times New Roman" w:hAnsi="Times New Roman" w:cs="Times New Roman"/>
          <w:szCs w:val="20"/>
        </w:rPr>
      </w:pPr>
      <w:r>
        <w:rPr>
          <w:rStyle w:val="FootnoteReference"/>
        </w:rPr>
        <w:footnoteRef/>
      </w:r>
      <w:r>
        <w:t xml:space="preserve">MIŠÚR, </w:t>
      </w:r>
      <w:proofErr w:type="spellStart"/>
      <w:r>
        <w:t>Perer</w:t>
      </w:r>
      <w:proofErr w:type="spellEnd"/>
      <w:r>
        <w:t xml:space="preserve">. </w:t>
      </w:r>
      <w:r w:rsidRPr="00BF5F02">
        <w:t>Právo zadávání veřejných zakázek EU čeká komplexní modernizace</w:t>
      </w:r>
      <w:r>
        <w:t xml:space="preserve">. </w:t>
      </w:r>
      <w:r w:rsidRPr="00224DFB">
        <w:rPr>
          <w:rFonts w:eastAsia="Times New Roman" w:cs="Arial"/>
          <w:i/>
          <w:iCs/>
          <w:color w:val="000000"/>
          <w:szCs w:val="20"/>
          <w:shd w:val="clear" w:color="auto" w:fill="FFFFFF"/>
        </w:rPr>
        <w:t>Obchodněprávní revue</w:t>
      </w:r>
      <w:r>
        <w:rPr>
          <w:rFonts w:eastAsia="Times New Roman" w:cs="Arial"/>
          <w:i/>
          <w:iCs/>
          <w:color w:val="000000"/>
          <w:szCs w:val="20"/>
          <w:shd w:val="clear" w:color="auto" w:fill="FFFFFF"/>
        </w:rPr>
        <w:t xml:space="preserve">, </w:t>
      </w:r>
      <w:r w:rsidRPr="008F74C9">
        <w:rPr>
          <w:rFonts w:eastAsia="Times New Roman" w:cs="Arial"/>
          <w:iCs/>
          <w:color w:val="000000"/>
          <w:szCs w:val="20"/>
          <w:shd w:val="clear" w:color="auto" w:fill="FFFFFF"/>
        </w:rPr>
        <w:t>2012, roč. 4</w:t>
      </w:r>
      <w:r>
        <w:rPr>
          <w:rFonts w:eastAsia="Times New Roman" w:cs="Arial"/>
          <w:iCs/>
          <w:color w:val="000000"/>
          <w:szCs w:val="20"/>
          <w:shd w:val="clear" w:color="auto" w:fill="FFFFFF"/>
        </w:rPr>
        <w:t>,</w:t>
      </w:r>
      <w:r w:rsidRPr="008F74C9">
        <w:rPr>
          <w:rFonts w:eastAsia="Times New Roman" w:cs="Arial"/>
          <w:iCs/>
          <w:color w:val="000000"/>
          <w:szCs w:val="20"/>
          <w:shd w:val="clear" w:color="auto" w:fill="FFFFFF"/>
        </w:rPr>
        <w:t xml:space="preserve"> č. 6, s. 181.</w:t>
      </w:r>
      <w:r>
        <w:rPr>
          <w:rFonts w:eastAsia="Times New Roman" w:cs="Arial"/>
          <w:i/>
          <w:iCs/>
          <w:color w:val="000000"/>
          <w:szCs w:val="20"/>
          <w:shd w:val="clear" w:color="auto" w:fill="FFFFFF"/>
        </w:rPr>
        <w:t xml:space="preserve"> </w:t>
      </w:r>
    </w:p>
  </w:footnote>
  <w:footnote w:id="68">
    <w:p w14:paraId="4A32F53D" w14:textId="1B128A8A" w:rsidR="001A492B" w:rsidRPr="00AE68B9" w:rsidRDefault="001A492B" w:rsidP="00BF5F02">
      <w:pPr>
        <w:pStyle w:val="NoSpacing"/>
        <w:jc w:val="both"/>
      </w:pPr>
      <w:r>
        <w:rPr>
          <w:rStyle w:val="FootnoteReference"/>
        </w:rPr>
        <w:footnoteRef/>
      </w:r>
      <w:r>
        <w:t xml:space="preserve">ZATLOUKAL, Petr. In MACEK, Ivo. </w:t>
      </w:r>
      <w:r w:rsidRPr="00A83DE1">
        <w:rPr>
          <w:i/>
        </w:rPr>
        <w:t>Zákon o zadávání veřejných zakázek: praktický komentář s judikaturou.</w:t>
      </w:r>
      <w:r>
        <w:t xml:space="preserve"> Praha: </w:t>
      </w:r>
      <w:proofErr w:type="spellStart"/>
      <w:r>
        <w:t>Leges</w:t>
      </w:r>
      <w:proofErr w:type="spellEnd"/>
      <w:r>
        <w:t xml:space="preserve">, 2017, s. </w:t>
      </w:r>
      <w:r w:rsidRPr="00662A93">
        <w:t>280.</w:t>
      </w:r>
      <w:r>
        <w:t xml:space="preserve"> </w:t>
      </w:r>
    </w:p>
  </w:footnote>
  <w:footnote w:id="69">
    <w:p w14:paraId="131ED1E6" w14:textId="70469E9C" w:rsidR="001A492B" w:rsidRPr="00A570A1" w:rsidRDefault="001A492B" w:rsidP="00BF5F02">
      <w:pPr>
        <w:pStyle w:val="NoSpacing"/>
        <w:jc w:val="both"/>
      </w:pPr>
      <w:r>
        <w:rPr>
          <w:rStyle w:val="FootnoteReference"/>
        </w:rPr>
        <w:footnoteRef/>
      </w:r>
      <w:r>
        <w:t xml:space="preserve">Čl. 31 Směrnice Evropského parlamentu a Rady 2014/24/EU ze dne 26. února 2014 o zadávání veřejných zakázek a zrušení směrnice 2004/18/ES. </w:t>
      </w:r>
      <w:proofErr w:type="spellStart"/>
      <w:r>
        <w:t>Úř</w:t>
      </w:r>
      <w:proofErr w:type="spellEnd"/>
      <w:r>
        <w:t xml:space="preserve">. </w:t>
      </w:r>
      <w:proofErr w:type="spellStart"/>
      <w:r>
        <w:t>věst</w:t>
      </w:r>
      <w:proofErr w:type="spellEnd"/>
      <w:r>
        <w:t>. L 94, 28. 3. 2014, s. 112-113.</w:t>
      </w:r>
    </w:p>
  </w:footnote>
  <w:footnote w:id="70">
    <w:p w14:paraId="41395962" w14:textId="0A55AA32" w:rsidR="001A492B" w:rsidRPr="00986053" w:rsidRDefault="001A492B" w:rsidP="00636C4E">
      <w:pPr>
        <w:pStyle w:val="NoSpacing"/>
        <w:jc w:val="both"/>
      </w:pPr>
      <w:r>
        <w:rPr>
          <w:rStyle w:val="FootnoteReference"/>
        </w:rPr>
        <w:footnoteRef/>
      </w:r>
      <w:r w:rsidRPr="00986053">
        <w:t>Dle 49 bodu odůvodnění směrnice 2014/24/EU  platí, že Inovační partnerství by se měly zadávat výhradně na základě nejlepšího poměru mezi cenou a kvalitou, neboť se jedná o nejvhodnější způsob srovnávání nabídek na inovativní řešení.</w:t>
      </w:r>
    </w:p>
  </w:footnote>
  <w:footnote w:id="71">
    <w:p w14:paraId="141920E3" w14:textId="69A6478A" w:rsidR="001A492B" w:rsidRPr="008A0380" w:rsidRDefault="001A492B" w:rsidP="00636C4E">
      <w:pPr>
        <w:pStyle w:val="NoSpacing"/>
        <w:jc w:val="both"/>
      </w:pPr>
      <w:r>
        <w:rPr>
          <w:rStyle w:val="FootnoteReference"/>
        </w:rPr>
        <w:footnoteRef/>
      </w:r>
      <w:r>
        <w:t xml:space="preserve">STUDNIČKA, Vladimír. </w:t>
      </w:r>
      <w:r>
        <w:rPr>
          <w:i/>
        </w:rPr>
        <w:t>Inovace v zadávání veřejných zakázek</w:t>
      </w:r>
      <w:r>
        <w:t xml:space="preserve"> [online]</w:t>
      </w:r>
      <w:r>
        <w:rPr>
          <w:i/>
        </w:rPr>
        <w:t xml:space="preserve">. </w:t>
      </w:r>
      <w:r>
        <w:t>dotaceeu.cz, 15. 10. 2018</w:t>
      </w:r>
      <w:r w:rsidRPr="00BF5F02">
        <w:t xml:space="preserve"> [cit.</w:t>
      </w:r>
      <w:r>
        <w:rPr>
          <w:i/>
        </w:rPr>
        <w:t xml:space="preserve"> </w:t>
      </w:r>
      <w:r>
        <w:t>4. 2. 2020]. Dostupné na &lt;</w:t>
      </w:r>
      <w:r w:rsidRPr="008A0380">
        <w:t>https://www.dotaceeu.cz/cs/microsites/op-urbact-ii/novinky/inovace-v-zadavani-verejnych-zakazek</w:t>
      </w:r>
      <w:r>
        <w:t>&gt;.</w:t>
      </w:r>
    </w:p>
  </w:footnote>
  <w:footnote w:id="72">
    <w:p w14:paraId="43D6F93A" w14:textId="01533708" w:rsidR="001A492B" w:rsidRPr="00167180" w:rsidRDefault="001A492B" w:rsidP="009450EB">
      <w:pPr>
        <w:pStyle w:val="NoSpacing"/>
        <w:keepNext/>
        <w:keepLines/>
        <w:suppressAutoHyphens/>
        <w:jc w:val="both"/>
      </w:pPr>
      <w:r>
        <w:rPr>
          <w:rStyle w:val="FootnoteReference"/>
        </w:rPr>
        <w:footnoteRef/>
      </w:r>
      <w:proofErr w:type="spellStart"/>
      <w:r w:rsidRPr="00BF5F02">
        <w:rPr>
          <w:i/>
        </w:rPr>
        <w:t>Publick</w:t>
      </w:r>
      <w:proofErr w:type="spellEnd"/>
      <w:r w:rsidRPr="00BF5F02">
        <w:rPr>
          <w:i/>
        </w:rPr>
        <w:t xml:space="preserve"> </w:t>
      </w:r>
      <w:proofErr w:type="spellStart"/>
      <w:r w:rsidRPr="00BF5F02">
        <w:rPr>
          <w:i/>
        </w:rPr>
        <w:t>tendering</w:t>
      </w:r>
      <w:proofErr w:type="spellEnd"/>
      <w:r w:rsidRPr="00BF5F02">
        <w:rPr>
          <w:i/>
        </w:rPr>
        <w:t xml:space="preserve"> </w:t>
      </w:r>
      <w:proofErr w:type="spellStart"/>
      <w:r w:rsidRPr="00BF5F02">
        <w:rPr>
          <w:i/>
        </w:rPr>
        <w:t>rules</w:t>
      </w:r>
      <w:proofErr w:type="spellEnd"/>
      <w:r>
        <w:t xml:space="preserve"> [online]. europa.eu, 3. 1. 2020 [cit. 21. 2. 2020]. Dostupné na &lt;</w:t>
      </w:r>
      <w:r w:rsidRPr="00167180">
        <w:t>https://europa.eu/youreurope/business/selling-in-eu/public-contracts/public-tendering-rules/index_en.htm</w:t>
      </w:r>
      <w:r>
        <w:t>&gt;.</w:t>
      </w:r>
    </w:p>
  </w:footnote>
  <w:footnote w:id="73">
    <w:p w14:paraId="1F909B09" w14:textId="7BC103DE" w:rsidR="001A492B" w:rsidRPr="00BD5A07" w:rsidRDefault="001A492B" w:rsidP="00636C4E">
      <w:pPr>
        <w:pStyle w:val="NoSpacing"/>
        <w:jc w:val="both"/>
      </w:pPr>
      <w:r>
        <w:rPr>
          <w:rStyle w:val="FootnoteReference"/>
        </w:rPr>
        <w:footnoteRef/>
      </w:r>
      <w:r>
        <w:t>MACRORY, Patrick F. J.</w:t>
      </w:r>
      <w:r w:rsidRPr="00BD5A07">
        <w:t xml:space="preserve"> </w:t>
      </w:r>
      <w:proofErr w:type="spellStart"/>
      <w:r w:rsidRPr="000F0B78">
        <w:rPr>
          <w:i/>
        </w:rPr>
        <w:t>The</w:t>
      </w:r>
      <w:proofErr w:type="spellEnd"/>
      <w:r w:rsidRPr="000F0B78">
        <w:rPr>
          <w:i/>
        </w:rPr>
        <w:t xml:space="preserve"> </w:t>
      </w:r>
      <w:proofErr w:type="spellStart"/>
      <w:r w:rsidRPr="000F0B78">
        <w:rPr>
          <w:i/>
        </w:rPr>
        <w:t>World</w:t>
      </w:r>
      <w:proofErr w:type="spellEnd"/>
      <w:r w:rsidRPr="000F0B78">
        <w:rPr>
          <w:i/>
        </w:rPr>
        <w:t xml:space="preserve"> </w:t>
      </w:r>
      <w:proofErr w:type="spellStart"/>
      <w:r w:rsidRPr="000F0B78">
        <w:rPr>
          <w:i/>
        </w:rPr>
        <w:t>Trade</w:t>
      </w:r>
      <w:proofErr w:type="spellEnd"/>
      <w:r w:rsidRPr="000F0B78">
        <w:rPr>
          <w:i/>
        </w:rPr>
        <w:t xml:space="preserve"> </w:t>
      </w:r>
      <w:proofErr w:type="spellStart"/>
      <w:r w:rsidRPr="000F0B78">
        <w:rPr>
          <w:i/>
        </w:rPr>
        <w:t>Organization</w:t>
      </w:r>
      <w:proofErr w:type="spellEnd"/>
      <w:r w:rsidRPr="000F0B78">
        <w:rPr>
          <w:i/>
        </w:rPr>
        <w:t xml:space="preserve">: </w:t>
      </w:r>
      <w:proofErr w:type="spellStart"/>
      <w:r w:rsidRPr="000F0B78">
        <w:rPr>
          <w:i/>
        </w:rPr>
        <w:t>Legal</w:t>
      </w:r>
      <w:proofErr w:type="spellEnd"/>
      <w:r w:rsidRPr="000F0B78">
        <w:rPr>
          <w:i/>
        </w:rPr>
        <w:t xml:space="preserve">, </w:t>
      </w:r>
      <w:proofErr w:type="spellStart"/>
      <w:r w:rsidRPr="000F0B78">
        <w:rPr>
          <w:i/>
        </w:rPr>
        <w:t>Economic</w:t>
      </w:r>
      <w:proofErr w:type="spellEnd"/>
      <w:r w:rsidRPr="000F0B78">
        <w:rPr>
          <w:i/>
        </w:rPr>
        <w:t xml:space="preserve"> and </w:t>
      </w:r>
      <w:proofErr w:type="spellStart"/>
      <w:r w:rsidRPr="000F0B78">
        <w:rPr>
          <w:i/>
        </w:rPr>
        <w:t>Political</w:t>
      </w:r>
      <w:proofErr w:type="spellEnd"/>
      <w:r w:rsidRPr="000F0B78">
        <w:rPr>
          <w:i/>
        </w:rPr>
        <w:t xml:space="preserve"> </w:t>
      </w:r>
      <w:proofErr w:type="spellStart"/>
      <w:r w:rsidRPr="000F0B78">
        <w:rPr>
          <w:i/>
        </w:rPr>
        <w:t>Analysis</w:t>
      </w:r>
      <w:proofErr w:type="spellEnd"/>
      <w:r w:rsidRPr="000F0B78">
        <w:rPr>
          <w:i/>
        </w:rPr>
        <w:t>.</w:t>
      </w:r>
      <w:r>
        <w:t xml:space="preserve"> Boston: </w:t>
      </w:r>
      <w:proofErr w:type="spellStart"/>
      <w:r>
        <w:t>Springer</w:t>
      </w:r>
      <w:proofErr w:type="spellEnd"/>
      <w:r>
        <w:t xml:space="preserve"> Science + Business Media, Inc. 2005, s. 1142. </w:t>
      </w:r>
    </w:p>
  </w:footnote>
  <w:footnote w:id="74">
    <w:p w14:paraId="1232368E" w14:textId="36BE6777" w:rsidR="001A492B" w:rsidRPr="005547FB" w:rsidRDefault="001A492B" w:rsidP="00636C4E">
      <w:pPr>
        <w:pStyle w:val="NoSpacing"/>
        <w:jc w:val="both"/>
      </w:pPr>
      <w:r>
        <w:rPr>
          <w:rStyle w:val="FootnoteReference"/>
        </w:rPr>
        <w:footnoteRef/>
      </w:r>
      <w:r w:rsidRPr="00D0079E">
        <w:rPr>
          <w:szCs w:val="20"/>
        </w:rPr>
        <w:t xml:space="preserve">KRUTÁK, Tomáš, </w:t>
      </w:r>
      <w:r w:rsidRPr="00D0079E">
        <w:t xml:space="preserve"> </w:t>
      </w:r>
      <w:r w:rsidRPr="000F0B78">
        <w:rPr>
          <w:i/>
        </w:rPr>
        <w:t>Zákon o zadávání veřejných zakázek s komentářem k 1. 10. 2016.</w:t>
      </w:r>
      <w:r w:rsidRPr="00D0079E">
        <w:t xml:space="preserve"> 1. Vydán</w:t>
      </w:r>
      <w:r>
        <w:t xml:space="preserve">í. Olomouc: ANAG, 2016. s. 198 -199. </w:t>
      </w:r>
    </w:p>
  </w:footnote>
  <w:footnote w:id="75">
    <w:p w14:paraId="3F6C9ADA" w14:textId="314F3C4F" w:rsidR="001A492B" w:rsidRPr="000A1522" w:rsidRDefault="001A492B" w:rsidP="00636C4E">
      <w:pPr>
        <w:pStyle w:val="NoSpacing"/>
        <w:jc w:val="both"/>
      </w:pPr>
      <w:r>
        <w:rPr>
          <w:rStyle w:val="FootnoteReference"/>
        </w:rPr>
        <w:footnoteRef/>
      </w:r>
      <w:r>
        <w:t xml:space="preserve">Čl. 27 odst. 1 věta první Směrnice Evropského parlamentu a Rady 2014/24/EU ze dne 26. února 2014 o zadávání veřejných zakázek a zrušení směrnice 2004/18/ES. </w:t>
      </w:r>
      <w:proofErr w:type="spellStart"/>
      <w:r>
        <w:t>Úř</w:t>
      </w:r>
      <w:proofErr w:type="spellEnd"/>
      <w:r>
        <w:t xml:space="preserve">. </w:t>
      </w:r>
      <w:proofErr w:type="spellStart"/>
      <w:r>
        <w:t>věst</w:t>
      </w:r>
      <w:proofErr w:type="spellEnd"/>
      <w:r>
        <w:t xml:space="preserve">. L 94, 28. 3. 2014, s. 109. </w:t>
      </w:r>
    </w:p>
  </w:footnote>
  <w:footnote w:id="76">
    <w:p w14:paraId="13327FFE" w14:textId="5AB7844C" w:rsidR="001A492B" w:rsidRPr="002E5BFD" w:rsidRDefault="001A492B" w:rsidP="00BF5F02">
      <w:pPr>
        <w:pStyle w:val="NoSpacing"/>
        <w:jc w:val="both"/>
      </w:pPr>
      <w:r>
        <w:rPr>
          <w:rStyle w:val="FootnoteReference"/>
        </w:rPr>
        <w:footnoteRef/>
      </w:r>
      <w:r>
        <w:t xml:space="preserve">PODEŠVA, Vilém a kolektiv. </w:t>
      </w:r>
      <w:r w:rsidRPr="002A3904">
        <w:rPr>
          <w:i/>
        </w:rPr>
        <w:t>Zákon o zadávání veřejných zakázek. Zákon o registru smluv.- Komentář.</w:t>
      </w:r>
      <w:r>
        <w:t xml:space="preserve"> Praha: </w:t>
      </w:r>
      <w:proofErr w:type="spellStart"/>
      <w:r>
        <w:t>Wolters</w:t>
      </w:r>
      <w:proofErr w:type="spellEnd"/>
      <w:r>
        <w:t xml:space="preserve"> </w:t>
      </w:r>
      <w:proofErr w:type="spellStart"/>
      <w:r>
        <w:t>Kluwer</w:t>
      </w:r>
      <w:proofErr w:type="spellEnd"/>
      <w:r>
        <w:t xml:space="preserve"> ČR, 2016, s. 234. </w:t>
      </w:r>
    </w:p>
  </w:footnote>
  <w:footnote w:id="77">
    <w:p w14:paraId="316D0319" w14:textId="696879D4" w:rsidR="001A492B" w:rsidRPr="00E25128" w:rsidRDefault="001A492B" w:rsidP="00E91DDC">
      <w:pPr>
        <w:pStyle w:val="NoSpacing"/>
      </w:pPr>
      <w:r>
        <w:rPr>
          <w:rStyle w:val="FootnoteReference"/>
        </w:rPr>
        <w:footnoteRef/>
      </w:r>
      <w:r>
        <w:t xml:space="preserve">Předběžným oznámením „se rozumějí veškeré dokumenty vypracované veřejným zadavatelem nebo na něž veřejný zadavatel odkazuje aby popsal či určil prvky veřejné zakázky nebo řízení“ cit. čl. 2 bod. 13 Směrnice Evropského parlamentu a Rady 2014/24/EU ze dne 26. února 2014 o zadávání veřejných zakázek a zrušení směrnice 2004/18/ES. </w:t>
      </w:r>
      <w:proofErr w:type="spellStart"/>
      <w:r>
        <w:t>Úř</w:t>
      </w:r>
      <w:proofErr w:type="spellEnd"/>
      <w:r>
        <w:t xml:space="preserve">. </w:t>
      </w:r>
      <w:proofErr w:type="spellStart"/>
      <w:r>
        <w:t>věst</w:t>
      </w:r>
      <w:proofErr w:type="spellEnd"/>
      <w:r>
        <w:t>. L 94, 28. 3. 2014, s. 97.</w:t>
      </w:r>
    </w:p>
  </w:footnote>
  <w:footnote w:id="78">
    <w:p w14:paraId="5F378434" w14:textId="02634711" w:rsidR="001A492B" w:rsidRPr="00BA6367" w:rsidRDefault="001A492B" w:rsidP="00BA6367">
      <w:pPr>
        <w:pStyle w:val="NoSpacing"/>
      </w:pPr>
      <w:r>
        <w:rPr>
          <w:rStyle w:val="FootnoteReference"/>
        </w:rPr>
        <w:footnoteRef/>
      </w:r>
      <w:r>
        <w:t xml:space="preserve">Čl. 27 odst. 2 Směrnice Evropského parlamentu a Rady 2014/24/EU ze dne 26. února 2014 o zadávání veřejných zakázek a zrušení směrnice 2004/18/ES. </w:t>
      </w:r>
      <w:proofErr w:type="spellStart"/>
      <w:r>
        <w:t>Úř</w:t>
      </w:r>
      <w:proofErr w:type="spellEnd"/>
      <w:r>
        <w:t xml:space="preserve">. </w:t>
      </w:r>
      <w:proofErr w:type="spellStart"/>
      <w:r>
        <w:t>věst</w:t>
      </w:r>
      <w:proofErr w:type="spellEnd"/>
      <w:r>
        <w:t>. L 94, 28. 3. 2014, s. 109-110.</w:t>
      </w:r>
    </w:p>
  </w:footnote>
  <w:footnote w:id="79">
    <w:p w14:paraId="4307BA16" w14:textId="39B9AFB4" w:rsidR="001A492B" w:rsidRPr="00BC4E10" w:rsidRDefault="001A492B" w:rsidP="00BC4E10">
      <w:pPr>
        <w:pStyle w:val="NoSpacing"/>
      </w:pPr>
      <w:r>
        <w:rPr>
          <w:rStyle w:val="FootnoteReference"/>
        </w:rPr>
        <w:footnoteRef/>
      </w:r>
      <w:r>
        <w:t>„</w:t>
      </w:r>
      <w:r w:rsidRPr="00BC4E10">
        <w:t>Elektronickými prostředky se rozumí ele</w:t>
      </w:r>
      <w:r>
        <w:t>k</w:t>
      </w:r>
      <w:r w:rsidRPr="00BC4E10">
        <w:t>tronické zařízení pro zpracování (včetně digitální komprese) a ukládání dat zaslaných, přenesených a přijatých telefonicky nebo telegraficky, rádiově, optickými prostředky nebo jinými elektromagnetickými prostředky.</w:t>
      </w:r>
      <w:r>
        <w:t xml:space="preserve">” Čl. 2 odst. 1 bod 21 Směrnice Evropského parlamentu a Rady 2014/24/EU ze dne 26. února 2014 o zadávání veřejných zakázek a zrušení směrnice 2004/18/ES. </w:t>
      </w:r>
      <w:proofErr w:type="spellStart"/>
      <w:r>
        <w:t>Úř</w:t>
      </w:r>
      <w:proofErr w:type="spellEnd"/>
      <w:r>
        <w:t xml:space="preserve">. </w:t>
      </w:r>
      <w:proofErr w:type="spellStart"/>
      <w:r>
        <w:t>věst</w:t>
      </w:r>
      <w:proofErr w:type="spellEnd"/>
      <w:r>
        <w:t>. L 94, 28. 3. 2014, s. 96.</w:t>
      </w:r>
    </w:p>
  </w:footnote>
  <w:footnote w:id="80">
    <w:p w14:paraId="71D116EF" w14:textId="23965E97" w:rsidR="001A492B" w:rsidRPr="00BC4E10" w:rsidRDefault="001A492B" w:rsidP="00BC4E10">
      <w:pPr>
        <w:pStyle w:val="NoSpacing"/>
      </w:pPr>
      <w:r>
        <w:rPr>
          <w:rStyle w:val="FootnoteReference"/>
        </w:rPr>
        <w:footnoteRef/>
      </w:r>
      <w:r>
        <w:t xml:space="preserve">Čl. 27 odst. 3 a 4 Směrnice Evropského parlamentu a Rady 2014/24/EU ze dne 26. února 2014 o zadávání veřejných zakázek a zrušení směrnice 2004/18/ES. </w:t>
      </w:r>
      <w:proofErr w:type="spellStart"/>
      <w:r>
        <w:t>Úř</w:t>
      </w:r>
      <w:proofErr w:type="spellEnd"/>
      <w:r>
        <w:t xml:space="preserve">. </w:t>
      </w:r>
      <w:proofErr w:type="spellStart"/>
      <w:r>
        <w:t>věst</w:t>
      </w:r>
      <w:proofErr w:type="spellEnd"/>
      <w:r>
        <w:t>. L 94, 28. 3. 2014, s. 110.</w:t>
      </w:r>
    </w:p>
  </w:footnote>
  <w:footnote w:id="81">
    <w:p w14:paraId="33894C76" w14:textId="3062484D" w:rsidR="001A492B" w:rsidRPr="00A45427" w:rsidRDefault="001A492B" w:rsidP="00B62BFA">
      <w:pPr>
        <w:pStyle w:val="NoSpacing"/>
      </w:pPr>
      <w:r w:rsidRPr="00D0079E">
        <w:rPr>
          <w:rStyle w:val="FootnoteReference"/>
        </w:rPr>
        <w:footnoteRef/>
      </w:r>
      <w:r>
        <w:rPr>
          <w:szCs w:val="20"/>
        </w:rPr>
        <w:t xml:space="preserve">KRUTÁK, Tomáš. </w:t>
      </w:r>
      <w:r w:rsidRPr="000F0B78">
        <w:rPr>
          <w:i/>
        </w:rPr>
        <w:t>Zákon o zadávání veřejných zakázek s komentářem k 1. 10. 2016.</w:t>
      </w:r>
      <w:r w:rsidRPr="00D0079E">
        <w:t xml:space="preserve"> 1. Vydání. Olomouc: ANAG, 2016, s. 202. </w:t>
      </w:r>
    </w:p>
  </w:footnote>
  <w:footnote w:id="82">
    <w:p w14:paraId="7071AD57" w14:textId="0ACB5513" w:rsidR="001A492B" w:rsidRPr="00CE6912" w:rsidRDefault="001A492B" w:rsidP="00CE6912">
      <w:pPr>
        <w:pStyle w:val="NoSpacing"/>
      </w:pPr>
      <w:r>
        <w:rPr>
          <w:rStyle w:val="FootnoteReference"/>
        </w:rPr>
        <w:footnoteRef/>
      </w:r>
      <w:r w:rsidRPr="00E20D5F">
        <w:t xml:space="preserve">DVOŘÁK, David. </w:t>
      </w:r>
      <w:r w:rsidRPr="00E20D5F">
        <w:rPr>
          <w:i/>
        </w:rPr>
        <w:t>Zákon o zadávání veřejných zakázek: komentář.</w:t>
      </w:r>
      <w:r w:rsidRPr="00E20D5F">
        <w:t xml:space="preserve"> </w:t>
      </w:r>
      <w:r>
        <w:t>Praha: C. H. Beck, 2017, s. 352.</w:t>
      </w:r>
    </w:p>
  </w:footnote>
  <w:footnote w:id="83">
    <w:p w14:paraId="51BE1EC3" w14:textId="6107452B" w:rsidR="001A492B" w:rsidRPr="00931223" w:rsidRDefault="001A492B" w:rsidP="00931223">
      <w:pPr>
        <w:pStyle w:val="NoSpacing"/>
      </w:pPr>
      <w:r>
        <w:rPr>
          <w:rStyle w:val="FootnoteReference"/>
        </w:rPr>
        <w:footnoteRef/>
      </w:r>
      <w:r>
        <w:t xml:space="preserve">MAREK, Karel. </w:t>
      </w:r>
      <w:r w:rsidRPr="00ED04E3">
        <w:rPr>
          <w:i/>
        </w:rPr>
        <w:t>Aktuální problémy zadávání veřejných zakázek</w:t>
      </w:r>
      <w:r>
        <w:t xml:space="preserve"> [online]. Bulletin-advokacie.cz, 22. 5. 2017 [cit. 21. 2. 2020]. Dostupné na &lt;</w:t>
      </w:r>
      <w:r w:rsidRPr="0078157B">
        <w:t>http://www.bulletin-advokacie.cz/aktualni-problemy-zadavani-verejnych-zakazek</w:t>
      </w:r>
      <w:r>
        <w:t>&gt;.</w:t>
      </w:r>
    </w:p>
  </w:footnote>
  <w:footnote w:id="84">
    <w:p w14:paraId="6FF29962" w14:textId="1BFBBAC5" w:rsidR="001A492B" w:rsidRPr="00931223" w:rsidRDefault="001A492B" w:rsidP="00A717C0">
      <w:pPr>
        <w:pStyle w:val="NoSpacing"/>
      </w:pPr>
      <w:r>
        <w:rPr>
          <w:rStyle w:val="FootnoteReference"/>
        </w:rPr>
        <w:footnoteRef/>
      </w:r>
      <w:proofErr w:type="spellStart"/>
      <w:r w:rsidRPr="001E717C">
        <w:t>European</w:t>
      </w:r>
      <w:proofErr w:type="spellEnd"/>
      <w:r w:rsidRPr="001E717C">
        <w:t xml:space="preserve"> </w:t>
      </w:r>
      <w:proofErr w:type="spellStart"/>
      <w:r w:rsidRPr="001E717C">
        <w:t>Commission</w:t>
      </w:r>
      <w:proofErr w:type="spellEnd"/>
      <w:r w:rsidRPr="001E717C">
        <w:t xml:space="preserve">, </w:t>
      </w:r>
      <w:proofErr w:type="spellStart"/>
      <w:r w:rsidRPr="001E717C">
        <w:t>Directorate</w:t>
      </w:r>
      <w:proofErr w:type="spellEnd"/>
      <w:r w:rsidRPr="001E717C">
        <w:t xml:space="preserve">-General </w:t>
      </w:r>
      <w:proofErr w:type="spellStart"/>
      <w:r w:rsidRPr="001E717C">
        <w:t>for</w:t>
      </w:r>
      <w:proofErr w:type="spellEnd"/>
      <w:r w:rsidRPr="001E717C">
        <w:t xml:space="preserve"> </w:t>
      </w:r>
      <w:proofErr w:type="spellStart"/>
      <w:r w:rsidRPr="001E717C">
        <w:t>Regional</w:t>
      </w:r>
      <w:proofErr w:type="spellEnd"/>
      <w:r w:rsidRPr="001E717C">
        <w:t xml:space="preserve"> and Urban </w:t>
      </w:r>
      <w:proofErr w:type="spellStart"/>
      <w:r w:rsidRPr="001E717C">
        <w:t>policy</w:t>
      </w:r>
      <w:proofErr w:type="spellEnd"/>
      <w:r w:rsidRPr="001E717C">
        <w:t xml:space="preserve">. </w:t>
      </w:r>
      <w:proofErr w:type="spellStart"/>
      <w:r w:rsidRPr="001E717C">
        <w:rPr>
          <w:i/>
        </w:rPr>
        <w:t>Prakticka</w:t>
      </w:r>
      <w:proofErr w:type="spellEnd"/>
      <w:r w:rsidRPr="001E717C">
        <w:rPr>
          <w:i/>
        </w:rPr>
        <w:t xml:space="preserve">́ </w:t>
      </w:r>
      <w:proofErr w:type="spellStart"/>
      <w:r w:rsidRPr="001E717C">
        <w:rPr>
          <w:i/>
        </w:rPr>
        <w:t>příručka</w:t>
      </w:r>
      <w:proofErr w:type="spellEnd"/>
      <w:r w:rsidRPr="001E717C">
        <w:rPr>
          <w:i/>
        </w:rPr>
        <w:t xml:space="preserve">, jak </w:t>
      </w:r>
      <w:proofErr w:type="spellStart"/>
      <w:r w:rsidRPr="001E717C">
        <w:rPr>
          <w:i/>
        </w:rPr>
        <w:t>předcházet</w:t>
      </w:r>
      <w:proofErr w:type="spellEnd"/>
      <w:r w:rsidRPr="001E717C">
        <w:rPr>
          <w:i/>
        </w:rPr>
        <w:t xml:space="preserve"> </w:t>
      </w:r>
      <w:proofErr w:type="spellStart"/>
      <w:r w:rsidRPr="001E717C">
        <w:rPr>
          <w:i/>
        </w:rPr>
        <w:t>nejčastějším</w:t>
      </w:r>
      <w:proofErr w:type="spellEnd"/>
      <w:r w:rsidRPr="001E717C">
        <w:rPr>
          <w:i/>
        </w:rPr>
        <w:t xml:space="preserve"> </w:t>
      </w:r>
      <w:proofErr w:type="spellStart"/>
      <w:r w:rsidRPr="001E717C">
        <w:rPr>
          <w:i/>
        </w:rPr>
        <w:t>chybám</w:t>
      </w:r>
      <w:proofErr w:type="spellEnd"/>
      <w:r w:rsidRPr="001E717C">
        <w:rPr>
          <w:i/>
        </w:rPr>
        <w:t xml:space="preserve"> </w:t>
      </w:r>
      <w:proofErr w:type="spellStart"/>
      <w:r w:rsidRPr="001E717C">
        <w:rPr>
          <w:i/>
        </w:rPr>
        <w:t>při</w:t>
      </w:r>
      <w:proofErr w:type="spellEnd"/>
      <w:r w:rsidRPr="001E717C">
        <w:rPr>
          <w:i/>
        </w:rPr>
        <w:t xml:space="preserve"> </w:t>
      </w:r>
      <w:proofErr w:type="spellStart"/>
      <w:r w:rsidRPr="001E717C">
        <w:rPr>
          <w:i/>
        </w:rPr>
        <w:t>zadáváni</w:t>
      </w:r>
      <w:proofErr w:type="spellEnd"/>
      <w:r w:rsidRPr="001E717C">
        <w:rPr>
          <w:i/>
        </w:rPr>
        <w:t xml:space="preserve">́ </w:t>
      </w:r>
      <w:proofErr w:type="spellStart"/>
      <w:r w:rsidRPr="001E717C">
        <w:rPr>
          <w:i/>
        </w:rPr>
        <w:t>veřejných</w:t>
      </w:r>
      <w:proofErr w:type="spellEnd"/>
      <w:r w:rsidRPr="001E717C">
        <w:rPr>
          <w:i/>
        </w:rPr>
        <w:t xml:space="preserve"> </w:t>
      </w:r>
      <w:proofErr w:type="spellStart"/>
      <w:r w:rsidRPr="001E717C">
        <w:rPr>
          <w:i/>
        </w:rPr>
        <w:t>zakázek</w:t>
      </w:r>
      <w:proofErr w:type="spellEnd"/>
      <w:r w:rsidRPr="001E717C">
        <w:rPr>
          <w:i/>
        </w:rPr>
        <w:t xml:space="preserve"> na projekty </w:t>
      </w:r>
      <w:proofErr w:type="spellStart"/>
      <w:r w:rsidRPr="001E717C">
        <w:rPr>
          <w:i/>
        </w:rPr>
        <w:t>financovane</w:t>
      </w:r>
      <w:proofErr w:type="spellEnd"/>
      <w:r w:rsidRPr="001E717C">
        <w:rPr>
          <w:i/>
        </w:rPr>
        <w:t xml:space="preserve">́ z </w:t>
      </w:r>
      <w:proofErr w:type="spellStart"/>
      <w:r w:rsidRPr="001E717C">
        <w:rPr>
          <w:i/>
        </w:rPr>
        <w:t>evropských</w:t>
      </w:r>
      <w:proofErr w:type="spellEnd"/>
      <w:r w:rsidRPr="001E717C">
        <w:rPr>
          <w:i/>
        </w:rPr>
        <w:t xml:space="preserve"> </w:t>
      </w:r>
      <w:proofErr w:type="spellStart"/>
      <w:r w:rsidRPr="001E717C">
        <w:rPr>
          <w:i/>
        </w:rPr>
        <w:t>strukturálních</w:t>
      </w:r>
      <w:proofErr w:type="spellEnd"/>
      <w:r w:rsidRPr="001E717C">
        <w:rPr>
          <w:i/>
        </w:rPr>
        <w:t xml:space="preserve"> a </w:t>
      </w:r>
      <w:proofErr w:type="spellStart"/>
      <w:r w:rsidRPr="001E717C">
        <w:rPr>
          <w:i/>
        </w:rPr>
        <w:t>investičních</w:t>
      </w:r>
      <w:proofErr w:type="spellEnd"/>
      <w:r w:rsidRPr="001E717C">
        <w:rPr>
          <w:i/>
        </w:rPr>
        <w:t xml:space="preserve"> fondů, </w:t>
      </w:r>
      <w:proofErr w:type="spellStart"/>
      <w:r w:rsidRPr="001E717C">
        <w:rPr>
          <w:i/>
        </w:rPr>
        <w:t>určena</w:t>
      </w:r>
      <w:proofErr w:type="spellEnd"/>
      <w:r w:rsidRPr="001E717C">
        <w:rPr>
          <w:i/>
        </w:rPr>
        <w:t xml:space="preserve">́ </w:t>
      </w:r>
      <w:proofErr w:type="spellStart"/>
      <w:r w:rsidRPr="001E717C">
        <w:rPr>
          <w:i/>
        </w:rPr>
        <w:t>odborníkům</w:t>
      </w:r>
      <w:proofErr w:type="spellEnd"/>
      <w:r w:rsidRPr="001E717C">
        <w:rPr>
          <w:i/>
        </w:rPr>
        <w:t xml:space="preserve"> z praxe. </w:t>
      </w:r>
      <w:r w:rsidRPr="001E717C">
        <w:t xml:space="preserve">Lucemburk: </w:t>
      </w:r>
      <w:proofErr w:type="spellStart"/>
      <w:r w:rsidRPr="001E717C">
        <w:t>Úřad</w:t>
      </w:r>
      <w:proofErr w:type="spellEnd"/>
      <w:r w:rsidRPr="001E717C">
        <w:t xml:space="preserve"> pro </w:t>
      </w:r>
      <w:r>
        <w:t xml:space="preserve">publikace </w:t>
      </w:r>
      <w:proofErr w:type="spellStart"/>
      <w:r>
        <w:t>Evropske</w:t>
      </w:r>
      <w:proofErr w:type="spellEnd"/>
      <w:r>
        <w:t>́ unie, 2015. s. 18.</w:t>
      </w:r>
    </w:p>
  </w:footnote>
  <w:footnote w:id="85">
    <w:p w14:paraId="7DC018E9" w14:textId="567C9731" w:rsidR="001A492B" w:rsidRPr="00FD0C32" w:rsidRDefault="001A492B" w:rsidP="00ED04E3">
      <w:pPr>
        <w:pStyle w:val="NoSpacing"/>
        <w:keepLines/>
        <w:jc w:val="both"/>
      </w:pPr>
      <w:r>
        <w:rPr>
          <w:rStyle w:val="FootnoteReference"/>
        </w:rPr>
        <w:footnoteRef/>
      </w:r>
      <w:r>
        <w:t xml:space="preserve">RYDVAN, Tomáš, SEMÉNKOVÁ, Dita. </w:t>
      </w:r>
      <w:r w:rsidRPr="00ED04E3">
        <w:rPr>
          <w:i/>
        </w:rPr>
        <w:t>Povinnost vyznačit v předběžném oznámení informaci o zkrácení lhůt pro doručení nabídek a obecně ke lhůtě pro podání nabídek</w:t>
      </w:r>
      <w:r w:rsidRPr="00ED04E3">
        <w:t xml:space="preserve"> </w:t>
      </w:r>
      <w:r>
        <w:t>[online]. Epravo.cz, 24. 10. 2019 [cit. 22. 2. 2020]. Dostupné na &lt;</w:t>
      </w:r>
      <w:r w:rsidRPr="00FD0C32">
        <w:t>https://www.epravo.cz/top/clanky/povinnost-vyznacit-v-predbeznem-oznameni-informaci-o-zkraceni-lhut-pro-doruceni-nabidek-a-obecne-ke-lhute-pro-podani-nabidek-110140.html</w:t>
      </w:r>
      <w:r>
        <w:t>&gt;.</w:t>
      </w:r>
    </w:p>
  </w:footnote>
  <w:footnote w:id="86">
    <w:p w14:paraId="1F5719D0" w14:textId="41A0618E" w:rsidR="001A492B" w:rsidRPr="00A66AA4" w:rsidRDefault="001A492B" w:rsidP="00A66AA4">
      <w:pPr>
        <w:pStyle w:val="NoSpacing"/>
      </w:pPr>
      <w:r>
        <w:rPr>
          <w:rStyle w:val="FootnoteReference"/>
        </w:rPr>
        <w:footnoteRef/>
      </w:r>
      <w:proofErr w:type="spellStart"/>
      <w:r>
        <w:t>European</w:t>
      </w:r>
      <w:proofErr w:type="spellEnd"/>
      <w:r>
        <w:t xml:space="preserve"> </w:t>
      </w:r>
      <w:proofErr w:type="spellStart"/>
      <w:r>
        <w:t>Commission</w:t>
      </w:r>
      <w:proofErr w:type="spellEnd"/>
      <w:r>
        <w:t xml:space="preserve">, </w:t>
      </w:r>
      <w:proofErr w:type="spellStart"/>
      <w:r>
        <w:t>Directorate</w:t>
      </w:r>
      <w:proofErr w:type="spellEnd"/>
      <w:r>
        <w:t xml:space="preserve"> – </w:t>
      </w:r>
      <w:proofErr w:type="spellStart"/>
      <w:r>
        <w:t>general</w:t>
      </w:r>
      <w:proofErr w:type="spellEnd"/>
      <w:r>
        <w:t xml:space="preserve"> </w:t>
      </w:r>
      <w:proofErr w:type="spellStart"/>
      <w:r>
        <w:t>for</w:t>
      </w:r>
      <w:proofErr w:type="spellEnd"/>
      <w:r>
        <w:t xml:space="preserve"> </w:t>
      </w:r>
      <w:proofErr w:type="spellStart"/>
      <w:r>
        <w:t>Regional</w:t>
      </w:r>
      <w:proofErr w:type="spellEnd"/>
      <w:r>
        <w:t xml:space="preserve"> and Urban </w:t>
      </w:r>
      <w:proofErr w:type="spellStart"/>
      <w:r>
        <w:t>policy</w:t>
      </w:r>
      <w:proofErr w:type="spellEnd"/>
      <w:r>
        <w:t xml:space="preserve">. </w:t>
      </w:r>
      <w:r w:rsidRPr="000F0B78">
        <w:rPr>
          <w:i/>
        </w:rPr>
        <w:t>Zadávání veřejných zakázek – praktická příručka</w:t>
      </w:r>
      <w:r>
        <w:t>. Lucemburk: Úřad pro publikace Evropské unie, 2015. s. 8.</w:t>
      </w:r>
    </w:p>
  </w:footnote>
  <w:footnote w:id="87">
    <w:p w14:paraId="1082D740" w14:textId="1D29F217" w:rsidR="001A492B" w:rsidRPr="002C48ED" w:rsidRDefault="001A492B" w:rsidP="00C428D9">
      <w:pPr>
        <w:pStyle w:val="NoSpacing"/>
      </w:pPr>
      <w:r>
        <w:rPr>
          <w:rStyle w:val="FootnoteReference"/>
        </w:rPr>
        <w:footnoteRef/>
      </w:r>
      <w:r>
        <w:rPr>
          <w:szCs w:val="20"/>
        </w:rPr>
        <w:t>KRUTÁK, Tomáš.</w:t>
      </w:r>
      <w:r w:rsidRPr="00D0079E">
        <w:rPr>
          <w:szCs w:val="20"/>
        </w:rPr>
        <w:t xml:space="preserve"> </w:t>
      </w:r>
      <w:r w:rsidRPr="00D0079E">
        <w:t xml:space="preserve"> </w:t>
      </w:r>
      <w:r w:rsidRPr="000F0B78">
        <w:rPr>
          <w:i/>
        </w:rPr>
        <w:t>Zákon o zadávání veřejných zakázek s komentářem k 1. 10. 2016</w:t>
      </w:r>
      <w:r w:rsidRPr="00D0079E">
        <w:t>. 1. Vydán</w:t>
      </w:r>
      <w:r>
        <w:t>í. Olomouc: ANAG, 2016, s. 50.</w:t>
      </w:r>
    </w:p>
  </w:footnote>
  <w:footnote w:id="88">
    <w:p w14:paraId="03264A1D" w14:textId="6D392256" w:rsidR="001A492B" w:rsidRPr="00C428D9" w:rsidRDefault="001A492B" w:rsidP="00545507">
      <w:pPr>
        <w:pStyle w:val="NoSpacing"/>
        <w:jc w:val="both"/>
      </w:pPr>
      <w:r>
        <w:rPr>
          <w:rStyle w:val="FootnoteReference"/>
        </w:rPr>
        <w:footnoteRef/>
      </w:r>
      <w:r>
        <w:t xml:space="preserve">Interpretační sdělení komise </w:t>
      </w:r>
      <w:r w:rsidRPr="004017DB">
        <w:t xml:space="preserve">o </w:t>
      </w:r>
      <w:proofErr w:type="spellStart"/>
      <w:r w:rsidRPr="004017DB">
        <w:t>právních</w:t>
      </w:r>
      <w:proofErr w:type="spellEnd"/>
      <w:r w:rsidRPr="004017DB">
        <w:t xml:space="preserve"> </w:t>
      </w:r>
      <w:proofErr w:type="spellStart"/>
      <w:r w:rsidRPr="004017DB">
        <w:t>předpisech</w:t>
      </w:r>
      <w:proofErr w:type="spellEnd"/>
      <w:r w:rsidRPr="004017DB">
        <w:t xml:space="preserve"> </w:t>
      </w:r>
      <w:proofErr w:type="spellStart"/>
      <w:r w:rsidRPr="004017DB">
        <w:t>Společenstvi</w:t>
      </w:r>
      <w:proofErr w:type="spellEnd"/>
      <w:r w:rsidRPr="004017DB">
        <w:t xml:space="preserve">́ </w:t>
      </w:r>
      <w:proofErr w:type="spellStart"/>
      <w:r w:rsidRPr="004017DB">
        <w:t>použitelných</w:t>
      </w:r>
      <w:proofErr w:type="spellEnd"/>
      <w:r w:rsidRPr="004017DB">
        <w:t xml:space="preserve"> pro </w:t>
      </w:r>
      <w:proofErr w:type="spellStart"/>
      <w:r w:rsidRPr="004017DB">
        <w:t>zadáváni</w:t>
      </w:r>
      <w:proofErr w:type="spellEnd"/>
      <w:r w:rsidRPr="004017DB">
        <w:t xml:space="preserve">́ </w:t>
      </w:r>
      <w:proofErr w:type="spellStart"/>
      <w:r w:rsidRPr="004017DB">
        <w:t>za</w:t>
      </w:r>
      <w:r>
        <w:t>kázek</w:t>
      </w:r>
      <w:proofErr w:type="spellEnd"/>
      <w:r>
        <w:t xml:space="preserve">, na </w:t>
      </w:r>
      <w:proofErr w:type="spellStart"/>
      <w:r>
        <w:t>ktere</w:t>
      </w:r>
      <w:proofErr w:type="spellEnd"/>
      <w:r>
        <w:t xml:space="preserve">́ se </w:t>
      </w:r>
      <w:proofErr w:type="spellStart"/>
      <w:r>
        <w:t>plne</w:t>
      </w:r>
      <w:proofErr w:type="spellEnd"/>
      <w:r>
        <w:t xml:space="preserve">̌ nebo </w:t>
      </w:r>
      <w:proofErr w:type="spellStart"/>
      <w:r w:rsidRPr="004017DB">
        <w:t>částečne</w:t>
      </w:r>
      <w:proofErr w:type="spellEnd"/>
      <w:r w:rsidRPr="004017DB">
        <w:t xml:space="preserve">̌ nevztahují </w:t>
      </w:r>
      <w:proofErr w:type="spellStart"/>
      <w:r w:rsidRPr="004017DB">
        <w:t>směrnice</w:t>
      </w:r>
      <w:proofErr w:type="spellEnd"/>
      <w:r w:rsidRPr="004017DB">
        <w:t xml:space="preserve"> o </w:t>
      </w:r>
      <w:proofErr w:type="spellStart"/>
      <w:r>
        <w:t>zadáváni</w:t>
      </w:r>
      <w:proofErr w:type="spellEnd"/>
      <w:r>
        <w:t xml:space="preserve">́ </w:t>
      </w:r>
      <w:proofErr w:type="spellStart"/>
      <w:r>
        <w:t>veřejných</w:t>
      </w:r>
      <w:proofErr w:type="spellEnd"/>
      <w:r>
        <w:t xml:space="preserve"> </w:t>
      </w:r>
      <w:proofErr w:type="spellStart"/>
      <w:r>
        <w:t>zakázek</w:t>
      </w:r>
      <w:proofErr w:type="spellEnd"/>
      <w:r>
        <w:t xml:space="preserve">. </w:t>
      </w:r>
      <w:proofErr w:type="spellStart"/>
      <w:r>
        <w:t>Úř</w:t>
      </w:r>
      <w:proofErr w:type="spellEnd"/>
      <w:r>
        <w:t xml:space="preserve">. </w:t>
      </w:r>
      <w:proofErr w:type="spellStart"/>
      <w:r>
        <w:t>věst</w:t>
      </w:r>
      <w:proofErr w:type="spellEnd"/>
      <w:r>
        <w:t xml:space="preserve">. C179, 1. 8. 2006, s. </w:t>
      </w:r>
      <w:r w:rsidRPr="00C428D9">
        <w:t>2</w:t>
      </w:r>
      <w:r>
        <w:t xml:space="preserve">. </w:t>
      </w:r>
    </w:p>
  </w:footnote>
  <w:footnote w:id="89">
    <w:p w14:paraId="170F2E97" w14:textId="43E7301B" w:rsidR="001A492B" w:rsidRPr="00290BB7" w:rsidRDefault="001A492B" w:rsidP="00545507">
      <w:pPr>
        <w:pStyle w:val="NoSpacing"/>
        <w:jc w:val="both"/>
      </w:pPr>
      <w:r>
        <w:rPr>
          <w:rStyle w:val="FootnoteReference"/>
        </w:rPr>
        <w:footnoteRef/>
      </w:r>
      <w:r w:rsidRPr="00F72E15">
        <w:t>Čl. 2 a 21 Smlouvy o evropské unii (konsolidované znění). Úřední věstník C 326, 26. 10. 2012, s. 17 a 28.</w:t>
      </w:r>
      <w:r>
        <w:t xml:space="preserve"> </w:t>
      </w:r>
    </w:p>
  </w:footnote>
  <w:footnote w:id="90">
    <w:p w14:paraId="3A9378F0" w14:textId="24E0E6CF" w:rsidR="001A492B" w:rsidRPr="0064428A" w:rsidRDefault="001A492B" w:rsidP="0064428A">
      <w:pPr>
        <w:pStyle w:val="NoSpacing"/>
      </w:pPr>
      <w:r>
        <w:rPr>
          <w:rStyle w:val="FootnoteReference"/>
        </w:rPr>
        <w:footnoteRef/>
      </w:r>
      <w:r>
        <w:t xml:space="preserve">ŘEZNÍČEK, David. ŽIDZIKOVÁ, Jana. </w:t>
      </w:r>
      <w:r w:rsidRPr="0064428A">
        <w:rPr>
          <w:i/>
        </w:rPr>
        <w:t>Zadávací řízení podle zákona o veřejných zakázkách</w:t>
      </w:r>
      <w:r>
        <w:rPr>
          <w:i/>
        </w:rPr>
        <w:t xml:space="preserve"> </w:t>
      </w:r>
      <w:r>
        <w:t>[online]. epravo.cz, 10. 2. 2015 [cit. 23. 3. 2020]. Dostupné na &lt;</w:t>
      </w:r>
      <w:r w:rsidRPr="0064428A">
        <w:t>https://www.epravo.cz/top/clanky/zadavaci-rizeni-podle-zakona-o-verejnych-zakazkach-96828.html</w:t>
      </w:r>
      <w:r>
        <w:t>&gt;.</w:t>
      </w:r>
    </w:p>
  </w:footnote>
  <w:footnote w:id="91">
    <w:p w14:paraId="1903AC03" w14:textId="0D8B3DBF" w:rsidR="001A492B" w:rsidRPr="00770307" w:rsidRDefault="001A492B" w:rsidP="00545507">
      <w:pPr>
        <w:pStyle w:val="NoSpacing"/>
        <w:jc w:val="both"/>
      </w:pPr>
      <w:r>
        <w:rPr>
          <w:rStyle w:val="FootnoteReference"/>
        </w:rPr>
        <w:footnoteRef/>
      </w:r>
      <w:r>
        <w:t>Rozsudek ze dne 25. 4.</w:t>
      </w:r>
      <w:r>
        <w:rPr>
          <w:i/>
        </w:rPr>
        <w:t xml:space="preserve"> </w:t>
      </w:r>
      <w:r w:rsidRPr="00DF5C7C">
        <w:t>1996</w:t>
      </w:r>
      <w:r>
        <w:t xml:space="preserve">, </w:t>
      </w:r>
      <w:r w:rsidRPr="00DF5C7C">
        <w:rPr>
          <w:i/>
        </w:rPr>
        <w:t>Komi</w:t>
      </w:r>
      <w:r>
        <w:rPr>
          <w:i/>
        </w:rPr>
        <w:t xml:space="preserve">se Evropských společenství proti Belgickému království, </w:t>
      </w:r>
      <w:r w:rsidRPr="00DF5C7C">
        <w:rPr>
          <w:i/>
        </w:rPr>
        <w:t>C</w:t>
      </w:r>
      <w:r>
        <w:t xml:space="preserve">-87/94, Sb. </w:t>
      </w:r>
      <w:proofErr w:type="spellStart"/>
      <w:r>
        <w:t>rozh</w:t>
      </w:r>
      <w:proofErr w:type="spellEnd"/>
      <w:r>
        <w:t xml:space="preserve">. 1996, s. I-02043, bod 51. </w:t>
      </w:r>
    </w:p>
  </w:footnote>
  <w:footnote w:id="92">
    <w:p w14:paraId="4EE6E31C" w14:textId="73C66D68" w:rsidR="001A492B" w:rsidRPr="00E91F91" w:rsidRDefault="001A492B" w:rsidP="00281033">
      <w:pPr>
        <w:pStyle w:val="NoSpacing"/>
        <w:jc w:val="both"/>
      </w:pPr>
      <w:r>
        <w:rPr>
          <w:rStyle w:val="FootnoteReference"/>
        </w:rPr>
        <w:footnoteRef/>
      </w:r>
      <w:r>
        <w:t xml:space="preserve">POREMSKÁ, Michaela. </w:t>
      </w:r>
      <w:r w:rsidRPr="000F0B78">
        <w:t>Právní zásady v rozhodnutích ve věci veřejných zakázek.</w:t>
      </w:r>
      <w:r>
        <w:t xml:space="preserve"> </w:t>
      </w:r>
      <w:r w:rsidRPr="000F0B78">
        <w:rPr>
          <w:i/>
        </w:rPr>
        <w:t>Časopis pro právní vědu a praxi</w:t>
      </w:r>
      <w:r>
        <w:t>, 2009, roč. 17, č</w:t>
      </w:r>
      <w:r w:rsidRPr="00E91F91">
        <w:t>. 2, s. 88</w:t>
      </w:r>
      <w:r>
        <w:t>.</w:t>
      </w:r>
    </w:p>
  </w:footnote>
  <w:footnote w:id="93">
    <w:p w14:paraId="2C854E4A" w14:textId="788E6C6D" w:rsidR="001A492B" w:rsidRPr="00E91F91" w:rsidRDefault="001A492B" w:rsidP="00281033">
      <w:pPr>
        <w:pStyle w:val="NoSpacing"/>
        <w:jc w:val="both"/>
      </w:pPr>
      <w:r>
        <w:rPr>
          <w:rStyle w:val="FootnoteReference"/>
        </w:rPr>
        <w:footnoteRef/>
      </w:r>
      <w:r>
        <w:t xml:space="preserve">STANĚK, Pavel. </w:t>
      </w:r>
      <w:r w:rsidRPr="00E91F91">
        <w:rPr>
          <w:i/>
        </w:rPr>
        <w:t>K zákazu diskriminace při zadávání veřejných zakázek</w:t>
      </w:r>
      <w:r>
        <w:rPr>
          <w:i/>
        </w:rPr>
        <w:t xml:space="preserve"> </w:t>
      </w:r>
      <w:r w:rsidRPr="000F0B78">
        <w:t xml:space="preserve">[online]. </w:t>
      </w:r>
      <w:r>
        <w:t>epravo.cz, 10. 10. 2018 [cit. 22. 2. 2020]. Dostupné na &lt;</w:t>
      </w:r>
      <w:r w:rsidRPr="00E91F91">
        <w:t xml:space="preserve"> https://www.epravo.cz/top/clanky/k-zakazu-diskriminace-pri-zadavani-verejnych-zakazek-108209.html</w:t>
      </w:r>
      <w:r>
        <w:t>&gt;.</w:t>
      </w:r>
    </w:p>
  </w:footnote>
  <w:footnote w:id="94">
    <w:p w14:paraId="7D86AF29" w14:textId="0E051B01" w:rsidR="001A492B" w:rsidRPr="00E52BE7" w:rsidRDefault="001A492B" w:rsidP="00281033">
      <w:pPr>
        <w:pStyle w:val="NoSpacing"/>
        <w:jc w:val="both"/>
      </w:pPr>
      <w:r>
        <w:rPr>
          <w:rStyle w:val="FootnoteReference"/>
        </w:rPr>
        <w:footnoteRef/>
      </w:r>
      <w:r>
        <w:t xml:space="preserve">Analogicky Čl. 2 písm. b) Směrnice Rady 2004/113/ES ze dne 13. 12. 2004, kterou se zavádí rovné zacházení s muži a ženami v přístupu ke zboží a službám a jejich poskytování. </w:t>
      </w:r>
      <w:proofErr w:type="spellStart"/>
      <w:r>
        <w:t>Úř</w:t>
      </w:r>
      <w:proofErr w:type="spellEnd"/>
      <w:r>
        <w:t xml:space="preserve">. </w:t>
      </w:r>
      <w:proofErr w:type="spellStart"/>
      <w:r>
        <w:t>věst</w:t>
      </w:r>
      <w:proofErr w:type="spellEnd"/>
      <w:r>
        <w:t xml:space="preserve">. L 373, 21. 12. 2004. s. 37. </w:t>
      </w:r>
    </w:p>
  </w:footnote>
  <w:footnote w:id="95">
    <w:p w14:paraId="210765FA" w14:textId="6FF8CFA5" w:rsidR="001A492B" w:rsidRPr="00081AFB" w:rsidRDefault="001A492B" w:rsidP="00081AFB">
      <w:pPr>
        <w:pStyle w:val="NoSpacing"/>
      </w:pPr>
      <w:r>
        <w:rPr>
          <w:rStyle w:val="FootnoteReference"/>
        </w:rPr>
        <w:footnoteRef/>
      </w:r>
      <w:r>
        <w:t xml:space="preserve"> Rozsudek ze dne 5. 10. 2000, Komise proti Francouzské republice, </w:t>
      </w:r>
      <w:r w:rsidRPr="00081AFB">
        <w:t>C</w:t>
      </w:r>
      <w:r w:rsidRPr="00081AFB">
        <w:rPr>
          <w:rFonts w:ascii="Lucida Grande" w:hAnsi="Lucida Grande" w:cs="Lucida Grande"/>
        </w:rPr>
        <w:t>‑</w:t>
      </w:r>
      <w:r>
        <w:t xml:space="preserve">16/98, Sb. </w:t>
      </w:r>
      <w:proofErr w:type="spellStart"/>
      <w:r>
        <w:t>rozh</w:t>
      </w:r>
      <w:proofErr w:type="spellEnd"/>
      <w:r>
        <w:t xml:space="preserve">. 2000 </w:t>
      </w:r>
      <w:r w:rsidRPr="00471805">
        <w:t>I-08315</w:t>
      </w:r>
      <w:r>
        <w:t xml:space="preserve">. </w:t>
      </w:r>
    </w:p>
  </w:footnote>
  <w:footnote w:id="96">
    <w:p w14:paraId="2301FF8A" w14:textId="036C655D" w:rsidR="001A492B" w:rsidRPr="00AD37D5" w:rsidRDefault="001A492B" w:rsidP="00281033">
      <w:pPr>
        <w:pStyle w:val="NoSpacing"/>
        <w:jc w:val="both"/>
      </w:pPr>
      <w:r>
        <w:rPr>
          <w:rStyle w:val="FootnoteReference"/>
        </w:rPr>
        <w:footnoteRef/>
      </w:r>
      <w:r>
        <w:t xml:space="preserve">Čl. 23 Směrnice Evropského parlamentu a Rady 2014/24/EU ze dne 26. února 2014 o zadávání veřejných zakázek a zrušení směrnice 2004/18/ES. </w:t>
      </w:r>
      <w:proofErr w:type="spellStart"/>
      <w:r>
        <w:t>Úř</w:t>
      </w:r>
      <w:proofErr w:type="spellEnd"/>
      <w:r>
        <w:t xml:space="preserve">. </w:t>
      </w:r>
      <w:proofErr w:type="spellStart"/>
      <w:r>
        <w:t>věst</w:t>
      </w:r>
      <w:proofErr w:type="spellEnd"/>
      <w:r>
        <w:t xml:space="preserve">. L 94, 28. 3. 2014, s. 134. </w:t>
      </w:r>
    </w:p>
  </w:footnote>
  <w:footnote w:id="97">
    <w:p w14:paraId="16EFA420" w14:textId="2DAA5BE8" w:rsidR="001A492B" w:rsidRPr="00FE6F63" w:rsidRDefault="001A492B" w:rsidP="00281033">
      <w:pPr>
        <w:pStyle w:val="NoSpacing"/>
        <w:jc w:val="both"/>
      </w:pPr>
      <w:r>
        <w:rPr>
          <w:rStyle w:val="FootnoteReference"/>
        </w:rPr>
        <w:footnoteRef/>
      </w:r>
      <w:r>
        <w:t xml:space="preserve">BOVIS, Christopher. </w:t>
      </w:r>
      <w:r w:rsidRPr="004D3032">
        <w:rPr>
          <w:i/>
        </w:rPr>
        <w:t xml:space="preserve">EU Public </w:t>
      </w:r>
      <w:proofErr w:type="spellStart"/>
      <w:r w:rsidRPr="004D3032">
        <w:rPr>
          <w:i/>
        </w:rPr>
        <w:t>Procurement</w:t>
      </w:r>
      <w:proofErr w:type="spellEnd"/>
      <w:r w:rsidRPr="004D3032">
        <w:rPr>
          <w:i/>
        </w:rPr>
        <w:t xml:space="preserve"> </w:t>
      </w:r>
      <w:proofErr w:type="spellStart"/>
      <w:r w:rsidRPr="004D3032">
        <w:rPr>
          <w:i/>
        </w:rPr>
        <w:t>Law</w:t>
      </w:r>
      <w:proofErr w:type="spellEnd"/>
      <w:r>
        <w:t xml:space="preserve">. </w:t>
      </w:r>
      <w:proofErr w:type="spellStart"/>
      <w:r>
        <w:t>Northampton</w:t>
      </w:r>
      <w:proofErr w:type="spellEnd"/>
      <w:r>
        <w:t xml:space="preserve">: Edward </w:t>
      </w:r>
      <w:proofErr w:type="spellStart"/>
      <w:r>
        <w:t>Elgar</w:t>
      </w:r>
      <w:proofErr w:type="spellEnd"/>
      <w:r>
        <w:t xml:space="preserve"> </w:t>
      </w:r>
      <w:proofErr w:type="spellStart"/>
      <w:r>
        <w:t>Publishing</w:t>
      </w:r>
      <w:proofErr w:type="spellEnd"/>
      <w:r>
        <w:t xml:space="preserve"> Limited, 2012. s. 250. </w:t>
      </w:r>
    </w:p>
  </w:footnote>
  <w:footnote w:id="98">
    <w:p w14:paraId="3B9FCAD9" w14:textId="6881DE91" w:rsidR="001A492B" w:rsidRPr="00D1734B" w:rsidRDefault="001A492B" w:rsidP="0078066C">
      <w:pPr>
        <w:pStyle w:val="NoSpacing"/>
        <w:jc w:val="both"/>
      </w:pPr>
      <w:r>
        <w:rPr>
          <w:rStyle w:val="FootnoteReference"/>
        </w:rPr>
        <w:footnoteRef/>
      </w:r>
      <w:r>
        <w:t xml:space="preserve">BALÝOVÁ, Lucie. </w:t>
      </w:r>
      <w:r w:rsidRPr="00FF0EF2">
        <w:rPr>
          <w:i/>
        </w:rPr>
        <w:t>Veřejné zakázky</w:t>
      </w:r>
      <w:r>
        <w:t>. Praha: Beck, 2015.</w:t>
      </w:r>
      <w:r w:rsidRPr="00D1734B">
        <w:t xml:space="preserve"> s.</w:t>
      </w:r>
      <w:r>
        <w:t xml:space="preserve"> </w:t>
      </w:r>
      <w:r w:rsidRPr="00D1734B">
        <w:t>45.</w:t>
      </w:r>
      <w:r>
        <w:t xml:space="preserve"> </w:t>
      </w:r>
    </w:p>
  </w:footnote>
  <w:footnote w:id="99">
    <w:p w14:paraId="21C02D1C" w14:textId="146D2AC4" w:rsidR="001A492B" w:rsidRPr="009D03D9" w:rsidRDefault="001A492B" w:rsidP="0078066C">
      <w:pPr>
        <w:pStyle w:val="NoSpacing"/>
        <w:jc w:val="both"/>
      </w:pPr>
      <w:r>
        <w:rPr>
          <w:rStyle w:val="FootnoteReference"/>
        </w:rPr>
        <w:footnoteRef/>
      </w:r>
      <w:r>
        <w:t xml:space="preserve">Rozsudek ze dne 7. 10. 2000, </w:t>
      </w:r>
      <w:proofErr w:type="spellStart"/>
      <w:r w:rsidRPr="00FD714F">
        <w:rPr>
          <w:i/>
        </w:rPr>
        <w:t>Telaustria</w:t>
      </w:r>
      <w:proofErr w:type="spellEnd"/>
      <w:r w:rsidRPr="00FD714F">
        <w:rPr>
          <w:i/>
        </w:rPr>
        <w:t xml:space="preserve"> </w:t>
      </w:r>
      <w:proofErr w:type="spellStart"/>
      <w:r w:rsidRPr="00FD714F">
        <w:rPr>
          <w:i/>
        </w:rPr>
        <w:t>Verlags</w:t>
      </w:r>
      <w:proofErr w:type="spellEnd"/>
      <w:r w:rsidRPr="00FD714F">
        <w:rPr>
          <w:i/>
        </w:rPr>
        <w:t xml:space="preserve"> </w:t>
      </w:r>
      <w:proofErr w:type="spellStart"/>
      <w:r w:rsidRPr="00FD714F">
        <w:rPr>
          <w:i/>
        </w:rPr>
        <w:t>GmbH</w:t>
      </w:r>
      <w:proofErr w:type="spellEnd"/>
      <w:r w:rsidRPr="00FD714F">
        <w:rPr>
          <w:i/>
        </w:rPr>
        <w:t xml:space="preserve"> and </w:t>
      </w:r>
      <w:proofErr w:type="spellStart"/>
      <w:r w:rsidRPr="00FD714F">
        <w:rPr>
          <w:i/>
        </w:rPr>
        <w:t>Telefonadress</w:t>
      </w:r>
      <w:proofErr w:type="spellEnd"/>
      <w:r w:rsidRPr="00FD714F">
        <w:rPr>
          <w:i/>
        </w:rPr>
        <w:t xml:space="preserve"> </w:t>
      </w:r>
      <w:proofErr w:type="spellStart"/>
      <w:r w:rsidRPr="00FD714F">
        <w:rPr>
          <w:i/>
        </w:rPr>
        <w:t>Gmb</w:t>
      </w:r>
      <w:r>
        <w:rPr>
          <w:i/>
        </w:rPr>
        <w:t>H</w:t>
      </w:r>
      <w:proofErr w:type="spellEnd"/>
      <w:r>
        <w:rPr>
          <w:i/>
        </w:rPr>
        <w:t xml:space="preserve"> v Telekom </w:t>
      </w:r>
      <w:proofErr w:type="spellStart"/>
      <w:r>
        <w:rPr>
          <w:i/>
        </w:rPr>
        <w:t>Austria</w:t>
      </w:r>
      <w:proofErr w:type="spellEnd"/>
      <w:r>
        <w:rPr>
          <w:i/>
        </w:rPr>
        <w:t xml:space="preserve"> AG,</w:t>
      </w:r>
      <w:r>
        <w:t xml:space="preserve"> C-324/98, Sb. </w:t>
      </w:r>
      <w:proofErr w:type="spellStart"/>
      <w:r>
        <w:t>rozh</w:t>
      </w:r>
      <w:proofErr w:type="spellEnd"/>
      <w:r>
        <w:t>. 2000 s. I-10745, bod 62.</w:t>
      </w:r>
    </w:p>
  </w:footnote>
  <w:footnote w:id="100">
    <w:p w14:paraId="1B7A4E5E" w14:textId="0D75E130" w:rsidR="001A492B" w:rsidRPr="006B73EC" w:rsidRDefault="001A492B" w:rsidP="0078066C">
      <w:pPr>
        <w:pStyle w:val="NoSpacing"/>
        <w:jc w:val="both"/>
      </w:pPr>
      <w:r>
        <w:rPr>
          <w:rStyle w:val="FootnoteReference"/>
        </w:rPr>
        <w:footnoteRef/>
      </w:r>
      <w:r w:rsidRPr="00FD714F">
        <w:t xml:space="preserve">Rozsudek ze dne 23. 10. 2009, </w:t>
      </w:r>
      <w:proofErr w:type="spellStart"/>
      <w:r w:rsidRPr="00FD714F">
        <w:t>Serrantoni</w:t>
      </w:r>
      <w:proofErr w:type="spellEnd"/>
      <w:r w:rsidRPr="00FD714F">
        <w:t xml:space="preserve"> </w:t>
      </w:r>
      <w:proofErr w:type="spellStart"/>
      <w:r w:rsidRPr="00FD714F">
        <w:t>Srl</w:t>
      </w:r>
      <w:proofErr w:type="spellEnd"/>
      <w:r w:rsidRPr="00FD714F">
        <w:t xml:space="preserve"> and </w:t>
      </w:r>
      <w:proofErr w:type="spellStart"/>
      <w:r w:rsidRPr="00FD714F">
        <w:t>Consorzio</w:t>
      </w:r>
      <w:proofErr w:type="spellEnd"/>
      <w:r w:rsidRPr="00FD714F">
        <w:t xml:space="preserve"> </w:t>
      </w:r>
      <w:proofErr w:type="spellStart"/>
      <w:r w:rsidRPr="00FD714F">
        <w:t>stabile</w:t>
      </w:r>
      <w:proofErr w:type="spellEnd"/>
      <w:r w:rsidRPr="00FD714F">
        <w:t xml:space="preserve"> </w:t>
      </w:r>
      <w:proofErr w:type="spellStart"/>
      <w:r w:rsidRPr="00FD714F">
        <w:t>edili</w:t>
      </w:r>
      <w:proofErr w:type="spellEnd"/>
      <w:r w:rsidRPr="00FD714F">
        <w:t xml:space="preserve"> </w:t>
      </w:r>
      <w:proofErr w:type="spellStart"/>
      <w:r w:rsidRPr="00FD714F">
        <w:t>Scrl</w:t>
      </w:r>
      <w:proofErr w:type="spellEnd"/>
      <w:r w:rsidRPr="00FD714F">
        <w:t xml:space="preserve"> v </w:t>
      </w:r>
      <w:proofErr w:type="spellStart"/>
      <w:r w:rsidRPr="00FD714F">
        <w:t>Comune</w:t>
      </w:r>
      <w:proofErr w:type="spellEnd"/>
      <w:r w:rsidRPr="00FD714F">
        <w:t xml:space="preserve"> di Milano, </w:t>
      </w:r>
      <w:r>
        <w:t>C-</w:t>
      </w:r>
      <w:r w:rsidRPr="00FD714F">
        <w:t>376/08</w:t>
      </w:r>
      <w:r>
        <w:t xml:space="preserve">, Úřední věstník EU C 51, bod 13. </w:t>
      </w:r>
    </w:p>
  </w:footnote>
  <w:footnote w:id="101">
    <w:p w14:paraId="271A8462" w14:textId="5EB28B3F" w:rsidR="001A492B" w:rsidRPr="007E0111" w:rsidRDefault="001A492B" w:rsidP="0078066C">
      <w:pPr>
        <w:pStyle w:val="NoSpacing"/>
        <w:jc w:val="both"/>
      </w:pPr>
      <w:r>
        <w:rPr>
          <w:rStyle w:val="FootnoteReference"/>
        </w:rPr>
        <w:footnoteRef/>
      </w:r>
      <w:r>
        <w:t xml:space="preserve">HILL, Karen. </w:t>
      </w:r>
      <w:r w:rsidRPr="003F1F66">
        <w:rPr>
          <w:i/>
        </w:rPr>
        <w:t xml:space="preserve">Public </w:t>
      </w:r>
      <w:proofErr w:type="spellStart"/>
      <w:r w:rsidRPr="003F1F66">
        <w:rPr>
          <w:i/>
        </w:rPr>
        <w:t>Procurement</w:t>
      </w:r>
      <w:proofErr w:type="spellEnd"/>
      <w:r w:rsidRPr="003F1F66">
        <w:rPr>
          <w:i/>
        </w:rPr>
        <w:t xml:space="preserve"> in </w:t>
      </w:r>
      <w:proofErr w:type="spellStart"/>
      <w:r w:rsidRPr="003F1F66">
        <w:rPr>
          <w:i/>
        </w:rPr>
        <w:t>the</w:t>
      </w:r>
      <w:proofErr w:type="spellEnd"/>
      <w:r w:rsidRPr="003F1F66">
        <w:rPr>
          <w:i/>
        </w:rPr>
        <w:t xml:space="preserve"> EU: </w:t>
      </w:r>
      <w:proofErr w:type="spellStart"/>
      <w:r w:rsidRPr="003F1F66">
        <w:rPr>
          <w:i/>
        </w:rPr>
        <w:t>Legislative</w:t>
      </w:r>
      <w:proofErr w:type="spellEnd"/>
      <w:r w:rsidRPr="003F1F66">
        <w:rPr>
          <w:i/>
        </w:rPr>
        <w:t xml:space="preserve"> Framework, Basic </w:t>
      </w:r>
      <w:proofErr w:type="spellStart"/>
      <w:r w:rsidRPr="003F1F66">
        <w:rPr>
          <w:i/>
        </w:rPr>
        <w:t>Principles</w:t>
      </w:r>
      <w:proofErr w:type="spellEnd"/>
      <w:r w:rsidRPr="003F1F66">
        <w:rPr>
          <w:i/>
        </w:rPr>
        <w:t xml:space="preserve"> and </w:t>
      </w:r>
      <w:proofErr w:type="spellStart"/>
      <w:r w:rsidRPr="003F1F66">
        <w:rPr>
          <w:i/>
        </w:rPr>
        <w:t>Institutions</w:t>
      </w:r>
      <w:proofErr w:type="spellEnd"/>
      <w:r w:rsidRPr="003F1F66">
        <w:t xml:space="preserve"> </w:t>
      </w:r>
      <w:r>
        <w:t>[</w:t>
      </w:r>
      <w:proofErr w:type="spellStart"/>
      <w:r>
        <w:t>onine</w:t>
      </w:r>
      <w:proofErr w:type="spellEnd"/>
      <w:r>
        <w:t xml:space="preserve">]. sigmaweb.org, </w:t>
      </w:r>
      <w:proofErr w:type="spellStart"/>
      <w:r>
        <w:t>september</w:t>
      </w:r>
      <w:proofErr w:type="spellEnd"/>
      <w:r>
        <w:t xml:space="preserve"> 2016, [cit. 21. 2. 2020]. Dostupné na &lt;</w:t>
      </w:r>
      <w:r w:rsidRPr="007E0111">
        <w:t>http://www.sigmaweb.org/publications/Public-Procurement-Policy-Brief-1-200117.pdf</w:t>
      </w:r>
      <w:r>
        <w:t>&gt;.</w:t>
      </w:r>
    </w:p>
  </w:footnote>
  <w:footnote w:id="102">
    <w:p w14:paraId="33E272B9" w14:textId="4FB7A2E7" w:rsidR="001A492B" w:rsidRPr="00F6026D" w:rsidRDefault="001A492B" w:rsidP="0078066C">
      <w:pPr>
        <w:pStyle w:val="NoSpacing"/>
        <w:jc w:val="both"/>
      </w:pPr>
      <w:r>
        <w:rPr>
          <w:rStyle w:val="FootnoteReference"/>
        </w:rPr>
        <w:footnoteRef/>
      </w:r>
      <w:proofErr w:type="spellStart"/>
      <w:r w:rsidRPr="008945B8">
        <w:t>European</w:t>
      </w:r>
      <w:proofErr w:type="spellEnd"/>
      <w:r w:rsidRPr="008945B8">
        <w:t xml:space="preserve"> </w:t>
      </w:r>
      <w:proofErr w:type="spellStart"/>
      <w:r w:rsidRPr="008945B8">
        <w:t>Commission</w:t>
      </w:r>
      <w:proofErr w:type="spellEnd"/>
      <w:r w:rsidRPr="008945B8">
        <w:t xml:space="preserve">, </w:t>
      </w:r>
      <w:proofErr w:type="spellStart"/>
      <w:r w:rsidRPr="008945B8">
        <w:t>Directorate</w:t>
      </w:r>
      <w:proofErr w:type="spellEnd"/>
      <w:r w:rsidRPr="008945B8">
        <w:t xml:space="preserve">-General </w:t>
      </w:r>
      <w:proofErr w:type="spellStart"/>
      <w:r w:rsidRPr="008945B8">
        <w:t>for</w:t>
      </w:r>
      <w:proofErr w:type="spellEnd"/>
      <w:r w:rsidRPr="008945B8">
        <w:t xml:space="preserve"> </w:t>
      </w:r>
      <w:proofErr w:type="spellStart"/>
      <w:r w:rsidRPr="008945B8">
        <w:t>Regional</w:t>
      </w:r>
      <w:proofErr w:type="spellEnd"/>
      <w:r w:rsidRPr="008945B8">
        <w:t xml:space="preserve"> and Urban </w:t>
      </w:r>
      <w:proofErr w:type="spellStart"/>
      <w:r w:rsidRPr="008945B8">
        <w:t>policy</w:t>
      </w:r>
      <w:proofErr w:type="spellEnd"/>
      <w:r>
        <w:t xml:space="preserve">. </w:t>
      </w:r>
      <w:proofErr w:type="spellStart"/>
      <w:r w:rsidRPr="008945B8">
        <w:rPr>
          <w:i/>
        </w:rPr>
        <w:t>Prakticka</w:t>
      </w:r>
      <w:proofErr w:type="spellEnd"/>
      <w:r w:rsidRPr="008945B8">
        <w:rPr>
          <w:i/>
        </w:rPr>
        <w:t xml:space="preserve">́ </w:t>
      </w:r>
      <w:proofErr w:type="spellStart"/>
      <w:r w:rsidRPr="008945B8">
        <w:rPr>
          <w:i/>
        </w:rPr>
        <w:t>příručka</w:t>
      </w:r>
      <w:proofErr w:type="spellEnd"/>
      <w:r w:rsidRPr="008945B8">
        <w:rPr>
          <w:i/>
        </w:rPr>
        <w:t xml:space="preserve">, jak </w:t>
      </w:r>
      <w:proofErr w:type="spellStart"/>
      <w:r w:rsidRPr="008945B8">
        <w:rPr>
          <w:i/>
        </w:rPr>
        <w:t>předcházet</w:t>
      </w:r>
      <w:proofErr w:type="spellEnd"/>
      <w:r w:rsidRPr="008945B8">
        <w:rPr>
          <w:i/>
        </w:rPr>
        <w:t xml:space="preserve"> </w:t>
      </w:r>
      <w:proofErr w:type="spellStart"/>
      <w:r w:rsidRPr="008945B8">
        <w:rPr>
          <w:i/>
        </w:rPr>
        <w:t>nejčastějším</w:t>
      </w:r>
      <w:proofErr w:type="spellEnd"/>
      <w:r w:rsidRPr="008945B8">
        <w:rPr>
          <w:i/>
        </w:rPr>
        <w:t xml:space="preserve"> </w:t>
      </w:r>
      <w:proofErr w:type="spellStart"/>
      <w:r w:rsidRPr="008945B8">
        <w:rPr>
          <w:i/>
        </w:rPr>
        <w:t>chybám</w:t>
      </w:r>
      <w:proofErr w:type="spellEnd"/>
      <w:r w:rsidRPr="008945B8">
        <w:rPr>
          <w:i/>
        </w:rPr>
        <w:t xml:space="preserve"> </w:t>
      </w:r>
      <w:proofErr w:type="spellStart"/>
      <w:r w:rsidRPr="008945B8">
        <w:rPr>
          <w:i/>
        </w:rPr>
        <w:t>při</w:t>
      </w:r>
      <w:proofErr w:type="spellEnd"/>
      <w:r w:rsidRPr="008945B8">
        <w:rPr>
          <w:i/>
        </w:rPr>
        <w:t xml:space="preserve"> </w:t>
      </w:r>
      <w:proofErr w:type="spellStart"/>
      <w:r w:rsidRPr="008945B8">
        <w:rPr>
          <w:i/>
        </w:rPr>
        <w:t>zadáváni</w:t>
      </w:r>
      <w:proofErr w:type="spellEnd"/>
      <w:r w:rsidRPr="008945B8">
        <w:rPr>
          <w:i/>
        </w:rPr>
        <w:t xml:space="preserve">́ </w:t>
      </w:r>
      <w:proofErr w:type="spellStart"/>
      <w:r w:rsidRPr="008945B8">
        <w:rPr>
          <w:i/>
        </w:rPr>
        <w:t>veřejných</w:t>
      </w:r>
      <w:proofErr w:type="spellEnd"/>
      <w:r w:rsidRPr="008945B8">
        <w:rPr>
          <w:i/>
        </w:rPr>
        <w:t xml:space="preserve"> </w:t>
      </w:r>
      <w:proofErr w:type="spellStart"/>
      <w:r w:rsidRPr="008945B8">
        <w:rPr>
          <w:i/>
        </w:rPr>
        <w:t>zakázek</w:t>
      </w:r>
      <w:proofErr w:type="spellEnd"/>
      <w:r w:rsidRPr="008945B8">
        <w:rPr>
          <w:i/>
        </w:rPr>
        <w:t xml:space="preserve"> na projekty </w:t>
      </w:r>
      <w:proofErr w:type="spellStart"/>
      <w:r w:rsidRPr="008945B8">
        <w:rPr>
          <w:i/>
        </w:rPr>
        <w:t>financovane</w:t>
      </w:r>
      <w:proofErr w:type="spellEnd"/>
      <w:r w:rsidRPr="008945B8">
        <w:rPr>
          <w:i/>
        </w:rPr>
        <w:t xml:space="preserve">́ z </w:t>
      </w:r>
      <w:proofErr w:type="spellStart"/>
      <w:r w:rsidRPr="008945B8">
        <w:rPr>
          <w:i/>
        </w:rPr>
        <w:t>evropských</w:t>
      </w:r>
      <w:proofErr w:type="spellEnd"/>
      <w:r w:rsidRPr="008945B8">
        <w:rPr>
          <w:i/>
        </w:rPr>
        <w:t xml:space="preserve"> </w:t>
      </w:r>
      <w:proofErr w:type="spellStart"/>
      <w:r w:rsidRPr="008945B8">
        <w:rPr>
          <w:i/>
        </w:rPr>
        <w:t>strukturálních</w:t>
      </w:r>
      <w:proofErr w:type="spellEnd"/>
      <w:r w:rsidRPr="008945B8">
        <w:rPr>
          <w:i/>
        </w:rPr>
        <w:t xml:space="preserve"> a </w:t>
      </w:r>
      <w:proofErr w:type="spellStart"/>
      <w:r w:rsidRPr="008945B8">
        <w:rPr>
          <w:i/>
        </w:rPr>
        <w:t>investičních</w:t>
      </w:r>
      <w:proofErr w:type="spellEnd"/>
      <w:r w:rsidRPr="008945B8">
        <w:rPr>
          <w:i/>
        </w:rPr>
        <w:t xml:space="preserve"> fondů, </w:t>
      </w:r>
      <w:proofErr w:type="spellStart"/>
      <w:r w:rsidRPr="008945B8">
        <w:rPr>
          <w:i/>
        </w:rPr>
        <w:t>určena</w:t>
      </w:r>
      <w:proofErr w:type="spellEnd"/>
      <w:r w:rsidRPr="008945B8">
        <w:rPr>
          <w:i/>
        </w:rPr>
        <w:t xml:space="preserve">́ </w:t>
      </w:r>
      <w:proofErr w:type="spellStart"/>
      <w:r w:rsidRPr="008945B8">
        <w:rPr>
          <w:i/>
        </w:rPr>
        <w:t>odborníkům</w:t>
      </w:r>
      <w:proofErr w:type="spellEnd"/>
      <w:r w:rsidRPr="008945B8">
        <w:rPr>
          <w:i/>
        </w:rPr>
        <w:t xml:space="preserve"> z</w:t>
      </w:r>
      <w:r>
        <w:rPr>
          <w:i/>
        </w:rPr>
        <w:t> </w:t>
      </w:r>
      <w:r w:rsidRPr="008945B8">
        <w:rPr>
          <w:i/>
        </w:rPr>
        <w:t>praxe</w:t>
      </w:r>
      <w:r>
        <w:rPr>
          <w:i/>
        </w:rPr>
        <w:t xml:space="preserve">. </w:t>
      </w:r>
      <w:r w:rsidRPr="008945B8">
        <w:t xml:space="preserve">Lucemburk: </w:t>
      </w:r>
      <w:proofErr w:type="spellStart"/>
      <w:r w:rsidRPr="008945B8">
        <w:t>Úřad</w:t>
      </w:r>
      <w:proofErr w:type="spellEnd"/>
      <w:r w:rsidRPr="008945B8">
        <w:t xml:space="preserve"> pro publikace </w:t>
      </w:r>
      <w:proofErr w:type="spellStart"/>
      <w:r w:rsidRPr="008945B8">
        <w:t>Evropske</w:t>
      </w:r>
      <w:proofErr w:type="spellEnd"/>
      <w:r w:rsidRPr="008945B8">
        <w:t>́ unie, 2015</w:t>
      </w:r>
      <w:r>
        <w:t>. s. 11</w:t>
      </w:r>
    </w:p>
  </w:footnote>
  <w:footnote w:id="103">
    <w:p w14:paraId="14D3B5CC" w14:textId="5CA4B915" w:rsidR="001A492B" w:rsidRPr="008841E8" w:rsidRDefault="001A492B" w:rsidP="006C0094">
      <w:pPr>
        <w:pStyle w:val="NoSpacing"/>
        <w:jc w:val="both"/>
      </w:pPr>
      <w:r>
        <w:rPr>
          <w:rStyle w:val="FootnoteReference"/>
        </w:rPr>
        <w:footnoteRef/>
      </w:r>
      <w:r>
        <w:t xml:space="preserve">HILL, Karen. </w:t>
      </w:r>
      <w:proofErr w:type="spellStart"/>
      <w:r>
        <w:t>Publick</w:t>
      </w:r>
      <w:proofErr w:type="spellEnd"/>
      <w:r>
        <w:t xml:space="preserve"> </w:t>
      </w:r>
      <w:proofErr w:type="spellStart"/>
      <w:r>
        <w:t>Procurement</w:t>
      </w:r>
      <w:proofErr w:type="spellEnd"/>
      <w:r>
        <w:t xml:space="preserve"> </w:t>
      </w:r>
      <w:proofErr w:type="spellStart"/>
      <w:r>
        <w:rPr>
          <w:i/>
        </w:rPr>
        <w:t>Procedures</w:t>
      </w:r>
      <w:proofErr w:type="spellEnd"/>
      <w:r>
        <w:rPr>
          <w:i/>
        </w:rPr>
        <w:t xml:space="preserve"> </w:t>
      </w:r>
      <w:r>
        <w:t>[online]</w:t>
      </w:r>
      <w:r>
        <w:rPr>
          <w:i/>
        </w:rPr>
        <w:t xml:space="preserve">. </w:t>
      </w:r>
      <w:r>
        <w:t xml:space="preserve">sigmaweb.org, </w:t>
      </w:r>
      <w:proofErr w:type="spellStart"/>
      <w:r>
        <w:t>september</w:t>
      </w:r>
      <w:proofErr w:type="spellEnd"/>
      <w:r>
        <w:t xml:space="preserve"> 2016, [cit. 15.2.2020]. Dostupné na &lt;</w:t>
      </w:r>
      <w:r w:rsidRPr="008841E8">
        <w:t>http://www.sigmaweb.org/publications/Public-Procurement-Policy-Brief-10-200117.pdf</w:t>
      </w:r>
      <w:r>
        <w:t>&gt;.</w:t>
      </w:r>
    </w:p>
  </w:footnote>
  <w:footnote w:id="104">
    <w:p w14:paraId="55585140" w14:textId="2122B536" w:rsidR="001A492B" w:rsidRPr="00C23880" w:rsidRDefault="001A492B" w:rsidP="006C0094">
      <w:pPr>
        <w:pStyle w:val="NoSpacing"/>
        <w:jc w:val="both"/>
      </w:pPr>
      <w:r>
        <w:rPr>
          <w:rStyle w:val="FootnoteReference"/>
        </w:rPr>
        <w:footnoteRef/>
      </w:r>
      <w:r>
        <w:t>Čl. 67 odst. 1</w:t>
      </w:r>
      <w:r w:rsidRPr="00C23880">
        <w:t xml:space="preserve"> </w:t>
      </w:r>
      <w:r>
        <w:t xml:space="preserve">Směrnice Evropského parlamentu a Rady 2014/24/EU ze dne 26. února 2014 o zadávání veřejných zakázek a zrušení směrnice 2004/18/ES. </w:t>
      </w:r>
      <w:proofErr w:type="spellStart"/>
      <w:r>
        <w:t>Úř</w:t>
      </w:r>
      <w:proofErr w:type="spellEnd"/>
      <w:r>
        <w:t xml:space="preserve">. </w:t>
      </w:r>
      <w:proofErr w:type="spellStart"/>
      <w:r>
        <w:t>věst</w:t>
      </w:r>
      <w:proofErr w:type="spellEnd"/>
      <w:r>
        <w:t xml:space="preserve">. L 94, 28. 3. 2014, s. 134. </w:t>
      </w:r>
    </w:p>
  </w:footnote>
  <w:footnote w:id="105">
    <w:p w14:paraId="2F3865D4" w14:textId="4B8E910A" w:rsidR="001A492B" w:rsidRPr="00C23880" w:rsidRDefault="001A492B" w:rsidP="006C0094">
      <w:pPr>
        <w:pStyle w:val="NoSpacing"/>
        <w:jc w:val="both"/>
      </w:pPr>
      <w:r>
        <w:rPr>
          <w:rStyle w:val="FootnoteReference"/>
        </w:rPr>
        <w:footnoteRef/>
      </w:r>
      <w:r>
        <w:t xml:space="preserve">Čl. 67 odst. 2 </w:t>
      </w:r>
      <w:r w:rsidRPr="00C23880">
        <w:t xml:space="preserve">Směrnice Evropského parlamentu a Rady 2014/24/EU ze dne 26. února 2014 o zadávání veřejných zakázek a zrušení směrnice 2004/18/ES. </w:t>
      </w:r>
      <w:proofErr w:type="spellStart"/>
      <w:r w:rsidRPr="00C23880">
        <w:t>Úř</w:t>
      </w:r>
      <w:proofErr w:type="spellEnd"/>
      <w:r w:rsidRPr="00C23880">
        <w:t xml:space="preserve">. </w:t>
      </w:r>
      <w:proofErr w:type="spellStart"/>
      <w:r w:rsidRPr="00C23880">
        <w:t>věs</w:t>
      </w:r>
      <w:r>
        <w:t>t</w:t>
      </w:r>
      <w:proofErr w:type="spellEnd"/>
      <w:r>
        <w:t>. L 94, 28. 3. 2014, s. 134</w:t>
      </w:r>
      <w:r w:rsidRPr="00C23880">
        <w:t>.</w:t>
      </w:r>
    </w:p>
  </w:footnote>
  <w:footnote w:id="106">
    <w:p w14:paraId="4E28E852" w14:textId="375F14DC" w:rsidR="001A492B" w:rsidRDefault="001A492B" w:rsidP="006C0094">
      <w:pPr>
        <w:pStyle w:val="NoSpacing"/>
        <w:jc w:val="both"/>
        <w:rPr>
          <w:i/>
        </w:rPr>
      </w:pPr>
      <w:r>
        <w:rPr>
          <w:rStyle w:val="FootnoteReference"/>
        </w:rPr>
        <w:footnoteRef/>
      </w:r>
      <w:r>
        <w:t>„</w:t>
      </w:r>
      <w:r w:rsidRPr="00072E00">
        <w:rPr>
          <w:i/>
        </w:rPr>
        <w:t>Náklady na životní cyklus (LCC) znamenají zohlednění všech nákladů, které vzniknou během životnos</w:t>
      </w:r>
      <w:r>
        <w:rPr>
          <w:i/>
        </w:rPr>
        <w:t>ti produktu, práce nebo služby:</w:t>
      </w:r>
    </w:p>
    <w:p w14:paraId="0235B827" w14:textId="5ADE4EA1" w:rsidR="001A492B" w:rsidRPr="00072E00" w:rsidRDefault="001A492B" w:rsidP="006C0094">
      <w:pPr>
        <w:pStyle w:val="NoSpacing"/>
        <w:jc w:val="both"/>
        <w:rPr>
          <w:i/>
        </w:rPr>
      </w:pPr>
      <w:r>
        <w:rPr>
          <w:i/>
        </w:rPr>
        <w:t xml:space="preserve">- </w:t>
      </w:r>
      <w:r w:rsidRPr="00072E00">
        <w:rPr>
          <w:i/>
        </w:rPr>
        <w:t>Kupní cena a veškeré související náklady (dodání, instalace, pojištění atd.)</w:t>
      </w:r>
    </w:p>
    <w:p w14:paraId="61E673C0" w14:textId="1D7B5C18" w:rsidR="001A492B" w:rsidRPr="00072E00" w:rsidRDefault="001A492B" w:rsidP="006C0094">
      <w:pPr>
        <w:pStyle w:val="NoSpacing"/>
        <w:jc w:val="both"/>
        <w:rPr>
          <w:i/>
        </w:rPr>
      </w:pPr>
      <w:r>
        <w:rPr>
          <w:i/>
        </w:rPr>
        <w:t xml:space="preserve">- </w:t>
      </w:r>
      <w:r w:rsidRPr="00072E00">
        <w:rPr>
          <w:i/>
        </w:rPr>
        <w:t>Provozní náklady, včetně spotřeby energie, paliva a vody, náhradních dílů a údržby</w:t>
      </w:r>
    </w:p>
    <w:p w14:paraId="3EBB9C19" w14:textId="482BC3C9" w:rsidR="001A492B" w:rsidRPr="00072E00" w:rsidRDefault="001A492B" w:rsidP="006C0094">
      <w:pPr>
        <w:pStyle w:val="NoSpacing"/>
        <w:jc w:val="both"/>
      </w:pPr>
      <w:r>
        <w:rPr>
          <w:i/>
        </w:rPr>
        <w:t xml:space="preserve">- </w:t>
      </w:r>
      <w:r w:rsidRPr="00072E00">
        <w:rPr>
          <w:i/>
        </w:rPr>
        <w:t>Náklady na konci životnosti (jako je vyřazení z provozu nebo likvidace) nebo zbytková hodnota (tj. Tržby z prodeje produktu)</w:t>
      </w:r>
      <w:r>
        <w:rPr>
          <w:i/>
        </w:rPr>
        <w:t xml:space="preserve">“ </w:t>
      </w:r>
      <w:proofErr w:type="spellStart"/>
      <w:r w:rsidRPr="003D5949">
        <w:t>European</w:t>
      </w:r>
      <w:proofErr w:type="spellEnd"/>
      <w:r w:rsidRPr="003D5949">
        <w:t xml:space="preserve"> </w:t>
      </w:r>
      <w:proofErr w:type="spellStart"/>
      <w:r w:rsidRPr="003D5949">
        <w:t>Commission</w:t>
      </w:r>
      <w:proofErr w:type="spellEnd"/>
      <w:r>
        <w:rPr>
          <w:i/>
        </w:rPr>
        <w:t xml:space="preserve">. </w:t>
      </w:r>
      <w:proofErr w:type="spellStart"/>
      <w:r w:rsidRPr="003D5949">
        <w:rPr>
          <w:i/>
        </w:rPr>
        <w:t>Life-cycle</w:t>
      </w:r>
      <w:proofErr w:type="spellEnd"/>
      <w:r w:rsidRPr="003D5949">
        <w:rPr>
          <w:i/>
        </w:rPr>
        <w:t xml:space="preserve"> </w:t>
      </w:r>
      <w:proofErr w:type="spellStart"/>
      <w:r w:rsidRPr="003D5949">
        <w:rPr>
          <w:i/>
        </w:rPr>
        <w:t>costing</w:t>
      </w:r>
      <w:proofErr w:type="spellEnd"/>
      <w:r>
        <w:rPr>
          <w:i/>
        </w:rPr>
        <w:t xml:space="preserve"> [online]. ec.europa.eu, 2. 1. 2020 [cit. 21. 2. 2020]. Dostupné na &lt;</w:t>
      </w:r>
      <w:r w:rsidRPr="00072E00">
        <w:rPr>
          <w:i/>
        </w:rPr>
        <w:t>https://ec.europa.eu/environment/gpp/lcc.htm</w:t>
      </w:r>
      <w:r>
        <w:rPr>
          <w:i/>
        </w:rPr>
        <w:t>&gt;.</w:t>
      </w:r>
    </w:p>
  </w:footnote>
  <w:footnote w:id="107">
    <w:p w14:paraId="1BF3BFFD" w14:textId="55B008CC" w:rsidR="001A492B" w:rsidRPr="00C23880" w:rsidRDefault="001A492B" w:rsidP="006C0094">
      <w:pPr>
        <w:pStyle w:val="NoSpacing"/>
        <w:jc w:val="both"/>
      </w:pPr>
      <w:r>
        <w:rPr>
          <w:rStyle w:val="FootnoteReference"/>
        </w:rPr>
        <w:footnoteRef/>
      </w:r>
      <w:r>
        <w:t xml:space="preserve">Čl. 67 odst. 2 </w:t>
      </w:r>
      <w:r w:rsidRPr="00C23880">
        <w:t xml:space="preserve">Směrnice Evropského parlamentu a Rady 2014/24/EU ze dne 26. února 2014 o zadávání veřejných zakázek a zrušení směrnice 2004/18/ES. </w:t>
      </w:r>
      <w:proofErr w:type="spellStart"/>
      <w:r w:rsidRPr="00C23880">
        <w:t>Úř</w:t>
      </w:r>
      <w:proofErr w:type="spellEnd"/>
      <w:r w:rsidRPr="00C23880">
        <w:t xml:space="preserve">. </w:t>
      </w:r>
      <w:proofErr w:type="spellStart"/>
      <w:r w:rsidRPr="00C23880">
        <w:t>věs</w:t>
      </w:r>
      <w:r>
        <w:t>t</w:t>
      </w:r>
      <w:proofErr w:type="spellEnd"/>
      <w:r>
        <w:t>. L 94, 28. 3. 2014, s. 134</w:t>
      </w:r>
      <w:r w:rsidRPr="00C23880">
        <w:t>.</w:t>
      </w:r>
    </w:p>
    <w:p w14:paraId="25AD0F87" w14:textId="7B3E313C" w:rsidR="001A492B" w:rsidRPr="00E848AA" w:rsidRDefault="001A492B" w:rsidP="003D5949">
      <w:pPr>
        <w:pStyle w:val="NoSpacing"/>
        <w:jc w:val="both"/>
      </w:pPr>
    </w:p>
  </w:footnote>
  <w:footnote w:id="108">
    <w:p w14:paraId="50F00886" w14:textId="25A03F0F" w:rsidR="001A492B" w:rsidRPr="00B71F31" w:rsidRDefault="001A492B" w:rsidP="00B71F31">
      <w:pPr>
        <w:pStyle w:val="NoSpacing"/>
      </w:pPr>
      <w:r>
        <w:rPr>
          <w:rStyle w:val="FootnoteReference"/>
        </w:rPr>
        <w:footnoteRef/>
      </w:r>
      <w:r>
        <w:t xml:space="preserve">HILL, Karen. </w:t>
      </w:r>
      <w:proofErr w:type="spellStart"/>
      <w:r w:rsidRPr="00DE1C2F">
        <w:rPr>
          <w:i/>
        </w:rPr>
        <w:t>Detecting</w:t>
      </w:r>
      <w:proofErr w:type="spellEnd"/>
      <w:r w:rsidRPr="00DE1C2F">
        <w:rPr>
          <w:i/>
        </w:rPr>
        <w:t xml:space="preserve"> and </w:t>
      </w:r>
      <w:proofErr w:type="spellStart"/>
      <w:r w:rsidRPr="00DE1C2F">
        <w:rPr>
          <w:i/>
        </w:rPr>
        <w:t>Correcting</w:t>
      </w:r>
      <w:proofErr w:type="spellEnd"/>
      <w:r w:rsidRPr="00DE1C2F">
        <w:rPr>
          <w:i/>
        </w:rPr>
        <w:t xml:space="preserve"> </w:t>
      </w:r>
      <w:proofErr w:type="spellStart"/>
      <w:r w:rsidRPr="00DE1C2F">
        <w:rPr>
          <w:i/>
        </w:rPr>
        <w:t>Common</w:t>
      </w:r>
      <w:proofErr w:type="spellEnd"/>
      <w:r w:rsidRPr="00DE1C2F">
        <w:rPr>
          <w:i/>
        </w:rPr>
        <w:t xml:space="preserve"> </w:t>
      </w:r>
      <w:proofErr w:type="spellStart"/>
      <w:r w:rsidRPr="00DE1C2F">
        <w:rPr>
          <w:i/>
        </w:rPr>
        <w:t>Errors</w:t>
      </w:r>
      <w:proofErr w:type="spellEnd"/>
      <w:r w:rsidRPr="00DE1C2F">
        <w:rPr>
          <w:i/>
        </w:rPr>
        <w:t xml:space="preserve"> in Public </w:t>
      </w:r>
      <w:proofErr w:type="spellStart"/>
      <w:r w:rsidRPr="00DE1C2F">
        <w:rPr>
          <w:i/>
        </w:rPr>
        <w:t>Procurement</w:t>
      </w:r>
      <w:proofErr w:type="spellEnd"/>
      <w:r>
        <w:rPr>
          <w:i/>
        </w:rPr>
        <w:t xml:space="preserve"> </w:t>
      </w:r>
      <w:r>
        <w:t>[online]</w:t>
      </w:r>
      <w:r>
        <w:rPr>
          <w:i/>
        </w:rPr>
        <w:t xml:space="preserve">. </w:t>
      </w:r>
      <w:r w:rsidRPr="00DE1C2F">
        <w:t>sigmaweb.org.</w:t>
      </w:r>
      <w:r>
        <w:rPr>
          <w:i/>
        </w:rPr>
        <w:t xml:space="preserve"> </w:t>
      </w:r>
      <w:proofErr w:type="spellStart"/>
      <w:r>
        <w:t>september</w:t>
      </w:r>
      <w:proofErr w:type="spellEnd"/>
      <w:r>
        <w:t xml:space="preserve"> 2016 [cit. 22.2. 2020]. Dostupné na &lt;</w:t>
      </w:r>
      <w:r w:rsidRPr="00B71F31">
        <w:t>http://www.sigmaweb.org/publications/Public-Procurement-Policy-Brief-29-200117.pdf</w:t>
      </w:r>
      <w:r>
        <w:t>&gt;.</w:t>
      </w:r>
    </w:p>
  </w:footnote>
  <w:footnote w:id="109">
    <w:p w14:paraId="75923F6F" w14:textId="68B6261C" w:rsidR="001A492B" w:rsidRPr="006D0AB9" w:rsidRDefault="001A492B" w:rsidP="00B450DC">
      <w:pPr>
        <w:pStyle w:val="NoSpacing"/>
        <w:jc w:val="both"/>
      </w:pPr>
      <w:r>
        <w:rPr>
          <w:rStyle w:val="FootnoteReference"/>
        </w:rPr>
        <w:footnoteRef/>
      </w:r>
      <w:r>
        <w:t xml:space="preserve">Evropská komise. </w:t>
      </w:r>
      <w:r w:rsidRPr="006D0AB9">
        <w:rPr>
          <w:i/>
        </w:rPr>
        <w:t>Pokyny k zadávání veřejných zakázek určené aplikujícím odborníkům</w:t>
      </w:r>
      <w:r>
        <w:rPr>
          <w:i/>
        </w:rPr>
        <w:t xml:space="preserve">, jak předcházet nejčastějším chybám u projektů financovaných z evropských strukturálních a investičních fondů. </w:t>
      </w:r>
      <w:r>
        <w:t>Lucemburk: Úřad pro publikace, 2018.</w:t>
      </w:r>
      <w:r w:rsidRPr="006D0AB9">
        <w:t xml:space="preserve"> </w:t>
      </w:r>
      <w:r>
        <w:t>s. 54.</w:t>
      </w:r>
    </w:p>
  </w:footnote>
  <w:footnote w:id="110">
    <w:p w14:paraId="44A319B3" w14:textId="01116BBB" w:rsidR="001A492B" w:rsidRPr="00597FD8" w:rsidRDefault="001A492B" w:rsidP="00B450DC">
      <w:pPr>
        <w:pStyle w:val="NoSpacing"/>
        <w:jc w:val="both"/>
      </w:pPr>
      <w:r>
        <w:rPr>
          <w:rStyle w:val="FootnoteReference"/>
        </w:rPr>
        <w:footnoteRef/>
      </w:r>
      <w:r>
        <w:t xml:space="preserve">HILL, Karen. </w:t>
      </w:r>
      <w:r w:rsidRPr="00714685">
        <w:rPr>
          <w:i/>
        </w:rPr>
        <w:t xml:space="preserve">Public </w:t>
      </w:r>
      <w:proofErr w:type="spellStart"/>
      <w:r w:rsidRPr="00714685">
        <w:rPr>
          <w:i/>
        </w:rPr>
        <w:t>Procurement</w:t>
      </w:r>
      <w:proofErr w:type="spellEnd"/>
      <w:r w:rsidRPr="00714685">
        <w:rPr>
          <w:i/>
        </w:rPr>
        <w:t xml:space="preserve"> </w:t>
      </w:r>
      <w:proofErr w:type="spellStart"/>
      <w:r w:rsidRPr="00714685">
        <w:rPr>
          <w:i/>
        </w:rPr>
        <w:t>Procedures</w:t>
      </w:r>
      <w:proofErr w:type="spellEnd"/>
      <w:r>
        <w:rPr>
          <w:i/>
        </w:rPr>
        <w:t xml:space="preserve"> </w:t>
      </w:r>
      <w:r>
        <w:t xml:space="preserve">[online]. sigmaweb.org, </w:t>
      </w:r>
      <w:proofErr w:type="spellStart"/>
      <w:r>
        <w:t>september</w:t>
      </w:r>
      <w:proofErr w:type="spellEnd"/>
      <w:r>
        <w:t xml:space="preserve"> 2016, [15.2. 2020] Dostupné na&lt;</w:t>
      </w:r>
      <w:r w:rsidRPr="00597FD8">
        <w:t>http://www.sigmaweb.org/publications/Public-Procurement-Policy-Brief-10-200117.pdf</w:t>
      </w:r>
      <w:r>
        <w:t>&gt;.</w:t>
      </w:r>
    </w:p>
  </w:footnote>
  <w:footnote w:id="111">
    <w:p w14:paraId="66D16B00" w14:textId="21C15172" w:rsidR="001A492B" w:rsidRPr="00C42017" w:rsidRDefault="001A492B" w:rsidP="00714685">
      <w:pPr>
        <w:pStyle w:val="NoSpacing"/>
        <w:jc w:val="both"/>
      </w:pPr>
      <w:r>
        <w:rPr>
          <w:rStyle w:val="FootnoteReference"/>
        </w:rPr>
        <w:footnoteRef/>
      </w:r>
      <w:r>
        <w:t xml:space="preserve">Čl. 27 odst. 1 Směrnice Evropského parlamentu a Rady 2014/24/EU ze dne 26. února 2014 o zadávání veřejných zakázek a zrušení směrnice 2004/18/ES. </w:t>
      </w:r>
      <w:proofErr w:type="spellStart"/>
      <w:r>
        <w:t>Úř</w:t>
      </w:r>
      <w:proofErr w:type="spellEnd"/>
      <w:r>
        <w:t xml:space="preserve">. </w:t>
      </w:r>
      <w:proofErr w:type="spellStart"/>
      <w:r>
        <w:t>věst</w:t>
      </w:r>
      <w:proofErr w:type="spellEnd"/>
      <w:r>
        <w:t>. L 94, 28. 3. 2014, s. 109-110.</w:t>
      </w:r>
    </w:p>
  </w:footnote>
  <w:footnote w:id="112">
    <w:p w14:paraId="0ECC8241" w14:textId="0A65B092" w:rsidR="001A492B" w:rsidRPr="00A3379C" w:rsidRDefault="001A492B" w:rsidP="00714685">
      <w:pPr>
        <w:pStyle w:val="NoSpacing"/>
        <w:jc w:val="both"/>
      </w:pPr>
      <w:r>
        <w:rPr>
          <w:rStyle w:val="FootnoteReference"/>
        </w:rPr>
        <w:footnoteRef/>
      </w:r>
      <w:r>
        <w:t xml:space="preserve">Čl. 27 Směrnice Evropského parlamentu a Rady 2014/24/EU ze dne 26. února 2014 o zadávání veřejných zakázek a zrušení směrnice 2004/18/ES. </w:t>
      </w:r>
      <w:proofErr w:type="spellStart"/>
      <w:r>
        <w:t>Úř</w:t>
      </w:r>
      <w:proofErr w:type="spellEnd"/>
      <w:r>
        <w:t xml:space="preserve">. </w:t>
      </w:r>
      <w:proofErr w:type="spellStart"/>
      <w:r>
        <w:t>věst</w:t>
      </w:r>
      <w:proofErr w:type="spellEnd"/>
      <w:r>
        <w:t>. L 94, 28. 3. 2014, s. 109-110.</w:t>
      </w:r>
    </w:p>
  </w:footnote>
  <w:footnote w:id="113">
    <w:p w14:paraId="67E2466D" w14:textId="73FB9D0F" w:rsidR="001A492B" w:rsidRPr="00714685" w:rsidRDefault="001A492B" w:rsidP="00714685">
      <w:pPr>
        <w:pStyle w:val="NoSpacing"/>
        <w:jc w:val="both"/>
      </w:pPr>
      <w:r>
        <w:rPr>
          <w:rStyle w:val="FootnoteReference"/>
        </w:rPr>
        <w:footnoteRef/>
      </w:r>
      <w:r>
        <w:t xml:space="preserve">HILL, Karen. </w:t>
      </w:r>
      <w:proofErr w:type="spellStart"/>
      <w:r>
        <w:t>Setting</w:t>
      </w:r>
      <w:proofErr w:type="spellEnd"/>
      <w:r>
        <w:t xml:space="preserve"> </w:t>
      </w:r>
      <w:proofErr w:type="spellStart"/>
      <w:r>
        <w:t>the</w:t>
      </w:r>
      <w:proofErr w:type="spellEnd"/>
      <w:r>
        <w:t xml:space="preserve"> </w:t>
      </w:r>
      <w:proofErr w:type="spellStart"/>
      <w:r>
        <w:t>award</w:t>
      </w:r>
      <w:proofErr w:type="spellEnd"/>
      <w:r>
        <w:t xml:space="preserve"> </w:t>
      </w:r>
      <w:proofErr w:type="spellStart"/>
      <w:r>
        <w:t>Criteria</w:t>
      </w:r>
      <w:proofErr w:type="spellEnd"/>
      <w:r>
        <w:t xml:space="preserve"> [online]. Sigmaweb.org. </w:t>
      </w:r>
      <w:proofErr w:type="spellStart"/>
      <w:r>
        <w:t>september</w:t>
      </w:r>
      <w:proofErr w:type="spellEnd"/>
      <w:r>
        <w:t xml:space="preserve"> 2016, [cit. 2. 2. 2020] Dostupné na &lt;</w:t>
      </w:r>
      <w:r w:rsidRPr="00714685">
        <w:t>http://www.sigmaweb.org/publications/Public-Procurement-Policy-Brief-8-200117.pdf</w:t>
      </w:r>
      <w:r>
        <w:t>&gt;.</w:t>
      </w:r>
    </w:p>
  </w:footnote>
  <w:footnote w:id="114">
    <w:p w14:paraId="6FE3CEA5" w14:textId="26D9BD55" w:rsidR="001A492B" w:rsidRPr="00626B77" w:rsidRDefault="001A492B" w:rsidP="00714685">
      <w:pPr>
        <w:pStyle w:val="NoSpacing"/>
        <w:jc w:val="both"/>
      </w:pPr>
      <w:r>
        <w:rPr>
          <w:rStyle w:val="FootnoteReference"/>
        </w:rPr>
        <w:footnoteRef/>
      </w:r>
      <w:r>
        <w:t xml:space="preserve">Evropská komise. </w:t>
      </w:r>
      <w:r w:rsidRPr="006D0AB9">
        <w:rPr>
          <w:i/>
        </w:rPr>
        <w:t>Pokyny k zadávání veřejných zakázek určené aplikujícím odborníkům</w:t>
      </w:r>
      <w:r>
        <w:rPr>
          <w:i/>
        </w:rPr>
        <w:t xml:space="preserve">, jak předcházet nejčastějším chybám u projektů financovaných z evropských strukturálních a investičních fondů. </w:t>
      </w:r>
      <w:r>
        <w:t>Lucemburk: Úřad pro publikace, 2018.</w:t>
      </w:r>
      <w:r w:rsidRPr="006D0AB9">
        <w:t xml:space="preserve"> </w:t>
      </w:r>
      <w:r>
        <w:t>s. 58.</w:t>
      </w:r>
    </w:p>
  </w:footnote>
  <w:footnote w:id="115">
    <w:p w14:paraId="5601B143" w14:textId="7CB14231" w:rsidR="001A492B" w:rsidRPr="00626B77" w:rsidRDefault="001A492B" w:rsidP="006C0094">
      <w:pPr>
        <w:pStyle w:val="NoSpacing"/>
        <w:jc w:val="both"/>
      </w:pPr>
      <w:r>
        <w:rPr>
          <w:rStyle w:val="FootnoteReference"/>
        </w:rPr>
        <w:footnoteRef/>
      </w:r>
      <w:r>
        <w:t xml:space="preserve">HILL, Karen. </w:t>
      </w:r>
      <w:proofErr w:type="spellStart"/>
      <w:r>
        <w:t>Setting</w:t>
      </w:r>
      <w:proofErr w:type="spellEnd"/>
      <w:r>
        <w:t xml:space="preserve"> </w:t>
      </w:r>
      <w:proofErr w:type="spellStart"/>
      <w:r>
        <w:t>the</w:t>
      </w:r>
      <w:proofErr w:type="spellEnd"/>
      <w:r>
        <w:t xml:space="preserve"> </w:t>
      </w:r>
      <w:proofErr w:type="spellStart"/>
      <w:r>
        <w:t>award</w:t>
      </w:r>
      <w:proofErr w:type="spellEnd"/>
      <w:r>
        <w:t xml:space="preserve"> </w:t>
      </w:r>
      <w:proofErr w:type="spellStart"/>
      <w:r>
        <w:t>Criteria</w:t>
      </w:r>
      <w:proofErr w:type="spellEnd"/>
      <w:r>
        <w:t xml:space="preserve"> [online]. Sigmaweb.org. </w:t>
      </w:r>
      <w:proofErr w:type="spellStart"/>
      <w:r>
        <w:t>september</w:t>
      </w:r>
      <w:proofErr w:type="spellEnd"/>
      <w:r>
        <w:t xml:space="preserve"> 2016, [cit. 2. 2. 2020] Dostupné na &lt;</w:t>
      </w:r>
      <w:r w:rsidRPr="00714685">
        <w:t xml:space="preserve"> http://www.sigmaweb.org/publications/Public-Procurement-Policy-Brief-8-200117.pdf</w:t>
      </w:r>
      <w:r>
        <w:t>&gt;.</w:t>
      </w:r>
    </w:p>
  </w:footnote>
  <w:footnote w:id="116">
    <w:p w14:paraId="168C0B5E" w14:textId="04E4EFE4" w:rsidR="001A492B" w:rsidRPr="00351415" w:rsidRDefault="001A492B" w:rsidP="006C0094">
      <w:pPr>
        <w:pStyle w:val="NoSpacing"/>
        <w:jc w:val="both"/>
      </w:pPr>
      <w:r>
        <w:rPr>
          <w:rStyle w:val="FootnoteReference"/>
        </w:rPr>
        <w:footnoteRef/>
      </w:r>
      <w:r>
        <w:t xml:space="preserve">Čl. 90 odst. 2 Směrnice Evropského parlamentu a Rady 2014/24/EU ze dne 26. února 2014 o zadávání veřejných zakázek a zrušení směrnice 2004/18/ES. </w:t>
      </w:r>
      <w:proofErr w:type="spellStart"/>
      <w:r>
        <w:t>Úř</w:t>
      </w:r>
      <w:proofErr w:type="spellEnd"/>
      <w:r>
        <w:t xml:space="preserve">. </w:t>
      </w:r>
      <w:proofErr w:type="spellStart"/>
      <w:r>
        <w:t>věst</w:t>
      </w:r>
      <w:proofErr w:type="spellEnd"/>
      <w:r>
        <w:t>. L 94, 28. 3. 2014, s. 143.</w:t>
      </w:r>
    </w:p>
  </w:footnote>
  <w:footnote w:id="117">
    <w:p w14:paraId="0E87CD5B" w14:textId="1B9C6227" w:rsidR="001A492B" w:rsidRPr="00351415" w:rsidRDefault="001A492B" w:rsidP="006C0094">
      <w:pPr>
        <w:pStyle w:val="NoSpacing"/>
        <w:jc w:val="both"/>
      </w:pPr>
      <w:r>
        <w:rPr>
          <w:rStyle w:val="FootnoteReference"/>
        </w:rPr>
        <w:footnoteRef/>
      </w:r>
      <w:r>
        <w:t xml:space="preserve">Čl. 22  Směrnice Evropského parlamentu a Rady 2014/24/EU ze dne 26. února 2014 o zadávání veřejných zakázek a zrušení směrnice 2004/18/ES. </w:t>
      </w:r>
      <w:proofErr w:type="spellStart"/>
      <w:r>
        <w:t>Úř</w:t>
      </w:r>
      <w:proofErr w:type="spellEnd"/>
      <w:r>
        <w:t xml:space="preserve">. </w:t>
      </w:r>
      <w:proofErr w:type="spellStart"/>
      <w:r>
        <w:t>věst</w:t>
      </w:r>
      <w:proofErr w:type="spellEnd"/>
      <w:r>
        <w:t>. L 94, 28. 3. 2014, s. 106-108.</w:t>
      </w:r>
    </w:p>
  </w:footnote>
  <w:footnote w:id="118">
    <w:p w14:paraId="17597030" w14:textId="40CB6206" w:rsidR="001A492B" w:rsidRPr="00425EFD" w:rsidRDefault="001A492B" w:rsidP="006C0094">
      <w:pPr>
        <w:pStyle w:val="NoSpacing"/>
        <w:jc w:val="both"/>
      </w:pPr>
      <w:r>
        <w:rPr>
          <w:rStyle w:val="FootnoteReference"/>
        </w:rPr>
        <w:footnoteRef/>
      </w:r>
      <w:r>
        <w:t xml:space="preserve">DVOŘÁK, David. </w:t>
      </w:r>
      <w:r w:rsidRPr="00750E03">
        <w:rPr>
          <w:i/>
        </w:rPr>
        <w:t>Zákon o zadávání veřejných zakázek: komentář</w:t>
      </w:r>
      <w:r>
        <w:rPr>
          <w:i/>
        </w:rPr>
        <w:t>.</w:t>
      </w:r>
      <w:r>
        <w:t xml:space="preserve"> Praha: C. H. Beck, 2017. s. 587.</w:t>
      </w:r>
    </w:p>
  </w:footnote>
  <w:footnote w:id="119">
    <w:p w14:paraId="1F1DBEF4" w14:textId="34F82C6B" w:rsidR="001A492B" w:rsidRPr="007A1675" w:rsidRDefault="001A492B" w:rsidP="006C0094">
      <w:pPr>
        <w:pStyle w:val="NoSpacing"/>
        <w:jc w:val="both"/>
      </w:pPr>
      <w:r>
        <w:rPr>
          <w:rStyle w:val="FootnoteReference"/>
        </w:rPr>
        <w:footnoteRef/>
      </w:r>
      <w:r>
        <w:t>HILL, Karen. </w:t>
      </w:r>
      <w:proofErr w:type="spellStart"/>
      <w:r w:rsidRPr="00E4561F">
        <w:rPr>
          <w:i/>
        </w:rPr>
        <w:t>Detecting</w:t>
      </w:r>
      <w:proofErr w:type="spellEnd"/>
      <w:r w:rsidRPr="00E4561F">
        <w:rPr>
          <w:i/>
        </w:rPr>
        <w:t xml:space="preserve"> and </w:t>
      </w:r>
      <w:proofErr w:type="spellStart"/>
      <w:r w:rsidRPr="00E4561F">
        <w:rPr>
          <w:i/>
        </w:rPr>
        <w:t>Correcting</w:t>
      </w:r>
      <w:proofErr w:type="spellEnd"/>
      <w:r w:rsidRPr="00E4561F">
        <w:rPr>
          <w:i/>
        </w:rPr>
        <w:t xml:space="preserve"> </w:t>
      </w:r>
      <w:proofErr w:type="spellStart"/>
      <w:r w:rsidRPr="00E4561F">
        <w:rPr>
          <w:i/>
        </w:rPr>
        <w:t>Common</w:t>
      </w:r>
      <w:proofErr w:type="spellEnd"/>
      <w:r w:rsidRPr="00E4561F">
        <w:rPr>
          <w:i/>
        </w:rPr>
        <w:t xml:space="preserve"> </w:t>
      </w:r>
      <w:proofErr w:type="spellStart"/>
      <w:r w:rsidRPr="00E4561F">
        <w:rPr>
          <w:i/>
        </w:rPr>
        <w:t>Errors</w:t>
      </w:r>
      <w:proofErr w:type="spellEnd"/>
      <w:r w:rsidRPr="00E4561F">
        <w:rPr>
          <w:i/>
        </w:rPr>
        <w:t xml:space="preserve"> in Public </w:t>
      </w:r>
      <w:proofErr w:type="spellStart"/>
      <w:r w:rsidRPr="00E4561F">
        <w:rPr>
          <w:i/>
        </w:rPr>
        <w:t>Procurement</w:t>
      </w:r>
      <w:proofErr w:type="spellEnd"/>
      <w:r>
        <w:rPr>
          <w:i/>
        </w:rPr>
        <w:t xml:space="preserve"> </w:t>
      </w:r>
      <w:r>
        <w:t>[online]</w:t>
      </w:r>
      <w:r w:rsidRPr="00E4561F">
        <w:rPr>
          <w:i/>
        </w:rPr>
        <w:t>.</w:t>
      </w:r>
      <w:r>
        <w:t xml:space="preserve"> </w:t>
      </w:r>
      <w:proofErr w:type="spellStart"/>
      <w:r>
        <w:t>Sigmaweb.org,September</w:t>
      </w:r>
      <w:proofErr w:type="spellEnd"/>
      <w:r>
        <w:t> 2016 [Cit. 22. 2. 2020]. Dostupné na&lt;</w:t>
      </w:r>
      <w:r w:rsidRPr="00B71F31">
        <w:t>http://www.sigmaweb.org/publications/Public-Procurement-Policy-Brief-29-200117.pdf</w:t>
      </w:r>
      <w:r>
        <w:t>&gt;.</w:t>
      </w:r>
    </w:p>
  </w:footnote>
  <w:footnote w:id="120">
    <w:p w14:paraId="60330C6A" w14:textId="55AA7E82" w:rsidR="001A492B" w:rsidRPr="00535292" w:rsidRDefault="001A492B" w:rsidP="00EC3BA2">
      <w:pPr>
        <w:pStyle w:val="NoSpacing"/>
      </w:pPr>
      <w:r>
        <w:rPr>
          <w:rStyle w:val="FootnoteReference"/>
        </w:rPr>
        <w:footnoteRef/>
      </w:r>
      <w:r>
        <w:t xml:space="preserve">HILL, Karen. </w:t>
      </w:r>
      <w:r w:rsidRPr="00714685">
        <w:rPr>
          <w:i/>
        </w:rPr>
        <w:t xml:space="preserve">Public </w:t>
      </w:r>
      <w:proofErr w:type="spellStart"/>
      <w:r w:rsidRPr="00714685">
        <w:rPr>
          <w:i/>
        </w:rPr>
        <w:t>Procurement</w:t>
      </w:r>
      <w:proofErr w:type="spellEnd"/>
      <w:r w:rsidRPr="00714685">
        <w:rPr>
          <w:i/>
        </w:rPr>
        <w:t xml:space="preserve"> </w:t>
      </w:r>
      <w:proofErr w:type="spellStart"/>
      <w:r w:rsidRPr="00714685">
        <w:rPr>
          <w:i/>
        </w:rPr>
        <w:t>Procedures</w:t>
      </w:r>
      <w:proofErr w:type="spellEnd"/>
      <w:r>
        <w:t xml:space="preserve"> [online]. sigmaweb.org, </w:t>
      </w:r>
      <w:proofErr w:type="spellStart"/>
      <w:r>
        <w:t>september</w:t>
      </w:r>
      <w:proofErr w:type="spellEnd"/>
      <w:r>
        <w:t xml:space="preserve"> 2016, [15.2. 2020] Dostupné na&lt;</w:t>
      </w:r>
      <w:r w:rsidRPr="00597FD8">
        <w:t>http://www.sigmaweb.org/publications/Public-Procurement-Policy-Brief-10-200117.pdf</w:t>
      </w:r>
      <w:r>
        <w:t>&gt;.</w:t>
      </w:r>
    </w:p>
  </w:footnote>
  <w:footnote w:id="121">
    <w:p w14:paraId="2A211463" w14:textId="16C46990" w:rsidR="001A492B" w:rsidRPr="00DF4D2E" w:rsidRDefault="001A492B" w:rsidP="002F52BA">
      <w:pPr>
        <w:pStyle w:val="NoSpacing"/>
        <w:jc w:val="both"/>
      </w:pPr>
      <w:r>
        <w:rPr>
          <w:rStyle w:val="FootnoteReference"/>
        </w:rPr>
        <w:footnoteRef/>
      </w:r>
      <w:r>
        <w:t xml:space="preserve">Evropská komise. </w:t>
      </w:r>
      <w:r w:rsidRPr="00B852C2">
        <w:rPr>
          <w:i/>
        </w:rPr>
        <w:t>Pokyny k zadávání veřejných zakázek určené aplikujícím odborníkům, jak předcházet nejčastějším chybám u projektů financovaných z evropských strukturálních a investičních fondů.</w:t>
      </w:r>
      <w:r>
        <w:t xml:space="preserve"> Lucemburk: Úřad pro publikace, 2018.</w:t>
      </w:r>
      <w:r w:rsidRPr="006D0AB9">
        <w:t xml:space="preserve"> </w:t>
      </w:r>
      <w:r>
        <w:t>s. 66.</w:t>
      </w:r>
    </w:p>
  </w:footnote>
  <w:footnote w:id="122">
    <w:p w14:paraId="19C7AB6D" w14:textId="5C76B610" w:rsidR="001A492B" w:rsidRPr="00E24B04" w:rsidRDefault="001A492B" w:rsidP="002F52BA">
      <w:pPr>
        <w:pStyle w:val="NoSpacing"/>
        <w:jc w:val="both"/>
      </w:pPr>
      <w:r>
        <w:rPr>
          <w:rStyle w:val="FootnoteReference"/>
        </w:rPr>
        <w:footnoteRef/>
      </w:r>
      <w:r>
        <w:t xml:space="preserve">HILL, Karen. </w:t>
      </w:r>
      <w:r w:rsidRPr="00714685">
        <w:rPr>
          <w:i/>
        </w:rPr>
        <w:t xml:space="preserve">Public </w:t>
      </w:r>
      <w:proofErr w:type="spellStart"/>
      <w:r w:rsidRPr="00714685">
        <w:rPr>
          <w:i/>
        </w:rPr>
        <w:t>Procurement</w:t>
      </w:r>
      <w:proofErr w:type="spellEnd"/>
      <w:r w:rsidRPr="00714685">
        <w:rPr>
          <w:i/>
        </w:rPr>
        <w:t xml:space="preserve"> </w:t>
      </w:r>
      <w:proofErr w:type="spellStart"/>
      <w:r w:rsidRPr="00714685">
        <w:rPr>
          <w:i/>
        </w:rPr>
        <w:t>Procedures</w:t>
      </w:r>
      <w:proofErr w:type="spellEnd"/>
      <w:r>
        <w:rPr>
          <w:i/>
        </w:rPr>
        <w:t xml:space="preserve"> </w:t>
      </w:r>
      <w:r>
        <w:t xml:space="preserve">[online]. sigmaweb.org, </w:t>
      </w:r>
      <w:proofErr w:type="spellStart"/>
      <w:r>
        <w:t>september</w:t>
      </w:r>
      <w:proofErr w:type="spellEnd"/>
      <w:r>
        <w:t xml:space="preserve"> 2016, [15.2. 2020] Dostupné na&lt;</w:t>
      </w:r>
      <w:r w:rsidRPr="00597FD8">
        <w:t>http://www.sigmaweb.org/publications/Public-Procurement-Policy-Brief-10-200117.pdf</w:t>
      </w:r>
      <w:r>
        <w:t>&gt;.</w:t>
      </w:r>
    </w:p>
  </w:footnote>
  <w:footnote w:id="123">
    <w:p w14:paraId="1C083E8E" w14:textId="2C3F62F7" w:rsidR="001A492B" w:rsidRPr="00E34B09" w:rsidRDefault="001A492B" w:rsidP="002F52BA">
      <w:pPr>
        <w:pStyle w:val="NoSpacing"/>
        <w:jc w:val="both"/>
        <w:rPr>
          <w:i/>
        </w:rPr>
      </w:pPr>
      <w:r>
        <w:rPr>
          <w:rStyle w:val="FootnoteReference"/>
        </w:rPr>
        <w:footnoteRef/>
      </w:r>
      <w:r>
        <w:t xml:space="preserve">Rozsudek ze dne 6. 11. 2014, </w:t>
      </w:r>
      <w:proofErr w:type="spellStart"/>
      <w:r>
        <w:rPr>
          <w:i/>
        </w:rPr>
        <w:t>Cartiera</w:t>
      </w:r>
      <w:proofErr w:type="spellEnd"/>
      <w:r>
        <w:rPr>
          <w:i/>
        </w:rPr>
        <w:t xml:space="preserve"> </w:t>
      </w:r>
      <w:proofErr w:type="spellStart"/>
      <w:r>
        <w:rPr>
          <w:i/>
        </w:rPr>
        <w:t>dell’Adda</w:t>
      </w:r>
      <w:proofErr w:type="spellEnd"/>
      <w:r>
        <w:rPr>
          <w:i/>
        </w:rPr>
        <w:t xml:space="preserve"> </w:t>
      </w:r>
      <w:proofErr w:type="spellStart"/>
      <w:r>
        <w:rPr>
          <w:i/>
        </w:rPr>
        <w:t>SpA</w:t>
      </w:r>
      <w:proofErr w:type="spellEnd"/>
      <w:r>
        <w:rPr>
          <w:i/>
        </w:rPr>
        <w:t xml:space="preserve"> </w:t>
      </w:r>
      <w:r w:rsidRPr="00DB33CE">
        <w:rPr>
          <w:i/>
        </w:rPr>
        <w:t>proti</w:t>
      </w:r>
      <w:r>
        <w:rPr>
          <w:i/>
        </w:rPr>
        <w:t xml:space="preserve"> </w:t>
      </w:r>
      <w:r w:rsidRPr="00DB33CE">
        <w:rPr>
          <w:i/>
        </w:rPr>
        <w:t xml:space="preserve">CEM Ambiente </w:t>
      </w:r>
      <w:proofErr w:type="spellStart"/>
      <w:r w:rsidRPr="00DB33CE">
        <w:rPr>
          <w:i/>
        </w:rPr>
        <w:t>SpA</w:t>
      </w:r>
      <w:proofErr w:type="spellEnd"/>
      <w:r w:rsidRPr="00DB33CE">
        <w:rPr>
          <w:i/>
        </w:rPr>
        <w:t>,</w:t>
      </w:r>
      <w:r>
        <w:t xml:space="preserve"> C-42/13, </w:t>
      </w:r>
      <w:proofErr w:type="spellStart"/>
      <w:r>
        <w:t>Úř</w:t>
      </w:r>
      <w:proofErr w:type="spellEnd"/>
      <w:r>
        <w:t xml:space="preserve">. </w:t>
      </w:r>
      <w:proofErr w:type="spellStart"/>
      <w:r>
        <w:t>věst</w:t>
      </w:r>
      <w:proofErr w:type="spellEnd"/>
      <w:r>
        <w:t xml:space="preserve">. C 101, bod 23. </w:t>
      </w:r>
    </w:p>
  </w:footnote>
  <w:footnote w:id="124">
    <w:p w14:paraId="6C8CB86F" w14:textId="557C4710" w:rsidR="001A492B" w:rsidRPr="00E4561F" w:rsidRDefault="001A492B" w:rsidP="001E1BA2">
      <w:pPr>
        <w:pStyle w:val="NoSpacing"/>
      </w:pPr>
      <w:r>
        <w:rPr>
          <w:rStyle w:val="FootnoteReference"/>
        </w:rPr>
        <w:footnoteRef/>
      </w:r>
      <w:r>
        <w:t xml:space="preserve">DVOŘÁK, David. </w:t>
      </w:r>
      <w:r w:rsidRPr="00750E03">
        <w:rPr>
          <w:i/>
        </w:rPr>
        <w:t>Zákon o zadávání veřejných zakázek: komentář</w:t>
      </w:r>
      <w:r>
        <w:rPr>
          <w:i/>
        </w:rPr>
        <w:t>.</w:t>
      </w:r>
      <w:r>
        <w:t xml:space="preserve"> Praha: C. H. Beck, 2017, s. 672. </w:t>
      </w:r>
    </w:p>
  </w:footnote>
  <w:footnote w:id="125">
    <w:p w14:paraId="0D729621" w14:textId="14DAF89F" w:rsidR="001A492B" w:rsidRPr="00E34B09" w:rsidRDefault="001A492B" w:rsidP="00DF4D2E">
      <w:pPr>
        <w:pStyle w:val="NoSpacing"/>
        <w:jc w:val="both"/>
      </w:pPr>
      <w:r>
        <w:rPr>
          <w:rStyle w:val="FootnoteReference"/>
        </w:rPr>
        <w:footnoteRef/>
      </w:r>
      <w:r>
        <w:t xml:space="preserve">HILL, Karen. </w:t>
      </w:r>
      <w:r w:rsidRPr="00E34B09">
        <w:rPr>
          <w:i/>
        </w:rPr>
        <w:t xml:space="preserve">Tender </w:t>
      </w:r>
      <w:proofErr w:type="spellStart"/>
      <w:r w:rsidRPr="00E34B09">
        <w:rPr>
          <w:i/>
        </w:rPr>
        <w:t>Evalution</w:t>
      </w:r>
      <w:proofErr w:type="spellEnd"/>
      <w:r w:rsidRPr="00E34B09">
        <w:rPr>
          <w:i/>
        </w:rPr>
        <w:t xml:space="preserve"> and </w:t>
      </w:r>
      <w:proofErr w:type="spellStart"/>
      <w:r w:rsidRPr="00E34B09">
        <w:rPr>
          <w:i/>
        </w:rPr>
        <w:t>Constract</w:t>
      </w:r>
      <w:proofErr w:type="spellEnd"/>
      <w:r w:rsidRPr="00E34B09">
        <w:rPr>
          <w:i/>
        </w:rPr>
        <w:t xml:space="preserve"> </w:t>
      </w:r>
      <w:proofErr w:type="spellStart"/>
      <w:r w:rsidRPr="00E34B09">
        <w:rPr>
          <w:i/>
        </w:rPr>
        <w:t>Awared</w:t>
      </w:r>
      <w:proofErr w:type="spellEnd"/>
      <w:r>
        <w:rPr>
          <w:i/>
        </w:rPr>
        <w:t xml:space="preserve"> </w:t>
      </w:r>
      <w:r>
        <w:t xml:space="preserve">[online].  Sigmaweb.org, </w:t>
      </w:r>
      <w:proofErr w:type="spellStart"/>
      <w:r>
        <w:t>September</w:t>
      </w:r>
      <w:proofErr w:type="spellEnd"/>
      <w:r>
        <w:t xml:space="preserve"> 2016 [cit. 14. 2. 2020]. Dostupné na &lt;</w:t>
      </w:r>
      <w:r w:rsidRPr="00E34B09">
        <w:t xml:space="preserve"> http://www.sigmaweb.org/publications/Public-Procurement-Policy-Brief-9-200117.pdf</w:t>
      </w:r>
      <w:r>
        <w:t>&gt;.</w:t>
      </w:r>
    </w:p>
  </w:footnote>
  <w:footnote w:id="126">
    <w:p w14:paraId="1DA985B1" w14:textId="544EAE1A" w:rsidR="001A492B" w:rsidRPr="00DC170C" w:rsidRDefault="001A492B" w:rsidP="00DC170C">
      <w:pPr>
        <w:pStyle w:val="NoSpacing"/>
        <w:jc w:val="both"/>
      </w:pPr>
      <w:r>
        <w:rPr>
          <w:rStyle w:val="FootnoteReference"/>
        </w:rPr>
        <w:footnoteRef/>
      </w:r>
      <w:r>
        <w:t xml:space="preserve">HILL, Karen. </w:t>
      </w:r>
      <w:r w:rsidRPr="00E34B09">
        <w:rPr>
          <w:i/>
        </w:rPr>
        <w:t xml:space="preserve">Tender </w:t>
      </w:r>
      <w:proofErr w:type="spellStart"/>
      <w:r w:rsidRPr="00E34B09">
        <w:rPr>
          <w:i/>
        </w:rPr>
        <w:t>Evalution</w:t>
      </w:r>
      <w:proofErr w:type="spellEnd"/>
      <w:r w:rsidRPr="00E34B09">
        <w:rPr>
          <w:i/>
        </w:rPr>
        <w:t xml:space="preserve"> and </w:t>
      </w:r>
      <w:proofErr w:type="spellStart"/>
      <w:r w:rsidRPr="00E34B09">
        <w:rPr>
          <w:i/>
        </w:rPr>
        <w:t>Constract</w:t>
      </w:r>
      <w:proofErr w:type="spellEnd"/>
      <w:r w:rsidRPr="00E34B09">
        <w:rPr>
          <w:i/>
        </w:rPr>
        <w:t xml:space="preserve"> </w:t>
      </w:r>
      <w:proofErr w:type="spellStart"/>
      <w:r w:rsidRPr="00E34B09">
        <w:rPr>
          <w:i/>
        </w:rPr>
        <w:t>Awared</w:t>
      </w:r>
      <w:proofErr w:type="spellEnd"/>
      <w:r>
        <w:rPr>
          <w:i/>
        </w:rPr>
        <w:t xml:space="preserve"> </w:t>
      </w:r>
      <w:r>
        <w:t xml:space="preserve">[online]. Sigmaweb.org, </w:t>
      </w:r>
      <w:proofErr w:type="spellStart"/>
      <w:r>
        <w:t>September</w:t>
      </w:r>
      <w:proofErr w:type="spellEnd"/>
      <w:r>
        <w:t xml:space="preserve"> 2016 [cit. 14. 2. 2020]. Dostupné na &lt;</w:t>
      </w:r>
      <w:r w:rsidRPr="00E34B09">
        <w:t>http://www.sigmaweb.org/publications/Public-Procurement-Policy-Brief-9-200117.pdf</w:t>
      </w:r>
      <w:r>
        <w:t>&gt;.</w:t>
      </w:r>
    </w:p>
  </w:footnote>
  <w:footnote w:id="127">
    <w:p w14:paraId="2DE76F51" w14:textId="6AE5E7A5" w:rsidR="001A492B" w:rsidRPr="00246F6F" w:rsidRDefault="001A492B" w:rsidP="008033D2">
      <w:pPr>
        <w:pStyle w:val="NoSpacing"/>
      </w:pPr>
      <w:r>
        <w:rPr>
          <w:rStyle w:val="FootnoteReference"/>
        </w:rPr>
        <w:footnoteRef/>
      </w:r>
      <w:r>
        <w:t xml:space="preserve">Analogicky čl. 40 Směrnice Evropského parlamentu a Rady 2014/24/EU ze dne 26. února 2014 o zadávání veřejných zakázek a zrušení směrnice 2004/18/ES. </w:t>
      </w:r>
      <w:proofErr w:type="spellStart"/>
      <w:r>
        <w:t>Úř</w:t>
      </w:r>
      <w:proofErr w:type="spellEnd"/>
      <w:r>
        <w:t xml:space="preserve">. </w:t>
      </w:r>
      <w:proofErr w:type="spellStart"/>
      <w:r>
        <w:t>věst</w:t>
      </w:r>
      <w:proofErr w:type="spellEnd"/>
      <w:r>
        <w:t>. L 94, 28. 3. 2014, s. 120.</w:t>
      </w:r>
    </w:p>
  </w:footnote>
  <w:footnote w:id="128">
    <w:p w14:paraId="3F03A026" w14:textId="067626B0" w:rsidR="001A492B" w:rsidRPr="00E24B04" w:rsidRDefault="001A492B" w:rsidP="0056646B">
      <w:pPr>
        <w:pStyle w:val="NoSpacing"/>
      </w:pPr>
      <w:r>
        <w:rPr>
          <w:rStyle w:val="FootnoteReference"/>
        </w:rPr>
        <w:footnoteRef/>
      </w:r>
      <w:r>
        <w:t xml:space="preserve">HILL, Karen. </w:t>
      </w:r>
      <w:r w:rsidRPr="00E34B09">
        <w:rPr>
          <w:i/>
        </w:rPr>
        <w:t xml:space="preserve">Tender </w:t>
      </w:r>
      <w:proofErr w:type="spellStart"/>
      <w:r w:rsidRPr="00E34B09">
        <w:rPr>
          <w:i/>
        </w:rPr>
        <w:t>Evalution</w:t>
      </w:r>
      <w:proofErr w:type="spellEnd"/>
      <w:r w:rsidRPr="00E34B09">
        <w:rPr>
          <w:i/>
        </w:rPr>
        <w:t xml:space="preserve"> and </w:t>
      </w:r>
      <w:proofErr w:type="spellStart"/>
      <w:r w:rsidRPr="00E34B09">
        <w:rPr>
          <w:i/>
        </w:rPr>
        <w:t>Constract</w:t>
      </w:r>
      <w:proofErr w:type="spellEnd"/>
      <w:r w:rsidRPr="00E34B09">
        <w:rPr>
          <w:i/>
        </w:rPr>
        <w:t xml:space="preserve"> </w:t>
      </w:r>
      <w:proofErr w:type="spellStart"/>
      <w:r w:rsidRPr="00E34B09">
        <w:rPr>
          <w:i/>
        </w:rPr>
        <w:t>Awared</w:t>
      </w:r>
      <w:proofErr w:type="spellEnd"/>
      <w:r>
        <w:t xml:space="preserve"> [online]. Sigmaweb.org, </w:t>
      </w:r>
      <w:proofErr w:type="spellStart"/>
      <w:r>
        <w:t>September</w:t>
      </w:r>
      <w:proofErr w:type="spellEnd"/>
      <w:r>
        <w:t xml:space="preserve"> 2016 [cit. 14. 2. 2020]. Dostupné na &lt;</w:t>
      </w:r>
      <w:r w:rsidRPr="00E34B09">
        <w:t xml:space="preserve"> http://www.sigmaweb.org/publications/Public-Procurement-Policy-Brief-9-200117.pdf</w:t>
      </w:r>
      <w:r>
        <w:t>&gt;.</w:t>
      </w:r>
    </w:p>
  </w:footnote>
  <w:footnote w:id="129">
    <w:p w14:paraId="1C7AE714" w14:textId="413F3768" w:rsidR="001A492B" w:rsidRPr="00E24B04" w:rsidRDefault="001A492B" w:rsidP="00D43714">
      <w:pPr>
        <w:pStyle w:val="NoSpacing"/>
        <w:jc w:val="both"/>
      </w:pPr>
      <w:r>
        <w:rPr>
          <w:rStyle w:val="FootnoteReference"/>
        </w:rPr>
        <w:footnoteRef/>
      </w:r>
      <w:r>
        <w:t xml:space="preserve">HILL, Karen. </w:t>
      </w:r>
      <w:r w:rsidRPr="00E34B09">
        <w:rPr>
          <w:i/>
        </w:rPr>
        <w:t xml:space="preserve">Tender </w:t>
      </w:r>
      <w:proofErr w:type="spellStart"/>
      <w:r w:rsidRPr="00E34B09">
        <w:rPr>
          <w:i/>
        </w:rPr>
        <w:t>Evalution</w:t>
      </w:r>
      <w:proofErr w:type="spellEnd"/>
      <w:r w:rsidRPr="00E34B09">
        <w:rPr>
          <w:i/>
        </w:rPr>
        <w:t xml:space="preserve"> and </w:t>
      </w:r>
      <w:proofErr w:type="spellStart"/>
      <w:r w:rsidRPr="00E34B09">
        <w:rPr>
          <w:i/>
        </w:rPr>
        <w:t>Constract</w:t>
      </w:r>
      <w:proofErr w:type="spellEnd"/>
      <w:r w:rsidRPr="00E34B09">
        <w:rPr>
          <w:i/>
        </w:rPr>
        <w:t xml:space="preserve"> </w:t>
      </w:r>
      <w:proofErr w:type="spellStart"/>
      <w:r w:rsidRPr="00E34B09">
        <w:rPr>
          <w:i/>
        </w:rPr>
        <w:t>Awared</w:t>
      </w:r>
      <w:proofErr w:type="spellEnd"/>
      <w:r>
        <w:t xml:space="preserve"> [online]. Sigmaweb.org, </w:t>
      </w:r>
      <w:proofErr w:type="spellStart"/>
      <w:r>
        <w:t>September</w:t>
      </w:r>
      <w:proofErr w:type="spellEnd"/>
      <w:r>
        <w:t xml:space="preserve"> 2016, [cit. 14. 2. 2020]. Dostupné na &lt;</w:t>
      </w:r>
      <w:r w:rsidRPr="00E34B09">
        <w:t xml:space="preserve"> http://www.sigmaweb.org/publications/Public-Procurement-Policy-Brief-9-200117.pdf</w:t>
      </w:r>
      <w:r>
        <w:t>&gt;.</w:t>
      </w:r>
    </w:p>
  </w:footnote>
  <w:footnote w:id="130">
    <w:p w14:paraId="64B6F9F6" w14:textId="79F7F7A3" w:rsidR="001A492B" w:rsidRPr="000E1597" w:rsidRDefault="001A492B" w:rsidP="00D43714">
      <w:pPr>
        <w:pStyle w:val="NoSpacing"/>
        <w:jc w:val="both"/>
      </w:pPr>
      <w:r>
        <w:rPr>
          <w:rStyle w:val="FootnoteReference"/>
        </w:rPr>
        <w:footnoteRef/>
      </w:r>
      <w:r>
        <w:t xml:space="preserve">Tamtéž. </w:t>
      </w:r>
    </w:p>
  </w:footnote>
  <w:footnote w:id="131">
    <w:p w14:paraId="1C1C7DE4" w14:textId="6C5A8334" w:rsidR="001A492B" w:rsidRPr="00E24B04" w:rsidRDefault="001A492B" w:rsidP="00F24B1C">
      <w:pPr>
        <w:pStyle w:val="NoSpacing"/>
      </w:pPr>
      <w:r>
        <w:rPr>
          <w:rStyle w:val="FootnoteReference"/>
        </w:rPr>
        <w:footnoteRef/>
      </w:r>
      <w:r>
        <w:t>Tamtéž.</w:t>
      </w:r>
    </w:p>
  </w:footnote>
  <w:footnote w:id="132">
    <w:p w14:paraId="4E2D82F8" w14:textId="0D566B2C" w:rsidR="001A492B" w:rsidRPr="00D43714" w:rsidRDefault="001A492B" w:rsidP="00D43714">
      <w:pPr>
        <w:pStyle w:val="NoSpacing"/>
        <w:jc w:val="both"/>
      </w:pPr>
      <w:r>
        <w:rPr>
          <w:rStyle w:val="FootnoteReference"/>
        </w:rPr>
        <w:footnoteRef/>
      </w:r>
      <w:r>
        <w:t xml:space="preserve">Evropská komise. </w:t>
      </w:r>
      <w:r w:rsidRPr="00B852C2">
        <w:rPr>
          <w:i/>
        </w:rPr>
        <w:t>Pokyny k zadávání veřejných zakázek určené aplikujícím odborníkům, jak předcházet nejčastějším chybám u projektů financovaných z evropských strukturálních a investičních fondů.</w:t>
      </w:r>
      <w:r>
        <w:t xml:space="preserve"> Lucemburk: Úřad pro publikace, 2018.</w:t>
      </w:r>
      <w:r w:rsidRPr="006D0AB9">
        <w:t xml:space="preserve"> </w:t>
      </w:r>
      <w:r>
        <w:t xml:space="preserve">s. 119. </w:t>
      </w:r>
    </w:p>
  </w:footnote>
  <w:footnote w:id="133">
    <w:p w14:paraId="30CCCBB4" w14:textId="1E0D51F8" w:rsidR="001A492B" w:rsidRPr="00E24B04" w:rsidRDefault="001A492B" w:rsidP="00961708">
      <w:pPr>
        <w:pStyle w:val="NoSpacing"/>
        <w:jc w:val="both"/>
      </w:pPr>
      <w:r>
        <w:rPr>
          <w:rStyle w:val="FootnoteReference"/>
        </w:rPr>
        <w:footnoteRef/>
      </w:r>
      <w:r>
        <w:t xml:space="preserve">HILL, Karen. </w:t>
      </w:r>
      <w:r w:rsidRPr="00E34B09">
        <w:rPr>
          <w:i/>
        </w:rPr>
        <w:t xml:space="preserve">Tender </w:t>
      </w:r>
      <w:proofErr w:type="spellStart"/>
      <w:r w:rsidRPr="00E34B09">
        <w:rPr>
          <w:i/>
        </w:rPr>
        <w:t>Evalution</w:t>
      </w:r>
      <w:proofErr w:type="spellEnd"/>
      <w:r w:rsidRPr="00E34B09">
        <w:rPr>
          <w:i/>
        </w:rPr>
        <w:t xml:space="preserve"> and </w:t>
      </w:r>
      <w:proofErr w:type="spellStart"/>
      <w:r w:rsidRPr="00E34B09">
        <w:rPr>
          <w:i/>
        </w:rPr>
        <w:t>Constract</w:t>
      </w:r>
      <w:proofErr w:type="spellEnd"/>
      <w:r w:rsidRPr="00E34B09">
        <w:rPr>
          <w:i/>
        </w:rPr>
        <w:t xml:space="preserve"> </w:t>
      </w:r>
      <w:proofErr w:type="spellStart"/>
      <w:r w:rsidRPr="00E34B09">
        <w:rPr>
          <w:i/>
        </w:rPr>
        <w:t>Awared</w:t>
      </w:r>
      <w:proofErr w:type="spellEnd"/>
      <w:r>
        <w:t xml:space="preserve"> [online]. Sigmaweb.org, </w:t>
      </w:r>
      <w:proofErr w:type="spellStart"/>
      <w:r>
        <w:t>September</w:t>
      </w:r>
      <w:proofErr w:type="spellEnd"/>
      <w:r>
        <w:t xml:space="preserve"> 2016, [cit. 14. 2. 2020]. Dostupné na &lt;</w:t>
      </w:r>
      <w:r w:rsidRPr="00E34B09">
        <w:t xml:space="preserve"> http://www.sigmaweb.org/publications/Public-Procurement-Policy-Brief-9-200117.pdf</w:t>
      </w:r>
      <w:r>
        <w:t>&gt;.</w:t>
      </w:r>
    </w:p>
  </w:footnote>
  <w:footnote w:id="134">
    <w:p w14:paraId="61B04D89" w14:textId="6A2436A4" w:rsidR="001A492B" w:rsidRPr="00E24B04" w:rsidRDefault="001A492B" w:rsidP="00961708">
      <w:pPr>
        <w:pStyle w:val="NoSpacing"/>
        <w:jc w:val="both"/>
      </w:pPr>
      <w:r>
        <w:rPr>
          <w:rStyle w:val="FootnoteReference"/>
        </w:rPr>
        <w:footnoteRef/>
      </w:r>
      <w:r>
        <w:t xml:space="preserve">Čl. 55 odst. 2 písm. a) a b) Směrnice Evropského parlamentu a Rady 2014/24/EU ze dne 26. února 2014 o zadávání veřejných zakázek a zrušení směrnice 2004/18/ES. </w:t>
      </w:r>
      <w:proofErr w:type="spellStart"/>
      <w:r>
        <w:t>Úř</w:t>
      </w:r>
      <w:proofErr w:type="spellEnd"/>
      <w:r>
        <w:t xml:space="preserve">. </w:t>
      </w:r>
      <w:proofErr w:type="spellStart"/>
      <w:r>
        <w:t>věst</w:t>
      </w:r>
      <w:proofErr w:type="spellEnd"/>
      <w:r>
        <w:t>. L 94, 28. 3. 2014, s. 126.</w:t>
      </w:r>
    </w:p>
  </w:footnote>
  <w:footnote w:id="135">
    <w:p w14:paraId="4231F41D" w14:textId="38E41BFB" w:rsidR="001A492B" w:rsidRPr="00E24B04" w:rsidRDefault="001A492B" w:rsidP="00234AE6">
      <w:pPr>
        <w:pStyle w:val="NoSpacing"/>
        <w:jc w:val="both"/>
      </w:pPr>
      <w:r>
        <w:rPr>
          <w:rStyle w:val="FootnoteReference"/>
        </w:rPr>
        <w:footnoteRef/>
      </w:r>
      <w:r>
        <w:t xml:space="preserve">Evropská komise. </w:t>
      </w:r>
      <w:r w:rsidRPr="00B852C2">
        <w:rPr>
          <w:i/>
        </w:rPr>
        <w:t>Pokyny k zadávání veřejných zakázek určené aplikujícím odborníkům, jak předcházet nejčastějším chybám u projektů financovaných z evropských strukturálních a investičních fondů.</w:t>
      </w:r>
      <w:r>
        <w:t xml:space="preserve"> Lucemburk: Úřad pro publikace, 2018. s. 102. </w:t>
      </w:r>
    </w:p>
  </w:footnote>
  <w:footnote w:id="136">
    <w:p w14:paraId="6007BD8E" w14:textId="22123817" w:rsidR="001A492B" w:rsidRPr="00A3379C" w:rsidRDefault="001A492B" w:rsidP="00234AE6">
      <w:pPr>
        <w:pStyle w:val="NoSpacing"/>
        <w:jc w:val="both"/>
      </w:pPr>
      <w:r>
        <w:rPr>
          <w:rStyle w:val="FootnoteReference"/>
        </w:rPr>
        <w:footnoteRef/>
      </w:r>
      <w:r>
        <w:t xml:space="preserve">Čl. 50 odst. 1 Směrnice Evropského parlamentu a Rady 2014/24/EU ze dne 26. února 2014 o zadávání veřejných zakázek a zrušení směrnice 2004/18/ES. </w:t>
      </w:r>
      <w:proofErr w:type="spellStart"/>
      <w:r>
        <w:t>Úř</w:t>
      </w:r>
      <w:proofErr w:type="spellEnd"/>
      <w:r>
        <w:t xml:space="preserve">. </w:t>
      </w:r>
      <w:proofErr w:type="spellStart"/>
      <w:r>
        <w:t>věst</w:t>
      </w:r>
      <w:proofErr w:type="spellEnd"/>
      <w:r>
        <w:t>. L 94, 28. 3. 2014, s. 124.</w:t>
      </w:r>
    </w:p>
  </w:footnote>
  <w:footnote w:id="137">
    <w:p w14:paraId="1CCE24BE" w14:textId="2FFE7DE8" w:rsidR="001A492B" w:rsidRPr="00284B29" w:rsidRDefault="001A492B" w:rsidP="00234AE6">
      <w:pPr>
        <w:pStyle w:val="NoSpacing"/>
        <w:jc w:val="both"/>
      </w:pPr>
      <w:r>
        <w:rPr>
          <w:rStyle w:val="FootnoteReference"/>
        </w:rPr>
        <w:footnoteRef/>
      </w:r>
      <w:r>
        <w:t xml:space="preserve">Evropská komise. </w:t>
      </w:r>
      <w:r w:rsidRPr="00B852C2">
        <w:rPr>
          <w:i/>
        </w:rPr>
        <w:t>Pokyny k zadávání veřejných zakázek určené aplikujícím odborníkům, jak předcházet nejčastějším chybám u projektů financovaných z evropských strukturálních a investičních fondů.</w:t>
      </w:r>
      <w:r>
        <w:t xml:space="preserve"> Lucemburk: Úřad pro publikace, 2018. s. 102. </w:t>
      </w:r>
    </w:p>
  </w:footnote>
  <w:footnote w:id="138">
    <w:p w14:paraId="37C5004D" w14:textId="513105EC" w:rsidR="001A492B" w:rsidRPr="000E72A2" w:rsidRDefault="001A492B" w:rsidP="00F2564F">
      <w:pPr>
        <w:pStyle w:val="NoSpacing"/>
        <w:jc w:val="both"/>
      </w:pPr>
      <w:r>
        <w:rPr>
          <w:rStyle w:val="FootnoteReference"/>
        </w:rPr>
        <w:footnoteRef/>
      </w:r>
      <w:r>
        <w:t xml:space="preserve">DVOŘÁK, David. </w:t>
      </w:r>
      <w:r w:rsidRPr="00750E03">
        <w:rPr>
          <w:i/>
        </w:rPr>
        <w:t>Zákon o zadávání veřejných zakázek: komentář</w:t>
      </w:r>
      <w:r>
        <w:rPr>
          <w:i/>
        </w:rPr>
        <w:t>.</w:t>
      </w:r>
      <w:r>
        <w:t xml:space="preserve"> Praha: C. H. Beck, 2017, s. 746.</w:t>
      </w:r>
    </w:p>
  </w:footnote>
  <w:footnote w:id="139">
    <w:p w14:paraId="658003BC" w14:textId="3DA05FAC" w:rsidR="001A492B" w:rsidRPr="00E02FC8" w:rsidRDefault="001A492B" w:rsidP="00F2564F">
      <w:pPr>
        <w:pStyle w:val="NoSpacing"/>
        <w:jc w:val="both"/>
      </w:pPr>
      <w:r>
        <w:rPr>
          <w:rStyle w:val="FootnoteReference"/>
        </w:rPr>
        <w:footnoteRef/>
      </w:r>
      <w:r>
        <w:t>HILL, Karen. </w:t>
      </w:r>
      <w:proofErr w:type="spellStart"/>
      <w:r w:rsidRPr="008033D2">
        <w:rPr>
          <w:i/>
        </w:rPr>
        <w:t>Detecting</w:t>
      </w:r>
      <w:proofErr w:type="spellEnd"/>
      <w:r w:rsidRPr="008033D2">
        <w:rPr>
          <w:i/>
        </w:rPr>
        <w:t xml:space="preserve"> and </w:t>
      </w:r>
      <w:proofErr w:type="spellStart"/>
      <w:r w:rsidRPr="008033D2">
        <w:rPr>
          <w:i/>
        </w:rPr>
        <w:t>Correcting</w:t>
      </w:r>
      <w:proofErr w:type="spellEnd"/>
      <w:r w:rsidRPr="008033D2">
        <w:rPr>
          <w:i/>
        </w:rPr>
        <w:t xml:space="preserve"> </w:t>
      </w:r>
      <w:proofErr w:type="spellStart"/>
      <w:r w:rsidRPr="008033D2">
        <w:rPr>
          <w:i/>
        </w:rPr>
        <w:t>Common</w:t>
      </w:r>
      <w:proofErr w:type="spellEnd"/>
      <w:r w:rsidRPr="008033D2">
        <w:rPr>
          <w:i/>
        </w:rPr>
        <w:t xml:space="preserve"> </w:t>
      </w:r>
      <w:proofErr w:type="spellStart"/>
      <w:r w:rsidRPr="008033D2">
        <w:rPr>
          <w:i/>
        </w:rPr>
        <w:t>Errors</w:t>
      </w:r>
      <w:proofErr w:type="spellEnd"/>
      <w:r w:rsidRPr="008033D2">
        <w:rPr>
          <w:i/>
        </w:rPr>
        <w:t xml:space="preserve"> in Public </w:t>
      </w:r>
      <w:proofErr w:type="spellStart"/>
      <w:r w:rsidRPr="00A75C2F">
        <w:t>Procurement</w:t>
      </w:r>
      <w:proofErr w:type="spellEnd"/>
      <w:r>
        <w:t xml:space="preserve"> [online].</w:t>
      </w:r>
      <w:r w:rsidRPr="008033D2">
        <w:t xml:space="preserve"> </w:t>
      </w:r>
      <w:r>
        <w:t>sigmaweb.org, </w:t>
      </w:r>
      <w:proofErr w:type="spellStart"/>
      <w:r>
        <w:t>september</w:t>
      </w:r>
      <w:proofErr w:type="spellEnd"/>
      <w:r>
        <w:t> 2016 [cit. 22. 2. 2020]. Dostupné na&lt;</w:t>
      </w:r>
      <w:r w:rsidRPr="00E02FC8">
        <w:t>http://www.sigmaweb.org/publications/Public-Procurement-Policy-Brief-29-200117.pdf</w:t>
      </w:r>
      <w:r>
        <w:t>&gt;.</w:t>
      </w:r>
    </w:p>
  </w:footnote>
  <w:footnote w:id="140">
    <w:p w14:paraId="587118D7" w14:textId="60BD0400" w:rsidR="001A492B" w:rsidRPr="00731D8D" w:rsidRDefault="001A492B" w:rsidP="00F2564F">
      <w:pPr>
        <w:pStyle w:val="NoSpacing"/>
        <w:jc w:val="both"/>
      </w:pPr>
      <w:r>
        <w:rPr>
          <w:rStyle w:val="FootnoteReference"/>
        </w:rPr>
        <w:footnoteRef/>
      </w:r>
      <w:r>
        <w:t xml:space="preserve">Evropská komise. </w:t>
      </w:r>
      <w:r w:rsidRPr="004B5BD2">
        <w:rPr>
          <w:i/>
        </w:rPr>
        <w:t>Pokyny k zadávání veřejných zakázek určené aplikujícím odborníkům, jak předcházet nejčastějším chybám u projektů financovaných z evropských strukturálních a investičních fondů.</w:t>
      </w:r>
      <w:r>
        <w:t xml:space="preserve"> Lucemburk: Úřad pro publikace, 2018. s. 104. </w:t>
      </w:r>
    </w:p>
  </w:footnote>
  <w:footnote w:id="141">
    <w:p w14:paraId="3E5AAAC2" w14:textId="49C92AB7" w:rsidR="001A492B" w:rsidRPr="00EA19BA" w:rsidRDefault="001A492B" w:rsidP="00F2564F">
      <w:pPr>
        <w:pStyle w:val="NoSpacing"/>
        <w:jc w:val="both"/>
      </w:pPr>
      <w:r>
        <w:rPr>
          <w:rStyle w:val="FootnoteReference"/>
        </w:rPr>
        <w:footnoteRef/>
      </w:r>
      <w:r>
        <w:t xml:space="preserve">Tamtéž. </w:t>
      </w:r>
    </w:p>
  </w:footnote>
  <w:footnote w:id="142">
    <w:p w14:paraId="22CEEADB" w14:textId="6BF69A6B" w:rsidR="001A492B" w:rsidRPr="00770D36" w:rsidRDefault="001A492B" w:rsidP="00396059">
      <w:pPr>
        <w:pStyle w:val="NoSpacing"/>
        <w:jc w:val="both"/>
      </w:pPr>
      <w:r>
        <w:rPr>
          <w:rStyle w:val="FootnoteReference"/>
        </w:rPr>
        <w:footnoteRef/>
      </w:r>
      <w:r>
        <w:t xml:space="preserve">Čl. 70 </w:t>
      </w:r>
      <w:r w:rsidRPr="00770D36">
        <w:t xml:space="preserve">Směrnice Evropského parlamentu a Rady 2014/24/EU ze dne 26. února 2014 o zadávání veřejných zakázek a zrušení směrnice 2004/18/ES. </w:t>
      </w:r>
      <w:proofErr w:type="spellStart"/>
      <w:r w:rsidRPr="00770D36">
        <w:t>Úř</w:t>
      </w:r>
      <w:proofErr w:type="spellEnd"/>
      <w:r w:rsidRPr="00770D36">
        <w:t xml:space="preserve">. </w:t>
      </w:r>
      <w:proofErr w:type="spellStart"/>
      <w:r w:rsidRPr="00770D36">
        <w:t>věst</w:t>
      </w:r>
      <w:proofErr w:type="spellEnd"/>
      <w:r>
        <w:t>. L 94, 28. 3. 2014, s. 135.</w:t>
      </w:r>
    </w:p>
  </w:footnote>
  <w:footnote w:id="143">
    <w:p w14:paraId="603BE7A4" w14:textId="2B60BFD0" w:rsidR="001A492B" w:rsidRPr="004A53E2" w:rsidRDefault="001A492B" w:rsidP="00396059">
      <w:pPr>
        <w:pStyle w:val="NoSpacing"/>
        <w:jc w:val="both"/>
      </w:pPr>
      <w:r>
        <w:rPr>
          <w:rStyle w:val="FootnoteReference"/>
        </w:rPr>
        <w:footnoteRef/>
      </w:r>
      <w:r>
        <w:t xml:space="preserve">HILL, Karen. </w:t>
      </w:r>
      <w:proofErr w:type="spellStart"/>
      <w:r w:rsidRPr="00B84522">
        <w:rPr>
          <w:i/>
        </w:rPr>
        <w:t>Contract</w:t>
      </w:r>
      <w:proofErr w:type="spellEnd"/>
      <w:r w:rsidRPr="00B84522">
        <w:rPr>
          <w:i/>
        </w:rPr>
        <w:t xml:space="preserve"> </w:t>
      </w:r>
      <w:proofErr w:type="spellStart"/>
      <w:r w:rsidRPr="00B84522">
        <w:rPr>
          <w:i/>
        </w:rPr>
        <w:t>Modifications</w:t>
      </w:r>
      <w:proofErr w:type="spellEnd"/>
      <w:r>
        <w:t xml:space="preserve"> [online]. sigmaweb.org, </w:t>
      </w:r>
      <w:proofErr w:type="spellStart"/>
      <w:r>
        <w:t>september</w:t>
      </w:r>
      <w:proofErr w:type="spellEnd"/>
      <w:r>
        <w:t xml:space="preserve"> 2016, [cit. 3. 2. 2020]. Dostupné na &lt;</w:t>
      </w:r>
      <w:r w:rsidRPr="00B84522">
        <w:t>http://www.sigmaweb.org/publications/Public-Procurement-Policy-Brief-38-200117.pdf</w:t>
      </w:r>
      <w:r>
        <w:t>&gt;.</w:t>
      </w:r>
    </w:p>
  </w:footnote>
  <w:footnote w:id="144">
    <w:p w14:paraId="15C71823" w14:textId="5C9E95D8" w:rsidR="001A492B" w:rsidRPr="00983BAA" w:rsidRDefault="001A492B" w:rsidP="00396059">
      <w:pPr>
        <w:pStyle w:val="NoSpacing"/>
        <w:jc w:val="both"/>
      </w:pPr>
      <w:r>
        <w:rPr>
          <w:rStyle w:val="FootnoteReference"/>
        </w:rPr>
        <w:footnoteRef/>
      </w:r>
      <w:r>
        <w:t xml:space="preserve">Čl.  73 </w:t>
      </w:r>
      <w:r w:rsidRPr="00770D36">
        <w:t xml:space="preserve">Směrnice Evropského parlamentu a Rady 2014/24/EU ze dne 26. února 2014 o zadávání veřejných zakázek a zrušení směrnice 2004/18/ES. </w:t>
      </w:r>
      <w:proofErr w:type="spellStart"/>
      <w:r w:rsidRPr="00770D36">
        <w:t>Úř</w:t>
      </w:r>
      <w:proofErr w:type="spellEnd"/>
      <w:r w:rsidRPr="00770D36">
        <w:t xml:space="preserve">. </w:t>
      </w:r>
      <w:proofErr w:type="spellStart"/>
      <w:r w:rsidRPr="00770D36">
        <w:t>věst</w:t>
      </w:r>
      <w:proofErr w:type="spellEnd"/>
      <w:r>
        <w:t xml:space="preserve">. L 94, 28. 3. 2014, s. 138. </w:t>
      </w:r>
    </w:p>
  </w:footnote>
  <w:footnote w:id="145">
    <w:p w14:paraId="563DBBE4" w14:textId="4AE76B97" w:rsidR="001A492B" w:rsidRPr="00922CC9" w:rsidRDefault="001A492B" w:rsidP="00396059">
      <w:pPr>
        <w:pStyle w:val="NoSpacing"/>
        <w:jc w:val="both"/>
      </w:pPr>
      <w:r>
        <w:rPr>
          <w:rStyle w:val="FootnoteReference"/>
        </w:rPr>
        <w:footnoteRef/>
      </w:r>
      <w:r>
        <w:t xml:space="preserve">Evropská komise. </w:t>
      </w:r>
      <w:r w:rsidRPr="006D0AB9">
        <w:t>Pokyny k zadávání veřejných zakázek určené aplikujícím odborníkům</w:t>
      </w:r>
      <w:r>
        <w:t>, jak předcházet nejčastějším chybám u projektů financovaných z evropských strukturálních a investičních fondů. Lucemburk: Úřad pro publikace, 2018. s. 117.</w:t>
      </w:r>
    </w:p>
  </w:footnote>
  <w:footnote w:id="146">
    <w:p w14:paraId="7A23444B" w14:textId="588ECA12" w:rsidR="001A492B" w:rsidRPr="00786965" w:rsidRDefault="001A492B" w:rsidP="00A75C2F">
      <w:pPr>
        <w:pStyle w:val="NoSpacing"/>
        <w:jc w:val="both"/>
      </w:pPr>
      <w:r>
        <w:rPr>
          <w:rStyle w:val="FootnoteReference"/>
        </w:rPr>
        <w:footnoteRef/>
      </w:r>
      <w:r>
        <w:t xml:space="preserve">Rozsudek ze dne 6. 11. 2014, </w:t>
      </w:r>
      <w:proofErr w:type="spellStart"/>
      <w:r>
        <w:rPr>
          <w:i/>
        </w:rPr>
        <w:t>P</w:t>
      </w:r>
      <w:r w:rsidRPr="009A031C">
        <w:rPr>
          <w:i/>
        </w:rPr>
        <w:t>ressetext</w:t>
      </w:r>
      <w:proofErr w:type="spellEnd"/>
      <w:r w:rsidRPr="009A031C">
        <w:rPr>
          <w:i/>
        </w:rPr>
        <w:t xml:space="preserve"> </w:t>
      </w:r>
      <w:proofErr w:type="spellStart"/>
      <w:r w:rsidRPr="009A031C">
        <w:rPr>
          <w:i/>
        </w:rPr>
        <w:t>Nachrichtenage</w:t>
      </w:r>
      <w:r>
        <w:rPr>
          <w:i/>
        </w:rPr>
        <w:t>ntur</w:t>
      </w:r>
      <w:proofErr w:type="spellEnd"/>
      <w:r>
        <w:rPr>
          <w:i/>
        </w:rPr>
        <w:t xml:space="preserve"> </w:t>
      </w:r>
      <w:proofErr w:type="spellStart"/>
      <w:r>
        <w:rPr>
          <w:i/>
        </w:rPr>
        <w:t>GmbH</w:t>
      </w:r>
      <w:proofErr w:type="spellEnd"/>
      <w:r>
        <w:rPr>
          <w:i/>
        </w:rPr>
        <w:t xml:space="preserve"> v. Rakousku</w:t>
      </w:r>
      <w:r>
        <w:t xml:space="preserve">, C-454/06, </w:t>
      </w:r>
      <w:proofErr w:type="spellStart"/>
      <w:r>
        <w:t>Úř</w:t>
      </w:r>
      <w:proofErr w:type="spellEnd"/>
      <w:r>
        <w:t xml:space="preserve">. </w:t>
      </w:r>
      <w:proofErr w:type="spellStart"/>
      <w:r>
        <w:t>věst</w:t>
      </w:r>
      <w:proofErr w:type="spellEnd"/>
      <w:r>
        <w:t>. C 209, bod  10.</w:t>
      </w:r>
    </w:p>
  </w:footnote>
  <w:footnote w:id="147">
    <w:p w14:paraId="449817C4" w14:textId="7A076B8C" w:rsidR="001A492B" w:rsidRPr="00CB1E12" w:rsidRDefault="001A492B" w:rsidP="00A75C2F">
      <w:pPr>
        <w:pStyle w:val="NoSpacing"/>
        <w:jc w:val="both"/>
      </w:pPr>
      <w:r>
        <w:rPr>
          <w:rStyle w:val="FootnoteReference"/>
        </w:rPr>
        <w:footnoteRef/>
      </w:r>
      <w:r w:rsidRPr="003D0904">
        <w:t xml:space="preserve">MACEK, Ivo. </w:t>
      </w:r>
      <w:r w:rsidRPr="00A2020D">
        <w:rPr>
          <w:i/>
        </w:rPr>
        <w:t>Zákon o zadávání veřejných zakázek : praktický komentář s judikaturou</w:t>
      </w:r>
      <w:r>
        <w:t xml:space="preserve">. Praha: </w:t>
      </w:r>
      <w:proofErr w:type="spellStart"/>
      <w:r>
        <w:t>Leges</w:t>
      </w:r>
      <w:proofErr w:type="spellEnd"/>
      <w:r>
        <w:t>, 2017, s. 669-670.</w:t>
      </w:r>
    </w:p>
  </w:footnote>
  <w:footnote w:id="148">
    <w:p w14:paraId="7911A5F0" w14:textId="1B4892A6" w:rsidR="001A492B" w:rsidRPr="0058146B" w:rsidRDefault="001A492B" w:rsidP="009D3EAD">
      <w:pPr>
        <w:pStyle w:val="NoSpacing"/>
        <w:keepNext/>
        <w:keepLines/>
      </w:pPr>
      <w:r>
        <w:rPr>
          <w:rStyle w:val="FootnoteReference"/>
        </w:rPr>
        <w:footnoteRef/>
      </w:r>
      <w:proofErr w:type="spellStart"/>
      <w:r w:rsidRPr="001E717C">
        <w:t>European</w:t>
      </w:r>
      <w:proofErr w:type="spellEnd"/>
      <w:r w:rsidRPr="001E717C">
        <w:t xml:space="preserve"> </w:t>
      </w:r>
      <w:proofErr w:type="spellStart"/>
      <w:r w:rsidRPr="001E717C">
        <w:t>Commission</w:t>
      </w:r>
      <w:proofErr w:type="spellEnd"/>
      <w:r w:rsidRPr="001E717C">
        <w:t xml:space="preserve">, </w:t>
      </w:r>
      <w:proofErr w:type="spellStart"/>
      <w:r w:rsidRPr="001E717C">
        <w:t>Directorate</w:t>
      </w:r>
      <w:proofErr w:type="spellEnd"/>
      <w:r w:rsidRPr="001E717C">
        <w:t xml:space="preserve">-General </w:t>
      </w:r>
      <w:proofErr w:type="spellStart"/>
      <w:r w:rsidRPr="001E717C">
        <w:t>for</w:t>
      </w:r>
      <w:proofErr w:type="spellEnd"/>
      <w:r w:rsidRPr="001E717C">
        <w:t xml:space="preserve"> </w:t>
      </w:r>
      <w:proofErr w:type="spellStart"/>
      <w:r w:rsidRPr="001E717C">
        <w:t>Regional</w:t>
      </w:r>
      <w:proofErr w:type="spellEnd"/>
      <w:r w:rsidRPr="001E717C">
        <w:t xml:space="preserve"> and Urban </w:t>
      </w:r>
      <w:proofErr w:type="spellStart"/>
      <w:r w:rsidRPr="001E717C">
        <w:t>policy</w:t>
      </w:r>
      <w:proofErr w:type="spellEnd"/>
      <w:r w:rsidRPr="001E717C">
        <w:t xml:space="preserve">. </w:t>
      </w:r>
      <w:proofErr w:type="spellStart"/>
      <w:r w:rsidRPr="001E717C">
        <w:rPr>
          <w:i/>
        </w:rPr>
        <w:t>Prakticka</w:t>
      </w:r>
      <w:proofErr w:type="spellEnd"/>
      <w:r w:rsidRPr="001E717C">
        <w:rPr>
          <w:i/>
        </w:rPr>
        <w:t xml:space="preserve">́ </w:t>
      </w:r>
      <w:proofErr w:type="spellStart"/>
      <w:r w:rsidRPr="001E717C">
        <w:rPr>
          <w:i/>
        </w:rPr>
        <w:t>příručka</w:t>
      </w:r>
      <w:proofErr w:type="spellEnd"/>
      <w:r w:rsidRPr="001E717C">
        <w:rPr>
          <w:i/>
        </w:rPr>
        <w:t xml:space="preserve">, jak </w:t>
      </w:r>
      <w:proofErr w:type="spellStart"/>
      <w:r w:rsidRPr="001E717C">
        <w:rPr>
          <w:i/>
        </w:rPr>
        <w:t>předcházet</w:t>
      </w:r>
      <w:proofErr w:type="spellEnd"/>
      <w:r w:rsidRPr="001E717C">
        <w:rPr>
          <w:i/>
        </w:rPr>
        <w:t xml:space="preserve"> </w:t>
      </w:r>
      <w:proofErr w:type="spellStart"/>
      <w:r w:rsidRPr="001E717C">
        <w:rPr>
          <w:i/>
        </w:rPr>
        <w:t>nejčastějším</w:t>
      </w:r>
      <w:proofErr w:type="spellEnd"/>
      <w:r w:rsidRPr="001E717C">
        <w:rPr>
          <w:i/>
        </w:rPr>
        <w:t xml:space="preserve"> </w:t>
      </w:r>
      <w:proofErr w:type="spellStart"/>
      <w:r w:rsidRPr="001E717C">
        <w:rPr>
          <w:i/>
        </w:rPr>
        <w:t>chybám</w:t>
      </w:r>
      <w:proofErr w:type="spellEnd"/>
      <w:r w:rsidRPr="001E717C">
        <w:rPr>
          <w:i/>
        </w:rPr>
        <w:t xml:space="preserve"> </w:t>
      </w:r>
      <w:proofErr w:type="spellStart"/>
      <w:r w:rsidRPr="001E717C">
        <w:rPr>
          <w:i/>
        </w:rPr>
        <w:t>při</w:t>
      </w:r>
      <w:proofErr w:type="spellEnd"/>
      <w:r w:rsidRPr="001E717C">
        <w:rPr>
          <w:i/>
        </w:rPr>
        <w:t xml:space="preserve"> </w:t>
      </w:r>
      <w:proofErr w:type="spellStart"/>
      <w:r w:rsidRPr="001E717C">
        <w:rPr>
          <w:i/>
        </w:rPr>
        <w:t>zadáváni</w:t>
      </w:r>
      <w:proofErr w:type="spellEnd"/>
      <w:r w:rsidRPr="001E717C">
        <w:rPr>
          <w:i/>
        </w:rPr>
        <w:t xml:space="preserve">́ </w:t>
      </w:r>
      <w:proofErr w:type="spellStart"/>
      <w:r w:rsidRPr="001E717C">
        <w:rPr>
          <w:i/>
        </w:rPr>
        <w:t>veřejných</w:t>
      </w:r>
      <w:proofErr w:type="spellEnd"/>
      <w:r w:rsidRPr="001E717C">
        <w:rPr>
          <w:i/>
        </w:rPr>
        <w:t xml:space="preserve"> </w:t>
      </w:r>
      <w:proofErr w:type="spellStart"/>
      <w:r w:rsidRPr="001E717C">
        <w:rPr>
          <w:i/>
        </w:rPr>
        <w:t>zakázek</w:t>
      </w:r>
      <w:proofErr w:type="spellEnd"/>
      <w:r w:rsidRPr="001E717C">
        <w:rPr>
          <w:i/>
        </w:rPr>
        <w:t xml:space="preserve"> na projekty </w:t>
      </w:r>
      <w:proofErr w:type="spellStart"/>
      <w:r w:rsidRPr="001E717C">
        <w:rPr>
          <w:i/>
        </w:rPr>
        <w:t>financovane</w:t>
      </w:r>
      <w:proofErr w:type="spellEnd"/>
      <w:r w:rsidRPr="001E717C">
        <w:rPr>
          <w:i/>
        </w:rPr>
        <w:t xml:space="preserve">́ z </w:t>
      </w:r>
      <w:proofErr w:type="spellStart"/>
      <w:r w:rsidRPr="001E717C">
        <w:rPr>
          <w:i/>
        </w:rPr>
        <w:t>evropských</w:t>
      </w:r>
      <w:proofErr w:type="spellEnd"/>
      <w:r w:rsidRPr="001E717C">
        <w:rPr>
          <w:i/>
        </w:rPr>
        <w:t xml:space="preserve"> </w:t>
      </w:r>
      <w:proofErr w:type="spellStart"/>
      <w:r w:rsidRPr="001E717C">
        <w:rPr>
          <w:i/>
        </w:rPr>
        <w:t>strukturálních</w:t>
      </w:r>
      <w:proofErr w:type="spellEnd"/>
      <w:r w:rsidRPr="001E717C">
        <w:rPr>
          <w:i/>
        </w:rPr>
        <w:t xml:space="preserve"> a </w:t>
      </w:r>
      <w:proofErr w:type="spellStart"/>
      <w:r w:rsidRPr="001E717C">
        <w:rPr>
          <w:i/>
        </w:rPr>
        <w:t>investičních</w:t>
      </w:r>
      <w:proofErr w:type="spellEnd"/>
      <w:r w:rsidRPr="001E717C">
        <w:rPr>
          <w:i/>
        </w:rPr>
        <w:t xml:space="preserve"> fondů, </w:t>
      </w:r>
      <w:proofErr w:type="spellStart"/>
      <w:r w:rsidRPr="001E717C">
        <w:rPr>
          <w:i/>
        </w:rPr>
        <w:t>určena</w:t>
      </w:r>
      <w:proofErr w:type="spellEnd"/>
      <w:r w:rsidRPr="001E717C">
        <w:rPr>
          <w:i/>
        </w:rPr>
        <w:t xml:space="preserve">́ </w:t>
      </w:r>
      <w:proofErr w:type="spellStart"/>
      <w:r w:rsidRPr="001E717C">
        <w:rPr>
          <w:i/>
        </w:rPr>
        <w:t>odborníkům</w:t>
      </w:r>
      <w:proofErr w:type="spellEnd"/>
      <w:r w:rsidRPr="001E717C">
        <w:rPr>
          <w:i/>
        </w:rPr>
        <w:t xml:space="preserve"> z praxe. </w:t>
      </w:r>
      <w:r w:rsidRPr="001E717C">
        <w:t xml:space="preserve">Lucemburk: </w:t>
      </w:r>
      <w:proofErr w:type="spellStart"/>
      <w:r w:rsidRPr="001E717C">
        <w:t>Úřad</w:t>
      </w:r>
      <w:proofErr w:type="spellEnd"/>
      <w:r w:rsidRPr="001E717C">
        <w:t xml:space="preserve"> pro </w:t>
      </w:r>
      <w:r>
        <w:t xml:space="preserve">publikace </w:t>
      </w:r>
      <w:proofErr w:type="spellStart"/>
      <w:r>
        <w:t>Evropske</w:t>
      </w:r>
      <w:proofErr w:type="spellEnd"/>
      <w:r>
        <w:t xml:space="preserve">́ unie, 2015, s. 82. </w:t>
      </w:r>
    </w:p>
  </w:footnote>
  <w:footnote w:id="149">
    <w:p w14:paraId="597800A3" w14:textId="08D1D038" w:rsidR="001A492B" w:rsidRPr="00163842" w:rsidRDefault="001A492B" w:rsidP="00A75C2F">
      <w:pPr>
        <w:pStyle w:val="NoSpacing"/>
        <w:jc w:val="both"/>
      </w:pPr>
      <w:r>
        <w:rPr>
          <w:rStyle w:val="FootnoteReference"/>
        </w:rPr>
        <w:footnoteRef/>
      </w:r>
      <w:r>
        <w:t>HILL, Karen. </w:t>
      </w:r>
      <w:proofErr w:type="spellStart"/>
      <w:r w:rsidRPr="00A75C2F">
        <w:t>Detecting</w:t>
      </w:r>
      <w:proofErr w:type="spellEnd"/>
      <w:r w:rsidRPr="00A75C2F">
        <w:t xml:space="preserve"> and </w:t>
      </w:r>
      <w:proofErr w:type="spellStart"/>
      <w:r w:rsidRPr="00A75C2F">
        <w:t>Correcting</w:t>
      </w:r>
      <w:proofErr w:type="spellEnd"/>
      <w:r w:rsidRPr="00A75C2F">
        <w:t xml:space="preserve"> </w:t>
      </w:r>
      <w:proofErr w:type="spellStart"/>
      <w:r w:rsidRPr="00A75C2F">
        <w:t>Common</w:t>
      </w:r>
      <w:proofErr w:type="spellEnd"/>
      <w:r w:rsidRPr="00A75C2F">
        <w:t xml:space="preserve"> </w:t>
      </w:r>
      <w:proofErr w:type="spellStart"/>
      <w:r w:rsidRPr="00A75C2F">
        <w:t>Errors</w:t>
      </w:r>
      <w:proofErr w:type="spellEnd"/>
      <w:r w:rsidRPr="00A75C2F">
        <w:t xml:space="preserve"> in Public </w:t>
      </w:r>
      <w:proofErr w:type="spellStart"/>
      <w:r w:rsidRPr="00A75C2F">
        <w:t>Procurement</w:t>
      </w:r>
      <w:proofErr w:type="spellEnd"/>
      <w:r>
        <w:t> [online]. Sigmaweb.org, </w:t>
      </w:r>
      <w:proofErr w:type="spellStart"/>
      <w:r>
        <w:t>september</w:t>
      </w:r>
      <w:proofErr w:type="spellEnd"/>
      <w:r>
        <w:t> 2016 [cit. 22. 2. 2020]. Dostupné na &lt;</w:t>
      </w:r>
      <w:r w:rsidRPr="00163842">
        <w:t>http://www.sigmaweb.org/publications/Public-Procurement-Policy-Brief-29-200117.pdf</w:t>
      </w:r>
      <w:r>
        <w:t>&gt;.</w:t>
      </w:r>
    </w:p>
  </w:footnote>
  <w:footnote w:id="150">
    <w:p w14:paraId="5260B846" w14:textId="55922217" w:rsidR="001A492B" w:rsidRPr="00F36BB8" w:rsidRDefault="001A492B" w:rsidP="00A75C2F">
      <w:pPr>
        <w:pStyle w:val="NoSpacing"/>
        <w:jc w:val="both"/>
      </w:pPr>
      <w:r>
        <w:rPr>
          <w:rStyle w:val="FootnoteReference"/>
        </w:rPr>
        <w:footnoteRef/>
      </w:r>
      <w:r w:rsidRPr="003D0904">
        <w:t xml:space="preserve">MACEK, Ivo. </w:t>
      </w:r>
      <w:r w:rsidRPr="00A2020D">
        <w:rPr>
          <w:i/>
        </w:rPr>
        <w:t>Zákon o zadávání veřejných zakázek : praktický komentář s judikaturou</w:t>
      </w:r>
      <w:r>
        <w:t xml:space="preserve">. Praha: </w:t>
      </w:r>
      <w:proofErr w:type="spellStart"/>
      <w:r>
        <w:t>Leges</w:t>
      </w:r>
      <w:proofErr w:type="spellEnd"/>
      <w:r>
        <w:t xml:space="preserve">, 2017, s. 475. </w:t>
      </w:r>
    </w:p>
  </w:footnote>
  <w:footnote w:id="151">
    <w:p w14:paraId="1D373FCF" w14:textId="6A082576" w:rsidR="001A492B" w:rsidRPr="00C449D1" w:rsidRDefault="001A492B" w:rsidP="00A75C2F">
      <w:pPr>
        <w:pStyle w:val="NoSpacing"/>
        <w:jc w:val="both"/>
      </w:pPr>
      <w:r>
        <w:rPr>
          <w:rStyle w:val="FootnoteReference"/>
        </w:rPr>
        <w:footnoteRef/>
      </w:r>
      <w:r>
        <w:t xml:space="preserve">Rozsudek ze dne 6. 11. 2014, </w:t>
      </w:r>
      <w:proofErr w:type="spellStart"/>
      <w:r w:rsidRPr="00C449D1">
        <w:rPr>
          <w:i/>
        </w:rPr>
        <w:t>Kauppatalo</w:t>
      </w:r>
      <w:proofErr w:type="spellEnd"/>
      <w:r w:rsidRPr="00C449D1">
        <w:rPr>
          <w:i/>
        </w:rPr>
        <w:t xml:space="preserve"> </w:t>
      </w:r>
      <w:proofErr w:type="spellStart"/>
      <w:r w:rsidRPr="00C449D1">
        <w:rPr>
          <w:i/>
        </w:rPr>
        <w:t>Hansel</w:t>
      </w:r>
      <w:proofErr w:type="spellEnd"/>
      <w:r w:rsidRPr="00C449D1">
        <w:rPr>
          <w:i/>
        </w:rPr>
        <w:t xml:space="preserve"> </w:t>
      </w:r>
      <w:proofErr w:type="spellStart"/>
      <w:r w:rsidRPr="00C449D1">
        <w:rPr>
          <w:i/>
        </w:rPr>
        <w:t>Oy</w:t>
      </w:r>
      <w:proofErr w:type="spellEnd"/>
      <w:r w:rsidRPr="00C449D1">
        <w:rPr>
          <w:i/>
        </w:rPr>
        <w:t xml:space="preserve"> v </w:t>
      </w:r>
      <w:proofErr w:type="spellStart"/>
      <w:r w:rsidRPr="00C449D1">
        <w:rPr>
          <w:i/>
        </w:rPr>
        <w:t>Imatran</w:t>
      </w:r>
      <w:proofErr w:type="spellEnd"/>
      <w:r w:rsidRPr="00C449D1">
        <w:rPr>
          <w:i/>
        </w:rPr>
        <w:t xml:space="preserve"> </w:t>
      </w:r>
      <w:proofErr w:type="spellStart"/>
      <w:r w:rsidRPr="00C449D1">
        <w:rPr>
          <w:i/>
        </w:rPr>
        <w:t>kaupunki</w:t>
      </w:r>
      <w:proofErr w:type="spellEnd"/>
      <w:r w:rsidRPr="00DB33CE">
        <w:rPr>
          <w:i/>
        </w:rPr>
        <w:t>,</w:t>
      </w:r>
      <w:r>
        <w:t xml:space="preserve">, C-244/02, Sb. </w:t>
      </w:r>
      <w:proofErr w:type="spellStart"/>
      <w:r>
        <w:t>rozh</w:t>
      </w:r>
      <w:proofErr w:type="spellEnd"/>
      <w:r>
        <w:t>.</w:t>
      </w:r>
      <w:r w:rsidRPr="00C449D1">
        <w:t xml:space="preserve"> </w:t>
      </w:r>
      <w:r>
        <w:t xml:space="preserve">s. </w:t>
      </w:r>
      <w:r w:rsidRPr="00C449D1">
        <w:t>I-12139</w:t>
      </w:r>
      <w:r>
        <w:t>, bod  32.</w:t>
      </w:r>
    </w:p>
  </w:footnote>
  <w:footnote w:id="152">
    <w:p w14:paraId="3854E3DB" w14:textId="35BE725B" w:rsidR="001A492B" w:rsidRPr="00922CC9" w:rsidRDefault="001A492B" w:rsidP="00163842">
      <w:pPr>
        <w:pStyle w:val="NoSpacing"/>
        <w:jc w:val="both"/>
      </w:pPr>
      <w:r>
        <w:rPr>
          <w:rStyle w:val="FootnoteReference"/>
        </w:rPr>
        <w:footnoteRef/>
      </w:r>
      <w:r>
        <w:t xml:space="preserve">Evropská komise. </w:t>
      </w:r>
      <w:r w:rsidRPr="00A2020D">
        <w:rPr>
          <w:i/>
        </w:rPr>
        <w:t>Pokyny k zadávání veřejných zakázek určené aplikujícím odborníkům, jak předcházet nejčastějším chybám u projektů financovaných z evropských strukturálních a investičních fondů.</w:t>
      </w:r>
      <w:r>
        <w:t xml:space="preserve"> Lucemburk: Úřad pro publikace, 2018. s. 119.</w:t>
      </w:r>
    </w:p>
    <w:p w14:paraId="20DCFAD1" w14:textId="7FD56371" w:rsidR="001A492B" w:rsidRPr="00163842" w:rsidRDefault="001A492B">
      <w:pPr>
        <w:pStyle w:val="FootnoteText"/>
        <w:rPr>
          <w:lang w:val="cs-CZ"/>
        </w:rPr>
      </w:pPr>
    </w:p>
  </w:footnote>
  <w:footnote w:id="153">
    <w:p w14:paraId="1E2C2053" w14:textId="5FCB4404" w:rsidR="001A492B" w:rsidRPr="00167C26" w:rsidRDefault="001A492B" w:rsidP="00167C26">
      <w:pPr>
        <w:pStyle w:val="NoSpacing"/>
        <w:jc w:val="both"/>
      </w:pPr>
      <w:r>
        <w:rPr>
          <w:rStyle w:val="FootnoteReference"/>
        </w:rPr>
        <w:footnoteRef/>
      </w:r>
      <w:r>
        <w:t xml:space="preserve">BLAŽEK, Vojtěch. </w:t>
      </w:r>
      <w:r w:rsidRPr="00167C26">
        <w:rPr>
          <w:i/>
        </w:rPr>
        <w:t>Nad připravovaným zákonem o zadávání veřejných zakázek</w:t>
      </w:r>
      <w:r>
        <w:rPr>
          <w:i/>
        </w:rPr>
        <w:t xml:space="preserve"> </w:t>
      </w:r>
      <w:r>
        <w:t>[online]. Pravniprostor.cz, 11. 11.  2015 [cit. 8. 3. 2020]. Dostupné na &lt;</w:t>
      </w:r>
      <w:r w:rsidRPr="00167C26">
        <w:t>https://www.pravniprostor.cz/clanky/obchodni-pravo/nad-pripravovanym-zakonem-o-zadavani-verejnych-zakazek</w:t>
      </w:r>
      <w:r>
        <w:t xml:space="preserve">&gt;. </w:t>
      </w:r>
    </w:p>
  </w:footnote>
  <w:footnote w:id="154">
    <w:p w14:paraId="17DA2FE5" w14:textId="742D98D5" w:rsidR="001A492B" w:rsidRPr="00957D85" w:rsidRDefault="001A492B" w:rsidP="00957D85">
      <w:pPr>
        <w:pStyle w:val="NoSpacing"/>
      </w:pPr>
      <w:r>
        <w:rPr>
          <w:rStyle w:val="FootnoteReference"/>
        </w:rPr>
        <w:footnoteRef/>
      </w:r>
      <w:proofErr w:type="spellStart"/>
      <w:r w:rsidRPr="00957D85">
        <w:t>Čl</w:t>
      </w:r>
      <w:proofErr w:type="spellEnd"/>
      <w:r w:rsidRPr="00957D85">
        <w:t>. 288 Smlouv</w:t>
      </w:r>
      <w:r>
        <w:t xml:space="preserve">y o </w:t>
      </w:r>
      <w:proofErr w:type="spellStart"/>
      <w:r>
        <w:t>fungováni</w:t>
      </w:r>
      <w:proofErr w:type="spellEnd"/>
      <w:r>
        <w:t xml:space="preserve">́ </w:t>
      </w:r>
      <w:proofErr w:type="spellStart"/>
      <w:r>
        <w:t>Evropske</w:t>
      </w:r>
      <w:proofErr w:type="spellEnd"/>
      <w:r>
        <w:t xml:space="preserve">́ unie. </w:t>
      </w:r>
      <w:proofErr w:type="spellStart"/>
      <w:r>
        <w:t>Úř</w:t>
      </w:r>
      <w:proofErr w:type="spellEnd"/>
      <w:r>
        <w:t xml:space="preserve">. </w:t>
      </w:r>
      <w:proofErr w:type="spellStart"/>
      <w:r>
        <w:t>věst</w:t>
      </w:r>
      <w:proofErr w:type="spellEnd"/>
      <w:r>
        <w:t xml:space="preserve"> C 326, 26. 10. 2012, s. 172. </w:t>
      </w:r>
    </w:p>
  </w:footnote>
  <w:footnote w:id="155">
    <w:p w14:paraId="578C4126" w14:textId="13FD40B2" w:rsidR="001A492B" w:rsidRPr="0075695C" w:rsidRDefault="001A492B" w:rsidP="00167C26">
      <w:pPr>
        <w:pStyle w:val="NoSpacing"/>
        <w:jc w:val="both"/>
      </w:pPr>
      <w:r>
        <w:rPr>
          <w:rStyle w:val="FootnoteReference"/>
        </w:rPr>
        <w:footnoteRef/>
      </w:r>
      <w:r>
        <w:t xml:space="preserve">SCHNELLEOVÁ, Andrea. Vybrané otázky zadávání veřejných zakázek ve světle současné a nadcházející právní úpravy. </w:t>
      </w:r>
      <w:r w:rsidRPr="0075695C">
        <w:rPr>
          <w:i/>
        </w:rPr>
        <w:t>Rekodifikace &amp; praxe</w:t>
      </w:r>
      <w:r>
        <w:rPr>
          <w:i/>
        </w:rPr>
        <w:t xml:space="preserve">, </w:t>
      </w:r>
      <w:r w:rsidRPr="0075695C">
        <w:t>2016, roč.</w:t>
      </w:r>
      <w:r>
        <w:t xml:space="preserve"> 4</w:t>
      </w:r>
      <w:r>
        <w:rPr>
          <w:i/>
        </w:rPr>
        <w:t xml:space="preserve"> </w:t>
      </w:r>
      <w:r>
        <w:t xml:space="preserve">č. 4, s. 19. </w:t>
      </w:r>
    </w:p>
  </w:footnote>
  <w:footnote w:id="156">
    <w:p w14:paraId="50B72275" w14:textId="144D0ED4" w:rsidR="001A492B" w:rsidRPr="00F6203F" w:rsidRDefault="001A492B" w:rsidP="00670B92">
      <w:pPr>
        <w:pStyle w:val="NoSpacing"/>
      </w:pPr>
      <w:r>
        <w:rPr>
          <w:rStyle w:val="FootnoteReference"/>
        </w:rPr>
        <w:footnoteRef/>
      </w:r>
      <w:r>
        <w:t xml:space="preserve">VYCH, Jan. </w:t>
      </w:r>
      <w:r w:rsidRPr="00F4553D">
        <w:rPr>
          <w:i/>
        </w:rPr>
        <w:t>Nový zákon o zadávání veřejných zakázek – myšlenka dobrá, provedení zatím o dost horší</w:t>
      </w:r>
      <w:r>
        <w:t xml:space="preserve"> [online]. epravo.cz, 23. 9. 2015 [cit. 23. 2. 3020]. Dostupné na &lt;</w:t>
      </w:r>
      <w:r w:rsidRPr="00F6203F">
        <w:t>https://www.epravo.cz/top/clanky/novy-zakon-o-zadavani-verejnych-zakazek-myslenka-dobra-provedeni-zatim-o-dost-horsi-98904.html</w:t>
      </w:r>
      <w:r>
        <w:t>&gt;.</w:t>
      </w:r>
    </w:p>
  </w:footnote>
  <w:footnote w:id="157">
    <w:p w14:paraId="68C7B0DD" w14:textId="1E85DAF0" w:rsidR="001A492B" w:rsidRPr="00544E67" w:rsidRDefault="001A492B" w:rsidP="00544E67">
      <w:pPr>
        <w:pStyle w:val="NoSpacing"/>
      </w:pPr>
      <w:r>
        <w:rPr>
          <w:rStyle w:val="FootnoteReference"/>
        </w:rPr>
        <w:footnoteRef/>
      </w:r>
      <w:r>
        <w:t xml:space="preserve"> § 57 zákona č. 134/2016 Sb., o zadávání veřejných zakázek. </w:t>
      </w:r>
    </w:p>
  </w:footnote>
  <w:footnote w:id="158">
    <w:p w14:paraId="7B394E86" w14:textId="34AC747B" w:rsidR="001A492B" w:rsidRPr="0037704B" w:rsidRDefault="001A492B" w:rsidP="0037704B">
      <w:pPr>
        <w:pStyle w:val="NoSpacing"/>
      </w:pPr>
      <w:r>
        <w:rPr>
          <w:rStyle w:val="FootnoteReference"/>
        </w:rPr>
        <w:footnoteRef/>
      </w:r>
      <w:r>
        <w:t xml:space="preserve">Rozsudek ze dne 20. 9. 2018, </w:t>
      </w:r>
      <w:proofErr w:type="spellStart"/>
      <w:r w:rsidRPr="0037704B">
        <w:rPr>
          <w:i/>
        </w:rPr>
        <w:t>Montte</w:t>
      </w:r>
      <w:proofErr w:type="spellEnd"/>
      <w:r w:rsidRPr="0037704B">
        <w:rPr>
          <w:i/>
        </w:rPr>
        <w:t xml:space="preserve"> </w:t>
      </w:r>
      <w:proofErr w:type="spellStart"/>
      <w:r w:rsidRPr="0037704B">
        <w:rPr>
          <w:i/>
        </w:rPr>
        <w:t>Sl</w:t>
      </w:r>
      <w:proofErr w:type="spellEnd"/>
      <w:r w:rsidRPr="0037704B">
        <w:rPr>
          <w:i/>
        </w:rPr>
        <w:t xml:space="preserve"> proti </w:t>
      </w:r>
      <w:proofErr w:type="spellStart"/>
      <w:r w:rsidRPr="0037704B">
        <w:rPr>
          <w:i/>
        </w:rPr>
        <w:t>Musikene</w:t>
      </w:r>
      <w:proofErr w:type="spellEnd"/>
      <w:r w:rsidRPr="0037704B">
        <w:rPr>
          <w:i/>
        </w:rPr>
        <w:t>,</w:t>
      </w:r>
      <w:r>
        <w:t xml:space="preserve">  C-546/16, </w:t>
      </w:r>
      <w:proofErr w:type="spellStart"/>
      <w:r>
        <w:t>Úř</w:t>
      </w:r>
      <w:proofErr w:type="spellEnd"/>
      <w:r>
        <w:t xml:space="preserve">. </w:t>
      </w:r>
      <w:proofErr w:type="spellStart"/>
      <w:r>
        <w:t>věst</w:t>
      </w:r>
      <w:proofErr w:type="spellEnd"/>
      <w:r>
        <w:t>. C 408, bod 7.</w:t>
      </w:r>
    </w:p>
  </w:footnote>
  <w:footnote w:id="159">
    <w:p w14:paraId="1C419836" w14:textId="6B3EA0C6" w:rsidR="001A492B" w:rsidRPr="001C434D" w:rsidRDefault="001A492B" w:rsidP="001C434D">
      <w:pPr>
        <w:pStyle w:val="NoSpacing"/>
      </w:pPr>
      <w:r>
        <w:rPr>
          <w:rStyle w:val="FootnoteReference"/>
        </w:rPr>
        <w:footnoteRef/>
      </w:r>
      <w:r>
        <w:t xml:space="preserve">HAVLOVÁ, Adéla. </w:t>
      </w:r>
      <w:r>
        <w:rPr>
          <w:i/>
        </w:rPr>
        <w:t xml:space="preserve">Nový zákon o zadávání veřejných zakázek </w:t>
      </w:r>
      <w:r>
        <w:t>[online]. Pravniprostor.cz, 21. 6. 2016, [cit. 9. 3. 2020]. Dostupné na &lt;</w:t>
      </w:r>
      <w:r w:rsidRPr="001C434D">
        <w:t>https://www.pravniprostor.cz/clanky/ostatni-pravo/novy-zakon-o-zadavani-verejnych-zakazek</w:t>
      </w:r>
      <w:r>
        <w:t>&gt;.</w:t>
      </w:r>
    </w:p>
  </w:footnote>
  <w:footnote w:id="160">
    <w:p w14:paraId="40455E10" w14:textId="5CAAA9E3" w:rsidR="001A492B" w:rsidRPr="00E227E3" w:rsidRDefault="001A492B" w:rsidP="0016558A">
      <w:pPr>
        <w:pStyle w:val="NoSpacing"/>
        <w:jc w:val="both"/>
      </w:pPr>
      <w:r>
        <w:rPr>
          <w:rStyle w:val="FootnoteReference"/>
        </w:rPr>
        <w:footnoteRef/>
      </w:r>
      <w:r>
        <w:t xml:space="preserve">KOMÁREK, Jaroslav. </w:t>
      </w:r>
      <w:r w:rsidRPr="0075695C">
        <w:t>Paradoxy novelizace zákona o veřejných zakázkách.</w:t>
      </w:r>
      <w:r>
        <w:t xml:space="preserve"> </w:t>
      </w:r>
      <w:r>
        <w:rPr>
          <w:i/>
        </w:rPr>
        <w:t xml:space="preserve">Obec a finance, </w:t>
      </w:r>
      <w:r>
        <w:t xml:space="preserve">2019, roč. 24, č. 4. </w:t>
      </w:r>
    </w:p>
  </w:footnote>
  <w:footnote w:id="161">
    <w:p w14:paraId="1218E4F2" w14:textId="2E345111" w:rsidR="001A492B" w:rsidRPr="00133E9A" w:rsidRDefault="001A492B" w:rsidP="00DE03F7">
      <w:pPr>
        <w:pStyle w:val="NoSpacing"/>
        <w:keepNext/>
        <w:keepLines/>
        <w:pageBreakBefore/>
        <w:suppressLineNumbers/>
        <w:suppressAutoHyphens/>
        <w:jc w:val="both"/>
      </w:pPr>
      <w:r w:rsidRPr="00DE03F7">
        <w:rPr>
          <w:rStyle w:val="FootnoteReference"/>
          <w:szCs w:val="20"/>
        </w:rPr>
        <w:footnoteRef/>
      </w:r>
      <w:r w:rsidRPr="00DE03F7">
        <w:rPr>
          <w:szCs w:val="20"/>
        </w:rPr>
        <w:t>Euro</w:t>
      </w:r>
      <w:r>
        <w:t>pa. </w:t>
      </w:r>
      <w:proofErr w:type="spellStart"/>
      <w:r>
        <w:rPr>
          <w:i/>
        </w:rPr>
        <w:t>Ted.eTendering</w:t>
      </w:r>
      <w:proofErr w:type="spellEnd"/>
      <w:r>
        <w:rPr>
          <w:i/>
        </w:rPr>
        <w:t> </w:t>
      </w:r>
      <w:proofErr w:type="spellStart"/>
      <w:r>
        <w:rPr>
          <w:i/>
        </w:rPr>
        <w:t>Calls</w:t>
      </w:r>
      <w:proofErr w:type="spellEnd"/>
      <w:r>
        <w:rPr>
          <w:i/>
        </w:rPr>
        <w:t> </w:t>
      </w:r>
      <w:proofErr w:type="spellStart"/>
      <w:r>
        <w:rPr>
          <w:i/>
        </w:rPr>
        <w:t>for</w:t>
      </w:r>
      <w:proofErr w:type="spellEnd"/>
      <w:r>
        <w:rPr>
          <w:i/>
        </w:rPr>
        <w:t> </w:t>
      </w:r>
      <w:proofErr w:type="spellStart"/>
      <w:r>
        <w:rPr>
          <w:i/>
        </w:rPr>
        <w:t>tenders</w:t>
      </w:r>
      <w:proofErr w:type="spellEnd"/>
      <w:r>
        <w:rPr>
          <w:i/>
        </w:rPr>
        <w:t> </w:t>
      </w:r>
      <w:proofErr w:type="spellStart"/>
      <w:r>
        <w:rPr>
          <w:i/>
        </w:rPr>
        <w:t>from</w:t>
      </w:r>
      <w:proofErr w:type="spellEnd"/>
      <w:r>
        <w:rPr>
          <w:i/>
        </w:rPr>
        <w:t> </w:t>
      </w:r>
      <w:proofErr w:type="spellStart"/>
      <w:r>
        <w:rPr>
          <w:i/>
        </w:rPr>
        <w:t>the</w:t>
      </w:r>
      <w:proofErr w:type="spellEnd"/>
      <w:r>
        <w:rPr>
          <w:i/>
        </w:rPr>
        <w:t> </w:t>
      </w:r>
      <w:proofErr w:type="spellStart"/>
      <w:r>
        <w:rPr>
          <w:i/>
        </w:rPr>
        <w:t>European</w:t>
      </w:r>
      <w:proofErr w:type="spellEnd"/>
      <w:r>
        <w:rPr>
          <w:i/>
        </w:rPr>
        <w:t> </w:t>
      </w:r>
      <w:proofErr w:type="spellStart"/>
      <w:r w:rsidRPr="00842E64">
        <w:rPr>
          <w:i/>
        </w:rPr>
        <w:t>institutions</w:t>
      </w:r>
      <w:proofErr w:type="spellEnd"/>
      <w:r>
        <w:t> [online]. Etendering.ted.europa.eu [cit. 23. 2. 2020]. Dostupné na &lt;</w:t>
      </w:r>
      <w:r w:rsidRPr="00133E9A">
        <w:t>https://etendering.ted.europa.eu/cft/cft-search.html?_caList=1&amp;procedureType=cft.procedure_type.open_procedure&amp;startDateTo=&amp;confirm=Search&amp;closingDateFrom=&amp;closingDateTo=&amp;startDateFrom=&amp;_procedureType=1&amp;caList=&amp;page=11&amp;text=&amp;status=</w:t>
      </w:r>
      <w:r>
        <w:t>&gt;.</w:t>
      </w:r>
    </w:p>
  </w:footnote>
  <w:footnote w:id="162">
    <w:p w14:paraId="051A09E0" w14:textId="1C7816D1" w:rsidR="001A492B" w:rsidRPr="00DA7BF7" w:rsidRDefault="001A492B" w:rsidP="000F7008">
      <w:pPr>
        <w:pStyle w:val="NoSpacing"/>
        <w:jc w:val="both"/>
      </w:pPr>
      <w:r>
        <w:rPr>
          <w:rStyle w:val="FootnoteReference"/>
        </w:rPr>
        <w:footnoteRef/>
      </w:r>
      <w:r>
        <w:t>Protikorupční portál. </w:t>
      </w:r>
      <w:r>
        <w:rPr>
          <w:i/>
        </w:rPr>
        <w:t>Přehled veřejných </w:t>
      </w:r>
      <w:r w:rsidRPr="00842E64">
        <w:rPr>
          <w:i/>
        </w:rPr>
        <w:t>zakázek</w:t>
      </w:r>
      <w:r>
        <w:t> [online]. Zakazky.krajbezkorupce.cz, [cit. 23. 2. 2020]. Dostupné na &lt;</w:t>
      </w:r>
      <w:r w:rsidRPr="00DA7BF7">
        <w:t>https://zakazky.krajbezkorupce.cz/contract_index.html?type=NAD&amp;state=all&amp;archive=ACTUAL&amp;page=8</w:t>
      </w:r>
      <w:r>
        <w:t>&gt;.</w:t>
      </w:r>
    </w:p>
  </w:footnote>
  <w:footnote w:id="163">
    <w:p w14:paraId="6B9C8377" w14:textId="23221885" w:rsidR="001A492B" w:rsidRPr="0046710D" w:rsidRDefault="001A492B" w:rsidP="000F7008">
      <w:pPr>
        <w:pStyle w:val="NoSpacing"/>
        <w:jc w:val="both"/>
      </w:pPr>
      <w:r>
        <w:rPr>
          <w:rStyle w:val="FootnoteReference"/>
        </w:rPr>
        <w:footnoteRef/>
      </w:r>
      <w:proofErr w:type="spellStart"/>
      <w:r>
        <w:t>European</w:t>
      </w:r>
      <w:proofErr w:type="spellEnd"/>
      <w:r>
        <w:t xml:space="preserve"> </w:t>
      </w:r>
      <w:proofErr w:type="spellStart"/>
      <w:r>
        <w:t>Commission</w:t>
      </w:r>
      <w:proofErr w:type="spellEnd"/>
      <w:r>
        <w:t xml:space="preserve">. </w:t>
      </w:r>
      <w:proofErr w:type="spellStart"/>
      <w:r w:rsidRPr="00BA5441">
        <w:rPr>
          <w:i/>
        </w:rPr>
        <w:t>C</w:t>
      </w:r>
      <w:r>
        <w:rPr>
          <w:i/>
        </w:rPr>
        <w:t>ommunication</w:t>
      </w:r>
      <w:proofErr w:type="spellEnd"/>
      <w:r>
        <w:rPr>
          <w:i/>
        </w:rPr>
        <w:t xml:space="preserve"> </w:t>
      </w:r>
      <w:proofErr w:type="spellStart"/>
      <w:r>
        <w:rPr>
          <w:i/>
        </w:rPr>
        <w:t>from</w:t>
      </w:r>
      <w:proofErr w:type="spellEnd"/>
      <w:r>
        <w:rPr>
          <w:i/>
        </w:rPr>
        <w:t xml:space="preserve"> </w:t>
      </w:r>
      <w:proofErr w:type="spellStart"/>
      <w:r>
        <w:rPr>
          <w:i/>
        </w:rPr>
        <w:t>the</w:t>
      </w:r>
      <w:proofErr w:type="spellEnd"/>
      <w:r>
        <w:rPr>
          <w:i/>
        </w:rPr>
        <w:t xml:space="preserve"> </w:t>
      </w:r>
      <w:proofErr w:type="spellStart"/>
      <w:r>
        <w:rPr>
          <w:i/>
        </w:rPr>
        <w:t>commission</w:t>
      </w:r>
      <w:proofErr w:type="spellEnd"/>
      <w:r>
        <w:rPr>
          <w:i/>
        </w:rPr>
        <w:t xml:space="preserve"> to </w:t>
      </w:r>
      <w:proofErr w:type="spellStart"/>
      <w:r>
        <w:rPr>
          <w:i/>
        </w:rPr>
        <w:t>the</w:t>
      </w:r>
      <w:proofErr w:type="spellEnd"/>
      <w:r>
        <w:rPr>
          <w:i/>
        </w:rPr>
        <w:t xml:space="preserve"> </w:t>
      </w:r>
      <w:proofErr w:type="spellStart"/>
      <w:r>
        <w:rPr>
          <w:i/>
        </w:rPr>
        <w:t>european</w:t>
      </w:r>
      <w:proofErr w:type="spellEnd"/>
      <w:r>
        <w:rPr>
          <w:i/>
        </w:rPr>
        <w:t xml:space="preserve"> parlament, </w:t>
      </w:r>
      <w:proofErr w:type="spellStart"/>
      <w:r>
        <w:rPr>
          <w:i/>
        </w:rPr>
        <w:t>the</w:t>
      </w:r>
      <w:proofErr w:type="spellEnd"/>
      <w:r>
        <w:rPr>
          <w:i/>
        </w:rPr>
        <w:t xml:space="preserve"> </w:t>
      </w:r>
      <w:proofErr w:type="spellStart"/>
      <w:r>
        <w:rPr>
          <w:i/>
        </w:rPr>
        <w:t>council</w:t>
      </w:r>
      <w:proofErr w:type="spellEnd"/>
      <w:r>
        <w:rPr>
          <w:i/>
        </w:rPr>
        <w:t xml:space="preserve">, </w:t>
      </w:r>
      <w:proofErr w:type="spellStart"/>
      <w:r>
        <w:rPr>
          <w:i/>
        </w:rPr>
        <w:t>the</w:t>
      </w:r>
      <w:proofErr w:type="spellEnd"/>
      <w:r>
        <w:rPr>
          <w:i/>
        </w:rPr>
        <w:t xml:space="preserve"> </w:t>
      </w:r>
      <w:proofErr w:type="spellStart"/>
      <w:r>
        <w:rPr>
          <w:i/>
        </w:rPr>
        <w:t>european</w:t>
      </w:r>
      <w:proofErr w:type="spellEnd"/>
      <w:r>
        <w:rPr>
          <w:i/>
        </w:rPr>
        <w:t xml:space="preserve"> </w:t>
      </w:r>
      <w:proofErr w:type="spellStart"/>
      <w:r>
        <w:rPr>
          <w:i/>
        </w:rPr>
        <w:t>economic</w:t>
      </w:r>
      <w:proofErr w:type="spellEnd"/>
      <w:r>
        <w:rPr>
          <w:i/>
        </w:rPr>
        <w:t xml:space="preserve"> and </w:t>
      </w:r>
      <w:proofErr w:type="spellStart"/>
      <w:r>
        <w:rPr>
          <w:i/>
        </w:rPr>
        <w:t>social</w:t>
      </w:r>
      <w:proofErr w:type="spellEnd"/>
      <w:r>
        <w:rPr>
          <w:i/>
        </w:rPr>
        <w:t xml:space="preserve"> </w:t>
      </w:r>
      <w:proofErr w:type="spellStart"/>
      <w:r>
        <w:rPr>
          <w:i/>
        </w:rPr>
        <w:t>committee</w:t>
      </w:r>
      <w:proofErr w:type="spellEnd"/>
      <w:r>
        <w:rPr>
          <w:i/>
        </w:rPr>
        <w:t xml:space="preserve"> and </w:t>
      </w:r>
      <w:proofErr w:type="spellStart"/>
      <w:r>
        <w:rPr>
          <w:i/>
        </w:rPr>
        <w:t>the</w:t>
      </w:r>
      <w:proofErr w:type="spellEnd"/>
      <w:r>
        <w:rPr>
          <w:i/>
        </w:rPr>
        <w:t xml:space="preserve"> </w:t>
      </w:r>
      <w:proofErr w:type="spellStart"/>
      <w:r>
        <w:rPr>
          <w:i/>
        </w:rPr>
        <w:t>committee</w:t>
      </w:r>
      <w:proofErr w:type="spellEnd"/>
      <w:r>
        <w:rPr>
          <w:i/>
        </w:rPr>
        <w:t xml:space="preserve"> </w:t>
      </w:r>
      <w:proofErr w:type="spellStart"/>
      <w:r>
        <w:rPr>
          <w:i/>
        </w:rPr>
        <w:t>of</w:t>
      </w:r>
      <w:proofErr w:type="spellEnd"/>
      <w:r>
        <w:rPr>
          <w:i/>
        </w:rPr>
        <w:t xml:space="preserve"> </w:t>
      </w:r>
      <w:proofErr w:type="spellStart"/>
      <w:r>
        <w:rPr>
          <w:i/>
        </w:rPr>
        <w:t>the</w:t>
      </w:r>
      <w:proofErr w:type="spellEnd"/>
      <w:r>
        <w:rPr>
          <w:i/>
        </w:rPr>
        <w:t xml:space="preserve"> </w:t>
      </w:r>
      <w:proofErr w:type="spellStart"/>
      <w:r>
        <w:rPr>
          <w:i/>
        </w:rPr>
        <w:t>regions</w:t>
      </w:r>
      <w:proofErr w:type="spellEnd"/>
      <w:r>
        <w:rPr>
          <w:i/>
        </w:rPr>
        <w:t xml:space="preserve">. </w:t>
      </w:r>
      <w:proofErr w:type="spellStart"/>
      <w:r>
        <w:t>ec</w:t>
      </w:r>
      <w:proofErr w:type="spellEnd"/>
      <w:r>
        <w:t>, 3. 10. 2017 [cit. 24. 2. 2020]. Dostupné na &lt;</w:t>
      </w:r>
      <w:r w:rsidRPr="00245DD6">
        <w:t xml:space="preserve"> https://ec.europa.eu/docsroom/documents/25612</w:t>
      </w:r>
      <w:r>
        <w:t>&gt;.</w:t>
      </w:r>
    </w:p>
  </w:footnote>
  <w:footnote w:id="164">
    <w:p w14:paraId="15B82032" w14:textId="29AC5DEF" w:rsidR="001A492B" w:rsidRPr="00670B92" w:rsidRDefault="001A492B" w:rsidP="000F7008">
      <w:pPr>
        <w:pStyle w:val="NoSpacing"/>
        <w:jc w:val="both"/>
      </w:pPr>
      <w:r>
        <w:rPr>
          <w:rStyle w:val="FootnoteReference"/>
        </w:rPr>
        <w:footnoteRef/>
      </w:r>
      <w:r>
        <w:t xml:space="preserve">Evropská komise. EVROPA 2020 </w:t>
      </w:r>
      <w:r w:rsidRPr="00FB1DB5">
        <w:rPr>
          <w:i/>
        </w:rPr>
        <w:t xml:space="preserve">Strategie pro </w:t>
      </w:r>
      <w:proofErr w:type="spellStart"/>
      <w:r w:rsidRPr="00FB1DB5">
        <w:rPr>
          <w:i/>
        </w:rPr>
        <w:t>inteligentni</w:t>
      </w:r>
      <w:proofErr w:type="spellEnd"/>
      <w:r w:rsidRPr="00FB1DB5">
        <w:rPr>
          <w:i/>
        </w:rPr>
        <w:t xml:space="preserve">́ a </w:t>
      </w:r>
      <w:proofErr w:type="spellStart"/>
      <w:r w:rsidRPr="00FB1DB5">
        <w:rPr>
          <w:i/>
        </w:rPr>
        <w:t>udržitelny</w:t>
      </w:r>
      <w:proofErr w:type="spellEnd"/>
      <w:r w:rsidRPr="00FB1DB5">
        <w:rPr>
          <w:i/>
        </w:rPr>
        <w:t xml:space="preserve">́ </w:t>
      </w:r>
      <w:proofErr w:type="spellStart"/>
      <w:r w:rsidRPr="00FB1DB5">
        <w:rPr>
          <w:i/>
        </w:rPr>
        <w:t>růst</w:t>
      </w:r>
      <w:proofErr w:type="spellEnd"/>
      <w:r w:rsidRPr="00FB1DB5">
        <w:rPr>
          <w:i/>
        </w:rPr>
        <w:t xml:space="preserve"> </w:t>
      </w:r>
      <w:proofErr w:type="spellStart"/>
      <w:r w:rsidRPr="00FB1DB5">
        <w:rPr>
          <w:i/>
        </w:rPr>
        <w:t>podporujíci</w:t>
      </w:r>
      <w:proofErr w:type="spellEnd"/>
      <w:r w:rsidRPr="00FB1DB5">
        <w:rPr>
          <w:i/>
        </w:rPr>
        <w:t xml:space="preserve">́ </w:t>
      </w:r>
      <w:proofErr w:type="spellStart"/>
      <w:r w:rsidRPr="00FB1DB5">
        <w:rPr>
          <w:i/>
        </w:rPr>
        <w:t>začleněni</w:t>
      </w:r>
      <w:proofErr w:type="spellEnd"/>
      <w:r w:rsidRPr="00FB1DB5">
        <w:rPr>
          <w:i/>
        </w:rPr>
        <w:t>́</w:t>
      </w:r>
      <w:r>
        <w:rPr>
          <w:i/>
        </w:rPr>
        <w:t xml:space="preserve">. </w:t>
      </w:r>
      <w:r>
        <w:t>Brusel: 2010. s. 26.</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C46C3"/>
    <w:multiLevelType w:val="hybridMultilevel"/>
    <w:tmpl w:val="BFA22D86"/>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8C9308D"/>
    <w:multiLevelType w:val="multilevel"/>
    <w:tmpl w:val="07FA7962"/>
    <w:lvl w:ilvl="0">
      <w:start w:val="3"/>
      <w:numFmt w:val="decimal"/>
      <w:lvlText w:val="%1."/>
      <w:lvlJc w:val="left"/>
      <w:pPr>
        <w:ind w:left="1800" w:hanging="360"/>
      </w:pPr>
      <w:rPr>
        <w:rFonts w:ascii="Arial" w:eastAsiaTheme="minorEastAsia" w:hAnsi="Arial" w:cstheme="minorBidi" w:hint="default"/>
      </w:rPr>
    </w:lvl>
    <w:lvl w:ilvl="1">
      <w:start w:val="1"/>
      <w:numFmt w:val="decimal"/>
      <w:lvlText w:val="%1.%2."/>
      <w:lvlJc w:val="left"/>
      <w:pPr>
        <w:ind w:left="2232" w:hanging="432"/>
      </w:pPr>
      <w:rPr>
        <w:rFonts w:hint="default"/>
      </w:rPr>
    </w:lvl>
    <w:lvl w:ilvl="2">
      <w:start w:val="1"/>
      <w:numFmt w:val="decimal"/>
      <w:lvlText w:val="%1.%2.%3."/>
      <w:lvlJc w:val="left"/>
      <w:pPr>
        <w:ind w:left="2664" w:hanging="504"/>
      </w:pPr>
      <w:rPr>
        <w:rFonts w:hint="default"/>
      </w:rPr>
    </w:lvl>
    <w:lvl w:ilvl="3">
      <w:start w:val="1"/>
      <w:numFmt w:val="decimal"/>
      <w:lvlText w:val="%1.%2.%3.%4."/>
      <w:lvlJc w:val="left"/>
      <w:pPr>
        <w:ind w:left="3168" w:hanging="648"/>
      </w:pPr>
      <w:rPr>
        <w:rFonts w:hint="default"/>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2">
    <w:nsid w:val="15B50736"/>
    <w:multiLevelType w:val="hybridMultilevel"/>
    <w:tmpl w:val="418E6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655093"/>
    <w:multiLevelType w:val="hybridMultilevel"/>
    <w:tmpl w:val="D6C61858"/>
    <w:lvl w:ilvl="0" w:tplc="04090017">
      <w:start w:val="1"/>
      <w:numFmt w:val="lowerLetter"/>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nsid w:val="1D7433DF"/>
    <w:multiLevelType w:val="hybridMultilevel"/>
    <w:tmpl w:val="48E05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E1655D"/>
    <w:multiLevelType w:val="multilevel"/>
    <w:tmpl w:val="D582763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b/>
        <w:sz w:val="24"/>
        <w:szCs w:val="24"/>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6">
    <w:nsid w:val="2BA80047"/>
    <w:multiLevelType w:val="hybridMultilevel"/>
    <w:tmpl w:val="9CC4B3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BF686B"/>
    <w:multiLevelType w:val="hybridMultilevel"/>
    <w:tmpl w:val="99E0D14E"/>
    <w:lvl w:ilvl="0" w:tplc="27C897A0">
      <w:start w:val="1"/>
      <w:numFmt w:val="decimal"/>
      <w:lvlText w:val="%1."/>
      <w:lvlJc w:val="left"/>
      <w:pPr>
        <w:ind w:left="720" w:hanging="360"/>
      </w:pPr>
      <w:rPr>
        <w:rFonts w:ascii="Arial" w:eastAsiaTheme="minorEastAsia" w:hAnsi="Arial"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434ACE"/>
    <w:multiLevelType w:val="multilevel"/>
    <w:tmpl w:val="0409001F"/>
    <w:numStyleLink w:val="Style1"/>
  </w:abstractNum>
  <w:abstractNum w:abstractNumId="9">
    <w:nsid w:val="2F6F7C08"/>
    <w:multiLevelType w:val="multilevel"/>
    <w:tmpl w:val="0409001F"/>
    <w:numStyleLink w:val="Style2"/>
  </w:abstractNum>
  <w:abstractNum w:abstractNumId="10">
    <w:nsid w:val="30B54DB5"/>
    <w:multiLevelType w:val="multilevel"/>
    <w:tmpl w:val="0409001F"/>
    <w:styleLink w:val="Style1"/>
    <w:lvl w:ilvl="0">
      <w:start w:val="1"/>
      <w:numFmt w:val="decimal"/>
      <w:lvlText w:val="%1."/>
      <w:lvlJc w:val="left"/>
      <w:pPr>
        <w:ind w:left="1080" w:hanging="360"/>
      </w:pPr>
      <w:rPr>
        <w:rFonts w:ascii="Arial" w:eastAsiaTheme="minorEastAsia" w:hAnsi="Arial" w:cstheme="minorBidi"/>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1">
    <w:nsid w:val="311E7DDF"/>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2">
    <w:nsid w:val="35425318"/>
    <w:multiLevelType w:val="multilevel"/>
    <w:tmpl w:val="D256DB36"/>
    <w:lvl w:ilvl="0">
      <w:start w:val="1"/>
      <w:numFmt w:val="decimal"/>
      <w:lvlText w:val="%1."/>
      <w:lvlJc w:val="left"/>
      <w:pPr>
        <w:ind w:left="1080" w:hanging="360"/>
      </w:pPr>
      <w:rPr>
        <w:rFonts w:ascii="Arial" w:eastAsiaTheme="minorEastAsia" w:hAnsi="Arial" w:cstheme="minorBidi"/>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3">
    <w:nsid w:val="39146766"/>
    <w:multiLevelType w:val="multilevel"/>
    <w:tmpl w:val="DC7C2672"/>
    <w:lvl w:ilvl="0">
      <w:start w:val="1"/>
      <w:numFmt w:val="decimal"/>
      <w:lvlText w:val="%1"/>
      <w:lvlJc w:val="left"/>
      <w:pPr>
        <w:ind w:left="540" w:hanging="540"/>
      </w:pPr>
      <w:rPr>
        <w:rFonts w:hint="default"/>
      </w:rPr>
    </w:lvl>
    <w:lvl w:ilvl="1">
      <w:start w:val="1"/>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nsid w:val="3CA96317"/>
    <w:multiLevelType w:val="multilevel"/>
    <w:tmpl w:val="07FA7962"/>
    <w:lvl w:ilvl="0">
      <w:start w:val="3"/>
      <w:numFmt w:val="decimal"/>
      <w:lvlText w:val="%1."/>
      <w:lvlJc w:val="left"/>
      <w:pPr>
        <w:ind w:left="1353" w:hanging="360"/>
      </w:pPr>
      <w:rPr>
        <w:rFonts w:ascii="Arial" w:eastAsiaTheme="minorEastAsia" w:hAnsi="Arial" w:cstheme="minorBidi" w:hint="default"/>
      </w:rPr>
    </w:lvl>
    <w:lvl w:ilvl="1">
      <w:start w:val="1"/>
      <w:numFmt w:val="decimal"/>
      <w:lvlText w:val="%1.%2."/>
      <w:lvlJc w:val="left"/>
      <w:pPr>
        <w:ind w:left="1785" w:hanging="432"/>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5">
    <w:nsid w:val="3FEE4DA7"/>
    <w:multiLevelType w:val="multilevel"/>
    <w:tmpl w:val="D256DB36"/>
    <w:lvl w:ilvl="0">
      <w:start w:val="1"/>
      <w:numFmt w:val="decimal"/>
      <w:lvlText w:val="%1."/>
      <w:lvlJc w:val="left"/>
      <w:pPr>
        <w:ind w:left="1080" w:hanging="360"/>
      </w:pPr>
      <w:rPr>
        <w:rFonts w:ascii="Arial" w:eastAsiaTheme="minorEastAsia" w:hAnsi="Arial" w:cstheme="minorBidi"/>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6">
    <w:nsid w:val="41F50964"/>
    <w:multiLevelType w:val="multilevel"/>
    <w:tmpl w:val="F9167DC0"/>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AB82C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E457B52"/>
    <w:multiLevelType w:val="hybridMultilevel"/>
    <w:tmpl w:val="77601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09798B"/>
    <w:multiLevelType w:val="multilevel"/>
    <w:tmpl w:val="0409001F"/>
    <w:numStyleLink w:val="Style2"/>
  </w:abstractNum>
  <w:abstractNum w:abstractNumId="20">
    <w:nsid w:val="59C92C23"/>
    <w:multiLevelType w:val="multilevel"/>
    <w:tmpl w:val="558C374A"/>
    <w:lvl w:ilvl="0">
      <w:start w:val="1"/>
      <w:numFmt w:val="decimal"/>
      <w:lvlText w:val="%1."/>
      <w:lvlJc w:val="left"/>
      <w:pPr>
        <w:ind w:left="720" w:hanging="360"/>
      </w:pPr>
    </w:lvl>
    <w:lvl w:ilvl="1">
      <w:start w:val="1"/>
      <w:numFmt w:val="decimal"/>
      <w:lvlText w:val="%2."/>
      <w:lvlJc w:val="left"/>
      <w:pPr>
        <w:ind w:left="1440" w:hanging="360"/>
      </w:pPr>
      <w:rPr>
        <w:rFonts w:ascii="Arial" w:eastAsiaTheme="minorEastAsia"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B83095C"/>
    <w:multiLevelType w:val="hybridMultilevel"/>
    <w:tmpl w:val="DFF0A1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E334CF"/>
    <w:multiLevelType w:val="multilevel"/>
    <w:tmpl w:val="0409001F"/>
    <w:numStyleLink w:val="Style2"/>
  </w:abstractNum>
  <w:abstractNum w:abstractNumId="23">
    <w:nsid w:val="5DB230B2"/>
    <w:multiLevelType w:val="multilevel"/>
    <w:tmpl w:val="558C374A"/>
    <w:lvl w:ilvl="0">
      <w:start w:val="1"/>
      <w:numFmt w:val="decimal"/>
      <w:lvlText w:val="%1."/>
      <w:lvlJc w:val="left"/>
      <w:pPr>
        <w:ind w:left="720" w:hanging="360"/>
      </w:pPr>
    </w:lvl>
    <w:lvl w:ilvl="1">
      <w:start w:val="1"/>
      <w:numFmt w:val="decimal"/>
      <w:lvlText w:val="%2."/>
      <w:lvlJc w:val="left"/>
      <w:pPr>
        <w:ind w:left="1440" w:hanging="360"/>
      </w:pPr>
      <w:rPr>
        <w:rFonts w:ascii="Arial" w:eastAsiaTheme="minorEastAsia"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DFE18E1"/>
    <w:multiLevelType w:val="hybridMultilevel"/>
    <w:tmpl w:val="418E6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9A6623"/>
    <w:multiLevelType w:val="hybridMultilevel"/>
    <w:tmpl w:val="59D22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BC24B9"/>
    <w:multiLevelType w:val="multilevel"/>
    <w:tmpl w:val="0409001F"/>
    <w:numStyleLink w:val="Style2"/>
  </w:abstractNum>
  <w:abstractNum w:abstractNumId="27">
    <w:nsid w:val="648D3DDA"/>
    <w:multiLevelType w:val="multilevel"/>
    <w:tmpl w:val="0409001F"/>
    <w:numStyleLink w:val="Style2"/>
  </w:abstractNum>
  <w:abstractNum w:abstractNumId="28">
    <w:nsid w:val="68F664D0"/>
    <w:multiLevelType w:val="hybridMultilevel"/>
    <w:tmpl w:val="EB688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971A41"/>
    <w:multiLevelType w:val="multilevel"/>
    <w:tmpl w:val="DBC6FE7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0">
    <w:nsid w:val="7C440684"/>
    <w:multiLevelType w:val="hybridMultilevel"/>
    <w:tmpl w:val="88D24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F3F6DA1"/>
    <w:multiLevelType w:val="multilevel"/>
    <w:tmpl w:val="0409001F"/>
    <w:styleLink w:val="Style2"/>
    <w:lvl w:ilvl="0">
      <w:start w:val="1"/>
      <w:numFmt w:val="decimal"/>
      <w:pStyle w:val="TOC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FB04630"/>
    <w:multiLevelType w:val="multilevel"/>
    <w:tmpl w:val="07FA7962"/>
    <w:lvl w:ilvl="0">
      <w:start w:val="3"/>
      <w:numFmt w:val="decimal"/>
      <w:lvlText w:val="%1."/>
      <w:lvlJc w:val="left"/>
      <w:pPr>
        <w:ind w:left="1080" w:hanging="360"/>
      </w:pPr>
      <w:rPr>
        <w:rFonts w:ascii="Arial" w:eastAsiaTheme="minorEastAsia" w:hAnsi="Arial" w:cstheme="minorBidi"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num w:numId="1">
    <w:abstractNumId w:val="22"/>
    <w:lvlOverride w:ilvl="0">
      <w:lvl w:ilvl="0">
        <w:start w:val="1"/>
        <w:numFmt w:val="decimal"/>
        <w:pStyle w:val="TOC1"/>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
    <w:abstractNumId w:val="11"/>
  </w:num>
  <w:num w:numId="3">
    <w:abstractNumId w:val="10"/>
  </w:num>
  <w:num w:numId="4">
    <w:abstractNumId w:val="31"/>
  </w:num>
  <w:num w:numId="5">
    <w:abstractNumId w:val="8"/>
  </w:num>
  <w:num w:numId="6">
    <w:abstractNumId w:val="15"/>
  </w:num>
  <w:num w:numId="7">
    <w:abstractNumId w:val="9"/>
  </w:num>
  <w:num w:numId="8">
    <w:abstractNumId w:val="7"/>
  </w:num>
  <w:num w:numId="9">
    <w:abstractNumId w:val="18"/>
  </w:num>
  <w:num w:numId="10">
    <w:abstractNumId w:val="19"/>
    <w:lvlOverride w:ilvl="1">
      <w:lvl w:ilvl="1">
        <w:start w:val="1"/>
        <w:numFmt w:val="decimal"/>
        <w:lvlText w:val="%1.%2."/>
        <w:lvlJc w:val="left"/>
        <w:pPr>
          <w:ind w:left="792" w:hanging="432"/>
        </w:pPr>
      </w:lvl>
    </w:lvlOverride>
  </w:num>
  <w:num w:numId="11">
    <w:abstractNumId w:val="21"/>
  </w:num>
  <w:num w:numId="12">
    <w:abstractNumId w:val="13"/>
  </w:num>
  <w:num w:numId="13">
    <w:abstractNumId w:val="23"/>
  </w:num>
  <w:num w:numId="14">
    <w:abstractNumId w:val="29"/>
  </w:num>
  <w:num w:numId="15">
    <w:abstractNumId w:val="20"/>
  </w:num>
  <w:num w:numId="16">
    <w:abstractNumId w:val="6"/>
  </w:num>
  <w:num w:numId="17">
    <w:abstractNumId w:val="27"/>
  </w:num>
  <w:num w:numId="18">
    <w:abstractNumId w:val="12"/>
  </w:num>
  <w:num w:numId="19">
    <w:abstractNumId w:val="32"/>
  </w:num>
  <w:num w:numId="20">
    <w:abstractNumId w:val="16"/>
  </w:num>
  <w:num w:numId="21">
    <w:abstractNumId w:val="5"/>
  </w:num>
  <w:num w:numId="22">
    <w:abstractNumId w:val="3"/>
  </w:num>
  <w:num w:numId="23">
    <w:abstractNumId w:val="24"/>
  </w:num>
  <w:num w:numId="24">
    <w:abstractNumId w:val="2"/>
  </w:num>
  <w:num w:numId="25">
    <w:abstractNumId w:val="4"/>
  </w:num>
  <w:num w:numId="26">
    <w:abstractNumId w:val="14"/>
  </w:num>
  <w:num w:numId="27">
    <w:abstractNumId w:val="1"/>
  </w:num>
  <w:num w:numId="28">
    <w:abstractNumId w:val="17"/>
  </w:num>
  <w:num w:numId="29">
    <w:abstractNumId w:val="0"/>
  </w:num>
  <w:num w:numId="30">
    <w:abstractNumId w:val="26"/>
  </w:num>
  <w:num w:numId="31">
    <w:abstractNumId w:val="25"/>
  </w:num>
  <w:num w:numId="32">
    <w:abstractNumId w:val="28"/>
  </w:num>
  <w:num w:numId="33">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9F0"/>
    <w:rsid w:val="00003528"/>
    <w:rsid w:val="00003D00"/>
    <w:rsid w:val="00005BED"/>
    <w:rsid w:val="00007762"/>
    <w:rsid w:val="00011775"/>
    <w:rsid w:val="00012FB3"/>
    <w:rsid w:val="00014E28"/>
    <w:rsid w:val="00020A9B"/>
    <w:rsid w:val="000272D3"/>
    <w:rsid w:val="000277EE"/>
    <w:rsid w:val="00027F86"/>
    <w:rsid w:val="00034463"/>
    <w:rsid w:val="00036BAB"/>
    <w:rsid w:val="00040B94"/>
    <w:rsid w:val="0004150E"/>
    <w:rsid w:val="0004162B"/>
    <w:rsid w:val="00043F6F"/>
    <w:rsid w:val="00044E7E"/>
    <w:rsid w:val="00047286"/>
    <w:rsid w:val="000514C6"/>
    <w:rsid w:val="0005370E"/>
    <w:rsid w:val="0005685E"/>
    <w:rsid w:val="0005747C"/>
    <w:rsid w:val="000632E6"/>
    <w:rsid w:val="000636AB"/>
    <w:rsid w:val="000641E4"/>
    <w:rsid w:val="00064E5E"/>
    <w:rsid w:val="00067112"/>
    <w:rsid w:val="00072BB6"/>
    <w:rsid w:val="00072E00"/>
    <w:rsid w:val="00072FB5"/>
    <w:rsid w:val="00073989"/>
    <w:rsid w:val="00075F87"/>
    <w:rsid w:val="000766D8"/>
    <w:rsid w:val="00080A92"/>
    <w:rsid w:val="00081AFB"/>
    <w:rsid w:val="00081D56"/>
    <w:rsid w:val="00083D1A"/>
    <w:rsid w:val="00085704"/>
    <w:rsid w:val="0009382E"/>
    <w:rsid w:val="00094C80"/>
    <w:rsid w:val="00096C0A"/>
    <w:rsid w:val="00096FC0"/>
    <w:rsid w:val="000A1522"/>
    <w:rsid w:val="000A24A5"/>
    <w:rsid w:val="000A2CDF"/>
    <w:rsid w:val="000A3DD1"/>
    <w:rsid w:val="000A3EA4"/>
    <w:rsid w:val="000A3F0F"/>
    <w:rsid w:val="000A561C"/>
    <w:rsid w:val="000B2043"/>
    <w:rsid w:val="000B23C8"/>
    <w:rsid w:val="000B6BE9"/>
    <w:rsid w:val="000B7254"/>
    <w:rsid w:val="000C06FC"/>
    <w:rsid w:val="000C2C50"/>
    <w:rsid w:val="000C4618"/>
    <w:rsid w:val="000C7619"/>
    <w:rsid w:val="000D1DD1"/>
    <w:rsid w:val="000D2933"/>
    <w:rsid w:val="000D356A"/>
    <w:rsid w:val="000D4E78"/>
    <w:rsid w:val="000E04E1"/>
    <w:rsid w:val="000E1597"/>
    <w:rsid w:val="000E479C"/>
    <w:rsid w:val="000E4D8B"/>
    <w:rsid w:val="000E51A3"/>
    <w:rsid w:val="000E5D4B"/>
    <w:rsid w:val="000E61F0"/>
    <w:rsid w:val="000E72A2"/>
    <w:rsid w:val="000E7E6F"/>
    <w:rsid w:val="000F0B78"/>
    <w:rsid w:val="000F2DB0"/>
    <w:rsid w:val="000F2E08"/>
    <w:rsid w:val="000F3F51"/>
    <w:rsid w:val="000F5B7C"/>
    <w:rsid w:val="000F6CB9"/>
    <w:rsid w:val="000F7008"/>
    <w:rsid w:val="000F763F"/>
    <w:rsid w:val="000F7A97"/>
    <w:rsid w:val="00102A45"/>
    <w:rsid w:val="00104048"/>
    <w:rsid w:val="00106C04"/>
    <w:rsid w:val="00110462"/>
    <w:rsid w:val="00111FEB"/>
    <w:rsid w:val="00115E76"/>
    <w:rsid w:val="001162E3"/>
    <w:rsid w:val="001211DB"/>
    <w:rsid w:val="001243F6"/>
    <w:rsid w:val="001244A3"/>
    <w:rsid w:val="00124887"/>
    <w:rsid w:val="001278C4"/>
    <w:rsid w:val="0013046B"/>
    <w:rsid w:val="00133E9A"/>
    <w:rsid w:val="001343E8"/>
    <w:rsid w:val="00140457"/>
    <w:rsid w:val="00140889"/>
    <w:rsid w:val="00140D6D"/>
    <w:rsid w:val="00141057"/>
    <w:rsid w:val="0014224C"/>
    <w:rsid w:val="00142FB9"/>
    <w:rsid w:val="00144A3B"/>
    <w:rsid w:val="00144A73"/>
    <w:rsid w:val="00146B91"/>
    <w:rsid w:val="0015138B"/>
    <w:rsid w:val="00154D97"/>
    <w:rsid w:val="00157776"/>
    <w:rsid w:val="00160BB4"/>
    <w:rsid w:val="00160C7A"/>
    <w:rsid w:val="00162437"/>
    <w:rsid w:val="00163842"/>
    <w:rsid w:val="00163F3D"/>
    <w:rsid w:val="00164C5A"/>
    <w:rsid w:val="0016558A"/>
    <w:rsid w:val="0016597E"/>
    <w:rsid w:val="00167180"/>
    <w:rsid w:val="00167C26"/>
    <w:rsid w:val="00167E54"/>
    <w:rsid w:val="00171174"/>
    <w:rsid w:val="00171760"/>
    <w:rsid w:val="001735FA"/>
    <w:rsid w:val="00175283"/>
    <w:rsid w:val="00177A50"/>
    <w:rsid w:val="001803AC"/>
    <w:rsid w:val="00180763"/>
    <w:rsid w:val="00186722"/>
    <w:rsid w:val="0018672E"/>
    <w:rsid w:val="001867AE"/>
    <w:rsid w:val="0019053E"/>
    <w:rsid w:val="00190A14"/>
    <w:rsid w:val="0019700D"/>
    <w:rsid w:val="001A0499"/>
    <w:rsid w:val="001A492B"/>
    <w:rsid w:val="001B0FA5"/>
    <w:rsid w:val="001B2072"/>
    <w:rsid w:val="001B2A90"/>
    <w:rsid w:val="001B3B71"/>
    <w:rsid w:val="001C1BDA"/>
    <w:rsid w:val="001C2124"/>
    <w:rsid w:val="001C434D"/>
    <w:rsid w:val="001D09F5"/>
    <w:rsid w:val="001D4354"/>
    <w:rsid w:val="001D46FF"/>
    <w:rsid w:val="001D4D80"/>
    <w:rsid w:val="001D4E5C"/>
    <w:rsid w:val="001D6384"/>
    <w:rsid w:val="001D6AAB"/>
    <w:rsid w:val="001D6CD9"/>
    <w:rsid w:val="001E0B03"/>
    <w:rsid w:val="001E1BA2"/>
    <w:rsid w:val="001E34AA"/>
    <w:rsid w:val="001E56AF"/>
    <w:rsid w:val="001E717C"/>
    <w:rsid w:val="001F068C"/>
    <w:rsid w:val="001F3486"/>
    <w:rsid w:val="001F4C16"/>
    <w:rsid w:val="001F4EF4"/>
    <w:rsid w:val="0020075B"/>
    <w:rsid w:val="00201847"/>
    <w:rsid w:val="00210091"/>
    <w:rsid w:val="00210940"/>
    <w:rsid w:val="00216F5F"/>
    <w:rsid w:val="00222D82"/>
    <w:rsid w:val="0022322A"/>
    <w:rsid w:val="00223663"/>
    <w:rsid w:val="00224DFB"/>
    <w:rsid w:val="00226C2F"/>
    <w:rsid w:val="00227545"/>
    <w:rsid w:val="00230377"/>
    <w:rsid w:val="002316D6"/>
    <w:rsid w:val="00233E8D"/>
    <w:rsid w:val="00234873"/>
    <w:rsid w:val="00234AE6"/>
    <w:rsid w:val="00235D6D"/>
    <w:rsid w:val="00237C03"/>
    <w:rsid w:val="00237F58"/>
    <w:rsid w:val="00241431"/>
    <w:rsid w:val="0024145B"/>
    <w:rsid w:val="0024347F"/>
    <w:rsid w:val="00243DE5"/>
    <w:rsid w:val="00245DD6"/>
    <w:rsid w:val="00246F6F"/>
    <w:rsid w:val="002471C5"/>
    <w:rsid w:val="002474F6"/>
    <w:rsid w:val="0025488E"/>
    <w:rsid w:val="0025717D"/>
    <w:rsid w:val="00260007"/>
    <w:rsid w:val="002610C7"/>
    <w:rsid w:val="00262484"/>
    <w:rsid w:val="002637A4"/>
    <w:rsid w:val="00264D97"/>
    <w:rsid w:val="00266897"/>
    <w:rsid w:val="00271528"/>
    <w:rsid w:val="00274F59"/>
    <w:rsid w:val="00275802"/>
    <w:rsid w:val="00275F5D"/>
    <w:rsid w:val="00281033"/>
    <w:rsid w:val="00281F43"/>
    <w:rsid w:val="00283E4D"/>
    <w:rsid w:val="00284B29"/>
    <w:rsid w:val="002858FF"/>
    <w:rsid w:val="002861E3"/>
    <w:rsid w:val="00287A2D"/>
    <w:rsid w:val="00290BB7"/>
    <w:rsid w:val="00291F95"/>
    <w:rsid w:val="002964FD"/>
    <w:rsid w:val="00297C47"/>
    <w:rsid w:val="00297FE6"/>
    <w:rsid w:val="002A0385"/>
    <w:rsid w:val="002A0CB0"/>
    <w:rsid w:val="002A2B65"/>
    <w:rsid w:val="002A3904"/>
    <w:rsid w:val="002A4C75"/>
    <w:rsid w:val="002A51BF"/>
    <w:rsid w:val="002B2828"/>
    <w:rsid w:val="002B33A4"/>
    <w:rsid w:val="002B59C4"/>
    <w:rsid w:val="002B5B6D"/>
    <w:rsid w:val="002B5C36"/>
    <w:rsid w:val="002C23AD"/>
    <w:rsid w:val="002C48ED"/>
    <w:rsid w:val="002D13BF"/>
    <w:rsid w:val="002D188D"/>
    <w:rsid w:val="002D2C3C"/>
    <w:rsid w:val="002D4EEE"/>
    <w:rsid w:val="002D5EF1"/>
    <w:rsid w:val="002D6C5E"/>
    <w:rsid w:val="002D6E62"/>
    <w:rsid w:val="002D7402"/>
    <w:rsid w:val="002E0260"/>
    <w:rsid w:val="002E1275"/>
    <w:rsid w:val="002E489A"/>
    <w:rsid w:val="002E5BFD"/>
    <w:rsid w:val="002E6FDF"/>
    <w:rsid w:val="002F00F8"/>
    <w:rsid w:val="002F2392"/>
    <w:rsid w:val="002F4C19"/>
    <w:rsid w:val="002F52BA"/>
    <w:rsid w:val="002F52D8"/>
    <w:rsid w:val="0030002A"/>
    <w:rsid w:val="0030086C"/>
    <w:rsid w:val="00301AE3"/>
    <w:rsid w:val="003023FB"/>
    <w:rsid w:val="00305BD3"/>
    <w:rsid w:val="00314795"/>
    <w:rsid w:val="00320356"/>
    <w:rsid w:val="0032088F"/>
    <w:rsid w:val="00321AD0"/>
    <w:rsid w:val="003225DF"/>
    <w:rsid w:val="00324615"/>
    <w:rsid w:val="0032619B"/>
    <w:rsid w:val="00327BB6"/>
    <w:rsid w:val="0033030B"/>
    <w:rsid w:val="00335433"/>
    <w:rsid w:val="00336B29"/>
    <w:rsid w:val="00336F72"/>
    <w:rsid w:val="00341018"/>
    <w:rsid w:val="0034126E"/>
    <w:rsid w:val="00341B2E"/>
    <w:rsid w:val="00341DD6"/>
    <w:rsid w:val="00342BF8"/>
    <w:rsid w:val="00342CAC"/>
    <w:rsid w:val="003507D4"/>
    <w:rsid w:val="00350807"/>
    <w:rsid w:val="00351415"/>
    <w:rsid w:val="003523B9"/>
    <w:rsid w:val="00352B6F"/>
    <w:rsid w:val="00353DB0"/>
    <w:rsid w:val="0035720F"/>
    <w:rsid w:val="00357D61"/>
    <w:rsid w:val="00363956"/>
    <w:rsid w:val="00364676"/>
    <w:rsid w:val="00365B8A"/>
    <w:rsid w:val="003673CC"/>
    <w:rsid w:val="00367C1B"/>
    <w:rsid w:val="003723DB"/>
    <w:rsid w:val="00372DC3"/>
    <w:rsid w:val="00373F75"/>
    <w:rsid w:val="00374FD5"/>
    <w:rsid w:val="00376C23"/>
    <w:rsid w:val="0037704B"/>
    <w:rsid w:val="003831B3"/>
    <w:rsid w:val="00383663"/>
    <w:rsid w:val="00396059"/>
    <w:rsid w:val="0039796B"/>
    <w:rsid w:val="003A205E"/>
    <w:rsid w:val="003A3028"/>
    <w:rsid w:val="003B0792"/>
    <w:rsid w:val="003B08D3"/>
    <w:rsid w:val="003B709F"/>
    <w:rsid w:val="003C1855"/>
    <w:rsid w:val="003C3703"/>
    <w:rsid w:val="003C4020"/>
    <w:rsid w:val="003C4500"/>
    <w:rsid w:val="003C4528"/>
    <w:rsid w:val="003C797B"/>
    <w:rsid w:val="003D0904"/>
    <w:rsid w:val="003D1754"/>
    <w:rsid w:val="003D5949"/>
    <w:rsid w:val="003E0BCD"/>
    <w:rsid w:val="003E37E2"/>
    <w:rsid w:val="003E4D26"/>
    <w:rsid w:val="003E61CE"/>
    <w:rsid w:val="003E719C"/>
    <w:rsid w:val="003F1210"/>
    <w:rsid w:val="003F177F"/>
    <w:rsid w:val="003F1F66"/>
    <w:rsid w:val="003F21E5"/>
    <w:rsid w:val="003F3244"/>
    <w:rsid w:val="003F4D1D"/>
    <w:rsid w:val="003F6D0D"/>
    <w:rsid w:val="003F7058"/>
    <w:rsid w:val="00400B7F"/>
    <w:rsid w:val="004017DB"/>
    <w:rsid w:val="00402442"/>
    <w:rsid w:val="004064EC"/>
    <w:rsid w:val="00406FAD"/>
    <w:rsid w:val="00410629"/>
    <w:rsid w:val="00411831"/>
    <w:rsid w:val="00412A78"/>
    <w:rsid w:val="00412B8A"/>
    <w:rsid w:val="00420441"/>
    <w:rsid w:val="00423CFA"/>
    <w:rsid w:val="00425EFD"/>
    <w:rsid w:val="0042613D"/>
    <w:rsid w:val="0043035C"/>
    <w:rsid w:val="00431715"/>
    <w:rsid w:val="00431847"/>
    <w:rsid w:val="004356F7"/>
    <w:rsid w:val="0043596E"/>
    <w:rsid w:val="004417EF"/>
    <w:rsid w:val="004424AB"/>
    <w:rsid w:val="00446538"/>
    <w:rsid w:val="00447A26"/>
    <w:rsid w:val="004503E3"/>
    <w:rsid w:val="0045053E"/>
    <w:rsid w:val="00451839"/>
    <w:rsid w:val="004552E4"/>
    <w:rsid w:val="004575A0"/>
    <w:rsid w:val="00457AA9"/>
    <w:rsid w:val="0046206A"/>
    <w:rsid w:val="00466960"/>
    <w:rsid w:val="004669B4"/>
    <w:rsid w:val="0046710D"/>
    <w:rsid w:val="00470303"/>
    <w:rsid w:val="00471805"/>
    <w:rsid w:val="00471DA7"/>
    <w:rsid w:val="004723AA"/>
    <w:rsid w:val="00474C98"/>
    <w:rsid w:val="0048425C"/>
    <w:rsid w:val="00484FD3"/>
    <w:rsid w:val="00487586"/>
    <w:rsid w:val="004875ED"/>
    <w:rsid w:val="00491C39"/>
    <w:rsid w:val="00493712"/>
    <w:rsid w:val="004938C0"/>
    <w:rsid w:val="0049418A"/>
    <w:rsid w:val="0049444D"/>
    <w:rsid w:val="004A08BB"/>
    <w:rsid w:val="004A0EDC"/>
    <w:rsid w:val="004A45E3"/>
    <w:rsid w:val="004A53E2"/>
    <w:rsid w:val="004A653C"/>
    <w:rsid w:val="004A73A6"/>
    <w:rsid w:val="004B154B"/>
    <w:rsid w:val="004B27B9"/>
    <w:rsid w:val="004B3064"/>
    <w:rsid w:val="004B5BD2"/>
    <w:rsid w:val="004C150D"/>
    <w:rsid w:val="004C2418"/>
    <w:rsid w:val="004C26E8"/>
    <w:rsid w:val="004C3EBE"/>
    <w:rsid w:val="004C3F4C"/>
    <w:rsid w:val="004C3FFA"/>
    <w:rsid w:val="004C570D"/>
    <w:rsid w:val="004D11EA"/>
    <w:rsid w:val="004D1D58"/>
    <w:rsid w:val="004D2AD3"/>
    <w:rsid w:val="004D3032"/>
    <w:rsid w:val="004D51CF"/>
    <w:rsid w:val="004E6261"/>
    <w:rsid w:val="004F3151"/>
    <w:rsid w:val="005004FF"/>
    <w:rsid w:val="005035D1"/>
    <w:rsid w:val="00503BE1"/>
    <w:rsid w:val="00512149"/>
    <w:rsid w:val="00514C32"/>
    <w:rsid w:val="005158B2"/>
    <w:rsid w:val="0052134F"/>
    <w:rsid w:val="005229DE"/>
    <w:rsid w:val="00525AF0"/>
    <w:rsid w:val="0052600C"/>
    <w:rsid w:val="005268D7"/>
    <w:rsid w:val="00534EF5"/>
    <w:rsid w:val="00535292"/>
    <w:rsid w:val="005359E7"/>
    <w:rsid w:val="005408F4"/>
    <w:rsid w:val="005417F0"/>
    <w:rsid w:val="00544166"/>
    <w:rsid w:val="00544E67"/>
    <w:rsid w:val="00544E9E"/>
    <w:rsid w:val="00545507"/>
    <w:rsid w:val="00546574"/>
    <w:rsid w:val="005502EA"/>
    <w:rsid w:val="00552C43"/>
    <w:rsid w:val="005547FB"/>
    <w:rsid w:val="005570EF"/>
    <w:rsid w:val="00563820"/>
    <w:rsid w:val="0056433B"/>
    <w:rsid w:val="0056646B"/>
    <w:rsid w:val="00571A04"/>
    <w:rsid w:val="005721A8"/>
    <w:rsid w:val="0057246A"/>
    <w:rsid w:val="00572B93"/>
    <w:rsid w:val="005777B2"/>
    <w:rsid w:val="0058146B"/>
    <w:rsid w:val="00582419"/>
    <w:rsid w:val="00582445"/>
    <w:rsid w:val="005848E4"/>
    <w:rsid w:val="00590FCF"/>
    <w:rsid w:val="00593AA6"/>
    <w:rsid w:val="00597235"/>
    <w:rsid w:val="00597BB3"/>
    <w:rsid w:val="00597FD8"/>
    <w:rsid w:val="005A2BB3"/>
    <w:rsid w:val="005A62D9"/>
    <w:rsid w:val="005A7A77"/>
    <w:rsid w:val="005A7C0C"/>
    <w:rsid w:val="005B0112"/>
    <w:rsid w:val="005B1568"/>
    <w:rsid w:val="005B3AC7"/>
    <w:rsid w:val="005B49E9"/>
    <w:rsid w:val="005B5702"/>
    <w:rsid w:val="005C21A8"/>
    <w:rsid w:val="005C4D3C"/>
    <w:rsid w:val="005C7F43"/>
    <w:rsid w:val="005D1506"/>
    <w:rsid w:val="005D314E"/>
    <w:rsid w:val="005D42F5"/>
    <w:rsid w:val="005D4993"/>
    <w:rsid w:val="005D49F0"/>
    <w:rsid w:val="005D6C0F"/>
    <w:rsid w:val="005E19D0"/>
    <w:rsid w:val="005E4256"/>
    <w:rsid w:val="005F0FB7"/>
    <w:rsid w:val="005F251B"/>
    <w:rsid w:val="0060208E"/>
    <w:rsid w:val="00602D34"/>
    <w:rsid w:val="00604512"/>
    <w:rsid w:val="006134E2"/>
    <w:rsid w:val="00616139"/>
    <w:rsid w:val="0061765A"/>
    <w:rsid w:val="006233C8"/>
    <w:rsid w:val="00624DB6"/>
    <w:rsid w:val="00626594"/>
    <w:rsid w:val="00626B77"/>
    <w:rsid w:val="006276A3"/>
    <w:rsid w:val="00630514"/>
    <w:rsid w:val="0063398C"/>
    <w:rsid w:val="00634563"/>
    <w:rsid w:val="0063456C"/>
    <w:rsid w:val="00636C4E"/>
    <w:rsid w:val="00636FC5"/>
    <w:rsid w:val="0063779B"/>
    <w:rsid w:val="006412E1"/>
    <w:rsid w:val="0064221D"/>
    <w:rsid w:val="0064428A"/>
    <w:rsid w:val="006453B9"/>
    <w:rsid w:val="0064786B"/>
    <w:rsid w:val="00651499"/>
    <w:rsid w:val="00651CC8"/>
    <w:rsid w:val="00651CF2"/>
    <w:rsid w:val="00652BA2"/>
    <w:rsid w:val="00652D7C"/>
    <w:rsid w:val="00653959"/>
    <w:rsid w:val="006546ED"/>
    <w:rsid w:val="006557D9"/>
    <w:rsid w:val="00656EE4"/>
    <w:rsid w:val="00660B6B"/>
    <w:rsid w:val="00660FDF"/>
    <w:rsid w:val="006621AD"/>
    <w:rsid w:val="00662A93"/>
    <w:rsid w:val="00662C6D"/>
    <w:rsid w:val="00663397"/>
    <w:rsid w:val="006640FA"/>
    <w:rsid w:val="00670B92"/>
    <w:rsid w:val="00671B63"/>
    <w:rsid w:val="00675261"/>
    <w:rsid w:val="006767D3"/>
    <w:rsid w:val="00677706"/>
    <w:rsid w:val="0068212A"/>
    <w:rsid w:val="00682B69"/>
    <w:rsid w:val="006832F3"/>
    <w:rsid w:val="00685EBF"/>
    <w:rsid w:val="00690867"/>
    <w:rsid w:val="00691B7C"/>
    <w:rsid w:val="00692AC0"/>
    <w:rsid w:val="00694D76"/>
    <w:rsid w:val="00696666"/>
    <w:rsid w:val="006A00EF"/>
    <w:rsid w:val="006A1B3B"/>
    <w:rsid w:val="006A3D0D"/>
    <w:rsid w:val="006A476D"/>
    <w:rsid w:val="006A5C8C"/>
    <w:rsid w:val="006A6BC4"/>
    <w:rsid w:val="006A7C7D"/>
    <w:rsid w:val="006B4ABB"/>
    <w:rsid w:val="006B4D9B"/>
    <w:rsid w:val="006B5246"/>
    <w:rsid w:val="006B73EC"/>
    <w:rsid w:val="006B78A7"/>
    <w:rsid w:val="006C0094"/>
    <w:rsid w:val="006C2126"/>
    <w:rsid w:val="006C3293"/>
    <w:rsid w:val="006C48F5"/>
    <w:rsid w:val="006D0AB9"/>
    <w:rsid w:val="006E0250"/>
    <w:rsid w:val="006E356C"/>
    <w:rsid w:val="006E529D"/>
    <w:rsid w:val="006E5A79"/>
    <w:rsid w:val="006E6273"/>
    <w:rsid w:val="006E7BE3"/>
    <w:rsid w:val="006F0D20"/>
    <w:rsid w:val="006F4B74"/>
    <w:rsid w:val="006F5A82"/>
    <w:rsid w:val="006F681C"/>
    <w:rsid w:val="006F7CB3"/>
    <w:rsid w:val="00705546"/>
    <w:rsid w:val="00706BD2"/>
    <w:rsid w:val="00713244"/>
    <w:rsid w:val="00714650"/>
    <w:rsid w:val="00714685"/>
    <w:rsid w:val="00714D11"/>
    <w:rsid w:val="00715280"/>
    <w:rsid w:val="007160AB"/>
    <w:rsid w:val="00717300"/>
    <w:rsid w:val="00717661"/>
    <w:rsid w:val="0071771D"/>
    <w:rsid w:val="00717F8E"/>
    <w:rsid w:val="00720BD8"/>
    <w:rsid w:val="00721966"/>
    <w:rsid w:val="00722723"/>
    <w:rsid w:val="00723F5D"/>
    <w:rsid w:val="00731D8D"/>
    <w:rsid w:val="0073410F"/>
    <w:rsid w:val="0073501F"/>
    <w:rsid w:val="00735186"/>
    <w:rsid w:val="00735887"/>
    <w:rsid w:val="00736738"/>
    <w:rsid w:val="00740282"/>
    <w:rsid w:val="00740540"/>
    <w:rsid w:val="00742606"/>
    <w:rsid w:val="00742B9E"/>
    <w:rsid w:val="00742D1E"/>
    <w:rsid w:val="0074370D"/>
    <w:rsid w:val="00744797"/>
    <w:rsid w:val="00744EE6"/>
    <w:rsid w:val="007474BE"/>
    <w:rsid w:val="00750E03"/>
    <w:rsid w:val="00750EB9"/>
    <w:rsid w:val="0075695C"/>
    <w:rsid w:val="00757935"/>
    <w:rsid w:val="007614CA"/>
    <w:rsid w:val="00762FAD"/>
    <w:rsid w:val="00764CD4"/>
    <w:rsid w:val="00766137"/>
    <w:rsid w:val="00767E05"/>
    <w:rsid w:val="007700FE"/>
    <w:rsid w:val="00770307"/>
    <w:rsid w:val="00770D36"/>
    <w:rsid w:val="00774312"/>
    <w:rsid w:val="00775265"/>
    <w:rsid w:val="007767F5"/>
    <w:rsid w:val="00776845"/>
    <w:rsid w:val="00780356"/>
    <w:rsid w:val="0078066C"/>
    <w:rsid w:val="00780A32"/>
    <w:rsid w:val="0078157B"/>
    <w:rsid w:val="00785C47"/>
    <w:rsid w:val="00786965"/>
    <w:rsid w:val="00787141"/>
    <w:rsid w:val="0078757E"/>
    <w:rsid w:val="00792AF5"/>
    <w:rsid w:val="00792C9D"/>
    <w:rsid w:val="0079784B"/>
    <w:rsid w:val="007A1675"/>
    <w:rsid w:val="007A28D5"/>
    <w:rsid w:val="007A3641"/>
    <w:rsid w:val="007A549A"/>
    <w:rsid w:val="007A5E1E"/>
    <w:rsid w:val="007B0602"/>
    <w:rsid w:val="007B10ED"/>
    <w:rsid w:val="007B1DF3"/>
    <w:rsid w:val="007B23B5"/>
    <w:rsid w:val="007B2721"/>
    <w:rsid w:val="007B2A7E"/>
    <w:rsid w:val="007B3230"/>
    <w:rsid w:val="007B72DC"/>
    <w:rsid w:val="007C1ABA"/>
    <w:rsid w:val="007C22E3"/>
    <w:rsid w:val="007C24F5"/>
    <w:rsid w:val="007C6936"/>
    <w:rsid w:val="007C6A9B"/>
    <w:rsid w:val="007D6704"/>
    <w:rsid w:val="007D73C3"/>
    <w:rsid w:val="007E0111"/>
    <w:rsid w:val="007E374B"/>
    <w:rsid w:val="007E5135"/>
    <w:rsid w:val="007F259C"/>
    <w:rsid w:val="007F2665"/>
    <w:rsid w:val="007F6961"/>
    <w:rsid w:val="007F7252"/>
    <w:rsid w:val="008026BB"/>
    <w:rsid w:val="008033D2"/>
    <w:rsid w:val="0080416C"/>
    <w:rsid w:val="00804AB7"/>
    <w:rsid w:val="00810871"/>
    <w:rsid w:val="0081099E"/>
    <w:rsid w:val="00812F8B"/>
    <w:rsid w:val="0081323B"/>
    <w:rsid w:val="00816D73"/>
    <w:rsid w:val="00820688"/>
    <w:rsid w:val="008227FC"/>
    <w:rsid w:val="00825089"/>
    <w:rsid w:val="00825AD4"/>
    <w:rsid w:val="0082670E"/>
    <w:rsid w:val="00827892"/>
    <w:rsid w:val="008333AB"/>
    <w:rsid w:val="0083768D"/>
    <w:rsid w:val="00842E64"/>
    <w:rsid w:val="008437EC"/>
    <w:rsid w:val="00844ED8"/>
    <w:rsid w:val="0084593F"/>
    <w:rsid w:val="008558F7"/>
    <w:rsid w:val="00856DC5"/>
    <w:rsid w:val="008606A6"/>
    <w:rsid w:val="0086137D"/>
    <w:rsid w:val="00861A2F"/>
    <w:rsid w:val="00861C0B"/>
    <w:rsid w:val="00863536"/>
    <w:rsid w:val="00865D30"/>
    <w:rsid w:val="00876B9A"/>
    <w:rsid w:val="00876C01"/>
    <w:rsid w:val="008777DC"/>
    <w:rsid w:val="008841E8"/>
    <w:rsid w:val="008856B3"/>
    <w:rsid w:val="00886883"/>
    <w:rsid w:val="00886A9A"/>
    <w:rsid w:val="00887879"/>
    <w:rsid w:val="008912B7"/>
    <w:rsid w:val="008918E8"/>
    <w:rsid w:val="00891A55"/>
    <w:rsid w:val="00891F62"/>
    <w:rsid w:val="0089200F"/>
    <w:rsid w:val="008921B8"/>
    <w:rsid w:val="00892E0D"/>
    <w:rsid w:val="00893B5C"/>
    <w:rsid w:val="008945B8"/>
    <w:rsid w:val="00895D3F"/>
    <w:rsid w:val="00897BEE"/>
    <w:rsid w:val="008A0380"/>
    <w:rsid w:val="008A1DB9"/>
    <w:rsid w:val="008A6233"/>
    <w:rsid w:val="008B139E"/>
    <w:rsid w:val="008B69CC"/>
    <w:rsid w:val="008B75BA"/>
    <w:rsid w:val="008B787A"/>
    <w:rsid w:val="008C2824"/>
    <w:rsid w:val="008C3D33"/>
    <w:rsid w:val="008C4845"/>
    <w:rsid w:val="008C4940"/>
    <w:rsid w:val="008C5FC5"/>
    <w:rsid w:val="008C7D36"/>
    <w:rsid w:val="008D1835"/>
    <w:rsid w:val="008D3F9B"/>
    <w:rsid w:val="008D46F9"/>
    <w:rsid w:val="008D4803"/>
    <w:rsid w:val="008D67F2"/>
    <w:rsid w:val="008D7234"/>
    <w:rsid w:val="008E0008"/>
    <w:rsid w:val="008E1710"/>
    <w:rsid w:val="008E7141"/>
    <w:rsid w:val="008E7825"/>
    <w:rsid w:val="008F05C0"/>
    <w:rsid w:val="008F0E86"/>
    <w:rsid w:val="008F21E9"/>
    <w:rsid w:val="008F401C"/>
    <w:rsid w:val="008F49E0"/>
    <w:rsid w:val="008F4ED3"/>
    <w:rsid w:val="008F52CF"/>
    <w:rsid w:val="008F74C9"/>
    <w:rsid w:val="00902C5A"/>
    <w:rsid w:val="009050A5"/>
    <w:rsid w:val="00905291"/>
    <w:rsid w:val="009117E2"/>
    <w:rsid w:val="00912CFB"/>
    <w:rsid w:val="00913DAE"/>
    <w:rsid w:val="00920FB9"/>
    <w:rsid w:val="00921DB0"/>
    <w:rsid w:val="00922971"/>
    <w:rsid w:val="00922CC9"/>
    <w:rsid w:val="0092402F"/>
    <w:rsid w:val="0092527F"/>
    <w:rsid w:val="00926C68"/>
    <w:rsid w:val="00927779"/>
    <w:rsid w:val="00931223"/>
    <w:rsid w:val="00932184"/>
    <w:rsid w:val="00936959"/>
    <w:rsid w:val="00940352"/>
    <w:rsid w:val="009450EB"/>
    <w:rsid w:val="00945CC0"/>
    <w:rsid w:val="0094736E"/>
    <w:rsid w:val="00954328"/>
    <w:rsid w:val="00954DC5"/>
    <w:rsid w:val="00956716"/>
    <w:rsid w:val="00957D85"/>
    <w:rsid w:val="00960D87"/>
    <w:rsid w:val="00961708"/>
    <w:rsid w:val="00961E4F"/>
    <w:rsid w:val="00962761"/>
    <w:rsid w:val="00962975"/>
    <w:rsid w:val="00962BB6"/>
    <w:rsid w:val="009632F6"/>
    <w:rsid w:val="00965388"/>
    <w:rsid w:val="009664A1"/>
    <w:rsid w:val="0097001E"/>
    <w:rsid w:val="00971DF7"/>
    <w:rsid w:val="0097380F"/>
    <w:rsid w:val="009738F2"/>
    <w:rsid w:val="009746D3"/>
    <w:rsid w:val="0097674E"/>
    <w:rsid w:val="00977A11"/>
    <w:rsid w:val="00980A44"/>
    <w:rsid w:val="009816FB"/>
    <w:rsid w:val="00983A0B"/>
    <w:rsid w:val="00983BAA"/>
    <w:rsid w:val="00984B7C"/>
    <w:rsid w:val="00984D5D"/>
    <w:rsid w:val="00985374"/>
    <w:rsid w:val="00986053"/>
    <w:rsid w:val="00986310"/>
    <w:rsid w:val="00991C0A"/>
    <w:rsid w:val="009933E2"/>
    <w:rsid w:val="009937C2"/>
    <w:rsid w:val="009A031C"/>
    <w:rsid w:val="009A0A2E"/>
    <w:rsid w:val="009A2771"/>
    <w:rsid w:val="009A3C79"/>
    <w:rsid w:val="009A4714"/>
    <w:rsid w:val="009A67AB"/>
    <w:rsid w:val="009A6AD8"/>
    <w:rsid w:val="009B0071"/>
    <w:rsid w:val="009B0C71"/>
    <w:rsid w:val="009B1DE8"/>
    <w:rsid w:val="009B71C8"/>
    <w:rsid w:val="009B7510"/>
    <w:rsid w:val="009B782F"/>
    <w:rsid w:val="009C198D"/>
    <w:rsid w:val="009C2A97"/>
    <w:rsid w:val="009C3DFD"/>
    <w:rsid w:val="009C411F"/>
    <w:rsid w:val="009C4994"/>
    <w:rsid w:val="009C4B38"/>
    <w:rsid w:val="009C76F9"/>
    <w:rsid w:val="009D027F"/>
    <w:rsid w:val="009D03D9"/>
    <w:rsid w:val="009D0DEA"/>
    <w:rsid w:val="009D103E"/>
    <w:rsid w:val="009D28C9"/>
    <w:rsid w:val="009D3BF7"/>
    <w:rsid w:val="009D3EAD"/>
    <w:rsid w:val="009D4279"/>
    <w:rsid w:val="009D4320"/>
    <w:rsid w:val="009D55EE"/>
    <w:rsid w:val="009D60D3"/>
    <w:rsid w:val="009E057D"/>
    <w:rsid w:val="009E0D33"/>
    <w:rsid w:val="009E37B0"/>
    <w:rsid w:val="009F0312"/>
    <w:rsid w:val="009F3AB5"/>
    <w:rsid w:val="009F4BC8"/>
    <w:rsid w:val="00A027DF"/>
    <w:rsid w:val="00A04ABC"/>
    <w:rsid w:val="00A07E2D"/>
    <w:rsid w:val="00A132B8"/>
    <w:rsid w:val="00A13A1E"/>
    <w:rsid w:val="00A14640"/>
    <w:rsid w:val="00A151DB"/>
    <w:rsid w:val="00A15AAB"/>
    <w:rsid w:val="00A16699"/>
    <w:rsid w:val="00A16D40"/>
    <w:rsid w:val="00A2020D"/>
    <w:rsid w:val="00A236B2"/>
    <w:rsid w:val="00A2564B"/>
    <w:rsid w:val="00A25DF4"/>
    <w:rsid w:val="00A279CF"/>
    <w:rsid w:val="00A27E40"/>
    <w:rsid w:val="00A302AC"/>
    <w:rsid w:val="00A331B8"/>
    <w:rsid w:val="00A3379C"/>
    <w:rsid w:val="00A34A33"/>
    <w:rsid w:val="00A37DBF"/>
    <w:rsid w:val="00A40143"/>
    <w:rsid w:val="00A42C21"/>
    <w:rsid w:val="00A43E46"/>
    <w:rsid w:val="00A44406"/>
    <w:rsid w:val="00A45427"/>
    <w:rsid w:val="00A45C5C"/>
    <w:rsid w:val="00A46436"/>
    <w:rsid w:val="00A570A1"/>
    <w:rsid w:val="00A60D53"/>
    <w:rsid w:val="00A61343"/>
    <w:rsid w:val="00A61B14"/>
    <w:rsid w:val="00A63CCD"/>
    <w:rsid w:val="00A66125"/>
    <w:rsid w:val="00A6686F"/>
    <w:rsid w:val="00A66AA4"/>
    <w:rsid w:val="00A70CBC"/>
    <w:rsid w:val="00A715E6"/>
    <w:rsid w:val="00A717C0"/>
    <w:rsid w:val="00A75C2F"/>
    <w:rsid w:val="00A77A4E"/>
    <w:rsid w:val="00A805D5"/>
    <w:rsid w:val="00A821CF"/>
    <w:rsid w:val="00A8373F"/>
    <w:rsid w:val="00A83DE1"/>
    <w:rsid w:val="00A8554A"/>
    <w:rsid w:val="00A85C03"/>
    <w:rsid w:val="00A8610B"/>
    <w:rsid w:val="00A908E5"/>
    <w:rsid w:val="00A927B2"/>
    <w:rsid w:val="00A97F24"/>
    <w:rsid w:val="00AA693C"/>
    <w:rsid w:val="00AB2BB4"/>
    <w:rsid w:val="00AB2E16"/>
    <w:rsid w:val="00AB30E7"/>
    <w:rsid w:val="00AB3FCE"/>
    <w:rsid w:val="00AD0AA4"/>
    <w:rsid w:val="00AD0ACB"/>
    <w:rsid w:val="00AD0D46"/>
    <w:rsid w:val="00AD375B"/>
    <w:rsid w:val="00AD37D5"/>
    <w:rsid w:val="00AD5ED5"/>
    <w:rsid w:val="00AE0050"/>
    <w:rsid w:val="00AE3332"/>
    <w:rsid w:val="00AE68B9"/>
    <w:rsid w:val="00AE6EDA"/>
    <w:rsid w:val="00AE7B0D"/>
    <w:rsid w:val="00AF308C"/>
    <w:rsid w:val="00AF3814"/>
    <w:rsid w:val="00AF41AA"/>
    <w:rsid w:val="00AF7484"/>
    <w:rsid w:val="00B02682"/>
    <w:rsid w:val="00B04124"/>
    <w:rsid w:val="00B041D9"/>
    <w:rsid w:val="00B04232"/>
    <w:rsid w:val="00B05137"/>
    <w:rsid w:val="00B06919"/>
    <w:rsid w:val="00B079BE"/>
    <w:rsid w:val="00B108AF"/>
    <w:rsid w:val="00B117A1"/>
    <w:rsid w:val="00B13850"/>
    <w:rsid w:val="00B14725"/>
    <w:rsid w:val="00B16D0D"/>
    <w:rsid w:val="00B23052"/>
    <w:rsid w:val="00B27B13"/>
    <w:rsid w:val="00B34F56"/>
    <w:rsid w:val="00B35062"/>
    <w:rsid w:val="00B35795"/>
    <w:rsid w:val="00B40126"/>
    <w:rsid w:val="00B450DC"/>
    <w:rsid w:val="00B50D9F"/>
    <w:rsid w:val="00B5126F"/>
    <w:rsid w:val="00B51F1F"/>
    <w:rsid w:val="00B5412B"/>
    <w:rsid w:val="00B54A3C"/>
    <w:rsid w:val="00B54E49"/>
    <w:rsid w:val="00B55B0A"/>
    <w:rsid w:val="00B562FB"/>
    <w:rsid w:val="00B60C9E"/>
    <w:rsid w:val="00B62766"/>
    <w:rsid w:val="00B62BFA"/>
    <w:rsid w:val="00B64BD9"/>
    <w:rsid w:val="00B66F2C"/>
    <w:rsid w:val="00B71F31"/>
    <w:rsid w:val="00B73315"/>
    <w:rsid w:val="00B769DD"/>
    <w:rsid w:val="00B77185"/>
    <w:rsid w:val="00B77E41"/>
    <w:rsid w:val="00B84522"/>
    <w:rsid w:val="00B852C2"/>
    <w:rsid w:val="00B861D5"/>
    <w:rsid w:val="00B861F4"/>
    <w:rsid w:val="00BA1769"/>
    <w:rsid w:val="00BA1EE9"/>
    <w:rsid w:val="00BA38E3"/>
    <w:rsid w:val="00BA5441"/>
    <w:rsid w:val="00BA6367"/>
    <w:rsid w:val="00BA7CA1"/>
    <w:rsid w:val="00BB2B7B"/>
    <w:rsid w:val="00BB2BAC"/>
    <w:rsid w:val="00BB4A83"/>
    <w:rsid w:val="00BB6130"/>
    <w:rsid w:val="00BC0242"/>
    <w:rsid w:val="00BC193E"/>
    <w:rsid w:val="00BC1CC9"/>
    <w:rsid w:val="00BC2153"/>
    <w:rsid w:val="00BC25BE"/>
    <w:rsid w:val="00BC47F4"/>
    <w:rsid w:val="00BC4E10"/>
    <w:rsid w:val="00BC6E11"/>
    <w:rsid w:val="00BC6FFC"/>
    <w:rsid w:val="00BD099C"/>
    <w:rsid w:val="00BD0F8C"/>
    <w:rsid w:val="00BD1786"/>
    <w:rsid w:val="00BD1D06"/>
    <w:rsid w:val="00BD3676"/>
    <w:rsid w:val="00BD5A07"/>
    <w:rsid w:val="00BD5F58"/>
    <w:rsid w:val="00BD7C2F"/>
    <w:rsid w:val="00BE1CF9"/>
    <w:rsid w:val="00BE3CBA"/>
    <w:rsid w:val="00BE6298"/>
    <w:rsid w:val="00BE6617"/>
    <w:rsid w:val="00BF3728"/>
    <w:rsid w:val="00BF3EF3"/>
    <w:rsid w:val="00BF466F"/>
    <w:rsid w:val="00BF46D7"/>
    <w:rsid w:val="00BF4BF0"/>
    <w:rsid w:val="00BF5727"/>
    <w:rsid w:val="00BF5F02"/>
    <w:rsid w:val="00BF6091"/>
    <w:rsid w:val="00BF6D83"/>
    <w:rsid w:val="00BF796B"/>
    <w:rsid w:val="00C06A7B"/>
    <w:rsid w:val="00C10E7D"/>
    <w:rsid w:val="00C1208B"/>
    <w:rsid w:val="00C148CD"/>
    <w:rsid w:val="00C23880"/>
    <w:rsid w:val="00C2503E"/>
    <w:rsid w:val="00C255E6"/>
    <w:rsid w:val="00C312B1"/>
    <w:rsid w:val="00C312F9"/>
    <w:rsid w:val="00C32F96"/>
    <w:rsid w:val="00C4190C"/>
    <w:rsid w:val="00C42017"/>
    <w:rsid w:val="00C428D9"/>
    <w:rsid w:val="00C449D1"/>
    <w:rsid w:val="00C45743"/>
    <w:rsid w:val="00C5145B"/>
    <w:rsid w:val="00C55042"/>
    <w:rsid w:val="00C6076F"/>
    <w:rsid w:val="00C63D09"/>
    <w:rsid w:val="00C63E76"/>
    <w:rsid w:val="00C65414"/>
    <w:rsid w:val="00C65B93"/>
    <w:rsid w:val="00C6619B"/>
    <w:rsid w:val="00C66C85"/>
    <w:rsid w:val="00C74C7D"/>
    <w:rsid w:val="00C776A0"/>
    <w:rsid w:val="00C8375D"/>
    <w:rsid w:val="00C84C09"/>
    <w:rsid w:val="00C85242"/>
    <w:rsid w:val="00C86FFA"/>
    <w:rsid w:val="00C8733C"/>
    <w:rsid w:val="00C87870"/>
    <w:rsid w:val="00C91811"/>
    <w:rsid w:val="00C93920"/>
    <w:rsid w:val="00C93D64"/>
    <w:rsid w:val="00C942E5"/>
    <w:rsid w:val="00C956CA"/>
    <w:rsid w:val="00C96206"/>
    <w:rsid w:val="00CB0A28"/>
    <w:rsid w:val="00CB1E12"/>
    <w:rsid w:val="00CB2EB4"/>
    <w:rsid w:val="00CB45D5"/>
    <w:rsid w:val="00CB61D0"/>
    <w:rsid w:val="00CB627F"/>
    <w:rsid w:val="00CC0FAD"/>
    <w:rsid w:val="00CC2762"/>
    <w:rsid w:val="00CC44BA"/>
    <w:rsid w:val="00CC5281"/>
    <w:rsid w:val="00CC5595"/>
    <w:rsid w:val="00CD1455"/>
    <w:rsid w:val="00CD4186"/>
    <w:rsid w:val="00CE1111"/>
    <w:rsid w:val="00CE58DA"/>
    <w:rsid w:val="00CE6564"/>
    <w:rsid w:val="00CE6912"/>
    <w:rsid w:val="00CE71FC"/>
    <w:rsid w:val="00CE7ECB"/>
    <w:rsid w:val="00CF2816"/>
    <w:rsid w:val="00D0079E"/>
    <w:rsid w:val="00D02052"/>
    <w:rsid w:val="00D0444D"/>
    <w:rsid w:val="00D06503"/>
    <w:rsid w:val="00D06711"/>
    <w:rsid w:val="00D07B72"/>
    <w:rsid w:val="00D12386"/>
    <w:rsid w:val="00D1734B"/>
    <w:rsid w:val="00D1741F"/>
    <w:rsid w:val="00D22684"/>
    <w:rsid w:val="00D235CF"/>
    <w:rsid w:val="00D30418"/>
    <w:rsid w:val="00D311C5"/>
    <w:rsid w:val="00D3176D"/>
    <w:rsid w:val="00D34A4E"/>
    <w:rsid w:val="00D36E21"/>
    <w:rsid w:val="00D40446"/>
    <w:rsid w:val="00D42046"/>
    <w:rsid w:val="00D42882"/>
    <w:rsid w:val="00D43714"/>
    <w:rsid w:val="00D447BB"/>
    <w:rsid w:val="00D47C83"/>
    <w:rsid w:val="00D50663"/>
    <w:rsid w:val="00D54038"/>
    <w:rsid w:val="00D5478B"/>
    <w:rsid w:val="00D624AE"/>
    <w:rsid w:val="00D62EDF"/>
    <w:rsid w:val="00D65DAA"/>
    <w:rsid w:val="00D66623"/>
    <w:rsid w:val="00D672D2"/>
    <w:rsid w:val="00D67DB3"/>
    <w:rsid w:val="00D75CE9"/>
    <w:rsid w:val="00D77587"/>
    <w:rsid w:val="00D80305"/>
    <w:rsid w:val="00D80CE1"/>
    <w:rsid w:val="00D81E73"/>
    <w:rsid w:val="00D8551D"/>
    <w:rsid w:val="00D927CC"/>
    <w:rsid w:val="00D92F55"/>
    <w:rsid w:val="00D9301C"/>
    <w:rsid w:val="00D969D3"/>
    <w:rsid w:val="00D96A59"/>
    <w:rsid w:val="00D97059"/>
    <w:rsid w:val="00DA0B15"/>
    <w:rsid w:val="00DA346A"/>
    <w:rsid w:val="00DA34EC"/>
    <w:rsid w:val="00DA4E02"/>
    <w:rsid w:val="00DA526A"/>
    <w:rsid w:val="00DA643E"/>
    <w:rsid w:val="00DA7BF7"/>
    <w:rsid w:val="00DB09BC"/>
    <w:rsid w:val="00DB0CDE"/>
    <w:rsid w:val="00DB1846"/>
    <w:rsid w:val="00DB2380"/>
    <w:rsid w:val="00DB33CE"/>
    <w:rsid w:val="00DB3508"/>
    <w:rsid w:val="00DB3D68"/>
    <w:rsid w:val="00DB51D3"/>
    <w:rsid w:val="00DB7DF4"/>
    <w:rsid w:val="00DC170C"/>
    <w:rsid w:val="00DC23C6"/>
    <w:rsid w:val="00DC3A7E"/>
    <w:rsid w:val="00DC5A2B"/>
    <w:rsid w:val="00DC6860"/>
    <w:rsid w:val="00DD1B59"/>
    <w:rsid w:val="00DD2E65"/>
    <w:rsid w:val="00DD39DF"/>
    <w:rsid w:val="00DD3E4B"/>
    <w:rsid w:val="00DD6FE4"/>
    <w:rsid w:val="00DE03F7"/>
    <w:rsid w:val="00DE1C2F"/>
    <w:rsid w:val="00DE2715"/>
    <w:rsid w:val="00DE5832"/>
    <w:rsid w:val="00DE674B"/>
    <w:rsid w:val="00DF4D2E"/>
    <w:rsid w:val="00DF59F5"/>
    <w:rsid w:val="00DF5C7C"/>
    <w:rsid w:val="00DF75ED"/>
    <w:rsid w:val="00E02FC8"/>
    <w:rsid w:val="00E0354F"/>
    <w:rsid w:val="00E03DC6"/>
    <w:rsid w:val="00E0492B"/>
    <w:rsid w:val="00E07F87"/>
    <w:rsid w:val="00E14649"/>
    <w:rsid w:val="00E14F5E"/>
    <w:rsid w:val="00E20D5F"/>
    <w:rsid w:val="00E21358"/>
    <w:rsid w:val="00E21939"/>
    <w:rsid w:val="00E227E3"/>
    <w:rsid w:val="00E22A29"/>
    <w:rsid w:val="00E23033"/>
    <w:rsid w:val="00E24B04"/>
    <w:rsid w:val="00E25128"/>
    <w:rsid w:val="00E2632F"/>
    <w:rsid w:val="00E26B8A"/>
    <w:rsid w:val="00E30415"/>
    <w:rsid w:val="00E30A15"/>
    <w:rsid w:val="00E30C9C"/>
    <w:rsid w:val="00E31901"/>
    <w:rsid w:val="00E33415"/>
    <w:rsid w:val="00E34B09"/>
    <w:rsid w:val="00E3585B"/>
    <w:rsid w:val="00E436C8"/>
    <w:rsid w:val="00E4384C"/>
    <w:rsid w:val="00E44301"/>
    <w:rsid w:val="00E4561F"/>
    <w:rsid w:val="00E46A44"/>
    <w:rsid w:val="00E47509"/>
    <w:rsid w:val="00E50328"/>
    <w:rsid w:val="00E50F66"/>
    <w:rsid w:val="00E52BE7"/>
    <w:rsid w:val="00E534C1"/>
    <w:rsid w:val="00E55B6C"/>
    <w:rsid w:val="00E55BD0"/>
    <w:rsid w:val="00E57D5B"/>
    <w:rsid w:val="00E57E89"/>
    <w:rsid w:val="00E60633"/>
    <w:rsid w:val="00E6100C"/>
    <w:rsid w:val="00E63E0C"/>
    <w:rsid w:val="00E642D3"/>
    <w:rsid w:val="00E65BBB"/>
    <w:rsid w:val="00E65F83"/>
    <w:rsid w:val="00E65FDB"/>
    <w:rsid w:val="00E6786E"/>
    <w:rsid w:val="00E7120A"/>
    <w:rsid w:val="00E802B3"/>
    <w:rsid w:val="00E82A61"/>
    <w:rsid w:val="00E8342C"/>
    <w:rsid w:val="00E848AA"/>
    <w:rsid w:val="00E849BC"/>
    <w:rsid w:val="00E84C58"/>
    <w:rsid w:val="00E87F8D"/>
    <w:rsid w:val="00E91DDC"/>
    <w:rsid w:val="00E91F91"/>
    <w:rsid w:val="00E94620"/>
    <w:rsid w:val="00E94A10"/>
    <w:rsid w:val="00E95C24"/>
    <w:rsid w:val="00E9777E"/>
    <w:rsid w:val="00EA19BA"/>
    <w:rsid w:val="00EA532A"/>
    <w:rsid w:val="00EA534D"/>
    <w:rsid w:val="00EB4AD3"/>
    <w:rsid w:val="00EB58CE"/>
    <w:rsid w:val="00EB6FD0"/>
    <w:rsid w:val="00EC274C"/>
    <w:rsid w:val="00EC3BA2"/>
    <w:rsid w:val="00ED04E3"/>
    <w:rsid w:val="00ED5F73"/>
    <w:rsid w:val="00ED7034"/>
    <w:rsid w:val="00EE0AFC"/>
    <w:rsid w:val="00EE1B55"/>
    <w:rsid w:val="00EE3844"/>
    <w:rsid w:val="00EE66CE"/>
    <w:rsid w:val="00EE7908"/>
    <w:rsid w:val="00EF1928"/>
    <w:rsid w:val="00EF4721"/>
    <w:rsid w:val="00EF4861"/>
    <w:rsid w:val="00EF7FA3"/>
    <w:rsid w:val="00F01E6C"/>
    <w:rsid w:val="00F05A4E"/>
    <w:rsid w:val="00F0613B"/>
    <w:rsid w:val="00F078DB"/>
    <w:rsid w:val="00F07AA3"/>
    <w:rsid w:val="00F10619"/>
    <w:rsid w:val="00F107BF"/>
    <w:rsid w:val="00F12963"/>
    <w:rsid w:val="00F12D60"/>
    <w:rsid w:val="00F1315E"/>
    <w:rsid w:val="00F134A4"/>
    <w:rsid w:val="00F135F9"/>
    <w:rsid w:val="00F13B7F"/>
    <w:rsid w:val="00F2038D"/>
    <w:rsid w:val="00F2250D"/>
    <w:rsid w:val="00F24A5B"/>
    <w:rsid w:val="00F24B1C"/>
    <w:rsid w:val="00F2564F"/>
    <w:rsid w:val="00F27C26"/>
    <w:rsid w:val="00F31C17"/>
    <w:rsid w:val="00F345E5"/>
    <w:rsid w:val="00F36BB8"/>
    <w:rsid w:val="00F43EB7"/>
    <w:rsid w:val="00F4553D"/>
    <w:rsid w:val="00F45C9D"/>
    <w:rsid w:val="00F461BA"/>
    <w:rsid w:val="00F50425"/>
    <w:rsid w:val="00F6026D"/>
    <w:rsid w:val="00F61437"/>
    <w:rsid w:val="00F6203F"/>
    <w:rsid w:val="00F6351D"/>
    <w:rsid w:val="00F63D96"/>
    <w:rsid w:val="00F64681"/>
    <w:rsid w:val="00F64FF0"/>
    <w:rsid w:val="00F72E15"/>
    <w:rsid w:val="00F73ED0"/>
    <w:rsid w:val="00F73FF3"/>
    <w:rsid w:val="00F77BB8"/>
    <w:rsid w:val="00F814FA"/>
    <w:rsid w:val="00F82979"/>
    <w:rsid w:val="00F83AA5"/>
    <w:rsid w:val="00F92DC5"/>
    <w:rsid w:val="00F97F8B"/>
    <w:rsid w:val="00FA34E5"/>
    <w:rsid w:val="00FA7A69"/>
    <w:rsid w:val="00FB142B"/>
    <w:rsid w:val="00FB1DB5"/>
    <w:rsid w:val="00FB26C7"/>
    <w:rsid w:val="00FB2DF2"/>
    <w:rsid w:val="00FB2F1C"/>
    <w:rsid w:val="00FB65B9"/>
    <w:rsid w:val="00FB68E1"/>
    <w:rsid w:val="00FC2D8D"/>
    <w:rsid w:val="00FC2DC3"/>
    <w:rsid w:val="00FC5A59"/>
    <w:rsid w:val="00FC6E46"/>
    <w:rsid w:val="00FC79CC"/>
    <w:rsid w:val="00FD0251"/>
    <w:rsid w:val="00FD0C32"/>
    <w:rsid w:val="00FD60EA"/>
    <w:rsid w:val="00FD714F"/>
    <w:rsid w:val="00FD75CF"/>
    <w:rsid w:val="00FD7BCE"/>
    <w:rsid w:val="00FE036E"/>
    <w:rsid w:val="00FE091B"/>
    <w:rsid w:val="00FE2434"/>
    <w:rsid w:val="00FE2633"/>
    <w:rsid w:val="00FE2BA5"/>
    <w:rsid w:val="00FE513B"/>
    <w:rsid w:val="00FE6237"/>
    <w:rsid w:val="00FE6F63"/>
    <w:rsid w:val="00FF0EF2"/>
    <w:rsid w:val="00FF1CA7"/>
    <w:rsid w:val="00FF62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2EDAAD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ext"/>
    <w:qFormat/>
    <w:rsid w:val="00B861F4"/>
    <w:pPr>
      <w:spacing w:line="360" w:lineRule="auto"/>
      <w:jc w:val="both"/>
    </w:pPr>
    <w:rPr>
      <w:rFonts w:ascii="Arial" w:hAnsi="Arial"/>
    </w:rPr>
  </w:style>
  <w:style w:type="paragraph" w:styleId="Heading1">
    <w:name w:val="heading 1"/>
    <w:basedOn w:val="Normal"/>
    <w:next w:val="Normal"/>
    <w:link w:val="Heading1Char"/>
    <w:uiPriority w:val="9"/>
    <w:qFormat/>
    <w:rsid w:val="002D13BF"/>
    <w:pPr>
      <w:keepNext/>
      <w:keepLines/>
      <w:spacing w:before="480"/>
      <w:outlineLvl w:val="0"/>
    </w:pPr>
    <w:rPr>
      <w:rFonts w:eastAsiaTheme="majorEastAsia" w:cstheme="majorBidi"/>
      <w:b/>
      <w:bCs/>
      <w:sz w:val="32"/>
      <w:szCs w:val="32"/>
      <w:lang w:val="cs-CZ"/>
    </w:rPr>
  </w:style>
  <w:style w:type="paragraph" w:styleId="Heading2">
    <w:name w:val="heading 2"/>
    <w:basedOn w:val="Normal"/>
    <w:next w:val="Normal"/>
    <w:link w:val="Heading2Char"/>
    <w:uiPriority w:val="9"/>
    <w:unhideWhenUsed/>
    <w:qFormat/>
    <w:rsid w:val="00AB3FCE"/>
    <w:pPr>
      <w:keepNext/>
      <w:keepLines/>
      <w:spacing w:before="200"/>
      <w:outlineLvl w:val="1"/>
    </w:pPr>
    <w:rPr>
      <w:rFonts w:eastAsiaTheme="majorEastAsia"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49F0"/>
    <w:pPr>
      <w:spacing w:before="100" w:beforeAutospacing="1" w:after="100" w:afterAutospacing="1"/>
    </w:pPr>
    <w:rPr>
      <w:rFonts w:ascii="Times New Roman" w:hAnsi="Times New Roman" w:cs="Times New Roman"/>
      <w:sz w:val="20"/>
      <w:szCs w:val="20"/>
    </w:rPr>
  </w:style>
  <w:style w:type="character" w:customStyle="1" w:styleId="Heading1Char">
    <w:name w:val="Heading 1 Char"/>
    <w:basedOn w:val="DefaultParagraphFont"/>
    <w:link w:val="Heading1"/>
    <w:uiPriority w:val="9"/>
    <w:rsid w:val="002D13BF"/>
    <w:rPr>
      <w:rFonts w:ascii="Arial" w:eastAsiaTheme="majorEastAsia" w:hAnsi="Arial" w:cstheme="majorBidi"/>
      <w:b/>
      <w:bCs/>
      <w:sz w:val="32"/>
      <w:szCs w:val="32"/>
      <w:lang w:val="cs-CZ"/>
    </w:rPr>
  </w:style>
  <w:style w:type="character" w:customStyle="1" w:styleId="Heading2Char">
    <w:name w:val="Heading 2 Char"/>
    <w:basedOn w:val="DefaultParagraphFont"/>
    <w:link w:val="Heading2"/>
    <w:uiPriority w:val="9"/>
    <w:rsid w:val="00210091"/>
    <w:rPr>
      <w:rFonts w:ascii="Arial" w:eastAsiaTheme="majorEastAsia" w:hAnsi="Arial" w:cstheme="majorBidi"/>
      <w:b/>
      <w:bCs/>
      <w:sz w:val="28"/>
      <w:szCs w:val="26"/>
    </w:rPr>
  </w:style>
  <w:style w:type="paragraph" w:styleId="Subtitle">
    <w:name w:val="Subtitle"/>
    <w:aliases w:val="heading 3"/>
    <w:basedOn w:val="Normal"/>
    <w:next w:val="Normal"/>
    <w:link w:val="SubtitleChar"/>
    <w:uiPriority w:val="11"/>
    <w:qFormat/>
    <w:rsid w:val="00210091"/>
    <w:rPr>
      <w:rFonts w:eastAsiaTheme="majorEastAsia" w:cstheme="majorBidi"/>
      <w:b/>
      <w:iCs/>
      <w:spacing w:val="15"/>
    </w:rPr>
  </w:style>
  <w:style w:type="character" w:customStyle="1" w:styleId="SubtitleChar">
    <w:name w:val="Subtitle Char"/>
    <w:aliases w:val="heading 3 Char"/>
    <w:basedOn w:val="DefaultParagraphFont"/>
    <w:link w:val="Subtitle"/>
    <w:uiPriority w:val="11"/>
    <w:rsid w:val="00210091"/>
    <w:rPr>
      <w:rFonts w:ascii="Arial" w:eastAsiaTheme="majorEastAsia" w:hAnsi="Arial" w:cstheme="majorBidi"/>
      <w:b/>
      <w:iCs/>
      <w:spacing w:val="15"/>
    </w:rPr>
  </w:style>
  <w:style w:type="paragraph" w:styleId="NoSpacing">
    <w:name w:val="No Spacing"/>
    <w:aliases w:val="pod čarou"/>
    <w:uiPriority w:val="1"/>
    <w:qFormat/>
    <w:rsid w:val="00FD714F"/>
    <w:rPr>
      <w:rFonts w:ascii="Arial" w:hAnsi="Arial"/>
      <w:sz w:val="20"/>
      <w:lang w:val="cs-CZ"/>
    </w:rPr>
  </w:style>
  <w:style w:type="paragraph" w:styleId="Title">
    <w:name w:val="Title"/>
    <w:aliases w:val="Nadpis bez čísel"/>
    <w:basedOn w:val="Normal"/>
    <w:next w:val="Normal"/>
    <w:link w:val="TitleChar"/>
    <w:uiPriority w:val="10"/>
    <w:qFormat/>
    <w:rsid w:val="00210091"/>
    <w:pPr>
      <w:widowControl w:val="0"/>
      <w:spacing w:after="300"/>
      <w:contextualSpacing/>
    </w:pPr>
    <w:rPr>
      <w:rFonts w:eastAsiaTheme="majorEastAsia" w:cstheme="majorBidi"/>
      <w:b/>
      <w:spacing w:val="5"/>
      <w:kern w:val="28"/>
      <w:sz w:val="32"/>
      <w:szCs w:val="52"/>
    </w:rPr>
  </w:style>
  <w:style w:type="character" w:customStyle="1" w:styleId="TitleChar">
    <w:name w:val="Title Char"/>
    <w:aliases w:val="Nadpis bez čísel Char"/>
    <w:basedOn w:val="DefaultParagraphFont"/>
    <w:link w:val="Title"/>
    <w:uiPriority w:val="10"/>
    <w:rsid w:val="00210091"/>
    <w:rPr>
      <w:rFonts w:ascii="Arial" w:eastAsiaTheme="majorEastAsia" w:hAnsi="Arial" w:cstheme="majorBidi"/>
      <w:b/>
      <w:spacing w:val="5"/>
      <w:kern w:val="28"/>
      <w:sz w:val="32"/>
      <w:szCs w:val="52"/>
    </w:rPr>
  </w:style>
  <w:style w:type="paragraph" w:styleId="FootnoteText">
    <w:name w:val="footnote text"/>
    <w:basedOn w:val="Normal"/>
    <w:link w:val="FootnoteTextChar"/>
    <w:uiPriority w:val="99"/>
    <w:unhideWhenUsed/>
    <w:rsid w:val="008D7234"/>
    <w:pPr>
      <w:spacing w:line="240" w:lineRule="auto"/>
    </w:pPr>
  </w:style>
  <w:style w:type="character" w:customStyle="1" w:styleId="FootnoteTextChar">
    <w:name w:val="Footnote Text Char"/>
    <w:basedOn w:val="DefaultParagraphFont"/>
    <w:link w:val="FootnoteText"/>
    <w:uiPriority w:val="99"/>
    <w:rsid w:val="008D7234"/>
    <w:rPr>
      <w:rFonts w:ascii="Arial" w:hAnsi="Arial"/>
    </w:rPr>
  </w:style>
  <w:style w:type="character" w:styleId="FootnoteReference">
    <w:name w:val="footnote reference"/>
    <w:basedOn w:val="DefaultParagraphFont"/>
    <w:uiPriority w:val="99"/>
    <w:unhideWhenUsed/>
    <w:rsid w:val="008D7234"/>
    <w:rPr>
      <w:vertAlign w:val="superscript"/>
    </w:rPr>
  </w:style>
  <w:style w:type="paragraph" w:styleId="EndnoteText">
    <w:name w:val="endnote text"/>
    <w:basedOn w:val="Normal"/>
    <w:link w:val="EndnoteTextChar"/>
    <w:uiPriority w:val="99"/>
    <w:unhideWhenUsed/>
    <w:rsid w:val="00AE3332"/>
    <w:pPr>
      <w:spacing w:line="240" w:lineRule="auto"/>
    </w:pPr>
  </w:style>
  <w:style w:type="character" w:customStyle="1" w:styleId="EndnoteTextChar">
    <w:name w:val="Endnote Text Char"/>
    <w:basedOn w:val="DefaultParagraphFont"/>
    <w:link w:val="EndnoteText"/>
    <w:uiPriority w:val="99"/>
    <w:rsid w:val="00AE3332"/>
    <w:rPr>
      <w:rFonts w:ascii="Arial" w:hAnsi="Arial"/>
    </w:rPr>
  </w:style>
  <w:style w:type="character" w:styleId="EndnoteReference">
    <w:name w:val="endnote reference"/>
    <w:basedOn w:val="DefaultParagraphFont"/>
    <w:uiPriority w:val="99"/>
    <w:unhideWhenUsed/>
    <w:rsid w:val="00AE3332"/>
    <w:rPr>
      <w:vertAlign w:val="superscript"/>
    </w:rPr>
  </w:style>
  <w:style w:type="paragraph" w:styleId="ListParagraph">
    <w:name w:val="List Paragraph"/>
    <w:aliases w:val="Odstavec_muj,Nad"/>
    <w:basedOn w:val="Normal"/>
    <w:link w:val="ListParagraphChar"/>
    <w:uiPriority w:val="34"/>
    <w:qFormat/>
    <w:rsid w:val="008F49E0"/>
    <w:pPr>
      <w:ind w:left="720"/>
      <w:contextualSpacing/>
    </w:pPr>
  </w:style>
  <w:style w:type="numbering" w:customStyle="1" w:styleId="Style1">
    <w:name w:val="Style1"/>
    <w:uiPriority w:val="99"/>
    <w:rsid w:val="008F49E0"/>
    <w:pPr>
      <w:numPr>
        <w:numId w:val="3"/>
      </w:numPr>
    </w:pPr>
  </w:style>
  <w:style w:type="numbering" w:customStyle="1" w:styleId="Style2">
    <w:name w:val="Style2"/>
    <w:uiPriority w:val="99"/>
    <w:rsid w:val="008F49E0"/>
    <w:pPr>
      <w:numPr>
        <w:numId w:val="4"/>
      </w:numPr>
    </w:pPr>
  </w:style>
  <w:style w:type="character" w:styleId="CommentReference">
    <w:name w:val="annotation reference"/>
    <w:basedOn w:val="DefaultParagraphFont"/>
    <w:uiPriority w:val="99"/>
    <w:semiHidden/>
    <w:unhideWhenUsed/>
    <w:rsid w:val="003F7058"/>
    <w:rPr>
      <w:sz w:val="18"/>
      <w:szCs w:val="18"/>
    </w:rPr>
  </w:style>
  <w:style w:type="paragraph" w:styleId="CommentText">
    <w:name w:val="annotation text"/>
    <w:basedOn w:val="Normal"/>
    <w:link w:val="CommentTextChar"/>
    <w:uiPriority w:val="99"/>
    <w:unhideWhenUsed/>
    <w:rsid w:val="003F7058"/>
    <w:pPr>
      <w:spacing w:line="240" w:lineRule="auto"/>
    </w:pPr>
  </w:style>
  <w:style w:type="character" w:customStyle="1" w:styleId="CommentTextChar">
    <w:name w:val="Comment Text Char"/>
    <w:basedOn w:val="DefaultParagraphFont"/>
    <w:link w:val="CommentText"/>
    <w:uiPriority w:val="99"/>
    <w:rsid w:val="003F7058"/>
    <w:rPr>
      <w:rFonts w:ascii="Arial" w:hAnsi="Arial"/>
    </w:rPr>
  </w:style>
  <w:style w:type="paragraph" w:styleId="CommentSubject">
    <w:name w:val="annotation subject"/>
    <w:basedOn w:val="CommentText"/>
    <w:next w:val="CommentText"/>
    <w:link w:val="CommentSubjectChar"/>
    <w:uiPriority w:val="99"/>
    <w:semiHidden/>
    <w:unhideWhenUsed/>
    <w:rsid w:val="003F7058"/>
    <w:rPr>
      <w:b/>
      <w:bCs/>
      <w:sz w:val="20"/>
      <w:szCs w:val="20"/>
    </w:rPr>
  </w:style>
  <w:style w:type="character" w:customStyle="1" w:styleId="CommentSubjectChar">
    <w:name w:val="Comment Subject Char"/>
    <w:basedOn w:val="CommentTextChar"/>
    <w:link w:val="CommentSubject"/>
    <w:uiPriority w:val="99"/>
    <w:semiHidden/>
    <w:rsid w:val="003F7058"/>
    <w:rPr>
      <w:rFonts w:ascii="Arial" w:hAnsi="Arial"/>
      <w:b/>
      <w:bCs/>
      <w:sz w:val="20"/>
      <w:szCs w:val="20"/>
    </w:rPr>
  </w:style>
  <w:style w:type="paragraph" w:styleId="BalloonText">
    <w:name w:val="Balloon Text"/>
    <w:basedOn w:val="Normal"/>
    <w:link w:val="BalloonTextChar"/>
    <w:uiPriority w:val="99"/>
    <w:semiHidden/>
    <w:unhideWhenUsed/>
    <w:rsid w:val="003F7058"/>
    <w:pPr>
      <w:spacing w:line="240" w:lineRule="auto"/>
    </w:pPr>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rsid w:val="003F7058"/>
    <w:rPr>
      <w:rFonts w:ascii="Lucida Grande CE" w:hAnsi="Lucida Grande CE" w:cs="Lucida Grande CE"/>
      <w:sz w:val="18"/>
      <w:szCs w:val="18"/>
    </w:rPr>
  </w:style>
  <w:style w:type="paragraph" w:styleId="TOCHeading">
    <w:name w:val="TOC Heading"/>
    <w:basedOn w:val="Heading1"/>
    <w:next w:val="Normal"/>
    <w:uiPriority w:val="39"/>
    <w:unhideWhenUsed/>
    <w:qFormat/>
    <w:rsid w:val="00A16699"/>
    <w:pPr>
      <w:spacing w:line="276" w:lineRule="auto"/>
      <w:jc w:val="left"/>
      <w:outlineLvl w:val="9"/>
    </w:pPr>
    <w:rPr>
      <w:rFonts w:asciiTheme="majorHAnsi" w:hAnsiTheme="majorHAnsi"/>
      <w:color w:val="365F91" w:themeColor="accent1" w:themeShade="BF"/>
      <w:sz w:val="28"/>
      <w:szCs w:val="28"/>
      <w:lang w:val="en-US"/>
    </w:rPr>
  </w:style>
  <w:style w:type="paragraph" w:styleId="TOC1">
    <w:name w:val="toc 1"/>
    <w:basedOn w:val="Normal"/>
    <w:next w:val="Normal"/>
    <w:autoRedefine/>
    <w:uiPriority w:val="39"/>
    <w:unhideWhenUsed/>
    <w:rsid w:val="004C3EBE"/>
    <w:pPr>
      <w:numPr>
        <w:numId w:val="10"/>
      </w:numPr>
      <w:tabs>
        <w:tab w:val="left" w:pos="422"/>
        <w:tab w:val="right" w:leader="dot" w:pos="9055"/>
      </w:tabs>
      <w:spacing w:before="240" w:after="120"/>
      <w:ind w:left="357" w:hanging="357"/>
      <w:jc w:val="left"/>
    </w:pPr>
    <w:rPr>
      <w:bCs/>
      <w:noProof/>
      <w:lang w:val="cs-CZ"/>
    </w:rPr>
  </w:style>
  <w:style w:type="paragraph" w:styleId="TOC2">
    <w:name w:val="toc 2"/>
    <w:basedOn w:val="Normal"/>
    <w:next w:val="Normal"/>
    <w:autoRedefine/>
    <w:uiPriority w:val="39"/>
    <w:unhideWhenUsed/>
    <w:rsid w:val="00A16699"/>
    <w:pPr>
      <w:jc w:val="left"/>
    </w:pPr>
    <w:rPr>
      <w:rFonts w:asciiTheme="minorHAnsi" w:hAnsiTheme="minorHAnsi"/>
      <w:b/>
      <w:smallCaps/>
      <w:sz w:val="22"/>
      <w:szCs w:val="22"/>
    </w:rPr>
  </w:style>
  <w:style w:type="paragraph" w:styleId="TOC3">
    <w:name w:val="toc 3"/>
    <w:basedOn w:val="Normal"/>
    <w:next w:val="Normal"/>
    <w:autoRedefine/>
    <w:uiPriority w:val="39"/>
    <w:semiHidden/>
    <w:unhideWhenUsed/>
    <w:rsid w:val="00A16699"/>
    <w:pPr>
      <w:jc w:val="left"/>
    </w:pPr>
    <w:rPr>
      <w:rFonts w:asciiTheme="minorHAnsi" w:hAnsiTheme="minorHAnsi"/>
      <w:smallCaps/>
      <w:sz w:val="22"/>
      <w:szCs w:val="22"/>
    </w:rPr>
  </w:style>
  <w:style w:type="paragraph" w:styleId="TOC4">
    <w:name w:val="toc 4"/>
    <w:basedOn w:val="Normal"/>
    <w:next w:val="Normal"/>
    <w:autoRedefine/>
    <w:uiPriority w:val="39"/>
    <w:semiHidden/>
    <w:unhideWhenUsed/>
    <w:rsid w:val="00A16699"/>
    <w:pPr>
      <w:jc w:val="left"/>
    </w:pPr>
    <w:rPr>
      <w:rFonts w:asciiTheme="minorHAnsi" w:hAnsiTheme="minorHAnsi"/>
      <w:sz w:val="22"/>
      <w:szCs w:val="22"/>
    </w:rPr>
  </w:style>
  <w:style w:type="paragraph" w:styleId="TOC5">
    <w:name w:val="toc 5"/>
    <w:basedOn w:val="Normal"/>
    <w:next w:val="Normal"/>
    <w:autoRedefine/>
    <w:uiPriority w:val="39"/>
    <w:semiHidden/>
    <w:unhideWhenUsed/>
    <w:rsid w:val="00A16699"/>
    <w:pPr>
      <w:jc w:val="left"/>
    </w:pPr>
    <w:rPr>
      <w:rFonts w:asciiTheme="minorHAnsi" w:hAnsiTheme="minorHAnsi"/>
      <w:sz w:val="22"/>
      <w:szCs w:val="22"/>
    </w:rPr>
  </w:style>
  <w:style w:type="paragraph" w:styleId="TOC6">
    <w:name w:val="toc 6"/>
    <w:basedOn w:val="Normal"/>
    <w:next w:val="Normal"/>
    <w:autoRedefine/>
    <w:uiPriority w:val="39"/>
    <w:semiHidden/>
    <w:unhideWhenUsed/>
    <w:rsid w:val="00A16699"/>
    <w:pPr>
      <w:jc w:val="left"/>
    </w:pPr>
    <w:rPr>
      <w:rFonts w:asciiTheme="minorHAnsi" w:hAnsiTheme="minorHAnsi"/>
      <w:sz w:val="22"/>
      <w:szCs w:val="22"/>
    </w:rPr>
  </w:style>
  <w:style w:type="paragraph" w:styleId="TOC7">
    <w:name w:val="toc 7"/>
    <w:basedOn w:val="Normal"/>
    <w:next w:val="Normal"/>
    <w:autoRedefine/>
    <w:uiPriority w:val="39"/>
    <w:semiHidden/>
    <w:unhideWhenUsed/>
    <w:rsid w:val="00A16699"/>
    <w:pPr>
      <w:jc w:val="left"/>
    </w:pPr>
    <w:rPr>
      <w:rFonts w:asciiTheme="minorHAnsi" w:hAnsiTheme="minorHAnsi"/>
      <w:sz w:val="22"/>
      <w:szCs w:val="22"/>
    </w:rPr>
  </w:style>
  <w:style w:type="paragraph" w:styleId="TOC8">
    <w:name w:val="toc 8"/>
    <w:basedOn w:val="Normal"/>
    <w:next w:val="Normal"/>
    <w:autoRedefine/>
    <w:uiPriority w:val="39"/>
    <w:semiHidden/>
    <w:unhideWhenUsed/>
    <w:rsid w:val="00A16699"/>
    <w:pPr>
      <w:jc w:val="left"/>
    </w:pPr>
    <w:rPr>
      <w:rFonts w:asciiTheme="minorHAnsi" w:hAnsiTheme="minorHAnsi"/>
      <w:sz w:val="22"/>
      <w:szCs w:val="22"/>
    </w:rPr>
  </w:style>
  <w:style w:type="paragraph" w:styleId="TOC9">
    <w:name w:val="toc 9"/>
    <w:basedOn w:val="Normal"/>
    <w:next w:val="Normal"/>
    <w:autoRedefine/>
    <w:uiPriority w:val="39"/>
    <w:semiHidden/>
    <w:unhideWhenUsed/>
    <w:rsid w:val="00A16699"/>
    <w:pPr>
      <w:jc w:val="left"/>
    </w:pPr>
    <w:rPr>
      <w:rFonts w:asciiTheme="minorHAnsi" w:hAnsiTheme="minorHAnsi"/>
      <w:sz w:val="22"/>
      <w:szCs w:val="22"/>
    </w:rPr>
  </w:style>
  <w:style w:type="paragraph" w:styleId="Footer">
    <w:name w:val="footer"/>
    <w:basedOn w:val="Normal"/>
    <w:link w:val="FooterChar"/>
    <w:uiPriority w:val="99"/>
    <w:unhideWhenUsed/>
    <w:rsid w:val="0097674E"/>
    <w:pPr>
      <w:tabs>
        <w:tab w:val="center" w:pos="4320"/>
        <w:tab w:val="right" w:pos="8640"/>
      </w:tabs>
      <w:spacing w:line="240" w:lineRule="auto"/>
    </w:pPr>
  </w:style>
  <w:style w:type="character" w:customStyle="1" w:styleId="FooterChar">
    <w:name w:val="Footer Char"/>
    <w:basedOn w:val="DefaultParagraphFont"/>
    <w:link w:val="Footer"/>
    <w:uiPriority w:val="99"/>
    <w:rsid w:val="0097674E"/>
    <w:rPr>
      <w:rFonts w:ascii="Arial" w:hAnsi="Arial"/>
    </w:rPr>
  </w:style>
  <w:style w:type="character" w:styleId="PageNumber">
    <w:name w:val="page number"/>
    <w:basedOn w:val="DefaultParagraphFont"/>
    <w:uiPriority w:val="99"/>
    <w:semiHidden/>
    <w:unhideWhenUsed/>
    <w:rsid w:val="0097674E"/>
  </w:style>
  <w:style w:type="character" w:styleId="Hyperlink">
    <w:name w:val="Hyperlink"/>
    <w:basedOn w:val="DefaultParagraphFont"/>
    <w:uiPriority w:val="99"/>
    <w:unhideWhenUsed/>
    <w:rsid w:val="00471DA7"/>
    <w:rPr>
      <w:color w:val="0000FF" w:themeColor="hyperlink"/>
      <w:u w:val="single"/>
    </w:rPr>
  </w:style>
  <w:style w:type="character" w:styleId="FollowedHyperlink">
    <w:name w:val="FollowedHyperlink"/>
    <w:basedOn w:val="DefaultParagraphFont"/>
    <w:uiPriority w:val="99"/>
    <w:semiHidden/>
    <w:unhideWhenUsed/>
    <w:rsid w:val="002E5BFD"/>
    <w:rPr>
      <w:color w:val="800080" w:themeColor="followedHyperlink"/>
      <w:u w:val="single"/>
    </w:rPr>
  </w:style>
  <w:style w:type="character" w:customStyle="1" w:styleId="ListParagraphChar">
    <w:name w:val="List Paragraph Char"/>
    <w:aliases w:val="Odstavec_muj Char,Nad Char"/>
    <w:link w:val="ListParagraph"/>
    <w:uiPriority w:val="34"/>
    <w:rsid w:val="0083768D"/>
    <w:rPr>
      <w:rFonts w:ascii="Arial" w:hAnsi="Arial"/>
    </w:rPr>
  </w:style>
  <w:style w:type="character" w:styleId="Emphasis">
    <w:name w:val="Emphasis"/>
    <w:basedOn w:val="DefaultParagraphFont"/>
    <w:uiPriority w:val="20"/>
    <w:qFormat/>
    <w:rsid w:val="00011775"/>
    <w:rPr>
      <w:i/>
      <w:iCs/>
    </w:rPr>
  </w:style>
  <w:style w:type="paragraph" w:styleId="Header">
    <w:name w:val="header"/>
    <w:basedOn w:val="Normal"/>
    <w:link w:val="HeaderChar"/>
    <w:uiPriority w:val="99"/>
    <w:unhideWhenUsed/>
    <w:rsid w:val="0035720F"/>
    <w:pPr>
      <w:tabs>
        <w:tab w:val="center" w:pos="4320"/>
        <w:tab w:val="right" w:pos="8640"/>
      </w:tabs>
      <w:spacing w:line="240" w:lineRule="auto"/>
    </w:pPr>
  </w:style>
  <w:style w:type="character" w:customStyle="1" w:styleId="HeaderChar">
    <w:name w:val="Header Char"/>
    <w:basedOn w:val="DefaultParagraphFont"/>
    <w:link w:val="Header"/>
    <w:uiPriority w:val="99"/>
    <w:rsid w:val="0035720F"/>
    <w:rPr>
      <w:rFonts w:ascii="Arial" w:hAnsi="Aria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ext"/>
    <w:qFormat/>
    <w:rsid w:val="00B861F4"/>
    <w:pPr>
      <w:spacing w:line="360" w:lineRule="auto"/>
      <w:jc w:val="both"/>
    </w:pPr>
    <w:rPr>
      <w:rFonts w:ascii="Arial" w:hAnsi="Arial"/>
    </w:rPr>
  </w:style>
  <w:style w:type="paragraph" w:styleId="Heading1">
    <w:name w:val="heading 1"/>
    <w:basedOn w:val="Normal"/>
    <w:next w:val="Normal"/>
    <w:link w:val="Heading1Char"/>
    <w:uiPriority w:val="9"/>
    <w:qFormat/>
    <w:rsid w:val="002D13BF"/>
    <w:pPr>
      <w:keepNext/>
      <w:keepLines/>
      <w:spacing w:before="480"/>
      <w:outlineLvl w:val="0"/>
    </w:pPr>
    <w:rPr>
      <w:rFonts w:eastAsiaTheme="majorEastAsia" w:cstheme="majorBidi"/>
      <w:b/>
      <w:bCs/>
      <w:sz w:val="32"/>
      <w:szCs w:val="32"/>
      <w:lang w:val="cs-CZ"/>
    </w:rPr>
  </w:style>
  <w:style w:type="paragraph" w:styleId="Heading2">
    <w:name w:val="heading 2"/>
    <w:basedOn w:val="Normal"/>
    <w:next w:val="Normal"/>
    <w:link w:val="Heading2Char"/>
    <w:uiPriority w:val="9"/>
    <w:unhideWhenUsed/>
    <w:qFormat/>
    <w:rsid w:val="00AB3FCE"/>
    <w:pPr>
      <w:keepNext/>
      <w:keepLines/>
      <w:spacing w:before="200"/>
      <w:outlineLvl w:val="1"/>
    </w:pPr>
    <w:rPr>
      <w:rFonts w:eastAsiaTheme="majorEastAsia"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49F0"/>
    <w:pPr>
      <w:spacing w:before="100" w:beforeAutospacing="1" w:after="100" w:afterAutospacing="1"/>
    </w:pPr>
    <w:rPr>
      <w:rFonts w:ascii="Times New Roman" w:hAnsi="Times New Roman" w:cs="Times New Roman"/>
      <w:sz w:val="20"/>
      <w:szCs w:val="20"/>
    </w:rPr>
  </w:style>
  <w:style w:type="character" w:customStyle="1" w:styleId="Heading1Char">
    <w:name w:val="Heading 1 Char"/>
    <w:basedOn w:val="DefaultParagraphFont"/>
    <w:link w:val="Heading1"/>
    <w:uiPriority w:val="9"/>
    <w:rsid w:val="002D13BF"/>
    <w:rPr>
      <w:rFonts w:ascii="Arial" w:eastAsiaTheme="majorEastAsia" w:hAnsi="Arial" w:cstheme="majorBidi"/>
      <w:b/>
      <w:bCs/>
      <w:sz w:val="32"/>
      <w:szCs w:val="32"/>
      <w:lang w:val="cs-CZ"/>
    </w:rPr>
  </w:style>
  <w:style w:type="character" w:customStyle="1" w:styleId="Heading2Char">
    <w:name w:val="Heading 2 Char"/>
    <w:basedOn w:val="DefaultParagraphFont"/>
    <w:link w:val="Heading2"/>
    <w:uiPriority w:val="9"/>
    <w:rsid w:val="00210091"/>
    <w:rPr>
      <w:rFonts w:ascii="Arial" w:eastAsiaTheme="majorEastAsia" w:hAnsi="Arial" w:cstheme="majorBidi"/>
      <w:b/>
      <w:bCs/>
      <w:sz w:val="28"/>
      <w:szCs w:val="26"/>
    </w:rPr>
  </w:style>
  <w:style w:type="paragraph" w:styleId="Subtitle">
    <w:name w:val="Subtitle"/>
    <w:aliases w:val="heading 3"/>
    <w:basedOn w:val="Normal"/>
    <w:next w:val="Normal"/>
    <w:link w:val="SubtitleChar"/>
    <w:uiPriority w:val="11"/>
    <w:qFormat/>
    <w:rsid w:val="00210091"/>
    <w:rPr>
      <w:rFonts w:eastAsiaTheme="majorEastAsia" w:cstheme="majorBidi"/>
      <w:b/>
      <w:iCs/>
      <w:spacing w:val="15"/>
    </w:rPr>
  </w:style>
  <w:style w:type="character" w:customStyle="1" w:styleId="SubtitleChar">
    <w:name w:val="Subtitle Char"/>
    <w:aliases w:val="heading 3 Char"/>
    <w:basedOn w:val="DefaultParagraphFont"/>
    <w:link w:val="Subtitle"/>
    <w:uiPriority w:val="11"/>
    <w:rsid w:val="00210091"/>
    <w:rPr>
      <w:rFonts w:ascii="Arial" w:eastAsiaTheme="majorEastAsia" w:hAnsi="Arial" w:cstheme="majorBidi"/>
      <w:b/>
      <w:iCs/>
      <w:spacing w:val="15"/>
    </w:rPr>
  </w:style>
  <w:style w:type="paragraph" w:styleId="NoSpacing">
    <w:name w:val="No Spacing"/>
    <w:aliases w:val="pod čarou"/>
    <w:uiPriority w:val="1"/>
    <w:qFormat/>
    <w:rsid w:val="00FD714F"/>
    <w:rPr>
      <w:rFonts w:ascii="Arial" w:hAnsi="Arial"/>
      <w:sz w:val="20"/>
      <w:lang w:val="cs-CZ"/>
    </w:rPr>
  </w:style>
  <w:style w:type="paragraph" w:styleId="Title">
    <w:name w:val="Title"/>
    <w:aliases w:val="Nadpis bez čísel"/>
    <w:basedOn w:val="Normal"/>
    <w:next w:val="Normal"/>
    <w:link w:val="TitleChar"/>
    <w:uiPriority w:val="10"/>
    <w:qFormat/>
    <w:rsid w:val="00210091"/>
    <w:pPr>
      <w:widowControl w:val="0"/>
      <w:spacing w:after="300"/>
      <w:contextualSpacing/>
    </w:pPr>
    <w:rPr>
      <w:rFonts w:eastAsiaTheme="majorEastAsia" w:cstheme="majorBidi"/>
      <w:b/>
      <w:spacing w:val="5"/>
      <w:kern w:val="28"/>
      <w:sz w:val="32"/>
      <w:szCs w:val="52"/>
    </w:rPr>
  </w:style>
  <w:style w:type="character" w:customStyle="1" w:styleId="TitleChar">
    <w:name w:val="Title Char"/>
    <w:aliases w:val="Nadpis bez čísel Char"/>
    <w:basedOn w:val="DefaultParagraphFont"/>
    <w:link w:val="Title"/>
    <w:uiPriority w:val="10"/>
    <w:rsid w:val="00210091"/>
    <w:rPr>
      <w:rFonts w:ascii="Arial" w:eastAsiaTheme="majorEastAsia" w:hAnsi="Arial" w:cstheme="majorBidi"/>
      <w:b/>
      <w:spacing w:val="5"/>
      <w:kern w:val="28"/>
      <w:sz w:val="32"/>
      <w:szCs w:val="52"/>
    </w:rPr>
  </w:style>
  <w:style w:type="paragraph" w:styleId="FootnoteText">
    <w:name w:val="footnote text"/>
    <w:basedOn w:val="Normal"/>
    <w:link w:val="FootnoteTextChar"/>
    <w:uiPriority w:val="99"/>
    <w:unhideWhenUsed/>
    <w:rsid w:val="008D7234"/>
    <w:pPr>
      <w:spacing w:line="240" w:lineRule="auto"/>
    </w:pPr>
  </w:style>
  <w:style w:type="character" w:customStyle="1" w:styleId="FootnoteTextChar">
    <w:name w:val="Footnote Text Char"/>
    <w:basedOn w:val="DefaultParagraphFont"/>
    <w:link w:val="FootnoteText"/>
    <w:uiPriority w:val="99"/>
    <w:rsid w:val="008D7234"/>
    <w:rPr>
      <w:rFonts w:ascii="Arial" w:hAnsi="Arial"/>
    </w:rPr>
  </w:style>
  <w:style w:type="character" w:styleId="FootnoteReference">
    <w:name w:val="footnote reference"/>
    <w:basedOn w:val="DefaultParagraphFont"/>
    <w:uiPriority w:val="99"/>
    <w:unhideWhenUsed/>
    <w:rsid w:val="008D7234"/>
    <w:rPr>
      <w:vertAlign w:val="superscript"/>
    </w:rPr>
  </w:style>
  <w:style w:type="paragraph" w:styleId="EndnoteText">
    <w:name w:val="endnote text"/>
    <w:basedOn w:val="Normal"/>
    <w:link w:val="EndnoteTextChar"/>
    <w:uiPriority w:val="99"/>
    <w:unhideWhenUsed/>
    <w:rsid w:val="00AE3332"/>
    <w:pPr>
      <w:spacing w:line="240" w:lineRule="auto"/>
    </w:pPr>
  </w:style>
  <w:style w:type="character" w:customStyle="1" w:styleId="EndnoteTextChar">
    <w:name w:val="Endnote Text Char"/>
    <w:basedOn w:val="DefaultParagraphFont"/>
    <w:link w:val="EndnoteText"/>
    <w:uiPriority w:val="99"/>
    <w:rsid w:val="00AE3332"/>
    <w:rPr>
      <w:rFonts w:ascii="Arial" w:hAnsi="Arial"/>
    </w:rPr>
  </w:style>
  <w:style w:type="character" w:styleId="EndnoteReference">
    <w:name w:val="endnote reference"/>
    <w:basedOn w:val="DefaultParagraphFont"/>
    <w:uiPriority w:val="99"/>
    <w:unhideWhenUsed/>
    <w:rsid w:val="00AE3332"/>
    <w:rPr>
      <w:vertAlign w:val="superscript"/>
    </w:rPr>
  </w:style>
  <w:style w:type="paragraph" w:styleId="ListParagraph">
    <w:name w:val="List Paragraph"/>
    <w:aliases w:val="Odstavec_muj,Nad"/>
    <w:basedOn w:val="Normal"/>
    <w:link w:val="ListParagraphChar"/>
    <w:uiPriority w:val="34"/>
    <w:qFormat/>
    <w:rsid w:val="008F49E0"/>
    <w:pPr>
      <w:ind w:left="720"/>
      <w:contextualSpacing/>
    </w:pPr>
  </w:style>
  <w:style w:type="numbering" w:customStyle="1" w:styleId="Style1">
    <w:name w:val="Style1"/>
    <w:uiPriority w:val="99"/>
    <w:rsid w:val="008F49E0"/>
    <w:pPr>
      <w:numPr>
        <w:numId w:val="3"/>
      </w:numPr>
    </w:pPr>
  </w:style>
  <w:style w:type="numbering" w:customStyle="1" w:styleId="Style2">
    <w:name w:val="Style2"/>
    <w:uiPriority w:val="99"/>
    <w:rsid w:val="008F49E0"/>
    <w:pPr>
      <w:numPr>
        <w:numId w:val="4"/>
      </w:numPr>
    </w:pPr>
  </w:style>
  <w:style w:type="character" w:styleId="CommentReference">
    <w:name w:val="annotation reference"/>
    <w:basedOn w:val="DefaultParagraphFont"/>
    <w:uiPriority w:val="99"/>
    <w:semiHidden/>
    <w:unhideWhenUsed/>
    <w:rsid w:val="003F7058"/>
    <w:rPr>
      <w:sz w:val="18"/>
      <w:szCs w:val="18"/>
    </w:rPr>
  </w:style>
  <w:style w:type="paragraph" w:styleId="CommentText">
    <w:name w:val="annotation text"/>
    <w:basedOn w:val="Normal"/>
    <w:link w:val="CommentTextChar"/>
    <w:uiPriority w:val="99"/>
    <w:unhideWhenUsed/>
    <w:rsid w:val="003F7058"/>
    <w:pPr>
      <w:spacing w:line="240" w:lineRule="auto"/>
    </w:pPr>
  </w:style>
  <w:style w:type="character" w:customStyle="1" w:styleId="CommentTextChar">
    <w:name w:val="Comment Text Char"/>
    <w:basedOn w:val="DefaultParagraphFont"/>
    <w:link w:val="CommentText"/>
    <w:uiPriority w:val="99"/>
    <w:rsid w:val="003F7058"/>
    <w:rPr>
      <w:rFonts w:ascii="Arial" w:hAnsi="Arial"/>
    </w:rPr>
  </w:style>
  <w:style w:type="paragraph" w:styleId="CommentSubject">
    <w:name w:val="annotation subject"/>
    <w:basedOn w:val="CommentText"/>
    <w:next w:val="CommentText"/>
    <w:link w:val="CommentSubjectChar"/>
    <w:uiPriority w:val="99"/>
    <w:semiHidden/>
    <w:unhideWhenUsed/>
    <w:rsid w:val="003F7058"/>
    <w:rPr>
      <w:b/>
      <w:bCs/>
      <w:sz w:val="20"/>
      <w:szCs w:val="20"/>
    </w:rPr>
  </w:style>
  <w:style w:type="character" w:customStyle="1" w:styleId="CommentSubjectChar">
    <w:name w:val="Comment Subject Char"/>
    <w:basedOn w:val="CommentTextChar"/>
    <w:link w:val="CommentSubject"/>
    <w:uiPriority w:val="99"/>
    <w:semiHidden/>
    <w:rsid w:val="003F7058"/>
    <w:rPr>
      <w:rFonts w:ascii="Arial" w:hAnsi="Arial"/>
      <w:b/>
      <w:bCs/>
      <w:sz w:val="20"/>
      <w:szCs w:val="20"/>
    </w:rPr>
  </w:style>
  <w:style w:type="paragraph" w:styleId="BalloonText">
    <w:name w:val="Balloon Text"/>
    <w:basedOn w:val="Normal"/>
    <w:link w:val="BalloonTextChar"/>
    <w:uiPriority w:val="99"/>
    <w:semiHidden/>
    <w:unhideWhenUsed/>
    <w:rsid w:val="003F7058"/>
    <w:pPr>
      <w:spacing w:line="240" w:lineRule="auto"/>
    </w:pPr>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rsid w:val="003F7058"/>
    <w:rPr>
      <w:rFonts w:ascii="Lucida Grande CE" w:hAnsi="Lucida Grande CE" w:cs="Lucida Grande CE"/>
      <w:sz w:val="18"/>
      <w:szCs w:val="18"/>
    </w:rPr>
  </w:style>
  <w:style w:type="paragraph" w:styleId="TOCHeading">
    <w:name w:val="TOC Heading"/>
    <w:basedOn w:val="Heading1"/>
    <w:next w:val="Normal"/>
    <w:uiPriority w:val="39"/>
    <w:unhideWhenUsed/>
    <w:qFormat/>
    <w:rsid w:val="00A16699"/>
    <w:pPr>
      <w:spacing w:line="276" w:lineRule="auto"/>
      <w:jc w:val="left"/>
      <w:outlineLvl w:val="9"/>
    </w:pPr>
    <w:rPr>
      <w:rFonts w:asciiTheme="majorHAnsi" w:hAnsiTheme="majorHAnsi"/>
      <w:color w:val="365F91" w:themeColor="accent1" w:themeShade="BF"/>
      <w:sz w:val="28"/>
      <w:szCs w:val="28"/>
      <w:lang w:val="en-US"/>
    </w:rPr>
  </w:style>
  <w:style w:type="paragraph" w:styleId="TOC1">
    <w:name w:val="toc 1"/>
    <w:basedOn w:val="Normal"/>
    <w:next w:val="Normal"/>
    <w:autoRedefine/>
    <w:uiPriority w:val="39"/>
    <w:unhideWhenUsed/>
    <w:rsid w:val="004C3EBE"/>
    <w:pPr>
      <w:numPr>
        <w:numId w:val="10"/>
      </w:numPr>
      <w:tabs>
        <w:tab w:val="left" w:pos="422"/>
        <w:tab w:val="right" w:leader="dot" w:pos="9055"/>
      </w:tabs>
      <w:spacing w:before="240" w:after="120"/>
      <w:ind w:left="357" w:hanging="357"/>
      <w:jc w:val="left"/>
    </w:pPr>
    <w:rPr>
      <w:bCs/>
      <w:noProof/>
      <w:lang w:val="cs-CZ"/>
    </w:rPr>
  </w:style>
  <w:style w:type="paragraph" w:styleId="TOC2">
    <w:name w:val="toc 2"/>
    <w:basedOn w:val="Normal"/>
    <w:next w:val="Normal"/>
    <w:autoRedefine/>
    <w:uiPriority w:val="39"/>
    <w:unhideWhenUsed/>
    <w:rsid w:val="00A16699"/>
    <w:pPr>
      <w:jc w:val="left"/>
    </w:pPr>
    <w:rPr>
      <w:rFonts w:asciiTheme="minorHAnsi" w:hAnsiTheme="minorHAnsi"/>
      <w:b/>
      <w:smallCaps/>
      <w:sz w:val="22"/>
      <w:szCs w:val="22"/>
    </w:rPr>
  </w:style>
  <w:style w:type="paragraph" w:styleId="TOC3">
    <w:name w:val="toc 3"/>
    <w:basedOn w:val="Normal"/>
    <w:next w:val="Normal"/>
    <w:autoRedefine/>
    <w:uiPriority w:val="39"/>
    <w:semiHidden/>
    <w:unhideWhenUsed/>
    <w:rsid w:val="00A16699"/>
    <w:pPr>
      <w:jc w:val="left"/>
    </w:pPr>
    <w:rPr>
      <w:rFonts w:asciiTheme="minorHAnsi" w:hAnsiTheme="minorHAnsi"/>
      <w:smallCaps/>
      <w:sz w:val="22"/>
      <w:szCs w:val="22"/>
    </w:rPr>
  </w:style>
  <w:style w:type="paragraph" w:styleId="TOC4">
    <w:name w:val="toc 4"/>
    <w:basedOn w:val="Normal"/>
    <w:next w:val="Normal"/>
    <w:autoRedefine/>
    <w:uiPriority w:val="39"/>
    <w:semiHidden/>
    <w:unhideWhenUsed/>
    <w:rsid w:val="00A16699"/>
    <w:pPr>
      <w:jc w:val="left"/>
    </w:pPr>
    <w:rPr>
      <w:rFonts w:asciiTheme="minorHAnsi" w:hAnsiTheme="minorHAnsi"/>
      <w:sz w:val="22"/>
      <w:szCs w:val="22"/>
    </w:rPr>
  </w:style>
  <w:style w:type="paragraph" w:styleId="TOC5">
    <w:name w:val="toc 5"/>
    <w:basedOn w:val="Normal"/>
    <w:next w:val="Normal"/>
    <w:autoRedefine/>
    <w:uiPriority w:val="39"/>
    <w:semiHidden/>
    <w:unhideWhenUsed/>
    <w:rsid w:val="00A16699"/>
    <w:pPr>
      <w:jc w:val="left"/>
    </w:pPr>
    <w:rPr>
      <w:rFonts w:asciiTheme="minorHAnsi" w:hAnsiTheme="minorHAnsi"/>
      <w:sz w:val="22"/>
      <w:szCs w:val="22"/>
    </w:rPr>
  </w:style>
  <w:style w:type="paragraph" w:styleId="TOC6">
    <w:name w:val="toc 6"/>
    <w:basedOn w:val="Normal"/>
    <w:next w:val="Normal"/>
    <w:autoRedefine/>
    <w:uiPriority w:val="39"/>
    <w:semiHidden/>
    <w:unhideWhenUsed/>
    <w:rsid w:val="00A16699"/>
    <w:pPr>
      <w:jc w:val="left"/>
    </w:pPr>
    <w:rPr>
      <w:rFonts w:asciiTheme="minorHAnsi" w:hAnsiTheme="minorHAnsi"/>
      <w:sz w:val="22"/>
      <w:szCs w:val="22"/>
    </w:rPr>
  </w:style>
  <w:style w:type="paragraph" w:styleId="TOC7">
    <w:name w:val="toc 7"/>
    <w:basedOn w:val="Normal"/>
    <w:next w:val="Normal"/>
    <w:autoRedefine/>
    <w:uiPriority w:val="39"/>
    <w:semiHidden/>
    <w:unhideWhenUsed/>
    <w:rsid w:val="00A16699"/>
    <w:pPr>
      <w:jc w:val="left"/>
    </w:pPr>
    <w:rPr>
      <w:rFonts w:asciiTheme="minorHAnsi" w:hAnsiTheme="minorHAnsi"/>
      <w:sz w:val="22"/>
      <w:szCs w:val="22"/>
    </w:rPr>
  </w:style>
  <w:style w:type="paragraph" w:styleId="TOC8">
    <w:name w:val="toc 8"/>
    <w:basedOn w:val="Normal"/>
    <w:next w:val="Normal"/>
    <w:autoRedefine/>
    <w:uiPriority w:val="39"/>
    <w:semiHidden/>
    <w:unhideWhenUsed/>
    <w:rsid w:val="00A16699"/>
    <w:pPr>
      <w:jc w:val="left"/>
    </w:pPr>
    <w:rPr>
      <w:rFonts w:asciiTheme="minorHAnsi" w:hAnsiTheme="minorHAnsi"/>
      <w:sz w:val="22"/>
      <w:szCs w:val="22"/>
    </w:rPr>
  </w:style>
  <w:style w:type="paragraph" w:styleId="TOC9">
    <w:name w:val="toc 9"/>
    <w:basedOn w:val="Normal"/>
    <w:next w:val="Normal"/>
    <w:autoRedefine/>
    <w:uiPriority w:val="39"/>
    <w:semiHidden/>
    <w:unhideWhenUsed/>
    <w:rsid w:val="00A16699"/>
    <w:pPr>
      <w:jc w:val="left"/>
    </w:pPr>
    <w:rPr>
      <w:rFonts w:asciiTheme="minorHAnsi" w:hAnsiTheme="minorHAnsi"/>
      <w:sz w:val="22"/>
      <w:szCs w:val="22"/>
    </w:rPr>
  </w:style>
  <w:style w:type="paragraph" w:styleId="Footer">
    <w:name w:val="footer"/>
    <w:basedOn w:val="Normal"/>
    <w:link w:val="FooterChar"/>
    <w:uiPriority w:val="99"/>
    <w:unhideWhenUsed/>
    <w:rsid w:val="0097674E"/>
    <w:pPr>
      <w:tabs>
        <w:tab w:val="center" w:pos="4320"/>
        <w:tab w:val="right" w:pos="8640"/>
      </w:tabs>
      <w:spacing w:line="240" w:lineRule="auto"/>
    </w:pPr>
  </w:style>
  <w:style w:type="character" w:customStyle="1" w:styleId="FooterChar">
    <w:name w:val="Footer Char"/>
    <w:basedOn w:val="DefaultParagraphFont"/>
    <w:link w:val="Footer"/>
    <w:uiPriority w:val="99"/>
    <w:rsid w:val="0097674E"/>
    <w:rPr>
      <w:rFonts w:ascii="Arial" w:hAnsi="Arial"/>
    </w:rPr>
  </w:style>
  <w:style w:type="character" w:styleId="PageNumber">
    <w:name w:val="page number"/>
    <w:basedOn w:val="DefaultParagraphFont"/>
    <w:uiPriority w:val="99"/>
    <w:semiHidden/>
    <w:unhideWhenUsed/>
    <w:rsid w:val="0097674E"/>
  </w:style>
  <w:style w:type="character" w:styleId="Hyperlink">
    <w:name w:val="Hyperlink"/>
    <w:basedOn w:val="DefaultParagraphFont"/>
    <w:uiPriority w:val="99"/>
    <w:unhideWhenUsed/>
    <w:rsid w:val="00471DA7"/>
    <w:rPr>
      <w:color w:val="0000FF" w:themeColor="hyperlink"/>
      <w:u w:val="single"/>
    </w:rPr>
  </w:style>
  <w:style w:type="character" w:styleId="FollowedHyperlink">
    <w:name w:val="FollowedHyperlink"/>
    <w:basedOn w:val="DefaultParagraphFont"/>
    <w:uiPriority w:val="99"/>
    <w:semiHidden/>
    <w:unhideWhenUsed/>
    <w:rsid w:val="002E5BFD"/>
    <w:rPr>
      <w:color w:val="800080" w:themeColor="followedHyperlink"/>
      <w:u w:val="single"/>
    </w:rPr>
  </w:style>
  <w:style w:type="character" w:customStyle="1" w:styleId="ListParagraphChar">
    <w:name w:val="List Paragraph Char"/>
    <w:aliases w:val="Odstavec_muj Char,Nad Char"/>
    <w:link w:val="ListParagraph"/>
    <w:uiPriority w:val="34"/>
    <w:rsid w:val="0083768D"/>
    <w:rPr>
      <w:rFonts w:ascii="Arial" w:hAnsi="Arial"/>
    </w:rPr>
  </w:style>
  <w:style w:type="character" w:styleId="Emphasis">
    <w:name w:val="Emphasis"/>
    <w:basedOn w:val="DefaultParagraphFont"/>
    <w:uiPriority w:val="20"/>
    <w:qFormat/>
    <w:rsid w:val="00011775"/>
    <w:rPr>
      <w:i/>
      <w:iCs/>
    </w:rPr>
  </w:style>
  <w:style w:type="paragraph" w:styleId="Header">
    <w:name w:val="header"/>
    <w:basedOn w:val="Normal"/>
    <w:link w:val="HeaderChar"/>
    <w:uiPriority w:val="99"/>
    <w:unhideWhenUsed/>
    <w:rsid w:val="0035720F"/>
    <w:pPr>
      <w:tabs>
        <w:tab w:val="center" w:pos="4320"/>
        <w:tab w:val="right" w:pos="8640"/>
      </w:tabs>
      <w:spacing w:line="240" w:lineRule="auto"/>
    </w:pPr>
  </w:style>
  <w:style w:type="character" w:customStyle="1" w:styleId="HeaderChar">
    <w:name w:val="Header Char"/>
    <w:basedOn w:val="DefaultParagraphFont"/>
    <w:link w:val="Header"/>
    <w:uiPriority w:val="99"/>
    <w:rsid w:val="0035720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366">
      <w:bodyDiv w:val="1"/>
      <w:marLeft w:val="0"/>
      <w:marRight w:val="0"/>
      <w:marTop w:val="0"/>
      <w:marBottom w:val="0"/>
      <w:divBdr>
        <w:top w:val="none" w:sz="0" w:space="0" w:color="auto"/>
        <w:left w:val="none" w:sz="0" w:space="0" w:color="auto"/>
        <w:bottom w:val="none" w:sz="0" w:space="0" w:color="auto"/>
        <w:right w:val="none" w:sz="0" w:space="0" w:color="auto"/>
      </w:divBdr>
      <w:divsChild>
        <w:div w:id="2143956645">
          <w:marLeft w:val="0"/>
          <w:marRight w:val="0"/>
          <w:marTop w:val="0"/>
          <w:marBottom w:val="0"/>
          <w:divBdr>
            <w:top w:val="none" w:sz="0" w:space="0" w:color="auto"/>
            <w:left w:val="none" w:sz="0" w:space="0" w:color="auto"/>
            <w:bottom w:val="none" w:sz="0" w:space="0" w:color="auto"/>
            <w:right w:val="none" w:sz="0" w:space="0" w:color="auto"/>
          </w:divBdr>
          <w:divsChild>
            <w:div w:id="1933313671">
              <w:marLeft w:val="0"/>
              <w:marRight w:val="0"/>
              <w:marTop w:val="0"/>
              <w:marBottom w:val="0"/>
              <w:divBdr>
                <w:top w:val="none" w:sz="0" w:space="0" w:color="auto"/>
                <w:left w:val="none" w:sz="0" w:space="0" w:color="auto"/>
                <w:bottom w:val="none" w:sz="0" w:space="0" w:color="auto"/>
                <w:right w:val="none" w:sz="0" w:space="0" w:color="auto"/>
              </w:divBdr>
              <w:divsChild>
                <w:div w:id="208938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3690">
      <w:bodyDiv w:val="1"/>
      <w:marLeft w:val="0"/>
      <w:marRight w:val="0"/>
      <w:marTop w:val="0"/>
      <w:marBottom w:val="0"/>
      <w:divBdr>
        <w:top w:val="none" w:sz="0" w:space="0" w:color="auto"/>
        <w:left w:val="none" w:sz="0" w:space="0" w:color="auto"/>
        <w:bottom w:val="none" w:sz="0" w:space="0" w:color="auto"/>
        <w:right w:val="none" w:sz="0" w:space="0" w:color="auto"/>
      </w:divBdr>
      <w:divsChild>
        <w:div w:id="1801263479">
          <w:marLeft w:val="0"/>
          <w:marRight w:val="0"/>
          <w:marTop w:val="0"/>
          <w:marBottom w:val="0"/>
          <w:divBdr>
            <w:top w:val="none" w:sz="0" w:space="0" w:color="auto"/>
            <w:left w:val="none" w:sz="0" w:space="0" w:color="auto"/>
            <w:bottom w:val="none" w:sz="0" w:space="0" w:color="auto"/>
            <w:right w:val="none" w:sz="0" w:space="0" w:color="auto"/>
          </w:divBdr>
          <w:divsChild>
            <w:div w:id="965283166">
              <w:marLeft w:val="0"/>
              <w:marRight w:val="0"/>
              <w:marTop w:val="0"/>
              <w:marBottom w:val="0"/>
              <w:divBdr>
                <w:top w:val="none" w:sz="0" w:space="0" w:color="auto"/>
                <w:left w:val="none" w:sz="0" w:space="0" w:color="auto"/>
                <w:bottom w:val="none" w:sz="0" w:space="0" w:color="auto"/>
                <w:right w:val="none" w:sz="0" w:space="0" w:color="auto"/>
              </w:divBdr>
              <w:divsChild>
                <w:div w:id="87145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4292">
      <w:bodyDiv w:val="1"/>
      <w:marLeft w:val="0"/>
      <w:marRight w:val="0"/>
      <w:marTop w:val="0"/>
      <w:marBottom w:val="0"/>
      <w:divBdr>
        <w:top w:val="none" w:sz="0" w:space="0" w:color="auto"/>
        <w:left w:val="none" w:sz="0" w:space="0" w:color="auto"/>
        <w:bottom w:val="none" w:sz="0" w:space="0" w:color="auto"/>
        <w:right w:val="none" w:sz="0" w:space="0" w:color="auto"/>
      </w:divBdr>
    </w:div>
    <w:div w:id="14887538">
      <w:bodyDiv w:val="1"/>
      <w:marLeft w:val="0"/>
      <w:marRight w:val="0"/>
      <w:marTop w:val="0"/>
      <w:marBottom w:val="0"/>
      <w:divBdr>
        <w:top w:val="none" w:sz="0" w:space="0" w:color="auto"/>
        <w:left w:val="none" w:sz="0" w:space="0" w:color="auto"/>
        <w:bottom w:val="none" w:sz="0" w:space="0" w:color="auto"/>
        <w:right w:val="none" w:sz="0" w:space="0" w:color="auto"/>
      </w:divBdr>
      <w:divsChild>
        <w:div w:id="44910704">
          <w:marLeft w:val="0"/>
          <w:marRight w:val="0"/>
          <w:marTop w:val="0"/>
          <w:marBottom w:val="0"/>
          <w:divBdr>
            <w:top w:val="none" w:sz="0" w:space="0" w:color="auto"/>
            <w:left w:val="none" w:sz="0" w:space="0" w:color="auto"/>
            <w:bottom w:val="none" w:sz="0" w:space="0" w:color="auto"/>
            <w:right w:val="none" w:sz="0" w:space="0" w:color="auto"/>
          </w:divBdr>
          <w:divsChild>
            <w:div w:id="560753311">
              <w:marLeft w:val="0"/>
              <w:marRight w:val="0"/>
              <w:marTop w:val="0"/>
              <w:marBottom w:val="0"/>
              <w:divBdr>
                <w:top w:val="none" w:sz="0" w:space="0" w:color="auto"/>
                <w:left w:val="none" w:sz="0" w:space="0" w:color="auto"/>
                <w:bottom w:val="none" w:sz="0" w:space="0" w:color="auto"/>
                <w:right w:val="none" w:sz="0" w:space="0" w:color="auto"/>
              </w:divBdr>
              <w:divsChild>
                <w:div w:id="19063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53925">
      <w:bodyDiv w:val="1"/>
      <w:marLeft w:val="0"/>
      <w:marRight w:val="0"/>
      <w:marTop w:val="0"/>
      <w:marBottom w:val="0"/>
      <w:divBdr>
        <w:top w:val="none" w:sz="0" w:space="0" w:color="auto"/>
        <w:left w:val="none" w:sz="0" w:space="0" w:color="auto"/>
        <w:bottom w:val="none" w:sz="0" w:space="0" w:color="auto"/>
        <w:right w:val="none" w:sz="0" w:space="0" w:color="auto"/>
      </w:divBdr>
    </w:div>
    <w:div w:id="50857043">
      <w:bodyDiv w:val="1"/>
      <w:marLeft w:val="0"/>
      <w:marRight w:val="0"/>
      <w:marTop w:val="0"/>
      <w:marBottom w:val="0"/>
      <w:divBdr>
        <w:top w:val="none" w:sz="0" w:space="0" w:color="auto"/>
        <w:left w:val="none" w:sz="0" w:space="0" w:color="auto"/>
        <w:bottom w:val="none" w:sz="0" w:space="0" w:color="auto"/>
        <w:right w:val="none" w:sz="0" w:space="0" w:color="auto"/>
      </w:divBdr>
      <w:divsChild>
        <w:div w:id="1848859444">
          <w:marLeft w:val="0"/>
          <w:marRight w:val="0"/>
          <w:marTop w:val="0"/>
          <w:marBottom w:val="0"/>
          <w:divBdr>
            <w:top w:val="none" w:sz="0" w:space="0" w:color="auto"/>
            <w:left w:val="none" w:sz="0" w:space="0" w:color="auto"/>
            <w:bottom w:val="none" w:sz="0" w:space="0" w:color="auto"/>
            <w:right w:val="none" w:sz="0" w:space="0" w:color="auto"/>
          </w:divBdr>
          <w:divsChild>
            <w:div w:id="642539399">
              <w:marLeft w:val="0"/>
              <w:marRight w:val="0"/>
              <w:marTop w:val="0"/>
              <w:marBottom w:val="0"/>
              <w:divBdr>
                <w:top w:val="none" w:sz="0" w:space="0" w:color="auto"/>
                <w:left w:val="none" w:sz="0" w:space="0" w:color="auto"/>
                <w:bottom w:val="none" w:sz="0" w:space="0" w:color="auto"/>
                <w:right w:val="none" w:sz="0" w:space="0" w:color="auto"/>
              </w:divBdr>
              <w:divsChild>
                <w:div w:id="209643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4313">
      <w:bodyDiv w:val="1"/>
      <w:marLeft w:val="0"/>
      <w:marRight w:val="0"/>
      <w:marTop w:val="0"/>
      <w:marBottom w:val="0"/>
      <w:divBdr>
        <w:top w:val="none" w:sz="0" w:space="0" w:color="auto"/>
        <w:left w:val="none" w:sz="0" w:space="0" w:color="auto"/>
        <w:bottom w:val="none" w:sz="0" w:space="0" w:color="auto"/>
        <w:right w:val="none" w:sz="0" w:space="0" w:color="auto"/>
      </w:divBdr>
    </w:div>
    <w:div w:id="58329303">
      <w:bodyDiv w:val="1"/>
      <w:marLeft w:val="0"/>
      <w:marRight w:val="0"/>
      <w:marTop w:val="0"/>
      <w:marBottom w:val="0"/>
      <w:divBdr>
        <w:top w:val="none" w:sz="0" w:space="0" w:color="auto"/>
        <w:left w:val="none" w:sz="0" w:space="0" w:color="auto"/>
        <w:bottom w:val="none" w:sz="0" w:space="0" w:color="auto"/>
        <w:right w:val="none" w:sz="0" w:space="0" w:color="auto"/>
      </w:divBdr>
    </w:div>
    <w:div w:id="85657495">
      <w:bodyDiv w:val="1"/>
      <w:marLeft w:val="0"/>
      <w:marRight w:val="0"/>
      <w:marTop w:val="0"/>
      <w:marBottom w:val="0"/>
      <w:divBdr>
        <w:top w:val="none" w:sz="0" w:space="0" w:color="auto"/>
        <w:left w:val="none" w:sz="0" w:space="0" w:color="auto"/>
        <w:bottom w:val="none" w:sz="0" w:space="0" w:color="auto"/>
        <w:right w:val="none" w:sz="0" w:space="0" w:color="auto"/>
      </w:divBdr>
    </w:div>
    <w:div w:id="127667393">
      <w:bodyDiv w:val="1"/>
      <w:marLeft w:val="0"/>
      <w:marRight w:val="0"/>
      <w:marTop w:val="0"/>
      <w:marBottom w:val="0"/>
      <w:divBdr>
        <w:top w:val="none" w:sz="0" w:space="0" w:color="auto"/>
        <w:left w:val="none" w:sz="0" w:space="0" w:color="auto"/>
        <w:bottom w:val="none" w:sz="0" w:space="0" w:color="auto"/>
        <w:right w:val="none" w:sz="0" w:space="0" w:color="auto"/>
      </w:divBdr>
    </w:div>
    <w:div w:id="132600488">
      <w:bodyDiv w:val="1"/>
      <w:marLeft w:val="0"/>
      <w:marRight w:val="0"/>
      <w:marTop w:val="0"/>
      <w:marBottom w:val="0"/>
      <w:divBdr>
        <w:top w:val="none" w:sz="0" w:space="0" w:color="auto"/>
        <w:left w:val="none" w:sz="0" w:space="0" w:color="auto"/>
        <w:bottom w:val="none" w:sz="0" w:space="0" w:color="auto"/>
        <w:right w:val="none" w:sz="0" w:space="0" w:color="auto"/>
      </w:divBdr>
      <w:divsChild>
        <w:div w:id="235210519">
          <w:marLeft w:val="0"/>
          <w:marRight w:val="0"/>
          <w:marTop w:val="0"/>
          <w:marBottom w:val="0"/>
          <w:divBdr>
            <w:top w:val="none" w:sz="0" w:space="0" w:color="auto"/>
            <w:left w:val="none" w:sz="0" w:space="0" w:color="auto"/>
            <w:bottom w:val="none" w:sz="0" w:space="0" w:color="auto"/>
            <w:right w:val="none" w:sz="0" w:space="0" w:color="auto"/>
          </w:divBdr>
          <w:divsChild>
            <w:div w:id="1614283456">
              <w:marLeft w:val="0"/>
              <w:marRight w:val="0"/>
              <w:marTop w:val="0"/>
              <w:marBottom w:val="0"/>
              <w:divBdr>
                <w:top w:val="none" w:sz="0" w:space="0" w:color="auto"/>
                <w:left w:val="none" w:sz="0" w:space="0" w:color="auto"/>
                <w:bottom w:val="none" w:sz="0" w:space="0" w:color="auto"/>
                <w:right w:val="none" w:sz="0" w:space="0" w:color="auto"/>
              </w:divBdr>
              <w:divsChild>
                <w:div w:id="136166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56664">
      <w:bodyDiv w:val="1"/>
      <w:marLeft w:val="0"/>
      <w:marRight w:val="0"/>
      <w:marTop w:val="0"/>
      <w:marBottom w:val="0"/>
      <w:divBdr>
        <w:top w:val="none" w:sz="0" w:space="0" w:color="auto"/>
        <w:left w:val="none" w:sz="0" w:space="0" w:color="auto"/>
        <w:bottom w:val="none" w:sz="0" w:space="0" w:color="auto"/>
        <w:right w:val="none" w:sz="0" w:space="0" w:color="auto"/>
      </w:divBdr>
      <w:divsChild>
        <w:div w:id="1086145514">
          <w:marLeft w:val="0"/>
          <w:marRight w:val="0"/>
          <w:marTop w:val="0"/>
          <w:marBottom w:val="0"/>
          <w:divBdr>
            <w:top w:val="none" w:sz="0" w:space="0" w:color="auto"/>
            <w:left w:val="none" w:sz="0" w:space="0" w:color="auto"/>
            <w:bottom w:val="none" w:sz="0" w:space="0" w:color="auto"/>
            <w:right w:val="none" w:sz="0" w:space="0" w:color="auto"/>
          </w:divBdr>
          <w:divsChild>
            <w:div w:id="1882396108">
              <w:marLeft w:val="0"/>
              <w:marRight w:val="0"/>
              <w:marTop w:val="0"/>
              <w:marBottom w:val="0"/>
              <w:divBdr>
                <w:top w:val="none" w:sz="0" w:space="0" w:color="auto"/>
                <w:left w:val="none" w:sz="0" w:space="0" w:color="auto"/>
                <w:bottom w:val="none" w:sz="0" w:space="0" w:color="auto"/>
                <w:right w:val="none" w:sz="0" w:space="0" w:color="auto"/>
              </w:divBdr>
              <w:divsChild>
                <w:div w:id="410471726">
                  <w:marLeft w:val="0"/>
                  <w:marRight w:val="0"/>
                  <w:marTop w:val="0"/>
                  <w:marBottom w:val="0"/>
                  <w:divBdr>
                    <w:top w:val="none" w:sz="0" w:space="0" w:color="auto"/>
                    <w:left w:val="none" w:sz="0" w:space="0" w:color="auto"/>
                    <w:bottom w:val="none" w:sz="0" w:space="0" w:color="auto"/>
                    <w:right w:val="none" w:sz="0" w:space="0" w:color="auto"/>
                  </w:divBdr>
                  <w:divsChild>
                    <w:div w:id="136263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203061">
      <w:bodyDiv w:val="1"/>
      <w:marLeft w:val="0"/>
      <w:marRight w:val="0"/>
      <w:marTop w:val="0"/>
      <w:marBottom w:val="0"/>
      <w:divBdr>
        <w:top w:val="none" w:sz="0" w:space="0" w:color="auto"/>
        <w:left w:val="none" w:sz="0" w:space="0" w:color="auto"/>
        <w:bottom w:val="none" w:sz="0" w:space="0" w:color="auto"/>
        <w:right w:val="none" w:sz="0" w:space="0" w:color="auto"/>
      </w:divBdr>
    </w:div>
    <w:div w:id="220673561">
      <w:bodyDiv w:val="1"/>
      <w:marLeft w:val="0"/>
      <w:marRight w:val="0"/>
      <w:marTop w:val="0"/>
      <w:marBottom w:val="0"/>
      <w:divBdr>
        <w:top w:val="none" w:sz="0" w:space="0" w:color="auto"/>
        <w:left w:val="none" w:sz="0" w:space="0" w:color="auto"/>
        <w:bottom w:val="none" w:sz="0" w:space="0" w:color="auto"/>
        <w:right w:val="none" w:sz="0" w:space="0" w:color="auto"/>
      </w:divBdr>
    </w:div>
    <w:div w:id="233518337">
      <w:bodyDiv w:val="1"/>
      <w:marLeft w:val="0"/>
      <w:marRight w:val="0"/>
      <w:marTop w:val="0"/>
      <w:marBottom w:val="0"/>
      <w:divBdr>
        <w:top w:val="none" w:sz="0" w:space="0" w:color="auto"/>
        <w:left w:val="none" w:sz="0" w:space="0" w:color="auto"/>
        <w:bottom w:val="none" w:sz="0" w:space="0" w:color="auto"/>
        <w:right w:val="none" w:sz="0" w:space="0" w:color="auto"/>
      </w:divBdr>
    </w:div>
    <w:div w:id="238903707">
      <w:bodyDiv w:val="1"/>
      <w:marLeft w:val="0"/>
      <w:marRight w:val="0"/>
      <w:marTop w:val="0"/>
      <w:marBottom w:val="0"/>
      <w:divBdr>
        <w:top w:val="none" w:sz="0" w:space="0" w:color="auto"/>
        <w:left w:val="none" w:sz="0" w:space="0" w:color="auto"/>
        <w:bottom w:val="none" w:sz="0" w:space="0" w:color="auto"/>
        <w:right w:val="none" w:sz="0" w:space="0" w:color="auto"/>
      </w:divBdr>
      <w:divsChild>
        <w:div w:id="1840347055">
          <w:marLeft w:val="0"/>
          <w:marRight w:val="0"/>
          <w:marTop w:val="0"/>
          <w:marBottom w:val="0"/>
          <w:divBdr>
            <w:top w:val="none" w:sz="0" w:space="0" w:color="auto"/>
            <w:left w:val="none" w:sz="0" w:space="0" w:color="auto"/>
            <w:bottom w:val="none" w:sz="0" w:space="0" w:color="auto"/>
            <w:right w:val="none" w:sz="0" w:space="0" w:color="auto"/>
          </w:divBdr>
          <w:divsChild>
            <w:div w:id="578101310">
              <w:marLeft w:val="0"/>
              <w:marRight w:val="0"/>
              <w:marTop w:val="0"/>
              <w:marBottom w:val="0"/>
              <w:divBdr>
                <w:top w:val="none" w:sz="0" w:space="0" w:color="auto"/>
                <w:left w:val="none" w:sz="0" w:space="0" w:color="auto"/>
                <w:bottom w:val="none" w:sz="0" w:space="0" w:color="auto"/>
                <w:right w:val="none" w:sz="0" w:space="0" w:color="auto"/>
              </w:divBdr>
              <w:divsChild>
                <w:div w:id="145132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642020">
      <w:bodyDiv w:val="1"/>
      <w:marLeft w:val="0"/>
      <w:marRight w:val="0"/>
      <w:marTop w:val="0"/>
      <w:marBottom w:val="0"/>
      <w:divBdr>
        <w:top w:val="none" w:sz="0" w:space="0" w:color="auto"/>
        <w:left w:val="none" w:sz="0" w:space="0" w:color="auto"/>
        <w:bottom w:val="none" w:sz="0" w:space="0" w:color="auto"/>
        <w:right w:val="none" w:sz="0" w:space="0" w:color="auto"/>
      </w:divBdr>
      <w:divsChild>
        <w:div w:id="1208687625">
          <w:marLeft w:val="0"/>
          <w:marRight w:val="0"/>
          <w:marTop w:val="0"/>
          <w:marBottom w:val="0"/>
          <w:divBdr>
            <w:top w:val="none" w:sz="0" w:space="0" w:color="auto"/>
            <w:left w:val="none" w:sz="0" w:space="0" w:color="auto"/>
            <w:bottom w:val="none" w:sz="0" w:space="0" w:color="auto"/>
            <w:right w:val="none" w:sz="0" w:space="0" w:color="auto"/>
          </w:divBdr>
          <w:divsChild>
            <w:div w:id="1750076355">
              <w:marLeft w:val="0"/>
              <w:marRight w:val="0"/>
              <w:marTop w:val="0"/>
              <w:marBottom w:val="0"/>
              <w:divBdr>
                <w:top w:val="none" w:sz="0" w:space="0" w:color="auto"/>
                <w:left w:val="none" w:sz="0" w:space="0" w:color="auto"/>
                <w:bottom w:val="none" w:sz="0" w:space="0" w:color="auto"/>
                <w:right w:val="none" w:sz="0" w:space="0" w:color="auto"/>
              </w:divBdr>
              <w:divsChild>
                <w:div w:id="181039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06300">
      <w:bodyDiv w:val="1"/>
      <w:marLeft w:val="0"/>
      <w:marRight w:val="0"/>
      <w:marTop w:val="0"/>
      <w:marBottom w:val="0"/>
      <w:divBdr>
        <w:top w:val="none" w:sz="0" w:space="0" w:color="auto"/>
        <w:left w:val="none" w:sz="0" w:space="0" w:color="auto"/>
        <w:bottom w:val="none" w:sz="0" w:space="0" w:color="auto"/>
        <w:right w:val="none" w:sz="0" w:space="0" w:color="auto"/>
      </w:divBdr>
    </w:div>
    <w:div w:id="278031596">
      <w:bodyDiv w:val="1"/>
      <w:marLeft w:val="0"/>
      <w:marRight w:val="0"/>
      <w:marTop w:val="0"/>
      <w:marBottom w:val="0"/>
      <w:divBdr>
        <w:top w:val="none" w:sz="0" w:space="0" w:color="auto"/>
        <w:left w:val="none" w:sz="0" w:space="0" w:color="auto"/>
        <w:bottom w:val="none" w:sz="0" w:space="0" w:color="auto"/>
        <w:right w:val="none" w:sz="0" w:space="0" w:color="auto"/>
      </w:divBdr>
    </w:div>
    <w:div w:id="293413311">
      <w:bodyDiv w:val="1"/>
      <w:marLeft w:val="0"/>
      <w:marRight w:val="0"/>
      <w:marTop w:val="0"/>
      <w:marBottom w:val="0"/>
      <w:divBdr>
        <w:top w:val="none" w:sz="0" w:space="0" w:color="auto"/>
        <w:left w:val="none" w:sz="0" w:space="0" w:color="auto"/>
        <w:bottom w:val="none" w:sz="0" w:space="0" w:color="auto"/>
        <w:right w:val="none" w:sz="0" w:space="0" w:color="auto"/>
      </w:divBdr>
    </w:div>
    <w:div w:id="298733900">
      <w:bodyDiv w:val="1"/>
      <w:marLeft w:val="0"/>
      <w:marRight w:val="0"/>
      <w:marTop w:val="0"/>
      <w:marBottom w:val="0"/>
      <w:divBdr>
        <w:top w:val="none" w:sz="0" w:space="0" w:color="auto"/>
        <w:left w:val="none" w:sz="0" w:space="0" w:color="auto"/>
        <w:bottom w:val="none" w:sz="0" w:space="0" w:color="auto"/>
        <w:right w:val="none" w:sz="0" w:space="0" w:color="auto"/>
      </w:divBdr>
    </w:div>
    <w:div w:id="305283300">
      <w:bodyDiv w:val="1"/>
      <w:marLeft w:val="0"/>
      <w:marRight w:val="0"/>
      <w:marTop w:val="0"/>
      <w:marBottom w:val="0"/>
      <w:divBdr>
        <w:top w:val="none" w:sz="0" w:space="0" w:color="auto"/>
        <w:left w:val="none" w:sz="0" w:space="0" w:color="auto"/>
        <w:bottom w:val="none" w:sz="0" w:space="0" w:color="auto"/>
        <w:right w:val="none" w:sz="0" w:space="0" w:color="auto"/>
      </w:divBdr>
    </w:div>
    <w:div w:id="308094092">
      <w:bodyDiv w:val="1"/>
      <w:marLeft w:val="0"/>
      <w:marRight w:val="0"/>
      <w:marTop w:val="0"/>
      <w:marBottom w:val="0"/>
      <w:divBdr>
        <w:top w:val="none" w:sz="0" w:space="0" w:color="auto"/>
        <w:left w:val="none" w:sz="0" w:space="0" w:color="auto"/>
        <w:bottom w:val="none" w:sz="0" w:space="0" w:color="auto"/>
        <w:right w:val="none" w:sz="0" w:space="0" w:color="auto"/>
      </w:divBdr>
    </w:div>
    <w:div w:id="319580722">
      <w:bodyDiv w:val="1"/>
      <w:marLeft w:val="0"/>
      <w:marRight w:val="0"/>
      <w:marTop w:val="0"/>
      <w:marBottom w:val="0"/>
      <w:divBdr>
        <w:top w:val="none" w:sz="0" w:space="0" w:color="auto"/>
        <w:left w:val="none" w:sz="0" w:space="0" w:color="auto"/>
        <w:bottom w:val="none" w:sz="0" w:space="0" w:color="auto"/>
        <w:right w:val="none" w:sz="0" w:space="0" w:color="auto"/>
      </w:divBdr>
    </w:div>
    <w:div w:id="341859689">
      <w:bodyDiv w:val="1"/>
      <w:marLeft w:val="0"/>
      <w:marRight w:val="0"/>
      <w:marTop w:val="0"/>
      <w:marBottom w:val="0"/>
      <w:divBdr>
        <w:top w:val="none" w:sz="0" w:space="0" w:color="auto"/>
        <w:left w:val="none" w:sz="0" w:space="0" w:color="auto"/>
        <w:bottom w:val="none" w:sz="0" w:space="0" w:color="auto"/>
        <w:right w:val="none" w:sz="0" w:space="0" w:color="auto"/>
      </w:divBdr>
    </w:div>
    <w:div w:id="370493808">
      <w:bodyDiv w:val="1"/>
      <w:marLeft w:val="0"/>
      <w:marRight w:val="0"/>
      <w:marTop w:val="0"/>
      <w:marBottom w:val="0"/>
      <w:divBdr>
        <w:top w:val="none" w:sz="0" w:space="0" w:color="auto"/>
        <w:left w:val="none" w:sz="0" w:space="0" w:color="auto"/>
        <w:bottom w:val="none" w:sz="0" w:space="0" w:color="auto"/>
        <w:right w:val="none" w:sz="0" w:space="0" w:color="auto"/>
      </w:divBdr>
      <w:divsChild>
        <w:div w:id="1485505533">
          <w:marLeft w:val="0"/>
          <w:marRight w:val="0"/>
          <w:marTop w:val="0"/>
          <w:marBottom w:val="0"/>
          <w:divBdr>
            <w:top w:val="none" w:sz="0" w:space="0" w:color="auto"/>
            <w:left w:val="none" w:sz="0" w:space="0" w:color="auto"/>
            <w:bottom w:val="none" w:sz="0" w:space="0" w:color="auto"/>
            <w:right w:val="none" w:sz="0" w:space="0" w:color="auto"/>
          </w:divBdr>
          <w:divsChild>
            <w:div w:id="1504205532">
              <w:marLeft w:val="0"/>
              <w:marRight w:val="0"/>
              <w:marTop w:val="0"/>
              <w:marBottom w:val="0"/>
              <w:divBdr>
                <w:top w:val="none" w:sz="0" w:space="0" w:color="auto"/>
                <w:left w:val="none" w:sz="0" w:space="0" w:color="auto"/>
                <w:bottom w:val="none" w:sz="0" w:space="0" w:color="auto"/>
                <w:right w:val="none" w:sz="0" w:space="0" w:color="auto"/>
              </w:divBdr>
              <w:divsChild>
                <w:div w:id="212233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467881">
      <w:bodyDiv w:val="1"/>
      <w:marLeft w:val="0"/>
      <w:marRight w:val="0"/>
      <w:marTop w:val="0"/>
      <w:marBottom w:val="0"/>
      <w:divBdr>
        <w:top w:val="none" w:sz="0" w:space="0" w:color="auto"/>
        <w:left w:val="none" w:sz="0" w:space="0" w:color="auto"/>
        <w:bottom w:val="none" w:sz="0" w:space="0" w:color="auto"/>
        <w:right w:val="none" w:sz="0" w:space="0" w:color="auto"/>
      </w:divBdr>
    </w:div>
    <w:div w:id="392194029">
      <w:bodyDiv w:val="1"/>
      <w:marLeft w:val="0"/>
      <w:marRight w:val="0"/>
      <w:marTop w:val="0"/>
      <w:marBottom w:val="0"/>
      <w:divBdr>
        <w:top w:val="none" w:sz="0" w:space="0" w:color="auto"/>
        <w:left w:val="none" w:sz="0" w:space="0" w:color="auto"/>
        <w:bottom w:val="none" w:sz="0" w:space="0" w:color="auto"/>
        <w:right w:val="none" w:sz="0" w:space="0" w:color="auto"/>
      </w:divBdr>
      <w:divsChild>
        <w:div w:id="1463428152">
          <w:marLeft w:val="0"/>
          <w:marRight w:val="0"/>
          <w:marTop w:val="0"/>
          <w:marBottom w:val="0"/>
          <w:divBdr>
            <w:top w:val="none" w:sz="0" w:space="0" w:color="auto"/>
            <w:left w:val="none" w:sz="0" w:space="0" w:color="auto"/>
            <w:bottom w:val="none" w:sz="0" w:space="0" w:color="auto"/>
            <w:right w:val="none" w:sz="0" w:space="0" w:color="auto"/>
          </w:divBdr>
          <w:divsChild>
            <w:div w:id="332337315">
              <w:marLeft w:val="0"/>
              <w:marRight w:val="0"/>
              <w:marTop w:val="0"/>
              <w:marBottom w:val="0"/>
              <w:divBdr>
                <w:top w:val="none" w:sz="0" w:space="0" w:color="auto"/>
                <w:left w:val="none" w:sz="0" w:space="0" w:color="auto"/>
                <w:bottom w:val="none" w:sz="0" w:space="0" w:color="auto"/>
                <w:right w:val="none" w:sz="0" w:space="0" w:color="auto"/>
              </w:divBdr>
              <w:divsChild>
                <w:div w:id="139423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089089">
      <w:bodyDiv w:val="1"/>
      <w:marLeft w:val="0"/>
      <w:marRight w:val="0"/>
      <w:marTop w:val="0"/>
      <w:marBottom w:val="0"/>
      <w:divBdr>
        <w:top w:val="none" w:sz="0" w:space="0" w:color="auto"/>
        <w:left w:val="none" w:sz="0" w:space="0" w:color="auto"/>
        <w:bottom w:val="none" w:sz="0" w:space="0" w:color="auto"/>
        <w:right w:val="none" w:sz="0" w:space="0" w:color="auto"/>
      </w:divBdr>
    </w:div>
    <w:div w:id="397749372">
      <w:bodyDiv w:val="1"/>
      <w:marLeft w:val="0"/>
      <w:marRight w:val="0"/>
      <w:marTop w:val="0"/>
      <w:marBottom w:val="0"/>
      <w:divBdr>
        <w:top w:val="none" w:sz="0" w:space="0" w:color="auto"/>
        <w:left w:val="none" w:sz="0" w:space="0" w:color="auto"/>
        <w:bottom w:val="none" w:sz="0" w:space="0" w:color="auto"/>
        <w:right w:val="none" w:sz="0" w:space="0" w:color="auto"/>
      </w:divBdr>
    </w:div>
    <w:div w:id="415709417">
      <w:bodyDiv w:val="1"/>
      <w:marLeft w:val="0"/>
      <w:marRight w:val="0"/>
      <w:marTop w:val="0"/>
      <w:marBottom w:val="0"/>
      <w:divBdr>
        <w:top w:val="none" w:sz="0" w:space="0" w:color="auto"/>
        <w:left w:val="none" w:sz="0" w:space="0" w:color="auto"/>
        <w:bottom w:val="none" w:sz="0" w:space="0" w:color="auto"/>
        <w:right w:val="none" w:sz="0" w:space="0" w:color="auto"/>
      </w:divBdr>
      <w:divsChild>
        <w:div w:id="1820078651">
          <w:marLeft w:val="0"/>
          <w:marRight w:val="0"/>
          <w:marTop w:val="0"/>
          <w:marBottom w:val="0"/>
          <w:divBdr>
            <w:top w:val="none" w:sz="0" w:space="0" w:color="auto"/>
            <w:left w:val="none" w:sz="0" w:space="0" w:color="auto"/>
            <w:bottom w:val="none" w:sz="0" w:space="0" w:color="auto"/>
            <w:right w:val="none" w:sz="0" w:space="0" w:color="auto"/>
          </w:divBdr>
          <w:divsChild>
            <w:div w:id="572156318">
              <w:marLeft w:val="0"/>
              <w:marRight w:val="0"/>
              <w:marTop w:val="0"/>
              <w:marBottom w:val="0"/>
              <w:divBdr>
                <w:top w:val="none" w:sz="0" w:space="0" w:color="auto"/>
                <w:left w:val="none" w:sz="0" w:space="0" w:color="auto"/>
                <w:bottom w:val="none" w:sz="0" w:space="0" w:color="auto"/>
                <w:right w:val="none" w:sz="0" w:space="0" w:color="auto"/>
              </w:divBdr>
              <w:divsChild>
                <w:div w:id="168004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913531">
      <w:bodyDiv w:val="1"/>
      <w:marLeft w:val="0"/>
      <w:marRight w:val="0"/>
      <w:marTop w:val="0"/>
      <w:marBottom w:val="0"/>
      <w:divBdr>
        <w:top w:val="none" w:sz="0" w:space="0" w:color="auto"/>
        <w:left w:val="none" w:sz="0" w:space="0" w:color="auto"/>
        <w:bottom w:val="none" w:sz="0" w:space="0" w:color="auto"/>
        <w:right w:val="none" w:sz="0" w:space="0" w:color="auto"/>
      </w:divBdr>
    </w:div>
    <w:div w:id="463429168">
      <w:bodyDiv w:val="1"/>
      <w:marLeft w:val="0"/>
      <w:marRight w:val="0"/>
      <w:marTop w:val="0"/>
      <w:marBottom w:val="0"/>
      <w:divBdr>
        <w:top w:val="none" w:sz="0" w:space="0" w:color="auto"/>
        <w:left w:val="none" w:sz="0" w:space="0" w:color="auto"/>
        <w:bottom w:val="none" w:sz="0" w:space="0" w:color="auto"/>
        <w:right w:val="none" w:sz="0" w:space="0" w:color="auto"/>
      </w:divBdr>
    </w:div>
    <w:div w:id="479544740">
      <w:bodyDiv w:val="1"/>
      <w:marLeft w:val="0"/>
      <w:marRight w:val="0"/>
      <w:marTop w:val="0"/>
      <w:marBottom w:val="0"/>
      <w:divBdr>
        <w:top w:val="none" w:sz="0" w:space="0" w:color="auto"/>
        <w:left w:val="none" w:sz="0" w:space="0" w:color="auto"/>
        <w:bottom w:val="none" w:sz="0" w:space="0" w:color="auto"/>
        <w:right w:val="none" w:sz="0" w:space="0" w:color="auto"/>
      </w:divBdr>
      <w:divsChild>
        <w:div w:id="306590754">
          <w:marLeft w:val="0"/>
          <w:marRight w:val="0"/>
          <w:marTop w:val="0"/>
          <w:marBottom w:val="0"/>
          <w:divBdr>
            <w:top w:val="none" w:sz="0" w:space="0" w:color="auto"/>
            <w:left w:val="none" w:sz="0" w:space="0" w:color="auto"/>
            <w:bottom w:val="none" w:sz="0" w:space="0" w:color="auto"/>
            <w:right w:val="none" w:sz="0" w:space="0" w:color="auto"/>
          </w:divBdr>
          <w:divsChild>
            <w:div w:id="725494083">
              <w:marLeft w:val="0"/>
              <w:marRight w:val="0"/>
              <w:marTop w:val="0"/>
              <w:marBottom w:val="0"/>
              <w:divBdr>
                <w:top w:val="none" w:sz="0" w:space="0" w:color="auto"/>
                <w:left w:val="none" w:sz="0" w:space="0" w:color="auto"/>
                <w:bottom w:val="none" w:sz="0" w:space="0" w:color="auto"/>
                <w:right w:val="none" w:sz="0" w:space="0" w:color="auto"/>
              </w:divBdr>
              <w:divsChild>
                <w:div w:id="15484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52855">
      <w:bodyDiv w:val="1"/>
      <w:marLeft w:val="0"/>
      <w:marRight w:val="0"/>
      <w:marTop w:val="0"/>
      <w:marBottom w:val="0"/>
      <w:divBdr>
        <w:top w:val="none" w:sz="0" w:space="0" w:color="auto"/>
        <w:left w:val="none" w:sz="0" w:space="0" w:color="auto"/>
        <w:bottom w:val="none" w:sz="0" w:space="0" w:color="auto"/>
        <w:right w:val="none" w:sz="0" w:space="0" w:color="auto"/>
      </w:divBdr>
    </w:div>
    <w:div w:id="499735738">
      <w:bodyDiv w:val="1"/>
      <w:marLeft w:val="0"/>
      <w:marRight w:val="0"/>
      <w:marTop w:val="0"/>
      <w:marBottom w:val="0"/>
      <w:divBdr>
        <w:top w:val="none" w:sz="0" w:space="0" w:color="auto"/>
        <w:left w:val="none" w:sz="0" w:space="0" w:color="auto"/>
        <w:bottom w:val="none" w:sz="0" w:space="0" w:color="auto"/>
        <w:right w:val="none" w:sz="0" w:space="0" w:color="auto"/>
      </w:divBdr>
      <w:divsChild>
        <w:div w:id="894580640">
          <w:marLeft w:val="0"/>
          <w:marRight w:val="0"/>
          <w:marTop w:val="0"/>
          <w:marBottom w:val="0"/>
          <w:divBdr>
            <w:top w:val="none" w:sz="0" w:space="0" w:color="auto"/>
            <w:left w:val="none" w:sz="0" w:space="0" w:color="auto"/>
            <w:bottom w:val="none" w:sz="0" w:space="0" w:color="auto"/>
            <w:right w:val="none" w:sz="0" w:space="0" w:color="auto"/>
          </w:divBdr>
          <w:divsChild>
            <w:div w:id="763452220">
              <w:marLeft w:val="0"/>
              <w:marRight w:val="0"/>
              <w:marTop w:val="0"/>
              <w:marBottom w:val="0"/>
              <w:divBdr>
                <w:top w:val="none" w:sz="0" w:space="0" w:color="auto"/>
                <w:left w:val="none" w:sz="0" w:space="0" w:color="auto"/>
                <w:bottom w:val="none" w:sz="0" w:space="0" w:color="auto"/>
                <w:right w:val="none" w:sz="0" w:space="0" w:color="auto"/>
              </w:divBdr>
              <w:divsChild>
                <w:div w:id="2134595848">
                  <w:marLeft w:val="0"/>
                  <w:marRight w:val="0"/>
                  <w:marTop w:val="0"/>
                  <w:marBottom w:val="0"/>
                  <w:divBdr>
                    <w:top w:val="none" w:sz="0" w:space="0" w:color="auto"/>
                    <w:left w:val="none" w:sz="0" w:space="0" w:color="auto"/>
                    <w:bottom w:val="none" w:sz="0" w:space="0" w:color="auto"/>
                    <w:right w:val="none" w:sz="0" w:space="0" w:color="auto"/>
                  </w:divBdr>
                  <w:divsChild>
                    <w:div w:id="162912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673042">
      <w:bodyDiv w:val="1"/>
      <w:marLeft w:val="0"/>
      <w:marRight w:val="0"/>
      <w:marTop w:val="0"/>
      <w:marBottom w:val="0"/>
      <w:divBdr>
        <w:top w:val="none" w:sz="0" w:space="0" w:color="auto"/>
        <w:left w:val="none" w:sz="0" w:space="0" w:color="auto"/>
        <w:bottom w:val="none" w:sz="0" w:space="0" w:color="auto"/>
        <w:right w:val="none" w:sz="0" w:space="0" w:color="auto"/>
      </w:divBdr>
    </w:div>
    <w:div w:id="550649225">
      <w:bodyDiv w:val="1"/>
      <w:marLeft w:val="0"/>
      <w:marRight w:val="0"/>
      <w:marTop w:val="0"/>
      <w:marBottom w:val="0"/>
      <w:divBdr>
        <w:top w:val="none" w:sz="0" w:space="0" w:color="auto"/>
        <w:left w:val="none" w:sz="0" w:space="0" w:color="auto"/>
        <w:bottom w:val="none" w:sz="0" w:space="0" w:color="auto"/>
        <w:right w:val="none" w:sz="0" w:space="0" w:color="auto"/>
      </w:divBdr>
      <w:divsChild>
        <w:div w:id="138688894">
          <w:marLeft w:val="0"/>
          <w:marRight w:val="0"/>
          <w:marTop w:val="0"/>
          <w:marBottom w:val="0"/>
          <w:divBdr>
            <w:top w:val="none" w:sz="0" w:space="0" w:color="auto"/>
            <w:left w:val="none" w:sz="0" w:space="0" w:color="auto"/>
            <w:bottom w:val="none" w:sz="0" w:space="0" w:color="auto"/>
            <w:right w:val="none" w:sz="0" w:space="0" w:color="auto"/>
          </w:divBdr>
          <w:divsChild>
            <w:div w:id="892035970">
              <w:marLeft w:val="0"/>
              <w:marRight w:val="0"/>
              <w:marTop w:val="0"/>
              <w:marBottom w:val="0"/>
              <w:divBdr>
                <w:top w:val="none" w:sz="0" w:space="0" w:color="auto"/>
                <w:left w:val="none" w:sz="0" w:space="0" w:color="auto"/>
                <w:bottom w:val="none" w:sz="0" w:space="0" w:color="auto"/>
                <w:right w:val="none" w:sz="0" w:space="0" w:color="auto"/>
              </w:divBdr>
              <w:divsChild>
                <w:div w:id="120764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556517">
      <w:bodyDiv w:val="1"/>
      <w:marLeft w:val="0"/>
      <w:marRight w:val="0"/>
      <w:marTop w:val="0"/>
      <w:marBottom w:val="0"/>
      <w:divBdr>
        <w:top w:val="none" w:sz="0" w:space="0" w:color="auto"/>
        <w:left w:val="none" w:sz="0" w:space="0" w:color="auto"/>
        <w:bottom w:val="none" w:sz="0" w:space="0" w:color="auto"/>
        <w:right w:val="none" w:sz="0" w:space="0" w:color="auto"/>
      </w:divBdr>
      <w:divsChild>
        <w:div w:id="263658038">
          <w:marLeft w:val="0"/>
          <w:marRight w:val="0"/>
          <w:marTop w:val="0"/>
          <w:marBottom w:val="0"/>
          <w:divBdr>
            <w:top w:val="none" w:sz="0" w:space="0" w:color="auto"/>
            <w:left w:val="none" w:sz="0" w:space="0" w:color="auto"/>
            <w:bottom w:val="none" w:sz="0" w:space="0" w:color="auto"/>
            <w:right w:val="none" w:sz="0" w:space="0" w:color="auto"/>
          </w:divBdr>
          <w:divsChild>
            <w:div w:id="657732128">
              <w:marLeft w:val="0"/>
              <w:marRight w:val="0"/>
              <w:marTop w:val="0"/>
              <w:marBottom w:val="0"/>
              <w:divBdr>
                <w:top w:val="none" w:sz="0" w:space="0" w:color="auto"/>
                <w:left w:val="none" w:sz="0" w:space="0" w:color="auto"/>
                <w:bottom w:val="none" w:sz="0" w:space="0" w:color="auto"/>
                <w:right w:val="none" w:sz="0" w:space="0" w:color="auto"/>
              </w:divBdr>
              <w:divsChild>
                <w:div w:id="15438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94209">
      <w:bodyDiv w:val="1"/>
      <w:marLeft w:val="0"/>
      <w:marRight w:val="0"/>
      <w:marTop w:val="0"/>
      <w:marBottom w:val="0"/>
      <w:divBdr>
        <w:top w:val="none" w:sz="0" w:space="0" w:color="auto"/>
        <w:left w:val="none" w:sz="0" w:space="0" w:color="auto"/>
        <w:bottom w:val="none" w:sz="0" w:space="0" w:color="auto"/>
        <w:right w:val="none" w:sz="0" w:space="0" w:color="auto"/>
      </w:divBdr>
    </w:div>
    <w:div w:id="623120252">
      <w:bodyDiv w:val="1"/>
      <w:marLeft w:val="0"/>
      <w:marRight w:val="0"/>
      <w:marTop w:val="0"/>
      <w:marBottom w:val="0"/>
      <w:divBdr>
        <w:top w:val="none" w:sz="0" w:space="0" w:color="auto"/>
        <w:left w:val="none" w:sz="0" w:space="0" w:color="auto"/>
        <w:bottom w:val="none" w:sz="0" w:space="0" w:color="auto"/>
        <w:right w:val="none" w:sz="0" w:space="0" w:color="auto"/>
      </w:divBdr>
      <w:divsChild>
        <w:div w:id="881096340">
          <w:marLeft w:val="0"/>
          <w:marRight w:val="0"/>
          <w:marTop w:val="0"/>
          <w:marBottom w:val="0"/>
          <w:divBdr>
            <w:top w:val="none" w:sz="0" w:space="0" w:color="auto"/>
            <w:left w:val="none" w:sz="0" w:space="0" w:color="auto"/>
            <w:bottom w:val="none" w:sz="0" w:space="0" w:color="auto"/>
            <w:right w:val="none" w:sz="0" w:space="0" w:color="auto"/>
          </w:divBdr>
          <w:divsChild>
            <w:div w:id="1312716189">
              <w:marLeft w:val="0"/>
              <w:marRight w:val="0"/>
              <w:marTop w:val="0"/>
              <w:marBottom w:val="0"/>
              <w:divBdr>
                <w:top w:val="none" w:sz="0" w:space="0" w:color="auto"/>
                <w:left w:val="none" w:sz="0" w:space="0" w:color="auto"/>
                <w:bottom w:val="none" w:sz="0" w:space="0" w:color="auto"/>
                <w:right w:val="none" w:sz="0" w:space="0" w:color="auto"/>
              </w:divBdr>
              <w:divsChild>
                <w:div w:id="31596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48654">
      <w:bodyDiv w:val="1"/>
      <w:marLeft w:val="0"/>
      <w:marRight w:val="0"/>
      <w:marTop w:val="0"/>
      <w:marBottom w:val="0"/>
      <w:divBdr>
        <w:top w:val="none" w:sz="0" w:space="0" w:color="auto"/>
        <w:left w:val="none" w:sz="0" w:space="0" w:color="auto"/>
        <w:bottom w:val="none" w:sz="0" w:space="0" w:color="auto"/>
        <w:right w:val="none" w:sz="0" w:space="0" w:color="auto"/>
      </w:divBdr>
    </w:div>
    <w:div w:id="632949733">
      <w:bodyDiv w:val="1"/>
      <w:marLeft w:val="0"/>
      <w:marRight w:val="0"/>
      <w:marTop w:val="0"/>
      <w:marBottom w:val="0"/>
      <w:divBdr>
        <w:top w:val="none" w:sz="0" w:space="0" w:color="auto"/>
        <w:left w:val="none" w:sz="0" w:space="0" w:color="auto"/>
        <w:bottom w:val="none" w:sz="0" w:space="0" w:color="auto"/>
        <w:right w:val="none" w:sz="0" w:space="0" w:color="auto"/>
      </w:divBdr>
      <w:divsChild>
        <w:div w:id="208960932">
          <w:marLeft w:val="0"/>
          <w:marRight w:val="0"/>
          <w:marTop w:val="0"/>
          <w:marBottom w:val="0"/>
          <w:divBdr>
            <w:top w:val="none" w:sz="0" w:space="0" w:color="auto"/>
            <w:left w:val="none" w:sz="0" w:space="0" w:color="auto"/>
            <w:bottom w:val="none" w:sz="0" w:space="0" w:color="auto"/>
            <w:right w:val="none" w:sz="0" w:space="0" w:color="auto"/>
          </w:divBdr>
          <w:divsChild>
            <w:div w:id="1812088817">
              <w:marLeft w:val="0"/>
              <w:marRight w:val="0"/>
              <w:marTop w:val="0"/>
              <w:marBottom w:val="0"/>
              <w:divBdr>
                <w:top w:val="none" w:sz="0" w:space="0" w:color="auto"/>
                <w:left w:val="none" w:sz="0" w:space="0" w:color="auto"/>
                <w:bottom w:val="none" w:sz="0" w:space="0" w:color="auto"/>
                <w:right w:val="none" w:sz="0" w:space="0" w:color="auto"/>
              </w:divBdr>
              <w:divsChild>
                <w:div w:id="87650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088869">
      <w:bodyDiv w:val="1"/>
      <w:marLeft w:val="0"/>
      <w:marRight w:val="0"/>
      <w:marTop w:val="0"/>
      <w:marBottom w:val="0"/>
      <w:divBdr>
        <w:top w:val="none" w:sz="0" w:space="0" w:color="auto"/>
        <w:left w:val="none" w:sz="0" w:space="0" w:color="auto"/>
        <w:bottom w:val="none" w:sz="0" w:space="0" w:color="auto"/>
        <w:right w:val="none" w:sz="0" w:space="0" w:color="auto"/>
      </w:divBdr>
    </w:div>
    <w:div w:id="666329630">
      <w:bodyDiv w:val="1"/>
      <w:marLeft w:val="0"/>
      <w:marRight w:val="0"/>
      <w:marTop w:val="0"/>
      <w:marBottom w:val="0"/>
      <w:divBdr>
        <w:top w:val="none" w:sz="0" w:space="0" w:color="auto"/>
        <w:left w:val="none" w:sz="0" w:space="0" w:color="auto"/>
        <w:bottom w:val="none" w:sz="0" w:space="0" w:color="auto"/>
        <w:right w:val="none" w:sz="0" w:space="0" w:color="auto"/>
      </w:divBdr>
    </w:div>
    <w:div w:id="682636355">
      <w:bodyDiv w:val="1"/>
      <w:marLeft w:val="0"/>
      <w:marRight w:val="0"/>
      <w:marTop w:val="0"/>
      <w:marBottom w:val="0"/>
      <w:divBdr>
        <w:top w:val="none" w:sz="0" w:space="0" w:color="auto"/>
        <w:left w:val="none" w:sz="0" w:space="0" w:color="auto"/>
        <w:bottom w:val="none" w:sz="0" w:space="0" w:color="auto"/>
        <w:right w:val="none" w:sz="0" w:space="0" w:color="auto"/>
      </w:divBdr>
    </w:div>
    <w:div w:id="698356030">
      <w:bodyDiv w:val="1"/>
      <w:marLeft w:val="0"/>
      <w:marRight w:val="0"/>
      <w:marTop w:val="0"/>
      <w:marBottom w:val="0"/>
      <w:divBdr>
        <w:top w:val="none" w:sz="0" w:space="0" w:color="auto"/>
        <w:left w:val="none" w:sz="0" w:space="0" w:color="auto"/>
        <w:bottom w:val="none" w:sz="0" w:space="0" w:color="auto"/>
        <w:right w:val="none" w:sz="0" w:space="0" w:color="auto"/>
      </w:divBdr>
      <w:divsChild>
        <w:div w:id="1755541703">
          <w:marLeft w:val="0"/>
          <w:marRight w:val="0"/>
          <w:marTop w:val="0"/>
          <w:marBottom w:val="0"/>
          <w:divBdr>
            <w:top w:val="none" w:sz="0" w:space="0" w:color="auto"/>
            <w:left w:val="none" w:sz="0" w:space="0" w:color="auto"/>
            <w:bottom w:val="none" w:sz="0" w:space="0" w:color="auto"/>
            <w:right w:val="none" w:sz="0" w:space="0" w:color="auto"/>
          </w:divBdr>
          <w:divsChild>
            <w:div w:id="6830187">
              <w:marLeft w:val="0"/>
              <w:marRight w:val="0"/>
              <w:marTop w:val="0"/>
              <w:marBottom w:val="0"/>
              <w:divBdr>
                <w:top w:val="none" w:sz="0" w:space="0" w:color="auto"/>
                <w:left w:val="none" w:sz="0" w:space="0" w:color="auto"/>
                <w:bottom w:val="none" w:sz="0" w:space="0" w:color="auto"/>
                <w:right w:val="none" w:sz="0" w:space="0" w:color="auto"/>
              </w:divBdr>
              <w:divsChild>
                <w:div w:id="2787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57473">
      <w:bodyDiv w:val="1"/>
      <w:marLeft w:val="0"/>
      <w:marRight w:val="0"/>
      <w:marTop w:val="0"/>
      <w:marBottom w:val="0"/>
      <w:divBdr>
        <w:top w:val="none" w:sz="0" w:space="0" w:color="auto"/>
        <w:left w:val="none" w:sz="0" w:space="0" w:color="auto"/>
        <w:bottom w:val="none" w:sz="0" w:space="0" w:color="auto"/>
        <w:right w:val="none" w:sz="0" w:space="0" w:color="auto"/>
      </w:divBdr>
    </w:div>
    <w:div w:id="762989778">
      <w:bodyDiv w:val="1"/>
      <w:marLeft w:val="0"/>
      <w:marRight w:val="0"/>
      <w:marTop w:val="0"/>
      <w:marBottom w:val="0"/>
      <w:divBdr>
        <w:top w:val="none" w:sz="0" w:space="0" w:color="auto"/>
        <w:left w:val="none" w:sz="0" w:space="0" w:color="auto"/>
        <w:bottom w:val="none" w:sz="0" w:space="0" w:color="auto"/>
        <w:right w:val="none" w:sz="0" w:space="0" w:color="auto"/>
      </w:divBdr>
    </w:div>
    <w:div w:id="794835926">
      <w:bodyDiv w:val="1"/>
      <w:marLeft w:val="0"/>
      <w:marRight w:val="0"/>
      <w:marTop w:val="0"/>
      <w:marBottom w:val="0"/>
      <w:divBdr>
        <w:top w:val="none" w:sz="0" w:space="0" w:color="auto"/>
        <w:left w:val="none" w:sz="0" w:space="0" w:color="auto"/>
        <w:bottom w:val="none" w:sz="0" w:space="0" w:color="auto"/>
        <w:right w:val="none" w:sz="0" w:space="0" w:color="auto"/>
      </w:divBdr>
    </w:div>
    <w:div w:id="796870758">
      <w:bodyDiv w:val="1"/>
      <w:marLeft w:val="0"/>
      <w:marRight w:val="0"/>
      <w:marTop w:val="0"/>
      <w:marBottom w:val="0"/>
      <w:divBdr>
        <w:top w:val="none" w:sz="0" w:space="0" w:color="auto"/>
        <w:left w:val="none" w:sz="0" w:space="0" w:color="auto"/>
        <w:bottom w:val="none" w:sz="0" w:space="0" w:color="auto"/>
        <w:right w:val="none" w:sz="0" w:space="0" w:color="auto"/>
      </w:divBdr>
      <w:divsChild>
        <w:div w:id="1362972292">
          <w:marLeft w:val="0"/>
          <w:marRight w:val="0"/>
          <w:marTop w:val="0"/>
          <w:marBottom w:val="0"/>
          <w:divBdr>
            <w:top w:val="none" w:sz="0" w:space="0" w:color="auto"/>
            <w:left w:val="none" w:sz="0" w:space="0" w:color="auto"/>
            <w:bottom w:val="none" w:sz="0" w:space="0" w:color="auto"/>
            <w:right w:val="none" w:sz="0" w:space="0" w:color="auto"/>
          </w:divBdr>
          <w:divsChild>
            <w:div w:id="2063940050">
              <w:marLeft w:val="0"/>
              <w:marRight w:val="0"/>
              <w:marTop w:val="0"/>
              <w:marBottom w:val="0"/>
              <w:divBdr>
                <w:top w:val="none" w:sz="0" w:space="0" w:color="auto"/>
                <w:left w:val="none" w:sz="0" w:space="0" w:color="auto"/>
                <w:bottom w:val="none" w:sz="0" w:space="0" w:color="auto"/>
                <w:right w:val="none" w:sz="0" w:space="0" w:color="auto"/>
              </w:divBdr>
              <w:divsChild>
                <w:div w:id="176765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225456">
      <w:bodyDiv w:val="1"/>
      <w:marLeft w:val="0"/>
      <w:marRight w:val="0"/>
      <w:marTop w:val="0"/>
      <w:marBottom w:val="0"/>
      <w:divBdr>
        <w:top w:val="none" w:sz="0" w:space="0" w:color="auto"/>
        <w:left w:val="none" w:sz="0" w:space="0" w:color="auto"/>
        <w:bottom w:val="none" w:sz="0" w:space="0" w:color="auto"/>
        <w:right w:val="none" w:sz="0" w:space="0" w:color="auto"/>
      </w:divBdr>
      <w:divsChild>
        <w:div w:id="1429427884">
          <w:marLeft w:val="0"/>
          <w:marRight w:val="0"/>
          <w:marTop w:val="0"/>
          <w:marBottom w:val="0"/>
          <w:divBdr>
            <w:top w:val="none" w:sz="0" w:space="0" w:color="auto"/>
            <w:left w:val="none" w:sz="0" w:space="0" w:color="auto"/>
            <w:bottom w:val="none" w:sz="0" w:space="0" w:color="auto"/>
            <w:right w:val="none" w:sz="0" w:space="0" w:color="auto"/>
          </w:divBdr>
          <w:divsChild>
            <w:div w:id="1290941232">
              <w:marLeft w:val="0"/>
              <w:marRight w:val="0"/>
              <w:marTop w:val="0"/>
              <w:marBottom w:val="0"/>
              <w:divBdr>
                <w:top w:val="none" w:sz="0" w:space="0" w:color="auto"/>
                <w:left w:val="none" w:sz="0" w:space="0" w:color="auto"/>
                <w:bottom w:val="none" w:sz="0" w:space="0" w:color="auto"/>
                <w:right w:val="none" w:sz="0" w:space="0" w:color="auto"/>
              </w:divBdr>
              <w:divsChild>
                <w:div w:id="212095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654952">
      <w:bodyDiv w:val="1"/>
      <w:marLeft w:val="0"/>
      <w:marRight w:val="0"/>
      <w:marTop w:val="0"/>
      <w:marBottom w:val="0"/>
      <w:divBdr>
        <w:top w:val="none" w:sz="0" w:space="0" w:color="auto"/>
        <w:left w:val="none" w:sz="0" w:space="0" w:color="auto"/>
        <w:bottom w:val="none" w:sz="0" w:space="0" w:color="auto"/>
        <w:right w:val="none" w:sz="0" w:space="0" w:color="auto"/>
      </w:divBdr>
      <w:divsChild>
        <w:div w:id="1897274121">
          <w:marLeft w:val="0"/>
          <w:marRight w:val="0"/>
          <w:marTop w:val="0"/>
          <w:marBottom w:val="0"/>
          <w:divBdr>
            <w:top w:val="none" w:sz="0" w:space="0" w:color="auto"/>
            <w:left w:val="none" w:sz="0" w:space="0" w:color="auto"/>
            <w:bottom w:val="none" w:sz="0" w:space="0" w:color="auto"/>
            <w:right w:val="none" w:sz="0" w:space="0" w:color="auto"/>
          </w:divBdr>
          <w:divsChild>
            <w:div w:id="687374004">
              <w:marLeft w:val="0"/>
              <w:marRight w:val="0"/>
              <w:marTop w:val="0"/>
              <w:marBottom w:val="0"/>
              <w:divBdr>
                <w:top w:val="none" w:sz="0" w:space="0" w:color="auto"/>
                <w:left w:val="none" w:sz="0" w:space="0" w:color="auto"/>
                <w:bottom w:val="none" w:sz="0" w:space="0" w:color="auto"/>
                <w:right w:val="none" w:sz="0" w:space="0" w:color="auto"/>
              </w:divBdr>
              <w:divsChild>
                <w:div w:id="2035180996">
                  <w:marLeft w:val="0"/>
                  <w:marRight w:val="0"/>
                  <w:marTop w:val="0"/>
                  <w:marBottom w:val="0"/>
                  <w:divBdr>
                    <w:top w:val="none" w:sz="0" w:space="0" w:color="auto"/>
                    <w:left w:val="none" w:sz="0" w:space="0" w:color="auto"/>
                    <w:bottom w:val="none" w:sz="0" w:space="0" w:color="auto"/>
                    <w:right w:val="none" w:sz="0" w:space="0" w:color="auto"/>
                  </w:divBdr>
                  <w:divsChild>
                    <w:div w:id="44951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0568">
      <w:bodyDiv w:val="1"/>
      <w:marLeft w:val="0"/>
      <w:marRight w:val="0"/>
      <w:marTop w:val="0"/>
      <w:marBottom w:val="0"/>
      <w:divBdr>
        <w:top w:val="none" w:sz="0" w:space="0" w:color="auto"/>
        <w:left w:val="none" w:sz="0" w:space="0" w:color="auto"/>
        <w:bottom w:val="none" w:sz="0" w:space="0" w:color="auto"/>
        <w:right w:val="none" w:sz="0" w:space="0" w:color="auto"/>
      </w:divBdr>
      <w:divsChild>
        <w:div w:id="1974014875">
          <w:marLeft w:val="0"/>
          <w:marRight w:val="0"/>
          <w:marTop w:val="0"/>
          <w:marBottom w:val="0"/>
          <w:divBdr>
            <w:top w:val="none" w:sz="0" w:space="0" w:color="auto"/>
            <w:left w:val="none" w:sz="0" w:space="0" w:color="auto"/>
            <w:bottom w:val="none" w:sz="0" w:space="0" w:color="auto"/>
            <w:right w:val="none" w:sz="0" w:space="0" w:color="auto"/>
          </w:divBdr>
          <w:divsChild>
            <w:div w:id="1513910012">
              <w:marLeft w:val="0"/>
              <w:marRight w:val="0"/>
              <w:marTop w:val="0"/>
              <w:marBottom w:val="0"/>
              <w:divBdr>
                <w:top w:val="none" w:sz="0" w:space="0" w:color="auto"/>
                <w:left w:val="none" w:sz="0" w:space="0" w:color="auto"/>
                <w:bottom w:val="none" w:sz="0" w:space="0" w:color="auto"/>
                <w:right w:val="none" w:sz="0" w:space="0" w:color="auto"/>
              </w:divBdr>
              <w:divsChild>
                <w:div w:id="175265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933292">
      <w:bodyDiv w:val="1"/>
      <w:marLeft w:val="0"/>
      <w:marRight w:val="0"/>
      <w:marTop w:val="0"/>
      <w:marBottom w:val="0"/>
      <w:divBdr>
        <w:top w:val="none" w:sz="0" w:space="0" w:color="auto"/>
        <w:left w:val="none" w:sz="0" w:space="0" w:color="auto"/>
        <w:bottom w:val="none" w:sz="0" w:space="0" w:color="auto"/>
        <w:right w:val="none" w:sz="0" w:space="0" w:color="auto"/>
      </w:divBdr>
      <w:divsChild>
        <w:div w:id="2125879006">
          <w:marLeft w:val="0"/>
          <w:marRight w:val="0"/>
          <w:marTop w:val="0"/>
          <w:marBottom w:val="0"/>
          <w:divBdr>
            <w:top w:val="none" w:sz="0" w:space="0" w:color="auto"/>
            <w:left w:val="none" w:sz="0" w:space="0" w:color="auto"/>
            <w:bottom w:val="none" w:sz="0" w:space="0" w:color="auto"/>
            <w:right w:val="none" w:sz="0" w:space="0" w:color="auto"/>
          </w:divBdr>
          <w:divsChild>
            <w:div w:id="269894647">
              <w:marLeft w:val="0"/>
              <w:marRight w:val="0"/>
              <w:marTop w:val="0"/>
              <w:marBottom w:val="0"/>
              <w:divBdr>
                <w:top w:val="none" w:sz="0" w:space="0" w:color="auto"/>
                <w:left w:val="none" w:sz="0" w:space="0" w:color="auto"/>
                <w:bottom w:val="none" w:sz="0" w:space="0" w:color="auto"/>
                <w:right w:val="none" w:sz="0" w:space="0" w:color="auto"/>
              </w:divBdr>
              <w:divsChild>
                <w:div w:id="93116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956214">
      <w:bodyDiv w:val="1"/>
      <w:marLeft w:val="0"/>
      <w:marRight w:val="0"/>
      <w:marTop w:val="0"/>
      <w:marBottom w:val="0"/>
      <w:divBdr>
        <w:top w:val="none" w:sz="0" w:space="0" w:color="auto"/>
        <w:left w:val="none" w:sz="0" w:space="0" w:color="auto"/>
        <w:bottom w:val="none" w:sz="0" w:space="0" w:color="auto"/>
        <w:right w:val="none" w:sz="0" w:space="0" w:color="auto"/>
      </w:divBdr>
    </w:div>
    <w:div w:id="928583930">
      <w:bodyDiv w:val="1"/>
      <w:marLeft w:val="0"/>
      <w:marRight w:val="0"/>
      <w:marTop w:val="0"/>
      <w:marBottom w:val="0"/>
      <w:divBdr>
        <w:top w:val="none" w:sz="0" w:space="0" w:color="auto"/>
        <w:left w:val="none" w:sz="0" w:space="0" w:color="auto"/>
        <w:bottom w:val="none" w:sz="0" w:space="0" w:color="auto"/>
        <w:right w:val="none" w:sz="0" w:space="0" w:color="auto"/>
      </w:divBdr>
    </w:div>
    <w:div w:id="1010135484">
      <w:bodyDiv w:val="1"/>
      <w:marLeft w:val="0"/>
      <w:marRight w:val="0"/>
      <w:marTop w:val="0"/>
      <w:marBottom w:val="0"/>
      <w:divBdr>
        <w:top w:val="none" w:sz="0" w:space="0" w:color="auto"/>
        <w:left w:val="none" w:sz="0" w:space="0" w:color="auto"/>
        <w:bottom w:val="none" w:sz="0" w:space="0" w:color="auto"/>
        <w:right w:val="none" w:sz="0" w:space="0" w:color="auto"/>
      </w:divBdr>
      <w:divsChild>
        <w:div w:id="738095961">
          <w:marLeft w:val="0"/>
          <w:marRight w:val="0"/>
          <w:marTop w:val="0"/>
          <w:marBottom w:val="0"/>
          <w:divBdr>
            <w:top w:val="none" w:sz="0" w:space="0" w:color="auto"/>
            <w:left w:val="none" w:sz="0" w:space="0" w:color="auto"/>
            <w:bottom w:val="none" w:sz="0" w:space="0" w:color="auto"/>
            <w:right w:val="none" w:sz="0" w:space="0" w:color="auto"/>
          </w:divBdr>
          <w:divsChild>
            <w:div w:id="654183162">
              <w:marLeft w:val="0"/>
              <w:marRight w:val="0"/>
              <w:marTop w:val="0"/>
              <w:marBottom w:val="0"/>
              <w:divBdr>
                <w:top w:val="none" w:sz="0" w:space="0" w:color="auto"/>
                <w:left w:val="none" w:sz="0" w:space="0" w:color="auto"/>
                <w:bottom w:val="none" w:sz="0" w:space="0" w:color="auto"/>
                <w:right w:val="none" w:sz="0" w:space="0" w:color="auto"/>
              </w:divBdr>
              <w:divsChild>
                <w:div w:id="124060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94328">
      <w:bodyDiv w:val="1"/>
      <w:marLeft w:val="0"/>
      <w:marRight w:val="0"/>
      <w:marTop w:val="0"/>
      <w:marBottom w:val="0"/>
      <w:divBdr>
        <w:top w:val="none" w:sz="0" w:space="0" w:color="auto"/>
        <w:left w:val="none" w:sz="0" w:space="0" w:color="auto"/>
        <w:bottom w:val="none" w:sz="0" w:space="0" w:color="auto"/>
        <w:right w:val="none" w:sz="0" w:space="0" w:color="auto"/>
      </w:divBdr>
    </w:div>
    <w:div w:id="1021013890">
      <w:bodyDiv w:val="1"/>
      <w:marLeft w:val="0"/>
      <w:marRight w:val="0"/>
      <w:marTop w:val="0"/>
      <w:marBottom w:val="0"/>
      <w:divBdr>
        <w:top w:val="none" w:sz="0" w:space="0" w:color="auto"/>
        <w:left w:val="none" w:sz="0" w:space="0" w:color="auto"/>
        <w:bottom w:val="none" w:sz="0" w:space="0" w:color="auto"/>
        <w:right w:val="none" w:sz="0" w:space="0" w:color="auto"/>
      </w:divBdr>
    </w:div>
    <w:div w:id="1025137372">
      <w:bodyDiv w:val="1"/>
      <w:marLeft w:val="0"/>
      <w:marRight w:val="0"/>
      <w:marTop w:val="0"/>
      <w:marBottom w:val="0"/>
      <w:divBdr>
        <w:top w:val="none" w:sz="0" w:space="0" w:color="auto"/>
        <w:left w:val="none" w:sz="0" w:space="0" w:color="auto"/>
        <w:bottom w:val="none" w:sz="0" w:space="0" w:color="auto"/>
        <w:right w:val="none" w:sz="0" w:space="0" w:color="auto"/>
      </w:divBdr>
    </w:div>
    <w:div w:id="1061291104">
      <w:bodyDiv w:val="1"/>
      <w:marLeft w:val="0"/>
      <w:marRight w:val="0"/>
      <w:marTop w:val="0"/>
      <w:marBottom w:val="0"/>
      <w:divBdr>
        <w:top w:val="none" w:sz="0" w:space="0" w:color="auto"/>
        <w:left w:val="none" w:sz="0" w:space="0" w:color="auto"/>
        <w:bottom w:val="none" w:sz="0" w:space="0" w:color="auto"/>
        <w:right w:val="none" w:sz="0" w:space="0" w:color="auto"/>
      </w:divBdr>
      <w:divsChild>
        <w:div w:id="1851413738">
          <w:marLeft w:val="0"/>
          <w:marRight w:val="0"/>
          <w:marTop w:val="0"/>
          <w:marBottom w:val="0"/>
          <w:divBdr>
            <w:top w:val="none" w:sz="0" w:space="0" w:color="auto"/>
            <w:left w:val="none" w:sz="0" w:space="0" w:color="auto"/>
            <w:bottom w:val="none" w:sz="0" w:space="0" w:color="auto"/>
            <w:right w:val="none" w:sz="0" w:space="0" w:color="auto"/>
          </w:divBdr>
          <w:divsChild>
            <w:div w:id="2027363289">
              <w:marLeft w:val="0"/>
              <w:marRight w:val="0"/>
              <w:marTop w:val="0"/>
              <w:marBottom w:val="0"/>
              <w:divBdr>
                <w:top w:val="none" w:sz="0" w:space="0" w:color="auto"/>
                <w:left w:val="none" w:sz="0" w:space="0" w:color="auto"/>
                <w:bottom w:val="none" w:sz="0" w:space="0" w:color="auto"/>
                <w:right w:val="none" w:sz="0" w:space="0" w:color="auto"/>
              </w:divBdr>
              <w:divsChild>
                <w:div w:id="12717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280204">
      <w:bodyDiv w:val="1"/>
      <w:marLeft w:val="0"/>
      <w:marRight w:val="0"/>
      <w:marTop w:val="0"/>
      <w:marBottom w:val="0"/>
      <w:divBdr>
        <w:top w:val="none" w:sz="0" w:space="0" w:color="auto"/>
        <w:left w:val="none" w:sz="0" w:space="0" w:color="auto"/>
        <w:bottom w:val="none" w:sz="0" w:space="0" w:color="auto"/>
        <w:right w:val="none" w:sz="0" w:space="0" w:color="auto"/>
      </w:divBdr>
    </w:div>
    <w:div w:id="1132677321">
      <w:bodyDiv w:val="1"/>
      <w:marLeft w:val="0"/>
      <w:marRight w:val="0"/>
      <w:marTop w:val="0"/>
      <w:marBottom w:val="0"/>
      <w:divBdr>
        <w:top w:val="none" w:sz="0" w:space="0" w:color="auto"/>
        <w:left w:val="none" w:sz="0" w:space="0" w:color="auto"/>
        <w:bottom w:val="none" w:sz="0" w:space="0" w:color="auto"/>
        <w:right w:val="none" w:sz="0" w:space="0" w:color="auto"/>
      </w:divBdr>
    </w:div>
    <w:div w:id="1135608085">
      <w:bodyDiv w:val="1"/>
      <w:marLeft w:val="0"/>
      <w:marRight w:val="0"/>
      <w:marTop w:val="0"/>
      <w:marBottom w:val="0"/>
      <w:divBdr>
        <w:top w:val="none" w:sz="0" w:space="0" w:color="auto"/>
        <w:left w:val="none" w:sz="0" w:space="0" w:color="auto"/>
        <w:bottom w:val="none" w:sz="0" w:space="0" w:color="auto"/>
        <w:right w:val="none" w:sz="0" w:space="0" w:color="auto"/>
      </w:divBdr>
    </w:div>
    <w:div w:id="1171022140">
      <w:bodyDiv w:val="1"/>
      <w:marLeft w:val="0"/>
      <w:marRight w:val="0"/>
      <w:marTop w:val="0"/>
      <w:marBottom w:val="0"/>
      <w:divBdr>
        <w:top w:val="none" w:sz="0" w:space="0" w:color="auto"/>
        <w:left w:val="none" w:sz="0" w:space="0" w:color="auto"/>
        <w:bottom w:val="none" w:sz="0" w:space="0" w:color="auto"/>
        <w:right w:val="none" w:sz="0" w:space="0" w:color="auto"/>
      </w:divBdr>
    </w:div>
    <w:div w:id="1188102948">
      <w:bodyDiv w:val="1"/>
      <w:marLeft w:val="0"/>
      <w:marRight w:val="0"/>
      <w:marTop w:val="0"/>
      <w:marBottom w:val="0"/>
      <w:divBdr>
        <w:top w:val="none" w:sz="0" w:space="0" w:color="auto"/>
        <w:left w:val="none" w:sz="0" w:space="0" w:color="auto"/>
        <w:bottom w:val="none" w:sz="0" w:space="0" w:color="auto"/>
        <w:right w:val="none" w:sz="0" w:space="0" w:color="auto"/>
      </w:divBdr>
    </w:div>
    <w:div w:id="1226330664">
      <w:bodyDiv w:val="1"/>
      <w:marLeft w:val="0"/>
      <w:marRight w:val="0"/>
      <w:marTop w:val="0"/>
      <w:marBottom w:val="0"/>
      <w:divBdr>
        <w:top w:val="none" w:sz="0" w:space="0" w:color="auto"/>
        <w:left w:val="none" w:sz="0" w:space="0" w:color="auto"/>
        <w:bottom w:val="none" w:sz="0" w:space="0" w:color="auto"/>
        <w:right w:val="none" w:sz="0" w:space="0" w:color="auto"/>
      </w:divBdr>
    </w:div>
    <w:div w:id="1230656235">
      <w:bodyDiv w:val="1"/>
      <w:marLeft w:val="0"/>
      <w:marRight w:val="0"/>
      <w:marTop w:val="0"/>
      <w:marBottom w:val="0"/>
      <w:divBdr>
        <w:top w:val="none" w:sz="0" w:space="0" w:color="auto"/>
        <w:left w:val="none" w:sz="0" w:space="0" w:color="auto"/>
        <w:bottom w:val="none" w:sz="0" w:space="0" w:color="auto"/>
        <w:right w:val="none" w:sz="0" w:space="0" w:color="auto"/>
      </w:divBdr>
    </w:div>
    <w:div w:id="1261984297">
      <w:bodyDiv w:val="1"/>
      <w:marLeft w:val="0"/>
      <w:marRight w:val="0"/>
      <w:marTop w:val="0"/>
      <w:marBottom w:val="0"/>
      <w:divBdr>
        <w:top w:val="none" w:sz="0" w:space="0" w:color="auto"/>
        <w:left w:val="none" w:sz="0" w:space="0" w:color="auto"/>
        <w:bottom w:val="none" w:sz="0" w:space="0" w:color="auto"/>
        <w:right w:val="none" w:sz="0" w:space="0" w:color="auto"/>
      </w:divBdr>
      <w:divsChild>
        <w:div w:id="1863981136">
          <w:marLeft w:val="0"/>
          <w:marRight w:val="0"/>
          <w:marTop w:val="0"/>
          <w:marBottom w:val="0"/>
          <w:divBdr>
            <w:top w:val="none" w:sz="0" w:space="0" w:color="auto"/>
            <w:left w:val="none" w:sz="0" w:space="0" w:color="auto"/>
            <w:bottom w:val="none" w:sz="0" w:space="0" w:color="auto"/>
            <w:right w:val="none" w:sz="0" w:space="0" w:color="auto"/>
          </w:divBdr>
          <w:divsChild>
            <w:div w:id="915750806">
              <w:marLeft w:val="0"/>
              <w:marRight w:val="0"/>
              <w:marTop w:val="0"/>
              <w:marBottom w:val="0"/>
              <w:divBdr>
                <w:top w:val="none" w:sz="0" w:space="0" w:color="auto"/>
                <w:left w:val="none" w:sz="0" w:space="0" w:color="auto"/>
                <w:bottom w:val="none" w:sz="0" w:space="0" w:color="auto"/>
                <w:right w:val="none" w:sz="0" w:space="0" w:color="auto"/>
              </w:divBdr>
              <w:divsChild>
                <w:div w:id="171488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534588">
      <w:bodyDiv w:val="1"/>
      <w:marLeft w:val="0"/>
      <w:marRight w:val="0"/>
      <w:marTop w:val="0"/>
      <w:marBottom w:val="0"/>
      <w:divBdr>
        <w:top w:val="none" w:sz="0" w:space="0" w:color="auto"/>
        <w:left w:val="none" w:sz="0" w:space="0" w:color="auto"/>
        <w:bottom w:val="none" w:sz="0" w:space="0" w:color="auto"/>
        <w:right w:val="none" w:sz="0" w:space="0" w:color="auto"/>
      </w:divBdr>
    </w:div>
    <w:div w:id="1315719000">
      <w:bodyDiv w:val="1"/>
      <w:marLeft w:val="0"/>
      <w:marRight w:val="0"/>
      <w:marTop w:val="0"/>
      <w:marBottom w:val="0"/>
      <w:divBdr>
        <w:top w:val="none" w:sz="0" w:space="0" w:color="auto"/>
        <w:left w:val="none" w:sz="0" w:space="0" w:color="auto"/>
        <w:bottom w:val="none" w:sz="0" w:space="0" w:color="auto"/>
        <w:right w:val="none" w:sz="0" w:space="0" w:color="auto"/>
      </w:divBdr>
    </w:div>
    <w:div w:id="1319960986">
      <w:bodyDiv w:val="1"/>
      <w:marLeft w:val="0"/>
      <w:marRight w:val="0"/>
      <w:marTop w:val="0"/>
      <w:marBottom w:val="0"/>
      <w:divBdr>
        <w:top w:val="none" w:sz="0" w:space="0" w:color="auto"/>
        <w:left w:val="none" w:sz="0" w:space="0" w:color="auto"/>
        <w:bottom w:val="none" w:sz="0" w:space="0" w:color="auto"/>
        <w:right w:val="none" w:sz="0" w:space="0" w:color="auto"/>
      </w:divBdr>
    </w:div>
    <w:div w:id="1321540012">
      <w:bodyDiv w:val="1"/>
      <w:marLeft w:val="0"/>
      <w:marRight w:val="0"/>
      <w:marTop w:val="0"/>
      <w:marBottom w:val="0"/>
      <w:divBdr>
        <w:top w:val="none" w:sz="0" w:space="0" w:color="auto"/>
        <w:left w:val="none" w:sz="0" w:space="0" w:color="auto"/>
        <w:bottom w:val="none" w:sz="0" w:space="0" w:color="auto"/>
        <w:right w:val="none" w:sz="0" w:space="0" w:color="auto"/>
      </w:divBdr>
      <w:divsChild>
        <w:div w:id="385422593">
          <w:marLeft w:val="0"/>
          <w:marRight w:val="0"/>
          <w:marTop w:val="0"/>
          <w:marBottom w:val="0"/>
          <w:divBdr>
            <w:top w:val="none" w:sz="0" w:space="0" w:color="auto"/>
            <w:left w:val="none" w:sz="0" w:space="0" w:color="auto"/>
            <w:bottom w:val="none" w:sz="0" w:space="0" w:color="auto"/>
            <w:right w:val="none" w:sz="0" w:space="0" w:color="auto"/>
          </w:divBdr>
          <w:divsChild>
            <w:div w:id="2142918109">
              <w:marLeft w:val="0"/>
              <w:marRight w:val="0"/>
              <w:marTop w:val="0"/>
              <w:marBottom w:val="0"/>
              <w:divBdr>
                <w:top w:val="none" w:sz="0" w:space="0" w:color="auto"/>
                <w:left w:val="none" w:sz="0" w:space="0" w:color="auto"/>
                <w:bottom w:val="none" w:sz="0" w:space="0" w:color="auto"/>
                <w:right w:val="none" w:sz="0" w:space="0" w:color="auto"/>
              </w:divBdr>
              <w:divsChild>
                <w:div w:id="28018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134474">
      <w:bodyDiv w:val="1"/>
      <w:marLeft w:val="0"/>
      <w:marRight w:val="0"/>
      <w:marTop w:val="0"/>
      <w:marBottom w:val="0"/>
      <w:divBdr>
        <w:top w:val="none" w:sz="0" w:space="0" w:color="auto"/>
        <w:left w:val="none" w:sz="0" w:space="0" w:color="auto"/>
        <w:bottom w:val="none" w:sz="0" w:space="0" w:color="auto"/>
        <w:right w:val="none" w:sz="0" w:space="0" w:color="auto"/>
      </w:divBdr>
    </w:div>
    <w:div w:id="1417020600">
      <w:bodyDiv w:val="1"/>
      <w:marLeft w:val="0"/>
      <w:marRight w:val="0"/>
      <w:marTop w:val="0"/>
      <w:marBottom w:val="0"/>
      <w:divBdr>
        <w:top w:val="none" w:sz="0" w:space="0" w:color="auto"/>
        <w:left w:val="none" w:sz="0" w:space="0" w:color="auto"/>
        <w:bottom w:val="none" w:sz="0" w:space="0" w:color="auto"/>
        <w:right w:val="none" w:sz="0" w:space="0" w:color="auto"/>
      </w:divBdr>
    </w:div>
    <w:div w:id="1448160665">
      <w:bodyDiv w:val="1"/>
      <w:marLeft w:val="0"/>
      <w:marRight w:val="0"/>
      <w:marTop w:val="0"/>
      <w:marBottom w:val="0"/>
      <w:divBdr>
        <w:top w:val="none" w:sz="0" w:space="0" w:color="auto"/>
        <w:left w:val="none" w:sz="0" w:space="0" w:color="auto"/>
        <w:bottom w:val="none" w:sz="0" w:space="0" w:color="auto"/>
        <w:right w:val="none" w:sz="0" w:space="0" w:color="auto"/>
      </w:divBdr>
    </w:div>
    <w:div w:id="1465778300">
      <w:bodyDiv w:val="1"/>
      <w:marLeft w:val="0"/>
      <w:marRight w:val="0"/>
      <w:marTop w:val="0"/>
      <w:marBottom w:val="0"/>
      <w:divBdr>
        <w:top w:val="none" w:sz="0" w:space="0" w:color="auto"/>
        <w:left w:val="none" w:sz="0" w:space="0" w:color="auto"/>
        <w:bottom w:val="none" w:sz="0" w:space="0" w:color="auto"/>
        <w:right w:val="none" w:sz="0" w:space="0" w:color="auto"/>
      </w:divBdr>
    </w:div>
    <w:div w:id="1481264519">
      <w:bodyDiv w:val="1"/>
      <w:marLeft w:val="0"/>
      <w:marRight w:val="0"/>
      <w:marTop w:val="0"/>
      <w:marBottom w:val="0"/>
      <w:divBdr>
        <w:top w:val="none" w:sz="0" w:space="0" w:color="auto"/>
        <w:left w:val="none" w:sz="0" w:space="0" w:color="auto"/>
        <w:bottom w:val="none" w:sz="0" w:space="0" w:color="auto"/>
        <w:right w:val="none" w:sz="0" w:space="0" w:color="auto"/>
      </w:divBdr>
    </w:div>
    <w:div w:id="1525250008">
      <w:bodyDiv w:val="1"/>
      <w:marLeft w:val="0"/>
      <w:marRight w:val="0"/>
      <w:marTop w:val="0"/>
      <w:marBottom w:val="0"/>
      <w:divBdr>
        <w:top w:val="none" w:sz="0" w:space="0" w:color="auto"/>
        <w:left w:val="none" w:sz="0" w:space="0" w:color="auto"/>
        <w:bottom w:val="none" w:sz="0" w:space="0" w:color="auto"/>
        <w:right w:val="none" w:sz="0" w:space="0" w:color="auto"/>
      </w:divBdr>
      <w:divsChild>
        <w:div w:id="693112068">
          <w:marLeft w:val="0"/>
          <w:marRight w:val="0"/>
          <w:marTop w:val="0"/>
          <w:marBottom w:val="0"/>
          <w:divBdr>
            <w:top w:val="none" w:sz="0" w:space="0" w:color="auto"/>
            <w:left w:val="none" w:sz="0" w:space="0" w:color="auto"/>
            <w:bottom w:val="none" w:sz="0" w:space="0" w:color="auto"/>
            <w:right w:val="none" w:sz="0" w:space="0" w:color="auto"/>
          </w:divBdr>
          <w:divsChild>
            <w:div w:id="1103115969">
              <w:marLeft w:val="0"/>
              <w:marRight w:val="0"/>
              <w:marTop w:val="0"/>
              <w:marBottom w:val="0"/>
              <w:divBdr>
                <w:top w:val="none" w:sz="0" w:space="0" w:color="auto"/>
                <w:left w:val="none" w:sz="0" w:space="0" w:color="auto"/>
                <w:bottom w:val="none" w:sz="0" w:space="0" w:color="auto"/>
                <w:right w:val="none" w:sz="0" w:space="0" w:color="auto"/>
              </w:divBdr>
              <w:divsChild>
                <w:div w:id="102960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765616">
      <w:bodyDiv w:val="1"/>
      <w:marLeft w:val="0"/>
      <w:marRight w:val="0"/>
      <w:marTop w:val="0"/>
      <w:marBottom w:val="0"/>
      <w:divBdr>
        <w:top w:val="none" w:sz="0" w:space="0" w:color="auto"/>
        <w:left w:val="none" w:sz="0" w:space="0" w:color="auto"/>
        <w:bottom w:val="none" w:sz="0" w:space="0" w:color="auto"/>
        <w:right w:val="none" w:sz="0" w:space="0" w:color="auto"/>
      </w:divBdr>
      <w:divsChild>
        <w:div w:id="293827911">
          <w:marLeft w:val="0"/>
          <w:marRight w:val="0"/>
          <w:marTop w:val="0"/>
          <w:marBottom w:val="0"/>
          <w:divBdr>
            <w:top w:val="none" w:sz="0" w:space="0" w:color="auto"/>
            <w:left w:val="none" w:sz="0" w:space="0" w:color="auto"/>
            <w:bottom w:val="none" w:sz="0" w:space="0" w:color="auto"/>
            <w:right w:val="none" w:sz="0" w:space="0" w:color="auto"/>
          </w:divBdr>
          <w:divsChild>
            <w:div w:id="1271089304">
              <w:marLeft w:val="0"/>
              <w:marRight w:val="0"/>
              <w:marTop w:val="0"/>
              <w:marBottom w:val="0"/>
              <w:divBdr>
                <w:top w:val="none" w:sz="0" w:space="0" w:color="auto"/>
                <w:left w:val="none" w:sz="0" w:space="0" w:color="auto"/>
                <w:bottom w:val="none" w:sz="0" w:space="0" w:color="auto"/>
                <w:right w:val="none" w:sz="0" w:space="0" w:color="auto"/>
              </w:divBdr>
              <w:divsChild>
                <w:div w:id="190772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774912">
      <w:bodyDiv w:val="1"/>
      <w:marLeft w:val="0"/>
      <w:marRight w:val="0"/>
      <w:marTop w:val="0"/>
      <w:marBottom w:val="0"/>
      <w:divBdr>
        <w:top w:val="none" w:sz="0" w:space="0" w:color="auto"/>
        <w:left w:val="none" w:sz="0" w:space="0" w:color="auto"/>
        <w:bottom w:val="none" w:sz="0" w:space="0" w:color="auto"/>
        <w:right w:val="none" w:sz="0" w:space="0" w:color="auto"/>
      </w:divBdr>
      <w:divsChild>
        <w:div w:id="1299653860">
          <w:marLeft w:val="0"/>
          <w:marRight w:val="0"/>
          <w:marTop w:val="0"/>
          <w:marBottom w:val="0"/>
          <w:divBdr>
            <w:top w:val="none" w:sz="0" w:space="0" w:color="auto"/>
            <w:left w:val="none" w:sz="0" w:space="0" w:color="auto"/>
            <w:bottom w:val="none" w:sz="0" w:space="0" w:color="auto"/>
            <w:right w:val="none" w:sz="0" w:space="0" w:color="auto"/>
          </w:divBdr>
          <w:divsChild>
            <w:div w:id="2000571973">
              <w:marLeft w:val="0"/>
              <w:marRight w:val="0"/>
              <w:marTop w:val="0"/>
              <w:marBottom w:val="0"/>
              <w:divBdr>
                <w:top w:val="none" w:sz="0" w:space="0" w:color="auto"/>
                <w:left w:val="none" w:sz="0" w:space="0" w:color="auto"/>
                <w:bottom w:val="none" w:sz="0" w:space="0" w:color="auto"/>
                <w:right w:val="none" w:sz="0" w:space="0" w:color="auto"/>
              </w:divBdr>
              <w:divsChild>
                <w:div w:id="94785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531689">
      <w:bodyDiv w:val="1"/>
      <w:marLeft w:val="0"/>
      <w:marRight w:val="0"/>
      <w:marTop w:val="0"/>
      <w:marBottom w:val="0"/>
      <w:divBdr>
        <w:top w:val="none" w:sz="0" w:space="0" w:color="auto"/>
        <w:left w:val="none" w:sz="0" w:space="0" w:color="auto"/>
        <w:bottom w:val="none" w:sz="0" w:space="0" w:color="auto"/>
        <w:right w:val="none" w:sz="0" w:space="0" w:color="auto"/>
      </w:divBdr>
      <w:divsChild>
        <w:div w:id="683437430">
          <w:marLeft w:val="0"/>
          <w:marRight w:val="0"/>
          <w:marTop w:val="0"/>
          <w:marBottom w:val="0"/>
          <w:divBdr>
            <w:top w:val="none" w:sz="0" w:space="0" w:color="auto"/>
            <w:left w:val="none" w:sz="0" w:space="0" w:color="auto"/>
            <w:bottom w:val="none" w:sz="0" w:space="0" w:color="auto"/>
            <w:right w:val="none" w:sz="0" w:space="0" w:color="auto"/>
          </w:divBdr>
          <w:divsChild>
            <w:div w:id="833641960">
              <w:marLeft w:val="0"/>
              <w:marRight w:val="0"/>
              <w:marTop w:val="0"/>
              <w:marBottom w:val="0"/>
              <w:divBdr>
                <w:top w:val="none" w:sz="0" w:space="0" w:color="auto"/>
                <w:left w:val="none" w:sz="0" w:space="0" w:color="auto"/>
                <w:bottom w:val="none" w:sz="0" w:space="0" w:color="auto"/>
                <w:right w:val="none" w:sz="0" w:space="0" w:color="auto"/>
              </w:divBdr>
              <w:divsChild>
                <w:div w:id="53419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884294">
      <w:bodyDiv w:val="1"/>
      <w:marLeft w:val="0"/>
      <w:marRight w:val="0"/>
      <w:marTop w:val="0"/>
      <w:marBottom w:val="0"/>
      <w:divBdr>
        <w:top w:val="none" w:sz="0" w:space="0" w:color="auto"/>
        <w:left w:val="none" w:sz="0" w:space="0" w:color="auto"/>
        <w:bottom w:val="none" w:sz="0" w:space="0" w:color="auto"/>
        <w:right w:val="none" w:sz="0" w:space="0" w:color="auto"/>
      </w:divBdr>
      <w:divsChild>
        <w:div w:id="438765654">
          <w:marLeft w:val="0"/>
          <w:marRight w:val="0"/>
          <w:marTop w:val="0"/>
          <w:marBottom w:val="0"/>
          <w:divBdr>
            <w:top w:val="none" w:sz="0" w:space="0" w:color="auto"/>
            <w:left w:val="none" w:sz="0" w:space="0" w:color="auto"/>
            <w:bottom w:val="none" w:sz="0" w:space="0" w:color="auto"/>
            <w:right w:val="none" w:sz="0" w:space="0" w:color="auto"/>
          </w:divBdr>
          <w:divsChild>
            <w:div w:id="987780236">
              <w:marLeft w:val="0"/>
              <w:marRight w:val="0"/>
              <w:marTop w:val="0"/>
              <w:marBottom w:val="0"/>
              <w:divBdr>
                <w:top w:val="none" w:sz="0" w:space="0" w:color="auto"/>
                <w:left w:val="none" w:sz="0" w:space="0" w:color="auto"/>
                <w:bottom w:val="none" w:sz="0" w:space="0" w:color="auto"/>
                <w:right w:val="none" w:sz="0" w:space="0" w:color="auto"/>
              </w:divBdr>
              <w:divsChild>
                <w:div w:id="72457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703190">
      <w:bodyDiv w:val="1"/>
      <w:marLeft w:val="0"/>
      <w:marRight w:val="0"/>
      <w:marTop w:val="0"/>
      <w:marBottom w:val="0"/>
      <w:divBdr>
        <w:top w:val="none" w:sz="0" w:space="0" w:color="auto"/>
        <w:left w:val="none" w:sz="0" w:space="0" w:color="auto"/>
        <w:bottom w:val="none" w:sz="0" w:space="0" w:color="auto"/>
        <w:right w:val="none" w:sz="0" w:space="0" w:color="auto"/>
      </w:divBdr>
    </w:div>
    <w:div w:id="1607615548">
      <w:bodyDiv w:val="1"/>
      <w:marLeft w:val="0"/>
      <w:marRight w:val="0"/>
      <w:marTop w:val="0"/>
      <w:marBottom w:val="0"/>
      <w:divBdr>
        <w:top w:val="none" w:sz="0" w:space="0" w:color="auto"/>
        <w:left w:val="none" w:sz="0" w:space="0" w:color="auto"/>
        <w:bottom w:val="none" w:sz="0" w:space="0" w:color="auto"/>
        <w:right w:val="none" w:sz="0" w:space="0" w:color="auto"/>
      </w:divBdr>
    </w:div>
    <w:div w:id="1615332744">
      <w:bodyDiv w:val="1"/>
      <w:marLeft w:val="0"/>
      <w:marRight w:val="0"/>
      <w:marTop w:val="0"/>
      <w:marBottom w:val="0"/>
      <w:divBdr>
        <w:top w:val="none" w:sz="0" w:space="0" w:color="auto"/>
        <w:left w:val="none" w:sz="0" w:space="0" w:color="auto"/>
        <w:bottom w:val="none" w:sz="0" w:space="0" w:color="auto"/>
        <w:right w:val="none" w:sz="0" w:space="0" w:color="auto"/>
      </w:divBdr>
      <w:divsChild>
        <w:div w:id="385758604">
          <w:marLeft w:val="0"/>
          <w:marRight w:val="0"/>
          <w:marTop w:val="0"/>
          <w:marBottom w:val="0"/>
          <w:divBdr>
            <w:top w:val="none" w:sz="0" w:space="0" w:color="auto"/>
            <w:left w:val="none" w:sz="0" w:space="0" w:color="auto"/>
            <w:bottom w:val="none" w:sz="0" w:space="0" w:color="auto"/>
            <w:right w:val="none" w:sz="0" w:space="0" w:color="auto"/>
          </w:divBdr>
          <w:divsChild>
            <w:div w:id="1212155471">
              <w:marLeft w:val="0"/>
              <w:marRight w:val="0"/>
              <w:marTop w:val="0"/>
              <w:marBottom w:val="0"/>
              <w:divBdr>
                <w:top w:val="none" w:sz="0" w:space="0" w:color="auto"/>
                <w:left w:val="none" w:sz="0" w:space="0" w:color="auto"/>
                <w:bottom w:val="none" w:sz="0" w:space="0" w:color="auto"/>
                <w:right w:val="none" w:sz="0" w:space="0" w:color="auto"/>
              </w:divBdr>
              <w:divsChild>
                <w:div w:id="104059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950560">
      <w:bodyDiv w:val="1"/>
      <w:marLeft w:val="0"/>
      <w:marRight w:val="0"/>
      <w:marTop w:val="0"/>
      <w:marBottom w:val="0"/>
      <w:divBdr>
        <w:top w:val="none" w:sz="0" w:space="0" w:color="auto"/>
        <w:left w:val="none" w:sz="0" w:space="0" w:color="auto"/>
        <w:bottom w:val="none" w:sz="0" w:space="0" w:color="auto"/>
        <w:right w:val="none" w:sz="0" w:space="0" w:color="auto"/>
      </w:divBdr>
    </w:div>
    <w:div w:id="1651252982">
      <w:bodyDiv w:val="1"/>
      <w:marLeft w:val="0"/>
      <w:marRight w:val="0"/>
      <w:marTop w:val="0"/>
      <w:marBottom w:val="0"/>
      <w:divBdr>
        <w:top w:val="none" w:sz="0" w:space="0" w:color="auto"/>
        <w:left w:val="none" w:sz="0" w:space="0" w:color="auto"/>
        <w:bottom w:val="none" w:sz="0" w:space="0" w:color="auto"/>
        <w:right w:val="none" w:sz="0" w:space="0" w:color="auto"/>
      </w:divBdr>
    </w:div>
    <w:div w:id="1652782941">
      <w:bodyDiv w:val="1"/>
      <w:marLeft w:val="0"/>
      <w:marRight w:val="0"/>
      <w:marTop w:val="0"/>
      <w:marBottom w:val="0"/>
      <w:divBdr>
        <w:top w:val="none" w:sz="0" w:space="0" w:color="auto"/>
        <w:left w:val="none" w:sz="0" w:space="0" w:color="auto"/>
        <w:bottom w:val="none" w:sz="0" w:space="0" w:color="auto"/>
        <w:right w:val="none" w:sz="0" w:space="0" w:color="auto"/>
      </w:divBdr>
    </w:div>
    <w:div w:id="1654290673">
      <w:bodyDiv w:val="1"/>
      <w:marLeft w:val="0"/>
      <w:marRight w:val="0"/>
      <w:marTop w:val="0"/>
      <w:marBottom w:val="0"/>
      <w:divBdr>
        <w:top w:val="none" w:sz="0" w:space="0" w:color="auto"/>
        <w:left w:val="none" w:sz="0" w:space="0" w:color="auto"/>
        <w:bottom w:val="none" w:sz="0" w:space="0" w:color="auto"/>
        <w:right w:val="none" w:sz="0" w:space="0" w:color="auto"/>
      </w:divBdr>
    </w:div>
    <w:div w:id="1657995453">
      <w:bodyDiv w:val="1"/>
      <w:marLeft w:val="0"/>
      <w:marRight w:val="0"/>
      <w:marTop w:val="0"/>
      <w:marBottom w:val="0"/>
      <w:divBdr>
        <w:top w:val="none" w:sz="0" w:space="0" w:color="auto"/>
        <w:left w:val="none" w:sz="0" w:space="0" w:color="auto"/>
        <w:bottom w:val="none" w:sz="0" w:space="0" w:color="auto"/>
        <w:right w:val="none" w:sz="0" w:space="0" w:color="auto"/>
      </w:divBdr>
    </w:div>
    <w:div w:id="1660109034">
      <w:bodyDiv w:val="1"/>
      <w:marLeft w:val="0"/>
      <w:marRight w:val="0"/>
      <w:marTop w:val="0"/>
      <w:marBottom w:val="0"/>
      <w:divBdr>
        <w:top w:val="none" w:sz="0" w:space="0" w:color="auto"/>
        <w:left w:val="none" w:sz="0" w:space="0" w:color="auto"/>
        <w:bottom w:val="none" w:sz="0" w:space="0" w:color="auto"/>
        <w:right w:val="none" w:sz="0" w:space="0" w:color="auto"/>
      </w:divBdr>
    </w:div>
    <w:div w:id="1668702574">
      <w:bodyDiv w:val="1"/>
      <w:marLeft w:val="0"/>
      <w:marRight w:val="0"/>
      <w:marTop w:val="0"/>
      <w:marBottom w:val="0"/>
      <w:divBdr>
        <w:top w:val="none" w:sz="0" w:space="0" w:color="auto"/>
        <w:left w:val="none" w:sz="0" w:space="0" w:color="auto"/>
        <w:bottom w:val="none" w:sz="0" w:space="0" w:color="auto"/>
        <w:right w:val="none" w:sz="0" w:space="0" w:color="auto"/>
      </w:divBdr>
    </w:div>
    <w:div w:id="1705135237">
      <w:bodyDiv w:val="1"/>
      <w:marLeft w:val="0"/>
      <w:marRight w:val="0"/>
      <w:marTop w:val="0"/>
      <w:marBottom w:val="0"/>
      <w:divBdr>
        <w:top w:val="none" w:sz="0" w:space="0" w:color="auto"/>
        <w:left w:val="none" w:sz="0" w:space="0" w:color="auto"/>
        <w:bottom w:val="none" w:sz="0" w:space="0" w:color="auto"/>
        <w:right w:val="none" w:sz="0" w:space="0" w:color="auto"/>
      </w:divBdr>
    </w:div>
    <w:div w:id="1722288570">
      <w:bodyDiv w:val="1"/>
      <w:marLeft w:val="0"/>
      <w:marRight w:val="0"/>
      <w:marTop w:val="0"/>
      <w:marBottom w:val="0"/>
      <w:divBdr>
        <w:top w:val="none" w:sz="0" w:space="0" w:color="auto"/>
        <w:left w:val="none" w:sz="0" w:space="0" w:color="auto"/>
        <w:bottom w:val="none" w:sz="0" w:space="0" w:color="auto"/>
        <w:right w:val="none" w:sz="0" w:space="0" w:color="auto"/>
      </w:divBdr>
    </w:div>
    <w:div w:id="1736393653">
      <w:bodyDiv w:val="1"/>
      <w:marLeft w:val="0"/>
      <w:marRight w:val="0"/>
      <w:marTop w:val="0"/>
      <w:marBottom w:val="0"/>
      <w:divBdr>
        <w:top w:val="none" w:sz="0" w:space="0" w:color="auto"/>
        <w:left w:val="none" w:sz="0" w:space="0" w:color="auto"/>
        <w:bottom w:val="none" w:sz="0" w:space="0" w:color="auto"/>
        <w:right w:val="none" w:sz="0" w:space="0" w:color="auto"/>
      </w:divBdr>
      <w:divsChild>
        <w:div w:id="31464789">
          <w:marLeft w:val="0"/>
          <w:marRight w:val="0"/>
          <w:marTop w:val="0"/>
          <w:marBottom w:val="0"/>
          <w:divBdr>
            <w:top w:val="none" w:sz="0" w:space="0" w:color="auto"/>
            <w:left w:val="none" w:sz="0" w:space="0" w:color="auto"/>
            <w:bottom w:val="none" w:sz="0" w:space="0" w:color="auto"/>
            <w:right w:val="none" w:sz="0" w:space="0" w:color="auto"/>
          </w:divBdr>
          <w:divsChild>
            <w:div w:id="56780787">
              <w:marLeft w:val="0"/>
              <w:marRight w:val="0"/>
              <w:marTop w:val="0"/>
              <w:marBottom w:val="0"/>
              <w:divBdr>
                <w:top w:val="none" w:sz="0" w:space="0" w:color="auto"/>
                <w:left w:val="none" w:sz="0" w:space="0" w:color="auto"/>
                <w:bottom w:val="none" w:sz="0" w:space="0" w:color="auto"/>
                <w:right w:val="none" w:sz="0" w:space="0" w:color="auto"/>
              </w:divBdr>
              <w:divsChild>
                <w:div w:id="77602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203119">
      <w:bodyDiv w:val="1"/>
      <w:marLeft w:val="0"/>
      <w:marRight w:val="0"/>
      <w:marTop w:val="0"/>
      <w:marBottom w:val="0"/>
      <w:divBdr>
        <w:top w:val="none" w:sz="0" w:space="0" w:color="auto"/>
        <w:left w:val="none" w:sz="0" w:space="0" w:color="auto"/>
        <w:bottom w:val="none" w:sz="0" w:space="0" w:color="auto"/>
        <w:right w:val="none" w:sz="0" w:space="0" w:color="auto"/>
      </w:divBdr>
    </w:div>
    <w:div w:id="1755975649">
      <w:bodyDiv w:val="1"/>
      <w:marLeft w:val="0"/>
      <w:marRight w:val="0"/>
      <w:marTop w:val="0"/>
      <w:marBottom w:val="0"/>
      <w:divBdr>
        <w:top w:val="none" w:sz="0" w:space="0" w:color="auto"/>
        <w:left w:val="none" w:sz="0" w:space="0" w:color="auto"/>
        <w:bottom w:val="none" w:sz="0" w:space="0" w:color="auto"/>
        <w:right w:val="none" w:sz="0" w:space="0" w:color="auto"/>
      </w:divBdr>
      <w:divsChild>
        <w:div w:id="480075849">
          <w:marLeft w:val="0"/>
          <w:marRight w:val="0"/>
          <w:marTop w:val="0"/>
          <w:marBottom w:val="0"/>
          <w:divBdr>
            <w:top w:val="none" w:sz="0" w:space="0" w:color="auto"/>
            <w:left w:val="none" w:sz="0" w:space="0" w:color="auto"/>
            <w:bottom w:val="none" w:sz="0" w:space="0" w:color="auto"/>
            <w:right w:val="none" w:sz="0" w:space="0" w:color="auto"/>
          </w:divBdr>
          <w:divsChild>
            <w:div w:id="599145634">
              <w:marLeft w:val="0"/>
              <w:marRight w:val="0"/>
              <w:marTop w:val="0"/>
              <w:marBottom w:val="0"/>
              <w:divBdr>
                <w:top w:val="none" w:sz="0" w:space="0" w:color="auto"/>
                <w:left w:val="none" w:sz="0" w:space="0" w:color="auto"/>
                <w:bottom w:val="none" w:sz="0" w:space="0" w:color="auto"/>
                <w:right w:val="none" w:sz="0" w:space="0" w:color="auto"/>
              </w:divBdr>
              <w:divsChild>
                <w:div w:id="28273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485981">
      <w:bodyDiv w:val="1"/>
      <w:marLeft w:val="0"/>
      <w:marRight w:val="0"/>
      <w:marTop w:val="0"/>
      <w:marBottom w:val="0"/>
      <w:divBdr>
        <w:top w:val="none" w:sz="0" w:space="0" w:color="auto"/>
        <w:left w:val="none" w:sz="0" w:space="0" w:color="auto"/>
        <w:bottom w:val="none" w:sz="0" w:space="0" w:color="auto"/>
        <w:right w:val="none" w:sz="0" w:space="0" w:color="auto"/>
      </w:divBdr>
    </w:div>
    <w:div w:id="1822236860">
      <w:bodyDiv w:val="1"/>
      <w:marLeft w:val="0"/>
      <w:marRight w:val="0"/>
      <w:marTop w:val="0"/>
      <w:marBottom w:val="0"/>
      <w:divBdr>
        <w:top w:val="none" w:sz="0" w:space="0" w:color="auto"/>
        <w:left w:val="none" w:sz="0" w:space="0" w:color="auto"/>
        <w:bottom w:val="none" w:sz="0" w:space="0" w:color="auto"/>
        <w:right w:val="none" w:sz="0" w:space="0" w:color="auto"/>
      </w:divBdr>
      <w:divsChild>
        <w:div w:id="1693413510">
          <w:marLeft w:val="0"/>
          <w:marRight w:val="0"/>
          <w:marTop w:val="0"/>
          <w:marBottom w:val="0"/>
          <w:divBdr>
            <w:top w:val="none" w:sz="0" w:space="0" w:color="auto"/>
            <w:left w:val="none" w:sz="0" w:space="0" w:color="auto"/>
            <w:bottom w:val="none" w:sz="0" w:space="0" w:color="auto"/>
            <w:right w:val="none" w:sz="0" w:space="0" w:color="auto"/>
          </w:divBdr>
          <w:divsChild>
            <w:div w:id="1554924771">
              <w:marLeft w:val="0"/>
              <w:marRight w:val="0"/>
              <w:marTop w:val="0"/>
              <w:marBottom w:val="0"/>
              <w:divBdr>
                <w:top w:val="none" w:sz="0" w:space="0" w:color="auto"/>
                <w:left w:val="none" w:sz="0" w:space="0" w:color="auto"/>
                <w:bottom w:val="none" w:sz="0" w:space="0" w:color="auto"/>
                <w:right w:val="none" w:sz="0" w:space="0" w:color="auto"/>
              </w:divBdr>
              <w:divsChild>
                <w:div w:id="105272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752689">
      <w:bodyDiv w:val="1"/>
      <w:marLeft w:val="0"/>
      <w:marRight w:val="0"/>
      <w:marTop w:val="0"/>
      <w:marBottom w:val="0"/>
      <w:divBdr>
        <w:top w:val="none" w:sz="0" w:space="0" w:color="auto"/>
        <w:left w:val="none" w:sz="0" w:space="0" w:color="auto"/>
        <w:bottom w:val="none" w:sz="0" w:space="0" w:color="auto"/>
        <w:right w:val="none" w:sz="0" w:space="0" w:color="auto"/>
      </w:divBdr>
    </w:div>
    <w:div w:id="1854567597">
      <w:bodyDiv w:val="1"/>
      <w:marLeft w:val="0"/>
      <w:marRight w:val="0"/>
      <w:marTop w:val="0"/>
      <w:marBottom w:val="0"/>
      <w:divBdr>
        <w:top w:val="none" w:sz="0" w:space="0" w:color="auto"/>
        <w:left w:val="none" w:sz="0" w:space="0" w:color="auto"/>
        <w:bottom w:val="none" w:sz="0" w:space="0" w:color="auto"/>
        <w:right w:val="none" w:sz="0" w:space="0" w:color="auto"/>
      </w:divBdr>
    </w:div>
    <w:div w:id="1997803222">
      <w:bodyDiv w:val="1"/>
      <w:marLeft w:val="0"/>
      <w:marRight w:val="0"/>
      <w:marTop w:val="0"/>
      <w:marBottom w:val="0"/>
      <w:divBdr>
        <w:top w:val="none" w:sz="0" w:space="0" w:color="auto"/>
        <w:left w:val="none" w:sz="0" w:space="0" w:color="auto"/>
        <w:bottom w:val="none" w:sz="0" w:space="0" w:color="auto"/>
        <w:right w:val="none" w:sz="0" w:space="0" w:color="auto"/>
      </w:divBdr>
    </w:div>
    <w:div w:id="2007587999">
      <w:bodyDiv w:val="1"/>
      <w:marLeft w:val="0"/>
      <w:marRight w:val="0"/>
      <w:marTop w:val="0"/>
      <w:marBottom w:val="0"/>
      <w:divBdr>
        <w:top w:val="none" w:sz="0" w:space="0" w:color="auto"/>
        <w:left w:val="none" w:sz="0" w:space="0" w:color="auto"/>
        <w:bottom w:val="none" w:sz="0" w:space="0" w:color="auto"/>
        <w:right w:val="none" w:sz="0" w:space="0" w:color="auto"/>
      </w:divBdr>
      <w:divsChild>
        <w:div w:id="1697535295">
          <w:marLeft w:val="0"/>
          <w:marRight w:val="0"/>
          <w:marTop w:val="0"/>
          <w:marBottom w:val="0"/>
          <w:divBdr>
            <w:top w:val="none" w:sz="0" w:space="0" w:color="auto"/>
            <w:left w:val="none" w:sz="0" w:space="0" w:color="auto"/>
            <w:bottom w:val="none" w:sz="0" w:space="0" w:color="auto"/>
            <w:right w:val="none" w:sz="0" w:space="0" w:color="auto"/>
          </w:divBdr>
          <w:divsChild>
            <w:div w:id="524053801">
              <w:marLeft w:val="0"/>
              <w:marRight w:val="0"/>
              <w:marTop w:val="0"/>
              <w:marBottom w:val="0"/>
              <w:divBdr>
                <w:top w:val="none" w:sz="0" w:space="0" w:color="auto"/>
                <w:left w:val="none" w:sz="0" w:space="0" w:color="auto"/>
                <w:bottom w:val="none" w:sz="0" w:space="0" w:color="auto"/>
                <w:right w:val="none" w:sz="0" w:space="0" w:color="auto"/>
              </w:divBdr>
              <w:divsChild>
                <w:div w:id="107860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76811">
      <w:bodyDiv w:val="1"/>
      <w:marLeft w:val="0"/>
      <w:marRight w:val="0"/>
      <w:marTop w:val="0"/>
      <w:marBottom w:val="0"/>
      <w:divBdr>
        <w:top w:val="none" w:sz="0" w:space="0" w:color="auto"/>
        <w:left w:val="none" w:sz="0" w:space="0" w:color="auto"/>
        <w:bottom w:val="none" w:sz="0" w:space="0" w:color="auto"/>
        <w:right w:val="none" w:sz="0" w:space="0" w:color="auto"/>
      </w:divBdr>
    </w:div>
    <w:div w:id="2023045626">
      <w:bodyDiv w:val="1"/>
      <w:marLeft w:val="0"/>
      <w:marRight w:val="0"/>
      <w:marTop w:val="0"/>
      <w:marBottom w:val="0"/>
      <w:divBdr>
        <w:top w:val="none" w:sz="0" w:space="0" w:color="auto"/>
        <w:left w:val="none" w:sz="0" w:space="0" w:color="auto"/>
        <w:bottom w:val="none" w:sz="0" w:space="0" w:color="auto"/>
        <w:right w:val="none" w:sz="0" w:space="0" w:color="auto"/>
      </w:divBdr>
      <w:divsChild>
        <w:div w:id="1957785534">
          <w:marLeft w:val="0"/>
          <w:marRight w:val="0"/>
          <w:marTop w:val="0"/>
          <w:marBottom w:val="0"/>
          <w:divBdr>
            <w:top w:val="none" w:sz="0" w:space="0" w:color="auto"/>
            <w:left w:val="none" w:sz="0" w:space="0" w:color="auto"/>
            <w:bottom w:val="none" w:sz="0" w:space="0" w:color="auto"/>
            <w:right w:val="none" w:sz="0" w:space="0" w:color="auto"/>
          </w:divBdr>
          <w:divsChild>
            <w:div w:id="1492911274">
              <w:marLeft w:val="0"/>
              <w:marRight w:val="0"/>
              <w:marTop w:val="0"/>
              <w:marBottom w:val="0"/>
              <w:divBdr>
                <w:top w:val="none" w:sz="0" w:space="0" w:color="auto"/>
                <w:left w:val="none" w:sz="0" w:space="0" w:color="auto"/>
                <w:bottom w:val="none" w:sz="0" w:space="0" w:color="auto"/>
                <w:right w:val="none" w:sz="0" w:space="0" w:color="auto"/>
              </w:divBdr>
              <w:divsChild>
                <w:div w:id="22757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99693">
      <w:bodyDiv w:val="1"/>
      <w:marLeft w:val="0"/>
      <w:marRight w:val="0"/>
      <w:marTop w:val="0"/>
      <w:marBottom w:val="0"/>
      <w:divBdr>
        <w:top w:val="none" w:sz="0" w:space="0" w:color="auto"/>
        <w:left w:val="none" w:sz="0" w:space="0" w:color="auto"/>
        <w:bottom w:val="none" w:sz="0" w:space="0" w:color="auto"/>
        <w:right w:val="none" w:sz="0" w:space="0" w:color="auto"/>
      </w:divBdr>
      <w:divsChild>
        <w:div w:id="1805346576">
          <w:marLeft w:val="0"/>
          <w:marRight w:val="0"/>
          <w:marTop w:val="0"/>
          <w:marBottom w:val="0"/>
          <w:divBdr>
            <w:top w:val="none" w:sz="0" w:space="0" w:color="auto"/>
            <w:left w:val="none" w:sz="0" w:space="0" w:color="auto"/>
            <w:bottom w:val="none" w:sz="0" w:space="0" w:color="auto"/>
            <w:right w:val="none" w:sz="0" w:space="0" w:color="auto"/>
          </w:divBdr>
          <w:divsChild>
            <w:div w:id="1215695432">
              <w:marLeft w:val="0"/>
              <w:marRight w:val="0"/>
              <w:marTop w:val="0"/>
              <w:marBottom w:val="0"/>
              <w:divBdr>
                <w:top w:val="none" w:sz="0" w:space="0" w:color="auto"/>
                <w:left w:val="none" w:sz="0" w:space="0" w:color="auto"/>
                <w:bottom w:val="none" w:sz="0" w:space="0" w:color="auto"/>
                <w:right w:val="none" w:sz="0" w:space="0" w:color="auto"/>
              </w:divBdr>
              <w:divsChild>
                <w:div w:id="175836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31056">
      <w:bodyDiv w:val="1"/>
      <w:marLeft w:val="0"/>
      <w:marRight w:val="0"/>
      <w:marTop w:val="0"/>
      <w:marBottom w:val="0"/>
      <w:divBdr>
        <w:top w:val="none" w:sz="0" w:space="0" w:color="auto"/>
        <w:left w:val="none" w:sz="0" w:space="0" w:color="auto"/>
        <w:bottom w:val="none" w:sz="0" w:space="0" w:color="auto"/>
        <w:right w:val="none" w:sz="0" w:space="0" w:color="auto"/>
      </w:divBdr>
      <w:divsChild>
        <w:div w:id="977418270">
          <w:marLeft w:val="0"/>
          <w:marRight w:val="0"/>
          <w:marTop w:val="0"/>
          <w:marBottom w:val="0"/>
          <w:divBdr>
            <w:top w:val="none" w:sz="0" w:space="0" w:color="auto"/>
            <w:left w:val="none" w:sz="0" w:space="0" w:color="auto"/>
            <w:bottom w:val="none" w:sz="0" w:space="0" w:color="auto"/>
            <w:right w:val="none" w:sz="0" w:space="0" w:color="auto"/>
          </w:divBdr>
          <w:divsChild>
            <w:div w:id="1354724765">
              <w:marLeft w:val="0"/>
              <w:marRight w:val="0"/>
              <w:marTop w:val="0"/>
              <w:marBottom w:val="0"/>
              <w:divBdr>
                <w:top w:val="none" w:sz="0" w:space="0" w:color="auto"/>
                <w:left w:val="none" w:sz="0" w:space="0" w:color="auto"/>
                <w:bottom w:val="none" w:sz="0" w:space="0" w:color="auto"/>
                <w:right w:val="none" w:sz="0" w:space="0" w:color="auto"/>
              </w:divBdr>
              <w:divsChild>
                <w:div w:id="2687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527426">
      <w:bodyDiv w:val="1"/>
      <w:marLeft w:val="0"/>
      <w:marRight w:val="0"/>
      <w:marTop w:val="0"/>
      <w:marBottom w:val="0"/>
      <w:divBdr>
        <w:top w:val="none" w:sz="0" w:space="0" w:color="auto"/>
        <w:left w:val="none" w:sz="0" w:space="0" w:color="auto"/>
        <w:bottom w:val="none" w:sz="0" w:space="0" w:color="auto"/>
        <w:right w:val="none" w:sz="0" w:space="0" w:color="auto"/>
      </w:divBdr>
    </w:div>
    <w:div w:id="2112624257">
      <w:bodyDiv w:val="1"/>
      <w:marLeft w:val="0"/>
      <w:marRight w:val="0"/>
      <w:marTop w:val="0"/>
      <w:marBottom w:val="0"/>
      <w:divBdr>
        <w:top w:val="none" w:sz="0" w:space="0" w:color="auto"/>
        <w:left w:val="none" w:sz="0" w:space="0" w:color="auto"/>
        <w:bottom w:val="none" w:sz="0" w:space="0" w:color="auto"/>
        <w:right w:val="none" w:sz="0" w:space="0" w:color="auto"/>
      </w:divBdr>
    </w:div>
    <w:div w:id="2141342131">
      <w:bodyDiv w:val="1"/>
      <w:marLeft w:val="0"/>
      <w:marRight w:val="0"/>
      <w:marTop w:val="0"/>
      <w:marBottom w:val="0"/>
      <w:divBdr>
        <w:top w:val="none" w:sz="0" w:space="0" w:color="auto"/>
        <w:left w:val="none" w:sz="0" w:space="0" w:color="auto"/>
        <w:bottom w:val="none" w:sz="0" w:space="0" w:color="auto"/>
        <w:right w:val="none" w:sz="0" w:space="0" w:color="auto"/>
      </w:divBdr>
    </w:div>
    <w:div w:id="2144886123">
      <w:bodyDiv w:val="1"/>
      <w:marLeft w:val="0"/>
      <w:marRight w:val="0"/>
      <w:marTop w:val="0"/>
      <w:marBottom w:val="0"/>
      <w:divBdr>
        <w:top w:val="none" w:sz="0" w:space="0" w:color="auto"/>
        <w:left w:val="none" w:sz="0" w:space="0" w:color="auto"/>
        <w:bottom w:val="none" w:sz="0" w:space="0" w:color="auto"/>
        <w:right w:val="none" w:sz="0" w:space="0" w:color="auto"/>
      </w:divBdr>
      <w:divsChild>
        <w:div w:id="1729066603">
          <w:marLeft w:val="0"/>
          <w:marRight w:val="0"/>
          <w:marTop w:val="0"/>
          <w:marBottom w:val="0"/>
          <w:divBdr>
            <w:top w:val="none" w:sz="0" w:space="0" w:color="auto"/>
            <w:left w:val="none" w:sz="0" w:space="0" w:color="auto"/>
            <w:bottom w:val="none" w:sz="0" w:space="0" w:color="auto"/>
            <w:right w:val="none" w:sz="0" w:space="0" w:color="auto"/>
          </w:divBdr>
          <w:divsChild>
            <w:div w:id="733092098">
              <w:marLeft w:val="0"/>
              <w:marRight w:val="0"/>
              <w:marTop w:val="0"/>
              <w:marBottom w:val="0"/>
              <w:divBdr>
                <w:top w:val="none" w:sz="0" w:space="0" w:color="auto"/>
                <w:left w:val="none" w:sz="0" w:space="0" w:color="auto"/>
                <w:bottom w:val="none" w:sz="0" w:space="0" w:color="auto"/>
                <w:right w:val="none" w:sz="0" w:space="0" w:color="auto"/>
              </w:divBdr>
              <w:divsChild>
                <w:div w:id="176391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803295">
      <w:bodyDiv w:val="1"/>
      <w:marLeft w:val="0"/>
      <w:marRight w:val="0"/>
      <w:marTop w:val="0"/>
      <w:marBottom w:val="0"/>
      <w:divBdr>
        <w:top w:val="none" w:sz="0" w:space="0" w:color="auto"/>
        <w:left w:val="none" w:sz="0" w:space="0" w:color="auto"/>
        <w:bottom w:val="none" w:sz="0" w:space="0" w:color="auto"/>
        <w:right w:val="none" w:sz="0" w:space="0" w:color="auto"/>
      </w:divBdr>
      <w:divsChild>
        <w:div w:id="754017610">
          <w:marLeft w:val="0"/>
          <w:marRight w:val="0"/>
          <w:marTop w:val="0"/>
          <w:marBottom w:val="0"/>
          <w:divBdr>
            <w:top w:val="none" w:sz="0" w:space="0" w:color="auto"/>
            <w:left w:val="none" w:sz="0" w:space="0" w:color="auto"/>
            <w:bottom w:val="none" w:sz="0" w:space="0" w:color="auto"/>
            <w:right w:val="none" w:sz="0" w:space="0" w:color="auto"/>
          </w:divBdr>
          <w:divsChild>
            <w:div w:id="551623403">
              <w:marLeft w:val="0"/>
              <w:marRight w:val="0"/>
              <w:marTop w:val="0"/>
              <w:marBottom w:val="0"/>
              <w:divBdr>
                <w:top w:val="none" w:sz="0" w:space="0" w:color="auto"/>
                <w:left w:val="none" w:sz="0" w:space="0" w:color="auto"/>
                <w:bottom w:val="none" w:sz="0" w:space="0" w:color="auto"/>
                <w:right w:val="none" w:sz="0" w:space="0" w:color="auto"/>
              </w:divBdr>
              <w:divsChild>
                <w:div w:id="158637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C2E61-A1F2-EB43-8D13-7FD48B360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8549</TotalTime>
  <Pages>65</Pages>
  <Words>15591</Words>
  <Characters>88871</Characters>
  <Application>Microsoft Macintosh Word</Application>
  <DocSecurity>0</DocSecurity>
  <Lines>740</Lines>
  <Paragraphs>208</Paragraphs>
  <ScaleCrop>false</ScaleCrop>
  <Company>Minarici</Company>
  <LinksUpToDate>false</LinksUpToDate>
  <CharactersWithSpaces>104254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MacBook Air</cp:lastModifiedBy>
  <cp:revision>712</cp:revision>
  <cp:lastPrinted>2020-04-02T09:14:00Z</cp:lastPrinted>
  <dcterms:created xsi:type="dcterms:W3CDTF">2019-08-07T09:36:00Z</dcterms:created>
  <dcterms:modified xsi:type="dcterms:W3CDTF">2020-04-07T07:07:00Z</dcterms:modified>
</cp:coreProperties>
</file>