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7BD3" w14:textId="77777777" w:rsidR="00AE61D8" w:rsidRPr="00DF1F13" w:rsidRDefault="00AE61D8" w:rsidP="00AE61D8">
      <w:pPr>
        <w:spacing w:after="0" w:line="240" w:lineRule="auto"/>
        <w:jc w:val="center"/>
        <w:rPr>
          <w:rFonts w:ascii="Times New Roman" w:eastAsia="Times New Roman" w:hAnsi="Times New Roman" w:cs="Times New Roman"/>
          <w:b/>
          <w:bCs/>
          <w:sz w:val="40"/>
          <w:szCs w:val="40"/>
          <w:lang w:val="en-US" w:bidi="ar-SA"/>
        </w:rPr>
      </w:pPr>
      <w:r w:rsidRPr="00DF1F13">
        <w:rPr>
          <w:rFonts w:ascii="Times New Roman" w:eastAsia="Times New Roman" w:hAnsi="Times New Roman" w:cs="Times New Roman"/>
          <w:b/>
          <w:bCs/>
          <w:sz w:val="40"/>
          <w:szCs w:val="40"/>
          <w:lang w:val="en-US" w:bidi="ar-SA"/>
        </w:rPr>
        <w:t>Palacký University in Olomouc</w:t>
      </w:r>
    </w:p>
    <w:p w14:paraId="770D234B" w14:textId="77777777" w:rsidR="00AE61D8" w:rsidRPr="00DF1F13" w:rsidRDefault="00AE61D8" w:rsidP="00AE61D8">
      <w:pPr>
        <w:spacing w:after="0" w:line="240" w:lineRule="auto"/>
        <w:jc w:val="center"/>
        <w:rPr>
          <w:rFonts w:ascii="Times New Roman" w:eastAsia="Times New Roman" w:hAnsi="Times New Roman" w:cs="Times New Roman"/>
          <w:b/>
          <w:bCs/>
          <w:sz w:val="40"/>
          <w:szCs w:val="40"/>
          <w:lang w:val="en-US" w:bidi="ar-SA"/>
        </w:rPr>
      </w:pPr>
      <w:r w:rsidRPr="00DF1F13">
        <w:rPr>
          <w:rFonts w:ascii="Times New Roman" w:eastAsia="Times New Roman" w:hAnsi="Times New Roman" w:cs="Times New Roman"/>
          <w:b/>
          <w:bCs/>
          <w:sz w:val="40"/>
          <w:szCs w:val="40"/>
          <w:lang w:val="en-US" w:bidi="ar-SA"/>
        </w:rPr>
        <w:t>Faculty of Law</w:t>
      </w:r>
    </w:p>
    <w:p w14:paraId="6A28AA4F" w14:textId="77777777" w:rsidR="00AE61D8" w:rsidRPr="00DF1F13" w:rsidRDefault="00AE61D8" w:rsidP="00AE61D8">
      <w:pPr>
        <w:spacing w:after="0" w:line="240" w:lineRule="auto"/>
        <w:rPr>
          <w:rFonts w:ascii="Times New Roman" w:eastAsia="Times New Roman" w:hAnsi="Times New Roman" w:cs="Times New Roman"/>
          <w:b/>
          <w:bCs/>
          <w:sz w:val="40"/>
          <w:szCs w:val="40"/>
          <w:lang w:val="en-US" w:bidi="ar-SA"/>
        </w:rPr>
      </w:pPr>
    </w:p>
    <w:p w14:paraId="56F2F867" w14:textId="77777777" w:rsidR="00AE61D8" w:rsidRPr="00DF1F13" w:rsidRDefault="00AE61D8" w:rsidP="00AE61D8">
      <w:pPr>
        <w:spacing w:after="0" w:line="240" w:lineRule="auto"/>
        <w:rPr>
          <w:rFonts w:ascii="Times New Roman" w:eastAsia="Times New Roman" w:hAnsi="Times New Roman" w:cs="Times New Roman"/>
          <w:b/>
          <w:bCs/>
          <w:sz w:val="40"/>
          <w:szCs w:val="40"/>
          <w:lang w:val="en-US" w:bidi="ar-SA"/>
        </w:rPr>
      </w:pPr>
    </w:p>
    <w:p w14:paraId="54CAF5C0" w14:textId="09E81789" w:rsidR="00AE61D8"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r w:rsidRPr="00DF1F13">
        <w:rPr>
          <w:rFonts w:ascii="Times New Roman" w:hAnsi="Times New Roman" w:cs="Times New Roman"/>
          <w:noProof/>
          <w:lang w:val="cs-CZ" w:eastAsia="cs-CZ" w:bidi="ar-SA"/>
        </w:rPr>
        <w:drawing>
          <wp:inline distT="0" distB="0" distL="0" distR="0" wp14:anchorId="27DB9426" wp14:editId="425DE127">
            <wp:extent cx="1552575" cy="1552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2575" cy="1552575"/>
                    </a:xfrm>
                    <a:prstGeom prst="rect">
                      <a:avLst/>
                    </a:prstGeom>
                  </pic:spPr>
                </pic:pic>
              </a:graphicData>
            </a:graphic>
          </wp:inline>
        </w:drawing>
      </w:r>
      <w:bookmarkStart w:id="0" w:name="_GoBack"/>
      <w:bookmarkEnd w:id="0"/>
    </w:p>
    <w:p w14:paraId="69878E16" w14:textId="77777777" w:rsidR="00AE61D8" w:rsidRPr="00DF1F13" w:rsidRDefault="00AE61D8" w:rsidP="00CA45AA">
      <w:pPr>
        <w:spacing w:after="0" w:line="240" w:lineRule="auto"/>
        <w:rPr>
          <w:rFonts w:ascii="Times New Roman" w:eastAsia="Times New Roman" w:hAnsi="Times New Roman" w:cs="Times New Roman"/>
          <w:b/>
          <w:bCs/>
          <w:sz w:val="40"/>
          <w:szCs w:val="40"/>
          <w:lang w:val="en-US" w:bidi="ar-SA"/>
        </w:rPr>
      </w:pPr>
    </w:p>
    <w:p w14:paraId="3A19C608" w14:textId="77777777" w:rsidR="00AE61D8" w:rsidRPr="00DF1F13" w:rsidRDefault="00AE61D8" w:rsidP="00AE61D8">
      <w:pPr>
        <w:spacing w:after="0" w:line="240" w:lineRule="auto"/>
        <w:jc w:val="center"/>
        <w:rPr>
          <w:rFonts w:ascii="Times New Roman" w:eastAsia="Times New Roman" w:hAnsi="Times New Roman" w:cs="Times New Roman"/>
          <w:b/>
          <w:bCs/>
          <w:sz w:val="40"/>
          <w:szCs w:val="40"/>
          <w:lang w:val="en-US" w:bidi="ar-SA"/>
        </w:rPr>
      </w:pPr>
    </w:p>
    <w:p w14:paraId="610C6A5F" w14:textId="77777777" w:rsidR="00AE61D8" w:rsidRPr="00DF1F13" w:rsidRDefault="00AE61D8" w:rsidP="00AE61D8">
      <w:pPr>
        <w:spacing w:after="0" w:line="240" w:lineRule="auto"/>
        <w:jc w:val="center"/>
        <w:rPr>
          <w:rFonts w:ascii="Times New Roman" w:eastAsia="Times New Roman" w:hAnsi="Times New Roman" w:cs="Times New Roman"/>
          <w:b/>
          <w:bCs/>
          <w:sz w:val="40"/>
          <w:szCs w:val="40"/>
          <w:lang w:val="en-US" w:bidi="ar-SA"/>
        </w:rPr>
      </w:pPr>
    </w:p>
    <w:p w14:paraId="4E0FE5B0" w14:textId="00C64E94" w:rsidR="00AE61D8" w:rsidRPr="00DF1F13" w:rsidRDefault="00A64946" w:rsidP="00AE61D8">
      <w:pPr>
        <w:spacing w:after="0" w:line="240" w:lineRule="auto"/>
        <w:jc w:val="center"/>
        <w:rPr>
          <w:rFonts w:ascii="Times New Roman" w:eastAsia="Times New Roman" w:hAnsi="Times New Roman" w:cs="Times New Roman"/>
          <w:b/>
          <w:bCs/>
          <w:sz w:val="40"/>
          <w:szCs w:val="40"/>
          <w:lang w:val="en-US" w:bidi="ar-SA"/>
        </w:rPr>
      </w:pPr>
      <w:r w:rsidRPr="00DF1F13">
        <w:rPr>
          <w:rFonts w:ascii="Times New Roman" w:eastAsia="Times New Roman" w:hAnsi="Times New Roman" w:cs="Times New Roman"/>
          <w:b/>
          <w:bCs/>
          <w:sz w:val="40"/>
          <w:szCs w:val="40"/>
          <w:lang w:val="en-US" w:bidi="ar-SA"/>
        </w:rPr>
        <w:t>Fodé Traoré</w:t>
      </w:r>
    </w:p>
    <w:p w14:paraId="3ED8315A" w14:textId="77777777" w:rsidR="00AE61D8" w:rsidRPr="00DF1F13" w:rsidRDefault="00AE61D8" w:rsidP="00AE61D8">
      <w:pPr>
        <w:spacing w:after="0" w:line="240" w:lineRule="auto"/>
        <w:jc w:val="center"/>
        <w:rPr>
          <w:rFonts w:ascii="Times New Roman" w:eastAsia="Times New Roman" w:hAnsi="Times New Roman" w:cs="Times New Roman"/>
          <w:b/>
          <w:bCs/>
          <w:sz w:val="40"/>
          <w:szCs w:val="40"/>
          <w:lang w:val="en-US" w:bidi="ar-SA"/>
        </w:rPr>
      </w:pPr>
    </w:p>
    <w:p w14:paraId="62FDFCF4" w14:textId="5F120168" w:rsidR="00AE61D8" w:rsidRPr="00DF1F13" w:rsidRDefault="00A64946" w:rsidP="00AE61D8">
      <w:pPr>
        <w:jc w:val="center"/>
        <w:rPr>
          <w:rFonts w:ascii="Times New Roman" w:eastAsia="Times New Roman" w:hAnsi="Times New Roman" w:cs="Times New Roman"/>
          <w:b/>
          <w:bCs/>
          <w:sz w:val="40"/>
          <w:szCs w:val="40"/>
          <w:lang w:val="en-US" w:bidi="ar-SA"/>
        </w:rPr>
      </w:pPr>
      <w:r w:rsidRPr="00DF1F13">
        <w:rPr>
          <w:rFonts w:ascii="Times New Roman" w:eastAsia="Times New Roman" w:hAnsi="Times New Roman" w:cs="Times New Roman"/>
          <w:b/>
          <w:bCs/>
          <w:sz w:val="40"/>
          <w:szCs w:val="40"/>
          <w:lang w:val="en-US" w:bidi="ar-SA"/>
        </w:rPr>
        <w:t>The International Criminal Court and the Head of States Immunity</w:t>
      </w:r>
    </w:p>
    <w:p w14:paraId="1751C94C" w14:textId="77777777" w:rsidR="00AE61D8" w:rsidRPr="00DF1F13" w:rsidRDefault="00AE61D8" w:rsidP="00AE61D8">
      <w:pPr>
        <w:spacing w:after="0" w:line="240" w:lineRule="auto"/>
        <w:rPr>
          <w:rFonts w:ascii="Times New Roman" w:eastAsia="Times New Roman" w:hAnsi="Times New Roman" w:cs="Times New Roman"/>
          <w:b/>
          <w:bCs/>
          <w:sz w:val="40"/>
          <w:szCs w:val="40"/>
          <w:lang w:val="en-US" w:bidi="ar-SA"/>
        </w:rPr>
      </w:pPr>
    </w:p>
    <w:p w14:paraId="42E097CD"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6BA6F087"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43680A4C" w14:textId="3D2C6838" w:rsidR="00AE61D8" w:rsidRPr="00DF1F13" w:rsidRDefault="00AE61D8" w:rsidP="00CA45AA">
      <w:pPr>
        <w:spacing w:after="0" w:line="240" w:lineRule="auto"/>
        <w:jc w:val="center"/>
        <w:rPr>
          <w:rFonts w:ascii="Times New Roman" w:eastAsia="Times New Roman" w:hAnsi="Times New Roman" w:cs="Times New Roman"/>
          <w:b/>
          <w:bCs/>
          <w:sz w:val="40"/>
          <w:szCs w:val="40"/>
          <w:lang w:val="en-US" w:bidi="ar-SA"/>
        </w:rPr>
      </w:pPr>
      <w:r w:rsidRPr="00DF1F13">
        <w:rPr>
          <w:rFonts w:ascii="Times New Roman" w:eastAsia="Times New Roman" w:hAnsi="Times New Roman" w:cs="Times New Roman"/>
          <w:b/>
          <w:bCs/>
          <w:sz w:val="40"/>
          <w:szCs w:val="40"/>
          <w:lang w:val="en-US" w:bidi="ar-SA"/>
        </w:rPr>
        <w:t>Master’s Thesis</w:t>
      </w:r>
    </w:p>
    <w:p w14:paraId="361C9073"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6F436C30"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26141963"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6DE20486"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79C5CF32"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143ACB46" w14:textId="77777777" w:rsidR="00CA45AA" w:rsidRPr="00DF1F13" w:rsidRDefault="00CA45AA" w:rsidP="00CA45AA">
      <w:pPr>
        <w:spacing w:after="0" w:line="240" w:lineRule="auto"/>
        <w:jc w:val="center"/>
        <w:rPr>
          <w:rFonts w:ascii="Times New Roman" w:eastAsia="Times New Roman" w:hAnsi="Times New Roman" w:cs="Times New Roman"/>
          <w:b/>
          <w:bCs/>
          <w:sz w:val="40"/>
          <w:szCs w:val="40"/>
          <w:lang w:val="en-US" w:bidi="ar-SA"/>
        </w:rPr>
      </w:pPr>
    </w:p>
    <w:p w14:paraId="7A4E3A93" w14:textId="4E692E3C" w:rsidR="006A1879" w:rsidRPr="00DF1F13" w:rsidRDefault="006A1879" w:rsidP="005307BF">
      <w:pPr>
        <w:tabs>
          <w:tab w:val="left" w:pos="3372"/>
          <w:tab w:val="center" w:pos="4680"/>
        </w:tabs>
        <w:spacing w:after="0" w:line="240" w:lineRule="auto"/>
        <w:rPr>
          <w:rFonts w:ascii="Times New Roman" w:eastAsia="Times New Roman" w:hAnsi="Times New Roman" w:cs="Times New Roman"/>
          <w:b/>
          <w:bCs/>
          <w:sz w:val="40"/>
          <w:szCs w:val="40"/>
          <w:lang w:val="en-US" w:bidi="ar-SA"/>
        </w:rPr>
        <w:sectPr w:rsidR="006A1879" w:rsidRPr="00DF1F13" w:rsidSect="006A1879">
          <w:footerReference w:type="default" r:id="rId9"/>
          <w:footerReference w:type="first" r:id="rId10"/>
          <w:pgSz w:w="12240" w:h="15840"/>
          <w:pgMar w:top="1440" w:right="1440" w:bottom="1440" w:left="1440" w:header="720" w:footer="720" w:gutter="0"/>
          <w:pgNumType w:fmt="lowerRoman" w:start="1"/>
          <w:cols w:space="720"/>
          <w:titlePg/>
          <w:docGrid w:linePitch="360"/>
        </w:sectPr>
      </w:pPr>
      <w:r w:rsidRPr="00DF1F13">
        <w:rPr>
          <w:rFonts w:ascii="Times New Roman" w:eastAsia="Times New Roman" w:hAnsi="Times New Roman" w:cs="Times New Roman"/>
          <w:b/>
          <w:bCs/>
          <w:sz w:val="40"/>
          <w:szCs w:val="40"/>
          <w:lang w:val="en-US" w:bidi="ar-SA"/>
        </w:rPr>
        <w:tab/>
      </w:r>
      <w:r w:rsidRPr="00DF1F13">
        <w:rPr>
          <w:rFonts w:ascii="Times New Roman" w:eastAsia="Times New Roman" w:hAnsi="Times New Roman" w:cs="Times New Roman"/>
          <w:b/>
          <w:bCs/>
          <w:sz w:val="40"/>
          <w:szCs w:val="40"/>
          <w:lang w:val="en-US" w:bidi="ar-SA"/>
        </w:rPr>
        <w:tab/>
      </w:r>
      <w:r w:rsidR="00AE61D8" w:rsidRPr="00DF1F13">
        <w:rPr>
          <w:rFonts w:ascii="Times New Roman" w:eastAsia="Times New Roman" w:hAnsi="Times New Roman" w:cs="Times New Roman"/>
          <w:b/>
          <w:bCs/>
          <w:sz w:val="40"/>
          <w:szCs w:val="40"/>
          <w:lang w:val="en-US" w:bidi="ar-SA"/>
        </w:rPr>
        <w:t>Olomouc 202</w:t>
      </w:r>
      <w:r w:rsidR="00E654D9">
        <w:rPr>
          <w:rFonts w:ascii="Times New Roman" w:eastAsia="Times New Roman" w:hAnsi="Times New Roman" w:cs="Times New Roman"/>
          <w:b/>
          <w:bCs/>
          <w:sz w:val="40"/>
          <w:szCs w:val="40"/>
          <w:lang w:val="en-US" w:bidi="ar-SA"/>
        </w:rPr>
        <w:t>2</w:t>
      </w:r>
    </w:p>
    <w:p w14:paraId="50AE837D" w14:textId="4E6A1597" w:rsidR="00F44A84" w:rsidRPr="00F44A84" w:rsidRDefault="00F44A84" w:rsidP="00C66CC0">
      <w:pPr>
        <w:spacing w:line="259" w:lineRule="auto"/>
        <w:rPr>
          <w:rFonts w:ascii="Times New Roman" w:hAnsi="Times New Roman" w:cs="Times New Roman"/>
          <w:b/>
          <w:bCs/>
          <w:sz w:val="32"/>
          <w:szCs w:val="32"/>
          <w:lang w:val="en-US"/>
        </w:rPr>
      </w:pPr>
      <w:r w:rsidRPr="00F44A84">
        <w:rPr>
          <w:rFonts w:ascii="Times New Roman" w:hAnsi="Times New Roman" w:cs="Times New Roman"/>
          <w:b/>
          <w:bCs/>
          <w:sz w:val="32"/>
          <w:szCs w:val="32"/>
          <w:lang w:val="en-US"/>
        </w:rPr>
        <w:lastRenderedPageBreak/>
        <w:t>Abstract</w:t>
      </w:r>
    </w:p>
    <w:p w14:paraId="5C7C2FCB" w14:textId="77777777" w:rsidR="00F44A84" w:rsidRPr="00DF1F13" w:rsidRDefault="00F44A84" w:rsidP="00F44A84">
      <w:pPr>
        <w:spacing w:before="12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During a long period of time, many states have failed to investigate and prosecute their own officials and agents accused to be the perpetrators of a serious international crimes.</w:t>
      </w:r>
    </w:p>
    <w:p w14:paraId="234253CB" w14:textId="77777777" w:rsidR="00F44A84" w:rsidRPr="00DF1F13" w:rsidRDefault="00F44A84" w:rsidP="00F44A84">
      <w:pPr>
        <w:spacing w:before="12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Rome Statute of the International Criminal Court came into force in July 2002, it was an important moment in international criminal justice and the African region was one of the main actors of the realization of this court. The Court’s mandate is to try those responsible for war crimes, genocide, crimes against humanity and the crime of aggression.</w:t>
      </w:r>
    </w:p>
    <w:p w14:paraId="42954C71" w14:textId="30BA4070" w:rsidR="00F44A84" w:rsidRPr="00DF1F13" w:rsidRDefault="00F44A84" w:rsidP="00F44A84">
      <w:pPr>
        <w:spacing w:before="12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With the establishment of a permanent international criminal court the possibility has given to hold perpetrators of serious violations of human rights rather crimes under international law. </w:t>
      </w:r>
      <w:r w:rsidR="0009455F">
        <w:rPr>
          <w:rFonts w:ascii="Times New Roman" w:hAnsi="Times New Roman" w:cs="Times New Roman"/>
          <w:sz w:val="24"/>
          <w:szCs w:val="24"/>
          <w:lang w:val="en-US"/>
        </w:rPr>
        <w:t>Also,</w:t>
      </w:r>
      <w:r w:rsidR="005D6AB4">
        <w:rPr>
          <w:rFonts w:ascii="Times New Roman" w:hAnsi="Times New Roman" w:cs="Times New Roman"/>
          <w:sz w:val="24"/>
          <w:szCs w:val="24"/>
          <w:lang w:val="en-US"/>
        </w:rPr>
        <w:t xml:space="preserve"> w</w:t>
      </w:r>
      <w:r w:rsidRPr="00DF1F13">
        <w:rPr>
          <w:rFonts w:ascii="Times New Roman" w:hAnsi="Times New Roman" w:cs="Times New Roman"/>
          <w:sz w:val="24"/>
          <w:szCs w:val="24"/>
          <w:lang w:val="en-US"/>
        </w:rPr>
        <w:t xml:space="preserve">ith the creation of the international criminal court, the protection of human rights and the demands of state sovereignty has been the subject of a very heated debate on whether states officials should be held responsible before an international court for international crimes committed while in office. This debate concerns the contradiction between two branches of international law. The first one is concerning the importance of immunity in international relations; it comes from notions of sovereign equality between </w:t>
      </w:r>
      <w:r w:rsidR="00842DE4" w:rsidRPr="00DF1F13">
        <w:rPr>
          <w:rFonts w:ascii="Times New Roman" w:hAnsi="Times New Roman" w:cs="Times New Roman"/>
          <w:sz w:val="24"/>
          <w:szCs w:val="24"/>
          <w:lang w:val="en-US"/>
        </w:rPr>
        <w:t>states,</w:t>
      </w:r>
      <w:r w:rsidRPr="00DF1F13">
        <w:rPr>
          <w:rFonts w:ascii="Times New Roman" w:hAnsi="Times New Roman" w:cs="Times New Roman"/>
          <w:sz w:val="24"/>
          <w:szCs w:val="24"/>
          <w:lang w:val="en-US"/>
        </w:rPr>
        <w:t xml:space="preserve"> and it is one of the main principles of the international law. On the second hand, we have those newer principles that focused on humanitarian values and consider certain kind of conduct as crimes under international law.</w:t>
      </w:r>
    </w:p>
    <w:p w14:paraId="74A25FA4" w14:textId="38884B1A" w:rsidR="00F44A84" w:rsidRPr="00DF1F13" w:rsidRDefault="002170EA" w:rsidP="00F44A84">
      <w:pPr>
        <w:spacing w:before="120" w:after="12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So, t</w:t>
      </w:r>
      <w:r w:rsidR="00F44A84" w:rsidRPr="00DF1F13">
        <w:rPr>
          <w:rFonts w:ascii="Times New Roman" w:hAnsi="Times New Roman" w:cs="Times New Roman"/>
          <w:sz w:val="24"/>
          <w:szCs w:val="24"/>
          <w:lang w:val="en-US"/>
        </w:rPr>
        <w:t>here is a real conflict between the different legal rules, which does not facilitate to understand the legal position, and this leads some authors to assert that the court while dealing with the issues of immunities ignores the fundamental rules of international law. Surprisingly all those accused by the ICC came from Africa, this fact has created a lot of speculation and particularly the court endeavors to prosecute African heads of states has created a real tension between the ICC and the African Union (AU)</w:t>
      </w:r>
    </w:p>
    <w:p w14:paraId="143C198E" w14:textId="0D9BF34D" w:rsidR="00F44A84" w:rsidRDefault="00F44A84" w:rsidP="00F44A84">
      <w:pPr>
        <w:spacing w:before="12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rPr>
        <w:t>The result of this paper shows that t</w:t>
      </w:r>
      <w:r w:rsidRPr="00DF1F13">
        <w:rPr>
          <w:rFonts w:ascii="Times New Roman" w:hAnsi="Times New Roman" w:cs="Times New Roman"/>
          <w:sz w:val="24"/>
          <w:szCs w:val="24"/>
          <w:lang w:val="en-US"/>
        </w:rPr>
        <w:t>he ICC has dealt the issue of immunity in a manner that has strained its relationship with African states, and African Union. The argument provided by the court concerning immunity of heads of state who are not signatories of the Rome Statute was not convincing and as a result, the court has lost its authority in Africa. This fact continues to threaten states to ratify the Rome statute and it gives an opportunity to some member states to withdraw from the organization.</w:t>
      </w:r>
    </w:p>
    <w:p w14:paraId="32D1983B" w14:textId="4C301C4B" w:rsidR="00F44A84" w:rsidRPr="00DF1F13" w:rsidRDefault="00F44A84" w:rsidP="00F44A84">
      <w:pPr>
        <w:spacing w:before="120" w:after="120" w:line="360" w:lineRule="auto"/>
        <w:ind w:left="170" w:right="113"/>
        <w:jc w:val="both"/>
        <w:rPr>
          <w:rFonts w:ascii="Times New Roman" w:hAnsi="Times New Roman" w:cs="Times New Roman"/>
          <w:sz w:val="24"/>
          <w:szCs w:val="24"/>
          <w:lang w:val="en-US"/>
        </w:rPr>
      </w:pPr>
      <w:r w:rsidRPr="00F44A84">
        <w:rPr>
          <w:rFonts w:ascii="Times New Roman" w:hAnsi="Times New Roman" w:cs="Times New Roman"/>
          <w:b/>
          <w:bCs/>
          <w:sz w:val="24"/>
          <w:szCs w:val="24"/>
          <w:lang w:val="en-US"/>
        </w:rPr>
        <w:lastRenderedPageBreak/>
        <w:t>Key words:</w:t>
      </w:r>
      <w:r>
        <w:rPr>
          <w:rFonts w:ascii="Times New Roman" w:hAnsi="Times New Roman" w:cs="Times New Roman"/>
          <w:sz w:val="24"/>
          <w:szCs w:val="24"/>
          <w:lang w:val="en-US"/>
        </w:rPr>
        <w:t xml:space="preserve"> immunity, immunity of head of states, ICC, Africa</w:t>
      </w:r>
    </w:p>
    <w:p w14:paraId="666FB798" w14:textId="5194987C" w:rsidR="00F44A84" w:rsidRDefault="00F44A84" w:rsidP="00C66CC0">
      <w:pPr>
        <w:spacing w:line="259" w:lineRule="auto"/>
        <w:rPr>
          <w:rFonts w:ascii="Times New Roman" w:hAnsi="Times New Roman" w:cs="Times New Roman"/>
          <w:b/>
          <w:bCs/>
          <w:sz w:val="28"/>
          <w:szCs w:val="28"/>
          <w:lang w:val="en-US"/>
        </w:rPr>
      </w:pPr>
    </w:p>
    <w:p w14:paraId="4CAAA5B0" w14:textId="1E31A2CC" w:rsidR="00F44A84" w:rsidRDefault="00F44A84" w:rsidP="00C66CC0">
      <w:pPr>
        <w:spacing w:line="259" w:lineRule="auto"/>
        <w:rPr>
          <w:rFonts w:ascii="Times New Roman" w:hAnsi="Times New Roman" w:cs="Times New Roman"/>
          <w:b/>
          <w:bCs/>
          <w:sz w:val="28"/>
          <w:szCs w:val="28"/>
          <w:lang w:val="en-US"/>
        </w:rPr>
      </w:pPr>
    </w:p>
    <w:p w14:paraId="713F3B9B" w14:textId="6125B0F0" w:rsidR="00F44A84" w:rsidRDefault="00F44A84" w:rsidP="00C66CC0">
      <w:pPr>
        <w:spacing w:line="259" w:lineRule="auto"/>
        <w:rPr>
          <w:rFonts w:ascii="Times New Roman" w:hAnsi="Times New Roman" w:cs="Times New Roman"/>
          <w:b/>
          <w:bCs/>
          <w:sz w:val="28"/>
          <w:szCs w:val="28"/>
          <w:lang w:val="en-US"/>
        </w:rPr>
      </w:pPr>
    </w:p>
    <w:p w14:paraId="7E01D8B3" w14:textId="38927D2C" w:rsidR="00F44A84" w:rsidRDefault="00F44A84" w:rsidP="00C66CC0">
      <w:pPr>
        <w:spacing w:line="259" w:lineRule="auto"/>
        <w:rPr>
          <w:rFonts w:ascii="Times New Roman" w:hAnsi="Times New Roman" w:cs="Times New Roman"/>
          <w:b/>
          <w:bCs/>
          <w:sz w:val="28"/>
          <w:szCs w:val="28"/>
          <w:lang w:val="en-US"/>
        </w:rPr>
      </w:pPr>
    </w:p>
    <w:p w14:paraId="66D8C53E" w14:textId="47280345" w:rsidR="00F44A84" w:rsidRDefault="00F44A84" w:rsidP="00C66CC0">
      <w:pPr>
        <w:spacing w:line="259" w:lineRule="auto"/>
        <w:rPr>
          <w:rFonts w:ascii="Times New Roman" w:hAnsi="Times New Roman" w:cs="Times New Roman"/>
          <w:b/>
          <w:bCs/>
          <w:sz w:val="28"/>
          <w:szCs w:val="28"/>
          <w:lang w:val="en-US"/>
        </w:rPr>
      </w:pPr>
    </w:p>
    <w:p w14:paraId="65124641" w14:textId="017275DF" w:rsidR="00F44A84" w:rsidRDefault="00F44A84" w:rsidP="00C66CC0">
      <w:pPr>
        <w:spacing w:line="259" w:lineRule="auto"/>
        <w:rPr>
          <w:rFonts w:ascii="Times New Roman" w:hAnsi="Times New Roman" w:cs="Times New Roman"/>
          <w:b/>
          <w:bCs/>
          <w:sz w:val="28"/>
          <w:szCs w:val="28"/>
          <w:lang w:val="en-US"/>
        </w:rPr>
      </w:pPr>
    </w:p>
    <w:p w14:paraId="1F209DD7" w14:textId="59BD2F45" w:rsidR="00F44A84" w:rsidRDefault="00F44A84" w:rsidP="00C66CC0">
      <w:pPr>
        <w:spacing w:line="259" w:lineRule="auto"/>
        <w:rPr>
          <w:rFonts w:ascii="Times New Roman" w:hAnsi="Times New Roman" w:cs="Times New Roman"/>
          <w:b/>
          <w:bCs/>
          <w:sz w:val="28"/>
          <w:szCs w:val="28"/>
          <w:lang w:val="en-US"/>
        </w:rPr>
      </w:pPr>
    </w:p>
    <w:p w14:paraId="49CB421B" w14:textId="719244AF" w:rsidR="00F44A84" w:rsidRDefault="00F44A84" w:rsidP="00C66CC0">
      <w:pPr>
        <w:spacing w:line="259" w:lineRule="auto"/>
        <w:rPr>
          <w:rFonts w:ascii="Times New Roman" w:hAnsi="Times New Roman" w:cs="Times New Roman"/>
          <w:b/>
          <w:bCs/>
          <w:sz w:val="28"/>
          <w:szCs w:val="28"/>
          <w:lang w:val="en-US"/>
        </w:rPr>
      </w:pPr>
    </w:p>
    <w:p w14:paraId="1361EC35" w14:textId="23EC52FC" w:rsidR="00F44A84" w:rsidRDefault="00F44A84" w:rsidP="00C66CC0">
      <w:pPr>
        <w:spacing w:line="259" w:lineRule="auto"/>
        <w:rPr>
          <w:rFonts w:ascii="Times New Roman" w:hAnsi="Times New Roman" w:cs="Times New Roman"/>
          <w:b/>
          <w:bCs/>
          <w:sz w:val="28"/>
          <w:szCs w:val="28"/>
          <w:lang w:val="en-US"/>
        </w:rPr>
      </w:pPr>
    </w:p>
    <w:p w14:paraId="3C3853FB" w14:textId="522F98C1" w:rsidR="00F44A84" w:rsidRDefault="00F44A84" w:rsidP="00C66CC0">
      <w:pPr>
        <w:spacing w:line="259" w:lineRule="auto"/>
        <w:rPr>
          <w:rFonts w:ascii="Times New Roman" w:hAnsi="Times New Roman" w:cs="Times New Roman"/>
          <w:b/>
          <w:bCs/>
          <w:sz w:val="28"/>
          <w:szCs w:val="28"/>
          <w:lang w:val="en-US"/>
        </w:rPr>
      </w:pPr>
    </w:p>
    <w:p w14:paraId="070408BF" w14:textId="6F739359" w:rsidR="00F44A84" w:rsidRDefault="00F44A84" w:rsidP="00C66CC0">
      <w:pPr>
        <w:spacing w:line="259" w:lineRule="auto"/>
        <w:rPr>
          <w:rFonts w:ascii="Times New Roman" w:hAnsi="Times New Roman" w:cs="Times New Roman"/>
          <w:b/>
          <w:bCs/>
          <w:sz w:val="28"/>
          <w:szCs w:val="28"/>
          <w:lang w:val="en-US"/>
        </w:rPr>
      </w:pPr>
    </w:p>
    <w:p w14:paraId="3FE89DC4" w14:textId="49235967" w:rsidR="00F44A84" w:rsidRDefault="00F44A84" w:rsidP="00C66CC0">
      <w:pPr>
        <w:spacing w:line="259" w:lineRule="auto"/>
        <w:rPr>
          <w:rFonts w:ascii="Times New Roman" w:hAnsi="Times New Roman" w:cs="Times New Roman"/>
          <w:b/>
          <w:bCs/>
          <w:sz w:val="28"/>
          <w:szCs w:val="28"/>
          <w:lang w:val="en-US"/>
        </w:rPr>
      </w:pPr>
    </w:p>
    <w:p w14:paraId="6C29A23A" w14:textId="33D69BE2" w:rsidR="00F44A84" w:rsidRDefault="00F44A84" w:rsidP="00C66CC0">
      <w:pPr>
        <w:spacing w:line="259" w:lineRule="auto"/>
        <w:rPr>
          <w:rFonts w:ascii="Times New Roman" w:hAnsi="Times New Roman" w:cs="Times New Roman"/>
          <w:b/>
          <w:bCs/>
          <w:sz w:val="28"/>
          <w:szCs w:val="28"/>
          <w:lang w:val="en-US"/>
        </w:rPr>
      </w:pPr>
    </w:p>
    <w:p w14:paraId="4B26F329" w14:textId="389DCA7A" w:rsidR="00F44A84" w:rsidRDefault="00F44A84" w:rsidP="00C66CC0">
      <w:pPr>
        <w:spacing w:line="259" w:lineRule="auto"/>
        <w:rPr>
          <w:rFonts w:ascii="Times New Roman" w:hAnsi="Times New Roman" w:cs="Times New Roman"/>
          <w:b/>
          <w:bCs/>
          <w:sz w:val="28"/>
          <w:szCs w:val="28"/>
          <w:lang w:val="en-US"/>
        </w:rPr>
      </w:pPr>
    </w:p>
    <w:p w14:paraId="186D7F5E" w14:textId="084F3070" w:rsidR="00F44A84" w:rsidRDefault="00F44A84" w:rsidP="00C66CC0">
      <w:pPr>
        <w:spacing w:line="259" w:lineRule="auto"/>
        <w:rPr>
          <w:rFonts w:ascii="Times New Roman" w:hAnsi="Times New Roman" w:cs="Times New Roman"/>
          <w:b/>
          <w:bCs/>
          <w:sz w:val="28"/>
          <w:szCs w:val="28"/>
          <w:lang w:val="en-US"/>
        </w:rPr>
      </w:pPr>
    </w:p>
    <w:p w14:paraId="6101DAEE" w14:textId="63C599C8" w:rsidR="00F44A84" w:rsidRDefault="00F44A84" w:rsidP="00C66CC0">
      <w:pPr>
        <w:spacing w:line="259" w:lineRule="auto"/>
        <w:rPr>
          <w:rFonts w:ascii="Times New Roman" w:hAnsi="Times New Roman" w:cs="Times New Roman"/>
          <w:b/>
          <w:bCs/>
          <w:sz w:val="28"/>
          <w:szCs w:val="28"/>
          <w:lang w:val="en-US"/>
        </w:rPr>
      </w:pPr>
    </w:p>
    <w:p w14:paraId="2EA9841F" w14:textId="0CA9E474" w:rsidR="00F44A84" w:rsidRDefault="00F44A84" w:rsidP="00C66CC0">
      <w:pPr>
        <w:spacing w:line="259" w:lineRule="auto"/>
        <w:rPr>
          <w:rFonts w:ascii="Times New Roman" w:hAnsi="Times New Roman" w:cs="Times New Roman"/>
          <w:b/>
          <w:bCs/>
          <w:sz w:val="28"/>
          <w:szCs w:val="28"/>
          <w:lang w:val="en-US"/>
        </w:rPr>
      </w:pPr>
    </w:p>
    <w:p w14:paraId="6CADEA11" w14:textId="647DD956" w:rsidR="00F44A84" w:rsidRDefault="00F44A84" w:rsidP="00C66CC0">
      <w:pPr>
        <w:spacing w:line="259" w:lineRule="auto"/>
        <w:rPr>
          <w:rFonts w:ascii="Times New Roman" w:hAnsi="Times New Roman" w:cs="Times New Roman"/>
          <w:b/>
          <w:bCs/>
          <w:sz w:val="28"/>
          <w:szCs w:val="28"/>
          <w:lang w:val="en-US"/>
        </w:rPr>
      </w:pPr>
    </w:p>
    <w:p w14:paraId="4B07B752" w14:textId="304DD67D" w:rsidR="00F44A84" w:rsidRDefault="00F44A84" w:rsidP="00C66CC0">
      <w:pPr>
        <w:spacing w:line="259" w:lineRule="auto"/>
        <w:rPr>
          <w:rFonts w:ascii="Times New Roman" w:hAnsi="Times New Roman" w:cs="Times New Roman"/>
          <w:b/>
          <w:bCs/>
          <w:sz w:val="28"/>
          <w:szCs w:val="28"/>
          <w:lang w:val="en-US"/>
        </w:rPr>
      </w:pPr>
    </w:p>
    <w:p w14:paraId="352A4371" w14:textId="75973F36" w:rsidR="005307BF" w:rsidRDefault="005307BF" w:rsidP="00C66CC0">
      <w:pPr>
        <w:spacing w:line="259" w:lineRule="auto"/>
        <w:rPr>
          <w:rFonts w:ascii="Times New Roman" w:hAnsi="Times New Roman" w:cs="Times New Roman"/>
          <w:b/>
          <w:bCs/>
          <w:sz w:val="28"/>
          <w:szCs w:val="28"/>
          <w:lang w:val="en-US"/>
        </w:rPr>
      </w:pPr>
    </w:p>
    <w:p w14:paraId="4660DE6C" w14:textId="77777777" w:rsidR="005307BF" w:rsidRDefault="005307BF" w:rsidP="00C66CC0">
      <w:pPr>
        <w:spacing w:line="259" w:lineRule="auto"/>
        <w:rPr>
          <w:rFonts w:ascii="Times New Roman" w:hAnsi="Times New Roman" w:cs="Times New Roman"/>
          <w:b/>
          <w:bCs/>
          <w:sz w:val="28"/>
          <w:szCs w:val="28"/>
          <w:lang w:val="en-US"/>
        </w:rPr>
      </w:pPr>
    </w:p>
    <w:p w14:paraId="5309BFF1" w14:textId="28220EF9" w:rsidR="00F44A84" w:rsidRDefault="00F44A84" w:rsidP="00C66CC0">
      <w:pPr>
        <w:spacing w:line="259" w:lineRule="auto"/>
        <w:rPr>
          <w:rFonts w:ascii="Times New Roman" w:hAnsi="Times New Roman" w:cs="Times New Roman"/>
          <w:b/>
          <w:bCs/>
          <w:sz w:val="28"/>
          <w:szCs w:val="28"/>
          <w:lang w:val="en-US"/>
        </w:rPr>
      </w:pPr>
    </w:p>
    <w:p w14:paraId="7E21B5E7" w14:textId="5107E70D" w:rsidR="00F44A84" w:rsidRDefault="00F44A84" w:rsidP="00C66CC0">
      <w:pPr>
        <w:spacing w:line="259" w:lineRule="auto"/>
        <w:rPr>
          <w:rFonts w:ascii="Times New Roman" w:hAnsi="Times New Roman" w:cs="Times New Roman"/>
          <w:b/>
          <w:bCs/>
          <w:sz w:val="28"/>
          <w:szCs w:val="28"/>
          <w:lang w:val="en-US"/>
        </w:rPr>
      </w:pPr>
    </w:p>
    <w:p w14:paraId="3737BC95" w14:textId="77777777" w:rsidR="00F44A84" w:rsidRDefault="00F44A84" w:rsidP="00C66CC0">
      <w:pPr>
        <w:spacing w:line="259" w:lineRule="auto"/>
        <w:rPr>
          <w:rFonts w:ascii="Times New Roman" w:hAnsi="Times New Roman" w:cs="Times New Roman"/>
          <w:b/>
          <w:bCs/>
          <w:sz w:val="28"/>
          <w:szCs w:val="28"/>
          <w:lang w:val="en-US"/>
        </w:rPr>
      </w:pPr>
    </w:p>
    <w:p w14:paraId="7DF685B4" w14:textId="303E5332" w:rsidR="00803E6B" w:rsidRPr="00F44A84" w:rsidRDefault="00F44A84" w:rsidP="00F44A84">
      <w:pPr>
        <w:spacing w:before="240" w:after="240" w:line="259"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Declaration of Authenticity</w:t>
      </w:r>
    </w:p>
    <w:p w14:paraId="6C15F2EE" w14:textId="2385398D" w:rsidR="00803E6B" w:rsidRPr="00DF1F13" w:rsidRDefault="00C66CC0" w:rsidP="00F44A84">
      <w:pPr>
        <w:spacing w:before="240" w:after="240" w:line="360" w:lineRule="auto"/>
        <w:jc w:val="both"/>
        <w:rPr>
          <w:rFonts w:ascii="Times New Roman" w:hAnsi="Times New Roman" w:cs="Times New Roman"/>
          <w:sz w:val="24"/>
          <w:szCs w:val="24"/>
        </w:rPr>
      </w:pPr>
      <w:r w:rsidRPr="00DF1F13">
        <w:rPr>
          <w:rFonts w:ascii="Times New Roman" w:hAnsi="Times New Roman" w:cs="Times New Roman"/>
          <w:sz w:val="24"/>
          <w:szCs w:val="24"/>
          <w:lang w:val="en-US"/>
        </w:rPr>
        <w:t xml:space="preserve">I, Fodé Traoré declare that this Master’s Thesis on the topic </w:t>
      </w:r>
      <w:r w:rsidRPr="00DF1F13">
        <w:rPr>
          <w:rFonts w:ascii="Times New Roman" w:hAnsi="Times New Roman" w:cs="Times New Roman"/>
          <w:sz w:val="24"/>
          <w:szCs w:val="24"/>
        </w:rPr>
        <w:t xml:space="preserve">“The International Criminal Court and </w:t>
      </w:r>
      <w:r w:rsidR="00974CC5" w:rsidRPr="00DF1F13">
        <w:rPr>
          <w:rFonts w:ascii="Times New Roman" w:hAnsi="Times New Roman" w:cs="Times New Roman"/>
          <w:sz w:val="24"/>
          <w:szCs w:val="24"/>
        </w:rPr>
        <w:t>t</w:t>
      </w:r>
      <w:r w:rsidRPr="00DF1F13">
        <w:rPr>
          <w:rFonts w:ascii="Times New Roman" w:hAnsi="Times New Roman" w:cs="Times New Roman"/>
          <w:sz w:val="24"/>
          <w:szCs w:val="24"/>
        </w:rPr>
        <w:t>he Head</w:t>
      </w:r>
      <w:r w:rsidR="00974CC5" w:rsidRPr="00DF1F13">
        <w:rPr>
          <w:rFonts w:ascii="Times New Roman" w:hAnsi="Times New Roman" w:cs="Times New Roman"/>
          <w:sz w:val="24"/>
          <w:szCs w:val="24"/>
        </w:rPr>
        <w:t xml:space="preserve"> of States </w:t>
      </w:r>
      <w:r w:rsidR="00803E6B" w:rsidRPr="00DF1F13">
        <w:rPr>
          <w:rFonts w:ascii="Times New Roman" w:hAnsi="Times New Roman" w:cs="Times New Roman"/>
          <w:sz w:val="24"/>
          <w:szCs w:val="24"/>
        </w:rPr>
        <w:t>Immunity”</w:t>
      </w:r>
      <w:r w:rsidRPr="00DF1F13">
        <w:rPr>
          <w:rFonts w:ascii="Times New Roman" w:hAnsi="Times New Roman" w:cs="Times New Roman"/>
          <w:sz w:val="24"/>
          <w:szCs w:val="24"/>
        </w:rPr>
        <w:t xml:space="preserve"> </w:t>
      </w:r>
      <w:r w:rsidR="00974CC5" w:rsidRPr="00DF1F13">
        <w:rPr>
          <w:rFonts w:ascii="Times New Roman" w:hAnsi="Times New Roman" w:cs="Times New Roman"/>
          <w:sz w:val="24"/>
          <w:szCs w:val="24"/>
          <w:lang w:val="en-US"/>
        </w:rPr>
        <w:t xml:space="preserve">is my own </w:t>
      </w:r>
      <w:r w:rsidRPr="00DF1F13">
        <w:rPr>
          <w:rFonts w:ascii="Times New Roman" w:hAnsi="Times New Roman" w:cs="Times New Roman"/>
          <w:sz w:val="24"/>
          <w:szCs w:val="24"/>
          <w:lang w:val="en-US"/>
        </w:rPr>
        <w:t>work</w:t>
      </w:r>
      <w:r w:rsidR="00974CC5" w:rsidRPr="00DF1F13">
        <w:rPr>
          <w:rFonts w:ascii="Times New Roman" w:hAnsi="Times New Roman" w:cs="Times New Roman"/>
          <w:sz w:val="24"/>
          <w:szCs w:val="24"/>
          <w:lang w:val="en-US"/>
        </w:rPr>
        <w:t xml:space="preserve"> </w:t>
      </w:r>
      <w:r w:rsidR="00974CC5" w:rsidRPr="00DF1F13">
        <w:rPr>
          <w:rFonts w:ascii="Times New Roman" w:hAnsi="Times New Roman" w:cs="Times New Roman"/>
          <w:sz w:val="24"/>
          <w:szCs w:val="24"/>
        </w:rPr>
        <w:t>and I have acknowledged all sources used in bibliography.</w:t>
      </w:r>
    </w:p>
    <w:p w14:paraId="1A82D833" w14:textId="3363FF93" w:rsidR="00803E6B" w:rsidRPr="00E654D9" w:rsidRDefault="00F44A84" w:rsidP="00803E6B">
      <w:pPr>
        <w:spacing w:line="360" w:lineRule="auto"/>
        <w:jc w:val="both"/>
        <w:rPr>
          <w:rFonts w:ascii="Times New Roman" w:hAnsi="Times New Roman" w:cs="Times New Roman"/>
          <w:sz w:val="24"/>
          <w:szCs w:val="24"/>
          <w:lang w:val="fr-FR"/>
        </w:rPr>
      </w:pPr>
      <w:r w:rsidRPr="00E654D9">
        <w:rPr>
          <w:rFonts w:ascii="Times New Roman" w:hAnsi="Times New Roman" w:cs="Times New Roman"/>
          <w:sz w:val="24"/>
          <w:szCs w:val="24"/>
          <w:lang w:val="fr-FR"/>
        </w:rPr>
        <w:t>Place</w:t>
      </w:r>
      <w:r w:rsidR="00803E6B" w:rsidRPr="00E654D9">
        <w:rPr>
          <w:rFonts w:ascii="Times New Roman" w:hAnsi="Times New Roman" w:cs="Times New Roman"/>
          <w:sz w:val="24"/>
          <w:szCs w:val="24"/>
          <w:lang w:val="fr-FR"/>
        </w:rPr>
        <w:t xml:space="preserve">: </w:t>
      </w:r>
      <w:r w:rsidRPr="00E654D9">
        <w:rPr>
          <w:rFonts w:ascii="Times New Roman" w:hAnsi="Times New Roman" w:cs="Times New Roman"/>
          <w:sz w:val="24"/>
          <w:szCs w:val="24"/>
          <w:lang w:val="fr-FR"/>
        </w:rPr>
        <w:t>Olomouc Date</w:t>
      </w:r>
      <w:r w:rsidR="00F6367F" w:rsidRPr="00E654D9">
        <w:rPr>
          <w:rFonts w:ascii="Times New Roman" w:hAnsi="Times New Roman" w:cs="Times New Roman"/>
          <w:sz w:val="24"/>
          <w:szCs w:val="24"/>
          <w:lang w:val="fr-FR"/>
        </w:rPr>
        <w:t>:</w:t>
      </w:r>
      <w:r w:rsidR="00803E6B" w:rsidRPr="00E654D9">
        <w:rPr>
          <w:rFonts w:ascii="Times New Roman" w:hAnsi="Times New Roman" w:cs="Times New Roman"/>
          <w:sz w:val="24"/>
          <w:szCs w:val="24"/>
          <w:lang w:val="fr-FR"/>
        </w:rPr>
        <w:t xml:space="preserve"> </w:t>
      </w:r>
      <w:r w:rsidR="00E654D9">
        <w:rPr>
          <w:rFonts w:ascii="Times New Roman" w:hAnsi="Times New Roman" w:cs="Times New Roman"/>
          <w:sz w:val="24"/>
          <w:szCs w:val="24"/>
          <w:lang w:val="fr-FR"/>
        </w:rPr>
        <w:t xml:space="preserve">   </w:t>
      </w:r>
      <w:r w:rsidR="003C2738">
        <w:rPr>
          <w:rFonts w:ascii="Times New Roman" w:hAnsi="Times New Roman" w:cs="Times New Roman"/>
          <w:sz w:val="24"/>
          <w:szCs w:val="24"/>
          <w:lang w:val="fr-FR"/>
        </w:rPr>
        <w:t>01</w:t>
      </w:r>
      <w:r w:rsidR="00803E6B" w:rsidRPr="00E654D9">
        <w:rPr>
          <w:rFonts w:ascii="Times New Roman" w:hAnsi="Times New Roman" w:cs="Times New Roman"/>
          <w:sz w:val="24"/>
          <w:szCs w:val="24"/>
          <w:lang w:val="fr-FR"/>
        </w:rPr>
        <w:t xml:space="preserve"> </w:t>
      </w:r>
      <w:r w:rsidR="003C2738">
        <w:rPr>
          <w:rFonts w:ascii="Times New Roman" w:hAnsi="Times New Roman" w:cs="Times New Roman"/>
          <w:sz w:val="24"/>
          <w:szCs w:val="24"/>
          <w:lang w:val="fr-FR"/>
        </w:rPr>
        <w:t>September</w:t>
      </w:r>
      <w:r w:rsidR="00803E6B" w:rsidRPr="00E654D9">
        <w:rPr>
          <w:rFonts w:ascii="Times New Roman" w:hAnsi="Times New Roman" w:cs="Times New Roman"/>
          <w:sz w:val="24"/>
          <w:szCs w:val="24"/>
          <w:lang w:val="fr-FR"/>
        </w:rPr>
        <w:t xml:space="preserve"> 202</w:t>
      </w:r>
      <w:r w:rsidR="00E654D9">
        <w:rPr>
          <w:rFonts w:ascii="Times New Roman" w:hAnsi="Times New Roman" w:cs="Times New Roman"/>
          <w:sz w:val="24"/>
          <w:szCs w:val="24"/>
          <w:lang w:val="fr-FR"/>
        </w:rPr>
        <w:t>2</w:t>
      </w:r>
      <w:r w:rsidRPr="00E654D9">
        <w:rPr>
          <w:rFonts w:ascii="Times New Roman" w:hAnsi="Times New Roman" w:cs="Times New Roman"/>
          <w:sz w:val="24"/>
          <w:szCs w:val="24"/>
          <w:lang w:val="fr-FR"/>
        </w:rPr>
        <w:t xml:space="preserve">         </w:t>
      </w:r>
      <w:r w:rsidR="00E654D9">
        <w:rPr>
          <w:rFonts w:ascii="Times New Roman" w:hAnsi="Times New Roman" w:cs="Times New Roman"/>
          <w:sz w:val="24"/>
          <w:szCs w:val="24"/>
          <w:lang w:val="fr-FR"/>
        </w:rPr>
        <w:t xml:space="preserve">   </w:t>
      </w:r>
      <w:r w:rsidRPr="00E654D9">
        <w:rPr>
          <w:rFonts w:ascii="Times New Roman" w:hAnsi="Times New Roman" w:cs="Times New Roman"/>
          <w:sz w:val="24"/>
          <w:szCs w:val="24"/>
          <w:lang w:val="fr-FR"/>
        </w:rPr>
        <w:t xml:space="preserve"> </w:t>
      </w:r>
      <w:r w:rsidR="00F6367F" w:rsidRPr="00E654D9">
        <w:rPr>
          <w:rFonts w:ascii="Times New Roman" w:hAnsi="Times New Roman" w:cs="Times New Roman"/>
          <w:sz w:val="24"/>
          <w:szCs w:val="24"/>
          <w:lang w:val="fr-FR"/>
        </w:rPr>
        <w:t>S</w:t>
      </w:r>
      <w:r w:rsidR="00C66554" w:rsidRPr="00E654D9">
        <w:rPr>
          <w:rFonts w:ascii="Times New Roman" w:hAnsi="Times New Roman" w:cs="Times New Roman"/>
          <w:sz w:val="24"/>
          <w:szCs w:val="24"/>
          <w:lang w:val="fr-FR"/>
        </w:rPr>
        <w:t>ignature:</w:t>
      </w:r>
      <w:r w:rsidR="00803E6B" w:rsidRPr="00E654D9">
        <w:rPr>
          <w:rFonts w:ascii="Times New Roman" w:hAnsi="Times New Roman" w:cs="Times New Roman"/>
          <w:sz w:val="24"/>
          <w:szCs w:val="24"/>
          <w:lang w:val="fr-FR"/>
        </w:rPr>
        <w:t xml:space="preserve"> Fodé Traoré</w:t>
      </w:r>
    </w:p>
    <w:p w14:paraId="5D5B8179" w14:textId="77777777" w:rsidR="00803E6B" w:rsidRPr="00E654D9" w:rsidRDefault="00803E6B" w:rsidP="00803E6B">
      <w:pPr>
        <w:spacing w:line="360" w:lineRule="auto"/>
        <w:jc w:val="both"/>
        <w:rPr>
          <w:rFonts w:ascii="Times New Roman" w:hAnsi="Times New Roman" w:cs="Times New Roman"/>
          <w:sz w:val="24"/>
          <w:szCs w:val="24"/>
          <w:lang w:val="fr-FR"/>
        </w:rPr>
      </w:pPr>
    </w:p>
    <w:p w14:paraId="18319A9A"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C0D819A"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3AF26A8B"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E05F64D"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428CFA8"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330AAE52"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7770BA39"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6CBD1818"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7DDB797"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61C69A4A"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FB34FFC"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66365425"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34F19B02"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79922321"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0C3C8F74"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7082CDB8"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59483E81"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6D259AD4"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6B10F059"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48339898" w14:textId="77777777" w:rsidR="007B7137" w:rsidRPr="00E654D9" w:rsidRDefault="007B7137" w:rsidP="007B7137">
      <w:pPr>
        <w:pStyle w:val="Normlnweb"/>
        <w:spacing w:before="0" w:beforeAutospacing="0" w:after="0" w:afterAutospacing="0" w:line="360" w:lineRule="auto"/>
        <w:textAlignment w:val="baseline"/>
        <w:rPr>
          <w:b/>
          <w:bCs/>
          <w:sz w:val="28"/>
          <w:szCs w:val="28"/>
        </w:rPr>
      </w:pPr>
    </w:p>
    <w:p w14:paraId="2483EA99" w14:textId="4449399A" w:rsidR="007B7137" w:rsidRPr="00203D70" w:rsidRDefault="007B7137" w:rsidP="007B7137">
      <w:pPr>
        <w:pStyle w:val="Normlnweb"/>
        <w:spacing w:before="0" w:beforeAutospacing="0" w:after="0" w:afterAutospacing="0" w:line="360" w:lineRule="auto"/>
        <w:textAlignment w:val="baseline"/>
        <w:rPr>
          <w:b/>
          <w:bCs/>
          <w:sz w:val="28"/>
          <w:szCs w:val="28"/>
          <w:lang w:val="en-US"/>
        </w:rPr>
      </w:pPr>
      <w:r w:rsidRPr="00203D70">
        <w:rPr>
          <w:b/>
          <w:bCs/>
          <w:sz w:val="28"/>
          <w:szCs w:val="28"/>
          <w:lang w:val="en-US"/>
        </w:rPr>
        <w:lastRenderedPageBreak/>
        <w:t>Acknowledgement</w:t>
      </w:r>
    </w:p>
    <w:p w14:paraId="73CBC3A6" w14:textId="77777777" w:rsidR="007B7137" w:rsidRPr="00203D70" w:rsidRDefault="007B7137" w:rsidP="007B7137">
      <w:pPr>
        <w:pStyle w:val="Normlnweb"/>
        <w:spacing w:before="0" w:beforeAutospacing="0" w:after="0" w:afterAutospacing="0" w:line="360" w:lineRule="auto"/>
        <w:textAlignment w:val="baseline"/>
        <w:rPr>
          <w:b/>
          <w:bCs/>
          <w:i/>
          <w:iCs/>
          <w:color w:val="333333"/>
          <w:lang w:val="en-US"/>
        </w:rPr>
      </w:pPr>
    </w:p>
    <w:p w14:paraId="6B1DAFDD" w14:textId="77777777" w:rsidR="007B7137" w:rsidRPr="00203D70" w:rsidRDefault="007B7137" w:rsidP="007B7137">
      <w:pPr>
        <w:pStyle w:val="Normlnweb"/>
        <w:spacing w:before="0" w:beforeAutospacing="0" w:after="0" w:afterAutospacing="0" w:line="360" w:lineRule="auto"/>
        <w:textAlignment w:val="baseline"/>
        <w:rPr>
          <w:i/>
          <w:iCs/>
          <w:color w:val="333333"/>
          <w:lang w:val="en-US"/>
        </w:rPr>
      </w:pPr>
      <w:r w:rsidRPr="00203D70">
        <w:rPr>
          <w:i/>
          <w:iCs/>
          <w:color w:val="333333"/>
          <w:lang w:val="en-US"/>
        </w:rPr>
        <w:t>As the former US President Bill Clinton once said, "We cannot build our own future without helping others to build theirs."</w:t>
      </w:r>
    </w:p>
    <w:p w14:paraId="6CF0952A" w14:textId="3153AB4A" w:rsidR="007B7137" w:rsidRPr="00203D70" w:rsidRDefault="007B7137" w:rsidP="006967A7">
      <w:pPr>
        <w:pStyle w:val="Normlnweb"/>
        <w:spacing w:before="0" w:beforeAutospacing="0" w:after="0" w:afterAutospacing="0" w:line="360" w:lineRule="auto"/>
        <w:textAlignment w:val="baseline"/>
        <w:rPr>
          <w:i/>
          <w:iCs/>
          <w:color w:val="333333"/>
          <w:lang w:val="en-US"/>
        </w:rPr>
      </w:pPr>
      <w:r w:rsidRPr="00203D70">
        <w:rPr>
          <w:i/>
          <w:iCs/>
          <w:color w:val="333333"/>
          <w:lang w:val="en-US"/>
        </w:rPr>
        <w:t>With this quote, I would like to thank all people who have accompanied me in the achievement of this work.</w:t>
      </w:r>
    </w:p>
    <w:p w14:paraId="64974B0A" w14:textId="77777777" w:rsidR="007B7137" w:rsidRPr="00203D70" w:rsidRDefault="007B7137" w:rsidP="007B7137">
      <w:pPr>
        <w:pStyle w:val="Normlnweb"/>
        <w:spacing w:before="0" w:beforeAutospacing="0" w:after="0" w:afterAutospacing="0" w:line="360" w:lineRule="auto"/>
        <w:textAlignment w:val="baseline"/>
        <w:rPr>
          <w:i/>
          <w:iCs/>
          <w:color w:val="333333"/>
          <w:lang w:val="en-US"/>
        </w:rPr>
      </w:pPr>
      <w:r w:rsidRPr="00203D70">
        <w:rPr>
          <w:i/>
          <w:iCs/>
          <w:color w:val="333333"/>
          <w:lang w:val="en-US"/>
        </w:rPr>
        <w:t>Thank you for helping me to build my future.</w:t>
      </w:r>
    </w:p>
    <w:p w14:paraId="1B26B64C" w14:textId="77777777" w:rsidR="007B7137" w:rsidRPr="00203D70" w:rsidRDefault="007B7137" w:rsidP="007B7137">
      <w:pPr>
        <w:pStyle w:val="Normlnweb"/>
        <w:spacing w:before="0" w:beforeAutospacing="0" w:after="0" w:afterAutospacing="0" w:line="360" w:lineRule="auto"/>
        <w:textAlignment w:val="baseline"/>
        <w:rPr>
          <w:i/>
          <w:iCs/>
          <w:color w:val="333333"/>
          <w:lang w:val="en-US"/>
        </w:rPr>
      </w:pPr>
    </w:p>
    <w:p w14:paraId="372C3828" w14:textId="77777777" w:rsidR="007B7137" w:rsidRPr="00203D70" w:rsidRDefault="007B7137" w:rsidP="007B7137">
      <w:pPr>
        <w:pStyle w:val="Normlnweb"/>
        <w:spacing w:before="0" w:beforeAutospacing="0" w:after="0" w:afterAutospacing="0" w:line="360" w:lineRule="auto"/>
        <w:textAlignment w:val="baseline"/>
        <w:rPr>
          <w:i/>
          <w:iCs/>
          <w:color w:val="333333"/>
          <w:lang w:val="en-US"/>
        </w:rPr>
      </w:pPr>
      <w:r w:rsidRPr="00203D70">
        <w:rPr>
          <w:i/>
          <w:iCs/>
          <w:color w:val="333333"/>
          <w:lang w:val="en-US"/>
        </w:rPr>
        <w:t>During these two years of my studies, I had an opportunity to meet many people who took the time to discuss with me and share their knowledge, I thank them with all my heart.</w:t>
      </w:r>
    </w:p>
    <w:p w14:paraId="3673395D" w14:textId="5A1F173A" w:rsidR="007B7137" w:rsidRPr="00203D70" w:rsidRDefault="007B7137" w:rsidP="007B7137">
      <w:pPr>
        <w:pStyle w:val="Normlnweb"/>
        <w:spacing w:before="0" w:beforeAutospacing="0" w:after="0" w:afterAutospacing="0" w:line="360" w:lineRule="auto"/>
        <w:textAlignment w:val="baseline"/>
        <w:rPr>
          <w:i/>
          <w:iCs/>
          <w:color w:val="333333"/>
          <w:lang w:val="en-US"/>
        </w:rPr>
      </w:pPr>
      <w:r w:rsidRPr="00203D70">
        <w:rPr>
          <w:i/>
          <w:iCs/>
          <w:color w:val="333333"/>
          <w:lang w:val="en-US"/>
        </w:rPr>
        <w:t>A special thanks to my supervisor</w:t>
      </w:r>
      <w:r w:rsidR="0063020C">
        <w:rPr>
          <w:i/>
          <w:iCs/>
          <w:color w:val="333333"/>
          <w:lang w:val="en-US"/>
        </w:rPr>
        <w:t xml:space="preserve"> Ass. Prof. </w:t>
      </w:r>
      <w:r w:rsidRPr="00203D70">
        <w:rPr>
          <w:i/>
          <w:iCs/>
          <w:color w:val="333333"/>
          <w:lang w:val="en-US"/>
        </w:rPr>
        <w:t>JUDr</w:t>
      </w:r>
      <w:r w:rsidR="0063020C">
        <w:rPr>
          <w:i/>
          <w:iCs/>
          <w:color w:val="333333"/>
          <w:lang w:val="en-US"/>
        </w:rPr>
        <w:t>.</w:t>
      </w:r>
      <w:r w:rsidRPr="00203D70">
        <w:rPr>
          <w:i/>
          <w:iCs/>
          <w:color w:val="333333"/>
          <w:lang w:val="en-US"/>
        </w:rPr>
        <w:t xml:space="preserve"> Ondřej Svaček</w:t>
      </w:r>
      <w:r w:rsidR="0063020C">
        <w:rPr>
          <w:i/>
          <w:iCs/>
          <w:color w:val="333333"/>
          <w:lang w:val="en-US"/>
        </w:rPr>
        <w:t>, LL.M. Ph.D.</w:t>
      </w:r>
      <w:r w:rsidRPr="00203D70">
        <w:rPr>
          <w:i/>
          <w:iCs/>
          <w:color w:val="333333"/>
          <w:lang w:val="en-US"/>
        </w:rPr>
        <w:t xml:space="preserve"> for his invaluable help and for the time he has devoted to me.</w:t>
      </w:r>
    </w:p>
    <w:p w14:paraId="7D6C6EA9" w14:textId="3DD5353E" w:rsidR="007B7137" w:rsidRPr="00203D70" w:rsidRDefault="007B7137" w:rsidP="006967A7">
      <w:pPr>
        <w:pStyle w:val="Normlnweb"/>
        <w:spacing w:line="360" w:lineRule="auto"/>
        <w:textAlignment w:val="baseline"/>
        <w:rPr>
          <w:i/>
          <w:iCs/>
          <w:color w:val="333333"/>
          <w:lang w:val="en-US"/>
        </w:rPr>
      </w:pPr>
      <w:r w:rsidRPr="00203D70">
        <w:rPr>
          <w:i/>
          <w:iCs/>
          <w:color w:val="333333"/>
          <w:lang w:val="en-US"/>
        </w:rPr>
        <w:t>I would like also to thank infinitely all the other teachers particularly JUDr. Václav Stehlik, Ph.D.,LL.M. , JUDr. Martin Faix,Ph.D.,MJI, JUDr. Pavel Bureš, Ph.D. and JUDr. Ondrej Hamulák, Ph</w:t>
      </w:r>
      <w:r w:rsidR="00EE2748">
        <w:rPr>
          <w:i/>
          <w:iCs/>
          <w:color w:val="333333"/>
          <w:lang w:val="en-US"/>
        </w:rPr>
        <w:t>.</w:t>
      </w:r>
      <w:r w:rsidRPr="00203D70">
        <w:rPr>
          <w:i/>
          <w:iCs/>
          <w:color w:val="333333"/>
          <w:lang w:val="en-US"/>
        </w:rPr>
        <w:t>D. and staff at the Law Faculty particularly Ms. Radana Kuncová for her help and support during my studies in Olomouc.</w:t>
      </w:r>
    </w:p>
    <w:p w14:paraId="43DE4D58" w14:textId="77777777" w:rsidR="007B7137" w:rsidRPr="00203D70" w:rsidRDefault="007B7137" w:rsidP="007B7137">
      <w:pPr>
        <w:pStyle w:val="Normlnweb"/>
        <w:spacing w:after="0" w:line="360" w:lineRule="auto"/>
        <w:textAlignment w:val="baseline"/>
        <w:rPr>
          <w:i/>
          <w:iCs/>
          <w:color w:val="333333"/>
          <w:lang w:val="en-US"/>
        </w:rPr>
      </w:pPr>
      <w:r w:rsidRPr="00203D70">
        <w:rPr>
          <w:i/>
          <w:iCs/>
          <w:color w:val="333333"/>
          <w:lang w:val="en-US"/>
        </w:rPr>
        <w:t>Finally, I would like to thank my family especially my uncle Dr. Bakary Simaga and all my friends, who accompanied, supported, and encouraged me throughout the achievement of this work.</w:t>
      </w:r>
    </w:p>
    <w:p w14:paraId="47C5D7A9" w14:textId="77777777" w:rsidR="00C66CC0" w:rsidRPr="007B7137" w:rsidRDefault="00C66CC0" w:rsidP="004E486A">
      <w:pPr>
        <w:spacing w:line="360" w:lineRule="auto"/>
        <w:rPr>
          <w:rFonts w:ascii="Times New Roman" w:hAnsi="Times New Roman" w:cs="Times New Roman"/>
          <w:b/>
          <w:bCs/>
          <w:sz w:val="24"/>
          <w:szCs w:val="24"/>
          <w:lang w:val="en-US"/>
        </w:rPr>
      </w:pPr>
    </w:p>
    <w:p w14:paraId="77A44118" w14:textId="77777777" w:rsidR="00C66CC0" w:rsidRPr="007B7137" w:rsidRDefault="00C66CC0" w:rsidP="004E486A">
      <w:pPr>
        <w:spacing w:line="360" w:lineRule="auto"/>
        <w:rPr>
          <w:rFonts w:ascii="Times New Roman" w:hAnsi="Times New Roman" w:cs="Times New Roman"/>
          <w:b/>
          <w:bCs/>
          <w:sz w:val="24"/>
          <w:szCs w:val="24"/>
          <w:lang w:val="en-US"/>
        </w:rPr>
      </w:pPr>
    </w:p>
    <w:p w14:paraId="164EB801" w14:textId="77777777" w:rsidR="00C66CC0" w:rsidRPr="007B7137" w:rsidRDefault="00C66CC0" w:rsidP="004E486A">
      <w:pPr>
        <w:spacing w:line="360" w:lineRule="auto"/>
        <w:rPr>
          <w:rFonts w:ascii="Times New Roman" w:hAnsi="Times New Roman" w:cs="Times New Roman"/>
          <w:b/>
          <w:bCs/>
          <w:sz w:val="24"/>
          <w:szCs w:val="24"/>
          <w:lang w:val="en-US"/>
        </w:rPr>
      </w:pPr>
    </w:p>
    <w:p w14:paraId="4160CF05" w14:textId="77777777" w:rsidR="00C66CC0" w:rsidRPr="007B7137" w:rsidRDefault="00C66CC0" w:rsidP="004E486A">
      <w:pPr>
        <w:spacing w:line="360" w:lineRule="auto"/>
        <w:rPr>
          <w:rFonts w:ascii="Times New Roman" w:hAnsi="Times New Roman" w:cs="Times New Roman"/>
          <w:b/>
          <w:bCs/>
          <w:sz w:val="24"/>
          <w:szCs w:val="24"/>
          <w:lang w:val="en-US"/>
        </w:rPr>
      </w:pPr>
    </w:p>
    <w:p w14:paraId="300178F7" w14:textId="77777777" w:rsidR="00C66CC0" w:rsidRPr="007B7137" w:rsidRDefault="00C66CC0" w:rsidP="004E486A">
      <w:pPr>
        <w:spacing w:line="360" w:lineRule="auto"/>
        <w:rPr>
          <w:rFonts w:ascii="Times New Roman" w:hAnsi="Times New Roman" w:cs="Times New Roman"/>
          <w:b/>
          <w:bCs/>
          <w:sz w:val="24"/>
          <w:szCs w:val="24"/>
          <w:lang w:val="en-US"/>
        </w:rPr>
      </w:pPr>
    </w:p>
    <w:p w14:paraId="7E0CC388" w14:textId="7E71DC47" w:rsidR="00675667" w:rsidRDefault="00675667" w:rsidP="006F24DF">
      <w:pPr>
        <w:spacing w:line="360" w:lineRule="auto"/>
        <w:jc w:val="both"/>
        <w:rPr>
          <w:rFonts w:ascii="Times New Roman" w:hAnsi="Times New Roman" w:cs="Times New Roman"/>
          <w:b/>
          <w:bCs/>
          <w:sz w:val="24"/>
          <w:szCs w:val="24"/>
          <w:lang w:val="en-US"/>
        </w:rPr>
      </w:pPr>
    </w:p>
    <w:p w14:paraId="711C808F" w14:textId="77777777" w:rsidR="007B7137" w:rsidRPr="007B7137" w:rsidRDefault="007B7137" w:rsidP="006F24DF">
      <w:pPr>
        <w:spacing w:line="360" w:lineRule="auto"/>
        <w:jc w:val="both"/>
        <w:rPr>
          <w:rFonts w:ascii="Times New Roman" w:hAnsi="Times New Roman" w:cs="Times New Roman"/>
          <w:b/>
          <w:bCs/>
          <w:sz w:val="24"/>
          <w:szCs w:val="24"/>
          <w:lang w:val="en-US"/>
        </w:rPr>
      </w:pPr>
    </w:p>
    <w:sdt>
      <w:sdtPr>
        <w:rPr>
          <w:rFonts w:asciiTheme="minorHAnsi" w:eastAsiaTheme="minorHAnsi" w:hAnsiTheme="minorHAnsi" w:cstheme="minorBidi"/>
          <w:color w:val="auto"/>
          <w:sz w:val="24"/>
          <w:szCs w:val="24"/>
          <w:lang w:val="en-GB" w:bidi="si-LK"/>
        </w:rPr>
        <w:id w:val="-1062481255"/>
        <w:docPartObj>
          <w:docPartGallery w:val="Table of Contents"/>
          <w:docPartUnique/>
        </w:docPartObj>
      </w:sdtPr>
      <w:sdtEndPr>
        <w:rPr>
          <w:noProof/>
        </w:rPr>
      </w:sdtEndPr>
      <w:sdtContent>
        <w:p w14:paraId="2C3A033B" w14:textId="76636044" w:rsidR="00F44A84" w:rsidRPr="0040307E" w:rsidRDefault="00F44A84">
          <w:pPr>
            <w:pStyle w:val="Nadpisobsahu"/>
            <w:rPr>
              <w:rFonts w:ascii="Times New Roman" w:hAnsi="Times New Roman" w:cs="Times New Roman"/>
              <w:sz w:val="24"/>
              <w:szCs w:val="24"/>
              <w:lang w:val="fr-FR"/>
            </w:rPr>
          </w:pPr>
          <w:r w:rsidRPr="0040307E">
            <w:rPr>
              <w:rFonts w:ascii="Times New Roman" w:hAnsi="Times New Roman" w:cs="Times New Roman"/>
              <w:sz w:val="24"/>
              <w:szCs w:val="24"/>
              <w:lang w:val="fr-FR"/>
            </w:rPr>
            <w:t>Contents</w:t>
          </w:r>
        </w:p>
        <w:p w14:paraId="24814AAE" w14:textId="49B0B6AF" w:rsidR="0040307E" w:rsidRPr="0040307E" w:rsidRDefault="00F44A84">
          <w:pPr>
            <w:pStyle w:val="Obsah1"/>
            <w:tabs>
              <w:tab w:val="right" w:leader="dot" w:pos="9350"/>
            </w:tabs>
            <w:rPr>
              <w:rFonts w:asciiTheme="minorHAnsi" w:eastAsiaTheme="minorEastAsia" w:hAnsiTheme="minorHAnsi" w:cstheme="minorBidi"/>
              <w:b w:val="0"/>
              <w:bCs w:val="0"/>
              <w:noProof/>
              <w:sz w:val="24"/>
              <w:szCs w:val="24"/>
              <w:lang w:val="fr-FR" w:eastAsia="fr-FR" w:bidi="ar-SA"/>
            </w:rPr>
          </w:pPr>
          <w:r w:rsidRPr="0040307E">
            <w:rPr>
              <w:b w:val="0"/>
              <w:bCs w:val="0"/>
              <w:sz w:val="24"/>
              <w:szCs w:val="24"/>
            </w:rPr>
            <w:fldChar w:fldCharType="begin"/>
          </w:r>
          <w:r w:rsidRPr="0040307E">
            <w:rPr>
              <w:b w:val="0"/>
              <w:bCs w:val="0"/>
              <w:sz w:val="24"/>
              <w:szCs w:val="24"/>
            </w:rPr>
            <w:instrText xml:space="preserve"> TOC \o "1-3" \h \z \u </w:instrText>
          </w:r>
          <w:r w:rsidRPr="0040307E">
            <w:rPr>
              <w:b w:val="0"/>
              <w:bCs w:val="0"/>
              <w:sz w:val="24"/>
              <w:szCs w:val="24"/>
            </w:rPr>
            <w:fldChar w:fldCharType="separate"/>
          </w:r>
          <w:hyperlink w:anchor="_Toc109340791" w:history="1">
            <w:r w:rsidR="0040307E" w:rsidRPr="0040307E">
              <w:rPr>
                <w:rStyle w:val="Hypertextovodkaz"/>
                <w:b w:val="0"/>
                <w:bCs w:val="0"/>
                <w:noProof/>
                <w:sz w:val="24"/>
                <w:szCs w:val="24"/>
              </w:rPr>
              <w:t>1. Introduction to the topic</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_Toc109340791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7</w:t>
            </w:r>
            <w:r w:rsidR="0040307E" w:rsidRPr="0040307E">
              <w:rPr>
                <w:b w:val="0"/>
                <w:bCs w:val="0"/>
                <w:noProof/>
                <w:webHidden/>
                <w:sz w:val="24"/>
                <w:szCs w:val="24"/>
              </w:rPr>
              <w:fldChar w:fldCharType="end"/>
            </w:r>
          </w:hyperlink>
        </w:p>
        <w:p w14:paraId="0F1AC217" w14:textId="50CB5C31"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2" w:history="1">
            <w:r w:rsidR="0040307E" w:rsidRPr="0040307E">
              <w:rPr>
                <w:rStyle w:val="Hypertextovodkaz"/>
                <w:b w:val="0"/>
                <w:bCs w:val="0"/>
                <w:noProof/>
                <w:sz w:val="24"/>
                <w:szCs w:val="24"/>
              </w:rPr>
              <w:t>1.1 Aim</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_Toc109340792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8</w:t>
            </w:r>
            <w:r w:rsidR="0040307E" w:rsidRPr="0040307E">
              <w:rPr>
                <w:b w:val="0"/>
                <w:bCs w:val="0"/>
                <w:noProof/>
                <w:webHidden/>
                <w:sz w:val="24"/>
                <w:szCs w:val="24"/>
              </w:rPr>
              <w:fldChar w:fldCharType="end"/>
            </w:r>
          </w:hyperlink>
        </w:p>
        <w:p w14:paraId="1094ADC5" w14:textId="03C3B14E"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3" w:history="1">
            <w:r w:rsidR="0040307E" w:rsidRPr="0040307E">
              <w:rPr>
                <w:rStyle w:val="Hypertextovodkaz"/>
                <w:b w:val="0"/>
                <w:bCs w:val="0"/>
                <w:noProof/>
                <w:sz w:val="24"/>
                <w:szCs w:val="24"/>
              </w:rPr>
              <w:t>1.2 Research Questions</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_Toc109340793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8</w:t>
            </w:r>
            <w:r w:rsidR="0040307E" w:rsidRPr="0040307E">
              <w:rPr>
                <w:b w:val="0"/>
                <w:bCs w:val="0"/>
                <w:noProof/>
                <w:webHidden/>
                <w:sz w:val="24"/>
                <w:szCs w:val="24"/>
              </w:rPr>
              <w:fldChar w:fldCharType="end"/>
            </w:r>
          </w:hyperlink>
        </w:p>
        <w:p w14:paraId="32DB27FF" w14:textId="7C016179"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4" w:history="1">
            <w:r w:rsidR="0040307E" w:rsidRPr="0040307E">
              <w:rPr>
                <w:rStyle w:val="Hypertextovodkaz"/>
                <w:b w:val="0"/>
                <w:bCs w:val="0"/>
                <w:noProof/>
                <w:sz w:val="24"/>
                <w:szCs w:val="24"/>
              </w:rPr>
              <w:t>1.3 Material</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_Toc109340794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8</w:t>
            </w:r>
            <w:r w:rsidR="0040307E" w:rsidRPr="0040307E">
              <w:rPr>
                <w:b w:val="0"/>
                <w:bCs w:val="0"/>
                <w:noProof/>
                <w:webHidden/>
                <w:sz w:val="24"/>
                <w:szCs w:val="24"/>
              </w:rPr>
              <w:fldChar w:fldCharType="end"/>
            </w:r>
          </w:hyperlink>
        </w:p>
        <w:p w14:paraId="1C9A3BC7" w14:textId="383E17FA"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5" w:history="1">
            <w:r w:rsidR="0040307E" w:rsidRPr="0040307E">
              <w:rPr>
                <w:rStyle w:val="Hypertextovodkaz"/>
                <w:b w:val="0"/>
                <w:bCs w:val="0"/>
                <w:noProof/>
                <w:sz w:val="24"/>
                <w:szCs w:val="24"/>
              </w:rPr>
              <w:t>1.4 Delimitation</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_Toc109340795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9</w:t>
            </w:r>
            <w:r w:rsidR="0040307E" w:rsidRPr="0040307E">
              <w:rPr>
                <w:b w:val="0"/>
                <w:bCs w:val="0"/>
                <w:noProof/>
                <w:webHidden/>
                <w:sz w:val="24"/>
                <w:szCs w:val="24"/>
              </w:rPr>
              <w:fldChar w:fldCharType="end"/>
            </w:r>
          </w:hyperlink>
        </w:p>
        <w:p w14:paraId="63F40879" w14:textId="2DAC5602"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6" w:history="1">
            <w:r w:rsidR="0040307E" w:rsidRPr="0040307E">
              <w:rPr>
                <w:rStyle w:val="Hypertextovodkaz"/>
                <w:b w:val="0"/>
                <w:bCs w:val="0"/>
                <w:noProof/>
                <w:sz w:val="24"/>
                <w:szCs w:val="24"/>
              </w:rPr>
              <w:t>2.  The Ordinary Rules of Head of State Immunity:</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_Toc109340796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10</w:t>
            </w:r>
            <w:r w:rsidR="0040307E" w:rsidRPr="0040307E">
              <w:rPr>
                <w:b w:val="0"/>
                <w:bCs w:val="0"/>
                <w:noProof/>
                <w:webHidden/>
                <w:sz w:val="24"/>
                <w:szCs w:val="24"/>
              </w:rPr>
              <w:fldChar w:fldCharType="end"/>
            </w:r>
          </w:hyperlink>
        </w:p>
        <w:p w14:paraId="23F5F93A" w14:textId="3DCEC393"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7" w:history="1">
            <w:r w:rsidR="0040307E" w:rsidRPr="0040307E">
              <w:rPr>
                <w:rStyle w:val="Hypertextovodkaz"/>
                <w:b w:val="0"/>
                <w:bCs w:val="0"/>
                <w:noProof/>
                <w:sz w:val="24"/>
                <w:szCs w:val="24"/>
              </w:rPr>
              <w:t>2.1 Immunity Ratione Personae: (Immunity Attaching to an Office or Status)</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_Toc109340797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11</w:t>
            </w:r>
            <w:r w:rsidR="0040307E" w:rsidRPr="0040307E">
              <w:rPr>
                <w:b w:val="0"/>
                <w:bCs w:val="0"/>
                <w:noProof/>
                <w:webHidden/>
                <w:sz w:val="24"/>
                <w:szCs w:val="24"/>
              </w:rPr>
              <w:fldChar w:fldCharType="end"/>
            </w:r>
          </w:hyperlink>
        </w:p>
        <w:p w14:paraId="2E66F5CC" w14:textId="223DB68B"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798" w:history="1">
            <w:r w:rsidR="0040307E" w:rsidRPr="0040307E">
              <w:rPr>
                <w:rStyle w:val="Hypertextovodkaz"/>
                <w:b w:val="0"/>
                <w:bCs w:val="0"/>
                <w:noProof/>
                <w:sz w:val="24"/>
                <w:szCs w:val="24"/>
              </w:rPr>
              <w:t>2.2 Immunity Ratione Materiae (Immunity Attaching to Official Acts)</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_Toc109340798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15</w:t>
            </w:r>
            <w:r w:rsidR="0040307E" w:rsidRPr="0040307E">
              <w:rPr>
                <w:b w:val="0"/>
                <w:bCs w:val="0"/>
                <w:noProof/>
                <w:webHidden/>
                <w:sz w:val="24"/>
                <w:szCs w:val="24"/>
              </w:rPr>
              <w:fldChar w:fldCharType="end"/>
            </w:r>
          </w:hyperlink>
        </w:p>
        <w:p w14:paraId="3EF050C7" w14:textId="7DBD9DFF" w:rsidR="0040307E" w:rsidRPr="0040307E" w:rsidRDefault="00C2264C">
          <w:pPr>
            <w:pStyle w:val="Obsah1"/>
            <w:tabs>
              <w:tab w:val="left" w:pos="440"/>
              <w:tab w:val="right" w:leader="dot" w:pos="9350"/>
            </w:tabs>
            <w:rPr>
              <w:rFonts w:asciiTheme="minorHAnsi" w:eastAsiaTheme="minorEastAsia" w:hAnsiTheme="minorHAnsi" w:cstheme="minorBidi"/>
              <w:b w:val="0"/>
              <w:bCs w:val="0"/>
              <w:noProof/>
              <w:sz w:val="24"/>
              <w:szCs w:val="24"/>
              <w:lang w:val="fr-FR" w:eastAsia="fr-FR" w:bidi="ar-SA"/>
            </w:rPr>
          </w:pPr>
          <w:hyperlink w:anchor="_Toc109340799" w:history="1">
            <w:r w:rsidR="0040307E" w:rsidRPr="0040307E">
              <w:rPr>
                <w:rStyle w:val="Hypertextovodkaz"/>
                <w:b w:val="0"/>
                <w:bCs w:val="0"/>
                <w:noProof/>
                <w:sz w:val="24"/>
                <w:szCs w:val="24"/>
              </w:rPr>
              <w:t>3.</w:t>
            </w:r>
            <w:r w:rsidR="0040307E" w:rsidRPr="0040307E">
              <w:rPr>
                <w:rFonts w:asciiTheme="minorHAnsi" w:eastAsiaTheme="minorEastAsia" w:hAnsiTheme="minorHAnsi" w:cstheme="minorBidi"/>
                <w:b w:val="0"/>
                <w:bCs w:val="0"/>
                <w:noProof/>
                <w:sz w:val="24"/>
                <w:szCs w:val="24"/>
                <w:lang w:val="fr-FR" w:eastAsia="fr-FR" w:bidi="ar-SA"/>
              </w:rPr>
              <w:tab/>
            </w:r>
            <w:r w:rsidR="0040307E" w:rsidRPr="0040307E">
              <w:rPr>
                <w:rStyle w:val="Hypertextovodkaz"/>
                <w:b w:val="0"/>
                <w:bCs w:val="0"/>
                <w:noProof/>
                <w:sz w:val="24"/>
                <w:szCs w:val="24"/>
              </w:rPr>
              <w:t>The ICC Statute and Immunity:</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_Toc109340799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19</w:t>
            </w:r>
            <w:r w:rsidR="0040307E" w:rsidRPr="0040307E">
              <w:rPr>
                <w:b w:val="0"/>
                <w:bCs w:val="0"/>
                <w:noProof/>
                <w:webHidden/>
                <w:sz w:val="24"/>
                <w:szCs w:val="24"/>
              </w:rPr>
              <w:fldChar w:fldCharType="end"/>
            </w:r>
          </w:hyperlink>
        </w:p>
        <w:p w14:paraId="2457A894" w14:textId="46C0B80F"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0" w:history="1">
            <w:r w:rsidR="0040307E" w:rsidRPr="0040307E">
              <w:rPr>
                <w:rStyle w:val="Hypertextovodkaz"/>
                <w:b w:val="0"/>
                <w:bCs w:val="0"/>
                <w:noProof/>
                <w:sz w:val="24"/>
                <w:szCs w:val="24"/>
              </w:rPr>
              <w:t>3.1The Tension between Articles 27 and 98 of the ICC Statute:</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_Toc109340800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19</w:t>
            </w:r>
            <w:r w:rsidR="0040307E" w:rsidRPr="0040307E">
              <w:rPr>
                <w:b w:val="0"/>
                <w:bCs w:val="0"/>
                <w:noProof/>
                <w:webHidden/>
                <w:sz w:val="24"/>
                <w:szCs w:val="24"/>
              </w:rPr>
              <w:fldChar w:fldCharType="end"/>
            </w:r>
          </w:hyperlink>
        </w:p>
        <w:p w14:paraId="51EAF7C7" w14:textId="6FB85F23"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1" w:history="1">
            <w:r w:rsidR="0040307E" w:rsidRPr="0040307E">
              <w:rPr>
                <w:rStyle w:val="Hypertextovodkaz"/>
                <w:b w:val="0"/>
                <w:bCs w:val="0"/>
                <w:noProof/>
                <w:sz w:val="24"/>
                <w:szCs w:val="24"/>
              </w:rPr>
              <w:t>3.2 Who May Benefit from Article 98?</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_Toc109340801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22</w:t>
            </w:r>
            <w:r w:rsidR="0040307E" w:rsidRPr="0040307E">
              <w:rPr>
                <w:b w:val="0"/>
                <w:bCs w:val="0"/>
                <w:noProof/>
                <w:webHidden/>
                <w:sz w:val="24"/>
                <w:szCs w:val="24"/>
              </w:rPr>
              <w:fldChar w:fldCharType="end"/>
            </w:r>
          </w:hyperlink>
        </w:p>
        <w:p w14:paraId="3E30681B" w14:textId="256457F1"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2" w:history="1">
            <w:r w:rsidR="0040307E" w:rsidRPr="0040307E">
              <w:rPr>
                <w:rStyle w:val="Hypertextovodkaz"/>
                <w:b w:val="0"/>
                <w:bCs w:val="0"/>
                <w:noProof/>
                <w:sz w:val="24"/>
                <w:szCs w:val="24"/>
              </w:rPr>
              <w:t>3.3 Who Decides Whether a Person is Entitled to Immunity in Another State?</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_Toc109340802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32</w:t>
            </w:r>
            <w:r w:rsidR="0040307E" w:rsidRPr="0040307E">
              <w:rPr>
                <w:b w:val="0"/>
                <w:bCs w:val="0"/>
                <w:noProof/>
                <w:webHidden/>
                <w:sz w:val="24"/>
                <w:szCs w:val="24"/>
              </w:rPr>
              <w:fldChar w:fldCharType="end"/>
            </w:r>
          </w:hyperlink>
        </w:p>
        <w:p w14:paraId="6216B357" w14:textId="42E6F929"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3" w:history="1">
            <w:r w:rsidR="0040307E" w:rsidRPr="0040307E">
              <w:rPr>
                <w:rStyle w:val="Hypertextovodkaz"/>
                <w:b w:val="0"/>
                <w:bCs w:val="0"/>
                <w:noProof/>
                <w:sz w:val="24"/>
                <w:szCs w:val="24"/>
              </w:rPr>
              <w:t>4.The Security Council Referral</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_Toc109340803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35</w:t>
            </w:r>
            <w:r w:rsidR="0040307E" w:rsidRPr="0040307E">
              <w:rPr>
                <w:b w:val="0"/>
                <w:bCs w:val="0"/>
                <w:noProof/>
                <w:webHidden/>
                <w:sz w:val="24"/>
                <w:szCs w:val="24"/>
              </w:rPr>
              <w:fldChar w:fldCharType="end"/>
            </w:r>
          </w:hyperlink>
        </w:p>
        <w:p w14:paraId="1BEB0126" w14:textId="640F76E9"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4" w:history="1">
            <w:r w:rsidR="0040307E" w:rsidRPr="0040307E">
              <w:rPr>
                <w:rStyle w:val="Hypertextovodkaz"/>
                <w:b w:val="0"/>
                <w:bCs w:val="0"/>
                <w:noProof/>
                <w:sz w:val="24"/>
                <w:szCs w:val="24"/>
              </w:rPr>
              <w:t>4.1 The Inability to Delegate Chapter VII Powers to the ICC</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_Toc109340804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36</w:t>
            </w:r>
            <w:r w:rsidR="0040307E" w:rsidRPr="0040307E">
              <w:rPr>
                <w:b w:val="0"/>
                <w:bCs w:val="0"/>
                <w:noProof/>
                <w:webHidden/>
                <w:sz w:val="24"/>
                <w:szCs w:val="24"/>
              </w:rPr>
              <w:fldChar w:fldCharType="end"/>
            </w:r>
          </w:hyperlink>
        </w:p>
        <w:p w14:paraId="2197E1E7" w14:textId="6A17CB74"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5" w:history="1">
            <w:r w:rsidR="0040307E" w:rsidRPr="0040307E">
              <w:rPr>
                <w:rStyle w:val="Hypertextovodkaz"/>
                <w:b w:val="0"/>
                <w:bCs w:val="0"/>
                <w:noProof/>
                <w:sz w:val="24"/>
                <w:szCs w:val="24"/>
              </w:rPr>
              <w:t>4.2 Article 103 and the primacy of the United Nations Security Council:</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_Toc109340805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38</w:t>
            </w:r>
            <w:r w:rsidR="0040307E" w:rsidRPr="0040307E">
              <w:rPr>
                <w:b w:val="0"/>
                <w:bCs w:val="0"/>
                <w:noProof/>
                <w:webHidden/>
                <w:sz w:val="24"/>
                <w:szCs w:val="24"/>
              </w:rPr>
              <w:fldChar w:fldCharType="end"/>
            </w:r>
          </w:hyperlink>
        </w:p>
        <w:p w14:paraId="5AC21F40" w14:textId="2135C295"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6" w:history="1">
            <w:r w:rsidR="0040307E" w:rsidRPr="0040307E">
              <w:rPr>
                <w:rStyle w:val="Hypertextovodkaz"/>
                <w:b w:val="0"/>
                <w:bCs w:val="0"/>
                <w:noProof/>
                <w:sz w:val="24"/>
                <w:szCs w:val="24"/>
              </w:rPr>
              <w:t>5.Exceptions and Limitations to Immunity Rule for State Officials, Current Work of the International Law Commission</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_Toc109340806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40</w:t>
            </w:r>
            <w:r w:rsidR="0040307E" w:rsidRPr="0040307E">
              <w:rPr>
                <w:b w:val="0"/>
                <w:bCs w:val="0"/>
                <w:noProof/>
                <w:webHidden/>
                <w:sz w:val="24"/>
                <w:szCs w:val="24"/>
              </w:rPr>
              <w:fldChar w:fldCharType="end"/>
            </w:r>
          </w:hyperlink>
        </w:p>
        <w:p w14:paraId="6435CD43" w14:textId="69FE8F6E"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7" w:history="1">
            <w:r w:rsidR="0040307E" w:rsidRPr="0040307E">
              <w:rPr>
                <w:rStyle w:val="Hypertextovodkaz"/>
                <w:b w:val="0"/>
                <w:bCs w:val="0"/>
                <w:noProof/>
                <w:sz w:val="24"/>
                <w:szCs w:val="24"/>
                <w:lang w:val="en-GB"/>
              </w:rPr>
              <w:t>5.1</w:t>
            </w:r>
            <w:r w:rsidR="0040307E" w:rsidRPr="0040307E">
              <w:rPr>
                <w:rStyle w:val="Hypertextovodkaz"/>
                <w:b w:val="0"/>
                <w:bCs w:val="0"/>
                <w:noProof/>
                <w:sz w:val="24"/>
                <w:szCs w:val="24"/>
              </w:rPr>
              <w:t xml:space="preserve"> The Clauses of Draft Article 7 and the Justifications for its Acceptance</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_Toc109340807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40</w:t>
            </w:r>
            <w:r w:rsidR="0040307E" w:rsidRPr="0040307E">
              <w:rPr>
                <w:b w:val="0"/>
                <w:bCs w:val="0"/>
                <w:noProof/>
                <w:webHidden/>
                <w:sz w:val="24"/>
                <w:szCs w:val="24"/>
              </w:rPr>
              <w:fldChar w:fldCharType="end"/>
            </w:r>
          </w:hyperlink>
        </w:p>
        <w:p w14:paraId="7F107C92" w14:textId="205F1626"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8" w:history="1">
            <w:r w:rsidR="0040307E" w:rsidRPr="0040307E">
              <w:rPr>
                <w:rStyle w:val="Hypertextovodkaz"/>
                <w:b w:val="0"/>
                <w:bCs w:val="0"/>
                <w:noProof/>
                <w:sz w:val="24"/>
                <w:szCs w:val="24"/>
              </w:rPr>
              <w:t>5.2 Exceptions and Limitations to Immunity Ratione Materiae still cannot establish International Customary Law</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_Toc109340808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43</w:t>
            </w:r>
            <w:r w:rsidR="0040307E" w:rsidRPr="0040307E">
              <w:rPr>
                <w:b w:val="0"/>
                <w:bCs w:val="0"/>
                <w:noProof/>
                <w:webHidden/>
                <w:sz w:val="24"/>
                <w:szCs w:val="24"/>
              </w:rPr>
              <w:fldChar w:fldCharType="end"/>
            </w:r>
          </w:hyperlink>
        </w:p>
        <w:p w14:paraId="3687E932" w14:textId="484675DF"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09" w:history="1">
            <w:r w:rsidR="0040307E" w:rsidRPr="0040307E">
              <w:rPr>
                <w:rStyle w:val="Hypertextovodkaz"/>
                <w:b w:val="0"/>
                <w:bCs w:val="0"/>
                <w:noProof/>
                <w:sz w:val="24"/>
                <w:szCs w:val="24"/>
              </w:rPr>
              <w:t>6. Conclusion</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_Toc109340809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44</w:t>
            </w:r>
            <w:r w:rsidR="0040307E" w:rsidRPr="0040307E">
              <w:rPr>
                <w:b w:val="0"/>
                <w:bCs w:val="0"/>
                <w:noProof/>
                <w:webHidden/>
                <w:sz w:val="24"/>
                <w:szCs w:val="24"/>
              </w:rPr>
              <w:fldChar w:fldCharType="end"/>
            </w:r>
          </w:hyperlink>
        </w:p>
        <w:p w14:paraId="1709FC42" w14:textId="71E1E9A4" w:rsidR="0040307E" w:rsidRPr="0040307E" w:rsidRDefault="00C2264C">
          <w:pPr>
            <w:pStyle w:val="Obsah1"/>
            <w:tabs>
              <w:tab w:val="right" w:leader="dot" w:pos="9350"/>
            </w:tabs>
            <w:rPr>
              <w:rFonts w:asciiTheme="minorHAnsi" w:eastAsiaTheme="minorEastAsia" w:hAnsiTheme="minorHAnsi" w:cstheme="minorBidi"/>
              <w:b w:val="0"/>
              <w:bCs w:val="0"/>
              <w:noProof/>
              <w:sz w:val="24"/>
              <w:szCs w:val="24"/>
              <w:lang w:val="fr-FR" w:eastAsia="fr-FR" w:bidi="ar-SA"/>
            </w:rPr>
          </w:pPr>
          <w:hyperlink w:anchor="_Toc109340810" w:history="1">
            <w:r w:rsidR="0040307E" w:rsidRPr="0040307E">
              <w:rPr>
                <w:rStyle w:val="Hypertextovodkaz"/>
                <w:b w:val="0"/>
                <w:bCs w:val="0"/>
                <w:noProof/>
                <w:sz w:val="24"/>
                <w:szCs w:val="24"/>
              </w:rPr>
              <w:t>Bibliography</w:t>
            </w:r>
            <w:r w:rsidR="0040307E" w:rsidRPr="0040307E">
              <w:rPr>
                <w:b w:val="0"/>
                <w:bCs w:val="0"/>
                <w:noProof/>
                <w:webHidden/>
                <w:sz w:val="24"/>
                <w:szCs w:val="24"/>
              </w:rPr>
              <w:tab/>
            </w:r>
            <w:r w:rsidR="0040307E" w:rsidRPr="0040307E">
              <w:rPr>
                <w:b w:val="0"/>
                <w:bCs w:val="0"/>
                <w:noProof/>
                <w:webHidden/>
                <w:sz w:val="24"/>
                <w:szCs w:val="24"/>
              </w:rPr>
              <w:fldChar w:fldCharType="begin"/>
            </w:r>
            <w:r w:rsidR="0040307E" w:rsidRPr="0040307E">
              <w:rPr>
                <w:b w:val="0"/>
                <w:bCs w:val="0"/>
                <w:noProof/>
                <w:webHidden/>
                <w:sz w:val="24"/>
                <w:szCs w:val="24"/>
              </w:rPr>
              <w:instrText xml:space="preserve"> PAGEREF _Toc109340810 \h </w:instrText>
            </w:r>
            <w:r w:rsidR="0040307E" w:rsidRPr="0040307E">
              <w:rPr>
                <w:b w:val="0"/>
                <w:bCs w:val="0"/>
                <w:noProof/>
                <w:webHidden/>
                <w:sz w:val="24"/>
                <w:szCs w:val="24"/>
              </w:rPr>
            </w:r>
            <w:r w:rsidR="0040307E" w:rsidRPr="0040307E">
              <w:rPr>
                <w:b w:val="0"/>
                <w:bCs w:val="0"/>
                <w:noProof/>
                <w:webHidden/>
                <w:sz w:val="24"/>
                <w:szCs w:val="24"/>
              </w:rPr>
              <w:fldChar w:fldCharType="separate"/>
            </w:r>
            <w:r w:rsidR="0040307E" w:rsidRPr="0040307E">
              <w:rPr>
                <w:b w:val="0"/>
                <w:bCs w:val="0"/>
                <w:noProof/>
                <w:webHidden/>
                <w:sz w:val="24"/>
                <w:szCs w:val="24"/>
              </w:rPr>
              <w:t>46</w:t>
            </w:r>
            <w:r w:rsidR="0040307E" w:rsidRPr="0040307E">
              <w:rPr>
                <w:b w:val="0"/>
                <w:bCs w:val="0"/>
                <w:noProof/>
                <w:webHidden/>
                <w:sz w:val="24"/>
                <w:szCs w:val="24"/>
              </w:rPr>
              <w:fldChar w:fldCharType="end"/>
            </w:r>
          </w:hyperlink>
        </w:p>
        <w:p w14:paraId="3FECA5A7" w14:textId="751F2253" w:rsidR="006F24DF" w:rsidRPr="00467101" w:rsidRDefault="00F44A84" w:rsidP="00AE66E5">
          <w:pPr>
            <w:rPr>
              <w:sz w:val="24"/>
              <w:szCs w:val="24"/>
            </w:rPr>
          </w:pPr>
          <w:r w:rsidRPr="0040307E">
            <w:rPr>
              <w:rFonts w:ascii="Times New Roman" w:hAnsi="Times New Roman" w:cs="Times New Roman"/>
              <w:noProof/>
              <w:sz w:val="24"/>
              <w:szCs w:val="24"/>
            </w:rPr>
            <w:fldChar w:fldCharType="end"/>
          </w:r>
        </w:p>
      </w:sdtContent>
    </w:sdt>
    <w:p w14:paraId="0F902AED" w14:textId="77777777" w:rsidR="00467101" w:rsidRDefault="00467101" w:rsidP="007467CC">
      <w:pPr>
        <w:pStyle w:val="Thesisheading2"/>
      </w:pPr>
    </w:p>
    <w:p w14:paraId="1F71602F" w14:textId="77777777" w:rsidR="00467101" w:rsidRDefault="00467101" w:rsidP="007467CC">
      <w:pPr>
        <w:pStyle w:val="Thesisheading2"/>
      </w:pPr>
    </w:p>
    <w:p w14:paraId="59E35416" w14:textId="28CB6F16" w:rsidR="007467CC" w:rsidRPr="00DF1F13" w:rsidRDefault="007467CC" w:rsidP="007467CC">
      <w:pPr>
        <w:pStyle w:val="Thesisheading2"/>
      </w:pPr>
      <w:r w:rsidRPr="00DF1F13">
        <w:lastRenderedPageBreak/>
        <w:t>List of Abbreviations</w:t>
      </w:r>
    </w:p>
    <w:p w14:paraId="011DBAC5" w14:textId="77777777" w:rsidR="007467CC" w:rsidRPr="00DF1F13" w:rsidRDefault="007467CC" w:rsidP="007467CC">
      <w:pPr>
        <w:pStyle w:val="Thesisbody"/>
        <w:numPr>
          <w:ilvl w:val="0"/>
          <w:numId w:val="17"/>
        </w:numPr>
        <w:spacing w:line="240" w:lineRule="auto"/>
      </w:pPr>
      <w:r w:rsidRPr="00DF1F13">
        <w:t xml:space="preserve">AU- African Union </w:t>
      </w:r>
    </w:p>
    <w:p w14:paraId="6C92C4D2" w14:textId="77777777" w:rsidR="007467CC" w:rsidRPr="00DF1F13" w:rsidRDefault="007467CC" w:rsidP="007467CC">
      <w:pPr>
        <w:pStyle w:val="Thesisbody"/>
        <w:numPr>
          <w:ilvl w:val="0"/>
          <w:numId w:val="17"/>
        </w:numPr>
        <w:spacing w:line="240" w:lineRule="auto"/>
      </w:pPr>
      <w:r w:rsidRPr="00DF1F13">
        <w:t xml:space="preserve">ICC- International Criminal Court </w:t>
      </w:r>
    </w:p>
    <w:p w14:paraId="5595A167" w14:textId="77777777" w:rsidR="007467CC" w:rsidRPr="00DF1F13" w:rsidRDefault="007467CC" w:rsidP="007467CC">
      <w:pPr>
        <w:pStyle w:val="Thesisbody"/>
        <w:numPr>
          <w:ilvl w:val="0"/>
          <w:numId w:val="17"/>
        </w:numPr>
        <w:spacing w:line="240" w:lineRule="auto"/>
      </w:pPr>
      <w:r w:rsidRPr="00DF1F13">
        <w:t>PTC- Pre-Trial Chamber</w:t>
      </w:r>
    </w:p>
    <w:p w14:paraId="685DCE32" w14:textId="77777777" w:rsidR="007467CC" w:rsidRPr="00DF1F13" w:rsidRDefault="007467CC" w:rsidP="007467CC">
      <w:pPr>
        <w:pStyle w:val="Thesisbody"/>
        <w:numPr>
          <w:ilvl w:val="0"/>
          <w:numId w:val="17"/>
        </w:numPr>
        <w:spacing w:line="240" w:lineRule="auto"/>
      </w:pPr>
      <w:r w:rsidRPr="00DF1F13">
        <w:t xml:space="preserve"> SC- Security Council</w:t>
      </w:r>
    </w:p>
    <w:p w14:paraId="71BC55F0" w14:textId="77777777" w:rsidR="007467CC" w:rsidRPr="00DF1F13" w:rsidRDefault="007467CC" w:rsidP="007467CC">
      <w:pPr>
        <w:pStyle w:val="Thesisbody"/>
        <w:numPr>
          <w:ilvl w:val="0"/>
          <w:numId w:val="17"/>
        </w:numPr>
        <w:spacing w:line="240" w:lineRule="auto"/>
      </w:pPr>
      <w:r w:rsidRPr="00DF1F13">
        <w:t xml:space="preserve"> ICJ- International Court of Justice</w:t>
      </w:r>
    </w:p>
    <w:p w14:paraId="6139C91A" w14:textId="77777777" w:rsidR="007467CC" w:rsidRPr="00DF1F13" w:rsidRDefault="007467CC" w:rsidP="007467CC">
      <w:pPr>
        <w:pStyle w:val="Thesisbody"/>
        <w:numPr>
          <w:ilvl w:val="0"/>
          <w:numId w:val="17"/>
        </w:numPr>
        <w:spacing w:line="240" w:lineRule="auto"/>
      </w:pPr>
      <w:r w:rsidRPr="00DF1F13">
        <w:t>VCDR- Vienna Convention on Diplomatic Relations</w:t>
      </w:r>
    </w:p>
    <w:p w14:paraId="00E4E076" w14:textId="77777777" w:rsidR="007467CC" w:rsidRPr="00DF1F13" w:rsidRDefault="007467CC" w:rsidP="007467CC">
      <w:pPr>
        <w:pStyle w:val="Thesisbody"/>
        <w:numPr>
          <w:ilvl w:val="0"/>
          <w:numId w:val="17"/>
        </w:numPr>
        <w:spacing w:line="240" w:lineRule="auto"/>
      </w:pPr>
      <w:r w:rsidRPr="00DF1F13">
        <w:t>VCCR- Vienna Convention on Consular Relations</w:t>
      </w:r>
    </w:p>
    <w:p w14:paraId="6783C590" w14:textId="77777777" w:rsidR="007467CC" w:rsidRPr="00DF1F13" w:rsidRDefault="007467CC" w:rsidP="007467CC">
      <w:pPr>
        <w:pStyle w:val="Thesisbody"/>
        <w:numPr>
          <w:ilvl w:val="0"/>
          <w:numId w:val="17"/>
        </w:numPr>
        <w:spacing w:line="240" w:lineRule="auto"/>
      </w:pPr>
      <w:r w:rsidRPr="00DF1F13">
        <w:t>VCLT- Vienna Convention on Law of Treaty</w:t>
      </w:r>
    </w:p>
    <w:p w14:paraId="453F1615" w14:textId="77777777" w:rsidR="007467CC" w:rsidRPr="00DF1F13" w:rsidRDefault="007467CC" w:rsidP="007467CC">
      <w:pPr>
        <w:pStyle w:val="Thesisbody"/>
        <w:numPr>
          <w:ilvl w:val="0"/>
          <w:numId w:val="17"/>
        </w:numPr>
        <w:spacing w:line="240" w:lineRule="auto"/>
      </w:pPr>
      <w:r w:rsidRPr="00DF1F13">
        <w:t>UN- United Nations</w:t>
      </w:r>
    </w:p>
    <w:p w14:paraId="203EF0BB" w14:textId="77777777" w:rsidR="007467CC" w:rsidRPr="00DF1F13" w:rsidRDefault="007467CC" w:rsidP="007467CC">
      <w:pPr>
        <w:pStyle w:val="Thesisbody"/>
        <w:numPr>
          <w:ilvl w:val="0"/>
          <w:numId w:val="17"/>
        </w:numPr>
        <w:spacing w:line="240" w:lineRule="auto"/>
      </w:pPr>
      <w:r w:rsidRPr="00DF1F13">
        <w:t>SOFA- Status of Forces Agreements</w:t>
      </w:r>
    </w:p>
    <w:p w14:paraId="29A60C41" w14:textId="77777777" w:rsidR="007467CC" w:rsidRPr="00DF1F13" w:rsidRDefault="007467CC" w:rsidP="007467CC">
      <w:pPr>
        <w:pStyle w:val="Thesisbody"/>
        <w:numPr>
          <w:ilvl w:val="0"/>
          <w:numId w:val="17"/>
        </w:numPr>
        <w:spacing w:line="240" w:lineRule="auto"/>
        <w:rPr>
          <w:lang w:val="fr-FR"/>
        </w:rPr>
      </w:pPr>
      <w:r w:rsidRPr="00DF1F13">
        <w:rPr>
          <w:lang w:val="fr-FR"/>
        </w:rPr>
        <w:t>ICTR- International Criminal Tribunal for Rwanda</w:t>
      </w:r>
    </w:p>
    <w:p w14:paraId="6230D6AE" w14:textId="77777777" w:rsidR="007467CC" w:rsidRPr="00DF1F13" w:rsidRDefault="007467CC" w:rsidP="007467CC">
      <w:pPr>
        <w:pStyle w:val="Thesisbody"/>
        <w:numPr>
          <w:ilvl w:val="0"/>
          <w:numId w:val="17"/>
        </w:numPr>
        <w:spacing w:line="240" w:lineRule="auto"/>
      </w:pPr>
      <w:r w:rsidRPr="00DF1F13">
        <w:t>ICTY- International Criminal Tribunal for the former Yugoslavia</w:t>
      </w:r>
    </w:p>
    <w:p w14:paraId="06A8AC7A" w14:textId="77777777" w:rsidR="007467CC" w:rsidRPr="00DF1F13" w:rsidRDefault="007467CC" w:rsidP="007467CC">
      <w:pPr>
        <w:pStyle w:val="Thesisbody"/>
        <w:numPr>
          <w:ilvl w:val="0"/>
          <w:numId w:val="17"/>
        </w:numPr>
        <w:spacing w:line="240" w:lineRule="auto"/>
      </w:pPr>
      <w:r w:rsidRPr="00DF1F13">
        <w:t>SCSL-Special Court for Sierra Leone</w:t>
      </w:r>
    </w:p>
    <w:p w14:paraId="0FED80F1" w14:textId="2A6B9D3E" w:rsidR="007467CC" w:rsidRPr="00DF1F13" w:rsidRDefault="007467CC" w:rsidP="007467CC">
      <w:pPr>
        <w:pStyle w:val="Thesisbody"/>
        <w:numPr>
          <w:ilvl w:val="0"/>
          <w:numId w:val="17"/>
        </w:numPr>
        <w:spacing w:line="240" w:lineRule="auto"/>
      </w:pPr>
      <w:r w:rsidRPr="00DF1F13">
        <w:t>GA- General Assembly</w:t>
      </w:r>
    </w:p>
    <w:p w14:paraId="7D7C2DF5" w14:textId="7A1311CD" w:rsidR="00A472BE" w:rsidRPr="00DF1F13" w:rsidRDefault="00A472BE" w:rsidP="007467CC">
      <w:pPr>
        <w:pStyle w:val="Thesisbody"/>
        <w:numPr>
          <w:ilvl w:val="0"/>
          <w:numId w:val="17"/>
        </w:numPr>
        <w:spacing w:line="240" w:lineRule="auto"/>
      </w:pPr>
      <w:r w:rsidRPr="00DF1F13">
        <w:t>OAS- Organization of American States</w:t>
      </w:r>
    </w:p>
    <w:p w14:paraId="489EE201" w14:textId="7AE220D6" w:rsidR="00A472BE" w:rsidRDefault="00A472BE" w:rsidP="007467CC">
      <w:pPr>
        <w:pStyle w:val="Thesisbody"/>
        <w:numPr>
          <w:ilvl w:val="0"/>
          <w:numId w:val="17"/>
        </w:numPr>
        <w:spacing w:line="240" w:lineRule="auto"/>
      </w:pPr>
      <w:r w:rsidRPr="00DF1F13">
        <w:t>ISAF- International Security Assistance Force</w:t>
      </w:r>
    </w:p>
    <w:p w14:paraId="5012BDA2" w14:textId="63410935" w:rsidR="00757FA7" w:rsidRDefault="00757FA7" w:rsidP="007467CC">
      <w:pPr>
        <w:pStyle w:val="Thesisbody"/>
        <w:numPr>
          <w:ilvl w:val="0"/>
          <w:numId w:val="17"/>
        </w:numPr>
        <w:spacing w:line="240" w:lineRule="auto"/>
      </w:pPr>
      <w:r w:rsidRPr="00DF1F13">
        <w:t>OAU</w:t>
      </w:r>
      <w:r>
        <w:t>- Organization of African Unity</w:t>
      </w:r>
    </w:p>
    <w:p w14:paraId="510B1AA8" w14:textId="1985C198" w:rsidR="00A21968" w:rsidRPr="00DF1F13" w:rsidRDefault="00A21968" w:rsidP="007467CC">
      <w:pPr>
        <w:pStyle w:val="Thesisbody"/>
        <w:numPr>
          <w:ilvl w:val="0"/>
          <w:numId w:val="17"/>
        </w:numPr>
        <w:spacing w:line="240" w:lineRule="auto"/>
      </w:pPr>
      <w:r>
        <w:t>ILC- International Law Commission</w:t>
      </w:r>
    </w:p>
    <w:p w14:paraId="178006CA" w14:textId="77777777" w:rsidR="006F24DF" w:rsidRPr="00DF1F13" w:rsidRDefault="006F24DF" w:rsidP="004E486A">
      <w:pPr>
        <w:spacing w:line="360" w:lineRule="auto"/>
        <w:rPr>
          <w:rFonts w:ascii="Times New Roman" w:hAnsi="Times New Roman" w:cs="Times New Roman"/>
          <w:b/>
          <w:bCs/>
          <w:sz w:val="28"/>
          <w:szCs w:val="28"/>
          <w:lang w:val="en-US"/>
        </w:rPr>
      </w:pPr>
    </w:p>
    <w:p w14:paraId="1D957960" w14:textId="77777777" w:rsidR="007467CC" w:rsidRPr="00DF1F13" w:rsidRDefault="007467CC" w:rsidP="004E486A">
      <w:pPr>
        <w:spacing w:line="360" w:lineRule="auto"/>
        <w:rPr>
          <w:rFonts w:ascii="Times New Roman" w:hAnsi="Times New Roman" w:cs="Times New Roman"/>
          <w:b/>
          <w:bCs/>
          <w:sz w:val="28"/>
          <w:szCs w:val="28"/>
          <w:lang w:val="en-US"/>
        </w:rPr>
      </w:pPr>
    </w:p>
    <w:p w14:paraId="56227F24" w14:textId="77777777" w:rsidR="007467CC" w:rsidRPr="00DF1F13" w:rsidRDefault="007467CC" w:rsidP="004E486A">
      <w:pPr>
        <w:spacing w:line="360" w:lineRule="auto"/>
        <w:rPr>
          <w:rFonts w:ascii="Times New Roman" w:hAnsi="Times New Roman" w:cs="Times New Roman"/>
          <w:b/>
          <w:bCs/>
          <w:sz w:val="28"/>
          <w:szCs w:val="28"/>
          <w:lang w:val="en-US"/>
        </w:rPr>
      </w:pPr>
    </w:p>
    <w:p w14:paraId="00DA3AAB" w14:textId="77777777" w:rsidR="007467CC" w:rsidRPr="00DF1F13" w:rsidRDefault="007467CC" w:rsidP="004E486A">
      <w:pPr>
        <w:spacing w:line="360" w:lineRule="auto"/>
        <w:rPr>
          <w:rFonts w:ascii="Times New Roman" w:hAnsi="Times New Roman" w:cs="Times New Roman"/>
          <w:b/>
          <w:bCs/>
          <w:sz w:val="28"/>
          <w:szCs w:val="28"/>
          <w:lang w:val="en-US"/>
        </w:rPr>
      </w:pPr>
    </w:p>
    <w:p w14:paraId="33DF4F09" w14:textId="77777777" w:rsidR="007467CC" w:rsidRPr="00DF1F13" w:rsidRDefault="007467CC" w:rsidP="004E486A">
      <w:pPr>
        <w:spacing w:line="360" w:lineRule="auto"/>
        <w:rPr>
          <w:rFonts w:ascii="Times New Roman" w:hAnsi="Times New Roman" w:cs="Times New Roman"/>
          <w:b/>
          <w:bCs/>
          <w:sz w:val="28"/>
          <w:szCs w:val="28"/>
          <w:lang w:val="en-US"/>
        </w:rPr>
      </w:pPr>
    </w:p>
    <w:p w14:paraId="20390E03" w14:textId="06FA340F" w:rsidR="007467CC" w:rsidRPr="00DF1F13" w:rsidRDefault="007467CC" w:rsidP="004E486A">
      <w:pPr>
        <w:spacing w:line="360" w:lineRule="auto"/>
        <w:rPr>
          <w:rFonts w:ascii="Times New Roman" w:hAnsi="Times New Roman" w:cs="Times New Roman"/>
          <w:b/>
          <w:bCs/>
          <w:sz w:val="28"/>
          <w:szCs w:val="28"/>
          <w:lang w:val="en-US"/>
        </w:rPr>
      </w:pPr>
    </w:p>
    <w:p w14:paraId="38B0CEBB" w14:textId="6DAB6560" w:rsidR="00830AAA" w:rsidRPr="00DF1F13" w:rsidRDefault="0053735B" w:rsidP="00C66554">
      <w:pPr>
        <w:pStyle w:val="Nadpis1"/>
        <w:spacing w:after="240"/>
        <w:ind w:left="170" w:right="113"/>
        <w:rPr>
          <w:rFonts w:ascii="Times New Roman" w:hAnsi="Times New Roman" w:cs="Times New Roman"/>
          <w:b/>
          <w:bCs/>
          <w:color w:val="auto"/>
        </w:rPr>
      </w:pPr>
      <w:bookmarkStart w:id="1" w:name="_Toc109340791"/>
      <w:r w:rsidRPr="00DF1F13">
        <w:rPr>
          <w:rFonts w:ascii="Times New Roman" w:hAnsi="Times New Roman" w:cs="Times New Roman"/>
          <w:b/>
          <w:bCs/>
          <w:color w:val="auto"/>
        </w:rPr>
        <w:lastRenderedPageBreak/>
        <w:t>1.</w:t>
      </w:r>
      <w:r w:rsidR="00830AAA" w:rsidRPr="00DF1F13">
        <w:rPr>
          <w:rFonts w:ascii="Times New Roman" w:hAnsi="Times New Roman" w:cs="Times New Roman"/>
          <w:b/>
          <w:bCs/>
          <w:color w:val="auto"/>
        </w:rPr>
        <w:t xml:space="preserve"> Introduction to the topic</w:t>
      </w:r>
      <w:bookmarkEnd w:id="1"/>
    </w:p>
    <w:p w14:paraId="75402143" w14:textId="50ABABEE" w:rsidR="00B65C2B" w:rsidRPr="001A2740" w:rsidRDefault="00B65C2B" w:rsidP="008B621A">
      <w:pPr>
        <w:spacing w:before="120" w:after="120" w:line="360" w:lineRule="auto"/>
        <w:ind w:left="170" w:right="113"/>
        <w:jc w:val="both"/>
        <w:rPr>
          <w:rFonts w:ascii="Times New Roman" w:hAnsi="Times New Roman" w:cs="Times New Roman"/>
          <w:sz w:val="24"/>
          <w:szCs w:val="24"/>
          <w:lang w:val="en-US"/>
        </w:rPr>
      </w:pPr>
      <w:r w:rsidRPr="001A2740">
        <w:rPr>
          <w:rFonts w:ascii="Times New Roman" w:hAnsi="Times New Roman" w:cs="Times New Roman"/>
          <w:sz w:val="24"/>
          <w:szCs w:val="24"/>
          <w:lang w:val="en-US"/>
        </w:rPr>
        <w:t>During a long period of time, many states have failed to investigate and prosecute their own officials and agents accused to be the perpetrators of a serious international crimes</w:t>
      </w:r>
      <w:r w:rsidR="005E695C" w:rsidRPr="001A2740">
        <w:rPr>
          <w:rFonts w:ascii="Times New Roman" w:hAnsi="Times New Roman" w:cs="Times New Roman"/>
          <w:sz w:val="24"/>
          <w:szCs w:val="24"/>
          <w:lang w:val="en-US"/>
        </w:rPr>
        <w:t>.</w:t>
      </w:r>
    </w:p>
    <w:p w14:paraId="63F859B9" w14:textId="0AAA459C" w:rsidR="00B65C2B" w:rsidRPr="001A2740" w:rsidRDefault="00B65C2B" w:rsidP="008B621A">
      <w:pPr>
        <w:spacing w:before="120" w:after="120" w:line="360" w:lineRule="auto"/>
        <w:ind w:left="170" w:right="113"/>
        <w:jc w:val="both"/>
        <w:rPr>
          <w:rFonts w:ascii="Times New Roman" w:hAnsi="Times New Roman" w:cs="Times New Roman"/>
          <w:sz w:val="24"/>
          <w:szCs w:val="24"/>
          <w:lang w:val="en-US"/>
        </w:rPr>
      </w:pPr>
      <w:r w:rsidRPr="001A2740">
        <w:rPr>
          <w:rFonts w:ascii="Times New Roman" w:hAnsi="Times New Roman" w:cs="Times New Roman"/>
          <w:sz w:val="24"/>
          <w:szCs w:val="24"/>
          <w:lang w:val="en-US"/>
        </w:rPr>
        <w:t xml:space="preserve">The Rome Statute of the International Criminal Court came into force </w:t>
      </w:r>
      <w:r w:rsidR="005E695C" w:rsidRPr="001A2740">
        <w:rPr>
          <w:rFonts w:ascii="Times New Roman" w:hAnsi="Times New Roman" w:cs="Times New Roman"/>
          <w:sz w:val="24"/>
          <w:szCs w:val="24"/>
          <w:lang w:val="en-US"/>
        </w:rPr>
        <w:t>i</w:t>
      </w:r>
      <w:r w:rsidRPr="001A2740">
        <w:rPr>
          <w:rFonts w:ascii="Times New Roman" w:hAnsi="Times New Roman" w:cs="Times New Roman"/>
          <w:sz w:val="24"/>
          <w:szCs w:val="24"/>
          <w:lang w:val="en-US"/>
        </w:rPr>
        <w:t>n July 2002, it was an important moment in international criminal justice and the African region was one of the main actors of the realization of this court.</w:t>
      </w:r>
      <w:r w:rsidR="007C2076" w:rsidRPr="001A2740">
        <w:rPr>
          <w:rFonts w:ascii="Times New Roman" w:hAnsi="Times New Roman" w:cs="Times New Roman"/>
          <w:sz w:val="24"/>
          <w:szCs w:val="24"/>
          <w:lang w:val="en-US"/>
        </w:rPr>
        <w:t xml:space="preserve"> </w:t>
      </w:r>
      <w:r w:rsidRPr="001A2740">
        <w:rPr>
          <w:rFonts w:ascii="Times New Roman" w:hAnsi="Times New Roman" w:cs="Times New Roman"/>
          <w:sz w:val="24"/>
          <w:szCs w:val="24"/>
          <w:lang w:val="en-US"/>
        </w:rPr>
        <w:t xml:space="preserve">The Court’s mandate is to try those responsible for war crimes, </w:t>
      </w:r>
      <w:r w:rsidR="00E35E3C" w:rsidRPr="001A2740">
        <w:rPr>
          <w:rFonts w:ascii="Times New Roman" w:hAnsi="Times New Roman" w:cs="Times New Roman"/>
          <w:sz w:val="24"/>
          <w:szCs w:val="24"/>
          <w:lang w:val="en-US"/>
        </w:rPr>
        <w:t>genocide,</w:t>
      </w:r>
      <w:r w:rsidRPr="001A2740">
        <w:rPr>
          <w:rFonts w:ascii="Times New Roman" w:hAnsi="Times New Roman" w:cs="Times New Roman"/>
          <w:sz w:val="24"/>
          <w:szCs w:val="24"/>
          <w:lang w:val="en-US"/>
        </w:rPr>
        <w:t xml:space="preserve"> crimes against humanity</w:t>
      </w:r>
      <w:r w:rsidR="00A15BF9" w:rsidRPr="001A2740">
        <w:rPr>
          <w:rFonts w:ascii="Times New Roman" w:hAnsi="Times New Roman" w:cs="Times New Roman"/>
          <w:sz w:val="24"/>
          <w:szCs w:val="24"/>
          <w:lang w:val="en-US"/>
        </w:rPr>
        <w:t xml:space="preserve"> and the crime of aggression</w:t>
      </w:r>
      <w:r w:rsidRPr="001A2740">
        <w:rPr>
          <w:rFonts w:ascii="Times New Roman" w:hAnsi="Times New Roman" w:cs="Times New Roman"/>
          <w:sz w:val="24"/>
          <w:szCs w:val="24"/>
          <w:lang w:val="en-US"/>
        </w:rPr>
        <w:t>.</w:t>
      </w:r>
    </w:p>
    <w:p w14:paraId="3146B682" w14:textId="657D347F" w:rsidR="00B65C2B" w:rsidRPr="001A2740" w:rsidRDefault="00B65C2B" w:rsidP="008B621A">
      <w:pPr>
        <w:spacing w:before="120" w:after="120" w:line="360" w:lineRule="auto"/>
        <w:ind w:left="170" w:right="113"/>
        <w:jc w:val="both"/>
        <w:rPr>
          <w:rFonts w:ascii="Times New Roman" w:hAnsi="Times New Roman" w:cs="Times New Roman"/>
          <w:sz w:val="24"/>
          <w:szCs w:val="24"/>
          <w:lang w:val="en-US"/>
        </w:rPr>
      </w:pPr>
      <w:r w:rsidRPr="001A2740">
        <w:rPr>
          <w:rFonts w:ascii="Times New Roman" w:hAnsi="Times New Roman" w:cs="Times New Roman"/>
          <w:sz w:val="24"/>
          <w:szCs w:val="24"/>
          <w:lang w:val="en-US"/>
        </w:rPr>
        <w:t>With the establishment of a permanent international criminal court the possibility has given to hold perpetrators of serious violations of human rights</w:t>
      </w:r>
      <w:r w:rsidR="00A15BF9" w:rsidRPr="001A2740">
        <w:rPr>
          <w:rFonts w:ascii="Times New Roman" w:hAnsi="Times New Roman" w:cs="Times New Roman"/>
          <w:sz w:val="24"/>
          <w:szCs w:val="24"/>
          <w:lang w:val="en-US"/>
        </w:rPr>
        <w:t xml:space="preserve"> rather crimes under international law</w:t>
      </w:r>
      <w:r w:rsidRPr="001A2740">
        <w:rPr>
          <w:rFonts w:ascii="Times New Roman" w:hAnsi="Times New Roman" w:cs="Times New Roman"/>
          <w:sz w:val="24"/>
          <w:szCs w:val="24"/>
          <w:lang w:val="en-US"/>
        </w:rPr>
        <w:t>.</w:t>
      </w:r>
      <w:r w:rsidR="007C2076" w:rsidRPr="001A2740">
        <w:rPr>
          <w:rFonts w:ascii="Times New Roman" w:hAnsi="Times New Roman" w:cs="Times New Roman"/>
          <w:sz w:val="24"/>
          <w:szCs w:val="24"/>
          <w:lang w:val="en-US"/>
        </w:rPr>
        <w:t xml:space="preserve"> </w:t>
      </w:r>
      <w:r w:rsidR="00000F8E">
        <w:rPr>
          <w:rFonts w:ascii="Times New Roman" w:hAnsi="Times New Roman" w:cs="Times New Roman"/>
          <w:sz w:val="24"/>
          <w:szCs w:val="24"/>
          <w:lang w:val="en-US"/>
        </w:rPr>
        <w:t>Also,</w:t>
      </w:r>
      <w:r w:rsidR="00F32BE0">
        <w:rPr>
          <w:rFonts w:ascii="Times New Roman" w:hAnsi="Times New Roman" w:cs="Times New Roman"/>
          <w:sz w:val="24"/>
          <w:szCs w:val="24"/>
          <w:lang w:val="en-US"/>
        </w:rPr>
        <w:t xml:space="preserve"> w</w:t>
      </w:r>
      <w:r w:rsidRPr="001A2740">
        <w:rPr>
          <w:rFonts w:ascii="Times New Roman" w:hAnsi="Times New Roman" w:cs="Times New Roman"/>
          <w:sz w:val="24"/>
          <w:szCs w:val="24"/>
          <w:lang w:val="en-US"/>
        </w:rPr>
        <w:t>ith the creation of the international criminal court, the protection of human rights and the demands of state sovereignty has been the subject of a very heated debate on whether states officials should be held responsible before an international court for international crimes committed while in office. This debate concerns the contradiction between two branches of international law.</w:t>
      </w:r>
      <w:r w:rsidR="007C2076" w:rsidRPr="001A2740">
        <w:rPr>
          <w:rFonts w:ascii="Times New Roman" w:hAnsi="Times New Roman" w:cs="Times New Roman"/>
          <w:sz w:val="24"/>
          <w:szCs w:val="24"/>
          <w:lang w:val="en-US"/>
        </w:rPr>
        <w:t xml:space="preserve"> </w:t>
      </w:r>
      <w:r w:rsidRPr="001A2740">
        <w:rPr>
          <w:rFonts w:ascii="Times New Roman" w:hAnsi="Times New Roman" w:cs="Times New Roman"/>
          <w:sz w:val="24"/>
          <w:szCs w:val="24"/>
          <w:lang w:val="en-US"/>
        </w:rPr>
        <w:t xml:space="preserve">The first one is concerning the importance of immunity in international relations; it comes from notions of sovereign equality between </w:t>
      </w:r>
      <w:r w:rsidR="00BF613C" w:rsidRPr="001A2740">
        <w:rPr>
          <w:rFonts w:ascii="Times New Roman" w:hAnsi="Times New Roman" w:cs="Times New Roman"/>
          <w:sz w:val="24"/>
          <w:szCs w:val="24"/>
          <w:lang w:val="en-US"/>
        </w:rPr>
        <w:t>states,</w:t>
      </w:r>
      <w:r w:rsidRPr="001A2740">
        <w:rPr>
          <w:rFonts w:ascii="Times New Roman" w:hAnsi="Times New Roman" w:cs="Times New Roman"/>
          <w:sz w:val="24"/>
          <w:szCs w:val="24"/>
          <w:lang w:val="en-US"/>
        </w:rPr>
        <w:t xml:space="preserve"> and it is one of the main principles of the international law</w:t>
      </w:r>
      <w:r w:rsidRPr="001A2740">
        <w:rPr>
          <w:rStyle w:val="Znakapoznpodarou"/>
          <w:rFonts w:ascii="Times New Roman" w:hAnsi="Times New Roman" w:cs="Times New Roman"/>
          <w:sz w:val="24"/>
          <w:szCs w:val="24"/>
          <w:lang w:val="en-US"/>
        </w:rPr>
        <w:footnoteReference w:id="1"/>
      </w:r>
      <w:r w:rsidR="005E695C" w:rsidRPr="001A2740">
        <w:rPr>
          <w:rFonts w:ascii="Times New Roman" w:hAnsi="Times New Roman" w:cs="Times New Roman"/>
          <w:sz w:val="24"/>
          <w:szCs w:val="24"/>
          <w:lang w:val="en-US"/>
        </w:rPr>
        <w:t>.</w:t>
      </w:r>
      <w:r w:rsidR="007C2076" w:rsidRPr="001A2740">
        <w:rPr>
          <w:rFonts w:ascii="Times New Roman" w:hAnsi="Times New Roman" w:cs="Times New Roman"/>
          <w:sz w:val="24"/>
          <w:szCs w:val="24"/>
          <w:lang w:val="en-US"/>
        </w:rPr>
        <w:t xml:space="preserve"> </w:t>
      </w:r>
      <w:r w:rsidRPr="001A2740">
        <w:rPr>
          <w:rFonts w:ascii="Times New Roman" w:hAnsi="Times New Roman" w:cs="Times New Roman"/>
          <w:sz w:val="24"/>
          <w:szCs w:val="24"/>
          <w:lang w:val="en-US"/>
        </w:rPr>
        <w:t>On the second hand, we have those newer principles that focused on humanitarian values and consider certain kind of conduct as crimes under international law.</w:t>
      </w:r>
      <w:r w:rsidRPr="001A2740">
        <w:rPr>
          <w:rStyle w:val="Znakapoznpodarou"/>
          <w:rFonts w:ascii="Times New Roman" w:hAnsi="Times New Roman" w:cs="Times New Roman"/>
          <w:sz w:val="24"/>
          <w:szCs w:val="24"/>
          <w:lang w:val="en-US"/>
        </w:rPr>
        <w:footnoteReference w:id="2"/>
      </w:r>
    </w:p>
    <w:p w14:paraId="760A1F7F" w14:textId="10A5047E" w:rsidR="00393E88" w:rsidRPr="001A2740" w:rsidRDefault="00836CB7" w:rsidP="008B621A">
      <w:pPr>
        <w:spacing w:before="120" w:after="12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So, t</w:t>
      </w:r>
      <w:r w:rsidR="00B65C2B" w:rsidRPr="001A2740">
        <w:rPr>
          <w:rFonts w:ascii="Times New Roman" w:hAnsi="Times New Roman" w:cs="Times New Roman"/>
          <w:sz w:val="24"/>
          <w:szCs w:val="24"/>
          <w:lang w:val="en-US"/>
        </w:rPr>
        <w:t>here is a</w:t>
      </w:r>
      <w:r w:rsidR="005E695C" w:rsidRPr="001A2740">
        <w:rPr>
          <w:rFonts w:ascii="Times New Roman" w:hAnsi="Times New Roman" w:cs="Times New Roman"/>
          <w:sz w:val="24"/>
          <w:szCs w:val="24"/>
          <w:lang w:val="en-US"/>
        </w:rPr>
        <w:t xml:space="preserve"> real</w:t>
      </w:r>
      <w:r w:rsidR="00B65C2B" w:rsidRPr="001A2740">
        <w:rPr>
          <w:rFonts w:ascii="Times New Roman" w:hAnsi="Times New Roman" w:cs="Times New Roman"/>
          <w:sz w:val="24"/>
          <w:szCs w:val="24"/>
          <w:lang w:val="en-US"/>
        </w:rPr>
        <w:t xml:space="preserve"> conflict between the different legal rules, which does not facilitate to understand the legal position, and this leads some authors to assert that the court while dealing with the issues of immunities ignores the fundamental rules of international law.</w:t>
      </w:r>
      <w:r w:rsidR="008B621A" w:rsidRPr="001A2740">
        <w:rPr>
          <w:rFonts w:ascii="Times New Roman" w:hAnsi="Times New Roman" w:cs="Times New Roman"/>
          <w:sz w:val="24"/>
          <w:szCs w:val="24"/>
          <w:lang w:val="en-US"/>
        </w:rPr>
        <w:t xml:space="preserve"> </w:t>
      </w:r>
      <w:r w:rsidR="00BF095C" w:rsidRPr="001A2740">
        <w:rPr>
          <w:rFonts w:ascii="Times New Roman" w:hAnsi="Times New Roman" w:cs="Times New Roman"/>
          <w:sz w:val="24"/>
          <w:szCs w:val="24"/>
          <w:lang w:val="en-US"/>
        </w:rPr>
        <w:t>Surprisingly a</w:t>
      </w:r>
      <w:r w:rsidR="00B65C2B" w:rsidRPr="001A2740">
        <w:rPr>
          <w:rFonts w:ascii="Times New Roman" w:hAnsi="Times New Roman" w:cs="Times New Roman"/>
          <w:sz w:val="24"/>
          <w:szCs w:val="24"/>
          <w:lang w:val="en-US"/>
        </w:rPr>
        <w:t>ll those accused by the ICC came from Africa, this fact has created a lot of speculation and particularly the court endeavors to prosecute African heads of states has created a real tension between the ICC and the African Union (AU)</w:t>
      </w:r>
      <w:r w:rsidR="00AE66E5" w:rsidRPr="001A2740">
        <w:rPr>
          <w:rFonts w:ascii="Times New Roman" w:hAnsi="Times New Roman" w:cs="Times New Roman"/>
          <w:sz w:val="24"/>
          <w:szCs w:val="24"/>
          <w:lang w:val="en-US"/>
        </w:rPr>
        <w:t>.</w:t>
      </w:r>
    </w:p>
    <w:p w14:paraId="6472D722" w14:textId="5A834DFC" w:rsidR="00675667" w:rsidRPr="001A2740" w:rsidRDefault="00A3324C" w:rsidP="008B621A">
      <w:pPr>
        <w:spacing w:before="120" w:after="120" w:line="360" w:lineRule="auto"/>
        <w:ind w:left="170" w:right="113"/>
        <w:jc w:val="both"/>
        <w:rPr>
          <w:rFonts w:ascii="Times New Roman" w:hAnsi="Times New Roman" w:cs="Times New Roman"/>
          <w:sz w:val="24"/>
          <w:szCs w:val="24"/>
          <w:lang w:val="en-US"/>
        </w:rPr>
      </w:pPr>
      <w:r w:rsidRPr="001A2740">
        <w:rPr>
          <w:rFonts w:ascii="Times New Roman" w:hAnsi="Times New Roman" w:cs="Times New Roman"/>
          <w:sz w:val="24"/>
          <w:szCs w:val="24"/>
        </w:rPr>
        <w:t xml:space="preserve">The result of this paper shows that </w:t>
      </w:r>
      <w:r w:rsidR="00944567" w:rsidRPr="001A2740">
        <w:rPr>
          <w:rFonts w:ascii="Times New Roman" w:hAnsi="Times New Roman" w:cs="Times New Roman"/>
          <w:sz w:val="24"/>
          <w:szCs w:val="24"/>
        </w:rPr>
        <w:t>t</w:t>
      </w:r>
      <w:r w:rsidRPr="001A2740">
        <w:rPr>
          <w:rFonts w:ascii="Times New Roman" w:hAnsi="Times New Roman" w:cs="Times New Roman"/>
          <w:sz w:val="24"/>
          <w:szCs w:val="24"/>
          <w:lang w:val="en-US"/>
        </w:rPr>
        <w:t>he ICC has dealt the issue of immunity in a manner that has strained its relationship with African states, and African Union</w:t>
      </w:r>
      <w:r w:rsidR="00393E88" w:rsidRPr="001A2740">
        <w:rPr>
          <w:rFonts w:ascii="Times New Roman" w:hAnsi="Times New Roman" w:cs="Times New Roman"/>
          <w:sz w:val="24"/>
          <w:szCs w:val="24"/>
          <w:lang w:val="en-US"/>
        </w:rPr>
        <w:t>.</w:t>
      </w:r>
      <w:r w:rsidR="008B621A" w:rsidRPr="001A2740">
        <w:rPr>
          <w:rFonts w:ascii="Times New Roman" w:hAnsi="Times New Roman" w:cs="Times New Roman"/>
          <w:sz w:val="24"/>
          <w:szCs w:val="24"/>
          <w:lang w:val="en-US"/>
        </w:rPr>
        <w:t xml:space="preserve"> </w:t>
      </w:r>
      <w:r w:rsidRPr="001A2740">
        <w:rPr>
          <w:rFonts w:ascii="Times New Roman" w:hAnsi="Times New Roman" w:cs="Times New Roman"/>
          <w:sz w:val="24"/>
          <w:szCs w:val="24"/>
          <w:lang w:val="en-US"/>
        </w:rPr>
        <w:t xml:space="preserve">The argument provided by the </w:t>
      </w:r>
      <w:r w:rsidRPr="001A2740">
        <w:rPr>
          <w:rFonts w:ascii="Times New Roman" w:hAnsi="Times New Roman" w:cs="Times New Roman"/>
          <w:sz w:val="24"/>
          <w:szCs w:val="24"/>
          <w:lang w:val="en-US"/>
        </w:rPr>
        <w:lastRenderedPageBreak/>
        <w:t>court concerning immunity of heads of state who are not signatories of the Rome Statute was not convincing and as a result, the court has lost its authority in Africa.</w:t>
      </w:r>
      <w:r w:rsidR="008B621A" w:rsidRPr="001A2740">
        <w:rPr>
          <w:rFonts w:ascii="Times New Roman" w:hAnsi="Times New Roman" w:cs="Times New Roman"/>
          <w:sz w:val="24"/>
          <w:szCs w:val="24"/>
          <w:lang w:val="en-US"/>
        </w:rPr>
        <w:t xml:space="preserve"> </w:t>
      </w:r>
      <w:r w:rsidR="00944567" w:rsidRPr="001A2740">
        <w:rPr>
          <w:rFonts w:ascii="Times New Roman" w:hAnsi="Times New Roman" w:cs="Times New Roman"/>
          <w:sz w:val="24"/>
          <w:szCs w:val="24"/>
          <w:lang w:val="en-US"/>
        </w:rPr>
        <w:t xml:space="preserve">This fact </w:t>
      </w:r>
      <w:r w:rsidR="007832B6" w:rsidRPr="001A2740">
        <w:rPr>
          <w:rFonts w:ascii="Times New Roman" w:hAnsi="Times New Roman" w:cs="Times New Roman"/>
          <w:sz w:val="24"/>
          <w:szCs w:val="24"/>
          <w:lang w:val="en-US"/>
        </w:rPr>
        <w:t>continues</w:t>
      </w:r>
      <w:r w:rsidR="00944567" w:rsidRPr="001A2740">
        <w:rPr>
          <w:rFonts w:ascii="Times New Roman" w:hAnsi="Times New Roman" w:cs="Times New Roman"/>
          <w:sz w:val="24"/>
          <w:szCs w:val="24"/>
          <w:lang w:val="en-US"/>
        </w:rPr>
        <w:t xml:space="preserve"> to threaten states to ratify the Rome statute </w:t>
      </w:r>
      <w:r w:rsidR="00E35E3C" w:rsidRPr="001A2740">
        <w:rPr>
          <w:rFonts w:ascii="Times New Roman" w:hAnsi="Times New Roman" w:cs="Times New Roman"/>
          <w:sz w:val="24"/>
          <w:szCs w:val="24"/>
          <w:lang w:val="en-US"/>
        </w:rPr>
        <w:t>and</w:t>
      </w:r>
      <w:r w:rsidR="00944567" w:rsidRPr="001A2740">
        <w:rPr>
          <w:rFonts w:ascii="Times New Roman" w:hAnsi="Times New Roman" w:cs="Times New Roman"/>
          <w:sz w:val="24"/>
          <w:szCs w:val="24"/>
          <w:lang w:val="en-US"/>
        </w:rPr>
        <w:t xml:space="preserve"> </w:t>
      </w:r>
      <w:r w:rsidR="00393E88" w:rsidRPr="001A2740">
        <w:rPr>
          <w:rFonts w:ascii="Times New Roman" w:hAnsi="Times New Roman" w:cs="Times New Roman"/>
          <w:sz w:val="24"/>
          <w:szCs w:val="24"/>
          <w:lang w:val="en-US"/>
        </w:rPr>
        <w:t>it</w:t>
      </w:r>
      <w:r w:rsidR="00944567" w:rsidRPr="001A2740">
        <w:rPr>
          <w:rFonts w:ascii="Times New Roman" w:hAnsi="Times New Roman" w:cs="Times New Roman"/>
          <w:sz w:val="24"/>
          <w:szCs w:val="24"/>
          <w:lang w:val="en-US"/>
        </w:rPr>
        <w:t xml:space="preserve"> give</w:t>
      </w:r>
      <w:r w:rsidR="008B621A" w:rsidRPr="001A2740">
        <w:rPr>
          <w:rFonts w:ascii="Times New Roman" w:hAnsi="Times New Roman" w:cs="Times New Roman"/>
          <w:sz w:val="24"/>
          <w:szCs w:val="24"/>
          <w:lang w:val="en-US"/>
        </w:rPr>
        <w:t>s an opportunity to some member</w:t>
      </w:r>
      <w:r w:rsidR="00944567" w:rsidRPr="001A2740">
        <w:rPr>
          <w:rFonts w:ascii="Times New Roman" w:hAnsi="Times New Roman" w:cs="Times New Roman"/>
          <w:sz w:val="24"/>
          <w:szCs w:val="24"/>
          <w:lang w:val="en-US"/>
        </w:rPr>
        <w:t xml:space="preserve"> states to withdraw from the organization.</w:t>
      </w:r>
    </w:p>
    <w:p w14:paraId="2A8D7048" w14:textId="1DF08E62" w:rsidR="00C856DA" w:rsidRPr="00DF1F13" w:rsidRDefault="0053735B" w:rsidP="00C66554">
      <w:pPr>
        <w:pStyle w:val="Nadpis1"/>
        <w:spacing w:after="240"/>
        <w:ind w:left="170" w:right="113"/>
        <w:rPr>
          <w:rFonts w:ascii="Times New Roman" w:hAnsi="Times New Roman" w:cs="Times New Roman"/>
          <w:b/>
          <w:bCs/>
          <w:color w:val="auto"/>
        </w:rPr>
      </w:pPr>
      <w:bookmarkStart w:id="3" w:name="_Toc109340792"/>
      <w:r w:rsidRPr="00DF1F13">
        <w:rPr>
          <w:rFonts w:ascii="Times New Roman" w:hAnsi="Times New Roman" w:cs="Times New Roman"/>
          <w:b/>
          <w:bCs/>
          <w:color w:val="auto"/>
        </w:rPr>
        <w:t xml:space="preserve">1.1 </w:t>
      </w:r>
      <w:r w:rsidR="002C6F03" w:rsidRPr="00DF1F13">
        <w:rPr>
          <w:rFonts w:ascii="Times New Roman" w:hAnsi="Times New Roman" w:cs="Times New Roman"/>
          <w:b/>
          <w:bCs/>
          <w:color w:val="auto"/>
        </w:rPr>
        <w:t>Aim</w:t>
      </w:r>
      <w:bookmarkEnd w:id="3"/>
    </w:p>
    <w:p w14:paraId="67B69B02" w14:textId="5F15CAD4" w:rsidR="00714FFA" w:rsidRPr="00DF1F13" w:rsidRDefault="00714FFA" w:rsidP="008B621A">
      <w:pPr>
        <w:spacing w:before="120" w:after="120" w:line="360" w:lineRule="auto"/>
        <w:ind w:left="170" w:right="113"/>
        <w:rPr>
          <w:rFonts w:ascii="Times New Roman" w:hAnsi="Times New Roman" w:cs="Times New Roman"/>
          <w:b/>
          <w:bCs/>
          <w:sz w:val="24"/>
          <w:szCs w:val="24"/>
        </w:rPr>
      </w:pPr>
      <w:r w:rsidRPr="00DF1F13">
        <w:rPr>
          <w:rFonts w:ascii="Times New Roman" w:hAnsi="Times New Roman" w:cs="Times New Roman"/>
          <w:sz w:val="24"/>
          <w:szCs w:val="24"/>
          <w:lang w:val="en-US"/>
        </w:rPr>
        <w:t xml:space="preserve">The main purpose of this </w:t>
      </w:r>
      <w:r w:rsidR="00FA4894" w:rsidRPr="00DF1F13">
        <w:rPr>
          <w:rFonts w:ascii="Times New Roman" w:hAnsi="Times New Roman" w:cs="Times New Roman"/>
          <w:sz w:val="24"/>
          <w:szCs w:val="24"/>
          <w:lang w:val="en-US"/>
        </w:rPr>
        <w:t>thesis</w:t>
      </w:r>
      <w:r w:rsidR="00B80BAC" w:rsidRPr="00DF1F13">
        <w:rPr>
          <w:rFonts w:ascii="Times New Roman" w:hAnsi="Times New Roman" w:cs="Times New Roman"/>
          <w:sz w:val="24"/>
          <w:szCs w:val="24"/>
          <w:lang w:val="en-US"/>
        </w:rPr>
        <w:t xml:space="preserve"> </w:t>
      </w:r>
      <w:r w:rsidR="003E7437" w:rsidRPr="00DF1F13">
        <w:rPr>
          <w:rFonts w:ascii="Times New Roman" w:hAnsi="Times New Roman" w:cs="Times New Roman"/>
          <w:sz w:val="24"/>
          <w:szCs w:val="24"/>
          <w:lang w:val="en-US"/>
        </w:rPr>
        <w:t>is</w:t>
      </w:r>
      <w:r w:rsidR="00B80BAC" w:rsidRPr="00DF1F13">
        <w:rPr>
          <w:rFonts w:ascii="Times New Roman" w:hAnsi="Times New Roman" w:cs="Times New Roman"/>
          <w:sz w:val="24"/>
          <w:szCs w:val="24"/>
          <w:lang w:val="en-US"/>
        </w:rPr>
        <w:t xml:space="preserve"> to examine the application of international</w:t>
      </w:r>
      <w:r w:rsidR="004A2703" w:rsidRPr="00DF1F13">
        <w:rPr>
          <w:rFonts w:ascii="Times New Roman" w:hAnsi="Times New Roman" w:cs="Times New Roman"/>
          <w:sz w:val="24"/>
          <w:szCs w:val="24"/>
          <w:lang w:val="en-US"/>
        </w:rPr>
        <w:t xml:space="preserve"> immunities in criminal proceedings, to provide a detailed</w:t>
      </w:r>
      <w:r w:rsidR="003E7437" w:rsidRPr="00DF1F13">
        <w:rPr>
          <w:rFonts w:ascii="Times New Roman" w:hAnsi="Times New Roman" w:cs="Times New Roman"/>
          <w:sz w:val="24"/>
          <w:szCs w:val="24"/>
          <w:lang w:val="en-US"/>
        </w:rPr>
        <w:t xml:space="preserve"> </w:t>
      </w:r>
      <w:r w:rsidR="004A2703" w:rsidRPr="00DF1F13">
        <w:rPr>
          <w:rFonts w:ascii="Times New Roman" w:hAnsi="Times New Roman" w:cs="Times New Roman"/>
          <w:sz w:val="24"/>
          <w:szCs w:val="24"/>
          <w:lang w:val="en-US"/>
        </w:rPr>
        <w:t>explanation of</w:t>
      </w:r>
      <w:r w:rsidR="003E7437" w:rsidRPr="00DF1F13">
        <w:rPr>
          <w:rFonts w:ascii="Times New Roman" w:hAnsi="Times New Roman" w:cs="Times New Roman"/>
          <w:sz w:val="24"/>
          <w:szCs w:val="24"/>
          <w:lang w:val="en-US"/>
        </w:rPr>
        <w:t xml:space="preserve"> </w:t>
      </w:r>
      <w:r w:rsidRPr="00DF1F13">
        <w:rPr>
          <w:rFonts w:ascii="Times New Roman" w:hAnsi="Times New Roman" w:cs="Times New Roman"/>
          <w:sz w:val="24"/>
          <w:szCs w:val="24"/>
          <w:lang w:val="en-US"/>
        </w:rPr>
        <w:t>the general rules of international law</w:t>
      </w:r>
      <w:r w:rsidR="00E139E5" w:rsidRPr="00DF1F13">
        <w:rPr>
          <w:rFonts w:ascii="Times New Roman" w:hAnsi="Times New Roman" w:cs="Times New Roman"/>
          <w:sz w:val="24"/>
          <w:szCs w:val="24"/>
          <w:lang w:val="en-US"/>
        </w:rPr>
        <w:t xml:space="preserve"> concerning </w:t>
      </w:r>
      <w:r w:rsidR="00FB11CD" w:rsidRPr="00DF1F13">
        <w:rPr>
          <w:rFonts w:ascii="Times New Roman" w:hAnsi="Times New Roman" w:cs="Times New Roman"/>
          <w:sz w:val="24"/>
          <w:szCs w:val="24"/>
          <w:lang w:val="en-US"/>
        </w:rPr>
        <w:t>i</w:t>
      </w:r>
      <w:r w:rsidR="00E139E5" w:rsidRPr="00DF1F13">
        <w:rPr>
          <w:rFonts w:ascii="Times New Roman" w:hAnsi="Times New Roman" w:cs="Times New Roman"/>
          <w:sz w:val="24"/>
          <w:szCs w:val="24"/>
          <w:lang w:val="en-US"/>
        </w:rPr>
        <w:t>mmunity</w:t>
      </w:r>
      <w:r w:rsidR="003E7437" w:rsidRPr="00DF1F13">
        <w:rPr>
          <w:rFonts w:ascii="Times New Roman" w:hAnsi="Times New Roman" w:cs="Times New Roman"/>
          <w:sz w:val="24"/>
          <w:szCs w:val="24"/>
          <w:lang w:val="en-US"/>
        </w:rPr>
        <w:t xml:space="preserve"> </w:t>
      </w:r>
      <w:r w:rsidR="00E35E3C" w:rsidRPr="00DF1F13">
        <w:rPr>
          <w:rFonts w:ascii="Times New Roman" w:hAnsi="Times New Roman" w:cs="Times New Roman"/>
          <w:sz w:val="24"/>
          <w:szCs w:val="24"/>
          <w:lang w:val="en-US"/>
        </w:rPr>
        <w:t>to</w:t>
      </w:r>
      <w:r w:rsidR="003E7437" w:rsidRPr="00DF1F13">
        <w:rPr>
          <w:rFonts w:ascii="Times New Roman" w:hAnsi="Times New Roman" w:cs="Times New Roman"/>
          <w:sz w:val="24"/>
          <w:szCs w:val="24"/>
          <w:lang w:val="en-US"/>
        </w:rPr>
        <w:t xml:space="preserve"> clarif</w:t>
      </w:r>
      <w:r w:rsidR="00C856DA" w:rsidRPr="00DF1F13">
        <w:rPr>
          <w:rFonts w:ascii="Times New Roman" w:hAnsi="Times New Roman" w:cs="Times New Roman"/>
          <w:sz w:val="24"/>
          <w:szCs w:val="24"/>
          <w:lang w:val="en-US"/>
        </w:rPr>
        <w:t>y</w:t>
      </w:r>
      <w:r w:rsidR="003E7437" w:rsidRPr="00DF1F13">
        <w:rPr>
          <w:rFonts w:ascii="Times New Roman" w:hAnsi="Times New Roman" w:cs="Times New Roman"/>
          <w:sz w:val="24"/>
          <w:szCs w:val="24"/>
          <w:lang w:val="en-US"/>
        </w:rPr>
        <w:t xml:space="preserve"> and simplif</w:t>
      </w:r>
      <w:r w:rsidR="00C856DA" w:rsidRPr="00DF1F13">
        <w:rPr>
          <w:rFonts w:ascii="Times New Roman" w:hAnsi="Times New Roman" w:cs="Times New Roman"/>
          <w:sz w:val="24"/>
          <w:szCs w:val="24"/>
          <w:lang w:val="en-US"/>
        </w:rPr>
        <w:t>y the controversies.</w:t>
      </w:r>
      <w:r w:rsidR="008B621A" w:rsidRPr="00DF1F13">
        <w:rPr>
          <w:rFonts w:ascii="Times New Roman" w:hAnsi="Times New Roman" w:cs="Times New Roman"/>
          <w:b/>
          <w:bCs/>
          <w:sz w:val="24"/>
          <w:szCs w:val="24"/>
        </w:rPr>
        <w:t xml:space="preserve"> </w:t>
      </w:r>
      <w:r w:rsidR="00C856DA" w:rsidRPr="00DF1F13">
        <w:rPr>
          <w:rFonts w:ascii="Times New Roman" w:hAnsi="Times New Roman" w:cs="Times New Roman"/>
          <w:sz w:val="24"/>
          <w:szCs w:val="24"/>
          <w:lang w:val="en-US"/>
        </w:rPr>
        <w:t>From this perspective, i</w:t>
      </w:r>
      <w:r w:rsidRPr="00DF1F13">
        <w:rPr>
          <w:rFonts w:ascii="Times New Roman" w:hAnsi="Times New Roman" w:cs="Times New Roman"/>
          <w:sz w:val="24"/>
          <w:szCs w:val="24"/>
          <w:lang w:val="en-US"/>
        </w:rPr>
        <w:t>t should be noted that only the parties to the ICC Statute have waived the immunities under international law (</w:t>
      </w:r>
      <w:r w:rsidRPr="00DF1F13">
        <w:rPr>
          <w:rFonts w:ascii="Times New Roman" w:hAnsi="Times New Roman" w:cs="Times New Roman"/>
          <w:i/>
          <w:iCs/>
          <w:sz w:val="24"/>
          <w:szCs w:val="24"/>
          <w:lang w:val="en-US"/>
        </w:rPr>
        <w:t>ratione personae</w:t>
      </w:r>
      <w:r w:rsidRPr="00DF1F13">
        <w:rPr>
          <w:rFonts w:ascii="Times New Roman" w:hAnsi="Times New Roman" w:cs="Times New Roman"/>
          <w:sz w:val="24"/>
          <w:szCs w:val="24"/>
          <w:lang w:val="en-US"/>
        </w:rPr>
        <w:t>) of their senior officials.</w:t>
      </w:r>
    </w:p>
    <w:p w14:paraId="270B3320" w14:textId="0D07A8A4" w:rsidR="00675667" w:rsidRPr="00DF1F13" w:rsidRDefault="00714FFA" w:rsidP="008B621A">
      <w:pPr>
        <w:spacing w:before="120" w:after="120" w:line="360" w:lineRule="auto"/>
        <w:ind w:left="170" w:right="113"/>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Although the </w:t>
      </w:r>
      <w:r w:rsidR="00C53042" w:rsidRPr="00DF1F13">
        <w:rPr>
          <w:rFonts w:ascii="Times New Roman" w:hAnsi="Times New Roman" w:cs="Times New Roman"/>
          <w:sz w:val="24"/>
          <w:szCs w:val="24"/>
          <w:lang w:val="en-US"/>
        </w:rPr>
        <w:t>C</w:t>
      </w:r>
      <w:r w:rsidRPr="00DF1F13">
        <w:rPr>
          <w:rFonts w:ascii="Times New Roman" w:hAnsi="Times New Roman" w:cs="Times New Roman"/>
          <w:sz w:val="24"/>
          <w:szCs w:val="24"/>
          <w:lang w:val="en-US"/>
        </w:rPr>
        <w:t>ourt</w:t>
      </w:r>
      <w:r w:rsidR="00C53042" w:rsidRPr="00DF1F13">
        <w:rPr>
          <w:rFonts w:ascii="Times New Roman" w:hAnsi="Times New Roman" w:cs="Times New Roman"/>
          <w:sz w:val="24"/>
          <w:szCs w:val="24"/>
          <w:lang w:val="en-US"/>
        </w:rPr>
        <w:t xml:space="preserve"> can </w:t>
      </w:r>
      <w:r w:rsidRPr="00DF1F13">
        <w:rPr>
          <w:rFonts w:ascii="Times New Roman" w:hAnsi="Times New Roman" w:cs="Times New Roman"/>
          <w:sz w:val="24"/>
          <w:szCs w:val="24"/>
          <w:lang w:val="en-US"/>
        </w:rPr>
        <w:t>also exercise jurisdiction over nationals and officials of non-parties but in the current statute, there is no clear provision that can waive the immunities of those officials of non-parties. Particularly, article 98 of the Statute constitutes a clear message to the court and to parties to the ICC not to interfere with officials of non-parties who generally enjoy immunity under international law.</w:t>
      </w:r>
    </w:p>
    <w:p w14:paraId="553E4071" w14:textId="4E78640C" w:rsidR="004C721D" w:rsidRPr="00DF1F13" w:rsidRDefault="0053735B" w:rsidP="0053735B">
      <w:pPr>
        <w:pStyle w:val="Nadpis1"/>
        <w:rPr>
          <w:rFonts w:ascii="Times New Roman" w:hAnsi="Times New Roman" w:cs="Times New Roman"/>
          <w:b/>
          <w:bCs/>
          <w:color w:val="auto"/>
        </w:rPr>
      </w:pPr>
      <w:bookmarkStart w:id="4" w:name="_Toc109340793"/>
      <w:r w:rsidRPr="00DF1F13">
        <w:rPr>
          <w:rFonts w:ascii="Times New Roman" w:hAnsi="Times New Roman" w:cs="Times New Roman"/>
          <w:b/>
          <w:bCs/>
          <w:color w:val="auto"/>
        </w:rPr>
        <w:t>1.2</w:t>
      </w:r>
      <w:r w:rsidR="000C2727" w:rsidRPr="00DF1F13">
        <w:rPr>
          <w:rFonts w:ascii="Times New Roman" w:hAnsi="Times New Roman" w:cs="Times New Roman"/>
          <w:b/>
          <w:bCs/>
          <w:color w:val="auto"/>
        </w:rPr>
        <w:t xml:space="preserve"> Research Questions</w:t>
      </w:r>
      <w:bookmarkEnd w:id="4"/>
    </w:p>
    <w:p w14:paraId="0C0834B3" w14:textId="4D14B1E9" w:rsidR="000C2727" w:rsidRPr="00DF1F13" w:rsidRDefault="000C2727" w:rsidP="002C14E7">
      <w:pPr>
        <w:pStyle w:val="Thesisheading2"/>
        <w:spacing w:before="120" w:after="120"/>
        <w:rPr>
          <w:b w:val="0"/>
          <w:bCs w:val="0"/>
          <w:sz w:val="24"/>
        </w:rPr>
      </w:pPr>
      <w:r w:rsidRPr="00DF1F13">
        <w:rPr>
          <w:b w:val="0"/>
          <w:bCs w:val="0"/>
          <w:sz w:val="24"/>
        </w:rPr>
        <w:t>From the perspectives</w:t>
      </w:r>
      <w:r w:rsidR="004C721D" w:rsidRPr="00DF1F13">
        <w:rPr>
          <w:b w:val="0"/>
          <w:bCs w:val="0"/>
          <w:sz w:val="24"/>
        </w:rPr>
        <w:t xml:space="preserve"> of this thesis, there ar</w:t>
      </w:r>
      <w:r w:rsidR="008B621A" w:rsidRPr="00DF1F13">
        <w:rPr>
          <w:b w:val="0"/>
          <w:bCs w:val="0"/>
          <w:sz w:val="24"/>
        </w:rPr>
        <w:t>e three main research questions:</w:t>
      </w:r>
    </w:p>
    <w:p w14:paraId="064204F2" w14:textId="249108EF" w:rsidR="000C2727" w:rsidRPr="00DF1F13" w:rsidRDefault="004C721D" w:rsidP="008B621A">
      <w:pPr>
        <w:pStyle w:val="Thesisbody"/>
        <w:numPr>
          <w:ilvl w:val="0"/>
          <w:numId w:val="1"/>
        </w:numPr>
        <w:spacing w:before="120" w:after="120"/>
        <w:ind w:left="170"/>
      </w:pPr>
      <w:r w:rsidRPr="00DF1F13">
        <w:t>What means immunity</w:t>
      </w:r>
      <w:r w:rsidR="000C2727" w:rsidRPr="00DF1F13">
        <w:t xml:space="preserve">? </w:t>
      </w:r>
    </w:p>
    <w:p w14:paraId="2DC47BCD" w14:textId="3FE74AA7" w:rsidR="000C2727" w:rsidRPr="00DF1F13" w:rsidRDefault="004C721D" w:rsidP="008B621A">
      <w:pPr>
        <w:pStyle w:val="Thesisbody"/>
        <w:numPr>
          <w:ilvl w:val="0"/>
          <w:numId w:val="1"/>
        </w:numPr>
        <w:spacing w:before="120" w:after="120"/>
        <w:ind w:left="170"/>
      </w:pPr>
      <w:r w:rsidRPr="00DF1F13">
        <w:t>Which kind of immunity does exist</w:t>
      </w:r>
      <w:r w:rsidR="000C2727" w:rsidRPr="00DF1F13">
        <w:t>?</w:t>
      </w:r>
    </w:p>
    <w:p w14:paraId="5C6B0B1F" w14:textId="776E6429" w:rsidR="00675667" w:rsidRPr="00DF1F13" w:rsidRDefault="004C721D" w:rsidP="008B621A">
      <w:pPr>
        <w:pStyle w:val="Thesisbody"/>
        <w:numPr>
          <w:ilvl w:val="0"/>
          <w:numId w:val="1"/>
        </w:numPr>
        <w:spacing w:before="120" w:after="120"/>
        <w:ind w:left="170"/>
      </w:pPr>
      <w:r w:rsidRPr="00DF1F13">
        <w:t>Does the Customary Rule on Immunities Extend to International</w:t>
      </w:r>
      <w:r w:rsidR="00004307">
        <w:t xml:space="preserve"> Tribunals</w:t>
      </w:r>
      <w:r w:rsidR="000C2727" w:rsidRPr="00DF1F13">
        <w:t xml:space="preserve">?  </w:t>
      </w:r>
    </w:p>
    <w:p w14:paraId="489D05C7" w14:textId="528B824F" w:rsidR="00022E94" w:rsidRPr="00DF1F13" w:rsidRDefault="0053735B" w:rsidP="0053735B">
      <w:pPr>
        <w:pStyle w:val="Nadpis1"/>
        <w:rPr>
          <w:rFonts w:ascii="Times New Roman" w:hAnsi="Times New Roman" w:cs="Times New Roman"/>
          <w:b/>
          <w:bCs/>
          <w:color w:val="auto"/>
        </w:rPr>
      </w:pPr>
      <w:bookmarkStart w:id="5" w:name="_Toc109340794"/>
      <w:r w:rsidRPr="00DF1F13">
        <w:rPr>
          <w:rFonts w:ascii="Times New Roman" w:hAnsi="Times New Roman" w:cs="Times New Roman"/>
          <w:b/>
          <w:bCs/>
          <w:color w:val="auto"/>
        </w:rPr>
        <w:t>1.3</w:t>
      </w:r>
      <w:r w:rsidR="00830AAA" w:rsidRPr="00DF1F13">
        <w:rPr>
          <w:rFonts w:ascii="Times New Roman" w:hAnsi="Times New Roman" w:cs="Times New Roman"/>
          <w:b/>
          <w:bCs/>
          <w:color w:val="auto"/>
        </w:rPr>
        <w:t xml:space="preserve"> </w:t>
      </w:r>
      <w:r w:rsidR="004E3A86" w:rsidRPr="00DF1F13">
        <w:rPr>
          <w:rFonts w:ascii="Times New Roman" w:hAnsi="Times New Roman" w:cs="Times New Roman"/>
          <w:b/>
          <w:bCs/>
          <w:color w:val="auto"/>
        </w:rPr>
        <w:t>Material</w:t>
      </w:r>
      <w:bookmarkEnd w:id="5"/>
    </w:p>
    <w:p w14:paraId="7E62A602" w14:textId="70A866AF" w:rsidR="0009674D" w:rsidRPr="00DF1F13" w:rsidRDefault="004E3A86" w:rsidP="00B65C2B">
      <w:pPr>
        <w:spacing w:line="360" w:lineRule="auto"/>
        <w:rPr>
          <w:rFonts w:ascii="Times New Roman" w:hAnsi="Times New Roman" w:cs="Times New Roman"/>
          <w:b/>
          <w:bCs/>
          <w:sz w:val="24"/>
          <w:szCs w:val="24"/>
        </w:rPr>
      </w:pPr>
      <w:r w:rsidRPr="00DF1F13">
        <w:rPr>
          <w:rFonts w:ascii="Times New Roman" w:hAnsi="Times New Roman" w:cs="Times New Roman"/>
          <w:sz w:val="24"/>
          <w:szCs w:val="24"/>
        </w:rPr>
        <w:t xml:space="preserve">In </w:t>
      </w:r>
      <w:r w:rsidR="00CF1647">
        <w:rPr>
          <w:rFonts w:ascii="Times New Roman" w:hAnsi="Times New Roman" w:cs="Times New Roman"/>
          <w:sz w:val="24"/>
          <w:szCs w:val="24"/>
        </w:rPr>
        <w:t xml:space="preserve">compliance </w:t>
      </w:r>
      <w:r w:rsidRPr="00DF1F13">
        <w:rPr>
          <w:rFonts w:ascii="Times New Roman" w:hAnsi="Times New Roman" w:cs="Times New Roman"/>
          <w:sz w:val="24"/>
          <w:szCs w:val="24"/>
        </w:rPr>
        <w:t xml:space="preserve">with the </w:t>
      </w:r>
      <w:r w:rsidR="00970177">
        <w:rPr>
          <w:rFonts w:ascii="Times New Roman" w:hAnsi="Times New Roman" w:cs="Times New Roman"/>
          <w:sz w:val="24"/>
          <w:szCs w:val="24"/>
        </w:rPr>
        <w:t xml:space="preserve">goal </w:t>
      </w:r>
      <w:r w:rsidRPr="00DF1F13">
        <w:rPr>
          <w:rFonts w:ascii="Times New Roman" w:hAnsi="Times New Roman" w:cs="Times New Roman"/>
          <w:sz w:val="24"/>
          <w:szCs w:val="24"/>
        </w:rPr>
        <w:t>of this</w:t>
      </w:r>
      <w:r w:rsidR="00DE731C">
        <w:rPr>
          <w:rFonts w:ascii="Times New Roman" w:hAnsi="Times New Roman" w:cs="Times New Roman"/>
          <w:sz w:val="24"/>
          <w:szCs w:val="24"/>
        </w:rPr>
        <w:t xml:space="preserve"> work</w:t>
      </w:r>
      <w:r w:rsidRPr="00DF1F13">
        <w:rPr>
          <w:rFonts w:ascii="Times New Roman" w:hAnsi="Times New Roman" w:cs="Times New Roman"/>
          <w:sz w:val="24"/>
          <w:szCs w:val="24"/>
        </w:rPr>
        <w:t xml:space="preserve">, the </w:t>
      </w:r>
      <w:r w:rsidR="00DE731C" w:rsidRPr="00DE731C">
        <w:rPr>
          <w:rFonts w:ascii="Times New Roman" w:hAnsi="Times New Roman" w:cs="Times New Roman"/>
          <w:sz w:val="24"/>
          <w:szCs w:val="24"/>
        </w:rPr>
        <w:t xml:space="preserve">various </w:t>
      </w:r>
      <w:r w:rsidR="001A5E4B">
        <w:rPr>
          <w:rFonts w:ascii="Times New Roman" w:hAnsi="Times New Roman" w:cs="Times New Roman"/>
          <w:sz w:val="24"/>
          <w:szCs w:val="24"/>
        </w:rPr>
        <w:t xml:space="preserve">part </w:t>
      </w:r>
      <w:r w:rsidRPr="00DF1F13">
        <w:rPr>
          <w:rFonts w:ascii="Times New Roman" w:hAnsi="Times New Roman" w:cs="Times New Roman"/>
          <w:sz w:val="24"/>
          <w:szCs w:val="24"/>
        </w:rPr>
        <w:t>of this</w:t>
      </w:r>
      <w:r w:rsidR="001A5E4B">
        <w:rPr>
          <w:rFonts w:ascii="Times New Roman" w:hAnsi="Times New Roman" w:cs="Times New Roman"/>
          <w:sz w:val="24"/>
          <w:szCs w:val="24"/>
        </w:rPr>
        <w:t xml:space="preserve"> document </w:t>
      </w:r>
      <w:r w:rsidR="0009674D" w:rsidRPr="00DF1F13">
        <w:rPr>
          <w:rFonts w:ascii="Times New Roman" w:hAnsi="Times New Roman" w:cs="Times New Roman"/>
          <w:sz w:val="24"/>
          <w:szCs w:val="24"/>
        </w:rPr>
        <w:t xml:space="preserve">will </w:t>
      </w:r>
      <w:r w:rsidR="006A1FFB">
        <w:rPr>
          <w:rFonts w:ascii="Times New Roman" w:hAnsi="Times New Roman" w:cs="Times New Roman"/>
          <w:sz w:val="24"/>
          <w:szCs w:val="24"/>
        </w:rPr>
        <w:t xml:space="preserve">comprise </w:t>
      </w:r>
      <w:r w:rsidR="0009674D" w:rsidRPr="00DF1F13">
        <w:rPr>
          <w:rFonts w:ascii="Times New Roman" w:hAnsi="Times New Roman" w:cs="Times New Roman"/>
          <w:sz w:val="24"/>
          <w:szCs w:val="24"/>
        </w:rPr>
        <w:t>primary, secondary and internet sources.</w:t>
      </w:r>
    </w:p>
    <w:p w14:paraId="61DCD63C" w14:textId="2E781139" w:rsidR="00675667" w:rsidRPr="00DF1F13" w:rsidRDefault="0009674D" w:rsidP="00602866">
      <w:pPr>
        <w:spacing w:before="120" w:after="120" w:line="360" w:lineRule="auto"/>
        <w:ind w:right="113"/>
        <w:jc w:val="both"/>
        <w:rPr>
          <w:rFonts w:ascii="Times New Roman" w:hAnsi="Times New Roman" w:cs="Times New Roman"/>
          <w:sz w:val="24"/>
          <w:szCs w:val="24"/>
        </w:rPr>
      </w:pPr>
      <w:r w:rsidRPr="00DF1F13">
        <w:rPr>
          <w:rFonts w:ascii="Times New Roman" w:hAnsi="Times New Roman" w:cs="Times New Roman"/>
          <w:sz w:val="24"/>
          <w:szCs w:val="24"/>
        </w:rPr>
        <w:t xml:space="preserve">The </w:t>
      </w:r>
      <w:r w:rsidR="00FC6F19">
        <w:rPr>
          <w:rFonts w:ascii="Times New Roman" w:hAnsi="Times New Roman" w:cs="Times New Roman"/>
          <w:sz w:val="24"/>
          <w:szCs w:val="24"/>
        </w:rPr>
        <w:t xml:space="preserve">first </w:t>
      </w:r>
      <w:r w:rsidRPr="00DF1F13">
        <w:rPr>
          <w:rFonts w:ascii="Times New Roman" w:hAnsi="Times New Roman" w:cs="Times New Roman"/>
          <w:sz w:val="24"/>
          <w:szCs w:val="24"/>
        </w:rPr>
        <w:t xml:space="preserve">source will </w:t>
      </w:r>
      <w:r w:rsidR="00FC6F19">
        <w:rPr>
          <w:rFonts w:ascii="Times New Roman" w:hAnsi="Times New Roman" w:cs="Times New Roman"/>
          <w:sz w:val="24"/>
          <w:szCs w:val="24"/>
        </w:rPr>
        <w:t xml:space="preserve">comprise </w:t>
      </w:r>
      <w:r w:rsidR="00FC6F19" w:rsidRPr="00DF1F13">
        <w:rPr>
          <w:rFonts w:ascii="Times New Roman" w:hAnsi="Times New Roman" w:cs="Times New Roman"/>
          <w:sz w:val="24"/>
          <w:szCs w:val="24"/>
        </w:rPr>
        <w:t>the judgments of the Pre-Trial Chamber of the International Criminal Court,</w:t>
      </w:r>
      <w:r w:rsidR="00FC6F19">
        <w:rPr>
          <w:rFonts w:ascii="Times New Roman" w:hAnsi="Times New Roman" w:cs="Times New Roman"/>
          <w:sz w:val="24"/>
          <w:szCs w:val="24"/>
        </w:rPr>
        <w:t xml:space="preserve"> </w:t>
      </w:r>
      <w:r w:rsidR="003210BD" w:rsidRPr="00DF1F13">
        <w:rPr>
          <w:rFonts w:ascii="Times New Roman" w:hAnsi="Times New Roman" w:cs="Times New Roman"/>
          <w:sz w:val="24"/>
          <w:szCs w:val="24"/>
        </w:rPr>
        <w:t>Rome Statute of the International Criminal Court,</w:t>
      </w:r>
      <w:r w:rsidR="00C971AB">
        <w:rPr>
          <w:rFonts w:ascii="Times New Roman" w:hAnsi="Times New Roman" w:cs="Times New Roman"/>
          <w:sz w:val="24"/>
          <w:szCs w:val="24"/>
        </w:rPr>
        <w:t xml:space="preserve"> </w:t>
      </w:r>
      <w:r w:rsidR="00E50BA4" w:rsidRPr="00DF1F13">
        <w:rPr>
          <w:rFonts w:ascii="Times New Roman" w:hAnsi="Times New Roman" w:cs="Times New Roman"/>
          <w:sz w:val="24"/>
          <w:szCs w:val="24"/>
        </w:rPr>
        <w:t>Convention on the Privileges and Immunities of the United Nations</w:t>
      </w:r>
      <w:r w:rsidR="00FA7995" w:rsidRPr="00DF1F13">
        <w:rPr>
          <w:rFonts w:ascii="Times New Roman" w:hAnsi="Times New Roman" w:cs="Times New Roman"/>
          <w:sz w:val="24"/>
          <w:szCs w:val="24"/>
        </w:rPr>
        <w:t xml:space="preserve">, </w:t>
      </w:r>
      <w:r w:rsidR="00C971AB" w:rsidRPr="00DF1F13">
        <w:rPr>
          <w:rFonts w:ascii="Times New Roman" w:hAnsi="Times New Roman" w:cs="Times New Roman"/>
          <w:sz w:val="24"/>
          <w:szCs w:val="24"/>
        </w:rPr>
        <w:t>Vienna Convention on Diplomatic Relations,</w:t>
      </w:r>
      <w:r w:rsidR="00C971AB" w:rsidRPr="00C971AB">
        <w:rPr>
          <w:rFonts w:ascii="Times New Roman" w:hAnsi="Times New Roman" w:cs="Times New Roman"/>
          <w:sz w:val="24"/>
          <w:szCs w:val="24"/>
        </w:rPr>
        <w:t xml:space="preserve"> </w:t>
      </w:r>
      <w:r w:rsidR="00C971AB" w:rsidRPr="00DF1F13">
        <w:rPr>
          <w:rFonts w:ascii="Times New Roman" w:hAnsi="Times New Roman" w:cs="Times New Roman"/>
          <w:sz w:val="24"/>
          <w:szCs w:val="24"/>
        </w:rPr>
        <w:t>the Charter of the United Nations</w:t>
      </w:r>
      <w:r w:rsidR="00233FFE">
        <w:rPr>
          <w:rFonts w:ascii="Times New Roman" w:hAnsi="Times New Roman" w:cs="Times New Roman"/>
          <w:sz w:val="24"/>
          <w:szCs w:val="24"/>
        </w:rPr>
        <w:t xml:space="preserve">, </w:t>
      </w:r>
      <w:r w:rsidR="00233FFE" w:rsidRPr="00DF1F13">
        <w:rPr>
          <w:rFonts w:ascii="Times New Roman" w:hAnsi="Times New Roman" w:cs="Times New Roman"/>
          <w:sz w:val="24"/>
          <w:szCs w:val="24"/>
        </w:rPr>
        <w:t>Vienna Convention on the Law of Treaties</w:t>
      </w:r>
      <w:r w:rsidR="00C971AB">
        <w:rPr>
          <w:rFonts w:ascii="Times New Roman" w:hAnsi="Times New Roman" w:cs="Times New Roman"/>
          <w:sz w:val="24"/>
          <w:szCs w:val="24"/>
        </w:rPr>
        <w:t xml:space="preserve"> </w:t>
      </w:r>
      <w:r w:rsidR="006D5EA7">
        <w:rPr>
          <w:rFonts w:ascii="Times New Roman" w:hAnsi="Times New Roman" w:cs="Times New Roman"/>
          <w:sz w:val="24"/>
          <w:szCs w:val="24"/>
        </w:rPr>
        <w:t xml:space="preserve">and the </w:t>
      </w:r>
      <w:r w:rsidR="00FA7995" w:rsidRPr="00DF1F13">
        <w:rPr>
          <w:rFonts w:ascii="Times New Roman" w:hAnsi="Times New Roman" w:cs="Times New Roman"/>
          <w:sz w:val="24"/>
          <w:szCs w:val="24"/>
        </w:rPr>
        <w:t xml:space="preserve">General Convention </w:t>
      </w:r>
      <w:r w:rsidR="00FA7995" w:rsidRPr="00DF1F13">
        <w:rPr>
          <w:rFonts w:ascii="Times New Roman" w:hAnsi="Times New Roman" w:cs="Times New Roman"/>
          <w:sz w:val="24"/>
          <w:szCs w:val="24"/>
        </w:rPr>
        <w:lastRenderedPageBreak/>
        <w:t>on the Privileges and Immunities of the</w:t>
      </w:r>
      <w:r w:rsidR="00194984">
        <w:rPr>
          <w:rFonts w:ascii="Times New Roman" w:hAnsi="Times New Roman" w:cs="Times New Roman"/>
          <w:sz w:val="24"/>
          <w:szCs w:val="24"/>
        </w:rPr>
        <w:t xml:space="preserve"> Organization of African Unity. </w:t>
      </w:r>
      <w:r w:rsidR="005A7A74" w:rsidRPr="00DF1F13">
        <w:rPr>
          <w:rFonts w:ascii="Times New Roman" w:hAnsi="Times New Roman" w:cs="Times New Roman"/>
          <w:sz w:val="24"/>
          <w:szCs w:val="24"/>
        </w:rPr>
        <w:t>These</w:t>
      </w:r>
      <w:r w:rsidR="00776F9B">
        <w:rPr>
          <w:rFonts w:ascii="Times New Roman" w:hAnsi="Times New Roman" w:cs="Times New Roman"/>
          <w:sz w:val="24"/>
          <w:szCs w:val="24"/>
        </w:rPr>
        <w:t xml:space="preserve"> first</w:t>
      </w:r>
      <w:r w:rsidR="00194984">
        <w:rPr>
          <w:rFonts w:ascii="Times New Roman" w:hAnsi="Times New Roman" w:cs="Times New Roman"/>
          <w:sz w:val="24"/>
          <w:szCs w:val="24"/>
        </w:rPr>
        <w:t xml:space="preserve"> </w:t>
      </w:r>
      <w:r w:rsidR="005A7A74" w:rsidRPr="00DF1F13">
        <w:rPr>
          <w:rFonts w:ascii="Times New Roman" w:hAnsi="Times New Roman" w:cs="Times New Roman"/>
          <w:sz w:val="24"/>
          <w:szCs w:val="24"/>
        </w:rPr>
        <w:t xml:space="preserve">sources are </w:t>
      </w:r>
      <w:r w:rsidR="00F444A3" w:rsidRPr="00F444A3">
        <w:rPr>
          <w:rFonts w:ascii="Times New Roman" w:hAnsi="Times New Roman" w:cs="Times New Roman"/>
          <w:sz w:val="24"/>
          <w:szCs w:val="24"/>
        </w:rPr>
        <w:t xml:space="preserve">essential </w:t>
      </w:r>
      <w:r w:rsidR="005A7A74" w:rsidRPr="00DF1F13">
        <w:rPr>
          <w:rFonts w:ascii="Times New Roman" w:hAnsi="Times New Roman" w:cs="Times New Roman"/>
          <w:sz w:val="24"/>
          <w:szCs w:val="24"/>
        </w:rPr>
        <w:t xml:space="preserve">to make an </w:t>
      </w:r>
      <w:r w:rsidR="00442556" w:rsidRPr="00442556">
        <w:rPr>
          <w:rFonts w:ascii="Times New Roman" w:hAnsi="Times New Roman" w:cs="Times New Roman"/>
          <w:sz w:val="24"/>
          <w:szCs w:val="24"/>
        </w:rPr>
        <w:t xml:space="preserve">examination </w:t>
      </w:r>
      <w:r w:rsidR="005A7A74" w:rsidRPr="00DF1F13">
        <w:rPr>
          <w:rFonts w:ascii="Times New Roman" w:hAnsi="Times New Roman" w:cs="Times New Roman"/>
          <w:sz w:val="24"/>
          <w:szCs w:val="24"/>
        </w:rPr>
        <w:t xml:space="preserve">of the </w:t>
      </w:r>
      <w:r w:rsidR="006A56BB" w:rsidRPr="006A56BB">
        <w:rPr>
          <w:rFonts w:ascii="Times New Roman" w:hAnsi="Times New Roman" w:cs="Times New Roman"/>
          <w:sz w:val="24"/>
          <w:szCs w:val="24"/>
        </w:rPr>
        <w:t xml:space="preserve">customary </w:t>
      </w:r>
      <w:r w:rsidR="00776F9B" w:rsidRPr="00776F9B">
        <w:rPr>
          <w:rFonts w:ascii="Times New Roman" w:hAnsi="Times New Roman" w:cs="Times New Roman"/>
          <w:sz w:val="24"/>
          <w:szCs w:val="24"/>
        </w:rPr>
        <w:t>regulation</w:t>
      </w:r>
      <w:r w:rsidR="00776F9B">
        <w:rPr>
          <w:rFonts w:ascii="Times New Roman" w:hAnsi="Times New Roman" w:cs="Times New Roman"/>
          <w:sz w:val="24"/>
          <w:szCs w:val="24"/>
        </w:rPr>
        <w:t xml:space="preserve">s </w:t>
      </w:r>
      <w:r w:rsidR="005A7A74" w:rsidRPr="00DF1F13">
        <w:rPr>
          <w:rFonts w:ascii="Times New Roman" w:hAnsi="Times New Roman" w:cs="Times New Roman"/>
          <w:sz w:val="24"/>
          <w:szCs w:val="24"/>
        </w:rPr>
        <w:t xml:space="preserve">of International Law </w:t>
      </w:r>
      <w:r w:rsidR="006A56BB" w:rsidRPr="006A56BB">
        <w:rPr>
          <w:rFonts w:ascii="Times New Roman" w:hAnsi="Times New Roman" w:cs="Times New Roman"/>
          <w:sz w:val="24"/>
          <w:szCs w:val="24"/>
        </w:rPr>
        <w:t xml:space="preserve">regarding </w:t>
      </w:r>
      <w:r w:rsidR="005A7A74" w:rsidRPr="00DF1F13">
        <w:rPr>
          <w:rFonts w:ascii="Times New Roman" w:hAnsi="Times New Roman" w:cs="Times New Roman"/>
          <w:sz w:val="24"/>
          <w:szCs w:val="24"/>
        </w:rPr>
        <w:t>immunity.</w:t>
      </w:r>
      <w:r w:rsidR="008B621A" w:rsidRPr="00DF1F13">
        <w:rPr>
          <w:rFonts w:ascii="Times New Roman" w:hAnsi="Times New Roman" w:cs="Times New Roman"/>
          <w:sz w:val="24"/>
          <w:szCs w:val="24"/>
        </w:rPr>
        <w:t xml:space="preserve"> </w:t>
      </w:r>
      <w:r w:rsidR="00D26F43">
        <w:rPr>
          <w:rFonts w:ascii="Times New Roman" w:hAnsi="Times New Roman" w:cs="Times New Roman"/>
          <w:sz w:val="24"/>
          <w:szCs w:val="24"/>
        </w:rPr>
        <w:t>C</w:t>
      </w:r>
      <w:r w:rsidR="00D26F43" w:rsidRPr="00D26F43">
        <w:rPr>
          <w:rFonts w:ascii="Times New Roman" w:hAnsi="Times New Roman" w:cs="Times New Roman"/>
          <w:sz w:val="24"/>
          <w:szCs w:val="24"/>
        </w:rPr>
        <w:t xml:space="preserve">oncerning </w:t>
      </w:r>
      <w:r w:rsidR="005A7A74" w:rsidRPr="00DF1F13">
        <w:rPr>
          <w:rFonts w:ascii="Times New Roman" w:hAnsi="Times New Roman" w:cs="Times New Roman"/>
          <w:sz w:val="24"/>
          <w:szCs w:val="24"/>
        </w:rPr>
        <w:t>t</w:t>
      </w:r>
      <w:r w:rsidR="00D26F43">
        <w:rPr>
          <w:rFonts w:ascii="Times New Roman" w:hAnsi="Times New Roman" w:cs="Times New Roman"/>
          <w:sz w:val="24"/>
          <w:szCs w:val="24"/>
        </w:rPr>
        <w:t>he</w:t>
      </w:r>
      <w:r w:rsidR="005A7A74" w:rsidRPr="00DF1F13">
        <w:rPr>
          <w:rFonts w:ascii="Times New Roman" w:hAnsi="Times New Roman" w:cs="Times New Roman"/>
          <w:sz w:val="24"/>
          <w:szCs w:val="24"/>
        </w:rPr>
        <w:t xml:space="preserve"> </w:t>
      </w:r>
      <w:r w:rsidR="00D26F43" w:rsidRPr="00D26F43">
        <w:rPr>
          <w:rFonts w:ascii="Times New Roman" w:hAnsi="Times New Roman" w:cs="Times New Roman"/>
          <w:sz w:val="24"/>
          <w:szCs w:val="24"/>
        </w:rPr>
        <w:t xml:space="preserve">subsidiary </w:t>
      </w:r>
      <w:r w:rsidR="005A7A74" w:rsidRPr="00DF1F13">
        <w:rPr>
          <w:rFonts w:ascii="Times New Roman" w:hAnsi="Times New Roman" w:cs="Times New Roman"/>
          <w:sz w:val="24"/>
          <w:szCs w:val="24"/>
        </w:rPr>
        <w:t xml:space="preserve">sources, they </w:t>
      </w:r>
      <w:r w:rsidR="00DC08FC" w:rsidRPr="00DC08FC">
        <w:rPr>
          <w:rFonts w:ascii="Times New Roman" w:hAnsi="Times New Roman" w:cs="Times New Roman"/>
          <w:sz w:val="24"/>
          <w:szCs w:val="24"/>
        </w:rPr>
        <w:t xml:space="preserve">refer to </w:t>
      </w:r>
      <w:r w:rsidR="008344DF" w:rsidRPr="00DF1F13">
        <w:rPr>
          <w:rFonts w:ascii="Times New Roman" w:hAnsi="Times New Roman" w:cs="Times New Roman"/>
          <w:sz w:val="24"/>
          <w:szCs w:val="24"/>
        </w:rPr>
        <w:t xml:space="preserve">books and </w:t>
      </w:r>
      <w:r w:rsidR="004F3D75" w:rsidRPr="004F3D75">
        <w:rPr>
          <w:rFonts w:ascii="Times New Roman" w:hAnsi="Times New Roman" w:cs="Times New Roman"/>
          <w:sz w:val="24"/>
          <w:szCs w:val="24"/>
        </w:rPr>
        <w:t xml:space="preserve">scholar </w:t>
      </w:r>
      <w:r w:rsidR="008344DF" w:rsidRPr="00DF1F13">
        <w:rPr>
          <w:rFonts w:ascii="Times New Roman" w:hAnsi="Times New Roman" w:cs="Times New Roman"/>
          <w:sz w:val="24"/>
          <w:szCs w:val="24"/>
        </w:rPr>
        <w:t>articles.</w:t>
      </w:r>
      <w:r w:rsidR="005A7A74" w:rsidRPr="00DF1F13">
        <w:rPr>
          <w:rFonts w:ascii="Times New Roman" w:hAnsi="Times New Roman" w:cs="Times New Roman"/>
          <w:sz w:val="24"/>
          <w:szCs w:val="24"/>
        </w:rPr>
        <w:t xml:space="preserve"> </w:t>
      </w:r>
    </w:p>
    <w:p w14:paraId="40D9779F" w14:textId="434CEC01" w:rsidR="00FA5046" w:rsidRPr="00DF1F13" w:rsidRDefault="000D0BE1" w:rsidP="0053735B">
      <w:pPr>
        <w:pStyle w:val="Nadpis1"/>
        <w:rPr>
          <w:rFonts w:ascii="Times New Roman" w:hAnsi="Times New Roman" w:cs="Times New Roman"/>
          <w:b/>
          <w:bCs/>
          <w:color w:val="auto"/>
        </w:rPr>
      </w:pPr>
      <w:bookmarkStart w:id="6" w:name="_Toc109340795"/>
      <w:r w:rsidRPr="00DF1F13">
        <w:rPr>
          <w:rFonts w:ascii="Times New Roman" w:hAnsi="Times New Roman" w:cs="Times New Roman"/>
          <w:b/>
          <w:bCs/>
          <w:color w:val="auto"/>
        </w:rPr>
        <w:t>1.</w:t>
      </w:r>
      <w:r w:rsidR="0053735B" w:rsidRPr="00DF1F13">
        <w:rPr>
          <w:rFonts w:ascii="Times New Roman" w:hAnsi="Times New Roman" w:cs="Times New Roman"/>
          <w:b/>
          <w:bCs/>
          <w:color w:val="auto"/>
        </w:rPr>
        <w:t>4</w:t>
      </w:r>
      <w:r w:rsidR="00830AAA" w:rsidRPr="00DF1F13">
        <w:rPr>
          <w:rFonts w:ascii="Times New Roman" w:hAnsi="Times New Roman" w:cs="Times New Roman"/>
          <w:b/>
          <w:bCs/>
          <w:color w:val="auto"/>
        </w:rPr>
        <w:t xml:space="preserve"> </w:t>
      </w:r>
      <w:r w:rsidRPr="00DF1F13">
        <w:rPr>
          <w:rFonts w:ascii="Times New Roman" w:hAnsi="Times New Roman" w:cs="Times New Roman"/>
          <w:b/>
          <w:bCs/>
          <w:color w:val="auto"/>
        </w:rPr>
        <w:t>Delimitation</w:t>
      </w:r>
      <w:bookmarkStart w:id="7" w:name="_Hlk64029140"/>
      <w:bookmarkEnd w:id="6"/>
    </w:p>
    <w:p w14:paraId="17764BA3" w14:textId="4E292ED0" w:rsidR="00063E65" w:rsidRPr="00DF1F13" w:rsidRDefault="004A6A17" w:rsidP="00602866">
      <w:pPr>
        <w:spacing w:before="120" w:after="120" w:line="360" w:lineRule="auto"/>
        <w:ind w:right="113"/>
        <w:jc w:val="both"/>
        <w:rPr>
          <w:rFonts w:ascii="Times New Roman" w:hAnsi="Times New Roman" w:cs="Times New Roman"/>
          <w:sz w:val="24"/>
          <w:szCs w:val="24"/>
        </w:rPr>
      </w:pPr>
      <w:r w:rsidRPr="00DF1F13">
        <w:rPr>
          <w:rFonts w:ascii="Times New Roman" w:hAnsi="Times New Roman" w:cs="Times New Roman"/>
          <w:sz w:val="24"/>
          <w:szCs w:val="24"/>
        </w:rPr>
        <w:t xml:space="preserve">This </w:t>
      </w:r>
      <w:r w:rsidR="007704F5">
        <w:rPr>
          <w:rFonts w:ascii="Times New Roman" w:hAnsi="Times New Roman" w:cs="Times New Roman"/>
          <w:sz w:val="24"/>
          <w:szCs w:val="24"/>
        </w:rPr>
        <w:t xml:space="preserve">paper </w:t>
      </w:r>
      <w:r w:rsidRPr="00DF1F13">
        <w:rPr>
          <w:rFonts w:ascii="Times New Roman" w:hAnsi="Times New Roman" w:cs="Times New Roman"/>
          <w:sz w:val="24"/>
          <w:szCs w:val="24"/>
        </w:rPr>
        <w:t xml:space="preserve">is </w:t>
      </w:r>
      <w:r w:rsidR="007704F5">
        <w:rPr>
          <w:rFonts w:ascii="Times New Roman" w:hAnsi="Times New Roman" w:cs="Times New Roman"/>
          <w:sz w:val="24"/>
          <w:szCs w:val="24"/>
        </w:rPr>
        <w:t xml:space="preserve">focused </w:t>
      </w:r>
      <w:r w:rsidR="00CD4A12">
        <w:rPr>
          <w:rFonts w:ascii="Times New Roman" w:hAnsi="Times New Roman" w:cs="Times New Roman"/>
          <w:sz w:val="24"/>
          <w:szCs w:val="24"/>
        </w:rPr>
        <w:t xml:space="preserve">mainly </w:t>
      </w:r>
      <w:r w:rsidR="00AA6316" w:rsidRPr="00DF1F13">
        <w:rPr>
          <w:rFonts w:ascii="Times New Roman" w:hAnsi="Times New Roman" w:cs="Times New Roman"/>
          <w:sz w:val="24"/>
          <w:szCs w:val="24"/>
        </w:rPr>
        <w:t>to an</w:t>
      </w:r>
      <w:r w:rsidR="00CD4A12">
        <w:rPr>
          <w:rFonts w:ascii="Times New Roman" w:hAnsi="Times New Roman" w:cs="Times New Roman"/>
          <w:sz w:val="24"/>
          <w:szCs w:val="24"/>
        </w:rPr>
        <w:t xml:space="preserve"> </w:t>
      </w:r>
      <w:r w:rsidR="00CD4A12" w:rsidRPr="00442556">
        <w:rPr>
          <w:rFonts w:ascii="Times New Roman" w:hAnsi="Times New Roman" w:cs="Times New Roman"/>
          <w:sz w:val="24"/>
          <w:szCs w:val="24"/>
        </w:rPr>
        <w:t>examination</w:t>
      </w:r>
      <w:r w:rsidRPr="00DF1F13">
        <w:rPr>
          <w:rFonts w:ascii="Times New Roman" w:hAnsi="Times New Roman" w:cs="Times New Roman"/>
          <w:sz w:val="24"/>
          <w:szCs w:val="24"/>
        </w:rPr>
        <w:t xml:space="preserve"> </w:t>
      </w:r>
      <w:r w:rsidR="00FA7995" w:rsidRPr="00DF1F13">
        <w:rPr>
          <w:rFonts w:ascii="Times New Roman" w:hAnsi="Times New Roman" w:cs="Times New Roman"/>
          <w:sz w:val="24"/>
          <w:szCs w:val="24"/>
        </w:rPr>
        <w:t xml:space="preserve">of the </w:t>
      </w:r>
      <w:r w:rsidR="00BD5D10" w:rsidRPr="00BD5D10">
        <w:rPr>
          <w:rFonts w:ascii="Times New Roman" w:hAnsi="Times New Roman" w:cs="Times New Roman"/>
          <w:sz w:val="24"/>
          <w:szCs w:val="24"/>
        </w:rPr>
        <w:t xml:space="preserve">dispute over </w:t>
      </w:r>
      <w:r w:rsidR="00FA7995" w:rsidRPr="00DF1F13">
        <w:rPr>
          <w:rFonts w:ascii="Times New Roman" w:hAnsi="Times New Roman" w:cs="Times New Roman"/>
          <w:sz w:val="24"/>
          <w:szCs w:val="24"/>
        </w:rPr>
        <w:t>the legitimacy of the</w:t>
      </w:r>
      <w:r w:rsidR="006A1B06">
        <w:rPr>
          <w:rFonts w:ascii="Times New Roman" w:hAnsi="Times New Roman" w:cs="Times New Roman"/>
          <w:sz w:val="24"/>
          <w:szCs w:val="24"/>
        </w:rPr>
        <w:t xml:space="preserve"> ICC </w:t>
      </w:r>
      <w:r w:rsidR="00063E65" w:rsidRPr="00DF1F13">
        <w:rPr>
          <w:rFonts w:ascii="Times New Roman" w:hAnsi="Times New Roman" w:cs="Times New Roman"/>
          <w:sz w:val="24"/>
          <w:szCs w:val="24"/>
        </w:rPr>
        <w:t xml:space="preserve">and </w:t>
      </w:r>
      <w:r w:rsidR="00A10ACC" w:rsidRPr="00A10ACC">
        <w:rPr>
          <w:rFonts w:ascii="Times New Roman" w:hAnsi="Times New Roman" w:cs="Times New Roman"/>
          <w:sz w:val="24"/>
          <w:szCs w:val="24"/>
        </w:rPr>
        <w:t>the difficult partnership between the court and states from African regions</w:t>
      </w:r>
      <w:r w:rsidR="00A10ACC">
        <w:rPr>
          <w:rFonts w:ascii="Times New Roman" w:hAnsi="Times New Roman" w:cs="Times New Roman"/>
          <w:sz w:val="24"/>
          <w:szCs w:val="24"/>
        </w:rPr>
        <w:t>.</w:t>
      </w:r>
    </w:p>
    <w:p w14:paraId="77A98DF4" w14:textId="5BF5F32D" w:rsidR="0044291F" w:rsidRPr="00DF1F13" w:rsidRDefault="00CC7A46" w:rsidP="00602866">
      <w:pPr>
        <w:spacing w:before="120" w:after="120" w:line="360" w:lineRule="auto"/>
        <w:ind w:right="113"/>
        <w:jc w:val="both"/>
        <w:rPr>
          <w:rFonts w:ascii="Times New Roman" w:hAnsi="Times New Roman" w:cs="Times New Roman"/>
          <w:sz w:val="24"/>
          <w:szCs w:val="24"/>
        </w:rPr>
      </w:pPr>
      <w:r w:rsidRPr="00CC7A46">
        <w:rPr>
          <w:rFonts w:ascii="Times New Roman" w:hAnsi="Times New Roman" w:cs="Times New Roman"/>
          <w:sz w:val="24"/>
          <w:szCs w:val="24"/>
        </w:rPr>
        <w:t xml:space="preserve">Especially the request made by the </w:t>
      </w:r>
      <w:r w:rsidR="00742F84">
        <w:rPr>
          <w:rFonts w:ascii="Times New Roman" w:hAnsi="Times New Roman" w:cs="Times New Roman"/>
          <w:sz w:val="24"/>
          <w:szCs w:val="24"/>
        </w:rPr>
        <w:t xml:space="preserve">tribunal </w:t>
      </w:r>
      <w:r w:rsidRPr="00CC7A46">
        <w:rPr>
          <w:rFonts w:ascii="Times New Roman" w:hAnsi="Times New Roman" w:cs="Times New Roman"/>
          <w:sz w:val="24"/>
          <w:szCs w:val="24"/>
        </w:rPr>
        <w:t>to apprehend</w:t>
      </w:r>
      <w:r w:rsidR="00AB0B19">
        <w:rPr>
          <w:rFonts w:ascii="Times New Roman" w:hAnsi="Times New Roman" w:cs="Times New Roman"/>
          <w:sz w:val="24"/>
          <w:szCs w:val="24"/>
        </w:rPr>
        <w:t xml:space="preserve"> the Sudanese A</w:t>
      </w:r>
      <w:r w:rsidRPr="00CC7A46">
        <w:rPr>
          <w:rFonts w:ascii="Times New Roman" w:hAnsi="Times New Roman" w:cs="Times New Roman"/>
          <w:sz w:val="24"/>
          <w:szCs w:val="24"/>
        </w:rPr>
        <w:t xml:space="preserve">l Bashir </w:t>
      </w:r>
      <w:r w:rsidR="001B42AF" w:rsidRPr="00DF1F13">
        <w:rPr>
          <w:rFonts w:ascii="Times New Roman" w:hAnsi="Times New Roman" w:cs="Times New Roman"/>
          <w:sz w:val="24"/>
          <w:szCs w:val="24"/>
        </w:rPr>
        <w:t>and</w:t>
      </w:r>
      <w:r w:rsidR="00AB0B19">
        <w:rPr>
          <w:rFonts w:ascii="Times New Roman" w:hAnsi="Times New Roman" w:cs="Times New Roman"/>
          <w:sz w:val="24"/>
          <w:szCs w:val="24"/>
        </w:rPr>
        <w:t xml:space="preserve"> the Libyan</w:t>
      </w:r>
      <w:r w:rsidR="001B42AF" w:rsidRPr="00DF1F13">
        <w:rPr>
          <w:rFonts w:ascii="Times New Roman" w:hAnsi="Times New Roman" w:cs="Times New Roman"/>
          <w:sz w:val="24"/>
          <w:szCs w:val="24"/>
        </w:rPr>
        <w:t xml:space="preserve"> Muammar Gaddafi</w:t>
      </w:r>
      <w:r w:rsidR="00AA6316" w:rsidRPr="00DF1F13">
        <w:rPr>
          <w:rFonts w:ascii="Times New Roman" w:hAnsi="Times New Roman" w:cs="Times New Roman"/>
          <w:sz w:val="24"/>
          <w:szCs w:val="24"/>
        </w:rPr>
        <w:t xml:space="preserve"> </w:t>
      </w:r>
      <w:r w:rsidR="000F57A2" w:rsidRPr="000F57A2">
        <w:rPr>
          <w:rFonts w:ascii="Times New Roman" w:hAnsi="Times New Roman" w:cs="Times New Roman"/>
          <w:sz w:val="24"/>
          <w:szCs w:val="24"/>
        </w:rPr>
        <w:t xml:space="preserve">although </w:t>
      </w:r>
      <w:r w:rsidR="00AA6316" w:rsidRPr="00DF1F13">
        <w:rPr>
          <w:rFonts w:ascii="Times New Roman" w:hAnsi="Times New Roman" w:cs="Times New Roman"/>
          <w:sz w:val="24"/>
          <w:szCs w:val="24"/>
        </w:rPr>
        <w:t>they</w:t>
      </w:r>
      <w:r w:rsidR="001B42AF" w:rsidRPr="00DF1F13">
        <w:rPr>
          <w:rFonts w:ascii="Times New Roman" w:hAnsi="Times New Roman" w:cs="Times New Roman"/>
          <w:sz w:val="24"/>
          <w:szCs w:val="24"/>
        </w:rPr>
        <w:t xml:space="preserve"> w</w:t>
      </w:r>
      <w:r w:rsidR="00AA6316" w:rsidRPr="00DF1F13">
        <w:rPr>
          <w:rFonts w:ascii="Times New Roman" w:hAnsi="Times New Roman" w:cs="Times New Roman"/>
          <w:sz w:val="24"/>
          <w:szCs w:val="24"/>
        </w:rPr>
        <w:t>ere</w:t>
      </w:r>
      <w:r w:rsidR="002C6B2C">
        <w:rPr>
          <w:rFonts w:ascii="Times New Roman" w:hAnsi="Times New Roman" w:cs="Times New Roman"/>
          <w:sz w:val="24"/>
          <w:szCs w:val="24"/>
        </w:rPr>
        <w:t xml:space="preserve"> in office</w:t>
      </w:r>
      <w:r w:rsidR="002464B7">
        <w:rPr>
          <w:rFonts w:ascii="Times New Roman" w:hAnsi="Times New Roman" w:cs="Times New Roman"/>
          <w:sz w:val="24"/>
          <w:szCs w:val="24"/>
        </w:rPr>
        <w:t xml:space="preserve"> </w:t>
      </w:r>
      <w:r w:rsidR="001B42AF" w:rsidRPr="00DF1F13">
        <w:rPr>
          <w:rFonts w:ascii="Times New Roman" w:hAnsi="Times New Roman" w:cs="Times New Roman"/>
          <w:sz w:val="24"/>
          <w:szCs w:val="24"/>
        </w:rPr>
        <w:t>and</w:t>
      </w:r>
      <w:r w:rsidR="00E93B6E">
        <w:rPr>
          <w:rFonts w:ascii="Times New Roman" w:hAnsi="Times New Roman" w:cs="Times New Roman"/>
          <w:sz w:val="24"/>
          <w:szCs w:val="24"/>
        </w:rPr>
        <w:t xml:space="preserve"> </w:t>
      </w:r>
      <w:r w:rsidR="00E93B6E" w:rsidRPr="00E93B6E">
        <w:rPr>
          <w:rFonts w:ascii="Times New Roman" w:hAnsi="Times New Roman" w:cs="Times New Roman"/>
          <w:sz w:val="24"/>
          <w:szCs w:val="24"/>
        </w:rPr>
        <w:t>moreover</w:t>
      </w:r>
      <w:r w:rsidR="00E93B6E">
        <w:rPr>
          <w:rFonts w:ascii="Times New Roman" w:hAnsi="Times New Roman" w:cs="Times New Roman"/>
          <w:sz w:val="24"/>
          <w:szCs w:val="24"/>
        </w:rPr>
        <w:t xml:space="preserve"> the court</w:t>
      </w:r>
      <w:r w:rsidR="001B42AF" w:rsidRPr="00DF1F13">
        <w:rPr>
          <w:rFonts w:ascii="Times New Roman" w:hAnsi="Times New Roman" w:cs="Times New Roman"/>
          <w:sz w:val="24"/>
          <w:szCs w:val="24"/>
        </w:rPr>
        <w:t xml:space="preserve"> </w:t>
      </w:r>
      <w:r w:rsidR="00E93B6E" w:rsidRPr="00E93B6E">
        <w:rPr>
          <w:rFonts w:ascii="Times New Roman" w:hAnsi="Times New Roman" w:cs="Times New Roman"/>
          <w:sz w:val="24"/>
          <w:szCs w:val="24"/>
        </w:rPr>
        <w:t xml:space="preserve">accused </w:t>
      </w:r>
      <w:r w:rsidR="001B42AF" w:rsidRPr="00DF1F13">
        <w:rPr>
          <w:rFonts w:ascii="Times New Roman" w:hAnsi="Times New Roman" w:cs="Times New Roman"/>
          <w:sz w:val="24"/>
          <w:szCs w:val="24"/>
        </w:rPr>
        <w:t>Uhuru Kenyatta</w:t>
      </w:r>
      <w:r w:rsidR="00AA40A9">
        <w:rPr>
          <w:rFonts w:ascii="Times New Roman" w:hAnsi="Times New Roman" w:cs="Times New Roman"/>
          <w:sz w:val="24"/>
          <w:szCs w:val="24"/>
        </w:rPr>
        <w:t xml:space="preserve"> who later was elected </w:t>
      </w:r>
      <w:r w:rsidR="001B42AF" w:rsidRPr="00DF1F13">
        <w:rPr>
          <w:rFonts w:ascii="Times New Roman" w:hAnsi="Times New Roman" w:cs="Times New Roman"/>
          <w:sz w:val="24"/>
          <w:szCs w:val="24"/>
        </w:rPr>
        <w:t>Kenya</w:t>
      </w:r>
      <w:r w:rsidR="00AA6316" w:rsidRPr="00DF1F13">
        <w:rPr>
          <w:rFonts w:ascii="Times New Roman" w:hAnsi="Times New Roman" w:cs="Times New Roman"/>
          <w:sz w:val="24"/>
          <w:szCs w:val="24"/>
        </w:rPr>
        <w:t>n</w:t>
      </w:r>
      <w:r w:rsidR="00AA40A9">
        <w:rPr>
          <w:rFonts w:ascii="Times New Roman" w:hAnsi="Times New Roman" w:cs="Times New Roman"/>
          <w:sz w:val="24"/>
          <w:szCs w:val="24"/>
        </w:rPr>
        <w:t xml:space="preserve"> </w:t>
      </w:r>
      <w:r w:rsidR="001564E8">
        <w:rPr>
          <w:rFonts w:ascii="Times New Roman" w:hAnsi="Times New Roman" w:cs="Times New Roman"/>
          <w:sz w:val="24"/>
          <w:szCs w:val="24"/>
        </w:rPr>
        <w:t>president</w:t>
      </w:r>
      <w:r w:rsidR="001564E8" w:rsidRPr="00DF1F13">
        <w:rPr>
          <w:rFonts w:ascii="Times New Roman" w:hAnsi="Times New Roman" w:cs="Times New Roman"/>
          <w:sz w:val="24"/>
          <w:szCs w:val="24"/>
        </w:rPr>
        <w:t>. Through</w:t>
      </w:r>
      <w:r w:rsidR="00934A76" w:rsidRPr="00DF1F13">
        <w:rPr>
          <w:rFonts w:ascii="Times New Roman" w:hAnsi="Times New Roman" w:cs="Times New Roman"/>
          <w:sz w:val="24"/>
          <w:szCs w:val="24"/>
        </w:rPr>
        <w:t xml:space="preserve"> this project, we will also examine </w:t>
      </w:r>
      <w:r w:rsidR="00E35E3C" w:rsidRPr="00DF1F13">
        <w:rPr>
          <w:rFonts w:ascii="Times New Roman" w:hAnsi="Times New Roman" w:cs="Times New Roman"/>
          <w:sz w:val="24"/>
          <w:szCs w:val="24"/>
        </w:rPr>
        <w:t>how</w:t>
      </w:r>
      <w:r w:rsidR="00934A76" w:rsidRPr="00DF1F13">
        <w:rPr>
          <w:rFonts w:ascii="Times New Roman" w:hAnsi="Times New Roman" w:cs="Times New Roman"/>
          <w:sz w:val="24"/>
          <w:szCs w:val="24"/>
        </w:rPr>
        <w:t xml:space="preserve"> the issue of immunity has been dealt by the ICC and the arguments invoked by different states</w:t>
      </w:r>
      <w:r w:rsidR="00063E65" w:rsidRPr="00DF1F13">
        <w:rPr>
          <w:rFonts w:ascii="Times New Roman" w:hAnsi="Times New Roman" w:cs="Times New Roman"/>
          <w:sz w:val="24"/>
          <w:szCs w:val="24"/>
        </w:rPr>
        <w:t>.</w:t>
      </w:r>
      <w:bookmarkEnd w:id="7"/>
    </w:p>
    <w:p w14:paraId="29A40493" w14:textId="04F22EF6"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5A003A67" w14:textId="48A86B74"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002F1E6E" w14:textId="1A667674"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67DAFF87" w14:textId="5AE71DDF"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6F71E287" w14:textId="782030A1"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05F69531" w14:textId="3DA56789"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0D81DB13" w14:textId="38035A9B"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73B7C505" w14:textId="6DC44536"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1DA013D8" w14:textId="5204E4C8"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20C9BFAC" w14:textId="17CA5DE0"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498005D5" w14:textId="6F8ECABC"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26A1732E" w14:textId="5945DE95"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6878DA8F" w14:textId="77777777" w:rsidR="0053735B" w:rsidRPr="00DF1F13" w:rsidRDefault="0053735B" w:rsidP="0053735B">
      <w:pPr>
        <w:spacing w:before="120" w:after="120" w:line="360" w:lineRule="auto"/>
        <w:ind w:left="170" w:right="113"/>
        <w:jc w:val="both"/>
        <w:rPr>
          <w:rFonts w:ascii="Times New Roman" w:hAnsi="Times New Roman" w:cs="Times New Roman"/>
          <w:sz w:val="24"/>
          <w:szCs w:val="24"/>
        </w:rPr>
      </w:pPr>
    </w:p>
    <w:p w14:paraId="18B1DFC3" w14:textId="4C565AF3" w:rsidR="00876D19" w:rsidRPr="00DF1F13" w:rsidRDefault="00876D19" w:rsidP="00DF1F13">
      <w:pPr>
        <w:pStyle w:val="Nadpis1"/>
        <w:spacing w:after="240"/>
        <w:ind w:left="170" w:right="113"/>
        <w:jc w:val="both"/>
        <w:rPr>
          <w:rFonts w:ascii="Times New Roman" w:hAnsi="Times New Roman" w:cs="Times New Roman"/>
          <w:b/>
          <w:bCs/>
          <w:color w:val="auto"/>
        </w:rPr>
      </w:pPr>
      <w:bookmarkStart w:id="8" w:name="_Toc109340796"/>
      <w:r w:rsidRPr="00DF1F13">
        <w:rPr>
          <w:rFonts w:ascii="Times New Roman" w:hAnsi="Times New Roman" w:cs="Times New Roman"/>
          <w:b/>
          <w:bCs/>
          <w:color w:val="auto"/>
        </w:rPr>
        <w:lastRenderedPageBreak/>
        <w:t>2.</w:t>
      </w:r>
      <w:r w:rsidR="00830AAA" w:rsidRPr="00DF1F13">
        <w:rPr>
          <w:rFonts w:ascii="Times New Roman" w:hAnsi="Times New Roman" w:cs="Times New Roman"/>
          <w:b/>
          <w:bCs/>
          <w:color w:val="auto"/>
        </w:rPr>
        <w:t xml:space="preserve">  </w:t>
      </w:r>
      <w:r w:rsidRPr="00DF1F13">
        <w:rPr>
          <w:rFonts w:ascii="Times New Roman" w:hAnsi="Times New Roman" w:cs="Times New Roman"/>
          <w:b/>
          <w:bCs/>
          <w:color w:val="auto"/>
        </w:rPr>
        <w:t xml:space="preserve">The </w:t>
      </w:r>
      <w:r w:rsidR="00C20C04">
        <w:rPr>
          <w:rFonts w:ascii="Times New Roman" w:hAnsi="Times New Roman" w:cs="Times New Roman"/>
          <w:b/>
          <w:bCs/>
          <w:color w:val="auto"/>
        </w:rPr>
        <w:t>O</w:t>
      </w:r>
      <w:r w:rsidRPr="00DF1F13">
        <w:rPr>
          <w:rFonts w:ascii="Times New Roman" w:hAnsi="Times New Roman" w:cs="Times New Roman"/>
          <w:b/>
          <w:bCs/>
          <w:color w:val="auto"/>
        </w:rPr>
        <w:t xml:space="preserve">rdinary </w:t>
      </w:r>
      <w:r w:rsidR="00C20C04">
        <w:rPr>
          <w:rFonts w:ascii="Times New Roman" w:hAnsi="Times New Roman" w:cs="Times New Roman"/>
          <w:b/>
          <w:bCs/>
          <w:color w:val="auto"/>
        </w:rPr>
        <w:t>R</w:t>
      </w:r>
      <w:r w:rsidRPr="00DF1F13">
        <w:rPr>
          <w:rFonts w:ascii="Times New Roman" w:hAnsi="Times New Roman" w:cs="Times New Roman"/>
          <w:b/>
          <w:bCs/>
          <w:color w:val="auto"/>
        </w:rPr>
        <w:t xml:space="preserve">ules of </w:t>
      </w:r>
      <w:r w:rsidR="00C20C04">
        <w:rPr>
          <w:rFonts w:ascii="Times New Roman" w:hAnsi="Times New Roman" w:cs="Times New Roman"/>
          <w:b/>
          <w:bCs/>
          <w:color w:val="auto"/>
        </w:rPr>
        <w:t>H</w:t>
      </w:r>
      <w:r w:rsidRPr="00DF1F13">
        <w:rPr>
          <w:rFonts w:ascii="Times New Roman" w:hAnsi="Times New Roman" w:cs="Times New Roman"/>
          <w:b/>
          <w:bCs/>
          <w:color w:val="auto"/>
        </w:rPr>
        <w:t xml:space="preserve">ead of State </w:t>
      </w:r>
      <w:r w:rsidR="00C20C04">
        <w:rPr>
          <w:rFonts w:ascii="Times New Roman" w:hAnsi="Times New Roman" w:cs="Times New Roman"/>
          <w:b/>
          <w:bCs/>
          <w:color w:val="auto"/>
        </w:rPr>
        <w:t>I</w:t>
      </w:r>
      <w:r w:rsidRPr="00DF1F13">
        <w:rPr>
          <w:rFonts w:ascii="Times New Roman" w:hAnsi="Times New Roman" w:cs="Times New Roman"/>
          <w:b/>
          <w:bCs/>
          <w:color w:val="auto"/>
        </w:rPr>
        <w:t>mmunity:</w:t>
      </w:r>
      <w:bookmarkEnd w:id="8"/>
    </w:p>
    <w:p w14:paraId="14FB6DB8" w14:textId="020A8C4F" w:rsidR="006B4BFF" w:rsidRPr="00DF1F13" w:rsidRDefault="00876D19" w:rsidP="00DF1F13">
      <w:pPr>
        <w:pStyle w:val="Obsah1"/>
        <w:spacing w:before="240" w:after="240"/>
        <w:ind w:left="170" w:right="113"/>
        <w:jc w:val="both"/>
        <w:rPr>
          <w:b w:val="0"/>
          <w:bCs w:val="0"/>
          <w:sz w:val="24"/>
          <w:szCs w:val="24"/>
        </w:rPr>
      </w:pPr>
      <w:r w:rsidRPr="00DF1F13">
        <w:rPr>
          <w:b w:val="0"/>
          <w:bCs w:val="0"/>
          <w:sz w:val="24"/>
          <w:szCs w:val="24"/>
        </w:rPr>
        <w:t>In 2008 the tension between the AU and the ICC started with the</w:t>
      </w:r>
      <w:r w:rsidR="00970B89" w:rsidRPr="00970B89">
        <w:t xml:space="preserve"> </w:t>
      </w:r>
      <w:r w:rsidR="00970B89" w:rsidRPr="00970B89">
        <w:rPr>
          <w:b w:val="0"/>
          <w:bCs w:val="0"/>
          <w:sz w:val="24"/>
          <w:szCs w:val="24"/>
        </w:rPr>
        <w:t>prosecution</w:t>
      </w:r>
      <w:r w:rsidRPr="00DF1F13">
        <w:rPr>
          <w:b w:val="0"/>
          <w:bCs w:val="0"/>
          <w:sz w:val="24"/>
          <w:szCs w:val="24"/>
        </w:rPr>
        <w:t xml:space="preserve"> of Al-Bashir</w:t>
      </w:r>
      <w:r w:rsidR="00970B89">
        <w:rPr>
          <w:b w:val="0"/>
          <w:bCs w:val="0"/>
          <w:sz w:val="24"/>
          <w:szCs w:val="24"/>
        </w:rPr>
        <w:t xml:space="preserve"> the Sudanese head of State</w:t>
      </w:r>
      <w:r w:rsidRPr="00DF1F13">
        <w:rPr>
          <w:b w:val="0"/>
          <w:bCs w:val="0"/>
          <w:sz w:val="24"/>
          <w:szCs w:val="24"/>
        </w:rPr>
        <w:t xml:space="preserve"> and this event was the main reason of the difficult relationship between the AU and the ICC.</w:t>
      </w:r>
      <w:r w:rsidRPr="00DF1F13">
        <w:rPr>
          <w:rStyle w:val="Znakapoznpodarou"/>
          <w:b w:val="0"/>
          <w:bCs w:val="0"/>
          <w:sz w:val="24"/>
          <w:szCs w:val="24"/>
        </w:rPr>
        <w:footnoteReference w:id="3"/>
      </w:r>
    </w:p>
    <w:p w14:paraId="19BCB385" w14:textId="3EB49F8D" w:rsidR="0044447A" w:rsidRPr="00DF1F13" w:rsidRDefault="006B4BFF" w:rsidP="00DF1F13">
      <w:pPr>
        <w:pStyle w:val="Obsah1"/>
        <w:spacing w:before="240" w:after="240"/>
        <w:ind w:left="170" w:right="113"/>
        <w:jc w:val="both"/>
        <w:rPr>
          <w:b w:val="0"/>
          <w:bCs w:val="0"/>
          <w:sz w:val="24"/>
          <w:szCs w:val="24"/>
        </w:rPr>
      </w:pPr>
      <w:r w:rsidRPr="00DF1F13">
        <w:rPr>
          <w:b w:val="0"/>
          <w:bCs w:val="0"/>
          <w:sz w:val="24"/>
          <w:szCs w:val="24"/>
        </w:rPr>
        <w:t xml:space="preserve">The fact that Al-Bashir was a Head of State was the crucial element. </w:t>
      </w:r>
      <w:r w:rsidR="00C83763" w:rsidRPr="00DF1F13">
        <w:rPr>
          <w:b w:val="0"/>
          <w:bCs w:val="0"/>
          <w:sz w:val="24"/>
          <w:szCs w:val="24"/>
        </w:rPr>
        <w:t>So,</w:t>
      </w:r>
      <w:r w:rsidRPr="00DF1F13">
        <w:rPr>
          <w:b w:val="0"/>
          <w:bCs w:val="0"/>
          <w:sz w:val="24"/>
          <w:szCs w:val="24"/>
        </w:rPr>
        <w:t xml:space="preserve"> the main issue is Al-Bashir’s immunity as a head of State, which Al-Bashir explains protects him from ICC jurisdiction.</w:t>
      </w:r>
      <w:r w:rsidR="000A2DB5" w:rsidRPr="00DF1F13">
        <w:rPr>
          <w:b w:val="0"/>
          <w:bCs w:val="0"/>
          <w:sz w:val="24"/>
          <w:szCs w:val="24"/>
        </w:rPr>
        <w:t xml:space="preserve"> </w:t>
      </w:r>
      <w:r w:rsidRPr="00DF1F13">
        <w:rPr>
          <w:b w:val="0"/>
          <w:bCs w:val="0"/>
          <w:sz w:val="24"/>
          <w:szCs w:val="24"/>
        </w:rPr>
        <w:t>The International Criminal Court reply by saying that there is a rule of customary international law that prohibits the application of immunity, and moreover that the Security Council’s Chapter VII actions have removed implicitly Al-Bashir’s immunity in this case.</w:t>
      </w:r>
      <w:r w:rsidR="00F85AC1" w:rsidRPr="00DF1F13">
        <w:rPr>
          <w:rStyle w:val="Znakapoznpodarou"/>
          <w:b w:val="0"/>
          <w:bCs w:val="0"/>
          <w:sz w:val="24"/>
          <w:szCs w:val="24"/>
        </w:rPr>
        <w:footnoteReference w:id="4"/>
      </w:r>
    </w:p>
    <w:p w14:paraId="17B0937D" w14:textId="77777777" w:rsidR="0040446B" w:rsidRPr="00DF1F13" w:rsidRDefault="0044447A" w:rsidP="00DF1F13">
      <w:pPr>
        <w:pStyle w:val="Obsah1"/>
        <w:spacing w:before="240" w:after="240"/>
        <w:ind w:left="170" w:right="113"/>
        <w:jc w:val="both"/>
        <w:rPr>
          <w:b w:val="0"/>
          <w:bCs w:val="0"/>
          <w:sz w:val="24"/>
          <w:szCs w:val="24"/>
        </w:rPr>
      </w:pPr>
      <w:r w:rsidRPr="00DF1F13">
        <w:rPr>
          <w:b w:val="0"/>
          <w:bCs w:val="0"/>
          <w:sz w:val="24"/>
          <w:szCs w:val="24"/>
        </w:rPr>
        <w:t>Therefore, let us review the fundamental rules of head of State immunity by showing, firstly, that head of state immunity is a rule of customary international law and, secondly, by highlighting the different types of immunity.</w:t>
      </w:r>
    </w:p>
    <w:p w14:paraId="219F6DF4" w14:textId="77777777" w:rsidR="0097527E" w:rsidRPr="00DF1F13" w:rsidRDefault="0040446B" w:rsidP="00DF1F13">
      <w:pPr>
        <w:pStyle w:val="Obsah1"/>
        <w:spacing w:before="240" w:after="240"/>
        <w:ind w:left="170" w:right="113"/>
        <w:jc w:val="both"/>
        <w:rPr>
          <w:b w:val="0"/>
          <w:bCs w:val="0"/>
          <w:sz w:val="24"/>
          <w:szCs w:val="24"/>
        </w:rPr>
      </w:pPr>
      <w:r w:rsidRPr="00DF1F13">
        <w:rPr>
          <w:b w:val="0"/>
          <w:bCs w:val="0"/>
          <w:sz w:val="24"/>
          <w:szCs w:val="24"/>
        </w:rPr>
        <w:t>It should be mentioned that no treaty has been signed to explain head of State immunity law, instead, the law has followed the development of international custom.</w:t>
      </w:r>
      <w:r w:rsidRPr="00DF1F13">
        <w:rPr>
          <w:rStyle w:val="Znakapoznpodarou"/>
          <w:b w:val="0"/>
          <w:bCs w:val="0"/>
          <w:sz w:val="24"/>
          <w:szCs w:val="24"/>
        </w:rPr>
        <w:footnoteReference w:id="5"/>
      </w:r>
    </w:p>
    <w:p w14:paraId="0FB17EDA" w14:textId="77777777" w:rsidR="00A15E50" w:rsidRPr="00DF1F13" w:rsidRDefault="0097527E" w:rsidP="00DF1F13">
      <w:pPr>
        <w:pStyle w:val="Obsah1"/>
        <w:spacing w:before="240" w:after="240"/>
        <w:ind w:left="170" w:right="113"/>
        <w:jc w:val="both"/>
        <w:rPr>
          <w:b w:val="0"/>
          <w:bCs w:val="0"/>
          <w:sz w:val="24"/>
          <w:szCs w:val="24"/>
        </w:rPr>
      </w:pPr>
      <w:r w:rsidRPr="00DF1F13">
        <w:rPr>
          <w:b w:val="0"/>
          <w:bCs w:val="0"/>
          <w:sz w:val="24"/>
          <w:szCs w:val="24"/>
        </w:rPr>
        <w:t>International customary law consists of two fundamental elements: objective State practice, and State’s subjective belief that their behavior is obligatory under international law, an element known as opinion juris.</w:t>
      </w:r>
      <w:r w:rsidRPr="00DF1F13">
        <w:rPr>
          <w:rStyle w:val="Znakapoznpodarou"/>
          <w:b w:val="0"/>
          <w:bCs w:val="0"/>
          <w:sz w:val="24"/>
          <w:szCs w:val="24"/>
        </w:rPr>
        <w:footnoteReference w:id="6"/>
      </w:r>
    </w:p>
    <w:p w14:paraId="731F3A5D" w14:textId="62D7B9FA" w:rsidR="000A2DB5" w:rsidRPr="00DF1F13" w:rsidRDefault="00AF12B3" w:rsidP="00DF1F13">
      <w:pPr>
        <w:pStyle w:val="Obsah1"/>
        <w:spacing w:before="240" w:after="240"/>
        <w:ind w:left="170" w:right="113"/>
        <w:jc w:val="both"/>
        <w:rPr>
          <w:b w:val="0"/>
          <w:bCs w:val="0"/>
          <w:sz w:val="24"/>
          <w:szCs w:val="24"/>
        </w:rPr>
      </w:pPr>
      <w:r w:rsidRPr="00DF1F13">
        <w:rPr>
          <w:b w:val="0"/>
          <w:bCs w:val="0"/>
          <w:sz w:val="24"/>
          <w:szCs w:val="24"/>
        </w:rPr>
        <w:lastRenderedPageBreak/>
        <w:t>The rules of sovereign immunity give a legal right to a state to be free from the jurisdiction of the courts of a foreign nation.</w:t>
      </w:r>
      <w:r w:rsidRPr="00DF1F13">
        <w:rPr>
          <w:rStyle w:val="Znakapoznpodarou"/>
          <w:b w:val="0"/>
          <w:bCs w:val="0"/>
          <w:sz w:val="24"/>
          <w:szCs w:val="24"/>
        </w:rPr>
        <w:footnoteReference w:id="7"/>
      </w:r>
      <w:r w:rsidR="000A2DB5" w:rsidRPr="00DF1F13">
        <w:rPr>
          <w:b w:val="0"/>
          <w:bCs w:val="0"/>
          <w:sz w:val="24"/>
          <w:szCs w:val="24"/>
        </w:rPr>
        <w:t xml:space="preserve"> </w:t>
      </w:r>
      <w:r w:rsidR="00721DF8" w:rsidRPr="00DF1F13">
        <w:rPr>
          <w:b w:val="0"/>
          <w:bCs w:val="0"/>
          <w:sz w:val="24"/>
          <w:szCs w:val="24"/>
        </w:rPr>
        <w:t xml:space="preserve">Historically, international law granted a theory of total immunity for sovereign states, under which no </w:t>
      </w:r>
      <w:r w:rsidR="00F92651">
        <w:rPr>
          <w:b w:val="0"/>
          <w:bCs w:val="0"/>
          <w:sz w:val="24"/>
          <w:szCs w:val="24"/>
        </w:rPr>
        <w:t>s</w:t>
      </w:r>
      <w:r w:rsidR="00721DF8" w:rsidRPr="00DF1F13">
        <w:rPr>
          <w:b w:val="0"/>
          <w:bCs w:val="0"/>
          <w:sz w:val="24"/>
          <w:szCs w:val="24"/>
        </w:rPr>
        <w:t>tate could be tried without its consent.</w:t>
      </w:r>
      <w:r w:rsidR="004F39C5" w:rsidRPr="00DF1F13">
        <w:rPr>
          <w:rStyle w:val="Znakapoznpodarou"/>
          <w:b w:val="0"/>
          <w:bCs w:val="0"/>
          <w:sz w:val="24"/>
          <w:szCs w:val="24"/>
        </w:rPr>
        <w:footnoteReference w:id="8"/>
      </w:r>
      <w:r w:rsidR="008B331D" w:rsidRPr="00DF1F13">
        <w:rPr>
          <w:b w:val="0"/>
          <w:bCs w:val="0"/>
          <w:sz w:val="24"/>
          <w:szCs w:val="24"/>
        </w:rPr>
        <w:t>This measure came from the basic principles that all states are independent and equal under international law, and the idea that is submitting a state to the jurisdiction of a foreign court would be incompatible with the idea of sovereign equality.</w:t>
      </w:r>
      <w:r w:rsidR="008B331D" w:rsidRPr="00DF1F13">
        <w:rPr>
          <w:rStyle w:val="Znakapoznpodarou"/>
          <w:b w:val="0"/>
          <w:bCs w:val="0"/>
          <w:sz w:val="24"/>
          <w:szCs w:val="24"/>
        </w:rPr>
        <w:footnoteReference w:id="9"/>
      </w:r>
      <w:r w:rsidR="00B10E8A" w:rsidRPr="00DF1F13">
        <w:rPr>
          <w:b w:val="0"/>
          <w:bCs w:val="0"/>
          <w:sz w:val="24"/>
          <w:szCs w:val="24"/>
        </w:rPr>
        <w:t xml:space="preserve"> </w:t>
      </w:r>
    </w:p>
    <w:p w14:paraId="0892BBF8" w14:textId="0513AFCD" w:rsidR="00DF4E19" w:rsidRPr="00DF1F13" w:rsidRDefault="00B10E8A" w:rsidP="00DF1F13">
      <w:pPr>
        <w:pStyle w:val="Obsah1"/>
        <w:spacing w:before="240" w:after="240"/>
        <w:ind w:left="170" w:right="113"/>
        <w:jc w:val="both"/>
        <w:rPr>
          <w:b w:val="0"/>
          <w:bCs w:val="0"/>
          <w:sz w:val="24"/>
          <w:szCs w:val="24"/>
        </w:rPr>
      </w:pPr>
      <w:r w:rsidRPr="00DF1F13">
        <w:rPr>
          <w:b w:val="0"/>
          <w:bCs w:val="0"/>
          <w:sz w:val="24"/>
          <w:szCs w:val="24"/>
        </w:rPr>
        <w:t xml:space="preserve">Thus, it is generally allowed that state officials are immune </w:t>
      </w:r>
      <w:r w:rsidR="000A2DB5" w:rsidRPr="00DF1F13">
        <w:rPr>
          <w:b w:val="0"/>
          <w:bCs w:val="0"/>
          <w:sz w:val="24"/>
          <w:szCs w:val="24"/>
        </w:rPr>
        <w:t>in certain</w:t>
      </w:r>
      <w:r w:rsidRPr="00DF1F13">
        <w:rPr>
          <w:b w:val="0"/>
          <w:bCs w:val="0"/>
          <w:sz w:val="24"/>
          <w:szCs w:val="24"/>
        </w:rPr>
        <w:t xml:space="preserve"> conditions from the jurisdiction of foreign states.</w:t>
      </w:r>
      <w:r w:rsidRPr="00DF1F13">
        <w:rPr>
          <w:rStyle w:val="Znakapoznpodarou"/>
          <w:b w:val="0"/>
          <w:bCs w:val="0"/>
          <w:sz w:val="24"/>
          <w:szCs w:val="24"/>
        </w:rPr>
        <w:footnoteReference w:id="10"/>
      </w:r>
      <w:r w:rsidR="000A2DB5" w:rsidRPr="00DF1F13">
        <w:rPr>
          <w:b w:val="0"/>
          <w:bCs w:val="0"/>
          <w:sz w:val="24"/>
          <w:szCs w:val="24"/>
        </w:rPr>
        <w:t xml:space="preserve"> </w:t>
      </w:r>
      <w:r w:rsidR="00BC05BC" w:rsidRPr="00DF1F13">
        <w:rPr>
          <w:b w:val="0"/>
          <w:bCs w:val="0"/>
          <w:sz w:val="24"/>
          <w:szCs w:val="24"/>
        </w:rPr>
        <w:t>While some officials enjoy wide immunity by virtue of their status or function (immunity ratione personae), the immunity of others relates only to acts carried out in their official capacity (immunity ratione materiae). This section briefly examines the reasons for granting such immunities, as well as their scope.</w:t>
      </w:r>
      <w:r w:rsidR="00BC05BC" w:rsidRPr="00DF1F13">
        <w:rPr>
          <w:rStyle w:val="Znakapoznpodarou"/>
          <w:b w:val="0"/>
          <w:bCs w:val="0"/>
          <w:sz w:val="24"/>
          <w:szCs w:val="24"/>
        </w:rPr>
        <w:footnoteReference w:id="11"/>
      </w:r>
    </w:p>
    <w:p w14:paraId="40860F4E" w14:textId="58E81D31" w:rsidR="00E373D7" w:rsidRPr="00DF1F13" w:rsidRDefault="0053735B" w:rsidP="00DF1F13">
      <w:pPr>
        <w:pStyle w:val="Nadpis1"/>
        <w:spacing w:after="240"/>
        <w:ind w:left="170" w:right="113"/>
        <w:jc w:val="both"/>
        <w:rPr>
          <w:rFonts w:ascii="Times New Roman" w:hAnsi="Times New Roman" w:cs="Times New Roman"/>
          <w:b/>
          <w:bCs/>
          <w:color w:val="auto"/>
        </w:rPr>
      </w:pPr>
      <w:bookmarkStart w:id="20" w:name="_Toc109340797"/>
      <w:r w:rsidRPr="00DF1F13">
        <w:rPr>
          <w:rFonts w:ascii="Times New Roman" w:hAnsi="Times New Roman" w:cs="Times New Roman"/>
          <w:b/>
          <w:bCs/>
          <w:color w:val="auto"/>
        </w:rPr>
        <w:t xml:space="preserve">2.1 </w:t>
      </w:r>
      <w:r w:rsidR="00DF4E19" w:rsidRPr="00DF1F13">
        <w:rPr>
          <w:rFonts w:ascii="Times New Roman" w:hAnsi="Times New Roman" w:cs="Times New Roman"/>
          <w:b/>
          <w:bCs/>
          <w:color w:val="auto"/>
        </w:rPr>
        <w:t>Immunity Ratione Personae: (Immunity Attaching to an Office or Status)</w:t>
      </w:r>
      <w:bookmarkEnd w:id="20"/>
    </w:p>
    <w:p w14:paraId="0448EA97" w14:textId="77777777" w:rsidR="00EF1433" w:rsidRPr="00DF1F13" w:rsidRDefault="00B76056" w:rsidP="00EF1433">
      <w:pPr>
        <w:pStyle w:val="Obsah1"/>
        <w:spacing w:before="240" w:after="240"/>
        <w:ind w:left="170" w:right="113"/>
        <w:jc w:val="both"/>
        <w:rPr>
          <w:b w:val="0"/>
          <w:bCs w:val="0"/>
          <w:sz w:val="24"/>
          <w:szCs w:val="24"/>
        </w:rPr>
      </w:pPr>
      <w:r w:rsidRPr="00DF1F13">
        <w:rPr>
          <w:b w:val="0"/>
          <w:bCs w:val="0"/>
          <w:sz w:val="24"/>
          <w:szCs w:val="24"/>
        </w:rPr>
        <w:t>The first kind of immunity applicable to some State officials is that of immunities which link to a special function and are only possessed while the official is in office ("personal immunity" or "immunity ratione personae"</w:t>
      </w:r>
      <w:r w:rsidR="00583753" w:rsidRPr="00DF1F13">
        <w:rPr>
          <w:b w:val="0"/>
          <w:bCs w:val="0"/>
          <w:sz w:val="24"/>
          <w:szCs w:val="24"/>
        </w:rPr>
        <w:t>). These</w:t>
      </w:r>
      <w:r w:rsidRPr="00DF1F13">
        <w:rPr>
          <w:b w:val="0"/>
          <w:bCs w:val="0"/>
          <w:sz w:val="24"/>
          <w:szCs w:val="24"/>
        </w:rPr>
        <w:t xml:space="preserve"> immunities are limited to a small group </w:t>
      </w:r>
      <w:r w:rsidR="00EF1433" w:rsidRPr="00DF1F13">
        <w:rPr>
          <w:b w:val="0"/>
          <w:bCs w:val="0"/>
          <w:sz w:val="24"/>
          <w:szCs w:val="24"/>
        </w:rPr>
        <w:t xml:space="preserve">of senior </w:t>
      </w:r>
      <w:r w:rsidR="00EF1433">
        <w:rPr>
          <w:b w:val="0"/>
          <w:bCs w:val="0"/>
          <w:sz w:val="24"/>
          <w:szCs w:val="24"/>
        </w:rPr>
        <w:t>public</w:t>
      </w:r>
      <w:r w:rsidR="00EF1433" w:rsidRPr="00DF1F13">
        <w:rPr>
          <w:b w:val="0"/>
          <w:bCs w:val="0"/>
          <w:sz w:val="24"/>
          <w:szCs w:val="24"/>
        </w:rPr>
        <w:t xml:space="preserve"> </w:t>
      </w:r>
      <w:r w:rsidR="00EF1433">
        <w:rPr>
          <w:b w:val="0"/>
          <w:bCs w:val="0"/>
          <w:sz w:val="24"/>
          <w:szCs w:val="24"/>
        </w:rPr>
        <w:t>agents</w:t>
      </w:r>
      <w:r w:rsidR="00EF1433" w:rsidRPr="00DF1F13">
        <w:rPr>
          <w:b w:val="0"/>
          <w:bCs w:val="0"/>
          <w:sz w:val="24"/>
          <w:szCs w:val="24"/>
        </w:rPr>
        <w:t xml:space="preserve">, </w:t>
      </w:r>
      <w:r w:rsidR="00EF1433" w:rsidRPr="00496CC2">
        <w:rPr>
          <w:b w:val="0"/>
          <w:bCs w:val="0"/>
          <w:sz w:val="24"/>
          <w:szCs w:val="24"/>
        </w:rPr>
        <w:t xml:space="preserve">especially </w:t>
      </w:r>
      <w:r w:rsidR="00EF1433">
        <w:rPr>
          <w:b w:val="0"/>
          <w:bCs w:val="0"/>
          <w:sz w:val="24"/>
          <w:szCs w:val="24"/>
        </w:rPr>
        <w:t>chief</w:t>
      </w:r>
      <w:r w:rsidR="00EF1433" w:rsidRPr="00DF1F13">
        <w:rPr>
          <w:b w:val="0"/>
          <w:bCs w:val="0"/>
          <w:sz w:val="24"/>
          <w:szCs w:val="24"/>
        </w:rPr>
        <w:t xml:space="preserve"> of </w:t>
      </w:r>
      <w:r w:rsidR="00EF1433">
        <w:rPr>
          <w:b w:val="0"/>
          <w:bCs w:val="0"/>
          <w:sz w:val="24"/>
          <w:szCs w:val="24"/>
        </w:rPr>
        <w:t>the country</w:t>
      </w:r>
      <w:r w:rsidR="00EF1433" w:rsidRPr="00DF1F13">
        <w:rPr>
          <w:b w:val="0"/>
          <w:bCs w:val="0"/>
          <w:sz w:val="24"/>
          <w:szCs w:val="24"/>
        </w:rPr>
        <w:t xml:space="preserve">, </w:t>
      </w:r>
      <w:r w:rsidR="00EF1433" w:rsidRPr="00324CF7">
        <w:rPr>
          <w:b w:val="0"/>
          <w:bCs w:val="0"/>
          <w:sz w:val="24"/>
          <w:szCs w:val="24"/>
        </w:rPr>
        <w:t xml:space="preserve">prime minister, </w:t>
      </w:r>
      <w:r w:rsidR="00EF1433" w:rsidRPr="00DF1F13">
        <w:rPr>
          <w:b w:val="0"/>
          <w:bCs w:val="0"/>
          <w:sz w:val="24"/>
          <w:szCs w:val="24"/>
        </w:rPr>
        <w:t>and</w:t>
      </w:r>
      <w:r w:rsidR="00EF1433">
        <w:rPr>
          <w:b w:val="0"/>
          <w:bCs w:val="0"/>
          <w:sz w:val="24"/>
          <w:szCs w:val="24"/>
        </w:rPr>
        <w:t xml:space="preserve"> </w:t>
      </w:r>
      <w:r w:rsidR="00EF1433" w:rsidRPr="00324CF7">
        <w:rPr>
          <w:b w:val="0"/>
          <w:bCs w:val="0"/>
          <w:sz w:val="24"/>
          <w:szCs w:val="24"/>
        </w:rPr>
        <w:t>minister</w:t>
      </w:r>
      <w:r w:rsidR="00EF1433">
        <w:rPr>
          <w:b w:val="0"/>
          <w:bCs w:val="0"/>
          <w:sz w:val="24"/>
          <w:szCs w:val="24"/>
        </w:rPr>
        <w:t xml:space="preserve"> of</w:t>
      </w:r>
      <w:r w:rsidR="00EF1433" w:rsidRPr="00DF1F13">
        <w:rPr>
          <w:b w:val="0"/>
          <w:bCs w:val="0"/>
          <w:sz w:val="24"/>
          <w:szCs w:val="24"/>
        </w:rPr>
        <w:t xml:space="preserve"> foreign</w:t>
      </w:r>
      <w:r w:rsidR="00EF1433">
        <w:rPr>
          <w:b w:val="0"/>
          <w:bCs w:val="0"/>
          <w:sz w:val="24"/>
          <w:szCs w:val="24"/>
        </w:rPr>
        <w:t xml:space="preserve"> affairs</w:t>
      </w:r>
      <w:r w:rsidR="00EF1433" w:rsidRPr="00DF1F13">
        <w:rPr>
          <w:b w:val="0"/>
          <w:bCs w:val="0"/>
          <w:sz w:val="24"/>
          <w:szCs w:val="24"/>
        </w:rPr>
        <w:t>.</w:t>
      </w:r>
      <w:r w:rsidR="00EF1433" w:rsidRPr="00DF1F13">
        <w:rPr>
          <w:rStyle w:val="Znakapoznpodarou"/>
          <w:b w:val="0"/>
          <w:bCs w:val="0"/>
          <w:sz w:val="24"/>
          <w:szCs w:val="24"/>
        </w:rPr>
        <w:footnoteReference w:id="12"/>
      </w:r>
      <w:r w:rsidR="00EF1433" w:rsidRPr="00DF1F13">
        <w:rPr>
          <w:b w:val="0"/>
          <w:bCs w:val="0"/>
          <w:sz w:val="24"/>
          <w:szCs w:val="24"/>
        </w:rPr>
        <w:t xml:space="preserve"> They </w:t>
      </w:r>
      <w:r w:rsidR="00EF1433">
        <w:rPr>
          <w:b w:val="0"/>
          <w:bCs w:val="0"/>
          <w:sz w:val="24"/>
          <w:szCs w:val="24"/>
        </w:rPr>
        <w:t xml:space="preserve">can be used </w:t>
      </w:r>
      <w:r w:rsidR="00EF1433" w:rsidRPr="00DF1F13">
        <w:rPr>
          <w:b w:val="0"/>
          <w:bCs w:val="0"/>
          <w:sz w:val="24"/>
          <w:szCs w:val="24"/>
        </w:rPr>
        <w:t>a</w:t>
      </w:r>
      <w:r w:rsidR="00EF1433">
        <w:rPr>
          <w:b w:val="0"/>
          <w:bCs w:val="0"/>
          <w:sz w:val="24"/>
          <w:szCs w:val="24"/>
        </w:rPr>
        <w:t xml:space="preserve">lso by </w:t>
      </w:r>
      <w:r w:rsidR="00EF1433" w:rsidRPr="00EA7050">
        <w:rPr>
          <w:b w:val="0"/>
          <w:bCs w:val="0"/>
          <w:sz w:val="24"/>
          <w:szCs w:val="24"/>
        </w:rPr>
        <w:t>ambassador</w:t>
      </w:r>
      <w:r w:rsidR="00EF1433">
        <w:rPr>
          <w:b w:val="0"/>
          <w:bCs w:val="0"/>
          <w:sz w:val="24"/>
          <w:szCs w:val="24"/>
        </w:rPr>
        <w:t xml:space="preserve">s </w:t>
      </w:r>
      <w:r w:rsidR="00EF1433" w:rsidRPr="00DF1F13">
        <w:rPr>
          <w:b w:val="0"/>
          <w:bCs w:val="0"/>
          <w:sz w:val="24"/>
          <w:szCs w:val="24"/>
        </w:rPr>
        <w:t>and other</w:t>
      </w:r>
      <w:r w:rsidR="00EF1433">
        <w:rPr>
          <w:b w:val="0"/>
          <w:bCs w:val="0"/>
          <w:sz w:val="24"/>
          <w:szCs w:val="24"/>
        </w:rPr>
        <w:t xml:space="preserve"> public </w:t>
      </w:r>
      <w:r w:rsidR="00EF1433" w:rsidRPr="00EA7050">
        <w:rPr>
          <w:b w:val="0"/>
          <w:bCs w:val="0"/>
          <w:sz w:val="24"/>
          <w:szCs w:val="24"/>
        </w:rPr>
        <w:t xml:space="preserve">representatives </w:t>
      </w:r>
      <w:r w:rsidR="00EF1433">
        <w:rPr>
          <w:b w:val="0"/>
          <w:bCs w:val="0"/>
          <w:sz w:val="24"/>
          <w:szCs w:val="24"/>
        </w:rPr>
        <w:t>in</w:t>
      </w:r>
      <w:r w:rsidR="00EF1433" w:rsidRPr="00DF1F13">
        <w:rPr>
          <w:b w:val="0"/>
          <w:bCs w:val="0"/>
          <w:sz w:val="24"/>
          <w:szCs w:val="24"/>
        </w:rPr>
        <w:t xml:space="preserve"> </w:t>
      </w:r>
      <w:r w:rsidR="00EF1433" w:rsidRPr="00EA7050">
        <w:rPr>
          <w:b w:val="0"/>
          <w:bCs w:val="0"/>
          <w:sz w:val="24"/>
          <w:szCs w:val="24"/>
        </w:rPr>
        <w:t xml:space="preserve">particular </w:t>
      </w:r>
      <w:r w:rsidR="00EF1433" w:rsidRPr="002B42E7">
        <w:rPr>
          <w:b w:val="0"/>
          <w:bCs w:val="0"/>
          <w:sz w:val="24"/>
          <w:szCs w:val="24"/>
        </w:rPr>
        <w:t>task</w:t>
      </w:r>
      <w:r w:rsidR="00EF1433">
        <w:rPr>
          <w:b w:val="0"/>
          <w:bCs w:val="0"/>
          <w:sz w:val="24"/>
          <w:szCs w:val="24"/>
        </w:rPr>
        <w:t xml:space="preserve"> abroad</w:t>
      </w:r>
      <w:r w:rsidR="00EF1433" w:rsidRPr="00DF1F13">
        <w:rPr>
          <w:b w:val="0"/>
          <w:bCs w:val="0"/>
          <w:sz w:val="24"/>
          <w:szCs w:val="24"/>
        </w:rPr>
        <w:t>.</w:t>
      </w:r>
      <w:r w:rsidR="00EF1433" w:rsidRPr="00DF1F13">
        <w:rPr>
          <w:rStyle w:val="Znakapoznpodarou"/>
          <w:b w:val="0"/>
          <w:bCs w:val="0"/>
          <w:sz w:val="24"/>
          <w:szCs w:val="24"/>
        </w:rPr>
        <w:footnoteReference w:id="13"/>
      </w:r>
    </w:p>
    <w:p w14:paraId="7C5C4B63" w14:textId="77777777" w:rsidR="00EF1433" w:rsidRPr="00DF1F13" w:rsidRDefault="00EF1433" w:rsidP="00EF1433">
      <w:pPr>
        <w:pStyle w:val="Obsah1"/>
        <w:spacing w:before="240" w:after="240"/>
        <w:ind w:left="170" w:right="113"/>
        <w:jc w:val="both"/>
        <w:rPr>
          <w:b w:val="0"/>
          <w:bCs w:val="0"/>
          <w:sz w:val="24"/>
          <w:szCs w:val="24"/>
        </w:rPr>
      </w:pPr>
      <w:r>
        <w:rPr>
          <w:b w:val="0"/>
          <w:bCs w:val="0"/>
          <w:sz w:val="24"/>
          <w:szCs w:val="24"/>
        </w:rPr>
        <w:lastRenderedPageBreak/>
        <w:t>Such</w:t>
      </w:r>
      <w:r w:rsidRPr="00DF1F13">
        <w:rPr>
          <w:b w:val="0"/>
          <w:bCs w:val="0"/>
          <w:sz w:val="24"/>
          <w:szCs w:val="24"/>
        </w:rPr>
        <w:t xml:space="preserve"> immunities are</w:t>
      </w:r>
      <w:r>
        <w:rPr>
          <w:b w:val="0"/>
          <w:bCs w:val="0"/>
          <w:sz w:val="24"/>
          <w:szCs w:val="24"/>
        </w:rPr>
        <w:t xml:space="preserve"> </w:t>
      </w:r>
      <w:r w:rsidRPr="00B806AC">
        <w:rPr>
          <w:b w:val="0"/>
          <w:bCs w:val="0"/>
          <w:sz w:val="24"/>
          <w:szCs w:val="24"/>
        </w:rPr>
        <w:t xml:space="preserve">accorded </w:t>
      </w:r>
      <w:r w:rsidRPr="00DF1F13">
        <w:rPr>
          <w:b w:val="0"/>
          <w:bCs w:val="0"/>
          <w:sz w:val="24"/>
          <w:szCs w:val="24"/>
        </w:rPr>
        <w:t>on</w:t>
      </w:r>
      <w:r>
        <w:rPr>
          <w:b w:val="0"/>
          <w:bCs w:val="0"/>
          <w:sz w:val="24"/>
          <w:szCs w:val="24"/>
        </w:rPr>
        <w:t xml:space="preserve"> public agents </w:t>
      </w:r>
      <w:r w:rsidRPr="00F34F86">
        <w:rPr>
          <w:b w:val="0"/>
          <w:bCs w:val="0"/>
          <w:sz w:val="24"/>
          <w:szCs w:val="24"/>
        </w:rPr>
        <w:t>mostly</w:t>
      </w:r>
      <w:r>
        <w:rPr>
          <w:b w:val="0"/>
          <w:bCs w:val="0"/>
          <w:sz w:val="24"/>
          <w:szCs w:val="24"/>
        </w:rPr>
        <w:t xml:space="preserve"> with the aim to perform </w:t>
      </w:r>
      <w:r w:rsidRPr="00DF1F13">
        <w:rPr>
          <w:b w:val="0"/>
          <w:bCs w:val="0"/>
          <w:sz w:val="24"/>
          <w:szCs w:val="24"/>
        </w:rPr>
        <w:t xml:space="preserve"> the </w:t>
      </w:r>
      <w:r>
        <w:rPr>
          <w:b w:val="0"/>
          <w:bCs w:val="0"/>
          <w:sz w:val="24"/>
          <w:szCs w:val="24"/>
        </w:rPr>
        <w:t>country</w:t>
      </w:r>
      <w:r w:rsidRPr="00DF1F13">
        <w:rPr>
          <w:b w:val="0"/>
          <w:bCs w:val="0"/>
          <w:sz w:val="24"/>
          <w:szCs w:val="24"/>
        </w:rPr>
        <w:t xml:space="preserve"> </w:t>
      </w:r>
      <w:r>
        <w:rPr>
          <w:b w:val="0"/>
          <w:bCs w:val="0"/>
          <w:sz w:val="24"/>
          <w:szCs w:val="24"/>
        </w:rPr>
        <w:t xml:space="preserve">external </w:t>
      </w:r>
      <w:r w:rsidRPr="00DF1F13">
        <w:rPr>
          <w:b w:val="0"/>
          <w:bCs w:val="0"/>
          <w:sz w:val="24"/>
          <w:szCs w:val="24"/>
        </w:rPr>
        <w:t>relations</w:t>
      </w:r>
      <w:r>
        <w:rPr>
          <w:b w:val="0"/>
          <w:bCs w:val="0"/>
          <w:sz w:val="24"/>
          <w:szCs w:val="24"/>
        </w:rPr>
        <w:t>hip</w:t>
      </w:r>
      <w:r w:rsidRPr="00DF1F13">
        <w:rPr>
          <w:b w:val="0"/>
          <w:bCs w:val="0"/>
          <w:sz w:val="24"/>
          <w:szCs w:val="24"/>
        </w:rPr>
        <w:t xml:space="preserve"> and</w:t>
      </w:r>
      <w:r>
        <w:rPr>
          <w:b w:val="0"/>
          <w:bCs w:val="0"/>
          <w:sz w:val="24"/>
          <w:szCs w:val="24"/>
        </w:rPr>
        <w:t xml:space="preserve"> rely on </w:t>
      </w:r>
      <w:r w:rsidRPr="00DF1F13">
        <w:rPr>
          <w:b w:val="0"/>
          <w:bCs w:val="0"/>
          <w:sz w:val="24"/>
          <w:szCs w:val="24"/>
        </w:rPr>
        <w:t xml:space="preserve">the </w:t>
      </w:r>
      <w:r w:rsidRPr="00F46EC1">
        <w:rPr>
          <w:b w:val="0"/>
          <w:bCs w:val="0"/>
          <w:sz w:val="24"/>
          <w:szCs w:val="24"/>
        </w:rPr>
        <w:t xml:space="preserve">acknowledgment </w:t>
      </w:r>
      <w:r w:rsidRPr="00DF1F13">
        <w:rPr>
          <w:b w:val="0"/>
          <w:bCs w:val="0"/>
          <w:sz w:val="24"/>
          <w:szCs w:val="24"/>
        </w:rPr>
        <w:t xml:space="preserve">that the </w:t>
      </w:r>
      <w:r w:rsidRPr="009F01A7">
        <w:rPr>
          <w:b w:val="0"/>
          <w:bCs w:val="0"/>
          <w:sz w:val="24"/>
          <w:szCs w:val="24"/>
        </w:rPr>
        <w:t>productive evolution</w:t>
      </w:r>
      <w:r>
        <w:rPr>
          <w:b w:val="0"/>
          <w:bCs w:val="0"/>
          <w:sz w:val="24"/>
          <w:szCs w:val="24"/>
        </w:rPr>
        <w:t xml:space="preserve"> </w:t>
      </w:r>
      <w:r w:rsidRPr="00DF1F13">
        <w:rPr>
          <w:b w:val="0"/>
          <w:bCs w:val="0"/>
          <w:sz w:val="24"/>
          <w:szCs w:val="24"/>
        </w:rPr>
        <w:t xml:space="preserve">of </w:t>
      </w:r>
      <w:r w:rsidRPr="00A47329">
        <w:rPr>
          <w:b w:val="0"/>
          <w:bCs w:val="0"/>
          <w:sz w:val="24"/>
          <w:szCs w:val="24"/>
        </w:rPr>
        <w:t xml:space="preserve">global </w:t>
      </w:r>
      <w:r w:rsidRPr="00DF1F13">
        <w:rPr>
          <w:b w:val="0"/>
          <w:bCs w:val="0"/>
          <w:sz w:val="24"/>
          <w:szCs w:val="24"/>
        </w:rPr>
        <w:t>relations</w:t>
      </w:r>
      <w:r>
        <w:rPr>
          <w:b w:val="0"/>
          <w:bCs w:val="0"/>
          <w:sz w:val="24"/>
          <w:szCs w:val="24"/>
        </w:rPr>
        <w:t>hip</w:t>
      </w:r>
      <w:r w:rsidRPr="00DF1F13">
        <w:rPr>
          <w:b w:val="0"/>
          <w:bCs w:val="0"/>
          <w:sz w:val="24"/>
          <w:szCs w:val="24"/>
        </w:rPr>
        <w:t xml:space="preserve"> and </w:t>
      </w:r>
      <w:r>
        <w:rPr>
          <w:b w:val="0"/>
          <w:bCs w:val="0"/>
          <w:sz w:val="24"/>
          <w:szCs w:val="24"/>
        </w:rPr>
        <w:t>worldwide</w:t>
      </w:r>
      <w:r w:rsidRPr="00DF1F13">
        <w:rPr>
          <w:b w:val="0"/>
          <w:bCs w:val="0"/>
          <w:sz w:val="24"/>
          <w:szCs w:val="24"/>
        </w:rPr>
        <w:t xml:space="preserve"> </w:t>
      </w:r>
      <w:r w:rsidRPr="00A47329">
        <w:rPr>
          <w:b w:val="0"/>
          <w:bCs w:val="0"/>
          <w:sz w:val="24"/>
          <w:szCs w:val="24"/>
        </w:rPr>
        <w:t xml:space="preserve">collaboration </w:t>
      </w:r>
      <w:r w:rsidRPr="009F1F09">
        <w:rPr>
          <w:b w:val="0"/>
          <w:bCs w:val="0"/>
          <w:sz w:val="24"/>
          <w:szCs w:val="24"/>
        </w:rPr>
        <w:t xml:space="preserve">requires </w:t>
      </w:r>
      <w:r w:rsidRPr="00DF1F13">
        <w:rPr>
          <w:b w:val="0"/>
          <w:bCs w:val="0"/>
          <w:sz w:val="24"/>
          <w:szCs w:val="24"/>
        </w:rPr>
        <w:t>a</w:t>
      </w:r>
      <w:r>
        <w:rPr>
          <w:b w:val="0"/>
          <w:bCs w:val="0"/>
          <w:sz w:val="24"/>
          <w:szCs w:val="24"/>
        </w:rPr>
        <w:t xml:space="preserve">n effective </w:t>
      </w:r>
      <w:r w:rsidRPr="009F1F09">
        <w:rPr>
          <w:b w:val="0"/>
          <w:bCs w:val="0"/>
          <w:sz w:val="24"/>
          <w:szCs w:val="24"/>
        </w:rPr>
        <w:t xml:space="preserve">procedure </w:t>
      </w:r>
      <w:r w:rsidRPr="00DF1F13">
        <w:rPr>
          <w:b w:val="0"/>
          <w:bCs w:val="0"/>
          <w:sz w:val="24"/>
          <w:szCs w:val="24"/>
        </w:rPr>
        <w:t xml:space="preserve">of </w:t>
      </w:r>
      <w:r w:rsidRPr="00CE1398">
        <w:rPr>
          <w:b w:val="0"/>
          <w:bCs w:val="0"/>
          <w:sz w:val="24"/>
          <w:szCs w:val="24"/>
        </w:rPr>
        <w:t xml:space="preserve">discussion </w:t>
      </w:r>
      <w:r w:rsidRPr="00DF1F13">
        <w:rPr>
          <w:b w:val="0"/>
          <w:bCs w:val="0"/>
          <w:sz w:val="24"/>
          <w:szCs w:val="24"/>
        </w:rPr>
        <w:t xml:space="preserve">between </w:t>
      </w:r>
      <w:r>
        <w:rPr>
          <w:b w:val="0"/>
          <w:bCs w:val="0"/>
          <w:sz w:val="24"/>
          <w:szCs w:val="24"/>
        </w:rPr>
        <w:t>different countries</w:t>
      </w:r>
      <w:r w:rsidRPr="00DF1F13">
        <w:rPr>
          <w:b w:val="0"/>
          <w:bCs w:val="0"/>
          <w:sz w:val="24"/>
          <w:szCs w:val="24"/>
        </w:rPr>
        <w:t>.</w:t>
      </w:r>
      <w:r w:rsidRPr="00DF1F13">
        <w:rPr>
          <w:rStyle w:val="Znakapoznpodarou"/>
          <w:b w:val="0"/>
          <w:bCs w:val="0"/>
          <w:sz w:val="24"/>
          <w:szCs w:val="24"/>
        </w:rPr>
        <w:footnoteReference w:id="14"/>
      </w:r>
      <w:r>
        <w:rPr>
          <w:b w:val="0"/>
          <w:bCs w:val="0"/>
          <w:sz w:val="24"/>
          <w:szCs w:val="24"/>
        </w:rPr>
        <w:t xml:space="preserve"> </w:t>
      </w:r>
      <w:r w:rsidRPr="00DF1F13">
        <w:rPr>
          <w:b w:val="0"/>
          <w:bCs w:val="0"/>
          <w:sz w:val="24"/>
          <w:szCs w:val="24"/>
        </w:rPr>
        <w:t xml:space="preserve">The </w:t>
      </w:r>
      <w:r w:rsidRPr="00676ED2">
        <w:rPr>
          <w:b w:val="0"/>
          <w:bCs w:val="0"/>
          <w:sz w:val="24"/>
          <w:szCs w:val="24"/>
        </w:rPr>
        <w:t xml:space="preserve">efficiency </w:t>
      </w:r>
      <w:r w:rsidRPr="00DF1F13">
        <w:rPr>
          <w:b w:val="0"/>
          <w:bCs w:val="0"/>
          <w:sz w:val="24"/>
          <w:szCs w:val="24"/>
        </w:rPr>
        <w:t xml:space="preserve">of this </w:t>
      </w:r>
      <w:r w:rsidRPr="0046278D">
        <w:rPr>
          <w:b w:val="0"/>
          <w:bCs w:val="0"/>
          <w:sz w:val="24"/>
          <w:szCs w:val="24"/>
        </w:rPr>
        <w:t xml:space="preserve">process </w:t>
      </w:r>
      <w:r w:rsidRPr="00DF1F13">
        <w:rPr>
          <w:b w:val="0"/>
          <w:bCs w:val="0"/>
          <w:sz w:val="24"/>
          <w:szCs w:val="24"/>
        </w:rPr>
        <w:t>of</w:t>
      </w:r>
      <w:r>
        <w:rPr>
          <w:b w:val="0"/>
          <w:bCs w:val="0"/>
          <w:sz w:val="24"/>
          <w:szCs w:val="24"/>
        </w:rPr>
        <w:t xml:space="preserve"> discussion</w:t>
      </w:r>
      <w:r w:rsidRPr="00DF1F13">
        <w:rPr>
          <w:b w:val="0"/>
          <w:bCs w:val="0"/>
          <w:sz w:val="24"/>
          <w:szCs w:val="24"/>
        </w:rPr>
        <w:t xml:space="preserve"> and </w:t>
      </w:r>
      <w:r>
        <w:rPr>
          <w:b w:val="0"/>
          <w:bCs w:val="0"/>
          <w:sz w:val="24"/>
          <w:szCs w:val="24"/>
        </w:rPr>
        <w:t>collaboration also requires</w:t>
      </w:r>
      <w:r w:rsidRPr="00DF1F13">
        <w:rPr>
          <w:b w:val="0"/>
          <w:bCs w:val="0"/>
          <w:sz w:val="24"/>
          <w:szCs w:val="24"/>
        </w:rPr>
        <w:t xml:space="preserve"> that </w:t>
      </w:r>
      <w:r>
        <w:rPr>
          <w:b w:val="0"/>
          <w:bCs w:val="0"/>
          <w:sz w:val="24"/>
          <w:szCs w:val="24"/>
        </w:rPr>
        <w:t>public agents</w:t>
      </w:r>
      <w:r w:rsidRPr="00DF1F13">
        <w:rPr>
          <w:b w:val="0"/>
          <w:bCs w:val="0"/>
          <w:sz w:val="24"/>
          <w:szCs w:val="24"/>
        </w:rPr>
        <w:t xml:space="preserve"> in </w:t>
      </w:r>
      <w:r>
        <w:rPr>
          <w:b w:val="0"/>
          <w:bCs w:val="0"/>
          <w:sz w:val="24"/>
          <w:szCs w:val="24"/>
        </w:rPr>
        <w:t xml:space="preserve">the fulfillment of their duties regarding external </w:t>
      </w:r>
      <w:r w:rsidRPr="00DF1F13">
        <w:rPr>
          <w:b w:val="0"/>
          <w:bCs w:val="0"/>
          <w:sz w:val="24"/>
          <w:szCs w:val="24"/>
        </w:rPr>
        <w:t>relations</w:t>
      </w:r>
      <w:r>
        <w:rPr>
          <w:b w:val="0"/>
          <w:bCs w:val="0"/>
          <w:sz w:val="24"/>
          <w:szCs w:val="24"/>
        </w:rPr>
        <w:t>hip</w:t>
      </w:r>
      <w:r w:rsidRPr="00DF1F13">
        <w:rPr>
          <w:b w:val="0"/>
          <w:bCs w:val="0"/>
          <w:sz w:val="24"/>
          <w:szCs w:val="24"/>
        </w:rPr>
        <w:t xml:space="preserve"> </w:t>
      </w:r>
      <w:r>
        <w:rPr>
          <w:b w:val="0"/>
          <w:bCs w:val="0"/>
          <w:sz w:val="24"/>
          <w:szCs w:val="24"/>
        </w:rPr>
        <w:t xml:space="preserve">should </w:t>
      </w:r>
      <w:r w:rsidRPr="00DF1F13">
        <w:rPr>
          <w:b w:val="0"/>
          <w:bCs w:val="0"/>
          <w:sz w:val="24"/>
          <w:szCs w:val="24"/>
        </w:rPr>
        <w:t xml:space="preserve">be </w:t>
      </w:r>
      <w:r>
        <w:rPr>
          <w:b w:val="0"/>
          <w:bCs w:val="0"/>
          <w:sz w:val="24"/>
          <w:szCs w:val="24"/>
        </w:rPr>
        <w:t>c</w:t>
      </w:r>
      <w:r w:rsidRPr="00DF1F13">
        <w:rPr>
          <w:b w:val="0"/>
          <w:bCs w:val="0"/>
          <w:sz w:val="24"/>
          <w:szCs w:val="24"/>
        </w:rPr>
        <w:t>a</w:t>
      </w:r>
      <w:r>
        <w:rPr>
          <w:b w:val="0"/>
          <w:bCs w:val="0"/>
          <w:sz w:val="24"/>
          <w:szCs w:val="24"/>
        </w:rPr>
        <w:t>pa</w:t>
      </w:r>
      <w:r w:rsidRPr="00DF1F13">
        <w:rPr>
          <w:b w:val="0"/>
          <w:bCs w:val="0"/>
          <w:sz w:val="24"/>
          <w:szCs w:val="24"/>
        </w:rPr>
        <w:t xml:space="preserve">ble to </w:t>
      </w:r>
      <w:r w:rsidRPr="004930B2">
        <w:rPr>
          <w:b w:val="0"/>
          <w:bCs w:val="0"/>
          <w:sz w:val="24"/>
          <w:szCs w:val="24"/>
        </w:rPr>
        <w:t>move</w:t>
      </w:r>
      <w:r>
        <w:rPr>
          <w:b w:val="0"/>
          <w:bCs w:val="0"/>
          <w:sz w:val="24"/>
          <w:szCs w:val="24"/>
        </w:rPr>
        <w:t xml:space="preserve"> </w:t>
      </w:r>
      <w:r w:rsidRPr="004930B2">
        <w:rPr>
          <w:b w:val="0"/>
          <w:bCs w:val="0"/>
          <w:sz w:val="24"/>
          <w:szCs w:val="24"/>
        </w:rPr>
        <w:t>effectively</w:t>
      </w:r>
      <w:r w:rsidRPr="00DF1F13">
        <w:rPr>
          <w:b w:val="0"/>
          <w:bCs w:val="0"/>
          <w:sz w:val="24"/>
          <w:szCs w:val="24"/>
        </w:rPr>
        <w:t xml:space="preserve">, to </w:t>
      </w:r>
      <w:r>
        <w:rPr>
          <w:b w:val="0"/>
          <w:bCs w:val="0"/>
          <w:sz w:val="24"/>
          <w:szCs w:val="24"/>
        </w:rPr>
        <w:t>perform</w:t>
      </w:r>
      <w:r w:rsidRPr="00DF1F13">
        <w:rPr>
          <w:b w:val="0"/>
          <w:bCs w:val="0"/>
          <w:sz w:val="24"/>
          <w:szCs w:val="24"/>
        </w:rPr>
        <w:t xml:space="preserve"> their </w:t>
      </w:r>
      <w:r w:rsidRPr="004930B2">
        <w:rPr>
          <w:b w:val="0"/>
          <w:bCs w:val="0"/>
          <w:sz w:val="24"/>
          <w:szCs w:val="24"/>
        </w:rPr>
        <w:t xml:space="preserve">tasks </w:t>
      </w:r>
      <w:r w:rsidRPr="00DF1F13">
        <w:rPr>
          <w:b w:val="0"/>
          <w:bCs w:val="0"/>
          <w:sz w:val="24"/>
          <w:szCs w:val="24"/>
        </w:rPr>
        <w:t xml:space="preserve">without </w:t>
      </w:r>
      <w:r>
        <w:rPr>
          <w:b w:val="0"/>
          <w:bCs w:val="0"/>
          <w:sz w:val="24"/>
          <w:szCs w:val="24"/>
        </w:rPr>
        <w:t xml:space="preserve">any </w:t>
      </w:r>
      <w:r w:rsidRPr="006E30D0">
        <w:rPr>
          <w:b w:val="0"/>
          <w:bCs w:val="0"/>
          <w:sz w:val="24"/>
          <w:szCs w:val="24"/>
        </w:rPr>
        <w:t>threat</w:t>
      </w:r>
      <w:r>
        <w:rPr>
          <w:b w:val="0"/>
          <w:bCs w:val="0"/>
          <w:sz w:val="24"/>
          <w:szCs w:val="24"/>
        </w:rPr>
        <w:t xml:space="preserve"> </w:t>
      </w:r>
      <w:r w:rsidRPr="00DF1F13">
        <w:rPr>
          <w:b w:val="0"/>
          <w:bCs w:val="0"/>
          <w:sz w:val="24"/>
          <w:szCs w:val="24"/>
        </w:rPr>
        <w:t xml:space="preserve">or </w:t>
      </w:r>
      <w:r w:rsidRPr="006E30D0">
        <w:rPr>
          <w:b w:val="0"/>
          <w:bCs w:val="0"/>
          <w:sz w:val="24"/>
          <w:szCs w:val="24"/>
        </w:rPr>
        <w:t xml:space="preserve">chance </w:t>
      </w:r>
      <w:r w:rsidRPr="00DF1F13">
        <w:rPr>
          <w:b w:val="0"/>
          <w:bCs w:val="0"/>
          <w:sz w:val="24"/>
          <w:szCs w:val="24"/>
        </w:rPr>
        <w:t xml:space="preserve">of </w:t>
      </w:r>
      <w:r w:rsidRPr="00D37E52">
        <w:rPr>
          <w:b w:val="0"/>
          <w:bCs w:val="0"/>
          <w:sz w:val="24"/>
          <w:szCs w:val="24"/>
        </w:rPr>
        <w:t xml:space="preserve">intimidation </w:t>
      </w:r>
      <w:r w:rsidRPr="00DF1F13">
        <w:rPr>
          <w:b w:val="0"/>
          <w:bCs w:val="0"/>
          <w:sz w:val="24"/>
          <w:szCs w:val="24"/>
        </w:rPr>
        <w:t xml:space="preserve">by </w:t>
      </w:r>
      <w:r>
        <w:rPr>
          <w:b w:val="0"/>
          <w:bCs w:val="0"/>
          <w:sz w:val="24"/>
          <w:szCs w:val="24"/>
        </w:rPr>
        <w:t>different countries</w:t>
      </w:r>
      <w:r w:rsidRPr="00DF1F13">
        <w:rPr>
          <w:b w:val="0"/>
          <w:bCs w:val="0"/>
          <w:sz w:val="24"/>
          <w:szCs w:val="24"/>
        </w:rPr>
        <w:t>.</w:t>
      </w:r>
      <w:r w:rsidRPr="00DF1F13">
        <w:rPr>
          <w:rStyle w:val="Znakapoznpodarou"/>
          <w:b w:val="0"/>
          <w:bCs w:val="0"/>
          <w:sz w:val="24"/>
          <w:szCs w:val="24"/>
        </w:rPr>
        <w:footnoteReference w:id="15"/>
      </w:r>
      <w:r w:rsidRPr="00DF1F13">
        <w:rPr>
          <w:b w:val="0"/>
          <w:bCs w:val="0"/>
          <w:sz w:val="24"/>
          <w:szCs w:val="24"/>
        </w:rPr>
        <w:t xml:space="preserve"> </w:t>
      </w:r>
    </w:p>
    <w:p w14:paraId="0E679A2E" w14:textId="77777777" w:rsidR="00EF1433" w:rsidRDefault="00EF1433" w:rsidP="00EF1433">
      <w:pPr>
        <w:pStyle w:val="Obsah1"/>
        <w:spacing w:before="240" w:after="240"/>
        <w:ind w:left="170" w:right="113"/>
        <w:jc w:val="both"/>
        <w:rPr>
          <w:b w:val="0"/>
          <w:bCs w:val="0"/>
          <w:sz w:val="24"/>
          <w:szCs w:val="24"/>
        </w:rPr>
      </w:pPr>
      <w:r>
        <w:rPr>
          <w:b w:val="0"/>
          <w:bCs w:val="0"/>
          <w:sz w:val="24"/>
          <w:szCs w:val="24"/>
        </w:rPr>
        <w:t>Thus</w:t>
      </w:r>
      <w:r w:rsidRPr="00DF1F13">
        <w:rPr>
          <w:b w:val="0"/>
          <w:bCs w:val="0"/>
          <w:sz w:val="24"/>
          <w:szCs w:val="24"/>
        </w:rPr>
        <w:t>,</w:t>
      </w:r>
      <w:r>
        <w:rPr>
          <w:b w:val="0"/>
          <w:bCs w:val="0"/>
          <w:sz w:val="24"/>
          <w:szCs w:val="24"/>
        </w:rPr>
        <w:t xml:space="preserve"> such</w:t>
      </w:r>
      <w:r w:rsidRPr="00DF1F13">
        <w:rPr>
          <w:b w:val="0"/>
          <w:bCs w:val="0"/>
          <w:sz w:val="24"/>
          <w:szCs w:val="24"/>
        </w:rPr>
        <w:t xml:space="preserve"> immunities are </w:t>
      </w:r>
      <w:r w:rsidRPr="003A6251">
        <w:rPr>
          <w:b w:val="0"/>
          <w:bCs w:val="0"/>
          <w:sz w:val="24"/>
          <w:szCs w:val="24"/>
        </w:rPr>
        <w:t xml:space="preserve">essential </w:t>
      </w:r>
      <w:r>
        <w:rPr>
          <w:b w:val="0"/>
          <w:bCs w:val="0"/>
          <w:sz w:val="24"/>
          <w:szCs w:val="24"/>
        </w:rPr>
        <w:t xml:space="preserve">to keep </w:t>
      </w:r>
      <w:r w:rsidRPr="00DF1F13">
        <w:rPr>
          <w:b w:val="0"/>
          <w:bCs w:val="0"/>
          <w:sz w:val="24"/>
          <w:szCs w:val="24"/>
        </w:rPr>
        <w:t xml:space="preserve">a </w:t>
      </w:r>
      <w:r w:rsidRPr="002C36B2">
        <w:rPr>
          <w:b w:val="0"/>
          <w:bCs w:val="0"/>
          <w:sz w:val="24"/>
          <w:szCs w:val="24"/>
        </w:rPr>
        <w:t>framework</w:t>
      </w:r>
      <w:r>
        <w:rPr>
          <w:b w:val="0"/>
          <w:bCs w:val="0"/>
          <w:sz w:val="24"/>
          <w:szCs w:val="24"/>
        </w:rPr>
        <w:t xml:space="preserve"> </w:t>
      </w:r>
      <w:r w:rsidRPr="00DF1F13">
        <w:rPr>
          <w:b w:val="0"/>
          <w:bCs w:val="0"/>
          <w:sz w:val="24"/>
          <w:szCs w:val="24"/>
        </w:rPr>
        <w:t xml:space="preserve">of </w:t>
      </w:r>
      <w:r w:rsidRPr="002C36B2">
        <w:rPr>
          <w:b w:val="0"/>
          <w:bCs w:val="0"/>
          <w:sz w:val="24"/>
          <w:szCs w:val="24"/>
        </w:rPr>
        <w:t>friendly</w:t>
      </w:r>
      <w:r>
        <w:rPr>
          <w:b w:val="0"/>
          <w:bCs w:val="0"/>
          <w:sz w:val="24"/>
          <w:szCs w:val="24"/>
        </w:rPr>
        <w:t xml:space="preserve"> </w:t>
      </w:r>
      <w:r w:rsidRPr="00DF1F13">
        <w:rPr>
          <w:b w:val="0"/>
          <w:bCs w:val="0"/>
          <w:sz w:val="24"/>
          <w:szCs w:val="24"/>
        </w:rPr>
        <w:t>co</w:t>
      </w:r>
      <w:r>
        <w:rPr>
          <w:b w:val="0"/>
          <w:bCs w:val="0"/>
          <w:sz w:val="24"/>
          <w:szCs w:val="24"/>
        </w:rPr>
        <w:t>llaboration</w:t>
      </w:r>
      <w:r w:rsidRPr="00DF1F13">
        <w:rPr>
          <w:b w:val="0"/>
          <w:bCs w:val="0"/>
          <w:sz w:val="24"/>
          <w:szCs w:val="24"/>
        </w:rPr>
        <w:t xml:space="preserve"> and</w:t>
      </w:r>
      <w:r>
        <w:rPr>
          <w:b w:val="0"/>
          <w:bCs w:val="0"/>
          <w:sz w:val="24"/>
          <w:szCs w:val="24"/>
        </w:rPr>
        <w:t xml:space="preserve"> a </w:t>
      </w:r>
      <w:r w:rsidRPr="005547CB">
        <w:rPr>
          <w:b w:val="0"/>
          <w:bCs w:val="0"/>
          <w:sz w:val="24"/>
          <w:szCs w:val="24"/>
        </w:rPr>
        <w:t>harmonious</w:t>
      </w:r>
      <w:r>
        <w:rPr>
          <w:b w:val="0"/>
          <w:bCs w:val="0"/>
          <w:sz w:val="24"/>
          <w:szCs w:val="24"/>
        </w:rPr>
        <w:t xml:space="preserve"> living together between different </w:t>
      </w:r>
      <w:r w:rsidRPr="00DF1F13">
        <w:rPr>
          <w:b w:val="0"/>
          <w:bCs w:val="0"/>
          <w:sz w:val="24"/>
          <w:szCs w:val="24"/>
        </w:rPr>
        <w:t>States.</w:t>
      </w:r>
      <w:r w:rsidRPr="00DF1F13">
        <w:rPr>
          <w:rStyle w:val="Znakapoznpodarou"/>
          <w:b w:val="0"/>
          <w:bCs w:val="0"/>
          <w:sz w:val="24"/>
          <w:szCs w:val="24"/>
        </w:rPr>
        <w:footnoteReference w:id="16"/>
      </w:r>
      <w:r w:rsidRPr="00DF1F13">
        <w:rPr>
          <w:b w:val="0"/>
          <w:bCs w:val="0"/>
          <w:sz w:val="24"/>
          <w:szCs w:val="24"/>
        </w:rPr>
        <w:t xml:space="preserve"> </w:t>
      </w:r>
      <w:r>
        <w:rPr>
          <w:b w:val="0"/>
          <w:bCs w:val="0"/>
          <w:sz w:val="24"/>
          <w:szCs w:val="24"/>
        </w:rPr>
        <w:t>Like</w:t>
      </w:r>
      <w:r w:rsidRPr="00DF1F13">
        <w:rPr>
          <w:b w:val="0"/>
          <w:bCs w:val="0"/>
          <w:sz w:val="24"/>
          <w:szCs w:val="24"/>
        </w:rPr>
        <w:t xml:space="preserve"> the</w:t>
      </w:r>
      <w:r>
        <w:rPr>
          <w:b w:val="0"/>
          <w:bCs w:val="0"/>
          <w:sz w:val="24"/>
          <w:szCs w:val="24"/>
        </w:rPr>
        <w:t xml:space="preserve"> International Court of Justice </w:t>
      </w:r>
      <w:r w:rsidRPr="00DF1F13">
        <w:rPr>
          <w:b w:val="0"/>
          <w:bCs w:val="0"/>
          <w:sz w:val="24"/>
          <w:szCs w:val="24"/>
        </w:rPr>
        <w:t>has</w:t>
      </w:r>
      <w:r>
        <w:rPr>
          <w:b w:val="0"/>
          <w:bCs w:val="0"/>
          <w:sz w:val="24"/>
          <w:szCs w:val="24"/>
        </w:rPr>
        <w:t xml:space="preserve"> well mentioned</w:t>
      </w:r>
      <w:r w:rsidRPr="00DF1F13">
        <w:rPr>
          <w:b w:val="0"/>
          <w:bCs w:val="0"/>
          <w:sz w:val="24"/>
          <w:szCs w:val="24"/>
        </w:rPr>
        <w:t>, there is "no more fundamental prerequisite for the conduct of relations between States . .. than the inviolability of diplomatic envoys and embassies."</w:t>
      </w:r>
      <w:r w:rsidRPr="00DF1F13">
        <w:rPr>
          <w:rStyle w:val="Znakapoznpodarou"/>
          <w:b w:val="0"/>
          <w:bCs w:val="0"/>
          <w:sz w:val="24"/>
          <w:szCs w:val="24"/>
        </w:rPr>
        <w:footnoteReference w:id="17"/>
      </w:r>
    </w:p>
    <w:p w14:paraId="04B9BD10" w14:textId="3B539243" w:rsidR="00A271B9" w:rsidRPr="00DF1F13" w:rsidRDefault="00EF1433" w:rsidP="00EF1433">
      <w:pPr>
        <w:pStyle w:val="Obsah1"/>
        <w:spacing w:before="240" w:after="240"/>
        <w:ind w:left="170" w:right="113"/>
        <w:jc w:val="both"/>
        <w:rPr>
          <w:b w:val="0"/>
          <w:bCs w:val="0"/>
          <w:sz w:val="24"/>
          <w:szCs w:val="24"/>
        </w:rPr>
      </w:pPr>
      <w:r>
        <w:rPr>
          <w:b w:val="0"/>
          <w:bCs w:val="0"/>
          <w:sz w:val="24"/>
          <w:szCs w:val="24"/>
        </w:rPr>
        <w:t>As</w:t>
      </w:r>
      <w:r w:rsidRPr="00DF1F13">
        <w:rPr>
          <w:b w:val="0"/>
          <w:bCs w:val="0"/>
          <w:sz w:val="24"/>
          <w:szCs w:val="24"/>
        </w:rPr>
        <w:t xml:space="preserve"> </w:t>
      </w:r>
      <w:r>
        <w:rPr>
          <w:b w:val="0"/>
          <w:bCs w:val="0"/>
          <w:sz w:val="24"/>
          <w:szCs w:val="24"/>
        </w:rPr>
        <w:t>chiefs</w:t>
      </w:r>
      <w:r w:rsidRPr="00DF1F13">
        <w:rPr>
          <w:b w:val="0"/>
          <w:bCs w:val="0"/>
          <w:sz w:val="24"/>
          <w:szCs w:val="24"/>
        </w:rPr>
        <w:t xml:space="preserve"> of States, diplomats and other officials are granted immunity ratione personae, they will be prevented in the fulfillment of their duties if arrested and detained in a foreign state, such officials are totally immune from criminal jurisdiction of the foreign state. In the Arrest Warrant case, the I</w:t>
      </w:r>
      <w:r>
        <w:rPr>
          <w:b w:val="0"/>
          <w:bCs w:val="0"/>
          <w:sz w:val="24"/>
          <w:szCs w:val="24"/>
        </w:rPr>
        <w:t xml:space="preserve">nternational </w:t>
      </w:r>
      <w:r w:rsidRPr="00DF1F13">
        <w:rPr>
          <w:b w:val="0"/>
          <w:bCs w:val="0"/>
          <w:sz w:val="24"/>
          <w:szCs w:val="24"/>
        </w:rPr>
        <w:t>C</w:t>
      </w:r>
      <w:r>
        <w:rPr>
          <w:b w:val="0"/>
          <w:bCs w:val="0"/>
          <w:sz w:val="24"/>
          <w:szCs w:val="24"/>
        </w:rPr>
        <w:t xml:space="preserve">ourt of </w:t>
      </w:r>
      <w:r w:rsidRPr="00DF1F13">
        <w:rPr>
          <w:b w:val="0"/>
          <w:bCs w:val="0"/>
          <w:sz w:val="24"/>
          <w:szCs w:val="24"/>
        </w:rPr>
        <w:t>J</w:t>
      </w:r>
      <w:r>
        <w:rPr>
          <w:b w:val="0"/>
          <w:bCs w:val="0"/>
          <w:sz w:val="24"/>
          <w:szCs w:val="24"/>
        </w:rPr>
        <w:t>ustice</w:t>
      </w:r>
      <w:r w:rsidRPr="00DF1F13">
        <w:rPr>
          <w:b w:val="0"/>
          <w:bCs w:val="0"/>
          <w:sz w:val="24"/>
          <w:szCs w:val="24"/>
        </w:rPr>
        <w:t xml:space="preserve"> </w:t>
      </w:r>
      <w:r w:rsidRPr="001F1493">
        <w:rPr>
          <w:b w:val="0"/>
          <w:bCs w:val="0"/>
          <w:sz w:val="24"/>
          <w:szCs w:val="24"/>
        </w:rPr>
        <w:t xml:space="preserve">declared </w:t>
      </w:r>
      <w:r w:rsidRPr="00DF1F13">
        <w:rPr>
          <w:b w:val="0"/>
          <w:bCs w:val="0"/>
          <w:sz w:val="24"/>
          <w:szCs w:val="24"/>
        </w:rPr>
        <w:t>that this</w:t>
      </w:r>
      <w:r>
        <w:rPr>
          <w:b w:val="0"/>
          <w:bCs w:val="0"/>
          <w:sz w:val="24"/>
          <w:szCs w:val="24"/>
        </w:rPr>
        <w:t xml:space="preserve"> kind</w:t>
      </w:r>
      <w:r w:rsidRPr="00DF1F13">
        <w:rPr>
          <w:b w:val="0"/>
          <w:bCs w:val="0"/>
          <w:sz w:val="24"/>
          <w:szCs w:val="24"/>
        </w:rPr>
        <w:t xml:space="preserve"> of immunity</w:t>
      </w:r>
      <w:r>
        <w:rPr>
          <w:b w:val="0"/>
          <w:bCs w:val="0"/>
          <w:sz w:val="24"/>
          <w:szCs w:val="24"/>
        </w:rPr>
        <w:t xml:space="preserve"> can be used</w:t>
      </w:r>
      <w:r w:rsidRPr="00DF1F13">
        <w:rPr>
          <w:b w:val="0"/>
          <w:bCs w:val="0"/>
          <w:sz w:val="24"/>
          <w:szCs w:val="24"/>
        </w:rPr>
        <w:t xml:space="preserve"> </w:t>
      </w:r>
      <w:r>
        <w:rPr>
          <w:b w:val="0"/>
          <w:bCs w:val="0"/>
          <w:sz w:val="24"/>
          <w:szCs w:val="24"/>
        </w:rPr>
        <w:t xml:space="preserve">with regards </w:t>
      </w:r>
      <w:r w:rsidRPr="00DF1F13">
        <w:rPr>
          <w:b w:val="0"/>
          <w:bCs w:val="0"/>
          <w:sz w:val="24"/>
          <w:szCs w:val="24"/>
        </w:rPr>
        <w:t>to the</w:t>
      </w:r>
      <w:r>
        <w:rPr>
          <w:b w:val="0"/>
          <w:bCs w:val="0"/>
          <w:sz w:val="24"/>
          <w:szCs w:val="24"/>
        </w:rPr>
        <w:t xml:space="preserve"> </w:t>
      </w:r>
      <w:r w:rsidRPr="00DF1F13">
        <w:rPr>
          <w:b w:val="0"/>
          <w:bCs w:val="0"/>
          <w:sz w:val="24"/>
          <w:szCs w:val="24"/>
        </w:rPr>
        <w:t>acts</w:t>
      </w:r>
      <w:r>
        <w:rPr>
          <w:b w:val="0"/>
          <w:bCs w:val="0"/>
          <w:sz w:val="24"/>
          <w:szCs w:val="24"/>
        </w:rPr>
        <w:t xml:space="preserve"> achieved in public capacity</w:t>
      </w:r>
      <w:r w:rsidRPr="00DF1F13">
        <w:rPr>
          <w:b w:val="0"/>
          <w:bCs w:val="0"/>
          <w:sz w:val="24"/>
          <w:szCs w:val="24"/>
        </w:rPr>
        <w:t xml:space="preserve"> of this limited group of senior officials, but also in relation to private acts.</w:t>
      </w:r>
      <w:r w:rsidRPr="00DF1F13">
        <w:rPr>
          <w:rStyle w:val="Znakapoznpodarou"/>
          <w:b w:val="0"/>
          <w:bCs w:val="0"/>
          <w:sz w:val="24"/>
          <w:szCs w:val="24"/>
        </w:rPr>
        <w:footnoteReference w:id="18"/>
      </w:r>
      <w:r w:rsidRPr="00DF1F13">
        <w:rPr>
          <w:b w:val="0"/>
          <w:bCs w:val="0"/>
          <w:sz w:val="24"/>
          <w:szCs w:val="24"/>
        </w:rPr>
        <w:t xml:space="preserve"> </w:t>
      </w:r>
      <w:r w:rsidR="00A91A43" w:rsidRPr="00DF1F13">
        <w:rPr>
          <w:b w:val="0"/>
          <w:bCs w:val="0"/>
          <w:sz w:val="24"/>
          <w:szCs w:val="24"/>
        </w:rPr>
        <w:t>With the same purpose, immunity applies whether the act in question was carried out while the official was in office or before taking up his duties.</w:t>
      </w:r>
      <w:r w:rsidR="00A91A43" w:rsidRPr="00DF1F13">
        <w:rPr>
          <w:rStyle w:val="Znakapoznpodarou"/>
          <w:b w:val="0"/>
          <w:bCs w:val="0"/>
          <w:sz w:val="24"/>
          <w:szCs w:val="24"/>
        </w:rPr>
        <w:footnoteReference w:id="19"/>
      </w:r>
      <w:r w:rsidR="002F14C0" w:rsidRPr="00DF1F13">
        <w:rPr>
          <w:b w:val="0"/>
          <w:bCs w:val="0"/>
          <w:sz w:val="24"/>
          <w:szCs w:val="24"/>
        </w:rPr>
        <w:t xml:space="preserve"> Therefore, the issuance of an arrest warrant and real prosecution of these senior officials, would be a </w:t>
      </w:r>
      <w:r w:rsidR="00870DC9" w:rsidRPr="00870DC9">
        <w:rPr>
          <w:b w:val="0"/>
          <w:bCs w:val="0"/>
          <w:sz w:val="24"/>
          <w:szCs w:val="24"/>
        </w:rPr>
        <w:t>breach</w:t>
      </w:r>
      <w:r w:rsidR="00870DC9">
        <w:rPr>
          <w:b w:val="0"/>
          <w:bCs w:val="0"/>
          <w:sz w:val="24"/>
          <w:szCs w:val="24"/>
        </w:rPr>
        <w:t xml:space="preserve"> </w:t>
      </w:r>
      <w:r w:rsidR="002F14C0" w:rsidRPr="00DF1F13">
        <w:rPr>
          <w:b w:val="0"/>
          <w:bCs w:val="0"/>
          <w:sz w:val="24"/>
          <w:szCs w:val="24"/>
        </w:rPr>
        <w:t xml:space="preserve">of international </w:t>
      </w:r>
      <w:r w:rsidR="00870DC9">
        <w:rPr>
          <w:b w:val="0"/>
          <w:bCs w:val="0"/>
          <w:sz w:val="24"/>
          <w:szCs w:val="24"/>
        </w:rPr>
        <w:t>rule</w:t>
      </w:r>
      <w:r w:rsidR="002F14C0" w:rsidRPr="00DF1F13">
        <w:rPr>
          <w:b w:val="0"/>
          <w:bCs w:val="0"/>
          <w:sz w:val="24"/>
          <w:szCs w:val="24"/>
        </w:rPr>
        <w:t>.</w:t>
      </w:r>
      <w:r w:rsidR="002F14C0" w:rsidRPr="00DF1F13">
        <w:rPr>
          <w:rStyle w:val="Znakapoznpodarou"/>
          <w:b w:val="0"/>
          <w:bCs w:val="0"/>
          <w:sz w:val="24"/>
          <w:szCs w:val="24"/>
        </w:rPr>
        <w:footnoteReference w:id="20"/>
      </w:r>
    </w:p>
    <w:p w14:paraId="691AA16F" w14:textId="0A7D24AB" w:rsidR="006B3C07" w:rsidRPr="00DF1F13" w:rsidRDefault="00DE57D8" w:rsidP="00DF1F13">
      <w:pPr>
        <w:pStyle w:val="Obsah1"/>
        <w:spacing w:before="240" w:after="240"/>
        <w:ind w:left="170" w:right="113"/>
        <w:jc w:val="both"/>
        <w:rPr>
          <w:b w:val="0"/>
          <w:bCs w:val="0"/>
          <w:sz w:val="24"/>
          <w:szCs w:val="24"/>
        </w:rPr>
      </w:pPr>
      <w:r w:rsidRPr="00DE57D8">
        <w:rPr>
          <w:b w:val="0"/>
          <w:bCs w:val="0"/>
          <w:sz w:val="24"/>
          <w:szCs w:val="24"/>
        </w:rPr>
        <w:t>Nevertheless</w:t>
      </w:r>
      <w:r w:rsidR="0009717C" w:rsidRPr="00DF1F13">
        <w:rPr>
          <w:b w:val="0"/>
          <w:bCs w:val="0"/>
          <w:sz w:val="24"/>
          <w:szCs w:val="24"/>
        </w:rPr>
        <w:t xml:space="preserve">, </w:t>
      </w:r>
      <w:r>
        <w:rPr>
          <w:b w:val="0"/>
          <w:bCs w:val="0"/>
          <w:sz w:val="24"/>
          <w:szCs w:val="24"/>
        </w:rPr>
        <w:t>as</w:t>
      </w:r>
      <w:r w:rsidR="0009717C" w:rsidRPr="00DF1F13">
        <w:rPr>
          <w:b w:val="0"/>
          <w:bCs w:val="0"/>
          <w:sz w:val="24"/>
          <w:szCs w:val="24"/>
        </w:rPr>
        <w:t xml:space="preserve"> immunity ratione personae is </w:t>
      </w:r>
      <w:r>
        <w:rPr>
          <w:b w:val="0"/>
          <w:bCs w:val="0"/>
          <w:sz w:val="24"/>
          <w:szCs w:val="24"/>
        </w:rPr>
        <w:t>accord</w:t>
      </w:r>
      <w:r w:rsidR="0009717C" w:rsidRPr="00DF1F13">
        <w:rPr>
          <w:b w:val="0"/>
          <w:bCs w:val="0"/>
          <w:sz w:val="24"/>
          <w:szCs w:val="24"/>
        </w:rPr>
        <w:t xml:space="preserve">ed in a </w:t>
      </w:r>
      <w:r>
        <w:rPr>
          <w:b w:val="0"/>
          <w:bCs w:val="0"/>
          <w:sz w:val="24"/>
          <w:szCs w:val="24"/>
        </w:rPr>
        <w:t>way</w:t>
      </w:r>
      <w:r w:rsidR="0009717C" w:rsidRPr="00DF1F13">
        <w:rPr>
          <w:b w:val="0"/>
          <w:bCs w:val="0"/>
          <w:sz w:val="24"/>
          <w:szCs w:val="24"/>
        </w:rPr>
        <w:t xml:space="preserve"> </w:t>
      </w:r>
      <w:r>
        <w:rPr>
          <w:b w:val="0"/>
          <w:bCs w:val="0"/>
          <w:sz w:val="24"/>
          <w:szCs w:val="24"/>
        </w:rPr>
        <w:t>that</w:t>
      </w:r>
      <w:r w:rsidR="0009717C" w:rsidRPr="00DF1F13">
        <w:rPr>
          <w:b w:val="0"/>
          <w:bCs w:val="0"/>
          <w:sz w:val="24"/>
          <w:szCs w:val="24"/>
        </w:rPr>
        <w:t xml:space="preserve"> </w:t>
      </w:r>
      <w:r w:rsidRPr="00DE57D8">
        <w:rPr>
          <w:b w:val="0"/>
          <w:bCs w:val="0"/>
          <w:sz w:val="24"/>
          <w:szCs w:val="24"/>
        </w:rPr>
        <w:t>enable</w:t>
      </w:r>
      <w:r w:rsidR="00B82C80">
        <w:rPr>
          <w:b w:val="0"/>
          <w:bCs w:val="0"/>
          <w:sz w:val="24"/>
          <w:szCs w:val="24"/>
        </w:rPr>
        <w:t>s</w:t>
      </w:r>
      <w:r w:rsidRPr="00DE57D8">
        <w:rPr>
          <w:b w:val="0"/>
          <w:bCs w:val="0"/>
          <w:sz w:val="24"/>
          <w:szCs w:val="24"/>
        </w:rPr>
        <w:t xml:space="preserve"> </w:t>
      </w:r>
      <w:r w:rsidR="0009717C" w:rsidRPr="00DF1F13">
        <w:rPr>
          <w:b w:val="0"/>
          <w:bCs w:val="0"/>
          <w:sz w:val="24"/>
          <w:szCs w:val="24"/>
        </w:rPr>
        <w:t xml:space="preserve">the </w:t>
      </w:r>
      <w:r w:rsidR="00B82C80">
        <w:rPr>
          <w:b w:val="0"/>
          <w:bCs w:val="0"/>
          <w:sz w:val="24"/>
          <w:szCs w:val="24"/>
        </w:rPr>
        <w:t xml:space="preserve">effective practice </w:t>
      </w:r>
      <w:r w:rsidR="0009717C" w:rsidRPr="00DF1F13">
        <w:rPr>
          <w:b w:val="0"/>
          <w:bCs w:val="0"/>
          <w:sz w:val="24"/>
          <w:szCs w:val="24"/>
        </w:rPr>
        <w:t>of diplomatic</w:t>
      </w:r>
      <w:r w:rsidR="007A67B1" w:rsidRPr="00DF1F13">
        <w:rPr>
          <w:b w:val="0"/>
          <w:bCs w:val="0"/>
          <w:sz w:val="24"/>
          <w:szCs w:val="24"/>
        </w:rPr>
        <w:t xml:space="preserve"> and representative</w:t>
      </w:r>
      <w:r w:rsidR="00E1675E">
        <w:rPr>
          <w:b w:val="0"/>
          <w:bCs w:val="0"/>
          <w:sz w:val="24"/>
          <w:szCs w:val="24"/>
        </w:rPr>
        <w:t xml:space="preserve"> tasks</w:t>
      </w:r>
      <w:r w:rsidR="0009717C" w:rsidRPr="00DF1F13">
        <w:rPr>
          <w:b w:val="0"/>
          <w:bCs w:val="0"/>
          <w:sz w:val="24"/>
          <w:szCs w:val="24"/>
        </w:rPr>
        <w:t xml:space="preserve">, it </w:t>
      </w:r>
      <w:r w:rsidR="00E1675E">
        <w:rPr>
          <w:b w:val="0"/>
          <w:bCs w:val="0"/>
          <w:sz w:val="24"/>
          <w:szCs w:val="24"/>
        </w:rPr>
        <w:t>can be used</w:t>
      </w:r>
      <w:r w:rsidR="0009717C" w:rsidRPr="00DF1F13">
        <w:rPr>
          <w:b w:val="0"/>
          <w:bCs w:val="0"/>
          <w:sz w:val="24"/>
          <w:szCs w:val="24"/>
        </w:rPr>
        <w:t xml:space="preserve"> </w:t>
      </w:r>
      <w:r w:rsidR="00C948D8">
        <w:rPr>
          <w:b w:val="0"/>
          <w:bCs w:val="0"/>
          <w:sz w:val="24"/>
          <w:szCs w:val="24"/>
        </w:rPr>
        <w:t xml:space="preserve">by public agents during </w:t>
      </w:r>
      <w:r w:rsidR="00C948D8" w:rsidRPr="00DF1F13">
        <w:rPr>
          <w:b w:val="0"/>
          <w:bCs w:val="0"/>
          <w:sz w:val="24"/>
          <w:szCs w:val="24"/>
        </w:rPr>
        <w:t>all</w:t>
      </w:r>
      <w:r w:rsidR="00C948D8">
        <w:rPr>
          <w:b w:val="0"/>
          <w:bCs w:val="0"/>
          <w:sz w:val="24"/>
          <w:szCs w:val="24"/>
        </w:rPr>
        <w:t xml:space="preserve"> term </w:t>
      </w:r>
      <w:r w:rsidR="00C948D8">
        <w:rPr>
          <w:b w:val="0"/>
          <w:bCs w:val="0"/>
          <w:sz w:val="24"/>
          <w:szCs w:val="24"/>
        </w:rPr>
        <w:lastRenderedPageBreak/>
        <w:t>of their functions.</w:t>
      </w:r>
      <w:r w:rsidR="000142FC">
        <w:rPr>
          <w:b w:val="0"/>
          <w:bCs w:val="0"/>
          <w:sz w:val="24"/>
          <w:szCs w:val="24"/>
        </w:rPr>
        <w:t xml:space="preserve"> </w:t>
      </w:r>
      <w:r w:rsidR="0009717C" w:rsidRPr="00DF1F13">
        <w:rPr>
          <w:b w:val="0"/>
          <w:bCs w:val="0"/>
          <w:sz w:val="24"/>
          <w:szCs w:val="24"/>
        </w:rPr>
        <w:t>The I</w:t>
      </w:r>
      <w:r w:rsidR="000142FC">
        <w:rPr>
          <w:b w:val="0"/>
          <w:bCs w:val="0"/>
          <w:sz w:val="24"/>
          <w:szCs w:val="24"/>
        </w:rPr>
        <w:t xml:space="preserve">nternational </w:t>
      </w:r>
      <w:r w:rsidR="0009717C" w:rsidRPr="00DF1F13">
        <w:rPr>
          <w:b w:val="0"/>
          <w:bCs w:val="0"/>
          <w:sz w:val="24"/>
          <w:szCs w:val="24"/>
        </w:rPr>
        <w:t>C</w:t>
      </w:r>
      <w:r w:rsidR="000142FC">
        <w:rPr>
          <w:b w:val="0"/>
          <w:bCs w:val="0"/>
          <w:sz w:val="24"/>
          <w:szCs w:val="24"/>
        </w:rPr>
        <w:t xml:space="preserve">ourt of </w:t>
      </w:r>
      <w:r w:rsidR="0009717C" w:rsidRPr="00DF1F13">
        <w:rPr>
          <w:b w:val="0"/>
          <w:bCs w:val="0"/>
          <w:sz w:val="24"/>
          <w:szCs w:val="24"/>
        </w:rPr>
        <w:t>J</w:t>
      </w:r>
      <w:r w:rsidR="000142FC">
        <w:rPr>
          <w:b w:val="0"/>
          <w:bCs w:val="0"/>
          <w:sz w:val="24"/>
          <w:szCs w:val="24"/>
        </w:rPr>
        <w:t>ustice</w:t>
      </w:r>
      <w:r w:rsidR="0009717C" w:rsidRPr="00DF1F13">
        <w:rPr>
          <w:b w:val="0"/>
          <w:bCs w:val="0"/>
          <w:sz w:val="24"/>
          <w:szCs w:val="24"/>
        </w:rPr>
        <w:t xml:space="preserve"> has </w:t>
      </w:r>
      <w:r w:rsidR="000644D9" w:rsidRPr="000644D9">
        <w:rPr>
          <w:b w:val="0"/>
          <w:bCs w:val="0"/>
          <w:sz w:val="24"/>
          <w:szCs w:val="24"/>
        </w:rPr>
        <w:t>recognized</w:t>
      </w:r>
      <w:r w:rsidR="00887762">
        <w:rPr>
          <w:b w:val="0"/>
          <w:bCs w:val="0"/>
          <w:sz w:val="24"/>
          <w:szCs w:val="24"/>
        </w:rPr>
        <w:t xml:space="preserve"> </w:t>
      </w:r>
      <w:r w:rsidR="0009717C" w:rsidRPr="00DF1F13">
        <w:rPr>
          <w:b w:val="0"/>
          <w:bCs w:val="0"/>
          <w:sz w:val="24"/>
          <w:szCs w:val="24"/>
        </w:rPr>
        <w:t>the</w:t>
      </w:r>
      <w:r w:rsidR="000644D9">
        <w:rPr>
          <w:b w:val="0"/>
          <w:bCs w:val="0"/>
          <w:sz w:val="24"/>
          <w:szCs w:val="24"/>
        </w:rPr>
        <w:t xml:space="preserve"> total</w:t>
      </w:r>
      <w:r w:rsidR="0009717C" w:rsidRPr="00DF1F13">
        <w:rPr>
          <w:b w:val="0"/>
          <w:bCs w:val="0"/>
          <w:sz w:val="24"/>
          <w:szCs w:val="24"/>
        </w:rPr>
        <w:t xml:space="preserve"> </w:t>
      </w:r>
      <w:r w:rsidR="000644D9" w:rsidRPr="000644D9">
        <w:rPr>
          <w:b w:val="0"/>
          <w:bCs w:val="0"/>
          <w:sz w:val="24"/>
          <w:szCs w:val="24"/>
        </w:rPr>
        <w:t xml:space="preserve">character </w:t>
      </w:r>
      <w:r w:rsidR="0009717C" w:rsidRPr="00DF1F13">
        <w:rPr>
          <w:b w:val="0"/>
          <w:bCs w:val="0"/>
          <w:sz w:val="24"/>
          <w:szCs w:val="24"/>
        </w:rPr>
        <w:t xml:space="preserve">of the immunity from </w:t>
      </w:r>
      <w:r w:rsidR="00076058">
        <w:rPr>
          <w:b w:val="0"/>
          <w:bCs w:val="0"/>
          <w:sz w:val="24"/>
          <w:szCs w:val="24"/>
        </w:rPr>
        <w:t>arrest and surrender in criminal matter</w:t>
      </w:r>
      <w:r w:rsidR="00887762">
        <w:rPr>
          <w:b w:val="0"/>
          <w:bCs w:val="0"/>
          <w:sz w:val="24"/>
          <w:szCs w:val="24"/>
        </w:rPr>
        <w:t xml:space="preserve"> which</w:t>
      </w:r>
      <w:r w:rsidR="00076058">
        <w:rPr>
          <w:b w:val="0"/>
          <w:bCs w:val="0"/>
          <w:sz w:val="24"/>
          <w:szCs w:val="24"/>
        </w:rPr>
        <w:t xml:space="preserve"> is grant</w:t>
      </w:r>
      <w:r w:rsidR="0009717C" w:rsidRPr="00DF1F13">
        <w:rPr>
          <w:b w:val="0"/>
          <w:bCs w:val="0"/>
          <w:sz w:val="24"/>
          <w:szCs w:val="24"/>
        </w:rPr>
        <w:t>ed to a</w:t>
      </w:r>
      <w:r w:rsidR="00076058">
        <w:rPr>
          <w:b w:val="0"/>
          <w:bCs w:val="0"/>
          <w:sz w:val="24"/>
          <w:szCs w:val="24"/>
        </w:rPr>
        <w:t xml:space="preserve"> minister of </w:t>
      </w:r>
      <w:r w:rsidR="0009717C" w:rsidRPr="00DF1F13">
        <w:rPr>
          <w:b w:val="0"/>
          <w:bCs w:val="0"/>
          <w:sz w:val="24"/>
          <w:szCs w:val="24"/>
        </w:rPr>
        <w:t>foreign</w:t>
      </w:r>
      <w:r w:rsidR="00076058">
        <w:rPr>
          <w:b w:val="0"/>
          <w:bCs w:val="0"/>
          <w:sz w:val="24"/>
          <w:szCs w:val="24"/>
        </w:rPr>
        <w:t xml:space="preserve"> affairs</w:t>
      </w:r>
      <w:r w:rsidR="0009717C" w:rsidRPr="00DF1F13">
        <w:rPr>
          <w:b w:val="0"/>
          <w:bCs w:val="0"/>
          <w:sz w:val="24"/>
          <w:szCs w:val="24"/>
        </w:rPr>
        <w:t xml:space="preserve"> </w:t>
      </w:r>
      <w:r w:rsidR="00887762">
        <w:rPr>
          <w:b w:val="0"/>
          <w:bCs w:val="0"/>
          <w:sz w:val="24"/>
          <w:szCs w:val="24"/>
        </w:rPr>
        <w:t xml:space="preserve">and declared that such immunity </w:t>
      </w:r>
      <w:r w:rsidR="00887762" w:rsidRPr="00887762">
        <w:rPr>
          <w:b w:val="0"/>
          <w:bCs w:val="0"/>
          <w:sz w:val="24"/>
          <w:szCs w:val="24"/>
        </w:rPr>
        <w:t xml:space="preserve">exists </w:t>
      </w:r>
      <w:r w:rsidR="0009717C" w:rsidRPr="00DF1F13">
        <w:rPr>
          <w:b w:val="0"/>
          <w:bCs w:val="0"/>
          <w:sz w:val="24"/>
          <w:szCs w:val="24"/>
        </w:rPr>
        <w:t xml:space="preserve">even when it is </w:t>
      </w:r>
      <w:r w:rsidR="00BF75FF" w:rsidRPr="00BF75FF">
        <w:rPr>
          <w:b w:val="0"/>
          <w:bCs w:val="0"/>
          <w:sz w:val="24"/>
          <w:szCs w:val="24"/>
        </w:rPr>
        <w:t xml:space="preserve">pretended </w:t>
      </w:r>
      <w:r w:rsidR="0009717C" w:rsidRPr="00DF1F13">
        <w:rPr>
          <w:b w:val="0"/>
          <w:bCs w:val="0"/>
          <w:sz w:val="24"/>
          <w:szCs w:val="24"/>
        </w:rPr>
        <w:t>that</w:t>
      </w:r>
      <w:r w:rsidR="00BF75FF">
        <w:rPr>
          <w:b w:val="0"/>
          <w:bCs w:val="0"/>
          <w:sz w:val="24"/>
          <w:szCs w:val="24"/>
        </w:rPr>
        <w:t xml:space="preserve"> the official in question has perpetrated some serious</w:t>
      </w:r>
      <w:r w:rsidR="0009717C" w:rsidRPr="00DF1F13">
        <w:rPr>
          <w:b w:val="0"/>
          <w:bCs w:val="0"/>
          <w:sz w:val="24"/>
          <w:szCs w:val="24"/>
        </w:rPr>
        <w:t xml:space="preserve"> international crime and</w:t>
      </w:r>
      <w:r w:rsidR="004D732B">
        <w:rPr>
          <w:b w:val="0"/>
          <w:bCs w:val="0"/>
          <w:sz w:val="24"/>
          <w:szCs w:val="24"/>
        </w:rPr>
        <w:t xml:space="preserve"> can be also used</w:t>
      </w:r>
      <w:r w:rsidR="0009717C" w:rsidRPr="00DF1F13">
        <w:rPr>
          <w:b w:val="0"/>
          <w:bCs w:val="0"/>
          <w:sz w:val="24"/>
          <w:szCs w:val="24"/>
        </w:rPr>
        <w:t xml:space="preserve"> even when </w:t>
      </w:r>
      <w:r w:rsidR="004D732B">
        <w:rPr>
          <w:b w:val="0"/>
          <w:bCs w:val="0"/>
          <w:sz w:val="24"/>
          <w:szCs w:val="24"/>
        </w:rPr>
        <w:t>such public agent</w:t>
      </w:r>
      <w:r w:rsidR="0009717C" w:rsidRPr="00DF1F13">
        <w:rPr>
          <w:b w:val="0"/>
          <w:bCs w:val="0"/>
          <w:sz w:val="24"/>
          <w:szCs w:val="24"/>
        </w:rPr>
        <w:t xml:space="preserve"> is </w:t>
      </w:r>
      <w:r w:rsidR="004D732B">
        <w:rPr>
          <w:b w:val="0"/>
          <w:bCs w:val="0"/>
          <w:sz w:val="24"/>
          <w:szCs w:val="24"/>
        </w:rPr>
        <w:t>in a foreign country for a personal reason</w:t>
      </w:r>
      <w:r w:rsidR="0009717C" w:rsidRPr="00DF1F13">
        <w:rPr>
          <w:b w:val="0"/>
          <w:bCs w:val="0"/>
          <w:sz w:val="24"/>
          <w:szCs w:val="24"/>
        </w:rPr>
        <w:t>.</w:t>
      </w:r>
      <w:r w:rsidR="0009717C" w:rsidRPr="00DF1F13">
        <w:rPr>
          <w:rStyle w:val="Znakapoznpodarou"/>
          <w:b w:val="0"/>
          <w:bCs w:val="0"/>
          <w:sz w:val="24"/>
          <w:szCs w:val="24"/>
        </w:rPr>
        <w:footnoteReference w:id="21"/>
      </w:r>
      <w:r w:rsidR="006B3C07" w:rsidRPr="00DF1F13">
        <w:rPr>
          <w:b w:val="0"/>
          <w:bCs w:val="0"/>
          <w:sz w:val="24"/>
          <w:szCs w:val="24"/>
        </w:rPr>
        <w:t xml:space="preserve"> </w:t>
      </w:r>
    </w:p>
    <w:p w14:paraId="27186257" w14:textId="062DCF3F" w:rsidR="006B3C07" w:rsidRPr="00DF1F13" w:rsidRDefault="00A31FBD" w:rsidP="00DF1F13">
      <w:pPr>
        <w:pStyle w:val="Obsah1"/>
        <w:spacing w:before="240" w:after="240"/>
        <w:ind w:left="170" w:right="113"/>
        <w:jc w:val="both"/>
        <w:rPr>
          <w:b w:val="0"/>
          <w:bCs w:val="0"/>
          <w:sz w:val="24"/>
          <w:szCs w:val="24"/>
        </w:rPr>
      </w:pPr>
      <w:r w:rsidRPr="00DF1F13">
        <w:rPr>
          <w:b w:val="0"/>
          <w:bCs w:val="0"/>
          <w:sz w:val="24"/>
          <w:szCs w:val="24"/>
        </w:rPr>
        <w:t>The</w:t>
      </w:r>
      <w:r w:rsidR="001A3644">
        <w:rPr>
          <w:b w:val="0"/>
          <w:bCs w:val="0"/>
          <w:sz w:val="24"/>
          <w:szCs w:val="24"/>
        </w:rPr>
        <w:t xml:space="preserve"> ICJ declared </w:t>
      </w:r>
      <w:r w:rsidRPr="00DF1F13">
        <w:rPr>
          <w:b w:val="0"/>
          <w:bCs w:val="0"/>
          <w:sz w:val="24"/>
          <w:szCs w:val="24"/>
        </w:rPr>
        <w:t xml:space="preserve">that " it has been unable to deduce ... that there exists under customary international law any form of exception to the rule </w:t>
      </w:r>
      <w:r w:rsidR="00DE4FDE" w:rsidRPr="00DF1F13">
        <w:rPr>
          <w:b w:val="0"/>
          <w:bCs w:val="0"/>
          <w:sz w:val="24"/>
          <w:szCs w:val="24"/>
        </w:rPr>
        <w:t>according to</w:t>
      </w:r>
      <w:r w:rsidRPr="00DF1F13">
        <w:rPr>
          <w:b w:val="0"/>
          <w:bCs w:val="0"/>
          <w:sz w:val="24"/>
          <w:szCs w:val="24"/>
        </w:rPr>
        <w:t xml:space="preserve"> immunity from criminal jurisdiction and inviolability to incumbent Ministers for Foreign Affairs, where they are suspected of having committed war crimes or crimes against humanity."</w:t>
      </w:r>
      <w:r w:rsidRPr="00DF1F13">
        <w:rPr>
          <w:rStyle w:val="Znakapoznpodarou"/>
          <w:b w:val="0"/>
          <w:bCs w:val="0"/>
          <w:sz w:val="24"/>
          <w:szCs w:val="24"/>
        </w:rPr>
        <w:footnoteReference w:id="22"/>
      </w:r>
      <w:r w:rsidR="007845D9">
        <w:rPr>
          <w:b w:val="0"/>
          <w:bCs w:val="0"/>
          <w:sz w:val="24"/>
          <w:szCs w:val="24"/>
        </w:rPr>
        <w:t xml:space="preserve"> </w:t>
      </w:r>
      <w:r w:rsidR="000E0CD5" w:rsidRPr="00DF1F13">
        <w:rPr>
          <w:b w:val="0"/>
          <w:bCs w:val="0"/>
          <w:sz w:val="24"/>
          <w:szCs w:val="24"/>
        </w:rPr>
        <w:t xml:space="preserve">This </w:t>
      </w:r>
      <w:r w:rsidR="007845D9" w:rsidRPr="007845D9">
        <w:rPr>
          <w:b w:val="0"/>
          <w:bCs w:val="0"/>
          <w:sz w:val="24"/>
          <w:szCs w:val="24"/>
        </w:rPr>
        <w:t>theory</w:t>
      </w:r>
      <w:r w:rsidR="00D672B8">
        <w:rPr>
          <w:b w:val="0"/>
          <w:bCs w:val="0"/>
          <w:sz w:val="24"/>
          <w:szCs w:val="24"/>
        </w:rPr>
        <w:t xml:space="preserve"> </w:t>
      </w:r>
      <w:r w:rsidR="00B50D02">
        <w:rPr>
          <w:b w:val="0"/>
          <w:bCs w:val="0"/>
          <w:sz w:val="24"/>
          <w:szCs w:val="24"/>
        </w:rPr>
        <w:t xml:space="preserve">should </w:t>
      </w:r>
      <w:r w:rsidR="00B50D02" w:rsidRPr="00DF1F13">
        <w:rPr>
          <w:b w:val="0"/>
          <w:bCs w:val="0"/>
          <w:sz w:val="24"/>
          <w:szCs w:val="24"/>
        </w:rPr>
        <w:t>be</w:t>
      </w:r>
      <w:r w:rsidR="000E0CD5" w:rsidRPr="00DF1F13">
        <w:rPr>
          <w:b w:val="0"/>
          <w:bCs w:val="0"/>
          <w:sz w:val="24"/>
          <w:szCs w:val="24"/>
        </w:rPr>
        <w:t xml:space="preserve"> </w:t>
      </w:r>
      <w:r w:rsidR="00D672B8">
        <w:rPr>
          <w:b w:val="0"/>
          <w:bCs w:val="0"/>
          <w:sz w:val="24"/>
          <w:szCs w:val="24"/>
        </w:rPr>
        <w:t>regard</w:t>
      </w:r>
      <w:r w:rsidR="000E0CD5" w:rsidRPr="00DF1F13">
        <w:rPr>
          <w:b w:val="0"/>
          <w:bCs w:val="0"/>
          <w:sz w:val="24"/>
          <w:szCs w:val="24"/>
        </w:rPr>
        <w:t xml:space="preserve">ed as </w:t>
      </w:r>
      <w:r w:rsidR="00D672B8" w:rsidRPr="00D672B8">
        <w:rPr>
          <w:b w:val="0"/>
          <w:bCs w:val="0"/>
          <w:sz w:val="24"/>
          <w:szCs w:val="24"/>
        </w:rPr>
        <w:t xml:space="preserve">universal </w:t>
      </w:r>
      <w:r w:rsidR="000E0CD5" w:rsidRPr="00DF1F13">
        <w:rPr>
          <w:b w:val="0"/>
          <w:bCs w:val="0"/>
          <w:sz w:val="24"/>
          <w:szCs w:val="24"/>
        </w:rPr>
        <w:t xml:space="preserve">and </w:t>
      </w:r>
      <w:r w:rsidR="00D672B8">
        <w:rPr>
          <w:b w:val="0"/>
          <w:bCs w:val="0"/>
          <w:sz w:val="24"/>
          <w:szCs w:val="24"/>
        </w:rPr>
        <w:t xml:space="preserve">granted </w:t>
      </w:r>
      <w:r w:rsidR="000E0CD5" w:rsidRPr="00DF1F13">
        <w:rPr>
          <w:b w:val="0"/>
          <w:bCs w:val="0"/>
          <w:sz w:val="24"/>
          <w:szCs w:val="24"/>
        </w:rPr>
        <w:t xml:space="preserve">to </w:t>
      </w:r>
      <w:r w:rsidR="00B50D02">
        <w:rPr>
          <w:b w:val="0"/>
          <w:bCs w:val="0"/>
          <w:sz w:val="24"/>
          <w:szCs w:val="24"/>
        </w:rPr>
        <w:t xml:space="preserve">all high-ranking public agents and representatives </w:t>
      </w:r>
      <w:r w:rsidR="00B50D02" w:rsidRPr="00B50D02">
        <w:rPr>
          <w:b w:val="0"/>
          <w:bCs w:val="0"/>
          <w:sz w:val="24"/>
          <w:szCs w:val="24"/>
        </w:rPr>
        <w:t xml:space="preserve">benefiting </w:t>
      </w:r>
      <w:r w:rsidR="000E0CD5" w:rsidRPr="00DF1F13">
        <w:rPr>
          <w:b w:val="0"/>
          <w:bCs w:val="0"/>
          <w:sz w:val="24"/>
          <w:szCs w:val="24"/>
        </w:rPr>
        <w:t>immunity ratione personae.</w:t>
      </w:r>
      <w:r w:rsidR="008D5268" w:rsidRPr="00DF1F13">
        <w:rPr>
          <w:rStyle w:val="Znakapoznpodarou"/>
          <w:b w:val="0"/>
          <w:bCs w:val="0"/>
          <w:sz w:val="24"/>
          <w:szCs w:val="24"/>
        </w:rPr>
        <w:footnoteReference w:id="23"/>
      </w:r>
      <w:r w:rsidR="00A01B29" w:rsidRPr="00DF1F13">
        <w:rPr>
          <w:b w:val="0"/>
          <w:bCs w:val="0"/>
          <w:sz w:val="24"/>
          <w:szCs w:val="24"/>
        </w:rPr>
        <w:t xml:space="preserve"> </w:t>
      </w:r>
    </w:p>
    <w:p w14:paraId="6044AEFC" w14:textId="242982E0" w:rsidR="00AD5F2B" w:rsidRPr="00DF1F13" w:rsidRDefault="005B5FA4" w:rsidP="00DF1F13">
      <w:pPr>
        <w:pStyle w:val="Obsah1"/>
        <w:spacing w:before="240" w:after="240"/>
        <w:ind w:left="170" w:right="113"/>
        <w:jc w:val="both"/>
        <w:rPr>
          <w:b w:val="0"/>
          <w:bCs w:val="0"/>
          <w:sz w:val="24"/>
          <w:szCs w:val="24"/>
        </w:rPr>
      </w:pPr>
      <w:r>
        <w:rPr>
          <w:b w:val="0"/>
          <w:bCs w:val="0"/>
          <w:sz w:val="24"/>
          <w:szCs w:val="24"/>
        </w:rPr>
        <w:t xml:space="preserve">The lack </w:t>
      </w:r>
      <w:r w:rsidR="00A01B29" w:rsidRPr="00DF1F13">
        <w:rPr>
          <w:b w:val="0"/>
          <w:bCs w:val="0"/>
          <w:sz w:val="24"/>
          <w:szCs w:val="24"/>
        </w:rPr>
        <w:t xml:space="preserve">of this </w:t>
      </w:r>
      <w:r>
        <w:rPr>
          <w:b w:val="0"/>
          <w:bCs w:val="0"/>
          <w:sz w:val="24"/>
          <w:szCs w:val="24"/>
        </w:rPr>
        <w:t xml:space="preserve">type </w:t>
      </w:r>
      <w:r w:rsidR="00A01B29" w:rsidRPr="00DF1F13">
        <w:rPr>
          <w:b w:val="0"/>
          <w:bCs w:val="0"/>
          <w:sz w:val="24"/>
          <w:szCs w:val="24"/>
        </w:rPr>
        <w:t xml:space="preserve">of immunity </w:t>
      </w:r>
      <w:r>
        <w:rPr>
          <w:b w:val="0"/>
          <w:bCs w:val="0"/>
          <w:sz w:val="24"/>
          <w:szCs w:val="24"/>
        </w:rPr>
        <w:t xml:space="preserve">regarding an international crime carried out </w:t>
      </w:r>
      <w:r w:rsidR="003057B3" w:rsidRPr="003057B3">
        <w:rPr>
          <w:b w:val="0"/>
          <w:bCs w:val="0"/>
          <w:sz w:val="24"/>
          <w:szCs w:val="24"/>
        </w:rPr>
        <w:t xml:space="preserve">everywhere </w:t>
      </w:r>
      <w:r w:rsidR="00A01B29" w:rsidRPr="00DF1F13">
        <w:rPr>
          <w:b w:val="0"/>
          <w:bCs w:val="0"/>
          <w:sz w:val="24"/>
          <w:szCs w:val="24"/>
        </w:rPr>
        <w:t xml:space="preserve">is </w:t>
      </w:r>
      <w:r w:rsidR="003057B3" w:rsidRPr="003057B3">
        <w:rPr>
          <w:b w:val="0"/>
          <w:bCs w:val="0"/>
          <w:sz w:val="24"/>
          <w:szCs w:val="24"/>
        </w:rPr>
        <w:t>possibly</w:t>
      </w:r>
      <w:r w:rsidR="003057B3">
        <w:rPr>
          <w:b w:val="0"/>
          <w:bCs w:val="0"/>
          <w:sz w:val="24"/>
          <w:szCs w:val="24"/>
        </w:rPr>
        <w:t xml:space="preserve"> </w:t>
      </w:r>
      <w:r w:rsidR="00A01B29" w:rsidRPr="00DF1F13">
        <w:rPr>
          <w:b w:val="0"/>
          <w:bCs w:val="0"/>
          <w:sz w:val="24"/>
          <w:szCs w:val="24"/>
        </w:rPr>
        <w:t>to</w:t>
      </w:r>
      <w:r w:rsidR="003057B3">
        <w:rPr>
          <w:b w:val="0"/>
          <w:bCs w:val="0"/>
          <w:sz w:val="24"/>
          <w:szCs w:val="24"/>
        </w:rPr>
        <w:t xml:space="preserve"> </w:t>
      </w:r>
      <w:r w:rsidR="003057B3" w:rsidRPr="003057B3">
        <w:rPr>
          <w:b w:val="0"/>
          <w:bCs w:val="0"/>
          <w:sz w:val="24"/>
          <w:szCs w:val="24"/>
        </w:rPr>
        <w:t>prevent</w:t>
      </w:r>
      <w:r w:rsidR="00777E1C">
        <w:rPr>
          <w:b w:val="0"/>
          <w:bCs w:val="0"/>
          <w:sz w:val="24"/>
          <w:szCs w:val="24"/>
        </w:rPr>
        <w:t xml:space="preserve"> </w:t>
      </w:r>
      <w:r w:rsidR="00A01B29" w:rsidRPr="00DF1F13">
        <w:rPr>
          <w:b w:val="0"/>
          <w:bCs w:val="0"/>
          <w:sz w:val="24"/>
          <w:szCs w:val="24"/>
        </w:rPr>
        <w:t>international cooperation and not to reinforce the protection of human rights.</w:t>
      </w:r>
      <w:r w:rsidR="00A01B29" w:rsidRPr="00DF1F13">
        <w:rPr>
          <w:rStyle w:val="Znakapoznpodarou"/>
          <w:b w:val="0"/>
          <w:bCs w:val="0"/>
          <w:sz w:val="24"/>
          <w:szCs w:val="24"/>
        </w:rPr>
        <w:footnoteReference w:id="24"/>
      </w:r>
      <w:r w:rsidR="00A271B9" w:rsidRPr="00DF1F13">
        <w:rPr>
          <w:b w:val="0"/>
          <w:bCs w:val="0"/>
          <w:sz w:val="24"/>
          <w:szCs w:val="24"/>
        </w:rPr>
        <w:t xml:space="preserve"> According to this rationale, any measure that</w:t>
      </w:r>
      <w:r w:rsidR="007A67B1" w:rsidRPr="00DF1F13">
        <w:rPr>
          <w:b w:val="0"/>
          <w:bCs w:val="0"/>
          <w:sz w:val="24"/>
          <w:szCs w:val="24"/>
        </w:rPr>
        <w:t xml:space="preserve"> i</w:t>
      </w:r>
      <w:r w:rsidR="00A271B9" w:rsidRPr="00DF1F13">
        <w:rPr>
          <w:b w:val="0"/>
          <w:bCs w:val="0"/>
          <w:sz w:val="24"/>
          <w:szCs w:val="24"/>
        </w:rPr>
        <w:t xml:space="preserve">s waiving immunity will purely </w:t>
      </w:r>
      <w:r w:rsidR="00412C45">
        <w:rPr>
          <w:b w:val="0"/>
          <w:bCs w:val="0"/>
          <w:sz w:val="24"/>
          <w:szCs w:val="24"/>
        </w:rPr>
        <w:t>prevent</w:t>
      </w:r>
      <w:r w:rsidR="00A271B9" w:rsidRPr="00DF1F13">
        <w:rPr>
          <w:b w:val="0"/>
          <w:bCs w:val="0"/>
          <w:sz w:val="24"/>
          <w:szCs w:val="24"/>
        </w:rPr>
        <w:t xml:space="preserve"> foreign </w:t>
      </w:r>
      <w:r w:rsidR="00412C45">
        <w:rPr>
          <w:b w:val="0"/>
          <w:bCs w:val="0"/>
          <w:sz w:val="24"/>
          <w:szCs w:val="24"/>
        </w:rPr>
        <w:t>agents</w:t>
      </w:r>
      <w:r w:rsidR="00A271B9" w:rsidRPr="00DF1F13">
        <w:rPr>
          <w:b w:val="0"/>
          <w:bCs w:val="0"/>
          <w:sz w:val="24"/>
          <w:szCs w:val="24"/>
        </w:rPr>
        <w:t xml:space="preserve"> from </w:t>
      </w:r>
      <w:r w:rsidR="00412C45">
        <w:rPr>
          <w:b w:val="0"/>
          <w:bCs w:val="0"/>
          <w:sz w:val="24"/>
          <w:szCs w:val="24"/>
        </w:rPr>
        <w:t>moving to other countries</w:t>
      </w:r>
      <w:r w:rsidR="00A271B9" w:rsidRPr="00DF1F13">
        <w:rPr>
          <w:b w:val="0"/>
          <w:bCs w:val="0"/>
          <w:sz w:val="24"/>
          <w:szCs w:val="24"/>
        </w:rPr>
        <w:t>.</w:t>
      </w:r>
    </w:p>
    <w:p w14:paraId="4F53DDA4" w14:textId="357E70A5" w:rsidR="00016288" w:rsidRPr="00DF1F13" w:rsidRDefault="00296822" w:rsidP="00DF1F13">
      <w:pPr>
        <w:pStyle w:val="Obsah1"/>
        <w:spacing w:before="240" w:after="240"/>
        <w:ind w:left="170" w:right="113"/>
        <w:jc w:val="both"/>
        <w:rPr>
          <w:b w:val="0"/>
          <w:bCs w:val="0"/>
          <w:sz w:val="24"/>
          <w:szCs w:val="24"/>
        </w:rPr>
      </w:pPr>
      <w:r w:rsidRPr="00DF1F13">
        <w:rPr>
          <w:b w:val="0"/>
          <w:bCs w:val="0"/>
          <w:sz w:val="24"/>
          <w:szCs w:val="24"/>
        </w:rPr>
        <w:t>This</w:t>
      </w:r>
      <w:r w:rsidR="005B69A1">
        <w:rPr>
          <w:b w:val="0"/>
          <w:bCs w:val="0"/>
          <w:sz w:val="24"/>
          <w:szCs w:val="24"/>
        </w:rPr>
        <w:t xml:space="preserve"> theory </w:t>
      </w:r>
      <w:r w:rsidR="005B69A1" w:rsidRPr="005B69A1">
        <w:rPr>
          <w:b w:val="0"/>
          <w:bCs w:val="0"/>
          <w:sz w:val="24"/>
          <w:szCs w:val="24"/>
        </w:rPr>
        <w:t>authorizing</w:t>
      </w:r>
      <w:r w:rsidR="005B69A1">
        <w:rPr>
          <w:b w:val="0"/>
          <w:bCs w:val="0"/>
          <w:sz w:val="24"/>
          <w:szCs w:val="24"/>
        </w:rPr>
        <w:t xml:space="preserve"> </w:t>
      </w:r>
      <w:r w:rsidRPr="00DF1F13">
        <w:rPr>
          <w:b w:val="0"/>
          <w:bCs w:val="0"/>
          <w:sz w:val="24"/>
          <w:szCs w:val="24"/>
        </w:rPr>
        <w:t>immunity ratione personae for</w:t>
      </w:r>
      <w:r w:rsidR="005B69A1">
        <w:rPr>
          <w:b w:val="0"/>
          <w:bCs w:val="0"/>
          <w:sz w:val="24"/>
          <w:szCs w:val="24"/>
        </w:rPr>
        <w:t xml:space="preserve"> high-ranking public agents concerning </w:t>
      </w:r>
      <w:r w:rsidR="00D5669B">
        <w:rPr>
          <w:b w:val="0"/>
          <w:bCs w:val="0"/>
          <w:sz w:val="24"/>
          <w:szCs w:val="24"/>
        </w:rPr>
        <w:t xml:space="preserve">serious human rights violations </w:t>
      </w:r>
      <w:r w:rsidRPr="00DF1F13">
        <w:rPr>
          <w:b w:val="0"/>
          <w:bCs w:val="0"/>
          <w:sz w:val="24"/>
          <w:szCs w:val="24"/>
        </w:rPr>
        <w:t xml:space="preserve">has been </w:t>
      </w:r>
      <w:r w:rsidR="00D5669B" w:rsidRPr="00D5669B">
        <w:rPr>
          <w:b w:val="0"/>
          <w:bCs w:val="0"/>
          <w:sz w:val="24"/>
          <w:szCs w:val="24"/>
        </w:rPr>
        <w:t xml:space="preserve">implemented lately </w:t>
      </w:r>
      <w:r w:rsidRPr="00DF1F13">
        <w:rPr>
          <w:b w:val="0"/>
          <w:bCs w:val="0"/>
          <w:sz w:val="24"/>
          <w:szCs w:val="24"/>
        </w:rPr>
        <w:t xml:space="preserve">by </w:t>
      </w:r>
      <w:r w:rsidR="00D5669B">
        <w:rPr>
          <w:b w:val="0"/>
          <w:bCs w:val="0"/>
          <w:sz w:val="24"/>
          <w:szCs w:val="24"/>
        </w:rPr>
        <w:t>numerous domestic</w:t>
      </w:r>
      <w:r w:rsidR="000950FB">
        <w:rPr>
          <w:b w:val="0"/>
          <w:bCs w:val="0"/>
          <w:sz w:val="24"/>
          <w:szCs w:val="24"/>
        </w:rPr>
        <w:t xml:space="preserve"> tribunals</w:t>
      </w:r>
      <w:r w:rsidRPr="00DF1F13">
        <w:rPr>
          <w:b w:val="0"/>
          <w:bCs w:val="0"/>
          <w:sz w:val="24"/>
          <w:szCs w:val="24"/>
        </w:rPr>
        <w:t>.</w:t>
      </w:r>
      <w:r w:rsidR="008A7B42" w:rsidRPr="00DF1F13">
        <w:rPr>
          <w:b w:val="0"/>
          <w:bCs w:val="0"/>
          <w:sz w:val="24"/>
          <w:szCs w:val="24"/>
        </w:rPr>
        <w:t xml:space="preserve"> In March 2001, France’s highest </w:t>
      </w:r>
      <w:r w:rsidR="00DE4FDE">
        <w:rPr>
          <w:b w:val="0"/>
          <w:bCs w:val="0"/>
          <w:sz w:val="24"/>
          <w:szCs w:val="24"/>
        </w:rPr>
        <w:t>C</w:t>
      </w:r>
      <w:r w:rsidR="008A7B42" w:rsidRPr="00DF1F13">
        <w:rPr>
          <w:b w:val="0"/>
          <w:bCs w:val="0"/>
          <w:sz w:val="24"/>
          <w:szCs w:val="24"/>
        </w:rPr>
        <w:t>ourt, the Cour de Cassation, held that Libyan head of state Muammar El-Qaddafi was entitled to immunity in a suit alleging that Qaddafi was responsible for bombing a French DC-10 aircraft in an attack that killed 170 people.</w:t>
      </w:r>
      <w:r w:rsidR="008A7B42" w:rsidRPr="00DF1F13">
        <w:rPr>
          <w:rStyle w:val="Znakapoznpodarou"/>
          <w:b w:val="0"/>
          <w:bCs w:val="0"/>
          <w:sz w:val="24"/>
          <w:szCs w:val="24"/>
        </w:rPr>
        <w:footnoteReference w:id="25"/>
      </w:r>
      <w:r w:rsidR="005D6630" w:rsidRPr="00DF1F13">
        <w:rPr>
          <w:b w:val="0"/>
          <w:bCs w:val="0"/>
          <w:sz w:val="24"/>
          <w:szCs w:val="24"/>
        </w:rPr>
        <w:t xml:space="preserve"> In 1999, Spanish national court also recognized that it had no power to prosecute Fidel Castro a Cuban sitting head of State.</w:t>
      </w:r>
      <w:r w:rsidR="005D6630" w:rsidRPr="00DF1F13">
        <w:rPr>
          <w:rStyle w:val="Znakapoznpodarou"/>
          <w:b w:val="0"/>
          <w:bCs w:val="0"/>
          <w:sz w:val="24"/>
          <w:szCs w:val="24"/>
        </w:rPr>
        <w:footnoteReference w:id="26"/>
      </w:r>
      <w:r w:rsidR="003E2EFD" w:rsidRPr="00DF1F13">
        <w:rPr>
          <w:b w:val="0"/>
          <w:bCs w:val="0"/>
          <w:sz w:val="24"/>
          <w:szCs w:val="24"/>
        </w:rPr>
        <w:t xml:space="preserve"> </w:t>
      </w:r>
    </w:p>
    <w:p w14:paraId="11DF8E19" w14:textId="010CD20B" w:rsidR="0013561E" w:rsidRPr="00DF1F13" w:rsidRDefault="003E2EFD" w:rsidP="00DF1F13">
      <w:pPr>
        <w:spacing w:before="240" w:after="240" w:line="360" w:lineRule="auto"/>
        <w:ind w:left="170" w:right="113"/>
        <w:jc w:val="both"/>
        <w:rPr>
          <w:rFonts w:ascii="Times New Roman" w:hAnsi="Times New Roman" w:cs="Times New Roman"/>
          <w:sz w:val="24"/>
          <w:szCs w:val="24"/>
        </w:rPr>
      </w:pPr>
      <w:r w:rsidRPr="00DF1F13">
        <w:rPr>
          <w:rFonts w:ascii="Times New Roman" w:hAnsi="Times New Roman" w:cs="Times New Roman"/>
          <w:sz w:val="24"/>
          <w:szCs w:val="24"/>
        </w:rPr>
        <w:lastRenderedPageBreak/>
        <w:t>Likewise, the United States ha</w:t>
      </w:r>
      <w:r w:rsidR="0013561E" w:rsidRPr="00DF1F13">
        <w:rPr>
          <w:rFonts w:ascii="Times New Roman" w:hAnsi="Times New Roman" w:cs="Times New Roman"/>
          <w:sz w:val="24"/>
          <w:szCs w:val="24"/>
        </w:rPr>
        <w:t>ve</w:t>
      </w:r>
      <w:r w:rsidRPr="00DF1F13">
        <w:rPr>
          <w:rFonts w:ascii="Times New Roman" w:hAnsi="Times New Roman" w:cs="Times New Roman"/>
          <w:sz w:val="24"/>
          <w:szCs w:val="24"/>
        </w:rPr>
        <w:t xml:space="preserve"> refused immunity to former heads of state but has never revoked the immunity of a sitting head of State or government.</w:t>
      </w:r>
      <w:r w:rsidRPr="00DF1F13">
        <w:rPr>
          <w:rStyle w:val="Znakapoznpodarou"/>
          <w:rFonts w:ascii="Times New Roman" w:hAnsi="Times New Roman" w:cs="Times New Roman"/>
          <w:sz w:val="24"/>
          <w:szCs w:val="24"/>
        </w:rPr>
        <w:footnoteReference w:id="27"/>
      </w:r>
      <w:r w:rsidR="00EC4219" w:rsidRPr="00DF1F13">
        <w:rPr>
          <w:rFonts w:ascii="Times New Roman" w:hAnsi="Times New Roman" w:cs="Times New Roman"/>
          <w:sz w:val="24"/>
          <w:szCs w:val="24"/>
        </w:rPr>
        <w:t xml:space="preserve">Judicial opinion and State practice with regards to this aim, have all the same opinion and there is no example in which a </w:t>
      </w:r>
      <w:r w:rsidR="005D30AE" w:rsidRPr="00DF1F13">
        <w:rPr>
          <w:rFonts w:ascii="Times New Roman" w:hAnsi="Times New Roman" w:cs="Times New Roman"/>
          <w:sz w:val="24"/>
          <w:szCs w:val="24"/>
        </w:rPr>
        <w:t>state</w:t>
      </w:r>
      <w:r w:rsidR="00EC4219" w:rsidRPr="00DF1F13">
        <w:rPr>
          <w:rFonts w:ascii="Times New Roman" w:hAnsi="Times New Roman" w:cs="Times New Roman"/>
          <w:sz w:val="24"/>
          <w:szCs w:val="24"/>
        </w:rPr>
        <w:t xml:space="preserve"> official enjoying immunity ratione personae is prosecuted by a court of a foreign state for an international crime.</w:t>
      </w:r>
      <w:r w:rsidR="00EC4219" w:rsidRPr="00DF1F13">
        <w:rPr>
          <w:rStyle w:val="Znakapoznpodarou"/>
          <w:rFonts w:ascii="Times New Roman" w:hAnsi="Times New Roman" w:cs="Times New Roman"/>
          <w:sz w:val="24"/>
          <w:szCs w:val="24"/>
        </w:rPr>
        <w:footnoteReference w:id="28"/>
      </w:r>
      <w:r w:rsidR="00E62E6A" w:rsidRPr="00DF1F13">
        <w:rPr>
          <w:rFonts w:ascii="Times New Roman" w:hAnsi="Times New Roman" w:cs="Times New Roman"/>
          <w:sz w:val="24"/>
          <w:szCs w:val="24"/>
        </w:rPr>
        <w:t xml:space="preserve"> </w:t>
      </w:r>
    </w:p>
    <w:p w14:paraId="6963D099" w14:textId="0886ED45" w:rsidR="0013561E" w:rsidRPr="00DF1F13" w:rsidRDefault="00E62E6A"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rPr>
        <w:t xml:space="preserve">Considering that the framework of immunity ratione personae seems to be reasonably established, then question rises which State officials are granted this full immunity from foreign criminal prosecution? In the Arrest Warrant case, the ICJ stated that these immunities are available to "diplomatic and consular agents, [and] certain holders of high-ranking office in a </w:t>
      </w:r>
      <w:r w:rsidR="0026584A">
        <w:rPr>
          <w:rFonts w:ascii="Times New Roman" w:hAnsi="Times New Roman" w:cs="Times New Roman"/>
          <w:sz w:val="24"/>
          <w:szCs w:val="24"/>
        </w:rPr>
        <w:t>s</w:t>
      </w:r>
      <w:r w:rsidRPr="00DF1F13">
        <w:rPr>
          <w:rFonts w:ascii="Times New Roman" w:hAnsi="Times New Roman" w:cs="Times New Roman"/>
          <w:sz w:val="24"/>
          <w:szCs w:val="24"/>
        </w:rPr>
        <w:t>tate, such as the Head of State, Head of Government and Minister for Foreign Affairs."</w:t>
      </w:r>
      <w:r w:rsidRPr="00DF1F13">
        <w:rPr>
          <w:rStyle w:val="Znakapoznpodarou"/>
          <w:rFonts w:ascii="Times New Roman" w:hAnsi="Times New Roman" w:cs="Times New Roman"/>
          <w:sz w:val="24"/>
          <w:szCs w:val="24"/>
        </w:rPr>
        <w:footnoteReference w:id="29"/>
      </w:r>
      <w:r w:rsidRPr="00DF1F13">
        <w:rPr>
          <w:rFonts w:ascii="Times New Roman" w:hAnsi="Times New Roman" w:cs="Times New Roman"/>
          <w:sz w:val="24"/>
          <w:szCs w:val="24"/>
        </w:rPr>
        <w:t xml:space="preserve"> </w:t>
      </w:r>
      <w:r w:rsidR="00016288" w:rsidRPr="00DF1F13">
        <w:rPr>
          <w:rFonts w:ascii="Times New Roman" w:hAnsi="Times New Roman" w:cs="Times New Roman"/>
          <w:sz w:val="24"/>
          <w:szCs w:val="24"/>
          <w:lang w:val="en-US"/>
        </w:rPr>
        <w:t>If it has been clear that sitting heads of state, heads of government and diplomats are granted full immunity ratione personae in criminal</w:t>
      </w:r>
      <w:r w:rsidR="00452A22" w:rsidRPr="00452A22">
        <w:t xml:space="preserve"> </w:t>
      </w:r>
      <w:r w:rsidR="00452A22" w:rsidRPr="00452A22">
        <w:rPr>
          <w:rFonts w:ascii="Times New Roman" w:hAnsi="Times New Roman" w:cs="Times New Roman"/>
          <w:sz w:val="24"/>
          <w:szCs w:val="24"/>
          <w:lang w:val="en-US"/>
        </w:rPr>
        <w:t>proceedings</w:t>
      </w:r>
      <w:r w:rsidR="00016288" w:rsidRPr="00DF1F13">
        <w:rPr>
          <w:rFonts w:ascii="Times New Roman" w:hAnsi="Times New Roman" w:cs="Times New Roman"/>
          <w:sz w:val="24"/>
          <w:szCs w:val="24"/>
          <w:lang w:val="en-US"/>
        </w:rPr>
        <w:t xml:space="preserve">, </w:t>
      </w:r>
      <w:r w:rsidR="00452A22">
        <w:rPr>
          <w:rFonts w:ascii="Times New Roman" w:hAnsi="Times New Roman" w:cs="Times New Roman"/>
          <w:sz w:val="24"/>
          <w:szCs w:val="24"/>
          <w:lang w:val="en-US"/>
        </w:rPr>
        <w:t xml:space="preserve">when it comes to </w:t>
      </w:r>
      <w:r w:rsidR="00016288" w:rsidRPr="00DF1F13">
        <w:rPr>
          <w:rFonts w:ascii="Times New Roman" w:hAnsi="Times New Roman" w:cs="Times New Roman"/>
          <w:sz w:val="24"/>
          <w:szCs w:val="24"/>
          <w:lang w:val="en-US"/>
        </w:rPr>
        <w:t>ministers</w:t>
      </w:r>
      <w:r w:rsidR="00452A22">
        <w:rPr>
          <w:rFonts w:ascii="Times New Roman" w:hAnsi="Times New Roman" w:cs="Times New Roman"/>
          <w:sz w:val="24"/>
          <w:szCs w:val="24"/>
          <w:lang w:val="en-US"/>
        </w:rPr>
        <w:t xml:space="preserve"> of foreign affairs,</w:t>
      </w:r>
      <w:r w:rsidR="00016288" w:rsidRPr="00DF1F13">
        <w:rPr>
          <w:rFonts w:ascii="Times New Roman" w:hAnsi="Times New Roman" w:cs="Times New Roman"/>
          <w:sz w:val="24"/>
          <w:szCs w:val="24"/>
          <w:lang w:val="en-US"/>
        </w:rPr>
        <w:t xml:space="preserve"> </w:t>
      </w:r>
      <w:r w:rsidR="00452A22" w:rsidRPr="00452A22">
        <w:rPr>
          <w:rFonts w:ascii="Times New Roman" w:hAnsi="Times New Roman" w:cs="Times New Roman"/>
          <w:sz w:val="24"/>
          <w:szCs w:val="24"/>
          <w:lang w:val="en-US"/>
        </w:rPr>
        <w:t xml:space="preserve">occasionally </w:t>
      </w:r>
      <w:r w:rsidR="00452A22">
        <w:rPr>
          <w:rFonts w:ascii="Times New Roman" w:hAnsi="Times New Roman" w:cs="Times New Roman"/>
          <w:sz w:val="24"/>
          <w:szCs w:val="24"/>
          <w:lang w:val="en-US"/>
        </w:rPr>
        <w:t xml:space="preserve">this question </w:t>
      </w:r>
      <w:r w:rsidR="00016288" w:rsidRPr="00DF1F13">
        <w:rPr>
          <w:rFonts w:ascii="Times New Roman" w:hAnsi="Times New Roman" w:cs="Times New Roman"/>
          <w:sz w:val="24"/>
          <w:szCs w:val="24"/>
          <w:lang w:val="en-US"/>
        </w:rPr>
        <w:t xml:space="preserve">has been </w:t>
      </w:r>
      <w:r w:rsidR="00D32C0E" w:rsidRPr="00D32C0E">
        <w:rPr>
          <w:rFonts w:ascii="Times New Roman" w:hAnsi="Times New Roman" w:cs="Times New Roman"/>
          <w:sz w:val="24"/>
          <w:szCs w:val="24"/>
          <w:lang w:val="en-US"/>
        </w:rPr>
        <w:t>controversial</w:t>
      </w:r>
      <w:r w:rsidR="00016288" w:rsidRPr="00DF1F13">
        <w:rPr>
          <w:rFonts w:ascii="Times New Roman" w:hAnsi="Times New Roman" w:cs="Times New Roman"/>
          <w:sz w:val="24"/>
          <w:szCs w:val="24"/>
          <w:lang w:val="en-US"/>
        </w:rPr>
        <w:t>.</w:t>
      </w:r>
      <w:r w:rsidR="00016288" w:rsidRPr="00DF1F13">
        <w:rPr>
          <w:rStyle w:val="Znakapoznpodarou"/>
          <w:rFonts w:ascii="Times New Roman" w:hAnsi="Times New Roman" w:cs="Times New Roman"/>
          <w:sz w:val="24"/>
          <w:szCs w:val="24"/>
        </w:rPr>
        <w:footnoteReference w:id="30"/>
      </w:r>
    </w:p>
    <w:p w14:paraId="7D1EE692" w14:textId="08F39B70" w:rsidR="0013561E" w:rsidRPr="00DF1F13" w:rsidRDefault="00251523" w:rsidP="00DF1F13">
      <w:pPr>
        <w:spacing w:before="240" w:after="24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251523">
        <w:rPr>
          <w:rFonts w:ascii="Times New Roman" w:hAnsi="Times New Roman" w:cs="Times New Roman"/>
          <w:sz w:val="24"/>
          <w:szCs w:val="24"/>
          <w:lang w:val="en-US"/>
        </w:rPr>
        <w:t>onetheless</w:t>
      </w:r>
      <w:r w:rsidR="00D10B27" w:rsidRPr="00DF1F13">
        <w:rPr>
          <w:rFonts w:ascii="Times New Roman" w:hAnsi="Times New Roman" w:cs="Times New Roman"/>
          <w:sz w:val="24"/>
          <w:szCs w:val="24"/>
          <w:lang w:val="en-US"/>
        </w:rPr>
        <w:t>, in the Arrest Warrant case, the I</w:t>
      </w:r>
      <w:r>
        <w:rPr>
          <w:rFonts w:ascii="Times New Roman" w:hAnsi="Times New Roman" w:cs="Times New Roman"/>
          <w:sz w:val="24"/>
          <w:szCs w:val="24"/>
          <w:lang w:val="en-US"/>
        </w:rPr>
        <w:t xml:space="preserve">nternational </w:t>
      </w:r>
      <w:r w:rsidR="00D10B27" w:rsidRPr="00DF1F13">
        <w:rPr>
          <w:rFonts w:ascii="Times New Roman" w:hAnsi="Times New Roman" w:cs="Times New Roman"/>
          <w:sz w:val="24"/>
          <w:szCs w:val="24"/>
          <w:lang w:val="en-US"/>
        </w:rPr>
        <w:t>C</w:t>
      </w:r>
      <w:r>
        <w:rPr>
          <w:rFonts w:ascii="Times New Roman" w:hAnsi="Times New Roman" w:cs="Times New Roman"/>
          <w:sz w:val="24"/>
          <w:szCs w:val="24"/>
          <w:lang w:val="en-US"/>
        </w:rPr>
        <w:t xml:space="preserve">ourt of </w:t>
      </w:r>
      <w:r w:rsidR="00D10B27" w:rsidRPr="00DF1F13">
        <w:rPr>
          <w:rFonts w:ascii="Times New Roman" w:hAnsi="Times New Roman" w:cs="Times New Roman"/>
          <w:sz w:val="24"/>
          <w:szCs w:val="24"/>
          <w:lang w:val="en-US"/>
        </w:rPr>
        <w:t>J</w:t>
      </w:r>
      <w:r>
        <w:rPr>
          <w:rFonts w:ascii="Times New Roman" w:hAnsi="Times New Roman" w:cs="Times New Roman"/>
          <w:sz w:val="24"/>
          <w:szCs w:val="24"/>
          <w:lang w:val="en-US"/>
        </w:rPr>
        <w:t>ustice</w:t>
      </w:r>
      <w:r w:rsidR="00946FDC">
        <w:rPr>
          <w:rFonts w:ascii="Times New Roman" w:hAnsi="Times New Roman" w:cs="Times New Roman"/>
          <w:sz w:val="24"/>
          <w:szCs w:val="24"/>
          <w:lang w:val="en-US"/>
        </w:rPr>
        <w:t xml:space="preserve"> has</w:t>
      </w:r>
      <w:r w:rsidR="00D10B27" w:rsidRPr="00DF1F13">
        <w:rPr>
          <w:rFonts w:ascii="Times New Roman" w:hAnsi="Times New Roman" w:cs="Times New Roman"/>
          <w:sz w:val="24"/>
          <w:szCs w:val="24"/>
          <w:lang w:val="en-US"/>
        </w:rPr>
        <w:t xml:space="preserve"> </w:t>
      </w:r>
      <w:r w:rsidR="00946FDC" w:rsidRPr="00946FDC">
        <w:rPr>
          <w:rFonts w:ascii="Times New Roman" w:hAnsi="Times New Roman" w:cs="Times New Roman"/>
          <w:sz w:val="24"/>
          <w:szCs w:val="24"/>
          <w:lang w:val="en-US"/>
        </w:rPr>
        <w:t>demonstrate</w:t>
      </w:r>
      <w:r w:rsidR="00946FDC">
        <w:rPr>
          <w:rFonts w:ascii="Times New Roman" w:hAnsi="Times New Roman" w:cs="Times New Roman"/>
          <w:sz w:val="24"/>
          <w:szCs w:val="24"/>
          <w:lang w:val="en-US"/>
        </w:rPr>
        <w:t xml:space="preserve">d </w:t>
      </w:r>
      <w:r w:rsidR="00D10B27" w:rsidRPr="00DF1F13">
        <w:rPr>
          <w:rFonts w:ascii="Times New Roman" w:hAnsi="Times New Roman" w:cs="Times New Roman"/>
          <w:sz w:val="24"/>
          <w:szCs w:val="24"/>
          <w:lang w:val="en-US"/>
        </w:rPr>
        <w:t xml:space="preserve"> that “absolute immunity ratione personae also applies to foreign ministers because they are responsible for the international relations of the state and " [i] n the performance of these functions, he or she is frequently required to travel internationally, and thus must be in a position freely to do so whenever the need should arise."</w:t>
      </w:r>
      <w:r w:rsidR="00D10B27" w:rsidRPr="00DF1F13">
        <w:rPr>
          <w:rStyle w:val="Znakapoznpodarou"/>
          <w:rFonts w:ascii="Times New Roman" w:hAnsi="Times New Roman" w:cs="Times New Roman"/>
          <w:sz w:val="24"/>
          <w:szCs w:val="24"/>
          <w:lang w:val="en-US"/>
        </w:rPr>
        <w:footnoteReference w:id="31"/>
      </w:r>
      <w:r w:rsidR="0013561E" w:rsidRPr="00DF1F13">
        <w:rPr>
          <w:rFonts w:ascii="Times New Roman" w:hAnsi="Times New Roman" w:cs="Times New Roman"/>
          <w:sz w:val="24"/>
          <w:szCs w:val="24"/>
          <w:lang w:val="en-US"/>
        </w:rPr>
        <w:t xml:space="preserve"> </w:t>
      </w:r>
      <w:r w:rsidR="000053C7" w:rsidRPr="00DF1F13">
        <w:rPr>
          <w:rFonts w:ascii="Times New Roman" w:hAnsi="Times New Roman" w:cs="Times New Roman"/>
          <w:sz w:val="24"/>
          <w:szCs w:val="24"/>
          <w:lang w:val="en-US"/>
        </w:rPr>
        <w:t>This recognition by</w:t>
      </w:r>
      <w:r w:rsidR="0013561E" w:rsidRPr="00DF1F13">
        <w:rPr>
          <w:rFonts w:ascii="Times New Roman" w:hAnsi="Times New Roman" w:cs="Times New Roman"/>
          <w:sz w:val="24"/>
          <w:szCs w:val="24"/>
          <w:lang w:val="en-US"/>
        </w:rPr>
        <w:t xml:space="preserve"> the</w:t>
      </w:r>
      <w:r w:rsidR="000053C7" w:rsidRPr="00DF1F13">
        <w:rPr>
          <w:rFonts w:ascii="Times New Roman" w:hAnsi="Times New Roman" w:cs="Times New Roman"/>
          <w:sz w:val="24"/>
          <w:szCs w:val="24"/>
          <w:lang w:val="en-US"/>
        </w:rPr>
        <w:t xml:space="preserve"> ICJ will increase the number of senior officials entitled to such a </w:t>
      </w:r>
      <w:r w:rsidR="001D3AE4" w:rsidRPr="00DF1F13">
        <w:rPr>
          <w:rFonts w:ascii="Times New Roman" w:hAnsi="Times New Roman" w:cs="Times New Roman"/>
          <w:sz w:val="24"/>
          <w:szCs w:val="24"/>
          <w:lang w:val="en-US"/>
        </w:rPr>
        <w:t xml:space="preserve">privilege. </w:t>
      </w:r>
    </w:p>
    <w:p w14:paraId="5BC21A53" w14:textId="383A99CD" w:rsidR="00A61447" w:rsidRPr="00DF1F13" w:rsidRDefault="001D3AE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Nowadays</w:t>
      </w:r>
      <w:r w:rsidR="00CC07F4" w:rsidRPr="00DF1F13">
        <w:rPr>
          <w:rFonts w:ascii="Times New Roman" w:hAnsi="Times New Roman" w:cs="Times New Roman"/>
          <w:sz w:val="24"/>
          <w:szCs w:val="24"/>
          <w:lang w:val="en-US"/>
        </w:rPr>
        <w:t xml:space="preserve">, the development of international affairs requests that a very wide range of </w:t>
      </w:r>
      <w:r w:rsidR="0026584A">
        <w:rPr>
          <w:rFonts w:ascii="Times New Roman" w:hAnsi="Times New Roman" w:cs="Times New Roman"/>
          <w:sz w:val="24"/>
          <w:szCs w:val="24"/>
          <w:lang w:val="en-US"/>
        </w:rPr>
        <w:t>s</w:t>
      </w:r>
      <w:r w:rsidR="00CC07F4" w:rsidRPr="00DF1F13">
        <w:rPr>
          <w:rFonts w:ascii="Times New Roman" w:hAnsi="Times New Roman" w:cs="Times New Roman"/>
          <w:sz w:val="24"/>
          <w:szCs w:val="24"/>
          <w:lang w:val="en-US"/>
        </w:rPr>
        <w:t>tate agents</w:t>
      </w:r>
      <w:r w:rsidR="004E123A">
        <w:rPr>
          <w:rFonts w:ascii="Times New Roman" w:hAnsi="Times New Roman" w:cs="Times New Roman"/>
          <w:sz w:val="24"/>
          <w:szCs w:val="24"/>
          <w:lang w:val="en-US"/>
        </w:rPr>
        <w:t xml:space="preserve"> from different ranking</w:t>
      </w:r>
      <w:r w:rsidR="00CC07F4" w:rsidRPr="00DF1F13">
        <w:rPr>
          <w:rFonts w:ascii="Times New Roman" w:hAnsi="Times New Roman" w:cs="Times New Roman"/>
          <w:sz w:val="24"/>
          <w:szCs w:val="24"/>
          <w:lang w:val="en-US"/>
        </w:rPr>
        <w:t xml:space="preserve"> </w:t>
      </w:r>
      <w:r w:rsidR="004E123A">
        <w:rPr>
          <w:rFonts w:ascii="Times New Roman" w:hAnsi="Times New Roman" w:cs="Times New Roman"/>
          <w:sz w:val="24"/>
          <w:szCs w:val="24"/>
          <w:lang w:val="en-US"/>
        </w:rPr>
        <w:t xml:space="preserve">move </w:t>
      </w:r>
      <w:r w:rsidR="00CC07F4" w:rsidRPr="00DF1F13">
        <w:rPr>
          <w:rFonts w:ascii="Times New Roman" w:hAnsi="Times New Roman" w:cs="Times New Roman"/>
          <w:sz w:val="24"/>
          <w:szCs w:val="24"/>
          <w:lang w:val="en-US"/>
        </w:rPr>
        <w:t xml:space="preserve">in the </w:t>
      </w:r>
      <w:r w:rsidR="004E123A">
        <w:rPr>
          <w:rFonts w:ascii="Times New Roman" w:hAnsi="Times New Roman" w:cs="Times New Roman"/>
          <w:sz w:val="24"/>
          <w:szCs w:val="24"/>
          <w:lang w:val="en-US"/>
        </w:rPr>
        <w:t>fulfillment</w:t>
      </w:r>
      <w:r w:rsidR="00CC07F4" w:rsidRPr="00DF1F13">
        <w:rPr>
          <w:rFonts w:ascii="Times New Roman" w:hAnsi="Times New Roman" w:cs="Times New Roman"/>
          <w:sz w:val="24"/>
          <w:szCs w:val="24"/>
          <w:lang w:val="en-US"/>
        </w:rPr>
        <w:t xml:space="preserve"> of their</w:t>
      </w:r>
      <w:r w:rsidR="00047262">
        <w:rPr>
          <w:rFonts w:ascii="Times New Roman" w:hAnsi="Times New Roman" w:cs="Times New Roman"/>
          <w:sz w:val="24"/>
          <w:szCs w:val="24"/>
          <w:lang w:val="en-US"/>
        </w:rPr>
        <w:t xml:space="preserve"> tasks</w:t>
      </w:r>
      <w:r w:rsidR="00CC07F4" w:rsidRPr="00DF1F13">
        <w:rPr>
          <w:rFonts w:ascii="Times New Roman" w:hAnsi="Times New Roman" w:cs="Times New Roman"/>
          <w:sz w:val="24"/>
          <w:szCs w:val="24"/>
          <w:lang w:val="en-US"/>
        </w:rPr>
        <w:t>.</w:t>
      </w:r>
      <w:r w:rsidR="00592900">
        <w:rPr>
          <w:rFonts w:ascii="Times New Roman" w:hAnsi="Times New Roman" w:cs="Times New Roman"/>
          <w:sz w:val="24"/>
          <w:szCs w:val="24"/>
          <w:lang w:val="en-US"/>
        </w:rPr>
        <w:t xml:space="preserve"> Numerous</w:t>
      </w:r>
      <w:r w:rsidR="00AF555D" w:rsidRPr="00DF1F13">
        <w:rPr>
          <w:rFonts w:ascii="Times New Roman" w:hAnsi="Times New Roman" w:cs="Times New Roman"/>
          <w:sz w:val="24"/>
          <w:szCs w:val="24"/>
          <w:lang w:val="en-US"/>
        </w:rPr>
        <w:t xml:space="preserve"> </w:t>
      </w:r>
      <w:r w:rsidR="00592900" w:rsidRPr="00592900">
        <w:rPr>
          <w:rFonts w:ascii="Times New Roman" w:hAnsi="Times New Roman" w:cs="Times New Roman"/>
          <w:sz w:val="24"/>
          <w:szCs w:val="24"/>
          <w:lang w:val="en-US"/>
        </w:rPr>
        <w:t>department</w:t>
      </w:r>
      <w:r w:rsidR="00592900">
        <w:rPr>
          <w:rFonts w:ascii="Times New Roman" w:hAnsi="Times New Roman" w:cs="Times New Roman"/>
          <w:sz w:val="24"/>
          <w:szCs w:val="24"/>
          <w:lang w:val="en-US"/>
        </w:rPr>
        <w:t xml:space="preserve">s different from those in charge of external </w:t>
      </w:r>
      <w:r w:rsidR="00592900" w:rsidRPr="00592900">
        <w:rPr>
          <w:rFonts w:ascii="Times New Roman" w:hAnsi="Times New Roman" w:cs="Times New Roman"/>
          <w:sz w:val="24"/>
          <w:szCs w:val="24"/>
          <w:lang w:val="en-US"/>
        </w:rPr>
        <w:t>matters</w:t>
      </w:r>
      <w:r w:rsidR="00592900">
        <w:rPr>
          <w:rFonts w:ascii="Times New Roman" w:hAnsi="Times New Roman" w:cs="Times New Roman"/>
          <w:sz w:val="24"/>
          <w:szCs w:val="24"/>
          <w:lang w:val="en-US"/>
        </w:rPr>
        <w:t xml:space="preserve"> </w:t>
      </w:r>
      <w:r w:rsidR="002E5ECE" w:rsidRPr="002E5ECE">
        <w:rPr>
          <w:rFonts w:ascii="Times New Roman" w:hAnsi="Times New Roman" w:cs="Times New Roman"/>
          <w:sz w:val="24"/>
          <w:szCs w:val="24"/>
          <w:lang w:val="en-US"/>
        </w:rPr>
        <w:t xml:space="preserve">occasionally execute </w:t>
      </w:r>
      <w:r w:rsidR="002E5ECE">
        <w:rPr>
          <w:rFonts w:ascii="Times New Roman" w:hAnsi="Times New Roman" w:cs="Times New Roman"/>
          <w:sz w:val="24"/>
          <w:szCs w:val="24"/>
          <w:lang w:val="en-US"/>
        </w:rPr>
        <w:t xml:space="preserve">some actions </w:t>
      </w:r>
      <w:r w:rsidR="00AF555D" w:rsidRPr="00DF1F13">
        <w:rPr>
          <w:rFonts w:ascii="Times New Roman" w:hAnsi="Times New Roman" w:cs="Times New Roman"/>
          <w:sz w:val="24"/>
          <w:szCs w:val="24"/>
          <w:lang w:val="en-US"/>
        </w:rPr>
        <w:t xml:space="preserve">on behalf of their </w:t>
      </w:r>
      <w:r w:rsidR="002E5ECE">
        <w:rPr>
          <w:rFonts w:ascii="Times New Roman" w:hAnsi="Times New Roman" w:cs="Times New Roman"/>
          <w:sz w:val="24"/>
          <w:szCs w:val="24"/>
          <w:lang w:val="en-US"/>
        </w:rPr>
        <w:t>country</w:t>
      </w:r>
      <w:r w:rsidR="00AF555D" w:rsidRPr="00DF1F13">
        <w:rPr>
          <w:rFonts w:ascii="Times New Roman" w:hAnsi="Times New Roman" w:cs="Times New Roman"/>
          <w:sz w:val="24"/>
          <w:szCs w:val="24"/>
          <w:lang w:val="en-US"/>
        </w:rPr>
        <w:t xml:space="preserve"> at </w:t>
      </w:r>
      <w:r w:rsidR="00493107" w:rsidRPr="00493107">
        <w:rPr>
          <w:rFonts w:ascii="Times New Roman" w:hAnsi="Times New Roman" w:cs="Times New Roman"/>
          <w:sz w:val="24"/>
          <w:szCs w:val="24"/>
          <w:lang w:val="en-US"/>
        </w:rPr>
        <w:t xml:space="preserve">global </w:t>
      </w:r>
      <w:r w:rsidR="00AF555D" w:rsidRPr="00DF1F13">
        <w:rPr>
          <w:rFonts w:ascii="Times New Roman" w:hAnsi="Times New Roman" w:cs="Times New Roman"/>
          <w:sz w:val="24"/>
          <w:szCs w:val="24"/>
          <w:lang w:val="en-US"/>
        </w:rPr>
        <w:t>level. They</w:t>
      </w:r>
      <w:r w:rsidR="00B971E7">
        <w:rPr>
          <w:rFonts w:ascii="Times New Roman" w:hAnsi="Times New Roman" w:cs="Times New Roman"/>
          <w:sz w:val="24"/>
          <w:szCs w:val="24"/>
          <w:lang w:val="en-US"/>
        </w:rPr>
        <w:t xml:space="preserve"> can supervise</w:t>
      </w:r>
      <w:r w:rsidR="0044612A">
        <w:rPr>
          <w:rFonts w:ascii="Times New Roman" w:hAnsi="Times New Roman" w:cs="Times New Roman"/>
          <w:sz w:val="24"/>
          <w:szCs w:val="24"/>
          <w:lang w:val="en-US"/>
        </w:rPr>
        <w:t xml:space="preserve"> </w:t>
      </w:r>
      <w:r w:rsidR="0044612A" w:rsidRPr="0044612A">
        <w:rPr>
          <w:rFonts w:ascii="Times New Roman" w:hAnsi="Times New Roman" w:cs="Times New Roman"/>
          <w:sz w:val="24"/>
          <w:szCs w:val="24"/>
          <w:lang w:val="en-US"/>
        </w:rPr>
        <w:t>discussion</w:t>
      </w:r>
      <w:r w:rsidR="00053A39">
        <w:rPr>
          <w:rFonts w:ascii="Times New Roman" w:hAnsi="Times New Roman" w:cs="Times New Roman"/>
          <w:sz w:val="24"/>
          <w:szCs w:val="24"/>
          <w:lang w:val="en-US"/>
        </w:rPr>
        <w:t>s</w:t>
      </w:r>
      <w:r w:rsidR="0044612A">
        <w:rPr>
          <w:rFonts w:ascii="Times New Roman" w:hAnsi="Times New Roman" w:cs="Times New Roman"/>
          <w:sz w:val="24"/>
          <w:szCs w:val="24"/>
          <w:lang w:val="en-US"/>
        </w:rPr>
        <w:t xml:space="preserve"> with their </w:t>
      </w:r>
      <w:r w:rsidR="0044612A" w:rsidRPr="0044612A">
        <w:rPr>
          <w:rFonts w:ascii="Times New Roman" w:hAnsi="Times New Roman" w:cs="Times New Roman"/>
          <w:sz w:val="24"/>
          <w:szCs w:val="24"/>
          <w:lang w:val="en-US"/>
        </w:rPr>
        <w:t>counterpart</w:t>
      </w:r>
      <w:r w:rsidR="0044612A">
        <w:rPr>
          <w:rFonts w:ascii="Times New Roman" w:hAnsi="Times New Roman" w:cs="Times New Roman"/>
          <w:sz w:val="24"/>
          <w:szCs w:val="24"/>
          <w:lang w:val="en-US"/>
        </w:rPr>
        <w:t>s or</w:t>
      </w:r>
      <w:r w:rsidR="00AF555D" w:rsidRPr="00DF1F13">
        <w:rPr>
          <w:rFonts w:ascii="Times New Roman" w:hAnsi="Times New Roman" w:cs="Times New Roman"/>
          <w:sz w:val="24"/>
          <w:szCs w:val="24"/>
          <w:lang w:val="en-US"/>
        </w:rPr>
        <w:t xml:space="preserve"> </w:t>
      </w:r>
      <w:r w:rsidR="0044612A">
        <w:rPr>
          <w:rFonts w:ascii="Times New Roman" w:hAnsi="Times New Roman" w:cs="Times New Roman"/>
          <w:sz w:val="24"/>
          <w:szCs w:val="24"/>
          <w:lang w:val="en-US"/>
        </w:rPr>
        <w:t xml:space="preserve">to </w:t>
      </w:r>
      <w:r w:rsidR="00AF555D" w:rsidRPr="00DF1F13">
        <w:rPr>
          <w:rFonts w:ascii="Times New Roman" w:hAnsi="Times New Roman" w:cs="Times New Roman"/>
          <w:sz w:val="24"/>
          <w:szCs w:val="24"/>
          <w:lang w:val="en-US"/>
        </w:rPr>
        <w:lastRenderedPageBreak/>
        <w:t>be</w:t>
      </w:r>
      <w:r w:rsidR="0044612A">
        <w:rPr>
          <w:rFonts w:ascii="Times New Roman" w:hAnsi="Times New Roman" w:cs="Times New Roman"/>
          <w:sz w:val="24"/>
          <w:szCs w:val="24"/>
          <w:lang w:val="en-US"/>
        </w:rPr>
        <w:t xml:space="preserve">come </w:t>
      </w:r>
      <w:r w:rsidR="00AF555D" w:rsidRPr="00DF1F13">
        <w:rPr>
          <w:rFonts w:ascii="Times New Roman" w:hAnsi="Times New Roman" w:cs="Times New Roman"/>
          <w:sz w:val="24"/>
          <w:szCs w:val="24"/>
          <w:lang w:val="en-US"/>
        </w:rPr>
        <w:t>the</w:t>
      </w:r>
      <w:r w:rsidR="00BE7D8F">
        <w:rPr>
          <w:rFonts w:ascii="Times New Roman" w:hAnsi="Times New Roman" w:cs="Times New Roman"/>
          <w:sz w:val="24"/>
          <w:szCs w:val="24"/>
          <w:lang w:val="en-US"/>
        </w:rPr>
        <w:t xml:space="preserve"> </w:t>
      </w:r>
      <w:r w:rsidR="00BE7D8F" w:rsidRPr="00BE7D8F">
        <w:rPr>
          <w:rFonts w:ascii="Times New Roman" w:hAnsi="Times New Roman" w:cs="Times New Roman"/>
          <w:sz w:val="24"/>
          <w:szCs w:val="24"/>
          <w:lang w:val="en-US"/>
        </w:rPr>
        <w:t>envoy</w:t>
      </w:r>
      <w:r w:rsidR="00BE7D8F">
        <w:rPr>
          <w:rFonts w:ascii="Times New Roman" w:hAnsi="Times New Roman" w:cs="Times New Roman"/>
          <w:sz w:val="24"/>
          <w:szCs w:val="24"/>
          <w:lang w:val="en-US"/>
        </w:rPr>
        <w:t xml:space="preserve">s </w:t>
      </w:r>
      <w:r w:rsidR="00AF555D" w:rsidRPr="00DF1F13">
        <w:rPr>
          <w:rFonts w:ascii="Times New Roman" w:hAnsi="Times New Roman" w:cs="Times New Roman"/>
          <w:sz w:val="24"/>
          <w:szCs w:val="24"/>
          <w:lang w:val="en-US"/>
        </w:rPr>
        <w:t xml:space="preserve">of their </w:t>
      </w:r>
      <w:r w:rsidR="00BE7D8F">
        <w:rPr>
          <w:rFonts w:ascii="Times New Roman" w:hAnsi="Times New Roman" w:cs="Times New Roman"/>
          <w:sz w:val="24"/>
          <w:szCs w:val="24"/>
          <w:lang w:val="en-US"/>
        </w:rPr>
        <w:t>State in</w:t>
      </w:r>
      <w:r w:rsidR="00AF555D" w:rsidRPr="00DF1F13">
        <w:rPr>
          <w:rFonts w:ascii="Times New Roman" w:hAnsi="Times New Roman" w:cs="Times New Roman"/>
          <w:sz w:val="24"/>
          <w:szCs w:val="24"/>
          <w:lang w:val="en-US"/>
        </w:rPr>
        <w:t xml:space="preserve"> </w:t>
      </w:r>
      <w:r w:rsidR="00053A39">
        <w:rPr>
          <w:rFonts w:ascii="Times New Roman" w:hAnsi="Times New Roman" w:cs="Times New Roman"/>
          <w:sz w:val="24"/>
          <w:szCs w:val="24"/>
          <w:lang w:val="en-US"/>
        </w:rPr>
        <w:t>worldwide meeting</w:t>
      </w:r>
      <w:r w:rsidR="00AF555D" w:rsidRPr="00DF1F13">
        <w:rPr>
          <w:rFonts w:ascii="Times New Roman" w:hAnsi="Times New Roman" w:cs="Times New Roman"/>
          <w:sz w:val="24"/>
          <w:szCs w:val="24"/>
          <w:lang w:val="en-US"/>
        </w:rPr>
        <w:t>.</w:t>
      </w:r>
      <w:r w:rsidR="00CA7297" w:rsidRPr="00DF1F13">
        <w:rPr>
          <w:rFonts w:ascii="Times New Roman" w:hAnsi="Times New Roman" w:cs="Times New Roman"/>
          <w:sz w:val="24"/>
          <w:szCs w:val="24"/>
        </w:rPr>
        <w:t xml:space="preserve"> </w:t>
      </w:r>
      <w:r w:rsidR="00CA7297" w:rsidRPr="00DF1F13">
        <w:rPr>
          <w:rFonts w:ascii="Times New Roman" w:hAnsi="Times New Roman" w:cs="Times New Roman"/>
          <w:sz w:val="24"/>
          <w:szCs w:val="24"/>
          <w:lang w:val="en-US"/>
        </w:rPr>
        <w:t>In fact, every minister may have at least a certain level of international implication.</w:t>
      </w:r>
    </w:p>
    <w:p w14:paraId="5E14F080" w14:textId="4FDF35D7" w:rsidR="0013561E" w:rsidRPr="00DF1F13" w:rsidRDefault="00A6144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Previously the mere fact that an official was acting in international relations, was not approved sufficient to grant immunity ratione personae.</w:t>
      </w:r>
      <w:r w:rsidR="00E32082" w:rsidRPr="00DF1F13">
        <w:rPr>
          <w:rFonts w:ascii="Times New Roman" w:hAnsi="Times New Roman" w:cs="Times New Roman"/>
          <w:sz w:val="24"/>
          <w:szCs w:val="24"/>
          <w:lang w:val="en-US"/>
        </w:rPr>
        <w:t xml:space="preserve"> Indeed, in international organizations</w:t>
      </w:r>
      <w:r w:rsidR="0026584A">
        <w:rPr>
          <w:rFonts w:ascii="Times New Roman" w:hAnsi="Times New Roman" w:cs="Times New Roman"/>
          <w:sz w:val="24"/>
          <w:szCs w:val="24"/>
          <w:lang w:val="en-US"/>
        </w:rPr>
        <w:t xml:space="preserve"> s</w:t>
      </w:r>
      <w:r w:rsidR="00E32082" w:rsidRPr="00DF1F13">
        <w:rPr>
          <w:rFonts w:ascii="Times New Roman" w:hAnsi="Times New Roman" w:cs="Times New Roman"/>
          <w:sz w:val="24"/>
          <w:szCs w:val="24"/>
          <w:lang w:val="en-US"/>
        </w:rPr>
        <w:t>tate representatives generally enjoy immunity through a</w:t>
      </w:r>
      <w:r w:rsidR="00A84E92">
        <w:rPr>
          <w:rFonts w:ascii="Times New Roman" w:hAnsi="Times New Roman" w:cs="Times New Roman"/>
          <w:sz w:val="24"/>
          <w:szCs w:val="24"/>
          <w:lang w:val="en-US"/>
        </w:rPr>
        <w:t>n agreement</w:t>
      </w:r>
      <w:r w:rsidR="00E32082" w:rsidRPr="00DF1F13">
        <w:rPr>
          <w:rFonts w:ascii="Times New Roman" w:hAnsi="Times New Roman" w:cs="Times New Roman"/>
          <w:sz w:val="24"/>
          <w:szCs w:val="24"/>
          <w:lang w:val="en-US"/>
        </w:rPr>
        <w:t>.</w:t>
      </w:r>
      <w:r w:rsidR="00E32082" w:rsidRPr="00DF1F13">
        <w:rPr>
          <w:rStyle w:val="Znakapoznpodarou"/>
          <w:rFonts w:ascii="Times New Roman" w:hAnsi="Times New Roman" w:cs="Times New Roman"/>
          <w:sz w:val="24"/>
          <w:szCs w:val="24"/>
          <w:lang w:val="en-US"/>
        </w:rPr>
        <w:footnoteReference w:id="32"/>
      </w:r>
      <w:r w:rsidR="00B6139C" w:rsidRPr="00DF1F13">
        <w:rPr>
          <w:rFonts w:ascii="Times New Roman" w:hAnsi="Times New Roman" w:cs="Times New Roman"/>
          <w:sz w:val="24"/>
          <w:szCs w:val="24"/>
          <w:lang w:val="en-US"/>
        </w:rPr>
        <w:t xml:space="preserve"> </w:t>
      </w:r>
    </w:p>
    <w:p w14:paraId="0FA9E084" w14:textId="38CD26FC" w:rsidR="007D190A" w:rsidRPr="00DF1F13" w:rsidRDefault="00620595" w:rsidP="00DF1F13">
      <w:pPr>
        <w:spacing w:before="240" w:after="240" w:line="360" w:lineRule="auto"/>
        <w:ind w:left="170" w:right="113"/>
        <w:jc w:val="both"/>
        <w:rPr>
          <w:rFonts w:ascii="Times New Roman" w:hAnsi="Times New Roman" w:cs="Times New Roman"/>
          <w:sz w:val="24"/>
          <w:szCs w:val="24"/>
          <w:lang w:val="en-US"/>
        </w:rPr>
      </w:pPr>
      <w:r w:rsidRPr="00620595">
        <w:rPr>
          <w:rFonts w:ascii="Times New Roman" w:hAnsi="Times New Roman" w:cs="Times New Roman"/>
          <w:sz w:val="24"/>
          <w:szCs w:val="24"/>
          <w:lang w:val="en-US"/>
        </w:rPr>
        <w:t>Furthermore</w:t>
      </w:r>
      <w:r w:rsidR="00B6139C" w:rsidRPr="00DF1F1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20595">
        <w:rPr>
          <w:rFonts w:ascii="Times New Roman" w:hAnsi="Times New Roman" w:cs="Times New Roman"/>
          <w:sz w:val="24"/>
          <w:szCs w:val="24"/>
          <w:lang w:val="en-US"/>
        </w:rPr>
        <w:t>in accordance with</w:t>
      </w:r>
      <w:r>
        <w:rPr>
          <w:rFonts w:ascii="Times New Roman" w:hAnsi="Times New Roman" w:cs="Times New Roman"/>
          <w:sz w:val="24"/>
          <w:szCs w:val="24"/>
          <w:lang w:val="en-US"/>
        </w:rPr>
        <w:t xml:space="preserve"> </w:t>
      </w:r>
      <w:r w:rsidR="00B6139C" w:rsidRPr="00DF1F13">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w:t>
      </w:r>
      <w:r w:rsidRPr="00DF1F13">
        <w:rPr>
          <w:rFonts w:ascii="Times New Roman" w:hAnsi="Times New Roman" w:cs="Times New Roman"/>
          <w:sz w:val="24"/>
          <w:szCs w:val="24"/>
          <w:lang w:val="en-US"/>
        </w:rPr>
        <w:t>customary</w:t>
      </w:r>
      <w:r>
        <w:rPr>
          <w:rFonts w:ascii="Times New Roman" w:hAnsi="Times New Roman" w:cs="Times New Roman"/>
          <w:sz w:val="24"/>
          <w:szCs w:val="24"/>
          <w:lang w:val="en-US"/>
        </w:rPr>
        <w:t xml:space="preserve"> regulation</w:t>
      </w:r>
      <w:r w:rsidR="00B6139C" w:rsidRPr="00DF1F13">
        <w:rPr>
          <w:rFonts w:ascii="Times New Roman" w:hAnsi="Times New Roman" w:cs="Times New Roman"/>
          <w:sz w:val="24"/>
          <w:szCs w:val="24"/>
          <w:lang w:val="en-US"/>
        </w:rPr>
        <w:t xml:space="preserve"> </w:t>
      </w:r>
      <w:r w:rsidR="00FC3FC3" w:rsidRPr="00DF1F13">
        <w:rPr>
          <w:rFonts w:ascii="Times New Roman" w:hAnsi="Times New Roman" w:cs="Times New Roman"/>
          <w:sz w:val="24"/>
          <w:szCs w:val="24"/>
          <w:lang w:val="en-US"/>
        </w:rPr>
        <w:t>and</w:t>
      </w:r>
      <w:r w:rsidR="00FC3FC3">
        <w:rPr>
          <w:rFonts w:ascii="Times New Roman" w:hAnsi="Times New Roman" w:cs="Times New Roman"/>
          <w:sz w:val="24"/>
          <w:szCs w:val="24"/>
          <w:lang w:val="en-US"/>
        </w:rPr>
        <w:t xml:space="preserve"> the</w:t>
      </w:r>
      <w:r w:rsidR="00B6139C" w:rsidRPr="00DF1F13">
        <w:rPr>
          <w:rFonts w:ascii="Times New Roman" w:hAnsi="Times New Roman" w:cs="Times New Roman"/>
          <w:sz w:val="24"/>
          <w:szCs w:val="24"/>
          <w:lang w:val="en-US"/>
        </w:rPr>
        <w:t xml:space="preserve"> </w:t>
      </w:r>
      <w:r w:rsidR="00FC3FC3">
        <w:rPr>
          <w:rFonts w:ascii="Times New Roman" w:hAnsi="Times New Roman" w:cs="Times New Roman"/>
          <w:sz w:val="24"/>
          <w:szCs w:val="24"/>
          <w:lang w:val="en-US"/>
        </w:rPr>
        <w:t>pact</w:t>
      </w:r>
      <w:r w:rsidR="00B6139C" w:rsidRPr="00DF1F13">
        <w:rPr>
          <w:rFonts w:ascii="Times New Roman" w:hAnsi="Times New Roman" w:cs="Times New Roman"/>
          <w:sz w:val="24"/>
          <w:szCs w:val="24"/>
          <w:lang w:val="en-US"/>
        </w:rPr>
        <w:t xml:space="preserve"> </w:t>
      </w:r>
      <w:r w:rsidR="00FC3FC3">
        <w:rPr>
          <w:rFonts w:ascii="Times New Roman" w:hAnsi="Times New Roman" w:cs="Times New Roman"/>
          <w:sz w:val="24"/>
          <w:szCs w:val="24"/>
          <w:lang w:val="en-US"/>
        </w:rPr>
        <w:t>rule</w:t>
      </w:r>
      <w:r w:rsidR="00B6139C" w:rsidRPr="00DF1F13">
        <w:rPr>
          <w:rFonts w:ascii="Times New Roman" w:hAnsi="Times New Roman" w:cs="Times New Roman"/>
          <w:sz w:val="24"/>
          <w:szCs w:val="24"/>
          <w:lang w:val="en-US"/>
        </w:rPr>
        <w:t>,</w:t>
      </w:r>
      <w:r w:rsidR="00FC3FC3">
        <w:rPr>
          <w:rFonts w:ascii="Times New Roman" w:hAnsi="Times New Roman" w:cs="Times New Roman"/>
          <w:sz w:val="24"/>
          <w:szCs w:val="24"/>
          <w:lang w:val="en-US"/>
        </w:rPr>
        <w:t xml:space="preserve"> </w:t>
      </w:r>
      <w:r w:rsidR="00B6139C" w:rsidRPr="00DF1F13">
        <w:rPr>
          <w:rFonts w:ascii="Times New Roman" w:hAnsi="Times New Roman" w:cs="Times New Roman"/>
          <w:sz w:val="24"/>
          <w:szCs w:val="24"/>
          <w:lang w:val="en-US"/>
        </w:rPr>
        <w:t xml:space="preserve">any </w:t>
      </w:r>
      <w:r w:rsidR="00FC3FC3">
        <w:rPr>
          <w:rFonts w:ascii="Times New Roman" w:hAnsi="Times New Roman" w:cs="Times New Roman"/>
          <w:sz w:val="24"/>
          <w:szCs w:val="24"/>
          <w:lang w:val="en-US"/>
        </w:rPr>
        <w:t xml:space="preserve">public agent </w:t>
      </w:r>
      <w:r w:rsidR="007151C3">
        <w:rPr>
          <w:rFonts w:ascii="Times New Roman" w:hAnsi="Times New Roman" w:cs="Times New Roman"/>
          <w:sz w:val="24"/>
          <w:szCs w:val="24"/>
          <w:lang w:val="en-US"/>
        </w:rPr>
        <w:t>performing their duties</w:t>
      </w:r>
      <w:r w:rsidR="00B6139C" w:rsidRPr="00DF1F13">
        <w:rPr>
          <w:rFonts w:ascii="Times New Roman" w:hAnsi="Times New Roman" w:cs="Times New Roman"/>
          <w:sz w:val="24"/>
          <w:szCs w:val="24"/>
          <w:lang w:val="en-US"/>
        </w:rPr>
        <w:t xml:space="preserve"> on a special mission</w:t>
      </w:r>
      <w:r w:rsidR="007151C3">
        <w:rPr>
          <w:rFonts w:ascii="Times New Roman" w:hAnsi="Times New Roman" w:cs="Times New Roman"/>
          <w:sz w:val="24"/>
          <w:szCs w:val="24"/>
          <w:lang w:val="en-US"/>
        </w:rPr>
        <w:t xml:space="preserve"> in another state</w:t>
      </w:r>
      <w:r w:rsidR="00B6139C" w:rsidRPr="00DF1F13">
        <w:rPr>
          <w:rFonts w:ascii="Times New Roman" w:hAnsi="Times New Roman" w:cs="Times New Roman"/>
          <w:sz w:val="24"/>
          <w:szCs w:val="24"/>
          <w:lang w:val="en-US"/>
        </w:rPr>
        <w:t xml:space="preserve"> </w:t>
      </w:r>
      <w:r w:rsidR="007151C3">
        <w:rPr>
          <w:rFonts w:ascii="Times New Roman" w:hAnsi="Times New Roman" w:cs="Times New Roman"/>
          <w:sz w:val="24"/>
          <w:szCs w:val="24"/>
          <w:lang w:val="en-US"/>
        </w:rPr>
        <w:t>can</w:t>
      </w:r>
      <w:r w:rsidR="00B6139C" w:rsidRPr="00DF1F13">
        <w:rPr>
          <w:rFonts w:ascii="Times New Roman" w:hAnsi="Times New Roman" w:cs="Times New Roman"/>
          <w:sz w:val="24"/>
          <w:szCs w:val="24"/>
          <w:lang w:val="en-US"/>
        </w:rPr>
        <w:t xml:space="preserve"> be</w:t>
      </w:r>
      <w:r w:rsidR="00837DDC" w:rsidRPr="00837DDC">
        <w:t xml:space="preserve"> </w:t>
      </w:r>
      <w:r w:rsidR="00837DDC" w:rsidRPr="00837DDC">
        <w:rPr>
          <w:rFonts w:ascii="Times New Roman" w:hAnsi="Times New Roman" w:cs="Times New Roman"/>
          <w:sz w:val="24"/>
          <w:szCs w:val="24"/>
          <w:lang w:val="en-US"/>
        </w:rPr>
        <w:t>untouchable</w:t>
      </w:r>
      <w:r w:rsidR="00B6139C" w:rsidRPr="00DF1F13">
        <w:rPr>
          <w:rFonts w:ascii="Times New Roman" w:hAnsi="Times New Roman" w:cs="Times New Roman"/>
          <w:sz w:val="24"/>
          <w:szCs w:val="24"/>
          <w:lang w:val="en-US"/>
        </w:rPr>
        <w:t xml:space="preserve">, </w:t>
      </w:r>
      <w:r w:rsidR="002213C0">
        <w:rPr>
          <w:rFonts w:ascii="Times New Roman" w:hAnsi="Times New Roman" w:cs="Times New Roman"/>
          <w:sz w:val="24"/>
          <w:szCs w:val="24"/>
          <w:lang w:val="en-US"/>
        </w:rPr>
        <w:t>meaning is not possible</w:t>
      </w:r>
      <w:r w:rsidR="00B6139C" w:rsidRPr="00DF1F13">
        <w:rPr>
          <w:rFonts w:ascii="Times New Roman" w:hAnsi="Times New Roman" w:cs="Times New Roman"/>
          <w:sz w:val="24"/>
          <w:szCs w:val="24"/>
          <w:lang w:val="en-US"/>
        </w:rPr>
        <w:t xml:space="preserve"> </w:t>
      </w:r>
      <w:r w:rsidR="002213C0">
        <w:rPr>
          <w:rFonts w:ascii="Times New Roman" w:hAnsi="Times New Roman" w:cs="Times New Roman"/>
          <w:sz w:val="24"/>
          <w:szCs w:val="24"/>
          <w:lang w:val="en-US"/>
        </w:rPr>
        <w:t xml:space="preserve">to </w:t>
      </w:r>
      <w:r w:rsidR="00B6139C" w:rsidRPr="00DF1F13">
        <w:rPr>
          <w:rFonts w:ascii="Times New Roman" w:hAnsi="Times New Roman" w:cs="Times New Roman"/>
          <w:sz w:val="24"/>
          <w:szCs w:val="24"/>
          <w:lang w:val="en-US"/>
        </w:rPr>
        <w:t>arrest or</w:t>
      </w:r>
      <w:r w:rsidR="002213C0" w:rsidRPr="002213C0">
        <w:t xml:space="preserve"> </w:t>
      </w:r>
      <w:r w:rsidR="002213C0" w:rsidRPr="002213C0">
        <w:rPr>
          <w:rFonts w:ascii="Times New Roman" w:hAnsi="Times New Roman" w:cs="Times New Roman"/>
          <w:sz w:val="24"/>
          <w:szCs w:val="24"/>
          <w:lang w:val="en-US"/>
        </w:rPr>
        <w:t>jailed</w:t>
      </w:r>
      <w:r w:rsidR="002213C0">
        <w:rPr>
          <w:rFonts w:ascii="Times New Roman" w:hAnsi="Times New Roman" w:cs="Times New Roman"/>
          <w:sz w:val="24"/>
          <w:szCs w:val="24"/>
          <w:lang w:val="en-US"/>
        </w:rPr>
        <w:t xml:space="preserve"> him</w:t>
      </w:r>
      <w:r w:rsidR="00B6139C" w:rsidRPr="00DF1F13">
        <w:rPr>
          <w:rFonts w:ascii="Times New Roman" w:hAnsi="Times New Roman" w:cs="Times New Roman"/>
          <w:sz w:val="24"/>
          <w:szCs w:val="24"/>
          <w:lang w:val="en-US"/>
        </w:rPr>
        <w:t>.</w:t>
      </w:r>
      <w:r w:rsidR="00B6139C" w:rsidRPr="00DF1F13">
        <w:rPr>
          <w:rStyle w:val="Znakapoznpodarou"/>
          <w:rFonts w:ascii="Times New Roman" w:hAnsi="Times New Roman" w:cs="Times New Roman"/>
          <w:sz w:val="24"/>
          <w:szCs w:val="24"/>
          <w:lang w:val="en-US"/>
        </w:rPr>
        <w:footnoteReference w:id="33"/>
      </w:r>
      <w:r w:rsidR="00D67803">
        <w:rPr>
          <w:rFonts w:ascii="Times New Roman" w:hAnsi="Times New Roman" w:cs="Times New Roman"/>
          <w:sz w:val="24"/>
          <w:szCs w:val="24"/>
          <w:lang w:val="en-US"/>
        </w:rPr>
        <w:t xml:space="preserve"> Thus</w:t>
      </w:r>
      <w:r w:rsidR="007D190A" w:rsidRPr="00DF1F13">
        <w:rPr>
          <w:rFonts w:ascii="Times New Roman" w:hAnsi="Times New Roman" w:cs="Times New Roman"/>
          <w:sz w:val="24"/>
          <w:szCs w:val="24"/>
          <w:lang w:val="en-US"/>
        </w:rPr>
        <w:t>,</w:t>
      </w:r>
      <w:r w:rsidR="00D67803">
        <w:rPr>
          <w:rFonts w:ascii="Times New Roman" w:hAnsi="Times New Roman" w:cs="Times New Roman"/>
          <w:sz w:val="24"/>
          <w:szCs w:val="24"/>
          <w:lang w:val="en-US"/>
        </w:rPr>
        <w:t xml:space="preserve"> such theory</w:t>
      </w:r>
      <w:r w:rsidR="007D190A" w:rsidRPr="00DF1F13">
        <w:rPr>
          <w:rFonts w:ascii="Times New Roman" w:hAnsi="Times New Roman" w:cs="Times New Roman"/>
          <w:sz w:val="24"/>
          <w:szCs w:val="24"/>
          <w:lang w:val="en-US"/>
        </w:rPr>
        <w:t xml:space="preserve"> is</w:t>
      </w:r>
      <w:r w:rsidR="00D67803">
        <w:rPr>
          <w:rFonts w:ascii="Times New Roman" w:hAnsi="Times New Roman" w:cs="Times New Roman"/>
          <w:sz w:val="24"/>
          <w:szCs w:val="24"/>
          <w:lang w:val="en-US"/>
        </w:rPr>
        <w:t xml:space="preserve"> totally</w:t>
      </w:r>
      <w:r w:rsidR="007D190A" w:rsidRPr="00DF1F13">
        <w:rPr>
          <w:rFonts w:ascii="Times New Roman" w:hAnsi="Times New Roman" w:cs="Times New Roman"/>
          <w:sz w:val="24"/>
          <w:szCs w:val="24"/>
          <w:lang w:val="en-US"/>
        </w:rPr>
        <w:t xml:space="preserve"> </w:t>
      </w:r>
      <w:r w:rsidR="00B77E82" w:rsidRPr="00B77E82">
        <w:rPr>
          <w:rFonts w:ascii="Times New Roman" w:hAnsi="Times New Roman" w:cs="Times New Roman"/>
          <w:sz w:val="24"/>
          <w:szCs w:val="24"/>
          <w:lang w:val="en-US"/>
        </w:rPr>
        <w:t xml:space="preserve">logical </w:t>
      </w:r>
      <w:r w:rsidR="007D190A" w:rsidRPr="00DF1F13">
        <w:rPr>
          <w:rFonts w:ascii="Times New Roman" w:hAnsi="Times New Roman" w:cs="Times New Roman"/>
          <w:sz w:val="24"/>
          <w:szCs w:val="24"/>
          <w:lang w:val="en-US"/>
        </w:rPr>
        <w:t xml:space="preserve">with the </w:t>
      </w:r>
      <w:r w:rsidR="00B77E82">
        <w:rPr>
          <w:rFonts w:ascii="Times New Roman" w:hAnsi="Times New Roman" w:cs="Times New Roman"/>
          <w:sz w:val="24"/>
          <w:szCs w:val="24"/>
          <w:lang w:val="en-US"/>
        </w:rPr>
        <w:t>principle</w:t>
      </w:r>
      <w:r w:rsidR="007D190A" w:rsidRPr="00DF1F13">
        <w:rPr>
          <w:rFonts w:ascii="Times New Roman" w:hAnsi="Times New Roman" w:cs="Times New Roman"/>
          <w:sz w:val="24"/>
          <w:szCs w:val="24"/>
          <w:lang w:val="en-US"/>
        </w:rPr>
        <w:t xml:space="preserve"> </w:t>
      </w:r>
      <w:r w:rsidR="00B77E82" w:rsidRPr="00B77E82">
        <w:rPr>
          <w:rFonts w:ascii="Times New Roman" w:hAnsi="Times New Roman" w:cs="Times New Roman"/>
          <w:sz w:val="24"/>
          <w:szCs w:val="24"/>
          <w:lang w:val="en-US"/>
        </w:rPr>
        <w:t xml:space="preserve">supporting </w:t>
      </w:r>
      <w:r w:rsidR="007D190A" w:rsidRPr="00DF1F13">
        <w:rPr>
          <w:rFonts w:ascii="Times New Roman" w:hAnsi="Times New Roman" w:cs="Times New Roman"/>
          <w:sz w:val="24"/>
          <w:szCs w:val="24"/>
          <w:lang w:val="en-US"/>
        </w:rPr>
        <w:t>immunity ratione personae.</w:t>
      </w:r>
    </w:p>
    <w:p w14:paraId="4F24972A" w14:textId="7C69FDC3" w:rsidR="003A058D" w:rsidRPr="00DF1F13" w:rsidRDefault="00DF1F13" w:rsidP="00DF1F13">
      <w:pPr>
        <w:pStyle w:val="Nadpis1"/>
        <w:spacing w:after="240"/>
        <w:ind w:left="170" w:right="113"/>
        <w:jc w:val="both"/>
        <w:rPr>
          <w:rFonts w:ascii="Times New Roman" w:hAnsi="Times New Roman" w:cs="Times New Roman"/>
          <w:b/>
          <w:bCs/>
          <w:color w:val="auto"/>
        </w:rPr>
      </w:pPr>
      <w:bookmarkStart w:id="22" w:name="_Toc109340798"/>
      <w:r w:rsidRPr="00DF1F13">
        <w:rPr>
          <w:rFonts w:ascii="Times New Roman" w:hAnsi="Times New Roman" w:cs="Times New Roman"/>
          <w:b/>
          <w:bCs/>
          <w:color w:val="auto"/>
        </w:rPr>
        <w:t xml:space="preserve">2.2 </w:t>
      </w:r>
      <w:r w:rsidR="003A058D" w:rsidRPr="00DF1F13">
        <w:rPr>
          <w:rFonts w:ascii="Times New Roman" w:hAnsi="Times New Roman" w:cs="Times New Roman"/>
          <w:b/>
          <w:bCs/>
          <w:color w:val="auto"/>
        </w:rPr>
        <w:t>Immunity Ratione Materiae (Immunity Atta</w:t>
      </w:r>
      <w:r w:rsidRPr="00DF1F13">
        <w:rPr>
          <w:rFonts w:ascii="Times New Roman" w:hAnsi="Times New Roman" w:cs="Times New Roman"/>
          <w:b/>
          <w:bCs/>
          <w:color w:val="auto"/>
        </w:rPr>
        <w:t>ching to Official Acts)</w:t>
      </w:r>
      <w:bookmarkEnd w:id="22"/>
    </w:p>
    <w:p w14:paraId="0D669406" w14:textId="77777777" w:rsidR="0013561E" w:rsidRPr="00DF1F13" w:rsidRDefault="00895EB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Similarly state officials who are not accorded immunity ratione personae, cannot be prosecuted by the jurisdiction of other states with regards to any acts that they carried out in their official capacity ("functional immunity" or "immunity ratione materiae").</w:t>
      </w:r>
      <w:r w:rsidRPr="00DF1F13">
        <w:rPr>
          <w:rStyle w:val="Znakapoznpodarou"/>
          <w:rFonts w:ascii="Times New Roman" w:hAnsi="Times New Roman" w:cs="Times New Roman"/>
          <w:sz w:val="24"/>
          <w:szCs w:val="24"/>
          <w:lang w:val="en-US"/>
        </w:rPr>
        <w:footnoteReference w:id="34"/>
      </w:r>
      <w:r w:rsidR="00D85BBF" w:rsidRPr="00DF1F13">
        <w:rPr>
          <w:rFonts w:ascii="Times New Roman" w:hAnsi="Times New Roman" w:cs="Times New Roman"/>
          <w:sz w:val="24"/>
          <w:szCs w:val="24"/>
          <w:lang w:val="en-US"/>
        </w:rPr>
        <w:t xml:space="preserve"> As this kind of immunity link to the official act, it can be invoked not only by serving officials, but also by former officials with regards to official acts achieved during their function.</w:t>
      </w:r>
      <w:r w:rsidR="00D85BBF" w:rsidRPr="00DF1F13">
        <w:rPr>
          <w:rStyle w:val="Znakapoznpodarou"/>
          <w:rFonts w:ascii="Times New Roman" w:hAnsi="Times New Roman" w:cs="Times New Roman"/>
          <w:sz w:val="24"/>
          <w:szCs w:val="24"/>
          <w:lang w:val="en-US"/>
        </w:rPr>
        <w:footnoteReference w:id="35"/>
      </w:r>
    </w:p>
    <w:p w14:paraId="29CE320A" w14:textId="6F24F59B" w:rsidR="00D3211B" w:rsidRPr="00DF1F13" w:rsidRDefault="00AD5C25"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Likewise, it can be invoked by anyone who is not necessarily state officials or organs but who was performing some actions on behalf of the </w:t>
      </w:r>
      <w:r w:rsidR="00CE3318">
        <w:rPr>
          <w:rFonts w:ascii="Times New Roman" w:hAnsi="Times New Roman" w:cs="Times New Roman"/>
          <w:sz w:val="24"/>
          <w:szCs w:val="24"/>
          <w:lang w:val="en-US"/>
        </w:rPr>
        <w:t>s</w:t>
      </w:r>
      <w:r w:rsidRPr="00DF1F13">
        <w:rPr>
          <w:rFonts w:ascii="Times New Roman" w:hAnsi="Times New Roman" w:cs="Times New Roman"/>
          <w:sz w:val="24"/>
          <w:szCs w:val="24"/>
          <w:lang w:val="en-US"/>
        </w:rPr>
        <w:t>tate.</w:t>
      </w:r>
      <w:r w:rsidR="005944CF" w:rsidRPr="00DF1F13">
        <w:rPr>
          <w:rStyle w:val="Znakapoznpodarou"/>
          <w:rFonts w:ascii="Times New Roman" w:hAnsi="Times New Roman" w:cs="Times New Roman"/>
          <w:sz w:val="24"/>
          <w:szCs w:val="24"/>
          <w:lang w:val="en-US"/>
        </w:rPr>
        <w:footnoteReference w:id="36"/>
      </w:r>
      <w:r w:rsidR="00187DF7" w:rsidRPr="00DF1F13">
        <w:rPr>
          <w:rFonts w:ascii="Times New Roman" w:hAnsi="Times New Roman" w:cs="Times New Roman"/>
          <w:sz w:val="24"/>
          <w:szCs w:val="24"/>
          <w:lang w:val="en-US"/>
        </w:rPr>
        <w:t xml:space="preserve"> The practice of immunity ratione materiae with regards to state officials has happened frequently in civil than criminal matter.</w:t>
      </w:r>
      <w:r w:rsidR="00187DF7" w:rsidRPr="00DF1F13">
        <w:rPr>
          <w:rStyle w:val="Znakapoznpodarou"/>
          <w:rFonts w:ascii="Times New Roman" w:hAnsi="Times New Roman" w:cs="Times New Roman"/>
          <w:sz w:val="24"/>
          <w:szCs w:val="24"/>
          <w:lang w:val="en-US"/>
        </w:rPr>
        <w:footnoteReference w:id="37"/>
      </w:r>
    </w:p>
    <w:p w14:paraId="67D13EE0" w14:textId="54BBF6E4" w:rsidR="00D3211B" w:rsidRPr="00DF1F13" w:rsidRDefault="00E74C3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the purpose is easy to explain.</w:t>
      </w:r>
      <w:r w:rsidR="00960AC5" w:rsidRPr="00DF1F13">
        <w:rPr>
          <w:rFonts w:ascii="Times New Roman" w:hAnsi="Times New Roman" w:cs="Times New Roman"/>
          <w:sz w:val="24"/>
          <w:szCs w:val="24"/>
          <w:lang w:val="en-US"/>
        </w:rPr>
        <w:t xml:space="preserve"> State criminal jurisdiction is mainly territorial, and </w:t>
      </w:r>
      <w:r w:rsidR="00CE3318">
        <w:rPr>
          <w:rFonts w:ascii="Times New Roman" w:hAnsi="Times New Roman" w:cs="Times New Roman"/>
          <w:sz w:val="24"/>
          <w:szCs w:val="24"/>
          <w:lang w:val="en-US"/>
        </w:rPr>
        <w:t>s</w:t>
      </w:r>
      <w:r w:rsidR="00960AC5" w:rsidRPr="00DF1F13">
        <w:rPr>
          <w:rFonts w:ascii="Times New Roman" w:hAnsi="Times New Roman" w:cs="Times New Roman"/>
          <w:sz w:val="24"/>
          <w:szCs w:val="24"/>
          <w:lang w:val="en-US"/>
        </w:rPr>
        <w:t xml:space="preserve">tate agents very often do not act in their official capacity in the territory of other </w:t>
      </w:r>
      <w:r w:rsidR="00CE3318">
        <w:rPr>
          <w:rFonts w:ascii="Times New Roman" w:hAnsi="Times New Roman" w:cs="Times New Roman"/>
          <w:sz w:val="24"/>
          <w:szCs w:val="24"/>
          <w:lang w:val="en-US"/>
        </w:rPr>
        <w:t>s</w:t>
      </w:r>
      <w:r w:rsidR="00960AC5" w:rsidRPr="00DF1F13">
        <w:rPr>
          <w:rFonts w:ascii="Times New Roman" w:hAnsi="Times New Roman" w:cs="Times New Roman"/>
          <w:sz w:val="24"/>
          <w:szCs w:val="24"/>
          <w:lang w:val="en-US"/>
        </w:rPr>
        <w:t>tates.</w:t>
      </w:r>
      <w:r w:rsidR="007477B3" w:rsidRPr="00DF1F13">
        <w:rPr>
          <w:rFonts w:ascii="Times New Roman" w:hAnsi="Times New Roman" w:cs="Times New Roman"/>
          <w:sz w:val="24"/>
          <w:szCs w:val="24"/>
          <w:lang w:val="en-US"/>
        </w:rPr>
        <w:t xml:space="preserve"> </w:t>
      </w:r>
      <w:r w:rsidR="007477B3" w:rsidRPr="00DF1F13">
        <w:rPr>
          <w:rFonts w:ascii="Times New Roman" w:hAnsi="Times New Roman" w:cs="Times New Roman"/>
          <w:sz w:val="24"/>
          <w:szCs w:val="24"/>
          <w:lang w:val="en-US"/>
        </w:rPr>
        <w:lastRenderedPageBreak/>
        <w:t>Consequently, the situations in which public agents will be a subject of legal proceeding in criminal matter in a foreign state with regards to an act achieved in their official capacity are reduced.</w:t>
      </w:r>
    </w:p>
    <w:p w14:paraId="67737268" w14:textId="20AC4007" w:rsidR="00D3211B" w:rsidRPr="00DF1F13" w:rsidRDefault="00821302" w:rsidP="00DF1F13">
      <w:pPr>
        <w:spacing w:before="240" w:after="24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Even if</w:t>
      </w:r>
      <w:r w:rsidR="007F0B6E">
        <w:rPr>
          <w:rFonts w:ascii="Times New Roman" w:hAnsi="Times New Roman" w:cs="Times New Roman"/>
          <w:sz w:val="24"/>
          <w:szCs w:val="24"/>
          <w:lang w:val="en-US"/>
        </w:rPr>
        <w:t xml:space="preserve"> </w:t>
      </w:r>
      <w:r w:rsidR="002E02FF" w:rsidRPr="00DF1F13">
        <w:rPr>
          <w:rFonts w:ascii="Times New Roman" w:hAnsi="Times New Roman" w:cs="Times New Roman"/>
          <w:sz w:val="24"/>
          <w:szCs w:val="24"/>
          <w:lang w:val="en-US"/>
        </w:rPr>
        <w:t>immunity ratione materiae is</w:t>
      </w:r>
      <w:r w:rsidR="00CF558B">
        <w:rPr>
          <w:rFonts w:ascii="Times New Roman" w:hAnsi="Times New Roman" w:cs="Times New Roman"/>
          <w:sz w:val="24"/>
          <w:szCs w:val="24"/>
          <w:lang w:val="en-US"/>
        </w:rPr>
        <w:t xml:space="preserve"> acknowledged in criminal matter</w:t>
      </w:r>
      <w:r w:rsidR="002E02FF" w:rsidRPr="00DF1F13">
        <w:rPr>
          <w:rFonts w:ascii="Times New Roman" w:hAnsi="Times New Roman" w:cs="Times New Roman"/>
          <w:sz w:val="24"/>
          <w:szCs w:val="24"/>
          <w:lang w:val="en-US"/>
        </w:rPr>
        <w:t xml:space="preserve"> and the </w:t>
      </w:r>
      <w:r w:rsidR="00285988" w:rsidRPr="00285988">
        <w:rPr>
          <w:rFonts w:ascii="Times New Roman" w:hAnsi="Times New Roman" w:cs="Times New Roman"/>
          <w:sz w:val="24"/>
          <w:szCs w:val="24"/>
          <w:lang w:val="en-US"/>
        </w:rPr>
        <w:t>aims</w:t>
      </w:r>
      <w:r w:rsidR="00285988">
        <w:rPr>
          <w:rFonts w:ascii="Times New Roman" w:hAnsi="Times New Roman" w:cs="Times New Roman"/>
          <w:sz w:val="24"/>
          <w:szCs w:val="24"/>
          <w:lang w:val="en-US"/>
        </w:rPr>
        <w:t xml:space="preserve"> </w:t>
      </w:r>
      <w:r w:rsidR="00285988" w:rsidRPr="00285988">
        <w:rPr>
          <w:rFonts w:ascii="Times New Roman" w:hAnsi="Times New Roman" w:cs="Times New Roman"/>
          <w:sz w:val="24"/>
          <w:szCs w:val="24"/>
          <w:lang w:val="en-US"/>
        </w:rPr>
        <w:t xml:space="preserve">according to </w:t>
      </w:r>
      <w:r w:rsidR="002E02FF" w:rsidRPr="00DF1F13">
        <w:rPr>
          <w:rFonts w:ascii="Times New Roman" w:hAnsi="Times New Roman" w:cs="Times New Roman"/>
          <w:sz w:val="24"/>
          <w:szCs w:val="24"/>
          <w:lang w:val="en-US"/>
        </w:rPr>
        <w:t xml:space="preserve">which it is </w:t>
      </w:r>
      <w:r w:rsidR="00285988">
        <w:rPr>
          <w:rFonts w:ascii="Times New Roman" w:hAnsi="Times New Roman" w:cs="Times New Roman"/>
          <w:sz w:val="24"/>
          <w:szCs w:val="24"/>
          <w:lang w:val="en-US"/>
        </w:rPr>
        <w:t>accorded</w:t>
      </w:r>
      <w:r w:rsidR="002E02FF" w:rsidRPr="00DF1F13">
        <w:rPr>
          <w:rFonts w:ascii="Times New Roman" w:hAnsi="Times New Roman" w:cs="Times New Roman"/>
          <w:sz w:val="24"/>
          <w:szCs w:val="24"/>
          <w:lang w:val="en-US"/>
        </w:rPr>
        <w:t xml:space="preserve"> </w:t>
      </w:r>
      <w:r w:rsidR="00285988">
        <w:rPr>
          <w:rFonts w:ascii="Times New Roman" w:hAnsi="Times New Roman" w:cs="Times New Roman"/>
          <w:sz w:val="24"/>
          <w:szCs w:val="24"/>
          <w:lang w:val="en-US"/>
        </w:rPr>
        <w:t>can be used</w:t>
      </w:r>
      <w:r w:rsidR="002E02FF" w:rsidRPr="00DF1F13">
        <w:rPr>
          <w:rFonts w:ascii="Times New Roman" w:hAnsi="Times New Roman" w:cs="Times New Roman"/>
          <w:sz w:val="24"/>
          <w:szCs w:val="24"/>
          <w:lang w:val="en-US"/>
        </w:rPr>
        <w:t xml:space="preserve"> a fortiori in criminal matter.</w:t>
      </w:r>
      <w:r w:rsidR="00A55F88" w:rsidRPr="00DF1F13">
        <w:rPr>
          <w:rStyle w:val="Znakapoznpodarou"/>
          <w:rFonts w:ascii="Times New Roman" w:hAnsi="Times New Roman" w:cs="Times New Roman"/>
          <w:sz w:val="24"/>
          <w:szCs w:val="24"/>
          <w:lang w:val="en-US"/>
        </w:rPr>
        <w:footnoteReference w:id="38"/>
      </w:r>
      <w:r w:rsidR="00B173CC" w:rsidRPr="00DF1F13">
        <w:rPr>
          <w:rFonts w:ascii="Times New Roman" w:hAnsi="Times New Roman" w:cs="Times New Roman"/>
          <w:sz w:val="24"/>
          <w:szCs w:val="24"/>
          <w:lang w:val="en-US"/>
        </w:rPr>
        <w:t xml:space="preserve"> Two connected strategies subtend the granting of such immunity ratione materiae. First, this kind of immunity forms a substantive defense by showing that the person who is a state agent cannot be prosecuted for acts which are those of</w:t>
      </w:r>
      <w:r w:rsidR="005D30AE" w:rsidRPr="00DF1F13">
        <w:rPr>
          <w:rFonts w:ascii="Times New Roman" w:hAnsi="Times New Roman" w:cs="Times New Roman"/>
          <w:sz w:val="24"/>
          <w:szCs w:val="24"/>
          <w:lang w:val="en-US"/>
        </w:rPr>
        <w:t xml:space="preserve"> </w:t>
      </w:r>
      <w:r w:rsidR="00B173CC" w:rsidRPr="00DF1F13">
        <w:rPr>
          <w:rFonts w:ascii="Times New Roman" w:hAnsi="Times New Roman" w:cs="Times New Roman"/>
          <w:sz w:val="24"/>
          <w:szCs w:val="24"/>
          <w:lang w:val="en-US"/>
        </w:rPr>
        <w:t>the state.</w:t>
      </w:r>
      <w:r w:rsidR="00B173CC" w:rsidRPr="00DF1F13">
        <w:rPr>
          <w:rStyle w:val="Znakapoznpodarou"/>
          <w:rFonts w:ascii="Times New Roman" w:hAnsi="Times New Roman" w:cs="Times New Roman"/>
          <w:sz w:val="24"/>
          <w:szCs w:val="24"/>
          <w:lang w:val="en-US"/>
        </w:rPr>
        <w:footnoteReference w:id="39"/>
      </w:r>
      <w:r w:rsidR="00D3211B" w:rsidRPr="00DF1F13">
        <w:rPr>
          <w:rFonts w:ascii="Times New Roman" w:hAnsi="Times New Roman" w:cs="Times New Roman"/>
          <w:sz w:val="24"/>
          <w:szCs w:val="24"/>
          <w:lang w:val="en-US"/>
        </w:rPr>
        <w:t xml:space="preserve"> </w:t>
      </w:r>
      <w:r w:rsidR="002A7A69" w:rsidRPr="00DF1F13">
        <w:rPr>
          <w:rFonts w:ascii="Times New Roman" w:hAnsi="Times New Roman" w:cs="Times New Roman"/>
          <w:sz w:val="24"/>
          <w:szCs w:val="24"/>
          <w:lang w:val="en-US"/>
        </w:rPr>
        <w:t>Second, such immunity prohibits foreign courts to proceed in any manner the indictment of public agent for acts that are attributable to the state.</w:t>
      </w:r>
      <w:r w:rsidR="002A7A69" w:rsidRPr="00DF1F13">
        <w:rPr>
          <w:rStyle w:val="Znakapoznpodarou"/>
          <w:rFonts w:ascii="Times New Roman" w:hAnsi="Times New Roman" w:cs="Times New Roman"/>
          <w:sz w:val="24"/>
          <w:szCs w:val="24"/>
          <w:lang w:val="en-US"/>
        </w:rPr>
        <w:footnoteReference w:id="40"/>
      </w:r>
    </w:p>
    <w:p w14:paraId="3361F0AA" w14:textId="4EAC2BC8" w:rsidR="00D3211B" w:rsidRPr="00DF1F13" w:rsidRDefault="00983859"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From this perspective, immunity works as a jurisdictional or procedural obstacle and prohibits the courts from proceeding control in any manner over the acts of the foreign state typically through prosecution against the public agent who performed the act.</w:t>
      </w:r>
      <w:r w:rsidR="00615265" w:rsidRPr="00DF1F13">
        <w:rPr>
          <w:rFonts w:ascii="Times New Roman" w:hAnsi="Times New Roman" w:cs="Times New Roman"/>
          <w:sz w:val="24"/>
          <w:szCs w:val="24"/>
          <w:lang w:val="en-US"/>
        </w:rPr>
        <w:t xml:space="preserve"> Although both serving and former </w:t>
      </w:r>
      <w:r w:rsidR="00CE3318">
        <w:rPr>
          <w:rFonts w:ascii="Times New Roman" w:hAnsi="Times New Roman" w:cs="Times New Roman"/>
          <w:sz w:val="24"/>
          <w:szCs w:val="24"/>
          <w:lang w:val="en-US"/>
        </w:rPr>
        <w:t>s</w:t>
      </w:r>
      <w:r w:rsidR="00615265" w:rsidRPr="00DF1F13">
        <w:rPr>
          <w:rFonts w:ascii="Times New Roman" w:hAnsi="Times New Roman" w:cs="Times New Roman"/>
          <w:sz w:val="24"/>
          <w:szCs w:val="24"/>
          <w:lang w:val="en-US"/>
        </w:rPr>
        <w:t xml:space="preserve">tate officials are usually accorded immunity ratione materiae regarding their official acts, </w:t>
      </w:r>
      <w:r w:rsidR="005B1880" w:rsidRPr="005B1880">
        <w:rPr>
          <w:rFonts w:ascii="Times New Roman" w:hAnsi="Times New Roman" w:cs="Times New Roman"/>
          <w:sz w:val="24"/>
          <w:szCs w:val="24"/>
          <w:lang w:val="en-US"/>
        </w:rPr>
        <w:t>nonetheless</w:t>
      </w:r>
      <w:r w:rsidR="005B1880">
        <w:rPr>
          <w:rFonts w:ascii="Times New Roman" w:hAnsi="Times New Roman" w:cs="Times New Roman"/>
          <w:sz w:val="24"/>
          <w:szCs w:val="24"/>
          <w:lang w:val="en-US"/>
        </w:rPr>
        <w:t xml:space="preserve"> this </w:t>
      </w:r>
      <w:r w:rsidR="00615265" w:rsidRPr="00DF1F13">
        <w:rPr>
          <w:rFonts w:ascii="Times New Roman" w:hAnsi="Times New Roman" w:cs="Times New Roman"/>
          <w:sz w:val="24"/>
          <w:szCs w:val="24"/>
          <w:lang w:val="en-US"/>
        </w:rPr>
        <w:t>immunity</w:t>
      </w:r>
      <w:r w:rsidR="00E165A7">
        <w:rPr>
          <w:rFonts w:ascii="Times New Roman" w:hAnsi="Times New Roman" w:cs="Times New Roman"/>
          <w:sz w:val="24"/>
          <w:szCs w:val="24"/>
          <w:lang w:val="en-US"/>
        </w:rPr>
        <w:t xml:space="preserve"> doesn’t work </w:t>
      </w:r>
      <w:r w:rsidR="00615265" w:rsidRPr="00DF1F13">
        <w:rPr>
          <w:rFonts w:ascii="Times New Roman" w:hAnsi="Times New Roman" w:cs="Times New Roman"/>
          <w:sz w:val="24"/>
          <w:szCs w:val="24"/>
          <w:lang w:val="en-US"/>
        </w:rPr>
        <w:t xml:space="preserve">in </w:t>
      </w:r>
      <w:r w:rsidR="00501B7C" w:rsidRPr="00501B7C">
        <w:rPr>
          <w:rFonts w:ascii="Times New Roman" w:hAnsi="Times New Roman" w:cs="Times New Roman"/>
          <w:sz w:val="24"/>
          <w:szCs w:val="24"/>
          <w:lang w:val="en-US"/>
        </w:rPr>
        <w:t>circumstance</w:t>
      </w:r>
      <w:r w:rsidR="00501B7C">
        <w:rPr>
          <w:rFonts w:ascii="Times New Roman" w:hAnsi="Times New Roman" w:cs="Times New Roman"/>
          <w:sz w:val="24"/>
          <w:szCs w:val="24"/>
          <w:lang w:val="en-US"/>
        </w:rPr>
        <w:t xml:space="preserve"> where some serious human rights violations are </w:t>
      </w:r>
      <w:r w:rsidR="001A533B">
        <w:rPr>
          <w:rFonts w:ascii="Times New Roman" w:hAnsi="Times New Roman" w:cs="Times New Roman"/>
          <w:sz w:val="24"/>
          <w:szCs w:val="24"/>
          <w:lang w:val="en-US"/>
        </w:rPr>
        <w:t>perpetrated,</w:t>
      </w:r>
      <w:r w:rsidR="00501B7C">
        <w:rPr>
          <w:rFonts w:ascii="Times New Roman" w:hAnsi="Times New Roman" w:cs="Times New Roman"/>
          <w:sz w:val="24"/>
          <w:szCs w:val="24"/>
          <w:lang w:val="en-US"/>
        </w:rPr>
        <w:t xml:space="preserve"> and which </w:t>
      </w:r>
      <w:r w:rsidR="001A533B">
        <w:rPr>
          <w:rFonts w:ascii="Times New Roman" w:hAnsi="Times New Roman" w:cs="Times New Roman"/>
          <w:sz w:val="24"/>
          <w:szCs w:val="24"/>
          <w:lang w:val="en-US"/>
        </w:rPr>
        <w:t>matter is sen</w:t>
      </w:r>
      <w:r w:rsidR="00733EAA">
        <w:rPr>
          <w:rFonts w:ascii="Times New Roman" w:hAnsi="Times New Roman" w:cs="Times New Roman"/>
          <w:sz w:val="24"/>
          <w:szCs w:val="24"/>
          <w:lang w:val="en-US"/>
        </w:rPr>
        <w:t>t</w:t>
      </w:r>
      <w:r w:rsidR="001A533B">
        <w:rPr>
          <w:rFonts w:ascii="Times New Roman" w:hAnsi="Times New Roman" w:cs="Times New Roman"/>
          <w:sz w:val="24"/>
          <w:szCs w:val="24"/>
          <w:lang w:val="en-US"/>
        </w:rPr>
        <w:t xml:space="preserve"> </w:t>
      </w:r>
      <w:r w:rsidR="001A533B" w:rsidRPr="001A533B">
        <w:rPr>
          <w:rFonts w:ascii="Times New Roman" w:hAnsi="Times New Roman" w:cs="Times New Roman"/>
          <w:sz w:val="24"/>
          <w:szCs w:val="24"/>
          <w:lang w:val="en-US"/>
        </w:rPr>
        <w:t xml:space="preserve">in front </w:t>
      </w:r>
      <w:r w:rsidR="001A533B">
        <w:rPr>
          <w:rFonts w:ascii="Times New Roman" w:hAnsi="Times New Roman" w:cs="Times New Roman"/>
          <w:sz w:val="24"/>
          <w:szCs w:val="24"/>
          <w:lang w:val="en-US"/>
        </w:rPr>
        <w:t xml:space="preserve">of </w:t>
      </w:r>
      <w:r w:rsidR="00733EAA">
        <w:rPr>
          <w:rFonts w:ascii="Times New Roman" w:hAnsi="Times New Roman" w:cs="Times New Roman"/>
          <w:sz w:val="24"/>
          <w:szCs w:val="24"/>
          <w:lang w:val="en-US"/>
        </w:rPr>
        <w:t xml:space="preserve">the national </w:t>
      </w:r>
      <w:r w:rsidR="00615265" w:rsidRPr="00DF1F13">
        <w:rPr>
          <w:rFonts w:ascii="Times New Roman" w:hAnsi="Times New Roman" w:cs="Times New Roman"/>
          <w:sz w:val="24"/>
          <w:szCs w:val="24"/>
          <w:lang w:val="en-US"/>
        </w:rPr>
        <w:t xml:space="preserve">criminal </w:t>
      </w:r>
      <w:r w:rsidR="00733EAA">
        <w:rPr>
          <w:rFonts w:ascii="Times New Roman" w:hAnsi="Times New Roman" w:cs="Times New Roman"/>
          <w:sz w:val="24"/>
          <w:szCs w:val="24"/>
          <w:lang w:val="en-US"/>
        </w:rPr>
        <w:t>tribunal of another state</w:t>
      </w:r>
      <w:r w:rsidR="00615265" w:rsidRPr="00DF1F13">
        <w:rPr>
          <w:rFonts w:ascii="Times New Roman" w:hAnsi="Times New Roman" w:cs="Times New Roman"/>
          <w:sz w:val="24"/>
          <w:szCs w:val="24"/>
          <w:lang w:val="en-US"/>
        </w:rPr>
        <w:t>.</w:t>
      </w:r>
      <w:r w:rsidR="00217CC8" w:rsidRPr="00DF1F13">
        <w:rPr>
          <w:rFonts w:ascii="Times New Roman" w:hAnsi="Times New Roman" w:cs="Times New Roman"/>
          <w:sz w:val="24"/>
          <w:szCs w:val="24"/>
          <w:lang w:val="en-US"/>
        </w:rPr>
        <w:t xml:space="preserve"> </w:t>
      </w:r>
    </w:p>
    <w:p w14:paraId="476EB105" w14:textId="02434052" w:rsidR="00204C6E" w:rsidRPr="00DF1F13" w:rsidRDefault="00FC3E6B" w:rsidP="00DF1F13">
      <w:pPr>
        <w:spacing w:before="240" w:after="24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FC3E6B">
        <w:rPr>
          <w:rFonts w:ascii="Times New Roman" w:hAnsi="Times New Roman" w:cs="Times New Roman"/>
          <w:sz w:val="24"/>
          <w:szCs w:val="24"/>
          <w:lang w:val="en-US"/>
        </w:rPr>
        <w:t>any</w:t>
      </w:r>
      <w:r>
        <w:rPr>
          <w:rFonts w:ascii="Times New Roman" w:hAnsi="Times New Roman" w:cs="Times New Roman"/>
          <w:sz w:val="24"/>
          <w:szCs w:val="24"/>
          <w:lang w:val="en-US"/>
        </w:rPr>
        <w:t xml:space="preserve"> </w:t>
      </w:r>
      <w:r w:rsidRPr="00FC3E6B">
        <w:rPr>
          <w:rFonts w:ascii="Times New Roman" w:hAnsi="Times New Roman" w:cs="Times New Roman"/>
          <w:sz w:val="24"/>
          <w:szCs w:val="24"/>
          <w:lang w:val="en-US"/>
        </w:rPr>
        <w:t>event</w:t>
      </w:r>
      <w:r>
        <w:rPr>
          <w:rFonts w:ascii="Times New Roman" w:hAnsi="Times New Roman" w:cs="Times New Roman"/>
          <w:sz w:val="24"/>
          <w:szCs w:val="24"/>
          <w:lang w:val="en-US"/>
        </w:rPr>
        <w:t xml:space="preserve">s </w:t>
      </w:r>
      <w:r w:rsidR="00217CC8" w:rsidRPr="00DF1F13">
        <w:rPr>
          <w:rFonts w:ascii="Times New Roman" w:hAnsi="Times New Roman" w:cs="Times New Roman"/>
          <w:sz w:val="24"/>
          <w:szCs w:val="24"/>
          <w:lang w:val="en-US"/>
        </w:rPr>
        <w:t xml:space="preserve">of </w:t>
      </w:r>
      <w:r w:rsidRPr="00FC3E6B">
        <w:rPr>
          <w:rFonts w:ascii="Times New Roman" w:hAnsi="Times New Roman" w:cs="Times New Roman"/>
          <w:sz w:val="24"/>
          <w:szCs w:val="24"/>
          <w:lang w:val="en-US"/>
        </w:rPr>
        <w:t xml:space="preserve">prosecution </w:t>
      </w:r>
      <w:r w:rsidR="00217CC8" w:rsidRPr="00DF1F13">
        <w:rPr>
          <w:rFonts w:ascii="Times New Roman" w:hAnsi="Times New Roman" w:cs="Times New Roman"/>
          <w:sz w:val="24"/>
          <w:szCs w:val="24"/>
          <w:lang w:val="en-US"/>
        </w:rPr>
        <w:t>against</w:t>
      </w:r>
      <w:r w:rsidR="00663B4B">
        <w:rPr>
          <w:rFonts w:ascii="Times New Roman" w:hAnsi="Times New Roman" w:cs="Times New Roman"/>
          <w:sz w:val="24"/>
          <w:szCs w:val="24"/>
          <w:lang w:val="en-US"/>
        </w:rPr>
        <w:t xml:space="preserve"> foreign public agents </w:t>
      </w:r>
      <w:r w:rsidR="004C0C90" w:rsidRPr="00663B4B">
        <w:rPr>
          <w:rFonts w:ascii="Times New Roman" w:hAnsi="Times New Roman" w:cs="Times New Roman"/>
          <w:sz w:val="24"/>
          <w:szCs w:val="24"/>
          <w:lang w:val="en-US"/>
        </w:rPr>
        <w:t>occurred</w:t>
      </w:r>
      <w:r w:rsidR="004C0C90">
        <w:rPr>
          <w:rFonts w:ascii="Times New Roman" w:hAnsi="Times New Roman" w:cs="Times New Roman"/>
          <w:sz w:val="24"/>
          <w:szCs w:val="24"/>
          <w:lang w:val="en-US"/>
        </w:rPr>
        <w:t xml:space="preserve"> in</w:t>
      </w:r>
      <w:r w:rsidR="00663B4B">
        <w:rPr>
          <w:rFonts w:ascii="Times New Roman" w:hAnsi="Times New Roman" w:cs="Times New Roman"/>
          <w:sz w:val="24"/>
          <w:szCs w:val="24"/>
          <w:lang w:val="en-US"/>
        </w:rPr>
        <w:t xml:space="preserve"> front of</w:t>
      </w:r>
      <w:r w:rsidR="00217CC8" w:rsidRPr="00DF1F13">
        <w:rPr>
          <w:rFonts w:ascii="Times New Roman" w:hAnsi="Times New Roman" w:cs="Times New Roman"/>
          <w:sz w:val="24"/>
          <w:szCs w:val="24"/>
          <w:lang w:val="en-US"/>
        </w:rPr>
        <w:t xml:space="preserve"> </w:t>
      </w:r>
      <w:r w:rsidR="00663B4B">
        <w:rPr>
          <w:rFonts w:ascii="Times New Roman" w:hAnsi="Times New Roman" w:cs="Times New Roman"/>
          <w:sz w:val="24"/>
          <w:szCs w:val="24"/>
          <w:lang w:val="en-US"/>
        </w:rPr>
        <w:t xml:space="preserve">domestic </w:t>
      </w:r>
      <w:r w:rsidR="00217CC8" w:rsidRPr="00DF1F13">
        <w:rPr>
          <w:rFonts w:ascii="Times New Roman" w:hAnsi="Times New Roman" w:cs="Times New Roman"/>
          <w:sz w:val="24"/>
          <w:szCs w:val="24"/>
          <w:lang w:val="en-US"/>
        </w:rPr>
        <w:t xml:space="preserve">criminal </w:t>
      </w:r>
      <w:r w:rsidR="004C0C90">
        <w:rPr>
          <w:rFonts w:ascii="Times New Roman" w:hAnsi="Times New Roman" w:cs="Times New Roman"/>
          <w:sz w:val="24"/>
          <w:szCs w:val="24"/>
          <w:lang w:val="en-US"/>
        </w:rPr>
        <w:t>tribunal</w:t>
      </w:r>
      <w:r w:rsidR="00217CC8" w:rsidRPr="00DF1F13">
        <w:rPr>
          <w:rFonts w:ascii="Times New Roman" w:hAnsi="Times New Roman" w:cs="Times New Roman"/>
          <w:sz w:val="24"/>
          <w:szCs w:val="24"/>
          <w:lang w:val="en-US"/>
        </w:rPr>
        <w:t>s for an international crime.</w:t>
      </w:r>
      <w:r w:rsidR="00217CC8" w:rsidRPr="00DF1F13">
        <w:rPr>
          <w:rStyle w:val="Znakapoznpodarou"/>
          <w:rFonts w:ascii="Times New Roman" w:hAnsi="Times New Roman" w:cs="Times New Roman"/>
          <w:sz w:val="24"/>
          <w:szCs w:val="24"/>
          <w:lang w:val="en-US"/>
        </w:rPr>
        <w:footnoteReference w:id="41"/>
      </w:r>
      <w:r w:rsidR="00D3211B" w:rsidRPr="00DF1F13">
        <w:rPr>
          <w:rFonts w:ascii="Times New Roman" w:hAnsi="Times New Roman" w:cs="Times New Roman"/>
          <w:sz w:val="24"/>
          <w:szCs w:val="24"/>
          <w:lang w:val="en-US"/>
        </w:rPr>
        <w:t xml:space="preserve"> </w:t>
      </w:r>
      <w:r w:rsidR="000A72C5" w:rsidRPr="00DF1F13">
        <w:rPr>
          <w:rFonts w:ascii="Times New Roman" w:hAnsi="Times New Roman" w:cs="Times New Roman"/>
          <w:sz w:val="24"/>
          <w:szCs w:val="24"/>
          <w:lang w:val="en-US"/>
        </w:rPr>
        <w:t>Each of these judgments occurs whether tacitly, and occasionally explicitly.</w:t>
      </w:r>
      <w:r w:rsidR="000A72C5" w:rsidRPr="00DF1F13">
        <w:rPr>
          <w:rStyle w:val="Znakapoznpodarou"/>
          <w:rFonts w:ascii="Times New Roman" w:hAnsi="Times New Roman" w:cs="Times New Roman"/>
          <w:sz w:val="24"/>
          <w:szCs w:val="24"/>
          <w:lang w:val="en-US"/>
        </w:rPr>
        <w:footnoteReference w:id="42"/>
      </w:r>
      <w:r w:rsidR="003B74C0" w:rsidRPr="00DF1F13">
        <w:rPr>
          <w:rFonts w:ascii="Times New Roman" w:hAnsi="Times New Roman" w:cs="Times New Roman"/>
          <w:sz w:val="24"/>
          <w:szCs w:val="24"/>
          <w:lang w:val="en-US"/>
        </w:rPr>
        <w:t xml:space="preserve"> This absence of immunity ratione materiae concerning an </w:t>
      </w:r>
      <w:r w:rsidR="00B41B88" w:rsidRPr="00DF1F13">
        <w:rPr>
          <w:rFonts w:ascii="Times New Roman" w:hAnsi="Times New Roman" w:cs="Times New Roman"/>
          <w:sz w:val="24"/>
          <w:szCs w:val="24"/>
          <w:lang w:val="en-US"/>
        </w:rPr>
        <w:t>international crime</w:t>
      </w:r>
      <w:r w:rsidR="003B74C0" w:rsidRPr="00DF1F13">
        <w:rPr>
          <w:rFonts w:ascii="Times New Roman" w:hAnsi="Times New Roman" w:cs="Times New Roman"/>
          <w:sz w:val="24"/>
          <w:szCs w:val="24"/>
          <w:lang w:val="en-US"/>
        </w:rPr>
        <w:t>, is based on two main reasonings.</w:t>
      </w:r>
      <w:r w:rsidR="00B41B88" w:rsidRPr="00DF1F13">
        <w:rPr>
          <w:rFonts w:ascii="Times New Roman" w:hAnsi="Times New Roman" w:cs="Times New Roman"/>
          <w:sz w:val="24"/>
          <w:szCs w:val="24"/>
          <w:lang w:val="en-US"/>
        </w:rPr>
        <w:t xml:space="preserve"> First, although </w:t>
      </w:r>
      <w:r w:rsidR="00CE3318">
        <w:rPr>
          <w:rFonts w:ascii="Times New Roman" w:hAnsi="Times New Roman" w:cs="Times New Roman"/>
          <w:sz w:val="24"/>
          <w:szCs w:val="24"/>
          <w:lang w:val="en-US"/>
        </w:rPr>
        <w:t>s</w:t>
      </w:r>
      <w:r w:rsidR="00B41B88" w:rsidRPr="00DF1F13">
        <w:rPr>
          <w:rFonts w:ascii="Times New Roman" w:hAnsi="Times New Roman" w:cs="Times New Roman"/>
          <w:sz w:val="24"/>
          <w:szCs w:val="24"/>
          <w:lang w:val="en-US"/>
        </w:rPr>
        <w:t>tate agents enjoy immunity for official acts, therefore acts constituting an international crime should not be qualified as an official act.</w:t>
      </w:r>
      <w:r w:rsidR="00B41B88" w:rsidRPr="00DF1F13">
        <w:rPr>
          <w:rStyle w:val="Znakapoznpodarou"/>
          <w:rFonts w:ascii="Times New Roman" w:hAnsi="Times New Roman" w:cs="Times New Roman"/>
          <w:sz w:val="24"/>
          <w:szCs w:val="24"/>
          <w:lang w:val="en-US"/>
        </w:rPr>
        <w:footnoteReference w:id="43"/>
      </w:r>
      <w:r w:rsidR="00D3211B" w:rsidRPr="00DF1F13">
        <w:rPr>
          <w:rFonts w:ascii="Times New Roman" w:hAnsi="Times New Roman" w:cs="Times New Roman"/>
          <w:sz w:val="24"/>
          <w:szCs w:val="24"/>
          <w:lang w:val="en-US"/>
        </w:rPr>
        <w:t xml:space="preserve"> </w:t>
      </w:r>
      <w:r w:rsidR="00424212" w:rsidRPr="00DF1F13">
        <w:rPr>
          <w:rFonts w:ascii="Times New Roman" w:hAnsi="Times New Roman" w:cs="Times New Roman"/>
          <w:sz w:val="24"/>
          <w:szCs w:val="24"/>
          <w:lang w:val="en-US"/>
        </w:rPr>
        <w:t xml:space="preserve">Second, it should be mentioned that an international crime constitutes a violations of jus cogens norms. </w:t>
      </w:r>
      <w:r w:rsidR="00D3211B" w:rsidRPr="00DF1F13">
        <w:rPr>
          <w:rFonts w:ascii="Times New Roman" w:hAnsi="Times New Roman" w:cs="Times New Roman"/>
          <w:sz w:val="24"/>
          <w:szCs w:val="24"/>
          <w:lang w:val="en-US"/>
        </w:rPr>
        <w:t>C</w:t>
      </w:r>
      <w:r w:rsidR="00424212" w:rsidRPr="00DF1F13">
        <w:rPr>
          <w:rFonts w:ascii="Times New Roman" w:hAnsi="Times New Roman" w:cs="Times New Roman"/>
          <w:sz w:val="24"/>
          <w:szCs w:val="24"/>
          <w:lang w:val="en-US"/>
        </w:rPr>
        <w:t xml:space="preserve">onsequently, no immunity is recognized in such </w:t>
      </w:r>
      <w:r w:rsidR="00424212" w:rsidRPr="00DF1F13">
        <w:rPr>
          <w:rFonts w:ascii="Times New Roman" w:hAnsi="Times New Roman" w:cs="Times New Roman"/>
          <w:sz w:val="24"/>
          <w:szCs w:val="24"/>
          <w:lang w:val="en-US"/>
        </w:rPr>
        <w:lastRenderedPageBreak/>
        <w:t>case because peremptory norms have a higher status and should take precedence over, the rules granting immunity.</w:t>
      </w:r>
      <w:r w:rsidR="00424212" w:rsidRPr="00DF1F13">
        <w:rPr>
          <w:rStyle w:val="Znakapoznpodarou"/>
          <w:rFonts w:ascii="Times New Roman" w:hAnsi="Times New Roman" w:cs="Times New Roman"/>
          <w:sz w:val="24"/>
          <w:szCs w:val="24"/>
          <w:lang w:val="en-US"/>
        </w:rPr>
        <w:footnoteReference w:id="44"/>
      </w:r>
      <w:r w:rsidR="009F3C17" w:rsidRPr="00DF1F13">
        <w:rPr>
          <w:rFonts w:ascii="Times New Roman" w:hAnsi="Times New Roman" w:cs="Times New Roman"/>
          <w:sz w:val="24"/>
          <w:szCs w:val="24"/>
          <w:lang w:val="en-US"/>
        </w:rPr>
        <w:t xml:space="preserve"> For this purpose</w:t>
      </w:r>
      <w:r w:rsidR="00477EC2" w:rsidRPr="00DF1F13">
        <w:rPr>
          <w:rFonts w:ascii="Times New Roman" w:hAnsi="Times New Roman" w:cs="Times New Roman"/>
          <w:sz w:val="24"/>
          <w:szCs w:val="24"/>
          <w:lang w:val="en-US"/>
        </w:rPr>
        <w:t>,</w:t>
      </w:r>
      <w:r w:rsidR="009F3C17" w:rsidRPr="00DF1F13">
        <w:rPr>
          <w:rFonts w:ascii="Times New Roman" w:hAnsi="Times New Roman" w:cs="Times New Roman"/>
          <w:sz w:val="24"/>
          <w:szCs w:val="24"/>
          <w:lang w:val="en-US"/>
        </w:rPr>
        <w:t xml:space="preserve"> it is possible to examine in more detail elsewhere.</w:t>
      </w:r>
      <w:r w:rsidR="009F3C17" w:rsidRPr="00DF1F13">
        <w:rPr>
          <w:rStyle w:val="Znakapoznpodarou"/>
          <w:rFonts w:ascii="Times New Roman" w:hAnsi="Times New Roman" w:cs="Times New Roman"/>
          <w:sz w:val="24"/>
          <w:szCs w:val="24"/>
          <w:lang w:val="en-US"/>
        </w:rPr>
        <w:footnoteReference w:id="45"/>
      </w:r>
    </w:p>
    <w:p w14:paraId="2987BCED" w14:textId="77777777" w:rsidR="00204C6E" w:rsidRPr="00DF1F13" w:rsidRDefault="00477EC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These two reasonings are not convincing because they misconceive the reason for granting state immunity and propose a wrong conflict between the different rules of state immunity and the peremptory norms.</w:t>
      </w:r>
      <w:r w:rsidR="00315128" w:rsidRPr="00DF1F13">
        <w:rPr>
          <w:rFonts w:ascii="Times New Roman" w:hAnsi="Times New Roman" w:cs="Times New Roman"/>
          <w:sz w:val="24"/>
          <w:szCs w:val="24"/>
          <w:lang w:val="en-US"/>
        </w:rPr>
        <w:t xml:space="preserve"> In any case, the reasoning according to which immunity cannot be granted for acts contrary to peremptory </w:t>
      </w:r>
      <w:r w:rsidR="00C00FC9" w:rsidRPr="00DF1F13">
        <w:rPr>
          <w:rFonts w:ascii="Times New Roman" w:hAnsi="Times New Roman" w:cs="Times New Roman"/>
          <w:sz w:val="24"/>
          <w:szCs w:val="24"/>
          <w:lang w:val="en-US"/>
        </w:rPr>
        <w:t>norms has</w:t>
      </w:r>
      <w:r w:rsidR="00315128" w:rsidRPr="00DF1F13">
        <w:rPr>
          <w:rFonts w:ascii="Times New Roman" w:hAnsi="Times New Roman" w:cs="Times New Roman"/>
          <w:sz w:val="24"/>
          <w:szCs w:val="24"/>
          <w:lang w:val="en-US"/>
        </w:rPr>
        <w:t xml:space="preserve"> been dismissed by the International Court of Justice</w:t>
      </w:r>
      <w:r w:rsidR="00C00FC9" w:rsidRPr="00DF1F13">
        <w:rPr>
          <w:rFonts w:ascii="Times New Roman" w:hAnsi="Times New Roman" w:cs="Times New Roman"/>
          <w:sz w:val="24"/>
          <w:szCs w:val="24"/>
          <w:lang w:val="en-US"/>
        </w:rPr>
        <w:t>,</w:t>
      </w:r>
      <w:r w:rsidR="00315128" w:rsidRPr="00DF1F13">
        <w:rPr>
          <w:rStyle w:val="Znakapoznpodarou"/>
          <w:rFonts w:ascii="Times New Roman" w:hAnsi="Times New Roman" w:cs="Times New Roman"/>
          <w:sz w:val="24"/>
          <w:szCs w:val="24"/>
          <w:lang w:val="en-US"/>
        </w:rPr>
        <w:footnoteReference w:id="46"/>
      </w:r>
      <w:r w:rsidR="00204C6E" w:rsidRPr="00DF1F13">
        <w:rPr>
          <w:rFonts w:ascii="Times New Roman" w:hAnsi="Times New Roman" w:cs="Times New Roman"/>
          <w:sz w:val="24"/>
          <w:szCs w:val="24"/>
          <w:lang w:val="en-US"/>
        </w:rPr>
        <w:t xml:space="preserve"> </w:t>
      </w:r>
      <w:r w:rsidR="00C00FC9" w:rsidRPr="00DF1F13">
        <w:rPr>
          <w:rFonts w:ascii="Times New Roman" w:hAnsi="Times New Roman" w:cs="Times New Roman"/>
          <w:sz w:val="24"/>
          <w:szCs w:val="24"/>
          <w:lang w:val="en-US"/>
        </w:rPr>
        <w:t>the European Court of Human Rights</w:t>
      </w:r>
      <w:r w:rsidR="00C00FC9" w:rsidRPr="00DF1F13">
        <w:rPr>
          <w:rStyle w:val="Znakapoznpodarou"/>
          <w:rFonts w:ascii="Times New Roman" w:hAnsi="Times New Roman" w:cs="Times New Roman"/>
          <w:sz w:val="24"/>
          <w:szCs w:val="24"/>
          <w:lang w:val="en-US"/>
        </w:rPr>
        <w:footnoteReference w:id="47"/>
      </w:r>
      <w:r w:rsidR="00EF0B83" w:rsidRPr="00DF1F13">
        <w:rPr>
          <w:rFonts w:ascii="Times New Roman" w:hAnsi="Times New Roman" w:cs="Times New Roman"/>
          <w:sz w:val="24"/>
          <w:szCs w:val="24"/>
          <w:lang w:val="en-US"/>
        </w:rPr>
        <w:t xml:space="preserve"> and many domestic jurisdictions have considered the matter.</w:t>
      </w:r>
      <w:r w:rsidR="007D6256" w:rsidRPr="00DF1F13">
        <w:rPr>
          <w:rStyle w:val="Znakapoznpodarou"/>
          <w:rFonts w:ascii="Times New Roman" w:hAnsi="Times New Roman" w:cs="Times New Roman"/>
          <w:sz w:val="24"/>
          <w:szCs w:val="24"/>
          <w:lang w:val="en-US"/>
        </w:rPr>
        <w:footnoteReference w:id="48"/>
      </w:r>
      <w:r w:rsidR="000A0E2E" w:rsidRPr="00DF1F13">
        <w:rPr>
          <w:rFonts w:ascii="Times New Roman" w:hAnsi="Times New Roman" w:cs="Times New Roman"/>
          <w:sz w:val="24"/>
          <w:szCs w:val="24"/>
          <w:lang w:val="en-US"/>
        </w:rPr>
        <w:t xml:space="preserve"> </w:t>
      </w:r>
    </w:p>
    <w:p w14:paraId="045E61E1" w14:textId="3EA00373" w:rsidR="00204C6E" w:rsidRPr="00DF1F13" w:rsidRDefault="000A0E2E"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 case an international crime is perpetrated by public agents and will occasionally be regarded as an official act, consequently a different measure applies and will exclude immunity ratione materiae with regards to such crimes.</w:t>
      </w:r>
      <w:r w:rsidR="00114AB9" w:rsidRPr="00DF1F13">
        <w:rPr>
          <w:rFonts w:ascii="Times New Roman" w:hAnsi="Times New Roman" w:cs="Times New Roman"/>
          <w:sz w:val="24"/>
          <w:szCs w:val="24"/>
          <w:lang w:val="en-US"/>
        </w:rPr>
        <w:t xml:space="preserve"> </w:t>
      </w:r>
      <w:r w:rsidR="00C22D22" w:rsidRPr="00DF1F13">
        <w:rPr>
          <w:rFonts w:ascii="Times New Roman" w:hAnsi="Times New Roman" w:cs="Times New Roman"/>
          <w:sz w:val="24"/>
          <w:szCs w:val="24"/>
          <w:lang w:val="en-US"/>
        </w:rPr>
        <w:t>This absence of immunity is justified on the ground that in such procedure the purposes under which immunity is granted, disappear in case of an international crimes.</w:t>
      </w:r>
      <w:r w:rsidR="00114AB9" w:rsidRPr="00DF1F13">
        <w:rPr>
          <w:rFonts w:ascii="Times New Roman" w:hAnsi="Times New Roman" w:cs="Times New Roman"/>
          <w:sz w:val="24"/>
          <w:szCs w:val="24"/>
          <w:lang w:val="en-US"/>
        </w:rPr>
        <w:t xml:space="preserve"> First, the ordinary rule according to which only the state and not public officials can be held accountable for acts performed by public officials in their official capacity is not considered for acts that constitute international crimes.</w:t>
      </w:r>
      <w:r w:rsidR="00114AB9" w:rsidRPr="00DF1F13">
        <w:rPr>
          <w:rStyle w:val="Znakapoznpodarou"/>
          <w:rFonts w:ascii="Times New Roman" w:hAnsi="Times New Roman" w:cs="Times New Roman"/>
          <w:sz w:val="24"/>
          <w:szCs w:val="24"/>
          <w:lang w:val="en-US"/>
        </w:rPr>
        <w:footnoteReference w:id="49"/>
      </w:r>
      <w:r w:rsidR="0069650C" w:rsidRPr="00DF1F13">
        <w:rPr>
          <w:rFonts w:ascii="Times New Roman" w:hAnsi="Times New Roman" w:cs="Times New Roman"/>
          <w:sz w:val="24"/>
          <w:szCs w:val="24"/>
          <w:lang w:val="en-US"/>
        </w:rPr>
        <w:t xml:space="preserve"> On the opposite, it is well known that the official function of individuals does not exempt them from personal liability for actions that are qualified as crimes under international law and therefore cannot be a substantive defense.</w:t>
      </w:r>
      <w:r w:rsidR="0069650C" w:rsidRPr="00DF1F13">
        <w:rPr>
          <w:rStyle w:val="Znakapoznpodarou"/>
          <w:rFonts w:ascii="Times New Roman" w:hAnsi="Times New Roman" w:cs="Times New Roman"/>
          <w:sz w:val="24"/>
          <w:szCs w:val="24"/>
          <w:lang w:val="en-US"/>
        </w:rPr>
        <w:footnoteReference w:id="50"/>
      </w:r>
      <w:r w:rsidR="00CE7D90" w:rsidRPr="00DF1F13">
        <w:rPr>
          <w:rFonts w:ascii="Times New Roman" w:hAnsi="Times New Roman" w:cs="Times New Roman"/>
          <w:sz w:val="24"/>
          <w:szCs w:val="24"/>
          <w:lang w:val="en-US"/>
        </w:rPr>
        <w:t xml:space="preserve"> Second, to enlarge international law has improved later, principles allowing national </w:t>
      </w:r>
      <w:r w:rsidR="005A6A47">
        <w:rPr>
          <w:rFonts w:ascii="Times New Roman" w:hAnsi="Times New Roman" w:cs="Times New Roman"/>
          <w:sz w:val="24"/>
          <w:szCs w:val="24"/>
          <w:lang w:val="en-US"/>
        </w:rPr>
        <w:t>C</w:t>
      </w:r>
      <w:r w:rsidR="00CE7D90" w:rsidRPr="00DF1F13">
        <w:rPr>
          <w:rFonts w:ascii="Times New Roman" w:hAnsi="Times New Roman" w:cs="Times New Roman"/>
          <w:sz w:val="24"/>
          <w:szCs w:val="24"/>
          <w:lang w:val="en-US"/>
        </w:rPr>
        <w:t xml:space="preserve">ourts to exercise universal jurisdiction over certain human rights violation that are qualified as an international crimes and such rules provide prosecution of crimes perpetrated in an official capacity. In such scenario the second purpose for </w:t>
      </w:r>
      <w:r w:rsidR="00E31E18" w:rsidRPr="00E31E18">
        <w:rPr>
          <w:rFonts w:ascii="Times New Roman" w:hAnsi="Times New Roman" w:cs="Times New Roman"/>
          <w:sz w:val="24"/>
          <w:szCs w:val="24"/>
          <w:lang w:val="en-US"/>
        </w:rPr>
        <w:t>conferring</w:t>
      </w:r>
      <w:r w:rsidR="00E31E18">
        <w:rPr>
          <w:rFonts w:ascii="Times New Roman" w:hAnsi="Times New Roman" w:cs="Times New Roman"/>
          <w:sz w:val="24"/>
          <w:szCs w:val="24"/>
          <w:lang w:val="en-US"/>
        </w:rPr>
        <w:t xml:space="preserve"> </w:t>
      </w:r>
      <w:r w:rsidR="00CE7D90" w:rsidRPr="00DF1F13">
        <w:rPr>
          <w:rFonts w:ascii="Times New Roman" w:hAnsi="Times New Roman" w:cs="Times New Roman"/>
          <w:sz w:val="24"/>
          <w:szCs w:val="24"/>
          <w:lang w:val="en-US"/>
        </w:rPr>
        <w:t>immunity ratione materiae</w:t>
      </w:r>
      <w:r w:rsidR="00E31E18">
        <w:rPr>
          <w:rFonts w:ascii="Times New Roman" w:hAnsi="Times New Roman" w:cs="Times New Roman"/>
          <w:sz w:val="24"/>
          <w:szCs w:val="24"/>
          <w:lang w:val="en-US"/>
        </w:rPr>
        <w:t xml:space="preserve"> disappears</w:t>
      </w:r>
      <w:r w:rsidR="00CE7D90" w:rsidRPr="00DF1F13">
        <w:rPr>
          <w:rFonts w:ascii="Times New Roman" w:hAnsi="Times New Roman" w:cs="Times New Roman"/>
          <w:sz w:val="24"/>
          <w:szCs w:val="24"/>
          <w:lang w:val="en-US"/>
        </w:rPr>
        <w:t>.</w:t>
      </w:r>
      <w:r w:rsidR="008E63B4" w:rsidRPr="00DF1F13">
        <w:rPr>
          <w:rFonts w:ascii="Times New Roman" w:hAnsi="Times New Roman" w:cs="Times New Roman"/>
          <w:sz w:val="24"/>
          <w:szCs w:val="24"/>
          <w:lang w:val="en-US"/>
        </w:rPr>
        <w:t xml:space="preserve"> </w:t>
      </w:r>
    </w:p>
    <w:p w14:paraId="5B798168" w14:textId="44E888A3" w:rsidR="00204C6E" w:rsidRPr="00DF1F13" w:rsidRDefault="008E63B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 xml:space="preserve">In </w:t>
      </w:r>
      <w:r w:rsidR="00967E6A">
        <w:rPr>
          <w:rFonts w:ascii="Times New Roman" w:hAnsi="Times New Roman" w:cs="Times New Roman"/>
          <w:sz w:val="24"/>
          <w:szCs w:val="24"/>
          <w:lang w:val="en-US"/>
        </w:rPr>
        <w:t>such</w:t>
      </w:r>
      <w:r w:rsidR="00967E6A" w:rsidRPr="00967E6A">
        <w:t xml:space="preserve"> </w:t>
      </w:r>
      <w:r w:rsidR="00967E6A" w:rsidRPr="00967E6A">
        <w:rPr>
          <w:rFonts w:ascii="Times New Roman" w:hAnsi="Times New Roman" w:cs="Times New Roman"/>
          <w:sz w:val="24"/>
          <w:szCs w:val="24"/>
          <w:lang w:val="en-US"/>
        </w:rPr>
        <w:t>circumstance</w:t>
      </w:r>
      <w:r w:rsidRPr="00DF1F13">
        <w:rPr>
          <w:rFonts w:ascii="Times New Roman" w:hAnsi="Times New Roman" w:cs="Times New Roman"/>
          <w:sz w:val="24"/>
          <w:szCs w:val="24"/>
          <w:lang w:val="en-US"/>
        </w:rPr>
        <w:t>, there is no</w:t>
      </w:r>
      <w:r w:rsidR="00817E5E">
        <w:rPr>
          <w:rFonts w:ascii="Times New Roman" w:hAnsi="Times New Roman" w:cs="Times New Roman"/>
          <w:sz w:val="24"/>
          <w:szCs w:val="24"/>
          <w:lang w:val="en-US"/>
        </w:rPr>
        <w:t xml:space="preserve"> reason</w:t>
      </w:r>
      <w:r w:rsidRPr="00DF1F13">
        <w:rPr>
          <w:rFonts w:ascii="Times New Roman" w:hAnsi="Times New Roman" w:cs="Times New Roman"/>
          <w:sz w:val="24"/>
          <w:szCs w:val="24"/>
          <w:lang w:val="en-US"/>
        </w:rPr>
        <w:t xml:space="preserve"> </w:t>
      </w:r>
      <w:r w:rsidR="00817E5E" w:rsidRPr="00817E5E">
        <w:rPr>
          <w:rFonts w:ascii="Times New Roman" w:hAnsi="Times New Roman" w:cs="Times New Roman"/>
          <w:sz w:val="24"/>
          <w:szCs w:val="24"/>
          <w:lang w:val="en-US"/>
        </w:rPr>
        <w:t xml:space="preserve">logically </w:t>
      </w:r>
      <w:r w:rsidRPr="00DF1F13">
        <w:rPr>
          <w:rFonts w:ascii="Times New Roman" w:hAnsi="Times New Roman" w:cs="Times New Roman"/>
          <w:sz w:val="24"/>
          <w:szCs w:val="24"/>
          <w:lang w:val="en-US"/>
        </w:rPr>
        <w:t xml:space="preserve">for immunity ratione materiae to </w:t>
      </w:r>
      <w:r w:rsidR="00817E5E" w:rsidRPr="00817E5E">
        <w:rPr>
          <w:rFonts w:ascii="Times New Roman" w:hAnsi="Times New Roman" w:cs="Times New Roman"/>
          <w:sz w:val="24"/>
          <w:szCs w:val="24"/>
          <w:lang w:val="en-US"/>
        </w:rPr>
        <w:t>get along with</w:t>
      </w:r>
      <w:r w:rsidR="006443A4">
        <w:rPr>
          <w:rFonts w:ascii="Times New Roman" w:hAnsi="Times New Roman" w:cs="Times New Roman"/>
          <w:sz w:val="24"/>
          <w:szCs w:val="24"/>
          <w:lang w:val="en-US"/>
        </w:rPr>
        <w:t xml:space="preserve"> such </w:t>
      </w:r>
      <w:r w:rsidRPr="00DF1F13">
        <w:rPr>
          <w:rFonts w:ascii="Times New Roman" w:hAnsi="Times New Roman" w:cs="Times New Roman"/>
          <w:sz w:val="24"/>
          <w:szCs w:val="24"/>
          <w:lang w:val="en-US"/>
        </w:rPr>
        <w:t xml:space="preserve">a </w:t>
      </w:r>
      <w:r w:rsidR="00817E5E">
        <w:rPr>
          <w:rFonts w:ascii="Times New Roman" w:hAnsi="Times New Roman" w:cs="Times New Roman"/>
          <w:sz w:val="24"/>
          <w:szCs w:val="24"/>
          <w:lang w:val="en-US"/>
        </w:rPr>
        <w:t xml:space="preserve">granting </w:t>
      </w:r>
      <w:r w:rsidRPr="00DF1F13">
        <w:rPr>
          <w:rFonts w:ascii="Times New Roman" w:hAnsi="Times New Roman" w:cs="Times New Roman"/>
          <w:sz w:val="24"/>
          <w:szCs w:val="24"/>
          <w:lang w:val="en-US"/>
        </w:rPr>
        <w:t>of</w:t>
      </w:r>
      <w:r w:rsidR="00803333">
        <w:rPr>
          <w:rFonts w:ascii="Times New Roman" w:hAnsi="Times New Roman" w:cs="Times New Roman"/>
          <w:sz w:val="24"/>
          <w:szCs w:val="24"/>
          <w:lang w:val="en-US"/>
        </w:rPr>
        <w:t xml:space="preserve"> an authority</w:t>
      </w:r>
      <w:r w:rsidR="00C85319" w:rsidRPr="00DF1F13">
        <w:rPr>
          <w:rFonts w:ascii="Times New Roman" w:hAnsi="Times New Roman" w:cs="Times New Roman"/>
          <w:sz w:val="24"/>
          <w:szCs w:val="24"/>
          <w:lang w:val="en-US"/>
        </w:rPr>
        <w:t>.</w:t>
      </w:r>
      <w:r w:rsidR="00413522">
        <w:rPr>
          <w:rFonts w:ascii="Times New Roman" w:hAnsi="Times New Roman" w:cs="Times New Roman"/>
          <w:lang w:val="en-US"/>
        </w:rPr>
        <w:t xml:space="preserve"> </w:t>
      </w:r>
      <w:r w:rsidR="00C85319" w:rsidRPr="00DF1F13">
        <w:rPr>
          <w:rFonts w:ascii="Times New Roman" w:hAnsi="Times New Roman" w:cs="Times New Roman"/>
          <w:sz w:val="24"/>
          <w:szCs w:val="24"/>
          <w:lang w:val="en-US"/>
        </w:rPr>
        <w:t>I</w:t>
      </w:r>
      <w:r w:rsidR="00413522" w:rsidRPr="00413522">
        <w:rPr>
          <w:rFonts w:ascii="Times New Roman" w:hAnsi="Times New Roman" w:cs="Times New Roman"/>
          <w:sz w:val="24"/>
          <w:szCs w:val="24"/>
          <w:lang w:val="en-US"/>
        </w:rPr>
        <w:t>ndeed</w:t>
      </w:r>
      <w:r w:rsidR="00C85319" w:rsidRPr="00DF1F13">
        <w:rPr>
          <w:rFonts w:ascii="Times New Roman" w:hAnsi="Times New Roman" w:cs="Times New Roman"/>
          <w:sz w:val="24"/>
          <w:szCs w:val="24"/>
          <w:lang w:val="en-US"/>
        </w:rPr>
        <w:t>, to use in this</w:t>
      </w:r>
      <w:r w:rsidR="00413522" w:rsidRPr="00413522">
        <w:t xml:space="preserve"> </w:t>
      </w:r>
      <w:r w:rsidR="00413522" w:rsidRPr="00413522">
        <w:rPr>
          <w:rFonts w:ascii="Times New Roman" w:hAnsi="Times New Roman" w:cs="Times New Roman"/>
          <w:sz w:val="24"/>
          <w:szCs w:val="24"/>
          <w:lang w:val="en-US"/>
        </w:rPr>
        <w:t>context</w:t>
      </w:r>
      <w:r w:rsidR="00C85319" w:rsidRPr="00DF1F13">
        <w:rPr>
          <w:rFonts w:ascii="Times New Roman" w:hAnsi="Times New Roman" w:cs="Times New Roman"/>
          <w:sz w:val="24"/>
          <w:szCs w:val="24"/>
          <w:lang w:val="en-US"/>
        </w:rPr>
        <w:t>, the</w:t>
      </w:r>
      <w:r w:rsidR="00413522">
        <w:rPr>
          <w:rFonts w:ascii="Times New Roman" w:hAnsi="Times New Roman" w:cs="Times New Roman"/>
          <w:sz w:val="24"/>
          <w:szCs w:val="24"/>
          <w:lang w:val="en-US"/>
        </w:rPr>
        <w:t xml:space="preserve"> previous</w:t>
      </w:r>
      <w:r w:rsidR="00413522" w:rsidRPr="00413522">
        <w:t xml:space="preserve"> </w:t>
      </w:r>
      <w:r w:rsidR="00413522" w:rsidRPr="00413522">
        <w:rPr>
          <w:rFonts w:ascii="Times New Roman" w:hAnsi="Times New Roman" w:cs="Times New Roman"/>
          <w:sz w:val="24"/>
          <w:szCs w:val="24"/>
          <w:lang w:val="en-US"/>
        </w:rPr>
        <w:t>regulation</w:t>
      </w:r>
      <w:r w:rsidR="00C85319" w:rsidRPr="00DF1F13">
        <w:rPr>
          <w:rFonts w:ascii="Times New Roman" w:hAnsi="Times New Roman" w:cs="Times New Roman"/>
          <w:sz w:val="24"/>
          <w:szCs w:val="24"/>
          <w:lang w:val="en-US"/>
        </w:rPr>
        <w:t xml:space="preserve"> </w:t>
      </w:r>
      <w:r w:rsidR="00C34719" w:rsidRPr="00C34719">
        <w:rPr>
          <w:rFonts w:ascii="Times New Roman" w:hAnsi="Times New Roman" w:cs="Times New Roman"/>
          <w:sz w:val="24"/>
          <w:szCs w:val="24"/>
          <w:lang w:val="en-US"/>
        </w:rPr>
        <w:t xml:space="preserve">conferring </w:t>
      </w:r>
      <w:r w:rsidR="00C85319" w:rsidRPr="00DF1F13">
        <w:rPr>
          <w:rFonts w:ascii="Times New Roman" w:hAnsi="Times New Roman" w:cs="Times New Roman"/>
          <w:sz w:val="24"/>
          <w:szCs w:val="24"/>
          <w:lang w:val="en-US"/>
        </w:rPr>
        <w:t xml:space="preserve">immunity </w:t>
      </w:r>
      <w:r w:rsidR="00C34719">
        <w:rPr>
          <w:rFonts w:ascii="Times New Roman" w:hAnsi="Times New Roman" w:cs="Times New Roman"/>
          <w:sz w:val="24"/>
          <w:szCs w:val="24"/>
          <w:lang w:val="en-US"/>
        </w:rPr>
        <w:t>can</w:t>
      </w:r>
      <w:r w:rsidR="00C85319" w:rsidRPr="00DF1F13">
        <w:rPr>
          <w:rFonts w:ascii="Times New Roman" w:hAnsi="Times New Roman" w:cs="Times New Roman"/>
          <w:sz w:val="24"/>
          <w:szCs w:val="24"/>
          <w:lang w:val="en-US"/>
        </w:rPr>
        <w:t xml:space="preserve"> have the </w:t>
      </w:r>
      <w:r w:rsidR="00C34719" w:rsidRPr="00C34719">
        <w:rPr>
          <w:rFonts w:ascii="Times New Roman" w:hAnsi="Times New Roman" w:cs="Times New Roman"/>
          <w:sz w:val="24"/>
          <w:szCs w:val="24"/>
          <w:lang w:val="en-US"/>
        </w:rPr>
        <w:t xml:space="preserve">result </w:t>
      </w:r>
      <w:r w:rsidR="00C85319" w:rsidRPr="00DF1F13">
        <w:rPr>
          <w:rFonts w:ascii="Times New Roman" w:hAnsi="Times New Roman" w:cs="Times New Roman"/>
          <w:sz w:val="24"/>
          <w:szCs w:val="24"/>
          <w:lang w:val="en-US"/>
        </w:rPr>
        <w:t xml:space="preserve">of </w:t>
      </w:r>
      <w:r w:rsidR="00C34719" w:rsidRPr="00C34719">
        <w:rPr>
          <w:rFonts w:ascii="Times New Roman" w:hAnsi="Times New Roman" w:cs="Times New Roman"/>
          <w:sz w:val="24"/>
          <w:szCs w:val="24"/>
          <w:lang w:val="en-US"/>
        </w:rPr>
        <w:t xml:space="preserve">denying </w:t>
      </w:r>
      <w:r w:rsidR="005A5933" w:rsidRPr="00AB71F0">
        <w:rPr>
          <w:rFonts w:ascii="Times New Roman" w:hAnsi="Times New Roman" w:cs="Times New Roman"/>
          <w:sz w:val="24"/>
          <w:szCs w:val="24"/>
          <w:lang w:val="en-US"/>
        </w:rPr>
        <w:t xml:space="preserve">practically </w:t>
      </w:r>
      <w:r w:rsidR="00C85319" w:rsidRPr="00DF1F13">
        <w:rPr>
          <w:rFonts w:ascii="Times New Roman" w:hAnsi="Times New Roman" w:cs="Times New Roman"/>
          <w:sz w:val="24"/>
          <w:szCs w:val="24"/>
          <w:lang w:val="en-US"/>
        </w:rPr>
        <w:t xml:space="preserve">the </w:t>
      </w:r>
      <w:r w:rsidR="00C34719" w:rsidRPr="00C34719">
        <w:rPr>
          <w:rFonts w:ascii="Times New Roman" w:hAnsi="Times New Roman" w:cs="Times New Roman"/>
          <w:sz w:val="24"/>
          <w:szCs w:val="24"/>
          <w:lang w:val="en-US"/>
        </w:rPr>
        <w:t xml:space="preserve">last </w:t>
      </w:r>
      <w:r w:rsidR="00AB71F0">
        <w:rPr>
          <w:rFonts w:ascii="Times New Roman" w:hAnsi="Times New Roman" w:cs="Times New Roman"/>
          <w:sz w:val="24"/>
          <w:szCs w:val="24"/>
          <w:lang w:val="en-US"/>
        </w:rPr>
        <w:t xml:space="preserve">legal principle </w:t>
      </w:r>
      <w:r w:rsidR="005A5933">
        <w:rPr>
          <w:rFonts w:ascii="Times New Roman" w:hAnsi="Times New Roman" w:cs="Times New Roman"/>
          <w:sz w:val="24"/>
          <w:szCs w:val="24"/>
          <w:lang w:val="en-US"/>
        </w:rPr>
        <w:t xml:space="preserve">of </w:t>
      </w:r>
      <w:r w:rsidR="00C85319" w:rsidRPr="00DF1F13">
        <w:rPr>
          <w:rFonts w:ascii="Times New Roman" w:hAnsi="Times New Roman" w:cs="Times New Roman"/>
          <w:sz w:val="24"/>
          <w:szCs w:val="24"/>
          <w:lang w:val="en-US"/>
        </w:rPr>
        <w:t>all</w:t>
      </w:r>
      <w:r w:rsidR="005A5933" w:rsidRPr="005A5933">
        <w:t xml:space="preserve"> </w:t>
      </w:r>
      <w:r w:rsidR="005A5933" w:rsidRPr="005A5933">
        <w:rPr>
          <w:rFonts w:ascii="Times New Roman" w:hAnsi="Times New Roman" w:cs="Times New Roman"/>
          <w:sz w:val="24"/>
          <w:szCs w:val="24"/>
          <w:lang w:val="en-US"/>
        </w:rPr>
        <w:t>significance</w:t>
      </w:r>
      <w:r w:rsidR="00C85319" w:rsidRPr="00DF1F13">
        <w:rPr>
          <w:rFonts w:ascii="Times New Roman" w:hAnsi="Times New Roman" w:cs="Times New Roman"/>
          <w:sz w:val="24"/>
          <w:szCs w:val="24"/>
          <w:lang w:val="en-US"/>
        </w:rPr>
        <w:t>. This is a better way to explain the opinion of the English House of Lords in the Pinochet case (No.3</w:t>
      </w:r>
      <w:r w:rsidR="00054E81" w:rsidRPr="00DF1F13">
        <w:rPr>
          <w:rFonts w:ascii="Times New Roman" w:hAnsi="Times New Roman" w:cs="Times New Roman"/>
          <w:sz w:val="24"/>
          <w:szCs w:val="24"/>
          <w:lang w:val="en-US"/>
        </w:rPr>
        <w:t>). Many</w:t>
      </w:r>
      <w:r w:rsidR="004D6B34" w:rsidRPr="00DF1F13">
        <w:rPr>
          <w:rFonts w:ascii="Times New Roman" w:hAnsi="Times New Roman" w:cs="Times New Roman"/>
          <w:sz w:val="24"/>
          <w:szCs w:val="24"/>
          <w:lang w:val="en-US"/>
        </w:rPr>
        <w:t xml:space="preserve"> of the judges in that case considered that, as the Convention against Torture reduced the crime of torture to acts perpetrated in the exercise of official capacity, consequently the conferral of immunity ratione materiae would certainly have been inconsistent with the clauses of the Convention which grant universal jurisdiction over the crime.</w:t>
      </w:r>
      <w:r w:rsidR="004D6B34" w:rsidRPr="00DF1F13">
        <w:rPr>
          <w:rStyle w:val="Znakapoznpodarou"/>
          <w:rFonts w:ascii="Times New Roman" w:hAnsi="Times New Roman" w:cs="Times New Roman"/>
          <w:sz w:val="24"/>
          <w:szCs w:val="24"/>
          <w:lang w:val="en-US"/>
        </w:rPr>
        <w:footnoteReference w:id="51"/>
      </w:r>
    </w:p>
    <w:p w14:paraId="3FD76241" w14:textId="0987C77B" w:rsidR="00C657AC" w:rsidRPr="00DF1F13" w:rsidRDefault="00CD281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Therefore, immunity ratione materiae should be considered as replaced by the rule of universal jurisdiction for acts of torture.</w:t>
      </w:r>
      <w:r w:rsidR="001A2EBD" w:rsidRPr="00DF1F13">
        <w:rPr>
          <w:rFonts w:ascii="Times New Roman" w:hAnsi="Times New Roman" w:cs="Times New Roman"/>
          <w:sz w:val="24"/>
          <w:szCs w:val="24"/>
          <w:lang w:val="en-US"/>
        </w:rPr>
        <w:t xml:space="preserve"> Likewise,</w:t>
      </w:r>
      <w:r w:rsidR="007204CE">
        <w:rPr>
          <w:rFonts w:ascii="Times New Roman" w:hAnsi="Times New Roman" w:cs="Times New Roman"/>
          <w:sz w:val="24"/>
          <w:szCs w:val="24"/>
          <w:lang w:val="en-US"/>
        </w:rPr>
        <w:t xml:space="preserve"> such </w:t>
      </w:r>
      <w:r w:rsidR="001A2EBD" w:rsidRPr="00DF1F13">
        <w:rPr>
          <w:rFonts w:ascii="Times New Roman" w:hAnsi="Times New Roman" w:cs="Times New Roman"/>
          <w:sz w:val="24"/>
          <w:szCs w:val="24"/>
          <w:lang w:val="en-US"/>
        </w:rPr>
        <w:t>serious violations of the 1949 Geneva Conventions and other unhuman and degrading treatments perpetrated in an international armed conflict are frequently by definition acts carried out by public agents especially by soldiers, consequently the convention provisions granting universal jurisdiction over such offenses should not coexist with the conferral of immunity ratione materiae to</w:t>
      </w:r>
      <w:r w:rsidR="001A2EBD" w:rsidRPr="00DF1F13">
        <w:rPr>
          <w:rFonts w:ascii="Times New Roman" w:hAnsi="Times New Roman" w:cs="Times New Roman"/>
          <w:sz w:val="28"/>
          <w:szCs w:val="28"/>
          <w:lang w:val="en-US"/>
        </w:rPr>
        <w:t xml:space="preserve"> </w:t>
      </w:r>
      <w:r w:rsidR="001A2EBD" w:rsidRPr="00DF1F13">
        <w:rPr>
          <w:rFonts w:ascii="Times New Roman" w:hAnsi="Times New Roman" w:cs="Times New Roman"/>
          <w:sz w:val="24"/>
          <w:szCs w:val="24"/>
          <w:lang w:val="en-US"/>
        </w:rPr>
        <w:t>public agents.</w:t>
      </w:r>
      <w:r w:rsidR="001A2EBD" w:rsidRPr="00DF1F13">
        <w:rPr>
          <w:rStyle w:val="Znakapoznpodarou"/>
          <w:rFonts w:ascii="Times New Roman" w:hAnsi="Times New Roman" w:cs="Times New Roman"/>
          <w:sz w:val="24"/>
          <w:szCs w:val="24"/>
          <w:lang w:val="en-US"/>
        </w:rPr>
        <w:footnoteReference w:id="52"/>
      </w:r>
      <w:r w:rsidR="00EA604C" w:rsidRPr="00DF1F13">
        <w:rPr>
          <w:rFonts w:ascii="Times New Roman" w:hAnsi="Times New Roman" w:cs="Times New Roman"/>
          <w:sz w:val="24"/>
          <w:szCs w:val="24"/>
          <w:lang w:val="en-US"/>
        </w:rPr>
        <w:t xml:space="preserve"> </w:t>
      </w:r>
    </w:p>
    <w:p w14:paraId="125D961C" w14:textId="77777777" w:rsidR="00C657AC" w:rsidRPr="00DF1F13" w:rsidRDefault="00EA604C"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since genocide, crimes against humanity and war crimes perpetrated in an internal armed conflict can be carried out by military groups that are not state actors, the rules allowing universal jurisdiction over such crimes are hardly coextensive with immunity ratione materiae</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this is the case with torture and war crimes perpetrated in an international armed conflict).</w:t>
      </w:r>
    </w:p>
    <w:p w14:paraId="07FB2DF0" w14:textId="127CA69F" w:rsidR="00F75EC5" w:rsidRPr="00DF1F13" w:rsidRDefault="0061058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However, it can be asserted that these jurisdictional principles consider the domestic indictment of state </w:t>
      </w:r>
      <w:r w:rsidR="00C657AC" w:rsidRPr="00DF1F13">
        <w:rPr>
          <w:rFonts w:ascii="Times New Roman" w:hAnsi="Times New Roman" w:cs="Times New Roman"/>
          <w:sz w:val="24"/>
          <w:szCs w:val="24"/>
          <w:lang w:val="en-US"/>
        </w:rPr>
        <w:t>officials,</w:t>
      </w:r>
      <w:r w:rsidRPr="00DF1F13">
        <w:rPr>
          <w:rFonts w:ascii="Times New Roman" w:hAnsi="Times New Roman" w:cs="Times New Roman"/>
          <w:sz w:val="24"/>
          <w:szCs w:val="24"/>
          <w:lang w:val="en-US"/>
        </w:rPr>
        <w:t xml:space="preserve"> and this purpose predominates the previous rule granting immunity ratione materiae.</w:t>
      </w:r>
      <w:r w:rsidRPr="00DF1F13">
        <w:rPr>
          <w:rStyle w:val="Znakapoznpodarou"/>
          <w:rFonts w:ascii="Times New Roman" w:hAnsi="Times New Roman" w:cs="Times New Roman"/>
          <w:sz w:val="24"/>
          <w:szCs w:val="24"/>
          <w:lang w:val="en-US"/>
        </w:rPr>
        <w:footnoteReference w:id="53"/>
      </w:r>
      <w:r w:rsidR="00486A73" w:rsidRPr="00DF1F13">
        <w:rPr>
          <w:rFonts w:ascii="Times New Roman" w:hAnsi="Times New Roman" w:cs="Times New Roman"/>
          <w:sz w:val="24"/>
          <w:szCs w:val="24"/>
          <w:lang w:val="en-US"/>
        </w:rPr>
        <w:t xml:space="preserve"> Consequently, immunity ratione materiae disappears with regards to domestic prosecution of any international crimes stated in the Rome Statute.</w:t>
      </w:r>
    </w:p>
    <w:p w14:paraId="5310DA68" w14:textId="4F8B8BA4" w:rsidR="00DF1F13" w:rsidRPr="00DF1F13" w:rsidRDefault="00DF1F13" w:rsidP="00F75EC5">
      <w:pPr>
        <w:spacing w:line="360" w:lineRule="auto"/>
        <w:rPr>
          <w:rFonts w:ascii="Times New Roman" w:hAnsi="Times New Roman" w:cs="Times New Roman"/>
          <w:sz w:val="24"/>
          <w:szCs w:val="24"/>
          <w:lang w:val="en-US"/>
        </w:rPr>
      </w:pPr>
    </w:p>
    <w:p w14:paraId="782DFE73" w14:textId="77777777" w:rsidR="00BE0AAC" w:rsidRPr="00DF1F13" w:rsidRDefault="00BE0AAC" w:rsidP="00F75EC5">
      <w:pPr>
        <w:spacing w:line="360" w:lineRule="auto"/>
        <w:rPr>
          <w:rFonts w:ascii="Times New Roman" w:hAnsi="Times New Roman" w:cs="Times New Roman"/>
          <w:sz w:val="24"/>
          <w:szCs w:val="24"/>
          <w:lang w:val="en-US"/>
        </w:rPr>
      </w:pPr>
    </w:p>
    <w:p w14:paraId="273F0A24" w14:textId="22F746F1" w:rsidR="00F75EC5" w:rsidRPr="00DF1F13" w:rsidRDefault="00F75EC5" w:rsidP="00DF1F13">
      <w:pPr>
        <w:pStyle w:val="Nadpis1"/>
        <w:spacing w:after="240"/>
        <w:ind w:left="170" w:right="113"/>
        <w:jc w:val="both"/>
        <w:rPr>
          <w:rFonts w:ascii="Times New Roman" w:hAnsi="Times New Roman" w:cs="Times New Roman"/>
          <w:b/>
          <w:bCs/>
          <w:color w:val="auto"/>
        </w:rPr>
      </w:pPr>
      <w:bookmarkStart w:id="25" w:name="_Toc109340799"/>
      <w:r w:rsidRPr="00DF1F13">
        <w:rPr>
          <w:rFonts w:ascii="Times New Roman" w:hAnsi="Times New Roman" w:cs="Times New Roman"/>
          <w:b/>
          <w:bCs/>
          <w:color w:val="auto"/>
        </w:rPr>
        <w:lastRenderedPageBreak/>
        <w:t>3.</w:t>
      </w:r>
      <w:r w:rsidRPr="00DF1F13">
        <w:rPr>
          <w:rFonts w:ascii="Times New Roman" w:hAnsi="Times New Roman" w:cs="Times New Roman"/>
          <w:b/>
          <w:bCs/>
          <w:color w:val="auto"/>
        </w:rPr>
        <w:tab/>
        <w:t xml:space="preserve">The ICC </w:t>
      </w:r>
      <w:r w:rsidR="00C20C04">
        <w:rPr>
          <w:rFonts w:ascii="Times New Roman" w:hAnsi="Times New Roman" w:cs="Times New Roman"/>
          <w:b/>
          <w:bCs/>
          <w:color w:val="auto"/>
        </w:rPr>
        <w:t>S</w:t>
      </w:r>
      <w:r w:rsidRPr="00DF1F13">
        <w:rPr>
          <w:rFonts w:ascii="Times New Roman" w:hAnsi="Times New Roman" w:cs="Times New Roman"/>
          <w:b/>
          <w:bCs/>
          <w:color w:val="auto"/>
        </w:rPr>
        <w:t>tatute and Immunity:</w:t>
      </w:r>
      <w:bookmarkEnd w:id="25"/>
    </w:p>
    <w:p w14:paraId="72197EEC" w14:textId="77777777" w:rsidR="00C657AC" w:rsidRPr="00DF1F13" w:rsidRDefault="00E00448"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This part examines the practice of immunities in proceedings launched by the ICC. The first section focuses on the tension between the two clauses of the ICC Statute dealing with immunities (Articles 27 and 98).</w:t>
      </w:r>
    </w:p>
    <w:p w14:paraId="11C49075" w14:textId="4C078881" w:rsidR="00C657AC" w:rsidRPr="00DF1F13" w:rsidRDefault="00E00448"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In the following section, particular attention is accorded to the question of whether </w:t>
      </w:r>
      <w:r w:rsidR="00E948AB">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tates parties, non-parties and international organizations can profit from the clauses of paragraphs 1 and 2 of article 98. Those provisions require the Court not to ask the arrest or surrender of a person in case such a request would oblige the requested </w:t>
      </w:r>
      <w:r w:rsidR="00E948AB">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 to violate either the immunities granted to that person under international law or an international agreement prohibiting surrender to the ICC. </w:t>
      </w:r>
    </w:p>
    <w:p w14:paraId="244284F7" w14:textId="74AFA7C8" w:rsidR="00E00448" w:rsidRPr="00DF1F13" w:rsidRDefault="00E00448"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Lastly, the third section examines whether it is the ICC or the domestic authorities that are capable to determine whether a person incriminated by the Court is accorded immunity from arrest and surrender.</w:t>
      </w:r>
    </w:p>
    <w:p w14:paraId="49191013" w14:textId="7B60F625" w:rsidR="00E00448" w:rsidRPr="00DF1F13" w:rsidRDefault="00E00448" w:rsidP="00DF1F13">
      <w:pPr>
        <w:pStyle w:val="Nadpis1"/>
        <w:spacing w:after="240"/>
        <w:ind w:left="170" w:right="113"/>
        <w:jc w:val="both"/>
        <w:rPr>
          <w:rFonts w:ascii="Times New Roman" w:hAnsi="Times New Roman" w:cs="Times New Roman"/>
          <w:b/>
          <w:bCs/>
          <w:color w:val="auto"/>
        </w:rPr>
      </w:pPr>
      <w:bookmarkStart w:id="26" w:name="_Toc109340800"/>
      <w:r w:rsidRPr="00DF1F13">
        <w:rPr>
          <w:rFonts w:ascii="Times New Roman" w:hAnsi="Times New Roman" w:cs="Times New Roman"/>
          <w:b/>
          <w:bCs/>
          <w:color w:val="auto"/>
        </w:rPr>
        <w:t xml:space="preserve">3.1The Tension between </w:t>
      </w:r>
      <w:r w:rsidR="00C20C04">
        <w:rPr>
          <w:rFonts w:ascii="Times New Roman" w:hAnsi="Times New Roman" w:cs="Times New Roman"/>
          <w:b/>
          <w:bCs/>
          <w:color w:val="auto"/>
        </w:rPr>
        <w:t>A</w:t>
      </w:r>
      <w:r w:rsidRPr="00DF1F13">
        <w:rPr>
          <w:rFonts w:ascii="Times New Roman" w:hAnsi="Times New Roman" w:cs="Times New Roman"/>
          <w:b/>
          <w:bCs/>
          <w:color w:val="auto"/>
        </w:rPr>
        <w:t>rticles 27 and 98 of the ICC Statute:</w:t>
      </w:r>
      <w:bookmarkEnd w:id="26"/>
    </w:p>
    <w:p w14:paraId="632E8475" w14:textId="73B9A32F" w:rsidR="00A13E54" w:rsidRPr="00DF1F13" w:rsidRDefault="00976B02" w:rsidP="00DF1F13">
      <w:pPr>
        <w:spacing w:before="240" w:after="240" w:line="360" w:lineRule="auto"/>
        <w:ind w:left="170" w:right="113"/>
        <w:jc w:val="both"/>
        <w:rPr>
          <w:rFonts w:ascii="Times New Roman" w:hAnsi="Times New Roman" w:cs="Times New Roman"/>
          <w:sz w:val="28"/>
          <w:szCs w:val="28"/>
          <w:lang w:val="en-US"/>
        </w:rPr>
      </w:pPr>
      <w:r w:rsidRPr="00DF1F13">
        <w:rPr>
          <w:rFonts w:ascii="Times New Roman" w:hAnsi="Times New Roman" w:cs="Times New Roman"/>
          <w:sz w:val="24"/>
          <w:szCs w:val="24"/>
          <w:lang w:val="en-US"/>
        </w:rPr>
        <w:t>Determining the existence of state, diplomatic or other immunities from the ICC should start with a review of the text of the ICC Statute.</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Two provisions of the ICC Statute deal with questions of immunity: Articles 27 and 98. Article 27 deals mainly with the position of </w:t>
      </w:r>
      <w:r w:rsidR="00E948AB">
        <w:rPr>
          <w:rFonts w:ascii="Times New Roman" w:hAnsi="Times New Roman" w:cs="Times New Roman"/>
          <w:sz w:val="24"/>
          <w:szCs w:val="24"/>
          <w:lang w:val="en-US"/>
        </w:rPr>
        <w:t>s</w:t>
      </w:r>
      <w:r w:rsidRPr="00DF1F13">
        <w:rPr>
          <w:rFonts w:ascii="Times New Roman" w:hAnsi="Times New Roman" w:cs="Times New Roman"/>
          <w:sz w:val="24"/>
          <w:szCs w:val="24"/>
          <w:lang w:val="en-US"/>
        </w:rPr>
        <w:t>tate officials with regards to the ICC itself. Article 27 (1) stipulates: This Statute shall apply equally to all persons without any distinction based on official capacity.</w:t>
      </w:r>
      <w:r w:rsidRPr="00DF1F13">
        <w:rPr>
          <w:rFonts w:ascii="Times New Roman" w:hAnsi="Times New Roman" w:cs="Times New Roman"/>
          <w:sz w:val="28"/>
          <w:szCs w:val="28"/>
          <w:lang w:val="en-US"/>
        </w:rPr>
        <w:t xml:space="preserve"> </w:t>
      </w:r>
    </w:p>
    <w:p w14:paraId="4F2EFDEB" w14:textId="704D843B" w:rsidR="00415A8B" w:rsidRPr="00DF1F13" w:rsidRDefault="00976B0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Official capacity as a Head of </w:t>
      </w:r>
      <w:r w:rsidR="00E948AB">
        <w:rPr>
          <w:rFonts w:ascii="Times New Roman" w:hAnsi="Times New Roman" w:cs="Times New Roman"/>
          <w:sz w:val="24"/>
          <w:szCs w:val="24"/>
          <w:lang w:val="en-US"/>
        </w:rPr>
        <w:t>s</w:t>
      </w:r>
      <w:r w:rsidRPr="00DF1F13">
        <w:rPr>
          <w:rFonts w:ascii="Times New Roman" w:hAnsi="Times New Roman" w:cs="Times New Roman"/>
          <w:sz w:val="24"/>
          <w:szCs w:val="24"/>
          <w:lang w:val="en-US"/>
        </w:rPr>
        <w:t>tate or Government, a member of a Government or parliament, an elected representative or a government official shall in no case exempt a person from criminal responsibility under this Statute, nor shall it, in and of itself, constitute a ground for reduction of sentence.</w:t>
      </w:r>
      <w:r w:rsidR="002C52D1" w:rsidRPr="00DF1F13">
        <w:rPr>
          <w:rFonts w:ascii="Times New Roman" w:hAnsi="Times New Roman" w:cs="Times New Roman"/>
          <w:sz w:val="24"/>
          <w:szCs w:val="24"/>
          <w:lang w:val="en-US"/>
        </w:rPr>
        <w:t xml:space="preserve"> This provision is nowadays the norm in the creation of international criminal tribunals. Related provisions were introduced in the pertinent treaty for the Nuremberg and Tokyo tribunals following World War II, as well as in the statutes of the ICTY and the ICTR.</w:t>
      </w:r>
      <w:r w:rsidR="00C148A6" w:rsidRPr="00DF1F13">
        <w:rPr>
          <w:rStyle w:val="Znakapoznpodarou"/>
          <w:rFonts w:ascii="Times New Roman" w:hAnsi="Times New Roman" w:cs="Times New Roman"/>
          <w:sz w:val="24"/>
          <w:szCs w:val="24"/>
          <w:lang w:val="en-US"/>
        </w:rPr>
        <w:footnoteReference w:id="54"/>
      </w:r>
      <w:r w:rsidR="00966F77" w:rsidRPr="00DF1F13">
        <w:rPr>
          <w:rFonts w:ascii="Times New Roman" w:hAnsi="Times New Roman" w:cs="Times New Roman"/>
          <w:sz w:val="24"/>
          <w:szCs w:val="24"/>
          <w:lang w:val="en-US"/>
        </w:rPr>
        <w:t xml:space="preserve"> Article 27 (1) deals mainly with the material liability of state officials for international </w:t>
      </w:r>
      <w:r w:rsidR="00966F77" w:rsidRPr="00DF1F13">
        <w:rPr>
          <w:rFonts w:ascii="Times New Roman" w:hAnsi="Times New Roman" w:cs="Times New Roman"/>
          <w:sz w:val="24"/>
          <w:szCs w:val="24"/>
          <w:lang w:val="en-US"/>
        </w:rPr>
        <w:lastRenderedPageBreak/>
        <w:t>crimes rather than questions of immunity. Its principal effect is to demonstrate that the official status of a person does not release him from his private criminal responsibility, and it removes a substantial defense which can be invoked by public agents.</w:t>
      </w:r>
      <w:r w:rsidR="00966F77" w:rsidRPr="00DF1F13">
        <w:rPr>
          <w:rStyle w:val="Znakapoznpodarou"/>
          <w:rFonts w:ascii="Times New Roman" w:hAnsi="Times New Roman" w:cs="Times New Roman"/>
          <w:sz w:val="24"/>
          <w:szCs w:val="24"/>
          <w:lang w:val="en-US"/>
        </w:rPr>
        <w:footnoteReference w:id="55"/>
      </w:r>
      <w:r w:rsidR="00C71395" w:rsidRPr="00DF1F13">
        <w:rPr>
          <w:rFonts w:ascii="Times New Roman" w:hAnsi="Times New Roman" w:cs="Times New Roman"/>
          <w:sz w:val="24"/>
          <w:szCs w:val="24"/>
          <w:lang w:val="en-US"/>
        </w:rPr>
        <w:t>It can be asserted that Article 27 (1) and identical provisions do not treat questions of immunity in any manner as the assertion that a person can be legally responsible does not specify whether that person is liable to jurisdiction of a particular forum,</w:t>
      </w:r>
      <w:r w:rsidR="00C71395" w:rsidRPr="00DF1F13">
        <w:rPr>
          <w:rFonts w:ascii="Times New Roman" w:hAnsi="Times New Roman" w:cs="Times New Roman"/>
          <w:lang w:val="en-US"/>
        </w:rPr>
        <w:t xml:space="preserve"> </w:t>
      </w:r>
      <w:r w:rsidR="00C71395" w:rsidRPr="00DF1F13">
        <w:rPr>
          <w:rFonts w:ascii="Times New Roman" w:hAnsi="Times New Roman" w:cs="Times New Roman"/>
          <w:sz w:val="24"/>
          <w:szCs w:val="24"/>
          <w:lang w:val="en-US"/>
        </w:rPr>
        <w:t>that means, if this body can establish this</w:t>
      </w:r>
      <w:r w:rsidR="00C71395" w:rsidRPr="00DF1F13">
        <w:rPr>
          <w:rFonts w:ascii="Times New Roman" w:hAnsi="Times New Roman" w:cs="Times New Roman"/>
          <w:lang w:val="en-US"/>
        </w:rPr>
        <w:t xml:space="preserve"> </w:t>
      </w:r>
      <w:r w:rsidR="00C71395" w:rsidRPr="00DF1F13">
        <w:rPr>
          <w:rFonts w:ascii="Times New Roman" w:hAnsi="Times New Roman" w:cs="Times New Roman"/>
          <w:sz w:val="24"/>
          <w:szCs w:val="24"/>
          <w:lang w:val="en-US"/>
        </w:rPr>
        <w:t>liability.</w:t>
      </w:r>
      <w:r w:rsidR="000A6C0B" w:rsidRPr="00DF1F13">
        <w:rPr>
          <w:rFonts w:ascii="Times New Roman" w:hAnsi="Times New Roman" w:cs="Times New Roman"/>
          <w:sz w:val="24"/>
          <w:szCs w:val="24"/>
          <w:lang w:val="en-US"/>
        </w:rPr>
        <w:t xml:space="preserve"> These jurisdictional questions are dealt with, in part, by the law on international immunities, and the conferral of immunity does not mean that the person involved cannot be legally liable for the act in question.</w:t>
      </w:r>
      <w:r w:rsidR="00495D67" w:rsidRPr="00DF1F13">
        <w:rPr>
          <w:rFonts w:ascii="Times New Roman" w:hAnsi="Times New Roman" w:cs="Times New Roman"/>
          <w:sz w:val="24"/>
          <w:szCs w:val="24"/>
          <w:lang w:val="en-US"/>
        </w:rPr>
        <w:t xml:space="preserve"> </w:t>
      </w:r>
    </w:p>
    <w:p w14:paraId="4104A847" w14:textId="4C494EDB" w:rsidR="001C6D32" w:rsidRPr="00DF1F13" w:rsidRDefault="00495D6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further investigation demonstrates that Article 27 (1) has the effect of eliminating at least some of the immunities that public officials may in other ways be granted.</w:t>
      </w:r>
      <w:r w:rsidRPr="00DF1F13">
        <w:rPr>
          <w:rStyle w:val="Znakapoznpodarou"/>
          <w:rFonts w:ascii="Times New Roman" w:hAnsi="Times New Roman" w:cs="Times New Roman"/>
          <w:sz w:val="24"/>
          <w:szCs w:val="24"/>
          <w:lang w:val="en-US"/>
        </w:rPr>
        <w:footnoteReference w:id="56"/>
      </w:r>
      <w:r w:rsidR="00F94FDA" w:rsidRPr="00DF1F13">
        <w:rPr>
          <w:rFonts w:ascii="Times New Roman" w:hAnsi="Times New Roman" w:cs="Times New Roman"/>
          <w:sz w:val="24"/>
          <w:szCs w:val="24"/>
          <w:lang w:val="en-US"/>
        </w:rPr>
        <w:t xml:space="preserve"> Foremost, questions of legal liability are not totally disconnected from questions of immunity.</w:t>
      </w:r>
      <w:r w:rsidR="00F94FDA" w:rsidRPr="00DF1F13">
        <w:rPr>
          <w:rFonts w:ascii="Times New Roman" w:hAnsi="Times New Roman" w:cs="Times New Roman"/>
          <w:sz w:val="28"/>
          <w:szCs w:val="28"/>
          <w:lang w:val="en-US"/>
        </w:rPr>
        <w:t xml:space="preserve"> </w:t>
      </w:r>
      <w:r w:rsidR="00F94FDA" w:rsidRPr="00DF1F13">
        <w:rPr>
          <w:rFonts w:ascii="Times New Roman" w:hAnsi="Times New Roman" w:cs="Times New Roman"/>
          <w:sz w:val="24"/>
          <w:szCs w:val="24"/>
          <w:lang w:val="en-US"/>
        </w:rPr>
        <w:t xml:space="preserve">Since it has previously been demonstrated, one of the reasons for granting immunity for official acts is that they are usually considered as acts of </w:t>
      </w:r>
      <w:r w:rsidR="00E948AB">
        <w:rPr>
          <w:rFonts w:ascii="Times New Roman" w:hAnsi="Times New Roman" w:cs="Times New Roman"/>
          <w:sz w:val="24"/>
          <w:szCs w:val="24"/>
          <w:lang w:val="en-US"/>
        </w:rPr>
        <w:t>s</w:t>
      </w:r>
      <w:r w:rsidR="00F94FDA" w:rsidRPr="00DF1F13">
        <w:rPr>
          <w:rFonts w:ascii="Times New Roman" w:hAnsi="Times New Roman" w:cs="Times New Roman"/>
          <w:sz w:val="24"/>
          <w:szCs w:val="24"/>
          <w:lang w:val="en-US"/>
        </w:rPr>
        <w:t xml:space="preserve">tates for which the </w:t>
      </w:r>
      <w:r w:rsidR="00E948AB">
        <w:rPr>
          <w:rFonts w:ascii="Times New Roman" w:hAnsi="Times New Roman" w:cs="Times New Roman"/>
          <w:sz w:val="24"/>
          <w:szCs w:val="24"/>
          <w:lang w:val="en-US"/>
        </w:rPr>
        <w:t>s</w:t>
      </w:r>
      <w:r w:rsidR="00F94FDA" w:rsidRPr="00DF1F13">
        <w:rPr>
          <w:rFonts w:ascii="Times New Roman" w:hAnsi="Times New Roman" w:cs="Times New Roman"/>
          <w:sz w:val="24"/>
          <w:szCs w:val="24"/>
          <w:lang w:val="en-US"/>
        </w:rPr>
        <w:t>tate and not the official should be held accountable.</w:t>
      </w:r>
      <w:r w:rsidR="00760025" w:rsidRPr="00DF1F13">
        <w:rPr>
          <w:rStyle w:val="Znakapoznpodarou"/>
          <w:rFonts w:ascii="Times New Roman" w:hAnsi="Times New Roman" w:cs="Times New Roman"/>
          <w:sz w:val="24"/>
          <w:szCs w:val="24"/>
          <w:lang w:val="en-US"/>
        </w:rPr>
        <w:footnoteReference w:id="57"/>
      </w:r>
      <w:r w:rsidR="0012252D" w:rsidRPr="00DF1F13">
        <w:rPr>
          <w:rFonts w:ascii="Times New Roman" w:hAnsi="Times New Roman" w:cs="Times New Roman"/>
          <w:sz w:val="24"/>
          <w:szCs w:val="24"/>
          <w:lang w:val="en-US"/>
        </w:rPr>
        <w:t xml:space="preserve"> From the perspective that an international rule determines that the agent himself must be held accountable for the act, this ground for immunity vanishes.</w:t>
      </w:r>
      <w:r w:rsidR="00A051EE" w:rsidRPr="00DF1F13">
        <w:rPr>
          <w:rFonts w:ascii="Times New Roman" w:hAnsi="Times New Roman" w:cs="Times New Roman"/>
          <w:sz w:val="24"/>
          <w:szCs w:val="24"/>
          <w:lang w:val="en-US"/>
        </w:rPr>
        <w:t xml:space="preserve"> Second, by stipulating that the ICC Statute applies to public officials, Article 27 (1) determines that such officials are liable to prosecution by the ICC even when they have acted in an official capacity.</w:t>
      </w:r>
      <w:r w:rsidR="00871E1C" w:rsidRPr="00DF1F13">
        <w:rPr>
          <w:rFonts w:ascii="Times New Roman" w:hAnsi="Times New Roman" w:cs="Times New Roman"/>
          <w:sz w:val="24"/>
          <w:szCs w:val="24"/>
          <w:lang w:val="en-US"/>
        </w:rPr>
        <w:t xml:space="preserve"> </w:t>
      </w:r>
    </w:p>
    <w:p w14:paraId="43AF0C3D" w14:textId="77777777" w:rsidR="001C6D32" w:rsidRPr="00DF1F13" w:rsidRDefault="00871E1C"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Consequently, Article 27 (1) is equally jurisdictional in nature. Not just does the second phrase implicitly eliminate immunities founded on the official character of the act,</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the first phrase likewise implicitly determines that the official position of the accused does not preclude them from the jurisdiction of the ICC.</w:t>
      </w:r>
      <w:r w:rsidR="00BB217A" w:rsidRPr="00DF1F13">
        <w:rPr>
          <w:rFonts w:ascii="Times New Roman" w:hAnsi="Times New Roman" w:cs="Times New Roman"/>
          <w:sz w:val="24"/>
          <w:szCs w:val="24"/>
          <w:lang w:val="en-US"/>
        </w:rPr>
        <w:t xml:space="preserve"> Maybe thanks to uncertainties as to whether Article 27 (1) totally suppresses the opportunity of relying on immunities in procedure before the ICC, Article 27 (2) includes an explicit rejection of legal immunities international and national. It provides: "Immunities or special procedural rules which may attach to the official capacity of a person, whether under national or international law, shall not bar the Court from exercising its </w:t>
      </w:r>
      <w:r w:rsidR="00BB217A" w:rsidRPr="00DF1F13">
        <w:rPr>
          <w:rFonts w:ascii="Times New Roman" w:hAnsi="Times New Roman" w:cs="Times New Roman"/>
          <w:sz w:val="24"/>
          <w:szCs w:val="24"/>
          <w:lang w:val="en-US"/>
        </w:rPr>
        <w:lastRenderedPageBreak/>
        <w:t>jurisdiction over such a person."</w:t>
      </w:r>
      <w:r w:rsidR="00D5050F" w:rsidRPr="00DF1F13">
        <w:rPr>
          <w:rFonts w:ascii="Times New Roman" w:hAnsi="Times New Roman" w:cs="Times New Roman"/>
          <w:sz w:val="24"/>
          <w:szCs w:val="24"/>
          <w:lang w:val="en-US"/>
        </w:rPr>
        <w:t xml:space="preserve"> That is a modern provision. It has no equivalent in the agreements of the Nuremberg or Tokyo tribunals or in the statutes of the ICTY and the ICTR.</w:t>
      </w:r>
      <w:r w:rsidR="00CB34C9" w:rsidRPr="00DF1F13">
        <w:rPr>
          <w:rFonts w:ascii="Times New Roman" w:hAnsi="Times New Roman" w:cs="Times New Roman"/>
          <w:sz w:val="24"/>
          <w:szCs w:val="24"/>
          <w:lang w:val="en-US"/>
        </w:rPr>
        <w:t xml:space="preserve"> Article 27 (2) definitively determines that state officials are liable to prosecution by the ICC and this provision is a removal by states parties of any kind of immunity that their officials may in other ways have from the ICC.</w:t>
      </w:r>
      <w:r w:rsidR="00CC2F2B" w:rsidRPr="00DF1F13">
        <w:rPr>
          <w:rFonts w:ascii="Times New Roman" w:hAnsi="Times New Roman" w:cs="Times New Roman"/>
          <w:sz w:val="24"/>
          <w:szCs w:val="24"/>
          <w:lang w:val="en-US"/>
        </w:rPr>
        <w:t xml:space="preserve"> </w:t>
      </w:r>
    </w:p>
    <w:p w14:paraId="05B04C38" w14:textId="7761E16C" w:rsidR="006A7179" w:rsidRPr="00DF1F13" w:rsidRDefault="00CC2F2B"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the lifting of immunity from the ICC by article 27 is not the termination of the issue.</w:t>
      </w:r>
      <w:r w:rsidR="00B8661A" w:rsidRPr="00DF1F13">
        <w:rPr>
          <w:rFonts w:ascii="Times New Roman" w:hAnsi="Times New Roman" w:cs="Times New Roman"/>
          <w:sz w:val="24"/>
          <w:szCs w:val="24"/>
          <w:lang w:val="en-US"/>
        </w:rPr>
        <w:t xml:space="preserve"> Since the ICC has no independent powers of arrest and should rely on </w:t>
      </w:r>
      <w:r w:rsidR="00E948AB">
        <w:rPr>
          <w:rFonts w:ascii="Times New Roman" w:hAnsi="Times New Roman" w:cs="Times New Roman"/>
          <w:sz w:val="24"/>
          <w:szCs w:val="24"/>
          <w:lang w:val="en-US"/>
        </w:rPr>
        <w:t>s</w:t>
      </w:r>
      <w:r w:rsidR="00B8661A" w:rsidRPr="00DF1F13">
        <w:rPr>
          <w:rFonts w:ascii="Times New Roman" w:hAnsi="Times New Roman" w:cs="Times New Roman"/>
          <w:sz w:val="24"/>
          <w:szCs w:val="24"/>
          <w:lang w:val="en-US"/>
        </w:rPr>
        <w:t>tates to arrest and surrender incriminated persons,</w:t>
      </w:r>
      <w:r w:rsidR="00B8661A" w:rsidRPr="00DF1F13">
        <w:rPr>
          <w:rStyle w:val="Znakapoznpodarou"/>
          <w:rFonts w:ascii="Times New Roman" w:hAnsi="Times New Roman" w:cs="Times New Roman"/>
          <w:sz w:val="24"/>
          <w:szCs w:val="24"/>
          <w:lang w:val="en-US"/>
        </w:rPr>
        <w:footnoteReference w:id="58"/>
      </w:r>
      <w:r w:rsidR="001739F5" w:rsidRPr="00DF1F13">
        <w:rPr>
          <w:rFonts w:ascii="Times New Roman" w:hAnsi="Times New Roman" w:cs="Times New Roman"/>
          <w:sz w:val="24"/>
          <w:szCs w:val="24"/>
          <w:lang w:val="en-US"/>
        </w:rPr>
        <w:t xml:space="preserve"> the immunities of public agents in domestic jurisdictions are getting significant.</w:t>
      </w:r>
      <w:r w:rsidR="00FF0834" w:rsidRPr="00DF1F13">
        <w:rPr>
          <w:rFonts w:ascii="Times New Roman" w:hAnsi="Times New Roman" w:cs="Times New Roman"/>
          <w:sz w:val="24"/>
          <w:szCs w:val="24"/>
          <w:lang w:val="en-US"/>
        </w:rPr>
        <w:t xml:space="preserve"> </w:t>
      </w:r>
    </w:p>
    <w:p w14:paraId="685B2ECA" w14:textId="27EA7389" w:rsidR="006A7179" w:rsidRPr="00DF1F13" w:rsidRDefault="00FF083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Insofar as the Court may request the arrest and surrender of the official involved, Article 27 is a removal of immunities under national law by the parties to the Statute.</w:t>
      </w:r>
      <w:r w:rsidR="0045561D" w:rsidRPr="00DF1F13">
        <w:rPr>
          <w:rFonts w:ascii="Times New Roman" w:hAnsi="Times New Roman" w:cs="Times New Roman"/>
          <w:sz w:val="24"/>
          <w:szCs w:val="24"/>
          <w:lang w:val="en-US"/>
        </w:rPr>
        <w:t xml:space="preserve"> Consequently, </w:t>
      </w:r>
      <w:r w:rsidR="00E948AB">
        <w:rPr>
          <w:rFonts w:ascii="Times New Roman" w:hAnsi="Times New Roman" w:cs="Times New Roman"/>
          <w:sz w:val="24"/>
          <w:szCs w:val="24"/>
          <w:lang w:val="en-US"/>
        </w:rPr>
        <w:t>s</w:t>
      </w:r>
      <w:r w:rsidR="0045561D" w:rsidRPr="00DF1F13">
        <w:rPr>
          <w:rFonts w:ascii="Times New Roman" w:hAnsi="Times New Roman" w:cs="Times New Roman"/>
          <w:sz w:val="24"/>
          <w:szCs w:val="24"/>
          <w:lang w:val="en-US"/>
        </w:rPr>
        <w:t>tates parties are required to arrest and surrender their own agents even if such agents may in other ways be granted immunity under national law.</w:t>
      </w:r>
      <w:r w:rsidR="0045561D" w:rsidRPr="00DF1F13">
        <w:rPr>
          <w:rStyle w:val="Znakapoznpodarou"/>
          <w:rFonts w:ascii="Times New Roman" w:hAnsi="Times New Roman" w:cs="Times New Roman"/>
          <w:sz w:val="24"/>
          <w:szCs w:val="24"/>
          <w:lang w:val="en-US"/>
        </w:rPr>
        <w:footnoteReference w:id="59"/>
      </w:r>
      <w:r w:rsidR="0052722D" w:rsidRPr="00DF1F13">
        <w:rPr>
          <w:rFonts w:ascii="Times New Roman" w:hAnsi="Times New Roman" w:cs="Times New Roman"/>
          <w:sz w:val="24"/>
          <w:szCs w:val="24"/>
          <w:lang w:val="en-US"/>
        </w:rPr>
        <w:t xml:space="preserve"> </w:t>
      </w:r>
    </w:p>
    <w:p w14:paraId="4D258A2B" w14:textId="2CE4E8B6" w:rsidR="006A7179" w:rsidRPr="00DF1F13" w:rsidRDefault="0052722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Nonetheless, once a public agent is abroad and granted under international law to immunity from arrest and criminal proceedings in the other </w:t>
      </w:r>
      <w:r w:rsidR="00E948AB">
        <w:rPr>
          <w:rFonts w:ascii="Times New Roman" w:hAnsi="Times New Roman" w:cs="Times New Roman"/>
          <w:sz w:val="24"/>
          <w:szCs w:val="24"/>
          <w:lang w:val="en-US"/>
        </w:rPr>
        <w:t>s</w:t>
      </w:r>
      <w:r w:rsidRPr="00DF1F13">
        <w:rPr>
          <w:rFonts w:ascii="Times New Roman" w:hAnsi="Times New Roman" w:cs="Times New Roman"/>
          <w:sz w:val="24"/>
          <w:szCs w:val="24"/>
          <w:lang w:val="en-US"/>
        </w:rPr>
        <w:t>tate, the issue become</w:t>
      </w:r>
      <w:r w:rsidR="00995F18">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 more complex.</w:t>
      </w:r>
      <w:r w:rsidR="00C411F2" w:rsidRPr="00DF1F13">
        <w:rPr>
          <w:rFonts w:ascii="Times New Roman" w:hAnsi="Times New Roman" w:cs="Times New Roman"/>
          <w:sz w:val="24"/>
          <w:szCs w:val="24"/>
          <w:lang w:val="en-US"/>
        </w:rPr>
        <w:t xml:space="preserve"> To address this issue, Article 98 (1) of the ICC Statute provides: The Court may not proceed with a request for surrender or assistance which would require the requested State to act inconsistently with its obligations under international law with respect to the State or diplomatic immunity of a person or property of a third State, unless the Court can first obtain the cooperation of that third State for the waiver of the immunity.</w:t>
      </w:r>
      <w:r w:rsidR="00C411F2" w:rsidRPr="00DF1F13">
        <w:rPr>
          <w:rStyle w:val="Znakapoznpodarou"/>
          <w:rFonts w:ascii="Times New Roman" w:hAnsi="Times New Roman" w:cs="Times New Roman"/>
          <w:sz w:val="24"/>
          <w:szCs w:val="24"/>
          <w:lang w:val="en-US"/>
        </w:rPr>
        <w:footnoteReference w:id="60"/>
      </w:r>
      <w:r w:rsidR="00E62891" w:rsidRPr="00DF1F13">
        <w:rPr>
          <w:rFonts w:ascii="Times New Roman" w:hAnsi="Times New Roman" w:cs="Times New Roman"/>
          <w:sz w:val="24"/>
          <w:szCs w:val="24"/>
          <w:lang w:val="en-US"/>
        </w:rPr>
        <w:t xml:space="preserve"> </w:t>
      </w:r>
    </w:p>
    <w:p w14:paraId="0BD22E3C" w14:textId="7EC5CDE2" w:rsidR="006A7179" w:rsidRPr="00DF1F13" w:rsidRDefault="00E62891"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Therefore, whereas article 27 stipulates that the conferral of international immunity to State official does not prevent the ICC from exercising its jurisdiction</w:t>
      </w:r>
      <w:r w:rsidR="007F1126" w:rsidRPr="00DF1F13">
        <w:rPr>
          <w:rFonts w:ascii="Times New Roman" w:hAnsi="Times New Roman" w:cs="Times New Roman"/>
          <w:sz w:val="24"/>
          <w:szCs w:val="24"/>
          <w:lang w:val="en-US"/>
        </w:rPr>
        <w:t xml:space="preserve">, Article 98 directs the Court not to take measures the consequence of which would be the violation by </w:t>
      </w:r>
      <w:r w:rsidR="00E948AB">
        <w:rPr>
          <w:rFonts w:ascii="Times New Roman" w:hAnsi="Times New Roman" w:cs="Times New Roman"/>
          <w:sz w:val="24"/>
          <w:szCs w:val="24"/>
          <w:lang w:val="en-US"/>
        </w:rPr>
        <w:t>s</w:t>
      </w:r>
      <w:r w:rsidR="007F1126" w:rsidRPr="00DF1F13">
        <w:rPr>
          <w:rFonts w:ascii="Times New Roman" w:hAnsi="Times New Roman" w:cs="Times New Roman"/>
          <w:sz w:val="24"/>
          <w:szCs w:val="24"/>
          <w:lang w:val="en-US"/>
        </w:rPr>
        <w:t>tates of their international obligations by granting immunity to foreign representatives.</w:t>
      </w:r>
      <w:r w:rsidR="00577C6A" w:rsidRPr="00DF1F13">
        <w:rPr>
          <w:rStyle w:val="Znakapoznpodarou"/>
          <w:rFonts w:ascii="Times New Roman" w:hAnsi="Times New Roman" w:cs="Times New Roman"/>
          <w:sz w:val="24"/>
          <w:szCs w:val="24"/>
          <w:lang w:val="en-US"/>
        </w:rPr>
        <w:footnoteReference w:id="61"/>
      </w:r>
      <w:r w:rsidR="003C1078" w:rsidRPr="00DF1F13">
        <w:rPr>
          <w:rFonts w:ascii="Times New Roman" w:hAnsi="Times New Roman" w:cs="Times New Roman"/>
          <w:sz w:val="24"/>
          <w:szCs w:val="24"/>
          <w:lang w:val="en-US"/>
        </w:rPr>
        <w:t xml:space="preserve"> </w:t>
      </w:r>
    </w:p>
    <w:p w14:paraId="6CDF3184" w14:textId="044E51A2" w:rsidR="004D4180" w:rsidRPr="00DF1F13" w:rsidRDefault="003C1078" w:rsidP="00DF1F13">
      <w:pPr>
        <w:spacing w:before="240" w:after="240" w:line="360" w:lineRule="auto"/>
        <w:ind w:left="170" w:right="113"/>
        <w:jc w:val="both"/>
        <w:rPr>
          <w:rFonts w:ascii="Times New Roman" w:hAnsi="Times New Roman" w:cs="Times New Roman"/>
          <w:sz w:val="28"/>
          <w:szCs w:val="28"/>
          <w:lang w:val="en-US"/>
        </w:rPr>
      </w:pPr>
      <w:r w:rsidRPr="00DF1F13">
        <w:rPr>
          <w:rFonts w:ascii="Times New Roman" w:hAnsi="Times New Roman" w:cs="Times New Roman"/>
          <w:sz w:val="24"/>
          <w:szCs w:val="24"/>
          <w:lang w:val="en-US"/>
        </w:rPr>
        <w:lastRenderedPageBreak/>
        <w:t>Quite possibly, the principal means for the Court to secure custody of accused public agents is by way of the cooperation with other States Parties in whose territory the representatives are located.</w:t>
      </w:r>
      <w:r w:rsidR="004D4180" w:rsidRPr="00DF1F13">
        <w:rPr>
          <w:rFonts w:ascii="Times New Roman" w:hAnsi="Times New Roman" w:cs="Times New Roman"/>
          <w:sz w:val="24"/>
          <w:szCs w:val="24"/>
          <w:lang w:val="en-US"/>
        </w:rPr>
        <w:t xml:space="preserve"> However, </w:t>
      </w:r>
      <w:r w:rsidR="00C227BD">
        <w:rPr>
          <w:rFonts w:ascii="Times New Roman" w:hAnsi="Times New Roman" w:cs="Times New Roman"/>
          <w:sz w:val="24"/>
          <w:szCs w:val="24"/>
          <w:lang w:val="en-US"/>
        </w:rPr>
        <w:t>s</w:t>
      </w:r>
      <w:r w:rsidR="004D4180" w:rsidRPr="00DF1F13">
        <w:rPr>
          <w:rFonts w:ascii="Times New Roman" w:hAnsi="Times New Roman" w:cs="Times New Roman"/>
          <w:sz w:val="24"/>
          <w:szCs w:val="24"/>
          <w:lang w:val="en-US"/>
        </w:rPr>
        <w:t xml:space="preserve">tate that are not parties to the ICC Statute have no duty to surrender their nationals or officials to the ICC, and </w:t>
      </w:r>
      <w:r w:rsidR="00C227BD">
        <w:rPr>
          <w:rFonts w:ascii="Times New Roman" w:hAnsi="Times New Roman" w:cs="Times New Roman"/>
          <w:sz w:val="24"/>
          <w:szCs w:val="24"/>
          <w:lang w:val="en-US"/>
        </w:rPr>
        <w:t>s</w:t>
      </w:r>
      <w:r w:rsidR="004D4180" w:rsidRPr="00DF1F13">
        <w:rPr>
          <w:rFonts w:ascii="Times New Roman" w:hAnsi="Times New Roman" w:cs="Times New Roman"/>
          <w:sz w:val="24"/>
          <w:szCs w:val="24"/>
          <w:lang w:val="en-US"/>
        </w:rPr>
        <w:t>tate parties can breach their obligations by refusing to surrender their own officials.</w:t>
      </w:r>
      <w:r w:rsidR="004D4180" w:rsidRPr="00DF1F13">
        <w:rPr>
          <w:rStyle w:val="Znakapoznpodarou"/>
          <w:rFonts w:ascii="Times New Roman" w:hAnsi="Times New Roman" w:cs="Times New Roman"/>
          <w:sz w:val="24"/>
          <w:szCs w:val="24"/>
          <w:lang w:val="en-US"/>
        </w:rPr>
        <w:footnoteReference w:id="62"/>
      </w:r>
    </w:p>
    <w:p w14:paraId="713D6E76" w14:textId="2EC75128" w:rsidR="006A7179" w:rsidRPr="00DF1F13" w:rsidRDefault="00193C03"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the</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capacity of the Court to obtain custody of public agents and the refusal of Article 27 immunity can be compromised by the fact that representatives may be accorded to avail themselves of international immunities to preclude other states from arresting </w:t>
      </w:r>
      <w:r w:rsidR="00B65B30" w:rsidRPr="00DF1F13">
        <w:rPr>
          <w:rFonts w:ascii="Times New Roman" w:hAnsi="Times New Roman" w:cs="Times New Roman"/>
          <w:sz w:val="24"/>
          <w:szCs w:val="24"/>
          <w:lang w:val="en-US"/>
        </w:rPr>
        <w:t>them. Whether or not this turns out to be an important obstacle to the exercise of the ICC's jurisdiction and will be subject to an interpretation of Article 98 (1).</w:t>
      </w:r>
    </w:p>
    <w:p w14:paraId="17D74DDD" w14:textId="31824269" w:rsidR="00B65B30" w:rsidRPr="00DF1F13" w:rsidRDefault="00B65B30" w:rsidP="00DF1F13">
      <w:pPr>
        <w:pStyle w:val="Nadpis1"/>
        <w:spacing w:after="240"/>
        <w:ind w:left="170" w:right="113"/>
        <w:jc w:val="both"/>
        <w:rPr>
          <w:rFonts w:ascii="Times New Roman" w:hAnsi="Times New Roman" w:cs="Times New Roman"/>
          <w:b/>
          <w:bCs/>
          <w:color w:val="auto"/>
        </w:rPr>
      </w:pPr>
      <w:bookmarkStart w:id="31" w:name="_Toc109340801"/>
      <w:r w:rsidRPr="00DF1F13">
        <w:rPr>
          <w:rFonts w:ascii="Times New Roman" w:hAnsi="Times New Roman" w:cs="Times New Roman"/>
          <w:b/>
          <w:bCs/>
          <w:color w:val="auto"/>
        </w:rPr>
        <w:t>3.2</w:t>
      </w:r>
      <w:r w:rsidR="006A7179" w:rsidRPr="00DF1F13">
        <w:rPr>
          <w:rFonts w:ascii="Times New Roman" w:hAnsi="Times New Roman" w:cs="Times New Roman"/>
          <w:b/>
          <w:bCs/>
          <w:color w:val="auto"/>
        </w:rPr>
        <w:t xml:space="preserve"> </w:t>
      </w:r>
      <w:r w:rsidRPr="00DF1F13">
        <w:rPr>
          <w:rFonts w:ascii="Times New Roman" w:hAnsi="Times New Roman" w:cs="Times New Roman"/>
          <w:b/>
          <w:bCs/>
          <w:color w:val="auto"/>
        </w:rPr>
        <w:t xml:space="preserve">Who May </w:t>
      </w:r>
      <w:r w:rsidR="00C20C04">
        <w:rPr>
          <w:rFonts w:ascii="Times New Roman" w:hAnsi="Times New Roman" w:cs="Times New Roman"/>
          <w:b/>
          <w:bCs/>
          <w:color w:val="auto"/>
        </w:rPr>
        <w:t>B</w:t>
      </w:r>
      <w:r w:rsidRPr="00DF1F13">
        <w:rPr>
          <w:rFonts w:ascii="Times New Roman" w:hAnsi="Times New Roman" w:cs="Times New Roman"/>
          <w:b/>
          <w:bCs/>
          <w:color w:val="auto"/>
        </w:rPr>
        <w:t>enefit from Article 98?</w:t>
      </w:r>
      <w:bookmarkEnd w:id="31"/>
      <w:r w:rsidRPr="00DF1F13">
        <w:rPr>
          <w:rFonts w:ascii="Times New Roman" w:hAnsi="Times New Roman" w:cs="Times New Roman"/>
          <w:b/>
          <w:bCs/>
          <w:color w:val="auto"/>
        </w:rPr>
        <w:t xml:space="preserve"> </w:t>
      </w:r>
    </w:p>
    <w:p w14:paraId="0E6BCB22" w14:textId="426F6E08" w:rsidR="005D30AE" w:rsidRPr="00DF1F13" w:rsidRDefault="000222E3"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status of officials and diplomats of states that are not party to the ICC Statute. Even though the ICC is empowered to exercise jurisdiction over nationals of states not party to its Statute</w:t>
      </w:r>
      <w:r w:rsidR="006A02D2" w:rsidRPr="00DF1F13">
        <w:rPr>
          <w:rFonts w:ascii="Times New Roman" w:hAnsi="Times New Roman" w:cs="Times New Roman"/>
          <w:sz w:val="24"/>
          <w:szCs w:val="24"/>
          <w:lang w:val="en-US"/>
        </w:rPr>
        <w:t>.</w:t>
      </w:r>
      <w:r w:rsidRPr="00DF1F13">
        <w:rPr>
          <w:rStyle w:val="Znakapoznpodarou"/>
          <w:rFonts w:ascii="Times New Roman" w:hAnsi="Times New Roman" w:cs="Times New Roman"/>
          <w:sz w:val="24"/>
          <w:szCs w:val="24"/>
          <w:lang w:val="en-US"/>
        </w:rPr>
        <w:footnoteReference w:id="63"/>
      </w:r>
      <w:r w:rsidR="006A02D2" w:rsidRPr="00DF1F13">
        <w:rPr>
          <w:rFonts w:ascii="Times New Roman" w:hAnsi="Times New Roman" w:cs="Times New Roman"/>
          <w:sz w:val="24"/>
          <w:szCs w:val="24"/>
          <w:lang w:val="en-US"/>
        </w:rPr>
        <w:t xml:space="preserve"> No provision in the ICC Statute can work to eliminate the immunities that officials of non-parties may normally have under international law.</w:t>
      </w:r>
      <w:r w:rsidR="006A02D2" w:rsidRPr="00DF1F13">
        <w:rPr>
          <w:rStyle w:val="Znakapoznpodarou"/>
          <w:rFonts w:ascii="Times New Roman" w:hAnsi="Times New Roman" w:cs="Times New Roman"/>
          <w:sz w:val="24"/>
          <w:szCs w:val="24"/>
          <w:lang w:val="en-US"/>
        </w:rPr>
        <w:footnoteReference w:id="64"/>
      </w:r>
      <w:r w:rsidR="00B93595" w:rsidRPr="00DF1F13">
        <w:rPr>
          <w:rFonts w:ascii="Times New Roman" w:hAnsi="Times New Roman" w:cs="Times New Roman"/>
          <w:sz w:val="24"/>
          <w:szCs w:val="24"/>
          <w:lang w:val="en-US"/>
        </w:rPr>
        <w:t xml:space="preserve"> Section 9 of the Statute compel the parties with a duty to cooperate with ICC requests for the arrest and surrender of persons in their territory.</w:t>
      </w:r>
      <w:r w:rsidR="00195F51" w:rsidRPr="00DF1F13">
        <w:rPr>
          <w:rFonts w:ascii="Times New Roman" w:hAnsi="Times New Roman" w:cs="Times New Roman"/>
          <w:sz w:val="24"/>
          <w:szCs w:val="24"/>
          <w:lang w:val="en-US"/>
        </w:rPr>
        <w:t xml:space="preserve"> Consequently, states parties may violate their international obligations to </w:t>
      </w:r>
      <w:r w:rsidR="00C227BD">
        <w:rPr>
          <w:rFonts w:ascii="Times New Roman" w:hAnsi="Times New Roman" w:cs="Times New Roman"/>
          <w:sz w:val="24"/>
          <w:szCs w:val="24"/>
          <w:lang w:val="en-US"/>
        </w:rPr>
        <w:t>s</w:t>
      </w:r>
      <w:r w:rsidR="00195F51" w:rsidRPr="00DF1F13">
        <w:rPr>
          <w:rFonts w:ascii="Times New Roman" w:hAnsi="Times New Roman" w:cs="Times New Roman"/>
          <w:sz w:val="24"/>
          <w:szCs w:val="24"/>
          <w:lang w:val="en-US"/>
        </w:rPr>
        <w:t>tates that are non-parties if they arrested and surrendered to the Court public agents of a non-party who is granted immunity from arrest and prosecution.</w:t>
      </w:r>
      <w:r w:rsidR="00195F51" w:rsidRPr="00DF1F13">
        <w:rPr>
          <w:rStyle w:val="Znakapoznpodarou"/>
          <w:rFonts w:ascii="Times New Roman" w:hAnsi="Times New Roman" w:cs="Times New Roman"/>
          <w:sz w:val="24"/>
          <w:szCs w:val="24"/>
          <w:lang w:val="en-US"/>
        </w:rPr>
        <w:footnoteReference w:id="65"/>
      </w:r>
      <w:r w:rsidR="00B04C37" w:rsidRPr="00DF1F13">
        <w:rPr>
          <w:rFonts w:ascii="Times New Roman" w:hAnsi="Times New Roman" w:cs="Times New Roman"/>
          <w:sz w:val="24"/>
          <w:szCs w:val="24"/>
          <w:lang w:val="en-US"/>
        </w:rPr>
        <w:t xml:space="preserve">In such context, Article 98 (1), by ordering the court not to act on a request for arrest, secure that </w:t>
      </w:r>
      <w:r w:rsidR="00C227BD">
        <w:rPr>
          <w:rFonts w:ascii="Times New Roman" w:hAnsi="Times New Roman" w:cs="Times New Roman"/>
          <w:sz w:val="24"/>
          <w:szCs w:val="24"/>
          <w:lang w:val="en-US"/>
        </w:rPr>
        <w:t>s</w:t>
      </w:r>
      <w:r w:rsidR="00B04C37" w:rsidRPr="00DF1F13">
        <w:rPr>
          <w:rFonts w:ascii="Times New Roman" w:hAnsi="Times New Roman" w:cs="Times New Roman"/>
          <w:sz w:val="24"/>
          <w:szCs w:val="24"/>
          <w:lang w:val="en-US"/>
        </w:rPr>
        <w:t>tate parties to the ICC will not be faced with competing legal obligations towards the ICC and 'other states.</w:t>
      </w:r>
      <w:r w:rsidR="00077C07" w:rsidRPr="00DF1F13">
        <w:rPr>
          <w:rFonts w:ascii="Times New Roman" w:hAnsi="Times New Roman" w:cs="Times New Roman"/>
          <w:sz w:val="24"/>
          <w:szCs w:val="24"/>
          <w:lang w:val="en-US"/>
        </w:rPr>
        <w:t xml:space="preserve"> In fact, as the Court works by “delegation” from its States Parties</w:t>
      </w:r>
      <w:r w:rsidR="00077C07" w:rsidRPr="00DF1F13">
        <w:rPr>
          <w:rStyle w:val="Znakapoznpodarou"/>
          <w:rFonts w:ascii="Times New Roman" w:hAnsi="Times New Roman" w:cs="Times New Roman"/>
          <w:sz w:val="24"/>
          <w:szCs w:val="24"/>
          <w:lang w:val="en-US"/>
        </w:rPr>
        <w:footnoteReference w:id="66"/>
      </w:r>
      <w:r w:rsidR="00077C07" w:rsidRPr="00DF1F13">
        <w:rPr>
          <w:rFonts w:ascii="Times New Roman" w:hAnsi="Times New Roman" w:cs="Times New Roman"/>
          <w:sz w:val="24"/>
          <w:szCs w:val="24"/>
          <w:lang w:val="en-US"/>
        </w:rPr>
        <w:t xml:space="preserve">,therefore the immunity of public agents of non-parties applies with regards to </w:t>
      </w:r>
      <w:r w:rsidR="00C227BD">
        <w:rPr>
          <w:rFonts w:ascii="Times New Roman" w:hAnsi="Times New Roman" w:cs="Times New Roman"/>
          <w:sz w:val="24"/>
          <w:szCs w:val="24"/>
          <w:lang w:val="en-US"/>
        </w:rPr>
        <w:t>s</w:t>
      </w:r>
      <w:r w:rsidR="00077C07" w:rsidRPr="00DF1F13">
        <w:rPr>
          <w:rFonts w:ascii="Times New Roman" w:hAnsi="Times New Roman" w:cs="Times New Roman"/>
          <w:sz w:val="24"/>
          <w:szCs w:val="24"/>
          <w:lang w:val="en-US"/>
        </w:rPr>
        <w:t>tates Parties, but also towards the ICC itself.</w:t>
      </w:r>
      <w:r w:rsidR="00D33D04" w:rsidRPr="00DF1F13">
        <w:rPr>
          <w:rFonts w:ascii="Times New Roman" w:hAnsi="Times New Roman" w:cs="Times New Roman"/>
          <w:sz w:val="24"/>
          <w:szCs w:val="24"/>
          <w:lang w:val="en-US"/>
        </w:rPr>
        <w:t xml:space="preserve"> </w:t>
      </w:r>
      <w:r w:rsidR="00F22622" w:rsidRPr="00DF1F13">
        <w:rPr>
          <w:rFonts w:ascii="Times New Roman" w:hAnsi="Times New Roman" w:cs="Times New Roman"/>
          <w:sz w:val="24"/>
          <w:szCs w:val="24"/>
          <w:lang w:val="en-US"/>
        </w:rPr>
        <w:t xml:space="preserve">Therefore, the ICC itself is precluded under international law from making measures which can constitute a breach of </w:t>
      </w:r>
      <w:r w:rsidR="00F22622" w:rsidRPr="00DF1F13">
        <w:rPr>
          <w:rFonts w:ascii="Times New Roman" w:hAnsi="Times New Roman" w:cs="Times New Roman"/>
          <w:sz w:val="24"/>
          <w:szCs w:val="24"/>
          <w:lang w:val="en-US"/>
        </w:rPr>
        <w:lastRenderedPageBreak/>
        <w:t>these immunities.</w:t>
      </w:r>
      <w:r w:rsidR="00F22622" w:rsidRPr="00DF1F13">
        <w:rPr>
          <w:rStyle w:val="Znakapoznpodarou"/>
          <w:rFonts w:ascii="Times New Roman" w:hAnsi="Times New Roman" w:cs="Times New Roman"/>
          <w:sz w:val="24"/>
          <w:szCs w:val="24"/>
          <w:lang w:val="en-US"/>
        </w:rPr>
        <w:footnoteReference w:id="67"/>
      </w:r>
      <w:r w:rsidR="009A7334" w:rsidRPr="00DF1F13">
        <w:rPr>
          <w:rFonts w:ascii="Times New Roman" w:hAnsi="Times New Roman" w:cs="Times New Roman"/>
        </w:rPr>
        <w:t xml:space="preserve"> </w:t>
      </w:r>
      <w:r w:rsidR="009A7334" w:rsidRPr="00DF1F13">
        <w:rPr>
          <w:rFonts w:ascii="Times New Roman" w:hAnsi="Times New Roman" w:cs="Times New Roman"/>
          <w:sz w:val="24"/>
          <w:szCs w:val="24"/>
          <w:lang w:val="en-US"/>
        </w:rPr>
        <w:t>Especially, the ICC can even be prohibited from delivering an arrest warrant under article 58 of the Statute.</w:t>
      </w:r>
      <w:r w:rsidR="009A7334" w:rsidRPr="00DF1F13">
        <w:rPr>
          <w:rStyle w:val="Znakapoznpodarou"/>
          <w:rFonts w:ascii="Times New Roman" w:hAnsi="Times New Roman" w:cs="Times New Roman"/>
          <w:sz w:val="24"/>
          <w:szCs w:val="24"/>
          <w:lang w:val="en-US"/>
        </w:rPr>
        <w:footnoteReference w:id="68"/>
      </w:r>
      <w:r w:rsidR="005D30AE" w:rsidRPr="00DF1F13">
        <w:rPr>
          <w:rFonts w:ascii="Times New Roman" w:hAnsi="Times New Roman" w:cs="Times New Roman"/>
          <w:sz w:val="24"/>
          <w:szCs w:val="24"/>
          <w:lang w:val="en-US"/>
        </w:rPr>
        <w:t xml:space="preserve"> </w:t>
      </w:r>
      <w:r w:rsidR="001217DE" w:rsidRPr="00DF1F13">
        <w:rPr>
          <w:rFonts w:ascii="Times New Roman" w:hAnsi="Times New Roman" w:cs="Times New Roman"/>
          <w:sz w:val="24"/>
          <w:szCs w:val="24"/>
          <w:lang w:val="en-US"/>
        </w:rPr>
        <w:t>This comes after the ICJ ruling in the arrest warrant case</w:t>
      </w:r>
      <w:r w:rsidR="001217DE" w:rsidRPr="00DF1F13">
        <w:rPr>
          <w:rStyle w:val="Znakapoznpodarou"/>
          <w:rFonts w:ascii="Times New Roman" w:hAnsi="Times New Roman" w:cs="Times New Roman"/>
          <w:sz w:val="24"/>
          <w:szCs w:val="24"/>
          <w:lang w:val="en-US"/>
        </w:rPr>
        <w:footnoteReference w:id="69"/>
      </w:r>
      <w:r w:rsidR="001217DE" w:rsidRPr="00DF1F13">
        <w:rPr>
          <w:rFonts w:ascii="Times New Roman" w:hAnsi="Times New Roman" w:cs="Times New Roman"/>
          <w:sz w:val="24"/>
          <w:szCs w:val="24"/>
          <w:lang w:val="en-US"/>
        </w:rPr>
        <w:t>,</w:t>
      </w:r>
      <w:r w:rsidR="005D30AE" w:rsidRPr="00DF1F13">
        <w:rPr>
          <w:rFonts w:ascii="Times New Roman" w:hAnsi="Times New Roman" w:cs="Times New Roman"/>
          <w:sz w:val="24"/>
          <w:szCs w:val="24"/>
          <w:lang w:val="en-US"/>
        </w:rPr>
        <w:t xml:space="preserve"> </w:t>
      </w:r>
      <w:r w:rsidR="001217DE" w:rsidRPr="00DF1F13">
        <w:rPr>
          <w:rFonts w:ascii="Times New Roman" w:hAnsi="Times New Roman" w:cs="Times New Roman"/>
          <w:sz w:val="24"/>
          <w:szCs w:val="24"/>
          <w:lang w:val="en-US"/>
        </w:rPr>
        <w:t>which ruled that the issuance and dissemination of an arrest warrant for a person enjoying immunity infringes such immunity even though no further action is made.</w:t>
      </w:r>
      <w:r w:rsidR="004E7133" w:rsidRPr="00DF1F13">
        <w:rPr>
          <w:rStyle w:val="Znakapoznpodarou"/>
          <w:rFonts w:ascii="Times New Roman" w:hAnsi="Times New Roman" w:cs="Times New Roman"/>
          <w:sz w:val="24"/>
          <w:szCs w:val="24"/>
          <w:lang w:val="en-US"/>
        </w:rPr>
        <w:footnoteReference w:id="70"/>
      </w:r>
      <w:r w:rsidR="007E4FA2" w:rsidRPr="00DF1F13">
        <w:rPr>
          <w:rFonts w:ascii="Times New Roman" w:hAnsi="Times New Roman" w:cs="Times New Roman"/>
          <w:sz w:val="24"/>
          <w:szCs w:val="24"/>
          <w:lang w:val="en-US"/>
        </w:rPr>
        <w:t xml:space="preserve"> </w:t>
      </w:r>
    </w:p>
    <w:p w14:paraId="4C2C0289" w14:textId="3F0F3A45" w:rsidR="005D30AE" w:rsidRPr="00DF1F13" w:rsidRDefault="007E4FA2" w:rsidP="00DF1F13">
      <w:pPr>
        <w:spacing w:before="240" w:after="240" w:line="360" w:lineRule="auto"/>
        <w:ind w:left="170" w:right="113"/>
        <w:jc w:val="both"/>
        <w:rPr>
          <w:rFonts w:ascii="Times New Roman" w:hAnsi="Times New Roman" w:cs="Times New Roman"/>
          <w:lang w:val="en-US"/>
        </w:rPr>
      </w:pPr>
      <w:r w:rsidRPr="00DF1F13">
        <w:rPr>
          <w:rFonts w:ascii="Times New Roman" w:hAnsi="Times New Roman" w:cs="Times New Roman"/>
          <w:sz w:val="24"/>
          <w:szCs w:val="24"/>
          <w:lang w:val="en-US"/>
        </w:rPr>
        <w:t xml:space="preserve">The situation of officials and diplomats of </w:t>
      </w:r>
      <w:r w:rsidR="00C227BD">
        <w:rPr>
          <w:rFonts w:ascii="Times New Roman" w:hAnsi="Times New Roman" w:cs="Times New Roman"/>
          <w:sz w:val="24"/>
          <w:szCs w:val="24"/>
          <w:lang w:val="en-US"/>
        </w:rPr>
        <w:t>s</w:t>
      </w:r>
      <w:r w:rsidRPr="00DF1F13">
        <w:rPr>
          <w:rFonts w:ascii="Times New Roman" w:hAnsi="Times New Roman" w:cs="Times New Roman"/>
          <w:sz w:val="24"/>
          <w:szCs w:val="24"/>
          <w:lang w:val="en-US"/>
        </w:rPr>
        <w:t>tates parties to the ICC Statute according to article 98 (1).</w:t>
      </w:r>
      <w:r w:rsidR="005D30AE" w:rsidRPr="00DF1F13">
        <w:rPr>
          <w:rFonts w:ascii="Times New Roman" w:hAnsi="Times New Roman" w:cs="Times New Roman"/>
          <w:sz w:val="24"/>
          <w:szCs w:val="24"/>
          <w:lang w:val="en-US"/>
        </w:rPr>
        <w:t xml:space="preserve"> </w:t>
      </w:r>
      <w:r w:rsidR="00A91F0A" w:rsidRPr="00DF1F13">
        <w:rPr>
          <w:rFonts w:ascii="Times New Roman" w:hAnsi="Times New Roman" w:cs="Times New Roman"/>
          <w:sz w:val="24"/>
          <w:szCs w:val="24"/>
          <w:lang w:val="en-US"/>
        </w:rPr>
        <w:t xml:space="preserve">While it is lucid that Article 98 (1) applies to immunities accorded to public agents of third countries, it is less understandable whether this clause also is about immunities usually granted to representatives </w:t>
      </w:r>
      <w:r w:rsidR="00C227BD" w:rsidRPr="00DF1F13">
        <w:rPr>
          <w:rFonts w:ascii="Times New Roman" w:hAnsi="Times New Roman" w:cs="Times New Roman"/>
          <w:sz w:val="24"/>
          <w:szCs w:val="24"/>
          <w:lang w:val="en-US"/>
        </w:rPr>
        <w:t>of state</w:t>
      </w:r>
      <w:r w:rsidR="00A91F0A" w:rsidRPr="00DF1F13">
        <w:rPr>
          <w:rFonts w:ascii="Times New Roman" w:hAnsi="Times New Roman" w:cs="Times New Roman"/>
          <w:sz w:val="24"/>
          <w:szCs w:val="24"/>
          <w:lang w:val="en-US"/>
        </w:rPr>
        <w:t xml:space="preserve"> parties to the ICC.</w:t>
      </w:r>
      <w:r w:rsidR="002A327B" w:rsidRPr="00DF1F13">
        <w:rPr>
          <w:rFonts w:ascii="Times New Roman" w:hAnsi="Times New Roman" w:cs="Times New Roman"/>
          <w:sz w:val="24"/>
          <w:szCs w:val="24"/>
          <w:lang w:val="en-US"/>
        </w:rPr>
        <w:t xml:space="preserve"> </w:t>
      </w:r>
      <w:r w:rsidR="0098331B" w:rsidRPr="00DF1F13">
        <w:rPr>
          <w:rFonts w:ascii="Times New Roman" w:hAnsi="Times New Roman" w:cs="Times New Roman"/>
          <w:sz w:val="24"/>
          <w:szCs w:val="24"/>
          <w:lang w:val="en-US"/>
        </w:rPr>
        <w:t xml:space="preserve">One may ask a question to know whether Article 98 (1) precludes the ICC from asking that a </w:t>
      </w:r>
      <w:r w:rsidR="00C227BD">
        <w:rPr>
          <w:rFonts w:ascii="Times New Roman" w:hAnsi="Times New Roman" w:cs="Times New Roman"/>
          <w:sz w:val="24"/>
          <w:szCs w:val="24"/>
          <w:lang w:val="en-US"/>
        </w:rPr>
        <w:t>s</w:t>
      </w:r>
      <w:r w:rsidR="0098331B" w:rsidRPr="00DF1F13">
        <w:rPr>
          <w:rFonts w:ascii="Times New Roman" w:hAnsi="Times New Roman" w:cs="Times New Roman"/>
          <w:sz w:val="24"/>
          <w:szCs w:val="24"/>
          <w:lang w:val="en-US"/>
        </w:rPr>
        <w:t xml:space="preserve">tate Party surrender the representative of another </w:t>
      </w:r>
      <w:r w:rsidR="00C227BD">
        <w:rPr>
          <w:rFonts w:ascii="Times New Roman" w:hAnsi="Times New Roman" w:cs="Times New Roman"/>
          <w:sz w:val="24"/>
          <w:szCs w:val="24"/>
          <w:lang w:val="en-US"/>
        </w:rPr>
        <w:t>s</w:t>
      </w:r>
      <w:r w:rsidR="0098331B" w:rsidRPr="00DF1F13">
        <w:rPr>
          <w:rFonts w:ascii="Times New Roman" w:hAnsi="Times New Roman" w:cs="Times New Roman"/>
          <w:sz w:val="24"/>
          <w:szCs w:val="24"/>
          <w:lang w:val="en-US"/>
        </w:rPr>
        <w:t>tate Party located in the territory of the former, where that representative may ordinarily have immunity according to international law.</w:t>
      </w:r>
      <w:r w:rsidR="005D30AE" w:rsidRPr="00DF1F13">
        <w:rPr>
          <w:rFonts w:ascii="Times New Roman" w:hAnsi="Times New Roman" w:cs="Times New Roman"/>
          <w:sz w:val="24"/>
          <w:szCs w:val="24"/>
          <w:lang w:val="en-US"/>
        </w:rPr>
        <w:t xml:space="preserve"> </w:t>
      </w:r>
      <w:r w:rsidR="00332A95" w:rsidRPr="00DF1F13">
        <w:rPr>
          <w:rFonts w:ascii="Times New Roman" w:hAnsi="Times New Roman" w:cs="Times New Roman"/>
          <w:sz w:val="24"/>
          <w:szCs w:val="24"/>
          <w:lang w:val="en-US"/>
        </w:rPr>
        <w:t>The response is dependent on the connection between Articles 27 and 98.</w:t>
      </w:r>
      <w:r w:rsidR="00332A95" w:rsidRPr="00DF1F13">
        <w:rPr>
          <w:rFonts w:ascii="Times New Roman" w:hAnsi="Times New Roman" w:cs="Times New Roman"/>
          <w:lang w:val="en-US"/>
        </w:rPr>
        <w:t xml:space="preserve"> </w:t>
      </w:r>
    </w:p>
    <w:p w14:paraId="07BF49DC" w14:textId="697FDB97" w:rsidR="0040104F" w:rsidRPr="00DF1F13" w:rsidRDefault="00332A95"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 particular, the response relies on whether the waiver of immunity included in the</w:t>
      </w:r>
      <w:r w:rsidR="0087407C" w:rsidRPr="00DF1F13">
        <w:rPr>
          <w:rFonts w:ascii="Times New Roman" w:hAnsi="Times New Roman" w:cs="Times New Roman"/>
          <w:sz w:val="24"/>
          <w:szCs w:val="24"/>
          <w:lang w:val="en-US"/>
        </w:rPr>
        <w:t xml:space="preserve"> previous </w:t>
      </w:r>
      <w:r w:rsidRPr="00DF1F13">
        <w:rPr>
          <w:rFonts w:ascii="Times New Roman" w:hAnsi="Times New Roman" w:cs="Times New Roman"/>
          <w:sz w:val="24"/>
          <w:szCs w:val="24"/>
          <w:lang w:val="en-US"/>
        </w:rPr>
        <w:t>clause is a waiver not only vis-à-vis the ICC,</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but also with regards to other parties when those other parties are taking action to give an assistance for the exercise of the ICC jurisdiction.</w:t>
      </w:r>
      <w:r w:rsidR="00AE4AAF" w:rsidRPr="00DF1F13">
        <w:rPr>
          <w:rFonts w:ascii="Times New Roman" w:hAnsi="Times New Roman" w:cs="Times New Roman"/>
          <w:sz w:val="24"/>
          <w:szCs w:val="24"/>
          <w:lang w:val="en-US"/>
        </w:rPr>
        <w:t xml:space="preserve"> The opinion according to which section 98 (1) applies solely to public agents of non-parties was adopted by academics</w:t>
      </w:r>
      <w:r w:rsidR="00AE4AAF" w:rsidRPr="00DF1F13">
        <w:rPr>
          <w:rStyle w:val="Znakapoznpodarou"/>
          <w:rFonts w:ascii="Times New Roman" w:hAnsi="Times New Roman" w:cs="Times New Roman"/>
          <w:sz w:val="24"/>
          <w:szCs w:val="24"/>
          <w:lang w:val="en-US"/>
        </w:rPr>
        <w:footnoteReference w:id="71"/>
      </w:r>
      <w:r w:rsidR="00AE4AAF" w:rsidRPr="00DF1F13">
        <w:rPr>
          <w:rFonts w:ascii="Times New Roman" w:hAnsi="Times New Roman" w:cs="Times New Roman"/>
          <w:sz w:val="24"/>
          <w:szCs w:val="24"/>
          <w:lang w:val="en-US"/>
        </w:rPr>
        <w:t xml:space="preserve"> and some </w:t>
      </w:r>
      <w:r w:rsidR="00C227BD">
        <w:rPr>
          <w:rFonts w:ascii="Times New Roman" w:hAnsi="Times New Roman" w:cs="Times New Roman"/>
          <w:sz w:val="24"/>
          <w:szCs w:val="24"/>
          <w:lang w:val="en-US"/>
        </w:rPr>
        <w:t>s</w:t>
      </w:r>
      <w:r w:rsidR="00AE4AAF" w:rsidRPr="00DF1F13">
        <w:rPr>
          <w:rFonts w:ascii="Times New Roman" w:hAnsi="Times New Roman" w:cs="Times New Roman"/>
          <w:sz w:val="24"/>
          <w:szCs w:val="24"/>
          <w:lang w:val="en-US"/>
        </w:rPr>
        <w:t>tate that are parties to the Court.</w:t>
      </w:r>
      <w:r w:rsidR="00AE4AAF" w:rsidRPr="00DF1F13">
        <w:rPr>
          <w:rStyle w:val="Znakapoznpodarou"/>
          <w:rFonts w:ascii="Times New Roman" w:hAnsi="Times New Roman" w:cs="Times New Roman"/>
          <w:sz w:val="24"/>
          <w:szCs w:val="24"/>
          <w:lang w:val="en-US"/>
        </w:rPr>
        <w:footnoteReference w:id="72"/>
      </w:r>
    </w:p>
    <w:p w14:paraId="22FD0935" w14:textId="77777777" w:rsidR="007B684D" w:rsidRPr="00DF1F13" w:rsidRDefault="0040104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This perspective is designed in the legislation of numerous State parties to fulfill their duties with regards to the ICC Statute.</w:t>
      </w:r>
      <w:r w:rsidR="008452C5" w:rsidRPr="00DF1F13">
        <w:rPr>
          <w:rFonts w:ascii="Times New Roman" w:hAnsi="Times New Roman" w:cs="Times New Roman"/>
          <w:sz w:val="24"/>
          <w:szCs w:val="24"/>
          <w:lang w:val="en-US"/>
        </w:rPr>
        <w:t xml:space="preserve"> One example is section 23 (1) of the United Kingdom International Criminal Court Act of 2001 which stated:</w:t>
      </w:r>
      <w:r w:rsidR="008452C5" w:rsidRPr="00DF1F13">
        <w:rPr>
          <w:rFonts w:ascii="Times New Roman" w:hAnsi="Times New Roman" w:cs="Times New Roman"/>
          <w:sz w:val="28"/>
          <w:szCs w:val="28"/>
          <w:lang w:val="en-US"/>
        </w:rPr>
        <w:t xml:space="preserve"> </w:t>
      </w:r>
      <w:r w:rsidR="008452C5" w:rsidRPr="00DF1F13">
        <w:rPr>
          <w:rFonts w:ascii="Times New Roman" w:hAnsi="Times New Roman" w:cs="Times New Roman"/>
          <w:sz w:val="24"/>
          <w:szCs w:val="24"/>
          <w:lang w:val="en-US"/>
        </w:rPr>
        <w:t>" [a] ny state or diplomatic immunity attaching to a person by reason of a connection with a state party to the ICC Statute" does not prevent his or her arrest in Britain or surrender to the Court.</w:t>
      </w:r>
      <w:r w:rsidR="00EC0D28" w:rsidRPr="00DF1F13">
        <w:rPr>
          <w:rFonts w:ascii="Times New Roman" w:hAnsi="Times New Roman" w:cs="Times New Roman"/>
          <w:sz w:val="24"/>
          <w:szCs w:val="24"/>
          <w:lang w:val="en-US"/>
        </w:rPr>
        <w:t xml:space="preserve"> </w:t>
      </w:r>
    </w:p>
    <w:p w14:paraId="6E426138" w14:textId="5DFE97E2" w:rsidR="007B684D" w:rsidRPr="00DF1F13" w:rsidRDefault="00EC0D28"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 xml:space="preserve">Nevertheless, when </w:t>
      </w:r>
      <w:r w:rsidR="00C227BD">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 or diplomatic immunity link by purpose with a State not party, then section 23(2) stipulates: that proceedings for arrest or surrender may continue only where the </w:t>
      </w:r>
      <w:r w:rsidR="007B684D" w:rsidRPr="00DF1F13">
        <w:rPr>
          <w:rFonts w:ascii="Times New Roman" w:hAnsi="Times New Roman" w:cs="Times New Roman"/>
          <w:sz w:val="24"/>
          <w:szCs w:val="24"/>
          <w:lang w:val="en-US"/>
        </w:rPr>
        <w:t>non-state</w:t>
      </w:r>
      <w:r w:rsidRPr="00DF1F13">
        <w:rPr>
          <w:rFonts w:ascii="Times New Roman" w:hAnsi="Times New Roman" w:cs="Times New Roman"/>
          <w:sz w:val="24"/>
          <w:szCs w:val="24"/>
          <w:lang w:val="en-US"/>
        </w:rPr>
        <w:t xml:space="preserve"> party has waived immunity.</w:t>
      </w:r>
      <w:r w:rsidR="00820B1E" w:rsidRPr="00DF1F13">
        <w:rPr>
          <w:rFonts w:ascii="Times New Roman" w:hAnsi="Times New Roman" w:cs="Times New Roman"/>
          <w:sz w:val="24"/>
          <w:szCs w:val="24"/>
          <w:lang w:val="en-US"/>
        </w:rPr>
        <w:t xml:space="preserve"> Almost similar provisions and wording are employed in the legislation of Malta and Ireland.</w:t>
      </w:r>
      <w:r w:rsidR="00820B1E" w:rsidRPr="00DF1F13">
        <w:rPr>
          <w:rStyle w:val="Znakapoznpodarou"/>
          <w:rFonts w:ascii="Times New Roman" w:hAnsi="Times New Roman" w:cs="Times New Roman"/>
          <w:sz w:val="24"/>
          <w:szCs w:val="24"/>
          <w:lang w:val="en-US"/>
        </w:rPr>
        <w:footnoteReference w:id="73"/>
      </w:r>
      <w:r w:rsidR="007B684D" w:rsidRPr="00DF1F13">
        <w:rPr>
          <w:rFonts w:ascii="Times New Roman" w:hAnsi="Times New Roman" w:cs="Times New Roman"/>
          <w:sz w:val="24"/>
          <w:szCs w:val="24"/>
          <w:lang w:val="en-US"/>
        </w:rPr>
        <w:t xml:space="preserve"> </w:t>
      </w:r>
      <w:r w:rsidR="00AB580A" w:rsidRPr="00DF1F13">
        <w:rPr>
          <w:rFonts w:ascii="Times New Roman" w:hAnsi="Times New Roman" w:cs="Times New Roman"/>
          <w:sz w:val="24"/>
          <w:szCs w:val="24"/>
          <w:lang w:val="en-US"/>
        </w:rPr>
        <w:t>The legislation of Canada and New Zealand move further and stipulate: that no one can avail himself of the immunities of international law in proceedings initiated in accordance with a request for arrest and surrender from the ICC.</w:t>
      </w:r>
      <w:r w:rsidR="00AB580A" w:rsidRPr="00DF1F13">
        <w:rPr>
          <w:rStyle w:val="Znakapoznpodarou"/>
          <w:rFonts w:ascii="Times New Roman" w:hAnsi="Times New Roman" w:cs="Times New Roman"/>
          <w:sz w:val="24"/>
          <w:szCs w:val="24"/>
          <w:lang w:val="en-US"/>
        </w:rPr>
        <w:footnoteReference w:id="74"/>
      </w:r>
      <w:r w:rsidR="007B684D" w:rsidRPr="00DF1F13">
        <w:rPr>
          <w:rFonts w:ascii="Times New Roman" w:hAnsi="Times New Roman" w:cs="Times New Roman"/>
          <w:sz w:val="24"/>
          <w:szCs w:val="24"/>
          <w:lang w:val="en-US"/>
        </w:rPr>
        <w:t xml:space="preserve"> </w:t>
      </w:r>
    </w:p>
    <w:p w14:paraId="06BDBE76" w14:textId="4379DD2C" w:rsidR="00CC1C95" w:rsidRPr="00DF1F13" w:rsidRDefault="003129A9"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Nonetheless, considering the debate in the precedent section, the Canadian and New Zealand provisions cannot be read as applying to public agents of states that are not party to the ICC Statute</w:t>
      </w:r>
      <w:r w:rsidR="008A1F94" w:rsidRPr="00DF1F13">
        <w:rPr>
          <w:rFonts w:ascii="Times New Roman" w:hAnsi="Times New Roman" w:cs="Times New Roman"/>
          <w:sz w:val="24"/>
          <w:szCs w:val="24"/>
          <w:lang w:val="en-US"/>
        </w:rPr>
        <w:t>.</w:t>
      </w:r>
      <w:r w:rsidR="008A1F94" w:rsidRPr="00DF1F13">
        <w:rPr>
          <w:rStyle w:val="Znakapoznpodarou"/>
          <w:rFonts w:ascii="Times New Roman" w:hAnsi="Times New Roman" w:cs="Times New Roman"/>
          <w:sz w:val="24"/>
          <w:szCs w:val="24"/>
          <w:lang w:val="en-US"/>
        </w:rPr>
        <w:footnoteReference w:id="75"/>
      </w:r>
      <w:r w:rsidR="007B684D" w:rsidRPr="00DF1F13">
        <w:rPr>
          <w:rFonts w:ascii="Times New Roman" w:hAnsi="Times New Roman" w:cs="Times New Roman"/>
          <w:sz w:val="24"/>
          <w:szCs w:val="24"/>
          <w:lang w:val="en-US"/>
        </w:rPr>
        <w:t xml:space="preserve"> </w:t>
      </w:r>
      <w:r w:rsidR="00A37CB2" w:rsidRPr="00DF1F13">
        <w:rPr>
          <w:rFonts w:ascii="Times New Roman" w:hAnsi="Times New Roman" w:cs="Times New Roman"/>
          <w:sz w:val="24"/>
          <w:szCs w:val="24"/>
          <w:lang w:val="en-US"/>
        </w:rPr>
        <w:t xml:space="preserve">Consequently, as result of the provisions mentioned in the precedent </w:t>
      </w:r>
      <w:r w:rsidR="007B684D" w:rsidRPr="00DF1F13">
        <w:rPr>
          <w:rFonts w:ascii="Times New Roman" w:hAnsi="Times New Roman" w:cs="Times New Roman"/>
          <w:sz w:val="24"/>
          <w:szCs w:val="24"/>
          <w:lang w:val="en-US"/>
        </w:rPr>
        <w:t>section,</w:t>
      </w:r>
      <w:r w:rsidR="00A37CB2" w:rsidRPr="00DF1F13">
        <w:rPr>
          <w:rFonts w:ascii="Times New Roman" w:hAnsi="Times New Roman" w:cs="Times New Roman"/>
          <w:sz w:val="24"/>
          <w:szCs w:val="24"/>
          <w:lang w:val="en-US"/>
        </w:rPr>
        <w:t xml:space="preserve"> a sitting </w:t>
      </w:r>
      <w:r w:rsidR="00C227BD">
        <w:rPr>
          <w:rFonts w:ascii="Times New Roman" w:hAnsi="Times New Roman" w:cs="Times New Roman"/>
          <w:sz w:val="24"/>
          <w:szCs w:val="24"/>
          <w:lang w:val="en-US"/>
        </w:rPr>
        <w:t>h</w:t>
      </w:r>
      <w:r w:rsidR="00A37CB2" w:rsidRPr="00DF1F13">
        <w:rPr>
          <w:rFonts w:ascii="Times New Roman" w:hAnsi="Times New Roman" w:cs="Times New Roman"/>
          <w:sz w:val="24"/>
          <w:szCs w:val="24"/>
          <w:lang w:val="en-US"/>
        </w:rPr>
        <w:t xml:space="preserve">ead of </w:t>
      </w:r>
      <w:r w:rsidR="00C227BD">
        <w:rPr>
          <w:rFonts w:ascii="Times New Roman" w:hAnsi="Times New Roman" w:cs="Times New Roman"/>
          <w:sz w:val="24"/>
          <w:szCs w:val="24"/>
          <w:lang w:val="en-US"/>
        </w:rPr>
        <w:t>s</w:t>
      </w:r>
      <w:r w:rsidR="00A37CB2" w:rsidRPr="00DF1F13">
        <w:rPr>
          <w:rFonts w:ascii="Times New Roman" w:hAnsi="Times New Roman" w:cs="Times New Roman"/>
          <w:sz w:val="24"/>
          <w:szCs w:val="24"/>
          <w:lang w:val="en-US"/>
        </w:rPr>
        <w:t>tate of an ICC party who is in official visit,</w:t>
      </w:r>
      <w:r w:rsidR="00A37CB2" w:rsidRPr="00DF1F13">
        <w:rPr>
          <w:rFonts w:ascii="Times New Roman" w:hAnsi="Times New Roman" w:cs="Times New Roman"/>
          <w:lang w:val="en-US"/>
        </w:rPr>
        <w:t xml:space="preserve"> </w:t>
      </w:r>
      <w:r w:rsidR="00A37CB2" w:rsidRPr="00DF1F13">
        <w:rPr>
          <w:rFonts w:ascii="Times New Roman" w:hAnsi="Times New Roman" w:cs="Times New Roman"/>
          <w:sz w:val="24"/>
          <w:szCs w:val="24"/>
          <w:lang w:val="en-US"/>
        </w:rPr>
        <w:t xml:space="preserve">or an incumbent diplomat from a </w:t>
      </w:r>
      <w:r w:rsidR="00C227BD">
        <w:rPr>
          <w:rFonts w:ascii="Times New Roman" w:hAnsi="Times New Roman" w:cs="Times New Roman"/>
          <w:sz w:val="24"/>
          <w:szCs w:val="24"/>
          <w:lang w:val="en-US"/>
        </w:rPr>
        <w:t>s</w:t>
      </w:r>
      <w:r w:rsidR="00A37CB2" w:rsidRPr="00DF1F13">
        <w:rPr>
          <w:rFonts w:ascii="Times New Roman" w:hAnsi="Times New Roman" w:cs="Times New Roman"/>
          <w:sz w:val="24"/>
          <w:szCs w:val="24"/>
          <w:lang w:val="en-US"/>
        </w:rPr>
        <w:t>tate party to the ICC and accredited in such state, can be arrested and surrendered to the ICC if the Court ask to do so.</w:t>
      </w:r>
      <w:r w:rsidR="00A37CB2" w:rsidRPr="00DF1F13">
        <w:rPr>
          <w:rStyle w:val="Znakapoznpodarou"/>
          <w:rFonts w:ascii="Times New Roman" w:hAnsi="Times New Roman" w:cs="Times New Roman"/>
          <w:sz w:val="24"/>
          <w:szCs w:val="24"/>
          <w:lang w:val="en-US"/>
        </w:rPr>
        <w:footnoteReference w:id="76"/>
      </w:r>
    </w:p>
    <w:p w14:paraId="69A9274E" w14:textId="580FE7A1" w:rsidR="007B684D" w:rsidRPr="00DF1F13" w:rsidRDefault="00CC1C95"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immunities ratione personae which normally are granted to such persons,</w:t>
      </w:r>
      <w:r w:rsidRPr="00DF1F13">
        <w:rPr>
          <w:rStyle w:val="Znakapoznpodarou"/>
          <w:rFonts w:ascii="Times New Roman" w:hAnsi="Times New Roman" w:cs="Times New Roman"/>
          <w:sz w:val="24"/>
          <w:szCs w:val="24"/>
          <w:lang w:val="en-US"/>
        </w:rPr>
        <w:footnoteReference w:id="77"/>
      </w:r>
      <w:r w:rsidRPr="00DF1F13">
        <w:rPr>
          <w:rFonts w:ascii="Times New Roman" w:hAnsi="Times New Roman" w:cs="Times New Roman"/>
          <w:sz w:val="24"/>
          <w:szCs w:val="24"/>
          <w:lang w:val="en-US"/>
        </w:rPr>
        <w:t>should not apply in such case.</w:t>
      </w:r>
      <w:r w:rsidR="00EE7C0A" w:rsidRPr="00DF1F13">
        <w:rPr>
          <w:rFonts w:ascii="Times New Roman" w:hAnsi="Times New Roman" w:cs="Times New Roman"/>
          <w:sz w:val="24"/>
          <w:szCs w:val="24"/>
          <w:lang w:val="en-US"/>
        </w:rPr>
        <w:t xml:space="preserve"> This is of considerable scope conclusion that makes an important change of the previous legal </w:t>
      </w:r>
      <w:r w:rsidR="00254653" w:rsidRPr="00DF1F13">
        <w:rPr>
          <w:rFonts w:ascii="Times New Roman" w:hAnsi="Times New Roman" w:cs="Times New Roman"/>
          <w:sz w:val="24"/>
          <w:szCs w:val="24"/>
          <w:lang w:val="en-US"/>
        </w:rPr>
        <w:t>position,</w:t>
      </w:r>
      <w:r w:rsidR="00EE7C0A" w:rsidRPr="00DF1F13">
        <w:rPr>
          <w:rFonts w:ascii="Times New Roman" w:hAnsi="Times New Roman" w:cs="Times New Roman"/>
          <w:sz w:val="24"/>
          <w:szCs w:val="24"/>
          <w:lang w:val="en-US"/>
        </w:rPr>
        <w:t xml:space="preserve"> and</w:t>
      </w:r>
      <w:r w:rsidR="00EE7C0A" w:rsidRPr="00DF1F13">
        <w:rPr>
          <w:rFonts w:ascii="Times New Roman" w:hAnsi="Times New Roman" w:cs="Times New Roman"/>
          <w:lang w:val="en-US"/>
        </w:rPr>
        <w:t xml:space="preserve"> </w:t>
      </w:r>
      <w:r w:rsidR="00EE7C0A" w:rsidRPr="00DF1F13">
        <w:rPr>
          <w:rFonts w:ascii="Times New Roman" w:hAnsi="Times New Roman" w:cs="Times New Roman"/>
          <w:sz w:val="24"/>
          <w:szCs w:val="24"/>
          <w:lang w:val="en-US"/>
        </w:rPr>
        <w:t>it is compulsory that it should be sustained by persuasive reasoning.</w:t>
      </w:r>
      <w:r w:rsidR="00254653" w:rsidRPr="00DF1F13">
        <w:rPr>
          <w:rFonts w:ascii="Times New Roman" w:hAnsi="Times New Roman" w:cs="Times New Roman"/>
          <w:sz w:val="24"/>
          <w:szCs w:val="24"/>
          <w:lang w:val="en-US"/>
        </w:rPr>
        <w:t xml:space="preserve"> Situations in which the Court would like to make a request for surrender a public agent from one </w:t>
      </w:r>
      <w:r w:rsidR="00C227BD">
        <w:rPr>
          <w:rFonts w:ascii="Times New Roman" w:hAnsi="Times New Roman" w:cs="Times New Roman"/>
          <w:sz w:val="24"/>
          <w:szCs w:val="24"/>
          <w:lang w:val="en-US"/>
        </w:rPr>
        <w:t>s</w:t>
      </w:r>
      <w:r w:rsidR="00254653" w:rsidRPr="00DF1F13">
        <w:rPr>
          <w:rFonts w:ascii="Times New Roman" w:hAnsi="Times New Roman" w:cs="Times New Roman"/>
          <w:sz w:val="24"/>
          <w:szCs w:val="24"/>
          <w:lang w:val="en-US"/>
        </w:rPr>
        <w:t xml:space="preserve">tate </w:t>
      </w:r>
      <w:r w:rsidR="00C227BD">
        <w:rPr>
          <w:rFonts w:ascii="Times New Roman" w:hAnsi="Times New Roman" w:cs="Times New Roman"/>
          <w:sz w:val="24"/>
          <w:szCs w:val="24"/>
          <w:lang w:val="en-US"/>
        </w:rPr>
        <w:t>p</w:t>
      </w:r>
      <w:r w:rsidR="00254653" w:rsidRPr="00DF1F13">
        <w:rPr>
          <w:rFonts w:ascii="Times New Roman" w:hAnsi="Times New Roman" w:cs="Times New Roman"/>
          <w:sz w:val="24"/>
          <w:szCs w:val="24"/>
          <w:lang w:val="en-US"/>
        </w:rPr>
        <w:t xml:space="preserve">arty to a different </w:t>
      </w:r>
      <w:r w:rsidR="00C227BD">
        <w:rPr>
          <w:rFonts w:ascii="Times New Roman" w:hAnsi="Times New Roman" w:cs="Times New Roman"/>
          <w:sz w:val="24"/>
          <w:szCs w:val="24"/>
          <w:lang w:val="en-US"/>
        </w:rPr>
        <w:t>s</w:t>
      </w:r>
      <w:r w:rsidR="00254653" w:rsidRPr="00DF1F13">
        <w:rPr>
          <w:rFonts w:ascii="Times New Roman" w:hAnsi="Times New Roman" w:cs="Times New Roman"/>
          <w:sz w:val="24"/>
          <w:szCs w:val="24"/>
          <w:lang w:val="en-US"/>
        </w:rPr>
        <w:t xml:space="preserve">tate </w:t>
      </w:r>
      <w:r w:rsidR="00C227BD">
        <w:rPr>
          <w:rFonts w:ascii="Times New Roman" w:hAnsi="Times New Roman" w:cs="Times New Roman"/>
          <w:sz w:val="24"/>
          <w:szCs w:val="24"/>
          <w:lang w:val="en-US"/>
        </w:rPr>
        <w:t>p</w:t>
      </w:r>
      <w:r w:rsidR="00254653" w:rsidRPr="00DF1F13">
        <w:rPr>
          <w:rFonts w:ascii="Times New Roman" w:hAnsi="Times New Roman" w:cs="Times New Roman"/>
          <w:sz w:val="24"/>
          <w:szCs w:val="24"/>
          <w:lang w:val="en-US"/>
        </w:rPr>
        <w:t>arty are probable to be the circumstance under which the official's own State, may perhaps violate its duties and can declined to surrender the defendant.</w:t>
      </w:r>
      <w:r w:rsidR="00254653" w:rsidRPr="00DF1F13">
        <w:rPr>
          <w:rStyle w:val="Znakapoznpodarou"/>
          <w:rFonts w:ascii="Times New Roman" w:hAnsi="Times New Roman" w:cs="Times New Roman"/>
          <w:sz w:val="24"/>
          <w:szCs w:val="24"/>
          <w:lang w:val="en-US"/>
        </w:rPr>
        <w:footnoteReference w:id="78"/>
      </w:r>
    </w:p>
    <w:p w14:paraId="0A533728" w14:textId="771DC62F" w:rsidR="007B684D" w:rsidRPr="00DF1F13" w:rsidRDefault="00EF11D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 case of voluntary nonappearance and surrender by a non-</w:t>
      </w:r>
      <w:r w:rsidR="00C227BD">
        <w:rPr>
          <w:rFonts w:ascii="Times New Roman" w:hAnsi="Times New Roman" w:cs="Times New Roman"/>
          <w:sz w:val="24"/>
          <w:szCs w:val="24"/>
          <w:lang w:val="en-US"/>
        </w:rPr>
        <w:t>s</w:t>
      </w:r>
      <w:r w:rsidRPr="00DF1F13">
        <w:rPr>
          <w:rFonts w:ascii="Times New Roman" w:hAnsi="Times New Roman" w:cs="Times New Roman"/>
          <w:sz w:val="24"/>
          <w:szCs w:val="24"/>
          <w:lang w:val="en-US"/>
        </w:rPr>
        <w:t>tate</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organization, surrender of the public agent by a different </w:t>
      </w:r>
      <w:r w:rsidR="00C227BD">
        <w:rPr>
          <w:rFonts w:ascii="Times New Roman" w:hAnsi="Times New Roman" w:cs="Times New Roman"/>
          <w:sz w:val="24"/>
          <w:szCs w:val="24"/>
          <w:lang w:val="en-US"/>
        </w:rPr>
        <w:t>s</w:t>
      </w:r>
      <w:r w:rsidRPr="00DF1F13">
        <w:rPr>
          <w:rFonts w:ascii="Times New Roman" w:hAnsi="Times New Roman" w:cs="Times New Roman"/>
          <w:sz w:val="24"/>
          <w:szCs w:val="24"/>
          <w:lang w:val="en-US"/>
        </w:rPr>
        <w:t>tate will provide the solely logical opportunity of obtaining</w:t>
      </w:r>
      <w:r w:rsidR="002668D5" w:rsidRPr="00DF1F13">
        <w:rPr>
          <w:rFonts w:ascii="Times New Roman" w:hAnsi="Times New Roman" w:cs="Times New Roman"/>
          <w:sz w:val="24"/>
          <w:szCs w:val="24"/>
          <w:lang w:val="en-US"/>
        </w:rPr>
        <w:t xml:space="preserve"> detention</w:t>
      </w:r>
      <w:r w:rsidRPr="00DF1F13">
        <w:rPr>
          <w:rFonts w:ascii="Times New Roman" w:hAnsi="Times New Roman" w:cs="Times New Roman"/>
          <w:sz w:val="24"/>
          <w:szCs w:val="24"/>
          <w:lang w:val="en-US"/>
        </w:rPr>
        <w:t xml:space="preserve">. </w:t>
      </w:r>
      <w:r w:rsidR="00A145F7" w:rsidRPr="00DF1F13">
        <w:rPr>
          <w:rFonts w:ascii="Times New Roman" w:hAnsi="Times New Roman" w:cs="Times New Roman"/>
          <w:sz w:val="24"/>
          <w:szCs w:val="24"/>
          <w:lang w:val="en-US"/>
        </w:rPr>
        <w:t xml:space="preserve">It was asserted that the efficiency of the Statute is helping better with a reading which allows the ICC to orient its requests for the surrender of agents of </w:t>
      </w:r>
      <w:r w:rsidR="00C227BD">
        <w:rPr>
          <w:rFonts w:ascii="Times New Roman" w:hAnsi="Times New Roman" w:cs="Times New Roman"/>
          <w:sz w:val="24"/>
          <w:szCs w:val="24"/>
          <w:lang w:val="en-US"/>
        </w:rPr>
        <w:t>s</w:t>
      </w:r>
      <w:r w:rsidR="00A145F7" w:rsidRPr="00DF1F13">
        <w:rPr>
          <w:rFonts w:ascii="Times New Roman" w:hAnsi="Times New Roman" w:cs="Times New Roman"/>
          <w:sz w:val="24"/>
          <w:szCs w:val="24"/>
          <w:lang w:val="en-US"/>
        </w:rPr>
        <w:t xml:space="preserve">tates </w:t>
      </w:r>
      <w:r w:rsidR="00C227BD">
        <w:rPr>
          <w:rFonts w:ascii="Times New Roman" w:hAnsi="Times New Roman" w:cs="Times New Roman"/>
          <w:sz w:val="24"/>
          <w:szCs w:val="24"/>
          <w:lang w:val="en-US"/>
        </w:rPr>
        <w:t>p</w:t>
      </w:r>
      <w:r w:rsidR="00A145F7" w:rsidRPr="00DF1F13">
        <w:rPr>
          <w:rFonts w:ascii="Times New Roman" w:hAnsi="Times New Roman" w:cs="Times New Roman"/>
          <w:sz w:val="24"/>
          <w:szCs w:val="24"/>
          <w:lang w:val="en-US"/>
        </w:rPr>
        <w:t xml:space="preserve">arties to other </w:t>
      </w:r>
      <w:r w:rsidR="00C227BD">
        <w:rPr>
          <w:rFonts w:ascii="Times New Roman" w:hAnsi="Times New Roman" w:cs="Times New Roman"/>
          <w:sz w:val="24"/>
          <w:szCs w:val="24"/>
          <w:lang w:val="en-US"/>
        </w:rPr>
        <w:t>s</w:t>
      </w:r>
      <w:r w:rsidR="00A145F7" w:rsidRPr="00DF1F13">
        <w:rPr>
          <w:rFonts w:ascii="Times New Roman" w:hAnsi="Times New Roman" w:cs="Times New Roman"/>
          <w:sz w:val="24"/>
          <w:szCs w:val="24"/>
          <w:lang w:val="en-US"/>
        </w:rPr>
        <w:t>tates.</w:t>
      </w:r>
      <w:r w:rsidR="00A145F7" w:rsidRPr="00DF1F13">
        <w:rPr>
          <w:rStyle w:val="Znakapoznpodarou"/>
          <w:rFonts w:ascii="Times New Roman" w:hAnsi="Times New Roman" w:cs="Times New Roman"/>
          <w:sz w:val="24"/>
          <w:szCs w:val="24"/>
          <w:lang w:val="en-US"/>
        </w:rPr>
        <w:footnoteReference w:id="79"/>
      </w:r>
    </w:p>
    <w:p w14:paraId="4E1A9608" w14:textId="25EEF1C9" w:rsidR="007B684D" w:rsidRPr="00DF1F13" w:rsidRDefault="00C059A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 xml:space="preserve">Nevertheless, all intrusion with the immunity granted by international law to incumbent senior officials and diplomats establishes a highly grave intrusion with such </w:t>
      </w:r>
      <w:r w:rsidR="00C227BD">
        <w:rPr>
          <w:rFonts w:ascii="Times New Roman" w:hAnsi="Times New Roman" w:cs="Times New Roman"/>
          <w:sz w:val="24"/>
          <w:szCs w:val="24"/>
          <w:lang w:val="en-US"/>
        </w:rPr>
        <w:t>s</w:t>
      </w:r>
      <w:r w:rsidRPr="00DF1F13">
        <w:rPr>
          <w:rFonts w:ascii="Times New Roman" w:hAnsi="Times New Roman" w:cs="Times New Roman"/>
          <w:sz w:val="24"/>
          <w:szCs w:val="24"/>
          <w:lang w:val="en-US"/>
        </w:rPr>
        <w:t>tate and its international relations,</w:t>
      </w:r>
      <w:r w:rsidR="008F51E2" w:rsidRPr="00DF1F13">
        <w:rPr>
          <w:rFonts w:ascii="Times New Roman" w:hAnsi="Times New Roman" w:cs="Times New Roman"/>
          <w:sz w:val="24"/>
          <w:szCs w:val="24"/>
          <w:lang w:val="en-US"/>
        </w:rPr>
        <w:t xml:space="preserve"> the reject of immunity can be beneficial to create the Court that is more effective, but this is not enough as purpose to justify such renunciation of immunity.</w:t>
      </w:r>
      <w:r w:rsidR="003158CE" w:rsidRPr="00DF1F13">
        <w:rPr>
          <w:rFonts w:ascii="Times New Roman" w:hAnsi="Times New Roman" w:cs="Times New Roman"/>
          <w:sz w:val="24"/>
          <w:szCs w:val="24"/>
          <w:lang w:val="en-US"/>
        </w:rPr>
        <w:t xml:space="preserve"> </w:t>
      </w:r>
    </w:p>
    <w:p w14:paraId="5C03CF73" w14:textId="550C3F00" w:rsidR="00BF34DA" w:rsidRPr="00DF1F13" w:rsidRDefault="00337010"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On the opposite, it should be exposed that such a withdrawal of relevant immunity is either expressed clearly in the Statute or understandable tacitly through its provisions.</w:t>
      </w:r>
      <w:r w:rsidR="00190614" w:rsidRPr="00DF1F13">
        <w:rPr>
          <w:rFonts w:ascii="Times New Roman" w:hAnsi="Times New Roman" w:cs="Times New Roman"/>
          <w:sz w:val="24"/>
          <w:szCs w:val="24"/>
          <w:lang w:val="en-US"/>
        </w:rPr>
        <w:t xml:space="preserve"> </w:t>
      </w:r>
      <w:r w:rsidR="001C1AC4" w:rsidRPr="00DF1F13">
        <w:rPr>
          <w:rFonts w:ascii="Times New Roman" w:hAnsi="Times New Roman" w:cs="Times New Roman"/>
          <w:sz w:val="24"/>
          <w:szCs w:val="24"/>
          <w:lang w:val="en-US"/>
        </w:rPr>
        <w:t xml:space="preserve">On one hand, the term of Article 98, paragraph 1, itself solves the question if it enlarges to agents of </w:t>
      </w:r>
      <w:r w:rsidR="00C227BD">
        <w:rPr>
          <w:rFonts w:ascii="Times New Roman" w:hAnsi="Times New Roman" w:cs="Times New Roman"/>
          <w:sz w:val="24"/>
          <w:szCs w:val="24"/>
          <w:lang w:val="en-US"/>
        </w:rPr>
        <w:t>s</w:t>
      </w:r>
      <w:r w:rsidR="001C1AC4" w:rsidRPr="00DF1F13">
        <w:rPr>
          <w:rFonts w:ascii="Times New Roman" w:hAnsi="Times New Roman" w:cs="Times New Roman"/>
          <w:sz w:val="24"/>
          <w:szCs w:val="24"/>
          <w:lang w:val="en-US"/>
        </w:rPr>
        <w:t xml:space="preserve">tates </w:t>
      </w:r>
      <w:r w:rsidR="00C227BD">
        <w:rPr>
          <w:rFonts w:ascii="Times New Roman" w:hAnsi="Times New Roman" w:cs="Times New Roman"/>
          <w:sz w:val="24"/>
          <w:szCs w:val="24"/>
          <w:lang w:val="en-US"/>
        </w:rPr>
        <w:t>p</w:t>
      </w:r>
      <w:r w:rsidR="001C1AC4" w:rsidRPr="00DF1F13">
        <w:rPr>
          <w:rFonts w:ascii="Times New Roman" w:hAnsi="Times New Roman" w:cs="Times New Roman"/>
          <w:sz w:val="24"/>
          <w:szCs w:val="24"/>
          <w:lang w:val="en-US"/>
        </w:rPr>
        <w:t>arties as it makes mention of</w:t>
      </w:r>
      <w:r w:rsidR="001C1AC4" w:rsidRPr="00DF1F13">
        <w:rPr>
          <w:rFonts w:ascii="Times New Roman" w:hAnsi="Times New Roman" w:cs="Times New Roman"/>
          <w:sz w:val="28"/>
          <w:szCs w:val="28"/>
          <w:lang w:val="en-US"/>
        </w:rPr>
        <w:t xml:space="preserve"> </w:t>
      </w:r>
      <w:r w:rsidR="001C1AC4" w:rsidRPr="00DF1F13">
        <w:rPr>
          <w:rFonts w:ascii="Times New Roman" w:hAnsi="Times New Roman" w:cs="Times New Roman"/>
          <w:sz w:val="24"/>
          <w:szCs w:val="24"/>
          <w:lang w:val="en-US"/>
        </w:rPr>
        <w:t xml:space="preserve">"immunity of a person ... of a third </w:t>
      </w:r>
      <w:r w:rsidR="00C227BD">
        <w:rPr>
          <w:rFonts w:ascii="Times New Roman" w:hAnsi="Times New Roman" w:cs="Times New Roman"/>
          <w:sz w:val="24"/>
          <w:szCs w:val="24"/>
          <w:lang w:val="en-US"/>
        </w:rPr>
        <w:t>s</w:t>
      </w:r>
      <w:r w:rsidR="001C1AC4" w:rsidRPr="00DF1F13">
        <w:rPr>
          <w:rFonts w:ascii="Times New Roman" w:hAnsi="Times New Roman" w:cs="Times New Roman"/>
          <w:sz w:val="24"/>
          <w:szCs w:val="24"/>
          <w:lang w:val="en-US"/>
        </w:rPr>
        <w:t>tate."</w:t>
      </w:r>
      <w:r w:rsidR="007A2D7B" w:rsidRPr="00DF1F13">
        <w:rPr>
          <w:rFonts w:ascii="Times New Roman" w:hAnsi="Times New Roman" w:cs="Times New Roman"/>
          <w:sz w:val="24"/>
          <w:szCs w:val="24"/>
          <w:lang w:val="en-US"/>
        </w:rPr>
        <w:t xml:space="preserve"> In accordance with this perspective, the term "third </w:t>
      </w:r>
      <w:r w:rsidR="00C227BD">
        <w:rPr>
          <w:rFonts w:ascii="Times New Roman" w:hAnsi="Times New Roman" w:cs="Times New Roman"/>
          <w:sz w:val="24"/>
          <w:szCs w:val="24"/>
          <w:lang w:val="en-US"/>
        </w:rPr>
        <w:t>s</w:t>
      </w:r>
      <w:r w:rsidR="007A2D7B" w:rsidRPr="00DF1F13">
        <w:rPr>
          <w:rFonts w:ascii="Times New Roman" w:hAnsi="Times New Roman" w:cs="Times New Roman"/>
          <w:sz w:val="24"/>
          <w:szCs w:val="24"/>
          <w:lang w:val="en-US"/>
        </w:rPr>
        <w:t xml:space="preserve">tate", once used in the law of treaties, mainly make mention of </w:t>
      </w:r>
      <w:r w:rsidR="00C227BD">
        <w:rPr>
          <w:rFonts w:ascii="Times New Roman" w:hAnsi="Times New Roman" w:cs="Times New Roman"/>
          <w:sz w:val="24"/>
          <w:szCs w:val="24"/>
          <w:lang w:val="en-US"/>
        </w:rPr>
        <w:t>s</w:t>
      </w:r>
      <w:r w:rsidR="007A2D7B" w:rsidRPr="00DF1F13">
        <w:rPr>
          <w:rFonts w:ascii="Times New Roman" w:hAnsi="Times New Roman" w:cs="Times New Roman"/>
          <w:sz w:val="24"/>
          <w:szCs w:val="24"/>
          <w:lang w:val="en-US"/>
        </w:rPr>
        <w:t>tates that are not party to the treaty concerned</w:t>
      </w:r>
      <w:r w:rsidR="009B3FC0" w:rsidRPr="00DF1F13">
        <w:rPr>
          <w:rFonts w:ascii="Times New Roman" w:hAnsi="Times New Roman" w:cs="Times New Roman"/>
          <w:sz w:val="24"/>
          <w:szCs w:val="24"/>
          <w:lang w:val="en-US"/>
        </w:rPr>
        <w:t>,</w:t>
      </w:r>
      <w:r w:rsidR="007A2D7B" w:rsidRPr="00DF1F13">
        <w:rPr>
          <w:rStyle w:val="Znakapoznpodarou"/>
          <w:rFonts w:ascii="Times New Roman" w:hAnsi="Times New Roman" w:cs="Times New Roman"/>
          <w:sz w:val="24"/>
          <w:szCs w:val="24"/>
          <w:lang w:val="en-US"/>
        </w:rPr>
        <w:footnoteReference w:id="80"/>
      </w:r>
      <w:r w:rsidR="009B3FC0" w:rsidRPr="00DF1F13">
        <w:rPr>
          <w:rFonts w:ascii="Times New Roman" w:hAnsi="Times New Roman" w:cs="Times New Roman"/>
          <w:sz w:val="24"/>
          <w:szCs w:val="24"/>
          <w:lang w:val="en-US"/>
        </w:rPr>
        <w:t xml:space="preserve"> and thus Article 98 (1) makes mention of states that are not party to the ICC Statute. </w:t>
      </w:r>
    </w:p>
    <w:p w14:paraId="6D55871D" w14:textId="30A7FE09" w:rsidR="00BF34DA" w:rsidRPr="00DF1F13" w:rsidRDefault="009B3FC0"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this reasoning is neither convincing nor conclusive.</w:t>
      </w:r>
      <w:r w:rsidR="00260B67" w:rsidRPr="00DF1F13">
        <w:rPr>
          <w:rFonts w:ascii="Times New Roman" w:hAnsi="Times New Roman" w:cs="Times New Roman"/>
          <w:sz w:val="24"/>
          <w:szCs w:val="24"/>
          <w:lang w:val="en-US"/>
        </w:rPr>
        <w:t xml:space="preserve"> </w:t>
      </w:r>
      <w:r w:rsidR="003E7446" w:rsidRPr="00DF1F13">
        <w:rPr>
          <w:rFonts w:ascii="Times New Roman" w:hAnsi="Times New Roman" w:cs="Times New Roman"/>
          <w:sz w:val="24"/>
          <w:szCs w:val="24"/>
          <w:lang w:val="en-US"/>
        </w:rPr>
        <w:t xml:space="preserve">The provision of Article 98 (1) talks about “third </w:t>
      </w:r>
      <w:r w:rsidR="00E71B40">
        <w:rPr>
          <w:rFonts w:ascii="Times New Roman" w:hAnsi="Times New Roman" w:cs="Times New Roman"/>
          <w:sz w:val="24"/>
          <w:szCs w:val="24"/>
          <w:lang w:val="en-US"/>
        </w:rPr>
        <w:t>s</w:t>
      </w:r>
      <w:r w:rsidR="003E7446" w:rsidRPr="00DF1F13">
        <w:rPr>
          <w:rFonts w:ascii="Times New Roman" w:hAnsi="Times New Roman" w:cs="Times New Roman"/>
          <w:sz w:val="24"/>
          <w:szCs w:val="24"/>
          <w:lang w:val="en-US"/>
        </w:rPr>
        <w:t xml:space="preserve">tates” and this does not stipulate that it keeps out </w:t>
      </w:r>
      <w:r w:rsidR="00632C5D">
        <w:rPr>
          <w:rFonts w:ascii="Times New Roman" w:hAnsi="Times New Roman" w:cs="Times New Roman"/>
          <w:sz w:val="24"/>
          <w:szCs w:val="24"/>
          <w:lang w:val="en-US"/>
        </w:rPr>
        <w:t>s</w:t>
      </w:r>
      <w:r w:rsidR="00632C5D" w:rsidRPr="00DF1F13">
        <w:rPr>
          <w:rFonts w:ascii="Times New Roman" w:hAnsi="Times New Roman" w:cs="Times New Roman"/>
          <w:sz w:val="24"/>
          <w:szCs w:val="24"/>
          <w:lang w:val="en-US"/>
        </w:rPr>
        <w:t>tates’</w:t>
      </w:r>
      <w:r w:rsidR="003E7446" w:rsidRPr="00DF1F13">
        <w:rPr>
          <w:rFonts w:ascii="Times New Roman" w:hAnsi="Times New Roman" w:cs="Times New Roman"/>
          <w:sz w:val="24"/>
          <w:szCs w:val="24"/>
          <w:lang w:val="en-US"/>
        </w:rPr>
        <w:t xml:space="preserve"> </w:t>
      </w:r>
      <w:r w:rsidR="00E71B40">
        <w:rPr>
          <w:rFonts w:ascii="Times New Roman" w:hAnsi="Times New Roman" w:cs="Times New Roman"/>
          <w:sz w:val="24"/>
          <w:szCs w:val="24"/>
          <w:lang w:val="en-US"/>
        </w:rPr>
        <w:t>p</w:t>
      </w:r>
      <w:r w:rsidR="003E7446" w:rsidRPr="00DF1F13">
        <w:rPr>
          <w:rFonts w:ascii="Times New Roman" w:hAnsi="Times New Roman" w:cs="Times New Roman"/>
          <w:sz w:val="24"/>
          <w:szCs w:val="24"/>
          <w:lang w:val="en-US"/>
        </w:rPr>
        <w:t>arties.</w:t>
      </w:r>
      <w:r w:rsidR="00260B67" w:rsidRPr="00DF1F13">
        <w:rPr>
          <w:rFonts w:ascii="Times New Roman" w:hAnsi="Times New Roman" w:cs="Times New Roman"/>
        </w:rPr>
        <w:t xml:space="preserve"> </w:t>
      </w:r>
      <w:r w:rsidR="00260B67" w:rsidRPr="00DF1F13">
        <w:rPr>
          <w:rFonts w:ascii="Times New Roman" w:hAnsi="Times New Roman" w:cs="Times New Roman"/>
          <w:sz w:val="24"/>
          <w:szCs w:val="24"/>
          <w:lang w:val="en-US"/>
        </w:rPr>
        <w:t xml:space="preserve">Probably, the term “third </w:t>
      </w:r>
      <w:r w:rsidR="00E71B40">
        <w:rPr>
          <w:rFonts w:ascii="Times New Roman" w:hAnsi="Times New Roman" w:cs="Times New Roman"/>
          <w:sz w:val="24"/>
          <w:szCs w:val="24"/>
          <w:lang w:val="en-US"/>
        </w:rPr>
        <w:t>s</w:t>
      </w:r>
      <w:r w:rsidR="00260B67" w:rsidRPr="00DF1F13">
        <w:rPr>
          <w:rFonts w:ascii="Times New Roman" w:hAnsi="Times New Roman" w:cs="Times New Roman"/>
          <w:sz w:val="24"/>
          <w:szCs w:val="24"/>
          <w:lang w:val="en-US"/>
        </w:rPr>
        <w:t xml:space="preserve">tate” in this provision does not comment on non-parties only but instead a </w:t>
      </w:r>
      <w:r w:rsidR="00E71B40">
        <w:rPr>
          <w:rFonts w:ascii="Times New Roman" w:hAnsi="Times New Roman" w:cs="Times New Roman"/>
          <w:sz w:val="24"/>
          <w:szCs w:val="24"/>
          <w:lang w:val="en-US"/>
        </w:rPr>
        <w:t>s</w:t>
      </w:r>
      <w:r w:rsidR="00260B67" w:rsidRPr="00DF1F13">
        <w:rPr>
          <w:rFonts w:ascii="Times New Roman" w:hAnsi="Times New Roman" w:cs="Times New Roman"/>
          <w:sz w:val="24"/>
          <w:szCs w:val="24"/>
          <w:lang w:val="en-US"/>
        </w:rPr>
        <w:t>tate that is different from the one which has obtained the detention of the accused.</w:t>
      </w:r>
      <w:r w:rsidR="005F2018" w:rsidRPr="00DF1F13">
        <w:rPr>
          <w:rFonts w:ascii="Times New Roman" w:hAnsi="Times New Roman" w:cs="Times New Roman"/>
          <w:sz w:val="24"/>
          <w:szCs w:val="24"/>
          <w:lang w:val="en-US"/>
        </w:rPr>
        <w:t xml:space="preserve"> </w:t>
      </w:r>
      <w:r w:rsidR="00752B1E" w:rsidRPr="00DF1F13">
        <w:rPr>
          <w:rFonts w:ascii="Times New Roman" w:hAnsi="Times New Roman" w:cs="Times New Roman"/>
          <w:sz w:val="24"/>
          <w:szCs w:val="24"/>
          <w:lang w:val="en-US"/>
        </w:rPr>
        <w:t>Like Paola Gaeta has mentioned, in different sections of the Statute where mention is made of States not party to the Statute, no “third State” expression is employed but words like “non-</w:t>
      </w:r>
      <w:r w:rsidR="00F06121" w:rsidRPr="00DF1F13">
        <w:rPr>
          <w:rFonts w:ascii="Times New Roman" w:hAnsi="Times New Roman" w:cs="Times New Roman"/>
          <w:sz w:val="24"/>
          <w:szCs w:val="24"/>
          <w:lang w:val="en-US"/>
        </w:rPr>
        <w:t>c</w:t>
      </w:r>
      <w:r w:rsidR="00752B1E" w:rsidRPr="00DF1F13">
        <w:rPr>
          <w:rFonts w:ascii="Times New Roman" w:hAnsi="Times New Roman" w:cs="Times New Roman"/>
          <w:sz w:val="24"/>
          <w:szCs w:val="24"/>
          <w:lang w:val="en-US"/>
        </w:rPr>
        <w:t xml:space="preserve">ontracting States”. And "States not </w:t>
      </w:r>
      <w:r w:rsidR="00F06121" w:rsidRPr="00DF1F13">
        <w:rPr>
          <w:rFonts w:ascii="Times New Roman" w:hAnsi="Times New Roman" w:cs="Times New Roman"/>
          <w:sz w:val="24"/>
          <w:szCs w:val="24"/>
          <w:lang w:val="en-US"/>
        </w:rPr>
        <w:t>parties</w:t>
      </w:r>
      <w:r w:rsidR="00752B1E" w:rsidRPr="00DF1F13">
        <w:rPr>
          <w:rFonts w:ascii="Times New Roman" w:hAnsi="Times New Roman" w:cs="Times New Roman"/>
          <w:sz w:val="24"/>
          <w:szCs w:val="24"/>
          <w:lang w:val="en-US"/>
        </w:rPr>
        <w:t>."</w:t>
      </w:r>
      <w:r w:rsidR="00F06121" w:rsidRPr="00DF1F13">
        <w:rPr>
          <w:rStyle w:val="Znakapoznpodarou"/>
          <w:rFonts w:ascii="Times New Roman" w:hAnsi="Times New Roman" w:cs="Times New Roman"/>
          <w:sz w:val="24"/>
          <w:szCs w:val="24"/>
          <w:lang w:val="en-US"/>
        </w:rPr>
        <w:footnoteReference w:id="81"/>
      </w:r>
      <w:r w:rsidR="00BF34DA" w:rsidRPr="00DF1F13">
        <w:rPr>
          <w:rFonts w:ascii="Times New Roman" w:hAnsi="Times New Roman" w:cs="Times New Roman"/>
          <w:sz w:val="24"/>
          <w:szCs w:val="24"/>
          <w:lang w:val="en-US"/>
        </w:rPr>
        <w:t xml:space="preserve"> </w:t>
      </w:r>
      <w:r w:rsidR="000B2A42" w:rsidRPr="00DF1F13">
        <w:rPr>
          <w:rFonts w:ascii="Times New Roman" w:hAnsi="Times New Roman" w:cs="Times New Roman"/>
          <w:sz w:val="24"/>
          <w:szCs w:val="24"/>
          <w:lang w:val="en-US"/>
        </w:rPr>
        <w:t xml:space="preserve">Different uses of the expression “third </w:t>
      </w:r>
      <w:r w:rsidR="00E71B40">
        <w:rPr>
          <w:rFonts w:ascii="Times New Roman" w:hAnsi="Times New Roman" w:cs="Times New Roman"/>
          <w:sz w:val="24"/>
          <w:szCs w:val="24"/>
          <w:lang w:val="en-US"/>
        </w:rPr>
        <w:t>S</w:t>
      </w:r>
      <w:r w:rsidR="000B2A42" w:rsidRPr="00DF1F13">
        <w:rPr>
          <w:rFonts w:ascii="Times New Roman" w:hAnsi="Times New Roman" w:cs="Times New Roman"/>
          <w:sz w:val="24"/>
          <w:szCs w:val="24"/>
          <w:lang w:val="en-US"/>
        </w:rPr>
        <w:t>tate” in the ICC Statute likely do not make mention just of non-parties.</w:t>
      </w:r>
      <w:r w:rsidR="0075749B" w:rsidRPr="00DF1F13">
        <w:rPr>
          <w:rFonts w:ascii="Times New Roman" w:hAnsi="Times New Roman" w:cs="Times New Roman"/>
          <w:sz w:val="24"/>
          <w:szCs w:val="24"/>
          <w:lang w:val="en-US"/>
        </w:rPr>
        <w:t xml:space="preserve"> As an example, it is improbable that the Article 108 ban on extradition to a third state by states with custody of persons convicted by the ICC was intended to cover only non-parties.</w:t>
      </w:r>
      <w:r w:rsidR="005F2018" w:rsidRPr="00DF1F13">
        <w:rPr>
          <w:rFonts w:ascii="Times New Roman" w:hAnsi="Times New Roman" w:cs="Times New Roman"/>
          <w:sz w:val="24"/>
          <w:szCs w:val="24"/>
          <w:lang w:val="en-US"/>
        </w:rPr>
        <w:t xml:space="preserve"> </w:t>
      </w:r>
    </w:p>
    <w:p w14:paraId="7E6B98F2" w14:textId="5350B8B8" w:rsidR="00BF34DA" w:rsidRPr="00DF1F13" w:rsidRDefault="005F2018"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Moreover, when the Statute employs the word “third party” in link </w:t>
      </w:r>
      <w:r w:rsidR="00A0027F" w:rsidRPr="00DF1F13">
        <w:rPr>
          <w:rFonts w:ascii="Times New Roman" w:hAnsi="Times New Roman" w:cs="Times New Roman"/>
          <w:sz w:val="24"/>
          <w:szCs w:val="24"/>
          <w:lang w:val="en-US"/>
        </w:rPr>
        <w:t>with the</w:t>
      </w:r>
      <w:r w:rsidRPr="00DF1F13">
        <w:rPr>
          <w:rFonts w:ascii="Times New Roman" w:hAnsi="Times New Roman" w:cs="Times New Roman"/>
          <w:sz w:val="24"/>
          <w:szCs w:val="24"/>
          <w:lang w:val="en-US"/>
        </w:rPr>
        <w:t xml:space="preserve"> ICC requests to </w:t>
      </w:r>
      <w:r w:rsidR="00E71B40">
        <w:rPr>
          <w:rFonts w:ascii="Times New Roman" w:hAnsi="Times New Roman" w:cs="Times New Roman"/>
          <w:sz w:val="24"/>
          <w:szCs w:val="24"/>
          <w:lang w:val="en-US"/>
        </w:rPr>
        <w:t>s</w:t>
      </w:r>
      <w:r w:rsidRPr="00DF1F13">
        <w:rPr>
          <w:rFonts w:ascii="Times New Roman" w:hAnsi="Times New Roman" w:cs="Times New Roman"/>
          <w:sz w:val="24"/>
          <w:szCs w:val="24"/>
          <w:lang w:val="en-US"/>
        </w:rPr>
        <w:t>tates parties asking documents or information revealed in secret by a third party,</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this expression clearly comprises both states parties and states non-parties.</w:t>
      </w:r>
      <w:r w:rsidRPr="00DF1F13">
        <w:rPr>
          <w:rStyle w:val="Znakapoznpodarou"/>
          <w:rFonts w:ascii="Times New Roman" w:hAnsi="Times New Roman" w:cs="Times New Roman"/>
          <w:sz w:val="24"/>
          <w:szCs w:val="24"/>
          <w:lang w:val="en-US"/>
        </w:rPr>
        <w:footnoteReference w:id="82"/>
      </w:r>
      <w:r w:rsidR="00BF34DA" w:rsidRPr="00DF1F13">
        <w:rPr>
          <w:rFonts w:ascii="Times New Roman" w:hAnsi="Times New Roman" w:cs="Times New Roman"/>
          <w:sz w:val="24"/>
          <w:szCs w:val="24"/>
          <w:lang w:val="en-US"/>
        </w:rPr>
        <w:t xml:space="preserve"> </w:t>
      </w:r>
      <w:r w:rsidR="00FE5262" w:rsidRPr="00DF1F13">
        <w:rPr>
          <w:rFonts w:ascii="Times New Roman" w:hAnsi="Times New Roman" w:cs="Times New Roman"/>
          <w:sz w:val="24"/>
          <w:szCs w:val="24"/>
          <w:lang w:val="en-US"/>
        </w:rPr>
        <w:t>A most convincing reasoning in support of the opinion that article 98 (1) only favor non-</w:t>
      </w:r>
      <w:r w:rsidR="00E71B40">
        <w:rPr>
          <w:rFonts w:ascii="Times New Roman" w:hAnsi="Times New Roman" w:cs="Times New Roman"/>
          <w:sz w:val="24"/>
          <w:szCs w:val="24"/>
          <w:lang w:val="en-US"/>
        </w:rPr>
        <w:t>s</w:t>
      </w:r>
      <w:r w:rsidR="00FE5262" w:rsidRPr="00DF1F13">
        <w:rPr>
          <w:rFonts w:ascii="Times New Roman" w:hAnsi="Times New Roman" w:cs="Times New Roman"/>
          <w:sz w:val="24"/>
          <w:szCs w:val="24"/>
          <w:lang w:val="en-US"/>
        </w:rPr>
        <w:t xml:space="preserve">tates parties is a reading that enables representatives of states parties to avail themselves of the immunities of </w:t>
      </w:r>
      <w:r w:rsidR="00FE5262" w:rsidRPr="00DF1F13">
        <w:rPr>
          <w:rFonts w:ascii="Times New Roman" w:hAnsi="Times New Roman" w:cs="Times New Roman"/>
          <w:sz w:val="24"/>
          <w:szCs w:val="24"/>
          <w:lang w:val="en-US"/>
        </w:rPr>
        <w:lastRenderedPageBreak/>
        <w:t>international law once they are abroad, this fact would strip the Statute of its main aim of precluding impunity and assure that the gravest crimes of international nature should not stay unpunished.</w:t>
      </w:r>
      <w:r w:rsidR="00FE5262" w:rsidRPr="00DF1F13">
        <w:rPr>
          <w:rStyle w:val="Znakapoznpodarou"/>
          <w:rFonts w:ascii="Times New Roman" w:hAnsi="Times New Roman" w:cs="Times New Roman"/>
          <w:sz w:val="24"/>
          <w:szCs w:val="24"/>
          <w:lang w:val="en-US"/>
        </w:rPr>
        <w:footnoteReference w:id="83"/>
      </w:r>
    </w:p>
    <w:p w14:paraId="416C97C9" w14:textId="440DF420" w:rsidR="00BF34DA" w:rsidRPr="00DF1F13" w:rsidRDefault="00003D8B" w:rsidP="00DF1F13">
      <w:pPr>
        <w:spacing w:before="240" w:after="240" w:line="360" w:lineRule="auto"/>
        <w:ind w:left="170" w:right="113"/>
        <w:jc w:val="both"/>
        <w:rPr>
          <w:rFonts w:ascii="Times New Roman" w:hAnsi="Times New Roman" w:cs="Times New Roman"/>
          <w:i/>
          <w:iCs/>
          <w:sz w:val="24"/>
          <w:szCs w:val="24"/>
          <w:lang w:val="en-US"/>
        </w:rPr>
      </w:pPr>
      <w:r w:rsidRPr="00DF1F13">
        <w:rPr>
          <w:rFonts w:ascii="Times New Roman" w:hAnsi="Times New Roman" w:cs="Times New Roman"/>
          <w:sz w:val="24"/>
          <w:szCs w:val="24"/>
          <w:lang w:val="en-US"/>
        </w:rPr>
        <w:t>Additionally, the waiver of the immunity from the exercise of the jurisdiction of the ICC provided for in Article 27 would be cancelled in practice</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whether Article 98 (1) was read as permitting parties to avail themselves of the same immunities to hinder the surrender of their agents to the Court by other </w:t>
      </w:r>
      <w:r w:rsidR="00E71B40">
        <w:rPr>
          <w:rFonts w:ascii="Times New Roman" w:hAnsi="Times New Roman" w:cs="Times New Roman"/>
          <w:sz w:val="24"/>
          <w:szCs w:val="24"/>
          <w:lang w:val="en-US"/>
        </w:rPr>
        <w:t>s</w:t>
      </w:r>
      <w:r w:rsidRPr="00DF1F13">
        <w:rPr>
          <w:rFonts w:ascii="Times New Roman" w:hAnsi="Times New Roman" w:cs="Times New Roman"/>
          <w:sz w:val="24"/>
          <w:szCs w:val="24"/>
          <w:lang w:val="en-US"/>
        </w:rPr>
        <w:t>tates."</w:t>
      </w:r>
      <w:r w:rsidRPr="00DF1F13">
        <w:rPr>
          <w:rStyle w:val="Znakapoznpodarou"/>
          <w:rFonts w:ascii="Times New Roman" w:hAnsi="Times New Roman" w:cs="Times New Roman"/>
          <w:sz w:val="24"/>
          <w:szCs w:val="24"/>
          <w:lang w:val="en-US"/>
        </w:rPr>
        <w:footnoteReference w:id="84"/>
      </w:r>
      <w:r w:rsidR="00BF34DA" w:rsidRPr="00DF1F13">
        <w:rPr>
          <w:rFonts w:ascii="Times New Roman" w:hAnsi="Times New Roman" w:cs="Times New Roman"/>
          <w:sz w:val="24"/>
          <w:szCs w:val="24"/>
          <w:lang w:val="en-US"/>
        </w:rPr>
        <w:t xml:space="preserve"> </w:t>
      </w:r>
      <w:r w:rsidR="00D7596F" w:rsidRPr="00DF1F13">
        <w:rPr>
          <w:rFonts w:ascii="Times New Roman" w:hAnsi="Times New Roman" w:cs="Times New Roman"/>
          <w:sz w:val="24"/>
          <w:szCs w:val="24"/>
          <w:lang w:val="en-US"/>
        </w:rPr>
        <w:t xml:space="preserve">This reasoning is sustained by the tenet that </w:t>
      </w:r>
      <w:r w:rsidR="00D7596F" w:rsidRPr="00E71B40">
        <w:rPr>
          <w:rFonts w:ascii="Times New Roman" w:hAnsi="Times New Roman" w:cs="Times New Roman"/>
          <w:sz w:val="24"/>
          <w:szCs w:val="24"/>
          <w:lang w:val="en-US"/>
        </w:rPr>
        <w:t>“</w:t>
      </w:r>
      <w:r w:rsidR="004B64DD" w:rsidRPr="00E71B40">
        <w:rPr>
          <w:rFonts w:ascii="Times New Roman" w:hAnsi="Times New Roman" w:cs="Times New Roman"/>
          <w:sz w:val="24"/>
          <w:szCs w:val="24"/>
          <w:lang w:val="en-US"/>
        </w:rPr>
        <w:t>[a] n interpreter is not free to adopt a reading that would result in reducing whole clauses or paragraphs of a treaty to redundancy or inutility."</w:t>
      </w:r>
      <w:r w:rsidR="00BF34DA" w:rsidRPr="00E71B40">
        <w:rPr>
          <w:rFonts w:ascii="Times New Roman" w:hAnsi="Times New Roman" w:cs="Times New Roman"/>
          <w:sz w:val="24"/>
          <w:szCs w:val="24"/>
          <w:lang w:val="en-US"/>
        </w:rPr>
        <w:t xml:space="preserve"> </w:t>
      </w:r>
      <w:r w:rsidR="00D7596F" w:rsidRPr="00E71B40">
        <w:rPr>
          <w:rStyle w:val="Znakapoznpodarou"/>
          <w:rFonts w:ascii="Times New Roman" w:hAnsi="Times New Roman" w:cs="Times New Roman"/>
          <w:sz w:val="24"/>
          <w:szCs w:val="24"/>
          <w:lang w:val="en-US"/>
        </w:rPr>
        <w:footnoteReference w:id="85"/>
      </w:r>
      <w:r w:rsidR="00BF34DA" w:rsidRPr="00DF1F13">
        <w:rPr>
          <w:rFonts w:ascii="Times New Roman" w:hAnsi="Times New Roman" w:cs="Times New Roman"/>
          <w:i/>
          <w:iCs/>
          <w:sz w:val="24"/>
          <w:szCs w:val="24"/>
          <w:lang w:val="en-US"/>
        </w:rPr>
        <w:t xml:space="preserve"> </w:t>
      </w:r>
    </w:p>
    <w:p w14:paraId="10A10296" w14:textId="4567FD48" w:rsidR="00AE53CF" w:rsidRPr="00DF1F13" w:rsidRDefault="00993ACB"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Consequently, the waiver of immunity in article 27 should be perceived as applying not merely to the Court itself, but likewise to states acting at the request of the ICC.</w:t>
      </w:r>
      <w:r w:rsidR="000343EC" w:rsidRPr="00DF1F13">
        <w:rPr>
          <w:rFonts w:ascii="Times New Roman" w:hAnsi="Times New Roman" w:cs="Times New Roman"/>
          <w:sz w:val="24"/>
          <w:szCs w:val="24"/>
          <w:lang w:val="en-US"/>
        </w:rPr>
        <w:t xml:space="preserve"> This reasoning is sustained by the fact that, as noted above, revocation is included not only in Article 27 (2) - which states that immunities should not prevent the ICC from exercising its jurisdiction</w:t>
      </w:r>
      <w:r w:rsidR="00AE53CF" w:rsidRPr="00DF1F13">
        <w:rPr>
          <w:rFonts w:ascii="Times New Roman" w:hAnsi="Times New Roman" w:cs="Times New Roman"/>
          <w:sz w:val="24"/>
          <w:szCs w:val="24"/>
          <w:lang w:val="en-US"/>
        </w:rPr>
        <w:t xml:space="preserve"> </w:t>
      </w:r>
      <w:r w:rsidR="000343EC" w:rsidRPr="00DF1F13">
        <w:rPr>
          <w:rFonts w:ascii="Times New Roman" w:hAnsi="Times New Roman" w:cs="Times New Roman"/>
          <w:sz w:val="24"/>
          <w:szCs w:val="24"/>
          <w:lang w:val="en-US"/>
        </w:rPr>
        <w:t>but additionally in section 27 (1)</w:t>
      </w:r>
      <w:r w:rsidR="00AE53CF" w:rsidRPr="00DF1F13">
        <w:rPr>
          <w:rFonts w:ascii="Times New Roman" w:hAnsi="Times New Roman" w:cs="Times New Roman"/>
          <w:sz w:val="24"/>
          <w:szCs w:val="24"/>
          <w:lang w:val="en-US"/>
        </w:rPr>
        <w:t>.</w:t>
      </w:r>
    </w:p>
    <w:p w14:paraId="708D51DA" w14:textId="224788F9" w:rsidR="00BF34DA" w:rsidRPr="00DF1F13" w:rsidRDefault="00AE53C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Steffen Wirth has underlined that when the parties accepted in the first phrase of Article 27 (1) that the statute applied to their agents,</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they have thus approved that all sections of the statute comprising the cooperation system, that will be used with regards to those agents.</w:t>
      </w:r>
      <w:r w:rsidRPr="00DF1F13">
        <w:rPr>
          <w:rStyle w:val="Znakapoznpodarou"/>
          <w:rFonts w:ascii="Times New Roman" w:hAnsi="Times New Roman" w:cs="Times New Roman"/>
          <w:sz w:val="24"/>
          <w:szCs w:val="24"/>
          <w:lang w:val="en-US"/>
        </w:rPr>
        <w:footnoteReference w:id="86"/>
      </w:r>
      <w:r w:rsidR="009B4582" w:rsidRPr="00DF1F13">
        <w:rPr>
          <w:rFonts w:ascii="Times New Roman" w:hAnsi="Times New Roman" w:cs="Times New Roman"/>
          <w:sz w:val="24"/>
          <w:szCs w:val="24"/>
          <w:lang w:val="en-US"/>
        </w:rPr>
        <w:t xml:space="preserve">As the international law immunities of public agents from </w:t>
      </w:r>
      <w:r w:rsidR="00E71B40">
        <w:rPr>
          <w:rFonts w:ascii="Times New Roman" w:hAnsi="Times New Roman" w:cs="Times New Roman"/>
          <w:sz w:val="24"/>
          <w:szCs w:val="24"/>
          <w:lang w:val="en-US"/>
        </w:rPr>
        <w:t>s</w:t>
      </w:r>
      <w:r w:rsidR="009B4582" w:rsidRPr="00DF1F13">
        <w:rPr>
          <w:rFonts w:ascii="Times New Roman" w:hAnsi="Times New Roman" w:cs="Times New Roman"/>
          <w:sz w:val="24"/>
          <w:szCs w:val="24"/>
          <w:lang w:val="en-US"/>
        </w:rPr>
        <w:t xml:space="preserve">tates parties are abolished by the Statute, other </w:t>
      </w:r>
      <w:r w:rsidR="00E71B40">
        <w:rPr>
          <w:rFonts w:ascii="Times New Roman" w:hAnsi="Times New Roman" w:cs="Times New Roman"/>
          <w:sz w:val="24"/>
          <w:szCs w:val="24"/>
          <w:lang w:val="en-US"/>
        </w:rPr>
        <w:t>s</w:t>
      </w:r>
      <w:r w:rsidR="009B4582" w:rsidRPr="00DF1F13">
        <w:rPr>
          <w:rFonts w:ascii="Times New Roman" w:hAnsi="Times New Roman" w:cs="Times New Roman"/>
          <w:sz w:val="24"/>
          <w:szCs w:val="24"/>
          <w:lang w:val="en-US"/>
        </w:rPr>
        <w:t>tates where those agents are located, should not act in a way that will be incompatible with their duties with regards to international law</w:t>
      </w:r>
      <w:r w:rsidR="00BF34DA" w:rsidRPr="00DF1F13">
        <w:rPr>
          <w:rFonts w:ascii="Times New Roman" w:hAnsi="Times New Roman" w:cs="Times New Roman"/>
          <w:sz w:val="24"/>
          <w:szCs w:val="24"/>
          <w:lang w:val="en-US"/>
        </w:rPr>
        <w:t xml:space="preserve"> </w:t>
      </w:r>
      <w:r w:rsidR="009B4582" w:rsidRPr="00DF1F13">
        <w:rPr>
          <w:rStyle w:val="Znakapoznpodarou"/>
          <w:rFonts w:ascii="Times New Roman" w:hAnsi="Times New Roman" w:cs="Times New Roman"/>
          <w:sz w:val="24"/>
          <w:szCs w:val="24"/>
          <w:lang w:val="en-US"/>
        </w:rPr>
        <w:footnoteReference w:id="87"/>
      </w:r>
      <w:r w:rsidR="009B4582" w:rsidRPr="00DF1F13">
        <w:rPr>
          <w:rFonts w:ascii="Times New Roman" w:hAnsi="Times New Roman" w:cs="Times New Roman"/>
          <w:sz w:val="24"/>
          <w:szCs w:val="24"/>
          <w:lang w:val="en-US"/>
        </w:rPr>
        <w:t xml:space="preserve"> by arresting and surrendering such officials to the ICC.</w:t>
      </w:r>
      <w:r w:rsidR="00AD6E5A" w:rsidRPr="00DF1F13">
        <w:rPr>
          <w:rFonts w:ascii="Times New Roman" w:hAnsi="Times New Roman" w:cs="Times New Roman"/>
          <w:sz w:val="24"/>
          <w:szCs w:val="24"/>
          <w:lang w:val="en-US"/>
        </w:rPr>
        <w:t xml:space="preserve"> </w:t>
      </w:r>
    </w:p>
    <w:p w14:paraId="6283CD7F" w14:textId="77777777" w:rsidR="00BF34DA" w:rsidRPr="00DF1F13" w:rsidRDefault="0065586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 reaction to the above reasonings, it can be argued that a reading of article 98(1) which enlarges its application to agents of state parties to the court does not deny article 27 of all its meaning.</w:t>
      </w:r>
      <w:r w:rsidR="00AD6E5A" w:rsidRPr="00DF1F13">
        <w:rPr>
          <w:rFonts w:ascii="Times New Roman" w:hAnsi="Times New Roman" w:cs="Times New Roman"/>
          <w:sz w:val="24"/>
          <w:szCs w:val="24"/>
          <w:lang w:val="en-US"/>
        </w:rPr>
        <w:t xml:space="preserve"> Indeed, even with such a reading of article 98, article 27 can permit the ICC to make </w:t>
      </w:r>
      <w:r w:rsidR="00AD6E5A" w:rsidRPr="00DF1F13">
        <w:rPr>
          <w:rFonts w:ascii="Times New Roman" w:hAnsi="Times New Roman" w:cs="Times New Roman"/>
          <w:sz w:val="24"/>
          <w:szCs w:val="24"/>
          <w:lang w:val="en-US"/>
        </w:rPr>
        <w:lastRenderedPageBreak/>
        <w:t>inquiries and moreover to issue an arrest warrant under article 58 against officials who may in other ways be granted immunity.</w:t>
      </w:r>
      <w:r w:rsidR="00AD6E5A" w:rsidRPr="00DF1F13">
        <w:rPr>
          <w:rStyle w:val="Znakapoznpodarou"/>
          <w:rFonts w:ascii="Times New Roman" w:hAnsi="Times New Roman" w:cs="Times New Roman"/>
          <w:sz w:val="24"/>
          <w:szCs w:val="24"/>
          <w:lang w:val="en-US"/>
        </w:rPr>
        <w:footnoteReference w:id="88"/>
      </w:r>
      <w:r w:rsidR="00443B82" w:rsidRPr="00DF1F13">
        <w:rPr>
          <w:rFonts w:ascii="Times New Roman" w:hAnsi="Times New Roman" w:cs="Times New Roman"/>
          <w:sz w:val="24"/>
          <w:szCs w:val="24"/>
          <w:lang w:val="en-US"/>
        </w:rPr>
        <w:t xml:space="preserve"> </w:t>
      </w:r>
    </w:p>
    <w:p w14:paraId="0ED01A7F" w14:textId="2DC27703" w:rsidR="002348B5" w:rsidRPr="00DF1F13" w:rsidRDefault="00355293"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In addition, article 27 would prohibit any use of immunity as soon as the ICC detains an accused linked to a state party.</w:t>
      </w:r>
      <w:r w:rsidR="00443B82" w:rsidRPr="00DF1F13">
        <w:rPr>
          <w:rStyle w:val="Znakapoznpodarou"/>
          <w:rFonts w:ascii="Times New Roman" w:hAnsi="Times New Roman" w:cs="Times New Roman"/>
          <w:sz w:val="24"/>
          <w:szCs w:val="24"/>
          <w:lang w:val="en-US"/>
        </w:rPr>
        <w:footnoteReference w:id="89"/>
      </w:r>
      <w:r w:rsidR="00BF34DA" w:rsidRPr="00DF1F13">
        <w:rPr>
          <w:rFonts w:ascii="Times New Roman" w:hAnsi="Times New Roman" w:cs="Times New Roman"/>
          <w:sz w:val="24"/>
          <w:szCs w:val="24"/>
          <w:lang w:val="en-US"/>
        </w:rPr>
        <w:t xml:space="preserve"> </w:t>
      </w:r>
      <w:r w:rsidR="001C0BAF" w:rsidRPr="00DF1F13">
        <w:rPr>
          <w:rFonts w:ascii="Times New Roman" w:hAnsi="Times New Roman" w:cs="Times New Roman"/>
          <w:sz w:val="24"/>
          <w:szCs w:val="24"/>
          <w:lang w:val="en-US"/>
        </w:rPr>
        <w:t xml:space="preserve">From this perspective, Article 27 relates only to the position of </w:t>
      </w:r>
      <w:r w:rsidR="00E71B40">
        <w:rPr>
          <w:rFonts w:ascii="Times New Roman" w:hAnsi="Times New Roman" w:cs="Times New Roman"/>
          <w:sz w:val="24"/>
          <w:szCs w:val="24"/>
          <w:lang w:val="en-US"/>
        </w:rPr>
        <w:t>s</w:t>
      </w:r>
      <w:r w:rsidR="001C0BAF" w:rsidRPr="00DF1F13">
        <w:rPr>
          <w:rFonts w:ascii="Times New Roman" w:hAnsi="Times New Roman" w:cs="Times New Roman"/>
          <w:sz w:val="24"/>
          <w:szCs w:val="24"/>
          <w:lang w:val="en-US"/>
        </w:rPr>
        <w:t xml:space="preserve">tate representatives vis-à-vis the ICC and does not influence the immunity of such representatives from the jurisdiction of other </w:t>
      </w:r>
      <w:r w:rsidR="00E71B40">
        <w:rPr>
          <w:rFonts w:ascii="Times New Roman" w:hAnsi="Times New Roman" w:cs="Times New Roman"/>
          <w:sz w:val="24"/>
          <w:szCs w:val="24"/>
          <w:lang w:val="en-US"/>
        </w:rPr>
        <w:t>s</w:t>
      </w:r>
      <w:r w:rsidR="001C0BAF" w:rsidRPr="00DF1F13">
        <w:rPr>
          <w:rFonts w:ascii="Times New Roman" w:hAnsi="Times New Roman" w:cs="Times New Roman"/>
          <w:sz w:val="24"/>
          <w:szCs w:val="24"/>
          <w:lang w:val="en-US"/>
        </w:rPr>
        <w:t>tates.</w:t>
      </w:r>
      <w:r w:rsidR="00CB6A19" w:rsidRPr="00DF1F13">
        <w:rPr>
          <w:rFonts w:ascii="Times New Roman" w:hAnsi="Times New Roman" w:cs="Times New Roman"/>
          <w:sz w:val="24"/>
          <w:szCs w:val="24"/>
          <w:lang w:val="en-US"/>
        </w:rPr>
        <w:t xml:space="preserve"> </w:t>
      </w:r>
      <w:r w:rsidR="001C0BAF" w:rsidRPr="00DF1F13">
        <w:rPr>
          <w:rFonts w:ascii="Times New Roman" w:hAnsi="Times New Roman" w:cs="Times New Roman"/>
          <w:sz w:val="24"/>
          <w:szCs w:val="24"/>
          <w:lang w:val="en-US"/>
        </w:rPr>
        <w:t>Instead of having been removed by Article 27, these immunities, from this perspective, are clearly maintained by Article 98, paragraph 1.</w:t>
      </w:r>
      <w:r w:rsidR="00955554" w:rsidRPr="00DF1F13">
        <w:rPr>
          <w:rFonts w:ascii="Times New Roman" w:hAnsi="Times New Roman" w:cs="Times New Roman"/>
          <w:sz w:val="24"/>
          <w:szCs w:val="24"/>
          <w:lang w:val="en-US"/>
        </w:rPr>
        <w:t xml:space="preserve"> </w:t>
      </w:r>
    </w:p>
    <w:p w14:paraId="564A678B" w14:textId="271C7DA2" w:rsidR="002348B5" w:rsidRPr="00DF1F13" w:rsidRDefault="0095555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Consequently, Article 98 (1) would</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preclude the ICC from asking a host </w:t>
      </w:r>
      <w:r w:rsidR="00E71B40">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 to arrest and surrender agent of another </w:t>
      </w:r>
      <w:r w:rsidR="00E71B40">
        <w:rPr>
          <w:rFonts w:ascii="Times New Roman" w:hAnsi="Times New Roman" w:cs="Times New Roman"/>
          <w:sz w:val="24"/>
          <w:szCs w:val="24"/>
          <w:lang w:val="en-US"/>
        </w:rPr>
        <w:t>s</w:t>
      </w:r>
      <w:r w:rsidRPr="00DF1F13">
        <w:rPr>
          <w:rFonts w:ascii="Times New Roman" w:hAnsi="Times New Roman" w:cs="Times New Roman"/>
          <w:sz w:val="24"/>
          <w:szCs w:val="24"/>
          <w:lang w:val="en-US"/>
        </w:rPr>
        <w:t>tate enjoying immunities under international law.</w:t>
      </w:r>
      <w:r w:rsidR="000E5AEF" w:rsidRPr="00DF1F13">
        <w:rPr>
          <w:rFonts w:ascii="Times New Roman" w:hAnsi="Times New Roman" w:cs="Times New Roman"/>
          <w:sz w:val="24"/>
          <w:szCs w:val="24"/>
          <w:lang w:val="en-US"/>
        </w:rPr>
        <w:t xml:space="preserve"> </w:t>
      </w:r>
      <w:r w:rsidR="0078570C" w:rsidRPr="00DF1F13">
        <w:rPr>
          <w:rFonts w:ascii="Times New Roman" w:hAnsi="Times New Roman" w:cs="Times New Roman"/>
          <w:sz w:val="24"/>
          <w:szCs w:val="24"/>
          <w:lang w:val="en-US"/>
        </w:rPr>
        <w:t xml:space="preserve">Nonetheless, the Court would stay free to ask for the surrender of the agent from his </w:t>
      </w:r>
      <w:r w:rsidR="00E71B40">
        <w:rPr>
          <w:rFonts w:ascii="Times New Roman" w:hAnsi="Times New Roman" w:cs="Times New Roman"/>
          <w:sz w:val="24"/>
          <w:szCs w:val="24"/>
          <w:lang w:val="en-US"/>
        </w:rPr>
        <w:t>s</w:t>
      </w:r>
      <w:r w:rsidR="0078570C" w:rsidRPr="00DF1F13">
        <w:rPr>
          <w:rFonts w:ascii="Times New Roman" w:hAnsi="Times New Roman" w:cs="Times New Roman"/>
          <w:sz w:val="24"/>
          <w:szCs w:val="24"/>
          <w:lang w:val="en-US"/>
        </w:rPr>
        <w:t>tate of origin, which is required under part 9 of the ICC Statute to cooperate with the Court in the implementation of the demand.</w:t>
      </w:r>
      <w:r w:rsidR="006D12F3" w:rsidRPr="00DF1F13">
        <w:rPr>
          <w:rFonts w:ascii="Times New Roman" w:hAnsi="Times New Roman" w:cs="Times New Roman"/>
          <w:sz w:val="24"/>
          <w:szCs w:val="24"/>
          <w:lang w:val="en-US"/>
        </w:rPr>
        <w:t xml:space="preserve"> </w:t>
      </w:r>
      <w:r w:rsidR="0019101B" w:rsidRPr="00DF1F13">
        <w:rPr>
          <w:rFonts w:ascii="Times New Roman" w:hAnsi="Times New Roman" w:cs="Times New Roman"/>
          <w:sz w:val="24"/>
          <w:szCs w:val="24"/>
          <w:lang w:val="en-US"/>
        </w:rPr>
        <w:t>If interpreting Article 98 (1) as also applicable to agents of the parties to the statute does not completely nullify the effect of Article 27, this reading gives just a very limited scope of application to Article 27 (2).</w:t>
      </w:r>
      <w:r w:rsidR="002348B5" w:rsidRPr="00DF1F13">
        <w:rPr>
          <w:rFonts w:ascii="Times New Roman" w:hAnsi="Times New Roman" w:cs="Times New Roman"/>
          <w:sz w:val="24"/>
          <w:szCs w:val="24"/>
          <w:lang w:val="en-US"/>
        </w:rPr>
        <w:t xml:space="preserve"> </w:t>
      </w:r>
    </w:p>
    <w:p w14:paraId="13FC8FFD" w14:textId="5F8BF74D" w:rsidR="002348B5" w:rsidRPr="00DF1F13" w:rsidRDefault="006D12F3"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First, it is wrong to state that the removal of international law immunities in Article 27 (2) at least enables the ICC to make inquiries and deliver arrest warrants against public agents of </w:t>
      </w:r>
      <w:r w:rsidR="00E71B40">
        <w:rPr>
          <w:rFonts w:ascii="Times New Roman" w:hAnsi="Times New Roman" w:cs="Times New Roman"/>
          <w:sz w:val="24"/>
          <w:szCs w:val="24"/>
          <w:lang w:val="en-US"/>
        </w:rPr>
        <w:t>s</w:t>
      </w:r>
      <w:r w:rsidRPr="00DF1F13">
        <w:rPr>
          <w:rFonts w:ascii="Times New Roman" w:hAnsi="Times New Roman" w:cs="Times New Roman"/>
          <w:sz w:val="24"/>
          <w:szCs w:val="24"/>
          <w:lang w:val="en-US"/>
        </w:rPr>
        <w:t>tate parties to the ICC in terms where it would have not been able to do so.</w:t>
      </w:r>
      <w:r w:rsidR="002348B5" w:rsidRPr="00DF1F13">
        <w:rPr>
          <w:rFonts w:ascii="Times New Roman" w:hAnsi="Times New Roman" w:cs="Times New Roman"/>
          <w:sz w:val="24"/>
          <w:szCs w:val="24"/>
          <w:lang w:val="en-US"/>
        </w:rPr>
        <w:t xml:space="preserve"> </w:t>
      </w:r>
      <w:r w:rsidR="007F22DC" w:rsidRPr="00DF1F13">
        <w:rPr>
          <w:rFonts w:ascii="Times New Roman" w:hAnsi="Times New Roman" w:cs="Times New Roman"/>
          <w:sz w:val="24"/>
          <w:szCs w:val="24"/>
          <w:lang w:val="en-US"/>
        </w:rPr>
        <w:t xml:space="preserve">If Article 98 (1) was read as precluding the ICC from asking host states to arrest agents of other </w:t>
      </w:r>
      <w:r w:rsidR="00E71B40">
        <w:rPr>
          <w:rFonts w:ascii="Times New Roman" w:hAnsi="Times New Roman" w:cs="Times New Roman"/>
          <w:sz w:val="24"/>
          <w:szCs w:val="24"/>
          <w:lang w:val="en-US"/>
        </w:rPr>
        <w:t>s</w:t>
      </w:r>
      <w:r w:rsidR="007F22DC" w:rsidRPr="00DF1F13">
        <w:rPr>
          <w:rFonts w:ascii="Times New Roman" w:hAnsi="Times New Roman" w:cs="Times New Roman"/>
          <w:sz w:val="24"/>
          <w:szCs w:val="24"/>
          <w:lang w:val="en-US"/>
        </w:rPr>
        <w:t xml:space="preserve">tate parties to the statute who enjoy immunity with regards to international law, then the warrants delivered under article 58 could cover merely the </w:t>
      </w:r>
      <w:r w:rsidR="00E71B40">
        <w:rPr>
          <w:rFonts w:ascii="Times New Roman" w:hAnsi="Times New Roman" w:cs="Times New Roman"/>
          <w:sz w:val="24"/>
          <w:szCs w:val="24"/>
          <w:lang w:val="en-US"/>
        </w:rPr>
        <w:t>s</w:t>
      </w:r>
      <w:r w:rsidR="007F22DC" w:rsidRPr="00DF1F13">
        <w:rPr>
          <w:rFonts w:ascii="Times New Roman" w:hAnsi="Times New Roman" w:cs="Times New Roman"/>
          <w:sz w:val="24"/>
          <w:szCs w:val="24"/>
          <w:lang w:val="en-US"/>
        </w:rPr>
        <w:t>tate of origin of the agent.</w:t>
      </w:r>
      <w:r w:rsidR="006932DA" w:rsidRPr="00DF1F13">
        <w:rPr>
          <w:rFonts w:ascii="Times New Roman" w:hAnsi="Times New Roman" w:cs="Times New Roman"/>
          <w:sz w:val="24"/>
          <w:szCs w:val="24"/>
          <w:lang w:val="en-US"/>
        </w:rPr>
        <w:t xml:space="preserve"> </w:t>
      </w:r>
      <w:r w:rsidR="00B0238B" w:rsidRPr="00DF1F13">
        <w:rPr>
          <w:rFonts w:ascii="Times New Roman" w:hAnsi="Times New Roman" w:cs="Times New Roman"/>
          <w:sz w:val="24"/>
          <w:szCs w:val="24"/>
          <w:lang w:val="en-US"/>
        </w:rPr>
        <w:t>Such a reading would make superfluous the part of Article 27 (2) which waives the immunity of civil servants under international law.</w:t>
      </w:r>
      <w:r w:rsidR="003C05FC" w:rsidRPr="00DF1F13">
        <w:rPr>
          <w:rFonts w:ascii="Times New Roman" w:hAnsi="Times New Roman" w:cs="Times New Roman"/>
          <w:sz w:val="24"/>
          <w:szCs w:val="24"/>
          <w:lang w:val="en-US"/>
        </w:rPr>
        <w:t xml:space="preserve"> As public agents do not enjoy immunities under international law with regards to their </w:t>
      </w:r>
      <w:r w:rsidR="00E71B40">
        <w:rPr>
          <w:rFonts w:ascii="Times New Roman" w:hAnsi="Times New Roman" w:cs="Times New Roman"/>
          <w:sz w:val="24"/>
          <w:szCs w:val="24"/>
          <w:lang w:val="en-US"/>
        </w:rPr>
        <w:t>s</w:t>
      </w:r>
      <w:r w:rsidR="003C05FC" w:rsidRPr="00DF1F13">
        <w:rPr>
          <w:rFonts w:ascii="Times New Roman" w:hAnsi="Times New Roman" w:cs="Times New Roman"/>
          <w:sz w:val="24"/>
          <w:szCs w:val="24"/>
          <w:lang w:val="en-US"/>
        </w:rPr>
        <w:t xml:space="preserve">tate of origin, the deletion provided for in Article 27 (2) of "immunities or special procedural rules which may attach ... under... international law " this cannot have been for the aim of permitting the court to deliver an </w:t>
      </w:r>
      <w:r w:rsidR="002348B5" w:rsidRPr="00DF1F13">
        <w:rPr>
          <w:rFonts w:ascii="Times New Roman" w:hAnsi="Times New Roman" w:cs="Times New Roman"/>
          <w:sz w:val="24"/>
          <w:szCs w:val="24"/>
          <w:lang w:val="en-US"/>
        </w:rPr>
        <w:t>arrest warrant</w:t>
      </w:r>
      <w:r w:rsidR="003C05FC" w:rsidRPr="00DF1F13">
        <w:rPr>
          <w:rFonts w:ascii="Times New Roman" w:hAnsi="Times New Roman" w:cs="Times New Roman"/>
          <w:sz w:val="24"/>
          <w:szCs w:val="24"/>
          <w:lang w:val="en-US"/>
        </w:rPr>
        <w:t xml:space="preserve"> that apply merely to the origin state of agent.</w:t>
      </w:r>
    </w:p>
    <w:p w14:paraId="02B13715" w14:textId="47E9DD94" w:rsidR="002348B5" w:rsidRPr="00DF1F13" w:rsidRDefault="00772E76"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 xml:space="preserve"> </w:t>
      </w:r>
      <w:r w:rsidR="00AE5552" w:rsidRPr="00DF1F13">
        <w:rPr>
          <w:rFonts w:ascii="Times New Roman" w:hAnsi="Times New Roman" w:cs="Times New Roman"/>
          <w:sz w:val="24"/>
          <w:szCs w:val="24"/>
          <w:lang w:val="en-US"/>
        </w:rPr>
        <w:t xml:space="preserve">Second, the perspective that article 27 only applies to the Court and suppresses immunity only when the ICC has detained the suspected person (but not when they are in the territory of another </w:t>
      </w:r>
      <w:r w:rsidR="009726B5">
        <w:rPr>
          <w:rFonts w:ascii="Times New Roman" w:hAnsi="Times New Roman" w:cs="Times New Roman"/>
          <w:sz w:val="24"/>
          <w:szCs w:val="24"/>
          <w:lang w:val="en-US"/>
        </w:rPr>
        <w:t>s</w:t>
      </w:r>
      <w:r w:rsidR="00AE5552" w:rsidRPr="00DF1F13">
        <w:rPr>
          <w:rFonts w:ascii="Times New Roman" w:hAnsi="Times New Roman" w:cs="Times New Roman"/>
          <w:sz w:val="24"/>
          <w:szCs w:val="24"/>
          <w:lang w:val="en-US"/>
        </w:rPr>
        <w:t>tate different from their own) fact that shows in practice that this clause will apply only occasionally.</w:t>
      </w:r>
      <w:r w:rsidR="006932DA" w:rsidRPr="00DF1F13">
        <w:rPr>
          <w:rFonts w:ascii="Times New Roman" w:hAnsi="Times New Roman" w:cs="Times New Roman"/>
          <w:sz w:val="24"/>
          <w:szCs w:val="24"/>
          <w:lang w:val="en-US"/>
        </w:rPr>
        <w:t xml:space="preserve"> In most cases, the ICC is expected to get detention of incriminated agents via surrender by their own state or another state.</w:t>
      </w:r>
      <w:r w:rsidR="009741A1" w:rsidRPr="00DF1F13">
        <w:rPr>
          <w:rFonts w:ascii="Times New Roman" w:hAnsi="Times New Roman" w:cs="Times New Roman"/>
          <w:sz w:val="24"/>
          <w:szCs w:val="24"/>
          <w:lang w:val="en-US"/>
        </w:rPr>
        <w:t xml:space="preserve"> When an agent detained by the ICC has been surrendered by his or her </w:t>
      </w:r>
      <w:r w:rsidR="009726B5">
        <w:rPr>
          <w:rFonts w:ascii="Times New Roman" w:hAnsi="Times New Roman" w:cs="Times New Roman"/>
          <w:sz w:val="24"/>
          <w:szCs w:val="24"/>
          <w:lang w:val="en-US"/>
        </w:rPr>
        <w:t>s</w:t>
      </w:r>
      <w:r w:rsidR="009741A1" w:rsidRPr="00DF1F13">
        <w:rPr>
          <w:rFonts w:ascii="Times New Roman" w:hAnsi="Times New Roman" w:cs="Times New Roman"/>
          <w:sz w:val="24"/>
          <w:szCs w:val="24"/>
          <w:lang w:val="en-US"/>
        </w:rPr>
        <w:t xml:space="preserve">tate of origin, in such </w:t>
      </w:r>
      <w:r w:rsidRPr="00DF1F13">
        <w:rPr>
          <w:rFonts w:ascii="Times New Roman" w:hAnsi="Times New Roman" w:cs="Times New Roman"/>
          <w:sz w:val="24"/>
          <w:szCs w:val="24"/>
          <w:lang w:val="en-US"/>
        </w:rPr>
        <w:t>case,</w:t>
      </w:r>
      <w:r w:rsidR="009741A1" w:rsidRPr="00DF1F13">
        <w:rPr>
          <w:rFonts w:ascii="Times New Roman" w:hAnsi="Times New Roman" w:cs="Times New Roman"/>
          <w:sz w:val="24"/>
          <w:szCs w:val="24"/>
          <w:lang w:val="en-US"/>
        </w:rPr>
        <w:t xml:space="preserve"> there is little need to rely on Article 27 to waive immunity from the exercise of the jurisdiction of the ICC, since surrender will -even establishes a removal.</w:t>
      </w:r>
      <w:r w:rsidRPr="00DF1F13">
        <w:rPr>
          <w:rFonts w:ascii="Times New Roman" w:hAnsi="Times New Roman" w:cs="Times New Roman"/>
          <w:sz w:val="24"/>
          <w:szCs w:val="24"/>
          <w:lang w:val="en-US"/>
        </w:rPr>
        <w:t xml:space="preserve"> If Article 98 (1) is read as permitting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tates parties to avail themselves of immunities to hinder the surrender of their agents to the ICC by other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tates, this would signify that the waiver of immunity included in article 27 is genuinely relevant just in few of cases in which detention is provided by actions of non-state organization</w:t>
      </w:r>
      <w:r w:rsidR="002348B5" w:rsidRPr="00DF1F13">
        <w:rPr>
          <w:rFonts w:ascii="Times New Roman" w:hAnsi="Times New Roman" w:cs="Times New Roman"/>
          <w:sz w:val="24"/>
          <w:szCs w:val="24"/>
          <w:lang w:val="en-US"/>
        </w:rPr>
        <w:t xml:space="preserve"> </w:t>
      </w:r>
      <w:r w:rsidRPr="00DF1F13">
        <w:rPr>
          <w:rStyle w:val="Znakapoznpodarou"/>
          <w:rFonts w:ascii="Times New Roman" w:hAnsi="Times New Roman" w:cs="Times New Roman"/>
          <w:sz w:val="24"/>
          <w:szCs w:val="24"/>
          <w:lang w:val="en-US"/>
        </w:rPr>
        <w:footnoteReference w:id="90"/>
      </w:r>
      <w:r w:rsidRPr="00DF1F13">
        <w:rPr>
          <w:rFonts w:ascii="Times New Roman" w:hAnsi="Times New Roman" w:cs="Times New Roman"/>
          <w:sz w:val="24"/>
          <w:szCs w:val="24"/>
          <w:lang w:val="en-US"/>
        </w:rPr>
        <w:t xml:space="preserve"> or optional apparition.</w:t>
      </w:r>
      <w:r w:rsidRPr="00DF1F13">
        <w:rPr>
          <w:rStyle w:val="Znakapoznpodarou"/>
          <w:rFonts w:ascii="Times New Roman" w:hAnsi="Times New Roman" w:cs="Times New Roman"/>
          <w:sz w:val="24"/>
          <w:szCs w:val="24"/>
          <w:lang w:val="en-US"/>
        </w:rPr>
        <w:footnoteReference w:id="91"/>
      </w:r>
      <w:r w:rsidR="002348B5" w:rsidRPr="00DF1F13">
        <w:rPr>
          <w:rFonts w:ascii="Times New Roman" w:hAnsi="Times New Roman" w:cs="Times New Roman"/>
          <w:sz w:val="24"/>
          <w:szCs w:val="24"/>
          <w:lang w:val="en-US"/>
        </w:rPr>
        <w:t xml:space="preserve"> </w:t>
      </w:r>
      <w:r w:rsidR="00BA6A85" w:rsidRPr="00DF1F13">
        <w:rPr>
          <w:rFonts w:ascii="Times New Roman" w:hAnsi="Times New Roman" w:cs="Times New Roman"/>
          <w:sz w:val="24"/>
          <w:szCs w:val="24"/>
          <w:lang w:val="en-US"/>
        </w:rPr>
        <w:t>Limiting what at first glance seems to be a significant clause to these restricted and unusual contexts would seem to run counter to the objects and aims of the Statute.</w:t>
      </w:r>
      <w:r w:rsidR="00EE637F" w:rsidRPr="00DF1F13">
        <w:rPr>
          <w:rFonts w:ascii="Times New Roman" w:hAnsi="Times New Roman" w:cs="Times New Roman"/>
          <w:sz w:val="24"/>
          <w:szCs w:val="24"/>
          <w:lang w:val="en-US"/>
        </w:rPr>
        <w:t xml:space="preserve"> </w:t>
      </w:r>
      <w:r w:rsidR="005B0E05" w:rsidRPr="00DF1F13">
        <w:rPr>
          <w:rFonts w:ascii="Times New Roman" w:hAnsi="Times New Roman" w:cs="Times New Roman"/>
          <w:sz w:val="24"/>
          <w:szCs w:val="24"/>
          <w:lang w:val="en-US"/>
        </w:rPr>
        <w:t xml:space="preserve">To provide a significant impact to Article 27, Article 98 (1) should be read as applicable solely to agents of </w:t>
      </w:r>
      <w:r w:rsidR="009726B5">
        <w:rPr>
          <w:rFonts w:ascii="Times New Roman" w:hAnsi="Times New Roman" w:cs="Times New Roman"/>
          <w:sz w:val="24"/>
          <w:szCs w:val="24"/>
          <w:lang w:val="en-US"/>
        </w:rPr>
        <w:t>s</w:t>
      </w:r>
      <w:r w:rsidR="005B0E05" w:rsidRPr="00DF1F13">
        <w:rPr>
          <w:rFonts w:ascii="Times New Roman" w:hAnsi="Times New Roman" w:cs="Times New Roman"/>
          <w:sz w:val="24"/>
          <w:szCs w:val="24"/>
          <w:lang w:val="en-US"/>
        </w:rPr>
        <w:t>tate nonparties.</w:t>
      </w:r>
      <w:r w:rsidR="00F8763B" w:rsidRPr="00DF1F13">
        <w:rPr>
          <w:rFonts w:ascii="Times New Roman" w:hAnsi="Times New Roman" w:cs="Times New Roman"/>
          <w:sz w:val="24"/>
          <w:szCs w:val="24"/>
          <w:lang w:val="en-US"/>
        </w:rPr>
        <w:t xml:space="preserve"> </w:t>
      </w:r>
    </w:p>
    <w:p w14:paraId="60774337" w14:textId="1A8B0462" w:rsidR="00F941F2" w:rsidRPr="00DF1F13" w:rsidRDefault="00EE637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Consequently, Article 98 (1) does not preclude the ICC from asking the surrender of agents of parties even in case those agents would in other ways be covered by immunities under international law against arrest by domestic authorities of other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tates.</w:t>
      </w:r>
      <w:r w:rsidR="00F8763B" w:rsidRPr="00DF1F13">
        <w:rPr>
          <w:rFonts w:ascii="Times New Roman" w:hAnsi="Times New Roman" w:cs="Times New Roman"/>
          <w:sz w:val="24"/>
          <w:szCs w:val="24"/>
          <w:lang w:val="en-US"/>
        </w:rPr>
        <w:t xml:space="preserve"> Accordingly, parties to the ICC Statute have a duty according to Part 9 to conform with demands for the arrest and transfer to the Court when a public agent of other </w:t>
      </w:r>
      <w:r w:rsidR="009726B5">
        <w:rPr>
          <w:rFonts w:ascii="Times New Roman" w:hAnsi="Times New Roman" w:cs="Times New Roman"/>
          <w:sz w:val="24"/>
          <w:szCs w:val="24"/>
          <w:lang w:val="en-US"/>
        </w:rPr>
        <w:t>s</w:t>
      </w:r>
      <w:r w:rsidR="00F8763B" w:rsidRPr="00DF1F13">
        <w:rPr>
          <w:rFonts w:ascii="Times New Roman" w:hAnsi="Times New Roman" w:cs="Times New Roman"/>
          <w:sz w:val="24"/>
          <w:szCs w:val="24"/>
          <w:lang w:val="en-US"/>
        </w:rPr>
        <w:t>tate Party is in their territory.</w:t>
      </w:r>
      <w:r w:rsidR="00F941F2" w:rsidRPr="00DF1F13">
        <w:rPr>
          <w:rFonts w:ascii="Times New Roman" w:hAnsi="Times New Roman" w:cs="Times New Roman"/>
          <w:sz w:val="24"/>
          <w:szCs w:val="24"/>
          <w:lang w:val="en-US"/>
        </w:rPr>
        <w:t xml:space="preserve"> The ICC Statute thus provides State parties the authority not only but also an obligation to arrest and transfer public agents with higher-ranking, such as a sitting head of state or a sitting head of diplomatic mission once those agents have been accused by the Court and delivered an arrest warrant against them.</w:t>
      </w:r>
    </w:p>
    <w:p w14:paraId="7C80F9C1" w14:textId="74ECBE07" w:rsidR="002348B5" w:rsidRPr="00DF1F13" w:rsidRDefault="00E9549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The practice of numerous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 parties after their ratification of the ICC Statute sustains the perspective that Article 27 has the effect of waiving the immunity of representatives of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tates parties in the territory of other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tates that act at the demand of the court.</w:t>
      </w:r>
      <w:r w:rsidR="00D506F0" w:rsidRPr="00DF1F13">
        <w:rPr>
          <w:rFonts w:ascii="Times New Roman" w:hAnsi="Times New Roman" w:cs="Times New Roman"/>
          <w:sz w:val="24"/>
          <w:szCs w:val="24"/>
          <w:lang w:val="en-US"/>
        </w:rPr>
        <w:t xml:space="preserve"> Mention has previously </w:t>
      </w:r>
      <w:r w:rsidR="00D506F0" w:rsidRPr="00DF1F13">
        <w:rPr>
          <w:rFonts w:ascii="Times New Roman" w:hAnsi="Times New Roman" w:cs="Times New Roman"/>
          <w:sz w:val="24"/>
          <w:szCs w:val="24"/>
          <w:lang w:val="en-US"/>
        </w:rPr>
        <w:lastRenderedPageBreak/>
        <w:t xml:space="preserve">been made to the application laws of Canada, Ireland, Malta, New Zealand, and the United Kingdom, each of them include Article 27 of the Statute and clearly refuse immunity to representatives of </w:t>
      </w:r>
      <w:r w:rsidR="009726B5">
        <w:rPr>
          <w:rFonts w:ascii="Times New Roman" w:hAnsi="Times New Roman" w:cs="Times New Roman"/>
          <w:sz w:val="24"/>
          <w:szCs w:val="24"/>
          <w:lang w:val="en-US"/>
        </w:rPr>
        <w:t>s</w:t>
      </w:r>
      <w:r w:rsidR="00D506F0" w:rsidRPr="00DF1F13">
        <w:rPr>
          <w:rFonts w:ascii="Times New Roman" w:hAnsi="Times New Roman" w:cs="Times New Roman"/>
          <w:sz w:val="24"/>
          <w:szCs w:val="24"/>
          <w:lang w:val="en-US"/>
        </w:rPr>
        <w:t>tates parties in national procedure with regards to a demand for arrest and transfer by the ICC.</w:t>
      </w:r>
      <w:r w:rsidR="00D506F0" w:rsidRPr="00DF1F13">
        <w:rPr>
          <w:rStyle w:val="Znakapoznpodarou"/>
          <w:rFonts w:ascii="Times New Roman" w:hAnsi="Times New Roman" w:cs="Times New Roman"/>
          <w:sz w:val="24"/>
          <w:szCs w:val="24"/>
          <w:lang w:val="en-US"/>
        </w:rPr>
        <w:footnoteReference w:id="92"/>
      </w:r>
      <w:r w:rsidR="002348B5" w:rsidRPr="00DF1F13">
        <w:rPr>
          <w:rFonts w:ascii="Times New Roman" w:hAnsi="Times New Roman" w:cs="Times New Roman"/>
          <w:sz w:val="24"/>
          <w:szCs w:val="24"/>
          <w:lang w:val="en-US"/>
        </w:rPr>
        <w:t xml:space="preserve"> </w:t>
      </w:r>
      <w:r w:rsidR="008B4006" w:rsidRPr="00DF1F13">
        <w:rPr>
          <w:rFonts w:ascii="Times New Roman" w:hAnsi="Times New Roman" w:cs="Times New Roman"/>
          <w:sz w:val="24"/>
          <w:szCs w:val="24"/>
          <w:lang w:val="en-US"/>
        </w:rPr>
        <w:t>In addition, the provisions of South Africa and Swiss law seem to take identical point of view on Article 27.</w:t>
      </w:r>
      <w:r w:rsidR="008B4006" w:rsidRPr="00DF1F13">
        <w:rPr>
          <w:rStyle w:val="Znakapoznpodarou"/>
          <w:rFonts w:ascii="Times New Roman" w:hAnsi="Times New Roman" w:cs="Times New Roman"/>
          <w:sz w:val="24"/>
          <w:szCs w:val="24"/>
          <w:lang w:val="en-US"/>
        </w:rPr>
        <w:footnoteReference w:id="93"/>
      </w:r>
      <w:r w:rsidR="00D15D3F" w:rsidRPr="00DF1F13">
        <w:rPr>
          <w:rFonts w:ascii="Times New Roman" w:hAnsi="Times New Roman" w:cs="Times New Roman"/>
          <w:sz w:val="24"/>
          <w:szCs w:val="24"/>
          <w:lang w:val="en-US"/>
        </w:rPr>
        <w:t xml:space="preserve"> </w:t>
      </w:r>
    </w:p>
    <w:p w14:paraId="68F86C8A" w14:textId="6285BE5C" w:rsidR="003A4B6E" w:rsidRPr="00DF1F13" w:rsidRDefault="00D15D3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Nonetheless this following practice in the implementation of the Statute concerns just a few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 parties and does not "establish[] the agreement of the parties regarding its interpretation,"</w:t>
      </w:r>
      <w:r w:rsidRPr="00DF1F13">
        <w:rPr>
          <w:rStyle w:val="Znakapoznpodarou"/>
          <w:rFonts w:ascii="Times New Roman" w:hAnsi="Times New Roman" w:cs="Times New Roman"/>
          <w:sz w:val="24"/>
          <w:szCs w:val="24"/>
          <w:lang w:val="en-US"/>
        </w:rPr>
        <w:footnoteReference w:id="94"/>
      </w:r>
      <w:r w:rsidRPr="00DF1F13">
        <w:rPr>
          <w:rFonts w:ascii="Times New Roman" w:hAnsi="Times New Roman" w:cs="Times New Roman"/>
          <w:sz w:val="24"/>
          <w:szCs w:val="24"/>
          <w:lang w:val="en-US"/>
        </w:rPr>
        <w:t xml:space="preserve"> </w:t>
      </w:r>
      <w:r w:rsidR="0068370A" w:rsidRPr="00DF1F13">
        <w:rPr>
          <w:rFonts w:ascii="Times New Roman" w:hAnsi="Times New Roman" w:cs="Times New Roman"/>
          <w:sz w:val="24"/>
          <w:szCs w:val="24"/>
          <w:lang w:val="en-US"/>
        </w:rPr>
        <w:t xml:space="preserve">it surely sustains the opinion that Article 98 (1) does not preclude the ICC from seeking the arrest of </w:t>
      </w:r>
      <w:r w:rsidR="009726B5">
        <w:rPr>
          <w:rFonts w:ascii="Times New Roman" w:hAnsi="Times New Roman" w:cs="Times New Roman"/>
          <w:sz w:val="24"/>
          <w:szCs w:val="24"/>
          <w:lang w:val="en-US"/>
        </w:rPr>
        <w:t>s</w:t>
      </w:r>
      <w:r w:rsidR="0068370A" w:rsidRPr="00DF1F13">
        <w:rPr>
          <w:rFonts w:ascii="Times New Roman" w:hAnsi="Times New Roman" w:cs="Times New Roman"/>
          <w:sz w:val="24"/>
          <w:szCs w:val="24"/>
          <w:lang w:val="en-US"/>
        </w:rPr>
        <w:t xml:space="preserve">tate representatives (including higher-ranking agents in office) of </w:t>
      </w:r>
      <w:r w:rsidR="009726B5">
        <w:rPr>
          <w:rFonts w:ascii="Times New Roman" w:hAnsi="Times New Roman" w:cs="Times New Roman"/>
          <w:sz w:val="24"/>
          <w:szCs w:val="24"/>
          <w:lang w:val="en-US"/>
        </w:rPr>
        <w:t>s</w:t>
      </w:r>
      <w:r w:rsidR="0068370A" w:rsidRPr="00DF1F13">
        <w:rPr>
          <w:rFonts w:ascii="Times New Roman" w:hAnsi="Times New Roman" w:cs="Times New Roman"/>
          <w:sz w:val="24"/>
          <w:szCs w:val="24"/>
          <w:lang w:val="en-US"/>
        </w:rPr>
        <w:t xml:space="preserve">tates </w:t>
      </w:r>
      <w:r w:rsidR="009726B5">
        <w:rPr>
          <w:rFonts w:ascii="Times New Roman" w:hAnsi="Times New Roman" w:cs="Times New Roman"/>
          <w:sz w:val="24"/>
          <w:szCs w:val="24"/>
          <w:lang w:val="en-US"/>
        </w:rPr>
        <w:t>p</w:t>
      </w:r>
      <w:r w:rsidR="0068370A" w:rsidRPr="00DF1F13">
        <w:rPr>
          <w:rFonts w:ascii="Times New Roman" w:hAnsi="Times New Roman" w:cs="Times New Roman"/>
          <w:sz w:val="24"/>
          <w:szCs w:val="24"/>
          <w:lang w:val="en-US"/>
        </w:rPr>
        <w:t>arties.</w:t>
      </w:r>
      <w:r w:rsidR="009B1703" w:rsidRPr="00DF1F13">
        <w:rPr>
          <w:rFonts w:ascii="Times New Roman" w:hAnsi="Times New Roman" w:cs="Times New Roman"/>
          <w:sz w:val="24"/>
          <w:szCs w:val="24"/>
          <w:lang w:val="en-US"/>
        </w:rPr>
        <w:t xml:space="preserve"> The attribution of the authority to arrest a visiting head of state or a sitting diplomat is virtually unusual (but not unheard of)</w:t>
      </w:r>
      <w:r w:rsidR="008262A7" w:rsidRPr="00DF1F13">
        <w:rPr>
          <w:rFonts w:ascii="Times New Roman" w:hAnsi="Times New Roman" w:cs="Times New Roman"/>
          <w:sz w:val="24"/>
          <w:szCs w:val="24"/>
          <w:lang w:val="en-US"/>
        </w:rPr>
        <w:t xml:space="preserve"> </w:t>
      </w:r>
      <w:r w:rsidR="009B1703" w:rsidRPr="00DF1F13">
        <w:rPr>
          <w:rStyle w:val="Znakapoznpodarou"/>
          <w:rFonts w:ascii="Times New Roman" w:hAnsi="Times New Roman" w:cs="Times New Roman"/>
          <w:sz w:val="24"/>
          <w:szCs w:val="24"/>
          <w:lang w:val="en-US"/>
        </w:rPr>
        <w:footnoteReference w:id="95"/>
      </w:r>
      <w:r w:rsidR="008262A7" w:rsidRPr="00DF1F13">
        <w:rPr>
          <w:rFonts w:ascii="Times New Roman" w:hAnsi="Times New Roman" w:cs="Times New Roman"/>
          <w:sz w:val="24"/>
          <w:szCs w:val="24"/>
          <w:lang w:val="en-US"/>
        </w:rPr>
        <w:t xml:space="preserve"> </w:t>
      </w:r>
      <w:r w:rsidR="00D769B8" w:rsidRPr="00DF1F13">
        <w:rPr>
          <w:rFonts w:ascii="Times New Roman" w:hAnsi="Times New Roman" w:cs="Times New Roman"/>
          <w:sz w:val="24"/>
          <w:szCs w:val="24"/>
          <w:lang w:val="en-US"/>
        </w:rPr>
        <w:t xml:space="preserve">in international relations and can create an important tenseness and disturbance in these relations if that authority is not used </w:t>
      </w:r>
      <w:r w:rsidR="00D769B8" w:rsidRPr="00DF1F13">
        <w:rPr>
          <w:rFonts w:ascii="Times New Roman" w:hAnsi="Times New Roman" w:cs="Times New Roman"/>
          <w:sz w:val="24"/>
          <w:szCs w:val="24"/>
          <w:shd w:val="clear" w:color="auto" w:fill="FFFFFF"/>
          <w:lang w:val="en-US"/>
        </w:rPr>
        <w:t>with good judgment or sense</w:t>
      </w:r>
      <w:r w:rsidR="00D769B8" w:rsidRPr="00DF1F13">
        <w:rPr>
          <w:rFonts w:ascii="Times New Roman" w:hAnsi="Times New Roman" w:cs="Times New Roman"/>
          <w:sz w:val="24"/>
          <w:szCs w:val="24"/>
          <w:lang w:val="en-US"/>
        </w:rPr>
        <w:t>.</w:t>
      </w:r>
      <w:r w:rsidR="003A4B6E" w:rsidRPr="00DF1F13">
        <w:rPr>
          <w:rFonts w:ascii="Times New Roman" w:hAnsi="Times New Roman" w:cs="Times New Roman"/>
          <w:sz w:val="24"/>
          <w:szCs w:val="24"/>
          <w:lang w:val="en-US"/>
        </w:rPr>
        <w:t xml:space="preserve"> It is not sure whether the authors of the pertinent sections of the ICC Statute deliberately considered (while writing) the probability of states being authorized to arrest a sitting head of state or diplomat.</w:t>
      </w:r>
      <w:r w:rsidR="003A4B6E" w:rsidRPr="00DF1F13">
        <w:rPr>
          <w:rStyle w:val="Znakapoznpodarou"/>
          <w:rFonts w:ascii="Times New Roman" w:hAnsi="Times New Roman" w:cs="Times New Roman"/>
          <w:sz w:val="24"/>
          <w:szCs w:val="24"/>
          <w:lang w:val="en-US"/>
        </w:rPr>
        <w:footnoteReference w:id="96"/>
      </w:r>
    </w:p>
    <w:p w14:paraId="0E4BAF6B" w14:textId="44BC644D" w:rsidR="00CE0884" w:rsidRPr="00DF1F13" w:rsidRDefault="00170F5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Nonetheless, as shown previously, this power flows from the text of the Statute.</w:t>
      </w:r>
      <w:r w:rsidR="00722A14" w:rsidRPr="00DF1F13">
        <w:rPr>
          <w:rFonts w:ascii="Times New Roman" w:hAnsi="Times New Roman" w:cs="Times New Roman"/>
          <w:sz w:val="24"/>
          <w:szCs w:val="24"/>
          <w:lang w:val="en-US"/>
        </w:rPr>
        <w:t xml:space="preserve"> Furthermore, the goals and aims of the Statute as explained in the preamble and article 27 show clearly that the authors planned that even the high-ranking </w:t>
      </w:r>
      <w:r w:rsidR="009726B5">
        <w:rPr>
          <w:rFonts w:ascii="Times New Roman" w:hAnsi="Times New Roman" w:cs="Times New Roman"/>
          <w:sz w:val="24"/>
          <w:szCs w:val="24"/>
          <w:lang w:val="en-US"/>
        </w:rPr>
        <w:t>s</w:t>
      </w:r>
      <w:r w:rsidR="00722A14" w:rsidRPr="00DF1F13">
        <w:rPr>
          <w:rFonts w:ascii="Times New Roman" w:hAnsi="Times New Roman" w:cs="Times New Roman"/>
          <w:sz w:val="24"/>
          <w:szCs w:val="24"/>
          <w:lang w:val="en-US"/>
        </w:rPr>
        <w:t>tate representatives of parties to the ICC should not be excluded from the jurisdiction of the ICC. Also, the authors of the statute considered that international law immunities should not be an obstacle for the exercise of this jurisdiction by the ICC.</w:t>
      </w:r>
    </w:p>
    <w:p w14:paraId="4F2D5326" w14:textId="1652D4FB" w:rsidR="00CE0884" w:rsidRPr="00DF1F13" w:rsidRDefault="00CE0884"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Certainly, tenseness and pressure will occur from the detention by any state of the higher-ranking agents from another state, the fact that similar detention cannot be launched solely by the host state but should come behind an inquiry and demand by the court, and the fact that the </w:t>
      </w:r>
      <w:r w:rsidRPr="00DF1F13">
        <w:rPr>
          <w:rFonts w:ascii="Times New Roman" w:hAnsi="Times New Roman" w:cs="Times New Roman"/>
          <w:sz w:val="24"/>
          <w:szCs w:val="24"/>
          <w:lang w:val="en-US"/>
        </w:rPr>
        <w:lastRenderedPageBreak/>
        <w:t>state of those higher-ranking agents should be a party to the ICC, should decrease this tenseness to some extent.</w:t>
      </w:r>
    </w:p>
    <w:p w14:paraId="76FE1438" w14:textId="610113EE" w:rsidR="00697427" w:rsidRPr="00DF1F13" w:rsidRDefault="0001472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status of state parties and non-parties under Article 98 (2).</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If Article 98 (1) is relevant solely to agents of third countries, the question thus appears if the same applies to Article 98 (2).</w:t>
      </w:r>
      <w:r w:rsidR="004536E3" w:rsidRPr="00DF1F13">
        <w:rPr>
          <w:rFonts w:ascii="Times New Roman" w:hAnsi="Times New Roman" w:cs="Times New Roman"/>
          <w:sz w:val="24"/>
          <w:szCs w:val="24"/>
          <w:lang w:val="en-US"/>
        </w:rPr>
        <w:t xml:space="preserve"> By virtue of this provision, the ICC cannot act on a demand for surrender which would oblige the State in question to proceed in a manner that is incompatible with regards to its duties according to an international treaty under which the approval of a </w:t>
      </w:r>
      <w:r w:rsidR="009726B5">
        <w:rPr>
          <w:rFonts w:ascii="Times New Roman" w:hAnsi="Times New Roman" w:cs="Times New Roman"/>
          <w:sz w:val="24"/>
          <w:szCs w:val="24"/>
          <w:lang w:val="en-US"/>
        </w:rPr>
        <w:t>s</w:t>
      </w:r>
      <w:r w:rsidR="004536E3" w:rsidRPr="00DF1F13">
        <w:rPr>
          <w:rFonts w:ascii="Times New Roman" w:hAnsi="Times New Roman" w:cs="Times New Roman"/>
          <w:sz w:val="24"/>
          <w:szCs w:val="24"/>
          <w:lang w:val="en-US"/>
        </w:rPr>
        <w:t xml:space="preserve">ending </w:t>
      </w:r>
      <w:r w:rsidR="009726B5">
        <w:rPr>
          <w:rFonts w:ascii="Times New Roman" w:hAnsi="Times New Roman" w:cs="Times New Roman"/>
          <w:sz w:val="24"/>
          <w:szCs w:val="24"/>
          <w:lang w:val="en-US"/>
        </w:rPr>
        <w:t>s</w:t>
      </w:r>
      <w:r w:rsidR="004536E3" w:rsidRPr="00DF1F13">
        <w:rPr>
          <w:rFonts w:ascii="Times New Roman" w:hAnsi="Times New Roman" w:cs="Times New Roman"/>
          <w:sz w:val="24"/>
          <w:szCs w:val="24"/>
          <w:lang w:val="en-US"/>
        </w:rPr>
        <w:t xml:space="preserve">tate is needed to transfer an agent from that </w:t>
      </w:r>
      <w:r w:rsidR="009726B5">
        <w:rPr>
          <w:rFonts w:ascii="Times New Roman" w:hAnsi="Times New Roman" w:cs="Times New Roman"/>
          <w:sz w:val="24"/>
          <w:szCs w:val="24"/>
          <w:lang w:val="en-US"/>
        </w:rPr>
        <w:t>s</w:t>
      </w:r>
      <w:r w:rsidR="004536E3" w:rsidRPr="00DF1F13">
        <w:rPr>
          <w:rFonts w:ascii="Times New Roman" w:hAnsi="Times New Roman" w:cs="Times New Roman"/>
          <w:sz w:val="24"/>
          <w:szCs w:val="24"/>
          <w:lang w:val="en-US"/>
        </w:rPr>
        <w:t xml:space="preserve">tate to the </w:t>
      </w:r>
      <w:r w:rsidR="009726B5">
        <w:rPr>
          <w:rFonts w:ascii="Times New Roman" w:hAnsi="Times New Roman" w:cs="Times New Roman"/>
          <w:sz w:val="24"/>
          <w:szCs w:val="24"/>
          <w:lang w:val="en-US"/>
        </w:rPr>
        <w:t>C</w:t>
      </w:r>
      <w:r w:rsidR="004536E3" w:rsidRPr="00DF1F13">
        <w:rPr>
          <w:rFonts w:ascii="Times New Roman" w:hAnsi="Times New Roman" w:cs="Times New Roman"/>
          <w:sz w:val="24"/>
          <w:szCs w:val="24"/>
          <w:lang w:val="en-US"/>
        </w:rPr>
        <w:t>ourt</w:t>
      </w:r>
      <w:r w:rsidR="00697427" w:rsidRPr="00DF1F13">
        <w:rPr>
          <w:rFonts w:ascii="Times New Roman" w:hAnsi="Times New Roman" w:cs="Times New Roman"/>
          <w:sz w:val="24"/>
          <w:szCs w:val="24"/>
          <w:lang w:val="en-US"/>
        </w:rPr>
        <w:t xml:space="preserve">. </w:t>
      </w:r>
    </w:p>
    <w:p w14:paraId="052FA96D" w14:textId="6E8DBEB8" w:rsidR="00BF387A" w:rsidRPr="00DF1F13" w:rsidRDefault="0069742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Like the first section of Article 98, the second section aims to dodge a circumstance under which a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 that is addressed by the ICC with a demand for surrender or arrest is bring under a situation that is incompatible with its duties.</w:t>
      </w:r>
      <w:r w:rsidR="00BF387A" w:rsidRPr="00DF1F13">
        <w:rPr>
          <w:rFonts w:ascii="Times New Roman" w:hAnsi="Times New Roman" w:cs="Times New Roman"/>
          <w:sz w:val="24"/>
          <w:szCs w:val="24"/>
          <w:lang w:val="en-US"/>
        </w:rPr>
        <w:t xml:space="preserve"> Therefore, the provision of Article 98 (2) authorizes states to comply with convention duties banning the transfer of agents located in their territory and that are representing other states.</w:t>
      </w:r>
      <w:r w:rsidR="006A53CE" w:rsidRPr="00DF1F13">
        <w:rPr>
          <w:rStyle w:val="Znakapoznpodarou"/>
          <w:rFonts w:ascii="Times New Roman" w:hAnsi="Times New Roman" w:cs="Times New Roman"/>
          <w:sz w:val="24"/>
          <w:szCs w:val="24"/>
          <w:lang w:val="en-US"/>
        </w:rPr>
        <w:footnoteReference w:id="97"/>
      </w:r>
    </w:p>
    <w:p w14:paraId="67DCFB0E" w14:textId="44BC3043" w:rsidR="00600EE9" w:rsidRPr="00DF1F13" w:rsidRDefault="00DA74B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Specially, this section enables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tates to comply with the clause of Status of Forces Agreements (SOFA),</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that forbid States from apprehending the soldiers and other military staff of another </w:t>
      </w:r>
      <w:r w:rsidR="009726B5">
        <w:rPr>
          <w:rFonts w:ascii="Times New Roman" w:hAnsi="Times New Roman" w:cs="Times New Roman"/>
          <w:sz w:val="24"/>
          <w:szCs w:val="24"/>
          <w:lang w:val="en-US"/>
        </w:rPr>
        <w:t>s</w:t>
      </w:r>
      <w:r w:rsidRPr="00DF1F13">
        <w:rPr>
          <w:rFonts w:ascii="Times New Roman" w:hAnsi="Times New Roman" w:cs="Times New Roman"/>
          <w:sz w:val="24"/>
          <w:szCs w:val="24"/>
          <w:lang w:val="en-US"/>
        </w:rPr>
        <w:t>tate that are in their territory.</w:t>
      </w:r>
      <w:r w:rsidR="002A3C28" w:rsidRPr="00DF1F13">
        <w:rPr>
          <w:rStyle w:val="Znakapoznpodarou"/>
          <w:rFonts w:ascii="Times New Roman" w:hAnsi="Times New Roman" w:cs="Times New Roman"/>
          <w:sz w:val="24"/>
          <w:szCs w:val="24"/>
          <w:lang w:val="en-US"/>
        </w:rPr>
        <w:footnoteReference w:id="98"/>
      </w:r>
      <w:r w:rsidR="008262A7" w:rsidRPr="00DF1F13">
        <w:rPr>
          <w:rFonts w:ascii="Times New Roman" w:hAnsi="Times New Roman" w:cs="Times New Roman"/>
          <w:sz w:val="24"/>
          <w:szCs w:val="24"/>
          <w:lang w:val="en-US"/>
        </w:rPr>
        <w:t xml:space="preserve"> </w:t>
      </w:r>
      <w:r w:rsidR="007625E9" w:rsidRPr="00DF1F13">
        <w:rPr>
          <w:rFonts w:ascii="Times New Roman" w:hAnsi="Times New Roman" w:cs="Times New Roman"/>
          <w:sz w:val="24"/>
          <w:szCs w:val="24"/>
          <w:lang w:val="en-US"/>
        </w:rPr>
        <w:t>This clause can equally handle extradition treaties stipulating that an individual who has been extradited from a state to another cannot be re-extradited to a third state without the approval of the previous state.</w:t>
      </w:r>
      <w:r w:rsidR="007625E9" w:rsidRPr="00DF1F13">
        <w:rPr>
          <w:rStyle w:val="Znakapoznpodarou"/>
          <w:rFonts w:ascii="Times New Roman" w:hAnsi="Times New Roman" w:cs="Times New Roman"/>
          <w:sz w:val="24"/>
          <w:szCs w:val="24"/>
          <w:lang w:val="en-US"/>
        </w:rPr>
        <w:footnoteReference w:id="99"/>
      </w:r>
      <w:r w:rsidR="00600EE9" w:rsidRPr="00DF1F13">
        <w:rPr>
          <w:rFonts w:ascii="Times New Roman" w:hAnsi="Times New Roman" w:cs="Times New Roman"/>
          <w:sz w:val="24"/>
          <w:szCs w:val="24"/>
          <w:lang w:val="en-US"/>
        </w:rPr>
        <w:t xml:space="preserve"> </w:t>
      </w:r>
    </w:p>
    <w:p w14:paraId="1F1B6A51" w14:textId="47CDAE81" w:rsidR="00600EE9" w:rsidRPr="00DF1F13" w:rsidRDefault="00600EE9"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is it possible for a state party to the statute to invoke Article 98 (2) to preclude other states from handing over agent from the state party to the court?</w:t>
      </w:r>
    </w:p>
    <w:p w14:paraId="4718ECC9" w14:textId="10D58A38" w:rsidR="00B93E2B" w:rsidRPr="00DF1F13" w:rsidRDefault="00022172"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This issue is of great significance since many state parties to the court have entered treaties with other states (mostly the United States of America) expressly stipulating that no party can send individuals of a state party, located in the territory of the other, to the court without the approval of the other party.</w:t>
      </w:r>
      <w:r w:rsidR="00020BA3" w:rsidRPr="00DF1F13">
        <w:rPr>
          <w:rStyle w:val="Znakapoznpodarou"/>
          <w:rFonts w:ascii="Times New Roman" w:hAnsi="Times New Roman" w:cs="Times New Roman"/>
          <w:sz w:val="24"/>
          <w:szCs w:val="24"/>
          <w:lang w:val="en-US"/>
        </w:rPr>
        <w:footnoteReference w:id="100"/>
      </w:r>
      <w:r w:rsidR="00B93E2B" w:rsidRPr="00DF1F13">
        <w:rPr>
          <w:rFonts w:ascii="Times New Roman" w:hAnsi="Times New Roman" w:cs="Times New Roman"/>
          <w:sz w:val="24"/>
          <w:szCs w:val="24"/>
          <w:lang w:val="en-US"/>
        </w:rPr>
        <w:t xml:space="preserve"> As Article 98 (2)</w:t>
      </w:r>
      <w:r w:rsidR="00B93E2B" w:rsidRPr="00DF1F13">
        <w:rPr>
          <w:rFonts w:ascii="Times New Roman" w:hAnsi="Times New Roman" w:cs="Times New Roman"/>
          <w:lang w:val="en-US"/>
        </w:rPr>
        <w:t xml:space="preserve"> </w:t>
      </w:r>
      <w:r w:rsidR="00B93E2B" w:rsidRPr="00DF1F13">
        <w:rPr>
          <w:rFonts w:ascii="Times New Roman" w:hAnsi="Times New Roman" w:cs="Times New Roman"/>
          <w:sz w:val="24"/>
          <w:szCs w:val="24"/>
          <w:lang w:val="en-US"/>
        </w:rPr>
        <w:t xml:space="preserve">is talking solely about treaty that needs the approval of </w:t>
      </w:r>
      <w:r w:rsidR="00B93E2B" w:rsidRPr="00DF1F13">
        <w:rPr>
          <w:rFonts w:ascii="Times New Roman" w:hAnsi="Times New Roman" w:cs="Times New Roman"/>
          <w:sz w:val="24"/>
          <w:szCs w:val="24"/>
          <w:lang w:val="en-US"/>
        </w:rPr>
        <w:lastRenderedPageBreak/>
        <w:t xml:space="preserve">the “sending </w:t>
      </w:r>
      <w:r w:rsidR="009726B5">
        <w:rPr>
          <w:rFonts w:ascii="Times New Roman" w:hAnsi="Times New Roman" w:cs="Times New Roman"/>
          <w:sz w:val="24"/>
          <w:szCs w:val="24"/>
          <w:lang w:val="en-US"/>
        </w:rPr>
        <w:t>s</w:t>
      </w:r>
      <w:r w:rsidR="00B93E2B" w:rsidRPr="00DF1F13">
        <w:rPr>
          <w:rFonts w:ascii="Times New Roman" w:hAnsi="Times New Roman" w:cs="Times New Roman"/>
          <w:sz w:val="24"/>
          <w:szCs w:val="24"/>
          <w:lang w:val="en-US"/>
        </w:rPr>
        <w:t>tate” for surrender to the court, but the United States of America treaties (as long as they apply to individuals who have not been "sent") are not treated by this provision. "</w:t>
      </w:r>
      <w:r w:rsidR="00B93E2B" w:rsidRPr="00DF1F13">
        <w:rPr>
          <w:rStyle w:val="Znakapoznpodarou"/>
          <w:rFonts w:ascii="Times New Roman" w:hAnsi="Times New Roman" w:cs="Times New Roman"/>
          <w:sz w:val="24"/>
          <w:szCs w:val="24"/>
          <w:lang w:val="en-US"/>
        </w:rPr>
        <w:footnoteReference w:id="101"/>
      </w:r>
    </w:p>
    <w:p w14:paraId="6C8EC588" w14:textId="77777777" w:rsidR="003F2967" w:rsidRPr="00DF1F13" w:rsidRDefault="003F296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Consequently, the ICC is allowed to demand the arrest of individuals who were not sent, nevertheless the state party to the statute is linked by the agreement with the United States of America not to send the individual.</w:t>
      </w:r>
    </w:p>
    <w:p w14:paraId="595AB54F" w14:textId="1DD3500E" w:rsidR="00F607DC" w:rsidRPr="00DF1F13" w:rsidRDefault="00EE2C20"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Furthermore, this kind of treaty has been reached for the interest of several states that are parties to the Rome statute with other states different from the United States of America.</w:t>
      </w:r>
      <w:r w:rsidR="000D7909" w:rsidRPr="00DF1F13">
        <w:rPr>
          <w:rFonts w:ascii="Times New Roman" w:hAnsi="Times New Roman" w:cs="Times New Roman"/>
          <w:sz w:val="24"/>
          <w:szCs w:val="24"/>
          <w:lang w:val="en-US"/>
        </w:rPr>
        <w:t xml:space="preserve"> According to the Military Technical Agreement among the International Security Assistance Force (ISAF) and the </w:t>
      </w:r>
      <w:r w:rsidR="0085187B" w:rsidRPr="00DF1F13">
        <w:rPr>
          <w:rFonts w:ascii="Times New Roman" w:hAnsi="Times New Roman" w:cs="Times New Roman"/>
          <w:sz w:val="24"/>
          <w:szCs w:val="24"/>
          <w:lang w:val="en-US"/>
        </w:rPr>
        <w:t xml:space="preserve">Interim </w:t>
      </w:r>
      <w:r w:rsidR="000D7909" w:rsidRPr="00DF1F13">
        <w:rPr>
          <w:rFonts w:ascii="Times New Roman" w:hAnsi="Times New Roman" w:cs="Times New Roman"/>
          <w:sz w:val="24"/>
          <w:szCs w:val="24"/>
          <w:lang w:val="en-US"/>
        </w:rPr>
        <w:t>Administration of Afghanistan,</w:t>
      </w:r>
      <w:r w:rsidR="000D7909" w:rsidRPr="00DF1F13">
        <w:rPr>
          <w:rFonts w:ascii="Times New Roman" w:hAnsi="Times New Roman" w:cs="Times New Roman"/>
          <w:lang w:val="en-US"/>
        </w:rPr>
        <w:t xml:space="preserve"> </w:t>
      </w:r>
      <w:r w:rsidR="000D7909" w:rsidRPr="00DF1F13">
        <w:rPr>
          <w:rFonts w:ascii="Times New Roman" w:hAnsi="Times New Roman" w:cs="Times New Roman"/>
          <w:sz w:val="24"/>
          <w:szCs w:val="24"/>
          <w:lang w:val="en-US"/>
        </w:rPr>
        <w:t>Afghanistan has approved not to hand over ISAF agent to any international court in the absence of the explicit approval of the participating state.</w:t>
      </w:r>
      <w:r w:rsidR="0085187B" w:rsidRPr="00DF1F13">
        <w:rPr>
          <w:rStyle w:val="Znakapoznpodarou"/>
          <w:rFonts w:ascii="Times New Roman" w:hAnsi="Times New Roman" w:cs="Times New Roman"/>
          <w:sz w:val="24"/>
          <w:szCs w:val="24"/>
          <w:lang w:val="en-US"/>
        </w:rPr>
        <w:footnoteReference w:id="102"/>
      </w:r>
      <w:r w:rsidR="00F607DC" w:rsidRPr="00DF1F13">
        <w:rPr>
          <w:rFonts w:ascii="Times New Roman" w:hAnsi="Times New Roman" w:cs="Times New Roman"/>
          <w:sz w:val="24"/>
          <w:szCs w:val="24"/>
          <w:lang w:val="en-US"/>
        </w:rPr>
        <w:t>While signing this Military Technical Agreement, several of the ISAF member states were parties to the court, and that continue</w:t>
      </w:r>
      <w:r w:rsidR="009E1C96">
        <w:rPr>
          <w:rFonts w:ascii="Times New Roman" w:hAnsi="Times New Roman" w:cs="Times New Roman"/>
          <w:sz w:val="24"/>
          <w:szCs w:val="24"/>
          <w:lang w:val="en-US"/>
        </w:rPr>
        <w:t>s</w:t>
      </w:r>
      <w:r w:rsidR="00F607DC" w:rsidRPr="00DF1F13">
        <w:rPr>
          <w:rFonts w:ascii="Times New Roman" w:hAnsi="Times New Roman" w:cs="Times New Roman"/>
          <w:sz w:val="24"/>
          <w:szCs w:val="24"/>
          <w:lang w:val="en-US"/>
        </w:rPr>
        <w:t xml:space="preserve"> to </w:t>
      </w:r>
      <w:r w:rsidR="009E1C96">
        <w:rPr>
          <w:rFonts w:ascii="Times New Roman" w:hAnsi="Times New Roman" w:cs="Times New Roman"/>
          <w:sz w:val="24"/>
          <w:szCs w:val="24"/>
          <w:lang w:val="en-US"/>
        </w:rPr>
        <w:t>be</w:t>
      </w:r>
      <w:r w:rsidR="00F607DC" w:rsidRPr="00DF1F13">
        <w:rPr>
          <w:rFonts w:ascii="Times New Roman" w:hAnsi="Times New Roman" w:cs="Times New Roman"/>
          <w:sz w:val="24"/>
          <w:szCs w:val="24"/>
          <w:lang w:val="en-US"/>
        </w:rPr>
        <w:t xml:space="preserve"> the</w:t>
      </w:r>
      <w:r w:rsidR="009E1C96">
        <w:rPr>
          <w:rFonts w:ascii="Times New Roman" w:hAnsi="Times New Roman" w:cs="Times New Roman"/>
          <w:sz w:val="24"/>
          <w:szCs w:val="24"/>
          <w:lang w:val="en-US"/>
        </w:rPr>
        <w:t xml:space="preserve"> same situation</w:t>
      </w:r>
      <w:r w:rsidR="00F607DC" w:rsidRPr="00DF1F13">
        <w:rPr>
          <w:rFonts w:ascii="Times New Roman" w:hAnsi="Times New Roman" w:cs="Times New Roman"/>
          <w:sz w:val="24"/>
          <w:szCs w:val="24"/>
          <w:lang w:val="en-US"/>
        </w:rPr>
        <w:t xml:space="preserve"> later.</w:t>
      </w:r>
      <w:r w:rsidR="00F607DC" w:rsidRPr="00DF1F13">
        <w:rPr>
          <w:rStyle w:val="Znakapoznpodarou"/>
          <w:rFonts w:ascii="Times New Roman" w:hAnsi="Times New Roman" w:cs="Times New Roman"/>
          <w:sz w:val="24"/>
          <w:szCs w:val="24"/>
          <w:lang w:val="en-US"/>
        </w:rPr>
        <w:footnoteReference w:id="103"/>
      </w:r>
    </w:p>
    <w:p w14:paraId="2764435F" w14:textId="77777777" w:rsidR="009B7C7D" w:rsidRPr="00DF1F13" w:rsidRDefault="00F31B8E"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main concluding remark that can be established from such agreements is the fact that some state parties to the Rome statute believe that ICC parties can refer to agreements mentioned by Article 98 (2).</w:t>
      </w:r>
      <w:r w:rsidRPr="00DF1F13">
        <w:rPr>
          <w:rStyle w:val="Znakapoznpodarou"/>
          <w:rFonts w:ascii="Times New Roman" w:hAnsi="Times New Roman" w:cs="Times New Roman"/>
          <w:sz w:val="24"/>
          <w:szCs w:val="24"/>
          <w:lang w:val="en-US"/>
        </w:rPr>
        <w:footnoteReference w:id="104"/>
      </w:r>
      <w:r w:rsidR="00F00024" w:rsidRPr="00DF1F13">
        <w:rPr>
          <w:rFonts w:ascii="Times New Roman" w:hAnsi="Times New Roman" w:cs="Times New Roman"/>
          <w:sz w:val="24"/>
          <w:szCs w:val="24"/>
          <w:lang w:val="en-US"/>
        </w:rPr>
        <w:t xml:space="preserve"> A few commentators have asserted that merely agreements in the profit of state parties to the court are covered by this provision.</w:t>
      </w:r>
      <w:r w:rsidR="000458E3" w:rsidRPr="00DF1F13">
        <w:rPr>
          <w:rStyle w:val="Znakapoznpodarou"/>
          <w:rFonts w:ascii="Times New Roman" w:hAnsi="Times New Roman" w:cs="Times New Roman"/>
          <w:sz w:val="24"/>
          <w:szCs w:val="24"/>
          <w:lang w:val="en-US"/>
        </w:rPr>
        <w:footnoteReference w:id="105"/>
      </w:r>
    </w:p>
    <w:p w14:paraId="6EA18675" w14:textId="038AA630" w:rsidR="009B7C7D" w:rsidRPr="00DF1F13" w:rsidRDefault="009B7C7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As mentioned above</w:t>
      </w:r>
      <w:r w:rsidRPr="00DF1F13">
        <w:rPr>
          <w:rStyle w:val="Znakapoznpodarou"/>
          <w:rFonts w:ascii="Times New Roman" w:hAnsi="Times New Roman" w:cs="Times New Roman"/>
          <w:sz w:val="24"/>
          <w:szCs w:val="24"/>
          <w:lang w:val="en-US"/>
        </w:rPr>
        <w:footnoteReference w:id="106"/>
      </w:r>
      <w:r w:rsidRPr="00DF1F13">
        <w:rPr>
          <w:rFonts w:ascii="Times New Roman" w:hAnsi="Times New Roman" w:cs="Times New Roman"/>
          <w:sz w:val="24"/>
          <w:szCs w:val="24"/>
          <w:lang w:val="en-US"/>
        </w:rPr>
        <w:t>, the opinion according to which the agreements in favor of third parties are not included in Article 98 (2) is not</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admitted.</w:t>
      </w:r>
    </w:p>
    <w:p w14:paraId="62029FD1" w14:textId="077B07D3" w:rsidR="003571E6" w:rsidRPr="00DF1F13" w:rsidRDefault="003571E6"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Rome Statute cannot go beyond the rights of state that are non-parties. Furthermore, three justifications show the relevance of interpreting Article 98 (2) also Article 98 (1) as in favor solely of states that are non-parties to the statute.</w:t>
      </w:r>
    </w:p>
    <w:p w14:paraId="446DC374" w14:textId="2DFB0562" w:rsidR="007028F0" w:rsidRPr="00DF1F13" w:rsidRDefault="003439C7"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First, the purposes explained above</w:t>
      </w:r>
      <w:r w:rsidR="00BE31DC" w:rsidRPr="00DF1F13">
        <w:rPr>
          <w:rFonts w:ascii="Times New Roman" w:hAnsi="Times New Roman" w:cs="Times New Roman"/>
          <w:sz w:val="24"/>
          <w:szCs w:val="24"/>
          <w:lang w:val="en-US"/>
        </w:rPr>
        <w:t xml:space="preserve"> </w:t>
      </w:r>
      <w:r w:rsidRPr="00DF1F13">
        <w:rPr>
          <w:rFonts w:ascii="Times New Roman" w:hAnsi="Times New Roman" w:cs="Times New Roman"/>
          <w:sz w:val="24"/>
          <w:szCs w:val="24"/>
          <w:lang w:val="en-US"/>
        </w:rPr>
        <w:t>for interpreting Article 98 (1) likewise apply to agreements mentioned by Article 98 (2) that grant immunity based on official standing (e.g., SOFAS).</w:t>
      </w:r>
      <w:r w:rsidR="003D4371" w:rsidRPr="00DF1F13">
        <w:rPr>
          <w:rStyle w:val="Znakapoznpodarou"/>
          <w:rFonts w:ascii="Times New Roman" w:hAnsi="Times New Roman" w:cs="Times New Roman"/>
          <w:sz w:val="24"/>
          <w:szCs w:val="24"/>
          <w:lang w:val="en-US"/>
        </w:rPr>
        <w:footnoteReference w:id="107"/>
      </w:r>
    </w:p>
    <w:p w14:paraId="59A92CD1" w14:textId="2C235368" w:rsidR="00FE16A1" w:rsidRPr="00DF1F13" w:rsidRDefault="007028F0"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Second, the substantial grade of encroachment between both provisions imply that they should be taken in uniform</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reading.</w:t>
      </w:r>
      <w:r w:rsidR="004007A6" w:rsidRPr="00DF1F13">
        <w:rPr>
          <w:rFonts w:ascii="Times New Roman" w:hAnsi="Times New Roman" w:cs="Times New Roman"/>
          <w:sz w:val="24"/>
          <w:szCs w:val="24"/>
          <w:lang w:val="en-US"/>
        </w:rPr>
        <w:t xml:space="preserve"> The encroachment occurs since treaties granting state or diplomatic immunities obviously drop into the wording of Article 98 (2).</w:t>
      </w:r>
      <w:r w:rsidR="00C47295" w:rsidRPr="00DF1F13">
        <w:rPr>
          <w:rFonts w:ascii="Times New Roman" w:hAnsi="Times New Roman" w:cs="Times New Roman"/>
          <w:sz w:val="24"/>
          <w:szCs w:val="24"/>
          <w:lang w:val="en-US"/>
        </w:rPr>
        <w:t xml:space="preserve"> No matter the aim of the authors of the Rome statute, there is no doubt that the </w:t>
      </w:r>
      <w:bookmarkStart w:id="39" w:name="_Hlk81430762"/>
      <w:r w:rsidR="00C47295" w:rsidRPr="00DF1F13">
        <w:rPr>
          <w:rFonts w:ascii="Times New Roman" w:hAnsi="Times New Roman" w:cs="Times New Roman"/>
          <w:sz w:val="24"/>
          <w:szCs w:val="24"/>
          <w:lang w:val="en-US"/>
        </w:rPr>
        <w:t xml:space="preserve">Vienna Convention on Diplomatic Relations of 1961 </w:t>
      </w:r>
      <w:bookmarkEnd w:id="39"/>
      <w:r w:rsidR="00C47295" w:rsidRPr="00DF1F13">
        <w:rPr>
          <w:rFonts w:ascii="Times New Roman" w:hAnsi="Times New Roman" w:cs="Times New Roman"/>
          <w:sz w:val="24"/>
          <w:szCs w:val="24"/>
          <w:lang w:val="en-US"/>
        </w:rPr>
        <w:t xml:space="preserve">and the </w:t>
      </w:r>
      <w:bookmarkStart w:id="40" w:name="_Hlk81430794"/>
      <w:r w:rsidR="00C47295" w:rsidRPr="00DF1F13">
        <w:rPr>
          <w:rFonts w:ascii="Times New Roman" w:hAnsi="Times New Roman" w:cs="Times New Roman"/>
          <w:sz w:val="24"/>
          <w:szCs w:val="24"/>
          <w:lang w:val="en-US"/>
        </w:rPr>
        <w:t xml:space="preserve">United Nations Convention on Special Missions of 1969 </w:t>
      </w:r>
      <w:bookmarkEnd w:id="40"/>
      <w:r w:rsidR="00C47295" w:rsidRPr="00DF1F13">
        <w:rPr>
          <w:rFonts w:ascii="Times New Roman" w:hAnsi="Times New Roman" w:cs="Times New Roman"/>
          <w:sz w:val="24"/>
          <w:szCs w:val="24"/>
          <w:lang w:val="en-US"/>
        </w:rPr>
        <w:t xml:space="preserve">are "international treaties under which the consent of a sending </w:t>
      </w:r>
      <w:r w:rsidR="009726B5">
        <w:rPr>
          <w:rFonts w:ascii="Times New Roman" w:hAnsi="Times New Roman" w:cs="Times New Roman"/>
          <w:sz w:val="24"/>
          <w:szCs w:val="24"/>
          <w:lang w:val="en-US"/>
        </w:rPr>
        <w:t>s</w:t>
      </w:r>
      <w:r w:rsidR="00C47295" w:rsidRPr="00DF1F13">
        <w:rPr>
          <w:rFonts w:ascii="Times New Roman" w:hAnsi="Times New Roman" w:cs="Times New Roman"/>
          <w:sz w:val="24"/>
          <w:szCs w:val="24"/>
          <w:lang w:val="en-US"/>
        </w:rPr>
        <w:t xml:space="preserve">tate is needed to send a person of such </w:t>
      </w:r>
      <w:r w:rsidR="009726B5">
        <w:rPr>
          <w:rFonts w:ascii="Times New Roman" w:hAnsi="Times New Roman" w:cs="Times New Roman"/>
          <w:sz w:val="24"/>
          <w:szCs w:val="24"/>
          <w:lang w:val="en-US"/>
        </w:rPr>
        <w:t>s</w:t>
      </w:r>
      <w:r w:rsidR="00C47295" w:rsidRPr="00DF1F13">
        <w:rPr>
          <w:rFonts w:ascii="Times New Roman" w:hAnsi="Times New Roman" w:cs="Times New Roman"/>
          <w:sz w:val="24"/>
          <w:szCs w:val="24"/>
          <w:lang w:val="en-US"/>
        </w:rPr>
        <w:t>tate to the ICC.</w:t>
      </w:r>
      <w:r w:rsidR="00C47295" w:rsidRPr="00DF1F13">
        <w:rPr>
          <w:rStyle w:val="Znakapoznpodarou"/>
          <w:rFonts w:ascii="Times New Roman" w:hAnsi="Times New Roman" w:cs="Times New Roman"/>
          <w:sz w:val="24"/>
          <w:szCs w:val="24"/>
          <w:lang w:val="en-US"/>
        </w:rPr>
        <w:footnoteReference w:id="108"/>
      </w:r>
      <w:r w:rsidR="00FE16A1" w:rsidRPr="00DF1F13">
        <w:rPr>
          <w:rFonts w:ascii="Times New Roman" w:hAnsi="Times New Roman" w:cs="Times New Roman"/>
          <w:sz w:val="24"/>
          <w:szCs w:val="24"/>
          <w:lang w:val="en-US"/>
        </w:rPr>
        <w:t xml:space="preserve"> Consequently, presuming that Article 98 (2) is not restricted to states that are non-parties, the restriction of Article 98 (1) to non-parties can be simply prevented by invoking Article 98 (2)</w:t>
      </w:r>
      <w:r w:rsidR="00FE16A1" w:rsidRPr="00DF1F13">
        <w:rPr>
          <w:rFonts w:ascii="Times New Roman" w:hAnsi="Times New Roman" w:cs="Times New Roman"/>
          <w:lang w:val="en-US"/>
        </w:rPr>
        <w:t xml:space="preserve"> </w:t>
      </w:r>
      <w:r w:rsidR="00FE16A1" w:rsidRPr="00DF1F13">
        <w:rPr>
          <w:rFonts w:ascii="Times New Roman" w:hAnsi="Times New Roman" w:cs="Times New Roman"/>
          <w:sz w:val="24"/>
          <w:szCs w:val="24"/>
          <w:lang w:val="en-US"/>
        </w:rPr>
        <w:t>rather.</w:t>
      </w:r>
    </w:p>
    <w:p w14:paraId="6677C5DD" w14:textId="67AFB2E5" w:rsidR="00014F40" w:rsidRPr="00DF1F13" w:rsidRDefault="0095540F"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Third, to read article 98 (2) as expanding to state parties to the </w:t>
      </w:r>
      <w:r w:rsidR="00F6028F">
        <w:rPr>
          <w:rFonts w:ascii="Times New Roman" w:hAnsi="Times New Roman" w:cs="Times New Roman"/>
          <w:sz w:val="24"/>
          <w:szCs w:val="24"/>
          <w:lang w:val="en-US"/>
        </w:rPr>
        <w:t>C</w:t>
      </w:r>
      <w:r w:rsidRPr="00DF1F13">
        <w:rPr>
          <w:rFonts w:ascii="Times New Roman" w:hAnsi="Times New Roman" w:cs="Times New Roman"/>
          <w:sz w:val="24"/>
          <w:szCs w:val="24"/>
          <w:lang w:val="en-US"/>
        </w:rPr>
        <w:t xml:space="preserve">ourt when article 98 (1) does not conduct to the patently meaningless result that soldiers of parties and extradited individuals cannot be handed over to the </w:t>
      </w:r>
      <w:r w:rsidR="00F6028F">
        <w:rPr>
          <w:rFonts w:ascii="Times New Roman" w:hAnsi="Times New Roman" w:cs="Times New Roman"/>
          <w:sz w:val="24"/>
          <w:szCs w:val="24"/>
          <w:lang w:val="en-US"/>
        </w:rPr>
        <w:t>C</w:t>
      </w:r>
      <w:r w:rsidRPr="00DF1F13">
        <w:rPr>
          <w:rFonts w:ascii="Times New Roman" w:hAnsi="Times New Roman" w:cs="Times New Roman"/>
          <w:sz w:val="24"/>
          <w:szCs w:val="24"/>
          <w:lang w:val="en-US"/>
        </w:rPr>
        <w:t>ourt (due to SOFA and extradition agreements included in article 98, paragraph 2).</w:t>
      </w:r>
      <w:r w:rsidR="00DF1F13">
        <w:rPr>
          <w:rFonts w:ascii="Times New Roman" w:hAnsi="Times New Roman" w:cs="Times New Roman"/>
          <w:sz w:val="24"/>
          <w:szCs w:val="24"/>
          <w:lang w:val="en-US"/>
        </w:rPr>
        <w:t xml:space="preserve"> </w:t>
      </w:r>
      <w:r w:rsidR="00014F40" w:rsidRPr="00DF1F13">
        <w:rPr>
          <w:rFonts w:ascii="Times New Roman" w:hAnsi="Times New Roman" w:cs="Times New Roman"/>
          <w:sz w:val="24"/>
          <w:szCs w:val="24"/>
          <w:lang w:val="en-US"/>
        </w:rPr>
        <w:t>Therefore, a reading of Article 98 (2) in its real wording, illuminates the reading given to article 98 (1), and should conduct to the conclusion that solely agreements in favor of nonparties to the Rome statute fall under the framework of article 98, paragraph 2.</w:t>
      </w:r>
    </w:p>
    <w:p w14:paraId="1F0EE290" w14:textId="675D3FBA" w:rsidR="0080746D" w:rsidRPr="00DF1F13" w:rsidRDefault="007545D3"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To conclude this analysis of Article 98, paragraph 2,</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It should be reported that agreements demanding the approval of a state for sending an individual to the </w:t>
      </w:r>
      <w:r w:rsidR="00F6028F">
        <w:rPr>
          <w:rFonts w:ascii="Times New Roman" w:hAnsi="Times New Roman" w:cs="Times New Roman"/>
          <w:sz w:val="24"/>
          <w:szCs w:val="24"/>
          <w:lang w:val="en-US"/>
        </w:rPr>
        <w:t>C</w:t>
      </w:r>
      <w:r w:rsidRPr="00DF1F13">
        <w:rPr>
          <w:rFonts w:ascii="Times New Roman" w:hAnsi="Times New Roman" w:cs="Times New Roman"/>
          <w:sz w:val="24"/>
          <w:szCs w:val="24"/>
          <w:lang w:val="en-US"/>
        </w:rPr>
        <w:t xml:space="preserve">ourt do not fall under the framework of this provision (as an example, the United States of America agreements or other kind of treaties aimed at state parties to the statute) can nonetheless be juridically efficient in precluding any surrender to the </w:t>
      </w:r>
      <w:r w:rsidR="00F6028F">
        <w:rPr>
          <w:rFonts w:ascii="Times New Roman" w:hAnsi="Times New Roman" w:cs="Times New Roman"/>
          <w:sz w:val="24"/>
          <w:szCs w:val="24"/>
          <w:lang w:val="en-US"/>
        </w:rPr>
        <w:t>C</w:t>
      </w:r>
      <w:r w:rsidRPr="00DF1F13">
        <w:rPr>
          <w:rFonts w:ascii="Times New Roman" w:hAnsi="Times New Roman" w:cs="Times New Roman"/>
          <w:sz w:val="24"/>
          <w:szCs w:val="24"/>
          <w:lang w:val="en-US"/>
        </w:rPr>
        <w:t>ourt.</w:t>
      </w:r>
    </w:p>
    <w:p w14:paraId="2B73EB2D" w14:textId="6F2E000E" w:rsidR="0044721C" w:rsidRPr="00DF1F13" w:rsidRDefault="0080746D" w:rsidP="00DF1F13">
      <w:pPr>
        <w:pStyle w:val="Nadpis1"/>
        <w:spacing w:after="240"/>
        <w:ind w:left="170" w:right="113"/>
        <w:jc w:val="both"/>
        <w:rPr>
          <w:rFonts w:ascii="Times New Roman" w:hAnsi="Times New Roman" w:cs="Times New Roman"/>
          <w:b/>
          <w:color w:val="auto"/>
          <w:sz w:val="24"/>
          <w:szCs w:val="24"/>
        </w:rPr>
      </w:pPr>
      <w:bookmarkStart w:id="41" w:name="_Toc109340802"/>
      <w:r w:rsidRPr="00DF1F13">
        <w:rPr>
          <w:rFonts w:ascii="Times New Roman" w:hAnsi="Times New Roman" w:cs="Times New Roman"/>
          <w:b/>
          <w:color w:val="auto"/>
        </w:rPr>
        <w:t xml:space="preserve">3.3 </w:t>
      </w:r>
      <w:r w:rsidR="0044721C" w:rsidRPr="00DF1F13">
        <w:rPr>
          <w:rFonts w:ascii="Times New Roman" w:hAnsi="Times New Roman" w:cs="Times New Roman"/>
          <w:b/>
          <w:color w:val="auto"/>
        </w:rPr>
        <w:t xml:space="preserve">Who Decides Whether a </w:t>
      </w:r>
      <w:r w:rsidR="00C20C04">
        <w:rPr>
          <w:rFonts w:ascii="Times New Roman" w:hAnsi="Times New Roman" w:cs="Times New Roman"/>
          <w:b/>
          <w:color w:val="auto"/>
        </w:rPr>
        <w:t>P</w:t>
      </w:r>
      <w:r w:rsidR="0044721C" w:rsidRPr="00DF1F13">
        <w:rPr>
          <w:rFonts w:ascii="Times New Roman" w:hAnsi="Times New Roman" w:cs="Times New Roman"/>
          <w:b/>
          <w:color w:val="auto"/>
        </w:rPr>
        <w:t xml:space="preserve">erson is </w:t>
      </w:r>
      <w:r w:rsidR="00C20C04">
        <w:rPr>
          <w:rFonts w:ascii="Times New Roman" w:hAnsi="Times New Roman" w:cs="Times New Roman"/>
          <w:b/>
          <w:color w:val="auto"/>
        </w:rPr>
        <w:t>E</w:t>
      </w:r>
      <w:r w:rsidR="0044721C" w:rsidRPr="00DF1F13">
        <w:rPr>
          <w:rFonts w:ascii="Times New Roman" w:hAnsi="Times New Roman" w:cs="Times New Roman"/>
          <w:b/>
          <w:color w:val="auto"/>
        </w:rPr>
        <w:t>ntitled to Immunity in Another State?</w:t>
      </w:r>
      <w:bookmarkEnd w:id="41"/>
    </w:p>
    <w:p w14:paraId="74824017" w14:textId="4310DAFC" w:rsidR="0052686A" w:rsidRPr="00DF1F13" w:rsidRDefault="008D0D8D"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A last issue that should be resolved with regards to article 98 is: who determines if an individual wanted by the </w:t>
      </w:r>
      <w:r w:rsidR="006503A1">
        <w:rPr>
          <w:rFonts w:ascii="Times New Roman" w:hAnsi="Times New Roman" w:cs="Times New Roman"/>
          <w:sz w:val="24"/>
          <w:szCs w:val="24"/>
          <w:lang w:val="en-US"/>
        </w:rPr>
        <w:t>C</w:t>
      </w:r>
      <w:r w:rsidRPr="00DF1F13">
        <w:rPr>
          <w:rFonts w:ascii="Times New Roman" w:hAnsi="Times New Roman" w:cs="Times New Roman"/>
          <w:sz w:val="24"/>
          <w:szCs w:val="24"/>
          <w:lang w:val="en-US"/>
        </w:rPr>
        <w:t xml:space="preserve">ourt is granted state or diplomatic immunity or is protected by a treaty </w:t>
      </w:r>
      <w:r w:rsidRPr="00DF1F13">
        <w:rPr>
          <w:rFonts w:ascii="Times New Roman" w:hAnsi="Times New Roman" w:cs="Times New Roman"/>
          <w:sz w:val="24"/>
          <w:szCs w:val="24"/>
          <w:lang w:val="en-US"/>
        </w:rPr>
        <w:lastRenderedPageBreak/>
        <w:t xml:space="preserve">prohibiting surrender? Should this choice be determined by the </w:t>
      </w:r>
      <w:r w:rsidR="006503A1">
        <w:rPr>
          <w:rFonts w:ascii="Times New Roman" w:hAnsi="Times New Roman" w:cs="Times New Roman"/>
          <w:sz w:val="24"/>
          <w:szCs w:val="24"/>
          <w:lang w:val="en-US"/>
        </w:rPr>
        <w:t>C</w:t>
      </w:r>
      <w:r w:rsidRPr="00DF1F13">
        <w:rPr>
          <w:rFonts w:ascii="Times New Roman" w:hAnsi="Times New Roman" w:cs="Times New Roman"/>
          <w:sz w:val="24"/>
          <w:szCs w:val="24"/>
          <w:lang w:val="en-US"/>
        </w:rPr>
        <w:t>ourt or by the state in which the individual is located?</w:t>
      </w:r>
      <w:r w:rsidR="00E10115" w:rsidRPr="00DF1F13">
        <w:rPr>
          <w:rFonts w:ascii="Times New Roman" w:hAnsi="Times New Roman" w:cs="Times New Roman"/>
          <w:sz w:val="24"/>
          <w:szCs w:val="24"/>
          <w:lang w:val="en-US"/>
        </w:rPr>
        <w:t xml:space="preserve"> Moreover, if the </w:t>
      </w:r>
      <w:r w:rsidR="006503A1">
        <w:rPr>
          <w:rFonts w:ascii="Times New Roman" w:hAnsi="Times New Roman" w:cs="Times New Roman"/>
          <w:sz w:val="24"/>
          <w:szCs w:val="24"/>
          <w:lang w:val="en-US"/>
        </w:rPr>
        <w:t>C</w:t>
      </w:r>
      <w:r w:rsidR="00E10115" w:rsidRPr="00DF1F13">
        <w:rPr>
          <w:rFonts w:ascii="Times New Roman" w:hAnsi="Times New Roman" w:cs="Times New Roman"/>
          <w:sz w:val="24"/>
          <w:szCs w:val="24"/>
          <w:lang w:val="en-US"/>
        </w:rPr>
        <w:t xml:space="preserve">ourt must determine this choice, by which process should it do so, and will such option be compulsory for the </w:t>
      </w:r>
      <w:r w:rsidR="006503A1">
        <w:rPr>
          <w:rFonts w:ascii="Times New Roman" w:hAnsi="Times New Roman" w:cs="Times New Roman"/>
          <w:sz w:val="24"/>
          <w:szCs w:val="24"/>
          <w:lang w:val="en-US"/>
        </w:rPr>
        <w:t>s</w:t>
      </w:r>
      <w:r w:rsidR="00E10115" w:rsidRPr="00DF1F13">
        <w:rPr>
          <w:rFonts w:ascii="Times New Roman" w:hAnsi="Times New Roman" w:cs="Times New Roman"/>
          <w:sz w:val="24"/>
          <w:szCs w:val="24"/>
          <w:lang w:val="en-US"/>
        </w:rPr>
        <w:t>tate that is addressed the demand for surrender?</w:t>
      </w:r>
    </w:p>
    <w:p w14:paraId="3FFCA31E" w14:textId="77777777" w:rsidR="0019161F" w:rsidRPr="00DF1F13" w:rsidRDefault="0066115A"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According to article 97, a state party that has received a demand from the ICC "in relation to which it identifies problems which may impede or prevent the execution of the request ... shall consult with the Court without delay in order to resolve the matter."</w:t>
      </w:r>
      <w:r w:rsidR="00700264" w:rsidRPr="00DF1F13">
        <w:rPr>
          <w:rFonts w:ascii="Times New Roman" w:hAnsi="Times New Roman" w:cs="Times New Roman"/>
          <w:sz w:val="24"/>
          <w:szCs w:val="24"/>
          <w:lang w:val="en-US"/>
        </w:rPr>
        <w:t xml:space="preserve"> As the provision of article 98 stipulates "the Court may not proceed with a request for surrender"</w:t>
      </w:r>
      <w:r w:rsidR="00285448" w:rsidRPr="00DF1F13">
        <w:rPr>
          <w:rFonts w:ascii="Times New Roman" w:hAnsi="Times New Roman" w:cs="Times New Roman"/>
          <w:sz w:val="24"/>
          <w:szCs w:val="24"/>
          <w:lang w:val="en-US"/>
        </w:rPr>
        <w:t xml:space="preserve"> Except if the circumstance set out occurred,</w:t>
      </w:r>
      <w:r w:rsidR="00285448" w:rsidRPr="00DF1F13">
        <w:rPr>
          <w:rFonts w:ascii="Times New Roman" w:hAnsi="Times New Roman" w:cs="Times New Roman"/>
          <w:lang w:val="en-US"/>
        </w:rPr>
        <w:t xml:space="preserve"> </w:t>
      </w:r>
      <w:r w:rsidR="00285448" w:rsidRPr="00DF1F13">
        <w:rPr>
          <w:rFonts w:ascii="Times New Roman" w:hAnsi="Times New Roman" w:cs="Times New Roman"/>
          <w:sz w:val="24"/>
          <w:szCs w:val="24"/>
          <w:lang w:val="en-US"/>
        </w:rPr>
        <w:t>otherwise the ICC should firstly determine if such circumstance is considered or not.</w:t>
      </w:r>
      <w:r w:rsidR="00285448" w:rsidRPr="00DF1F13">
        <w:rPr>
          <w:rStyle w:val="Znakapoznpodarou"/>
          <w:rFonts w:ascii="Times New Roman" w:hAnsi="Times New Roman" w:cs="Times New Roman"/>
          <w:sz w:val="24"/>
          <w:szCs w:val="24"/>
          <w:lang w:val="en-US"/>
        </w:rPr>
        <w:footnoteReference w:id="109"/>
      </w:r>
      <w:r w:rsidR="003B7AC5" w:rsidRPr="00DF1F13">
        <w:rPr>
          <w:rFonts w:ascii="Times New Roman" w:hAnsi="Times New Roman" w:cs="Times New Roman"/>
          <w:sz w:val="24"/>
          <w:szCs w:val="24"/>
          <w:lang w:val="en-US"/>
        </w:rPr>
        <w:t xml:space="preserve"> </w:t>
      </w:r>
    </w:p>
    <w:p w14:paraId="5C0F89C8" w14:textId="53802FD7" w:rsidR="003B7AC5" w:rsidRPr="00DF1F13" w:rsidRDefault="003B7AC5"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This interpretation is established by article 195 of the statute concerning Rules of Procedure and Evidence which stipulates that a requested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tate which considers that a demand for transfer creates an issue according to article 98,</w:t>
      </w:r>
      <w:r w:rsidRPr="00DF1F13">
        <w:rPr>
          <w:rFonts w:ascii="Times New Roman" w:hAnsi="Times New Roman" w:cs="Times New Roman"/>
          <w:sz w:val="28"/>
          <w:szCs w:val="28"/>
          <w:lang w:val="en-US"/>
        </w:rPr>
        <w:t xml:space="preserve"> </w:t>
      </w:r>
      <w:r w:rsidRPr="00DF1F13">
        <w:rPr>
          <w:rFonts w:ascii="Times New Roman" w:hAnsi="Times New Roman" w:cs="Times New Roman"/>
          <w:sz w:val="24"/>
          <w:szCs w:val="24"/>
          <w:lang w:val="en-US"/>
        </w:rPr>
        <w:t xml:space="preserve">"shall provide any information relevant to assist the Court in the application of article 98." Furthermore "[a]ny concerned third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 xml:space="preserve">tate or sending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tate may provide additional information to assist the Court."</w:t>
      </w:r>
      <w:r w:rsidRPr="00DF1F13">
        <w:rPr>
          <w:rStyle w:val="Znakapoznpodarou"/>
          <w:rFonts w:ascii="Times New Roman" w:hAnsi="Times New Roman" w:cs="Times New Roman"/>
          <w:sz w:val="24"/>
          <w:szCs w:val="24"/>
          <w:lang w:val="en-US"/>
        </w:rPr>
        <w:footnoteReference w:id="110"/>
      </w:r>
    </w:p>
    <w:p w14:paraId="6147A232" w14:textId="5F9DC90C" w:rsidR="0019161F" w:rsidRPr="00DF1F13" w:rsidRDefault="00246331"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Regrettably, none of the Rome statute or the Rules of Procedure and Evidence have clearly specified the process to be followed by the ICC while resolving such issues.</w:t>
      </w:r>
      <w:r w:rsidR="00301A98" w:rsidRPr="00DF1F13">
        <w:rPr>
          <w:rFonts w:ascii="Times New Roman" w:hAnsi="Times New Roman" w:cs="Times New Roman"/>
          <w:sz w:val="24"/>
          <w:szCs w:val="24"/>
          <w:lang w:val="en-US"/>
        </w:rPr>
        <w:t xml:space="preserve"> Nevertheless, with an issue of this kind of significance, one can just presume that the </w:t>
      </w:r>
      <w:r w:rsidR="006503A1">
        <w:rPr>
          <w:rFonts w:ascii="Times New Roman" w:hAnsi="Times New Roman" w:cs="Times New Roman"/>
          <w:sz w:val="24"/>
          <w:szCs w:val="24"/>
          <w:lang w:val="en-US"/>
        </w:rPr>
        <w:t>s</w:t>
      </w:r>
      <w:r w:rsidR="00301A98" w:rsidRPr="00DF1F13">
        <w:rPr>
          <w:rFonts w:ascii="Times New Roman" w:hAnsi="Times New Roman" w:cs="Times New Roman"/>
          <w:sz w:val="24"/>
          <w:szCs w:val="24"/>
          <w:lang w:val="en-US"/>
        </w:rPr>
        <w:t>tate involved has a right to receive a decision from the pre-trial chamber.</w:t>
      </w:r>
      <w:r w:rsidR="00DD6DC7" w:rsidRPr="00DF1F13">
        <w:rPr>
          <w:rFonts w:ascii="Times New Roman" w:hAnsi="Times New Roman" w:cs="Times New Roman"/>
          <w:sz w:val="24"/>
          <w:szCs w:val="24"/>
          <w:lang w:val="en-US"/>
        </w:rPr>
        <w:t xml:space="preserve"> Whereas this question is not clearly mentioned in the register of tasks of the pre-trial chamber in the provision of article 57 of the Statute, article 195 possibly confers procedural rights to the </w:t>
      </w:r>
      <w:r w:rsidR="00E20096" w:rsidRPr="00DF1F13">
        <w:rPr>
          <w:rFonts w:ascii="Times New Roman" w:hAnsi="Times New Roman" w:cs="Times New Roman"/>
          <w:sz w:val="24"/>
          <w:szCs w:val="24"/>
          <w:lang w:val="en-US"/>
        </w:rPr>
        <w:t>nonparty’s</w:t>
      </w:r>
      <w:r w:rsidR="00DD6DC7" w:rsidRPr="00DF1F13">
        <w:rPr>
          <w:rFonts w:ascii="Times New Roman" w:hAnsi="Times New Roman" w:cs="Times New Roman"/>
          <w:sz w:val="24"/>
          <w:szCs w:val="24"/>
          <w:lang w:val="en-US"/>
        </w:rPr>
        <w:t xml:space="preserve"> </w:t>
      </w:r>
      <w:r w:rsidR="006503A1">
        <w:rPr>
          <w:rFonts w:ascii="Times New Roman" w:hAnsi="Times New Roman" w:cs="Times New Roman"/>
          <w:sz w:val="24"/>
          <w:szCs w:val="24"/>
          <w:lang w:val="en-US"/>
        </w:rPr>
        <w:t>s</w:t>
      </w:r>
      <w:r w:rsidR="00DD6DC7" w:rsidRPr="00DF1F13">
        <w:rPr>
          <w:rFonts w:ascii="Times New Roman" w:hAnsi="Times New Roman" w:cs="Times New Roman"/>
          <w:sz w:val="24"/>
          <w:szCs w:val="24"/>
          <w:lang w:val="en-US"/>
        </w:rPr>
        <w:t xml:space="preserve">tates in question or to the transferring </w:t>
      </w:r>
      <w:r w:rsidR="006503A1">
        <w:rPr>
          <w:rFonts w:ascii="Times New Roman" w:hAnsi="Times New Roman" w:cs="Times New Roman"/>
          <w:sz w:val="24"/>
          <w:szCs w:val="24"/>
          <w:lang w:val="en-US"/>
        </w:rPr>
        <w:t>s</w:t>
      </w:r>
      <w:r w:rsidR="00DD6DC7" w:rsidRPr="00DF1F13">
        <w:rPr>
          <w:rFonts w:ascii="Times New Roman" w:hAnsi="Times New Roman" w:cs="Times New Roman"/>
          <w:sz w:val="24"/>
          <w:szCs w:val="24"/>
          <w:lang w:val="en-US"/>
        </w:rPr>
        <w:t>tates at all audition in front of the pre-trial chamber.</w:t>
      </w:r>
      <w:r w:rsidR="0068633A" w:rsidRPr="00DF1F13">
        <w:rPr>
          <w:rFonts w:ascii="Times New Roman" w:hAnsi="Times New Roman" w:cs="Times New Roman"/>
          <w:sz w:val="24"/>
          <w:szCs w:val="24"/>
          <w:lang w:val="en-US"/>
        </w:rPr>
        <w:t xml:space="preserve"> </w:t>
      </w:r>
    </w:p>
    <w:p w14:paraId="2652F9CB" w14:textId="44F6C63B" w:rsidR="00C75B59" w:rsidRPr="00DF1F13" w:rsidRDefault="0068633A"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Even though the Court should foremost take a decision according to Article 98, the question subsists if such decision is compulsory for the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tate involved.</w:t>
      </w:r>
      <w:r w:rsidR="00E6450C" w:rsidRPr="00DF1F13">
        <w:rPr>
          <w:rFonts w:ascii="Times New Roman" w:hAnsi="Times New Roman" w:cs="Times New Roman"/>
          <w:sz w:val="24"/>
          <w:szCs w:val="24"/>
          <w:lang w:val="en-US"/>
        </w:rPr>
        <w:t xml:space="preserve"> When a demand for transfer is issue</w:t>
      </w:r>
      <w:r w:rsidR="00110C9B">
        <w:rPr>
          <w:rFonts w:ascii="Times New Roman" w:hAnsi="Times New Roman" w:cs="Times New Roman"/>
          <w:sz w:val="24"/>
          <w:szCs w:val="24"/>
          <w:lang w:val="en-US"/>
        </w:rPr>
        <w:t>d</w:t>
      </w:r>
      <w:r w:rsidR="00E6450C" w:rsidRPr="00DF1F13">
        <w:rPr>
          <w:rFonts w:ascii="Times New Roman" w:hAnsi="Times New Roman" w:cs="Times New Roman"/>
          <w:sz w:val="24"/>
          <w:szCs w:val="24"/>
          <w:lang w:val="en-US"/>
        </w:rPr>
        <w:t>, article 89 of the Statute compels the parties to conform with it.</w:t>
      </w:r>
      <w:r w:rsidR="004F715B" w:rsidRPr="00DF1F13">
        <w:rPr>
          <w:rFonts w:ascii="Times New Roman" w:hAnsi="Times New Roman" w:cs="Times New Roman"/>
          <w:sz w:val="24"/>
          <w:szCs w:val="24"/>
          <w:lang w:val="en-US"/>
        </w:rPr>
        <w:t xml:space="preserve"> As a demand included in article 98 handles with a case concerning the duties of a state party to the statute towards </w:t>
      </w:r>
      <w:r w:rsidR="004F715B" w:rsidRPr="00DF1F13">
        <w:rPr>
          <w:rFonts w:ascii="Times New Roman" w:hAnsi="Times New Roman" w:cs="Times New Roman"/>
          <w:sz w:val="24"/>
          <w:szCs w:val="24"/>
          <w:lang w:val="en-US"/>
        </w:rPr>
        <w:lastRenderedPageBreak/>
        <w:t xml:space="preserve">non-parties, in such case giving the last decision to the </w:t>
      </w:r>
      <w:r w:rsidR="006503A1">
        <w:rPr>
          <w:rFonts w:ascii="Times New Roman" w:hAnsi="Times New Roman" w:cs="Times New Roman"/>
          <w:sz w:val="24"/>
          <w:szCs w:val="24"/>
          <w:lang w:val="en-US"/>
        </w:rPr>
        <w:t>C</w:t>
      </w:r>
      <w:r w:rsidR="004F715B" w:rsidRPr="00DF1F13">
        <w:rPr>
          <w:rFonts w:ascii="Times New Roman" w:hAnsi="Times New Roman" w:cs="Times New Roman"/>
          <w:sz w:val="24"/>
          <w:szCs w:val="24"/>
          <w:lang w:val="en-US"/>
        </w:rPr>
        <w:t>ourt goes too far,</w:t>
      </w:r>
      <w:r w:rsidR="004F715B" w:rsidRPr="00DF1F13">
        <w:rPr>
          <w:rStyle w:val="Znakapoznpodarou"/>
          <w:rFonts w:ascii="Times New Roman" w:hAnsi="Times New Roman" w:cs="Times New Roman"/>
          <w:sz w:val="24"/>
          <w:szCs w:val="24"/>
          <w:lang w:val="en-US"/>
        </w:rPr>
        <w:footnoteReference w:id="111"/>
      </w:r>
      <w:r w:rsidR="00E52CD5" w:rsidRPr="00DF1F13">
        <w:rPr>
          <w:rFonts w:ascii="Times New Roman" w:hAnsi="Times New Roman" w:cs="Times New Roman"/>
          <w:sz w:val="24"/>
          <w:szCs w:val="24"/>
          <w:lang w:val="en-US"/>
        </w:rPr>
        <w:t>and all mistakes by the ICC can make the relevant ICC party juridically liable to the non-party.</w:t>
      </w:r>
      <w:r w:rsidR="00306F5C" w:rsidRPr="00DF1F13">
        <w:rPr>
          <w:rFonts w:ascii="Times New Roman" w:hAnsi="Times New Roman" w:cs="Times New Roman"/>
          <w:sz w:val="24"/>
          <w:szCs w:val="24"/>
          <w:lang w:val="en-US"/>
        </w:rPr>
        <w:t xml:space="preserve"> It can be asserted that the provision of Article 59 (2) (c) of the Statute – which stipulates that an individual apprehended at the demand of the ICC must be sent in front of the specialized </w:t>
      </w:r>
      <w:r w:rsidR="006503A1">
        <w:rPr>
          <w:rFonts w:ascii="Times New Roman" w:hAnsi="Times New Roman" w:cs="Times New Roman"/>
          <w:sz w:val="24"/>
          <w:szCs w:val="24"/>
          <w:lang w:val="en-US"/>
        </w:rPr>
        <w:t>C</w:t>
      </w:r>
      <w:r w:rsidR="00306F5C" w:rsidRPr="00DF1F13">
        <w:rPr>
          <w:rFonts w:ascii="Times New Roman" w:hAnsi="Times New Roman" w:cs="Times New Roman"/>
          <w:sz w:val="24"/>
          <w:szCs w:val="24"/>
          <w:lang w:val="en-US"/>
        </w:rPr>
        <w:t xml:space="preserve">ourts of the </w:t>
      </w:r>
      <w:r w:rsidR="006503A1">
        <w:rPr>
          <w:rFonts w:ascii="Times New Roman" w:hAnsi="Times New Roman" w:cs="Times New Roman"/>
          <w:sz w:val="24"/>
          <w:szCs w:val="24"/>
          <w:lang w:val="en-US"/>
        </w:rPr>
        <w:t>s</w:t>
      </w:r>
      <w:r w:rsidR="00306F5C" w:rsidRPr="00DF1F13">
        <w:rPr>
          <w:rFonts w:ascii="Times New Roman" w:hAnsi="Times New Roman" w:cs="Times New Roman"/>
          <w:sz w:val="24"/>
          <w:szCs w:val="24"/>
          <w:lang w:val="en-US"/>
        </w:rPr>
        <w:t>tate of detention for this</w:t>
      </w:r>
      <w:r w:rsidR="00306F5C" w:rsidRPr="00DF1F13">
        <w:rPr>
          <w:rFonts w:ascii="Times New Roman" w:hAnsi="Times New Roman" w:cs="Times New Roman"/>
          <w:lang w:val="en-US"/>
        </w:rPr>
        <w:t xml:space="preserve"> </w:t>
      </w:r>
      <w:r w:rsidR="00306F5C" w:rsidRPr="00DF1F13">
        <w:rPr>
          <w:rFonts w:ascii="Times New Roman" w:hAnsi="Times New Roman" w:cs="Times New Roman"/>
          <w:sz w:val="24"/>
          <w:szCs w:val="24"/>
          <w:lang w:val="en-US"/>
        </w:rPr>
        <w:t>aim,</w:t>
      </w:r>
      <w:r w:rsidR="00C75B59" w:rsidRPr="00DF1F13">
        <w:rPr>
          <w:rFonts w:ascii="Times New Roman" w:hAnsi="Times New Roman" w:cs="Times New Roman"/>
          <w:sz w:val="24"/>
          <w:szCs w:val="24"/>
          <w:lang w:val="en-US"/>
        </w:rPr>
        <w:t xml:space="preserve">” </w:t>
      </w:r>
      <w:r w:rsidR="00C75B59" w:rsidRPr="00DF1F13">
        <w:rPr>
          <w:rFonts w:ascii="Times New Roman" w:hAnsi="Times New Roman" w:cs="Times New Roman"/>
          <w:i/>
          <w:iCs/>
          <w:sz w:val="24"/>
          <w:szCs w:val="24"/>
          <w:lang w:val="en-US"/>
        </w:rPr>
        <w:t>inter alia</w:t>
      </w:r>
      <w:r w:rsidR="00C75B59" w:rsidRPr="00DF1F13">
        <w:rPr>
          <w:rFonts w:ascii="Times New Roman" w:hAnsi="Times New Roman" w:cs="Times New Roman"/>
          <w:sz w:val="24"/>
          <w:szCs w:val="24"/>
          <w:lang w:val="en-US"/>
        </w:rPr>
        <w:t xml:space="preserve">” to prove if the accused rights have been observed, this step enables such </w:t>
      </w:r>
      <w:r w:rsidR="006503A1">
        <w:rPr>
          <w:rFonts w:ascii="Times New Roman" w:hAnsi="Times New Roman" w:cs="Times New Roman"/>
          <w:sz w:val="24"/>
          <w:szCs w:val="24"/>
          <w:lang w:val="en-US"/>
        </w:rPr>
        <w:t>C</w:t>
      </w:r>
      <w:r w:rsidR="00C75B59" w:rsidRPr="00DF1F13">
        <w:rPr>
          <w:rFonts w:ascii="Times New Roman" w:hAnsi="Times New Roman" w:cs="Times New Roman"/>
          <w:sz w:val="24"/>
          <w:szCs w:val="24"/>
          <w:lang w:val="en-US"/>
        </w:rPr>
        <w:t>ourts to decide the immunity issue.</w:t>
      </w:r>
    </w:p>
    <w:p w14:paraId="2240F70A" w14:textId="4A2B2089" w:rsidR="00C70F8E" w:rsidRPr="00DF1F13" w:rsidRDefault="0046156C" w:rsidP="00DF1F1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Nonetheless, disputes over whether a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tate involved should send an individual to the ICC or not are disputes "concerning the judicial function of the Court,"</w:t>
      </w:r>
      <w:r w:rsidR="00B542D0" w:rsidRPr="00DF1F13">
        <w:rPr>
          <w:rFonts w:ascii="Times New Roman" w:hAnsi="Times New Roman" w:cs="Times New Roman"/>
          <w:sz w:val="24"/>
          <w:szCs w:val="24"/>
          <w:lang w:val="en-US"/>
        </w:rPr>
        <w:t xml:space="preserve"> which, according to Article 119 of the Statute "shall be settled by the decision of the Court."</w:t>
      </w:r>
      <w:r w:rsidR="00482969" w:rsidRPr="00DF1F13">
        <w:rPr>
          <w:rStyle w:val="Znakapoznpodarou"/>
          <w:rFonts w:ascii="Times New Roman" w:hAnsi="Times New Roman" w:cs="Times New Roman"/>
          <w:sz w:val="24"/>
          <w:szCs w:val="24"/>
          <w:lang w:val="en-US"/>
        </w:rPr>
        <w:footnoteReference w:id="112"/>
      </w:r>
      <w:r w:rsidR="00AF2715" w:rsidRPr="00DF1F13">
        <w:rPr>
          <w:rFonts w:ascii="Times New Roman" w:hAnsi="Times New Roman" w:cs="Times New Roman"/>
          <w:sz w:val="24"/>
          <w:szCs w:val="24"/>
          <w:lang w:val="en-US"/>
        </w:rPr>
        <w:t xml:space="preserve"> Domestic laws that handle the immunity issue of agents from others states once a demand for arrest has been issued by the </w:t>
      </w:r>
      <w:r w:rsidR="006503A1">
        <w:rPr>
          <w:rFonts w:ascii="Times New Roman" w:hAnsi="Times New Roman" w:cs="Times New Roman"/>
          <w:sz w:val="24"/>
          <w:szCs w:val="24"/>
          <w:lang w:val="en-US"/>
        </w:rPr>
        <w:t>C</w:t>
      </w:r>
      <w:r w:rsidR="00AF2715" w:rsidRPr="00DF1F13">
        <w:rPr>
          <w:rFonts w:ascii="Times New Roman" w:hAnsi="Times New Roman" w:cs="Times New Roman"/>
          <w:sz w:val="24"/>
          <w:szCs w:val="24"/>
          <w:lang w:val="en-US"/>
        </w:rPr>
        <w:t>ourt shows the different perspectives taken by states on the question: who is the body empowered to decide the matter?</w:t>
      </w:r>
      <w:r w:rsidR="007941BF" w:rsidRPr="00DF1F13">
        <w:rPr>
          <w:rFonts w:ascii="Times New Roman" w:hAnsi="Times New Roman" w:cs="Times New Roman"/>
          <w:sz w:val="24"/>
          <w:szCs w:val="24"/>
          <w:lang w:val="en-US"/>
        </w:rPr>
        <w:t xml:space="preserve"> The Canadian Crimes Against Humanity and War Crimes Act of 2000 and New Zealand International Crimes and International Criminal Court Act of 2000 give the last decision on immunity issue to the </w:t>
      </w:r>
      <w:r w:rsidR="006503A1">
        <w:rPr>
          <w:rFonts w:ascii="Times New Roman" w:hAnsi="Times New Roman" w:cs="Times New Roman"/>
          <w:sz w:val="24"/>
          <w:szCs w:val="24"/>
          <w:lang w:val="en-US"/>
        </w:rPr>
        <w:t>C</w:t>
      </w:r>
      <w:r w:rsidR="007941BF" w:rsidRPr="00DF1F13">
        <w:rPr>
          <w:rFonts w:ascii="Times New Roman" w:hAnsi="Times New Roman" w:cs="Times New Roman"/>
          <w:sz w:val="24"/>
          <w:szCs w:val="24"/>
          <w:lang w:val="en-US"/>
        </w:rPr>
        <w:t>ourt.</w:t>
      </w:r>
      <w:r w:rsidR="00C70F8E" w:rsidRPr="00DF1F13">
        <w:rPr>
          <w:rFonts w:ascii="Times New Roman" w:hAnsi="Times New Roman" w:cs="Times New Roman"/>
          <w:sz w:val="24"/>
          <w:szCs w:val="24"/>
          <w:lang w:val="en-US"/>
        </w:rPr>
        <w:t xml:space="preserve"> </w:t>
      </w:r>
    </w:p>
    <w:p w14:paraId="3BC2A203" w14:textId="5AB9AB47" w:rsidR="00DF1F13" w:rsidRDefault="00C70F8E" w:rsidP="005307B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On</w:t>
      </w:r>
      <w:r w:rsidRPr="00DF1F13">
        <w:rPr>
          <w:rFonts w:ascii="Times New Roman" w:hAnsi="Times New Roman" w:cs="Times New Roman"/>
          <w:lang w:val="en-US"/>
        </w:rPr>
        <w:t xml:space="preserve"> </w:t>
      </w:r>
      <w:r w:rsidRPr="00DF1F13">
        <w:rPr>
          <w:rFonts w:ascii="Times New Roman" w:hAnsi="Times New Roman" w:cs="Times New Roman"/>
          <w:sz w:val="24"/>
          <w:szCs w:val="24"/>
          <w:lang w:val="en-US"/>
        </w:rPr>
        <w:t xml:space="preserve">the opposite side, Australian and Swiss legislations require consultation between their executive departments and the </w:t>
      </w:r>
      <w:r w:rsidR="006503A1">
        <w:rPr>
          <w:rFonts w:ascii="Times New Roman" w:hAnsi="Times New Roman" w:cs="Times New Roman"/>
          <w:sz w:val="24"/>
          <w:szCs w:val="24"/>
          <w:lang w:val="en-US"/>
        </w:rPr>
        <w:t>C</w:t>
      </w:r>
      <w:r w:rsidRPr="00DF1F13">
        <w:rPr>
          <w:rFonts w:ascii="Times New Roman" w:hAnsi="Times New Roman" w:cs="Times New Roman"/>
          <w:sz w:val="24"/>
          <w:szCs w:val="24"/>
          <w:lang w:val="en-US"/>
        </w:rPr>
        <w:t>ourt but give the last decision to the specialized domestic authorities</w:t>
      </w:r>
      <w:r w:rsidR="006C2AD5" w:rsidRPr="00DF1F13">
        <w:rPr>
          <w:rFonts w:ascii="Times New Roman" w:hAnsi="Times New Roman" w:cs="Times New Roman"/>
          <w:sz w:val="24"/>
          <w:szCs w:val="24"/>
          <w:lang w:val="en-US"/>
        </w:rPr>
        <w:t>, (the Australian Attorney General and the Swiss Federal Council), the decisions of these bodies seem to be compulsory for the ICC.</w:t>
      </w:r>
      <w:r w:rsidR="006C2AD5" w:rsidRPr="00DF1F13">
        <w:rPr>
          <w:rStyle w:val="Znakapoznpodarou"/>
          <w:rFonts w:ascii="Times New Roman" w:hAnsi="Times New Roman" w:cs="Times New Roman"/>
          <w:sz w:val="24"/>
          <w:szCs w:val="24"/>
          <w:lang w:val="en-US"/>
        </w:rPr>
        <w:footnoteReference w:id="113"/>
      </w:r>
    </w:p>
    <w:p w14:paraId="44242666" w14:textId="2197BA40" w:rsidR="00DF1F13" w:rsidRDefault="00DF1F13" w:rsidP="008A1122">
      <w:pPr>
        <w:spacing w:line="360" w:lineRule="auto"/>
        <w:rPr>
          <w:rFonts w:ascii="Times New Roman" w:hAnsi="Times New Roman" w:cs="Times New Roman"/>
          <w:sz w:val="24"/>
          <w:szCs w:val="24"/>
          <w:lang w:val="en-US"/>
        </w:rPr>
      </w:pPr>
    </w:p>
    <w:p w14:paraId="54D0EA36" w14:textId="123028E8" w:rsidR="005307BF" w:rsidRDefault="005307BF" w:rsidP="008A1122">
      <w:pPr>
        <w:spacing w:line="360" w:lineRule="auto"/>
        <w:rPr>
          <w:rFonts w:ascii="Times New Roman" w:hAnsi="Times New Roman" w:cs="Times New Roman"/>
          <w:sz w:val="24"/>
          <w:szCs w:val="24"/>
          <w:lang w:val="en-US"/>
        </w:rPr>
      </w:pPr>
    </w:p>
    <w:p w14:paraId="5C9DFE68" w14:textId="328105D9" w:rsidR="005307BF" w:rsidRDefault="005307BF" w:rsidP="008A1122">
      <w:pPr>
        <w:spacing w:line="360" w:lineRule="auto"/>
        <w:rPr>
          <w:rFonts w:ascii="Times New Roman" w:hAnsi="Times New Roman" w:cs="Times New Roman"/>
          <w:sz w:val="24"/>
          <w:szCs w:val="24"/>
          <w:lang w:val="en-US"/>
        </w:rPr>
      </w:pPr>
    </w:p>
    <w:p w14:paraId="1ACA154D" w14:textId="23344296" w:rsidR="005307BF" w:rsidRDefault="005307BF" w:rsidP="008A1122">
      <w:pPr>
        <w:spacing w:line="360" w:lineRule="auto"/>
        <w:rPr>
          <w:rFonts w:ascii="Times New Roman" w:hAnsi="Times New Roman" w:cs="Times New Roman"/>
          <w:sz w:val="24"/>
          <w:szCs w:val="24"/>
          <w:lang w:val="en-US"/>
        </w:rPr>
      </w:pPr>
    </w:p>
    <w:p w14:paraId="61669CB8" w14:textId="77777777" w:rsidR="00DF1F13" w:rsidRPr="00DF1F13" w:rsidRDefault="00DF1F13" w:rsidP="008A1122">
      <w:pPr>
        <w:spacing w:line="360" w:lineRule="auto"/>
        <w:rPr>
          <w:rFonts w:ascii="Times New Roman" w:hAnsi="Times New Roman" w:cs="Times New Roman"/>
          <w:sz w:val="24"/>
          <w:szCs w:val="24"/>
          <w:lang w:val="en-US"/>
        </w:rPr>
      </w:pPr>
    </w:p>
    <w:p w14:paraId="59B1BD2D" w14:textId="6C2357C0" w:rsidR="00165CA1" w:rsidRPr="00DF1F13" w:rsidRDefault="008A1122" w:rsidP="00966571">
      <w:pPr>
        <w:pStyle w:val="Nadpis1"/>
        <w:spacing w:after="120"/>
        <w:ind w:left="170" w:right="113"/>
        <w:jc w:val="both"/>
        <w:rPr>
          <w:rFonts w:ascii="Times New Roman" w:hAnsi="Times New Roman" w:cs="Times New Roman"/>
          <w:b/>
          <w:color w:val="auto"/>
        </w:rPr>
      </w:pPr>
      <w:bookmarkStart w:id="43" w:name="_Toc109340803"/>
      <w:r w:rsidRPr="00DF1F13">
        <w:rPr>
          <w:rFonts w:ascii="Times New Roman" w:hAnsi="Times New Roman" w:cs="Times New Roman"/>
          <w:b/>
          <w:color w:val="auto"/>
        </w:rPr>
        <w:lastRenderedPageBreak/>
        <w:t>4.</w:t>
      </w:r>
      <w:r w:rsidR="00BD6052" w:rsidRPr="00DF1F13">
        <w:rPr>
          <w:rFonts w:ascii="Times New Roman" w:hAnsi="Times New Roman" w:cs="Times New Roman"/>
          <w:b/>
          <w:color w:val="auto"/>
        </w:rPr>
        <w:t xml:space="preserve">The Security Council </w:t>
      </w:r>
      <w:r w:rsidR="00C20C04">
        <w:rPr>
          <w:rFonts w:ascii="Times New Roman" w:hAnsi="Times New Roman" w:cs="Times New Roman"/>
          <w:b/>
          <w:color w:val="auto"/>
        </w:rPr>
        <w:t>R</w:t>
      </w:r>
      <w:r w:rsidR="00BD6052" w:rsidRPr="00DF1F13">
        <w:rPr>
          <w:rFonts w:ascii="Times New Roman" w:hAnsi="Times New Roman" w:cs="Times New Roman"/>
          <w:b/>
          <w:color w:val="auto"/>
        </w:rPr>
        <w:t>eferral</w:t>
      </w:r>
      <w:bookmarkEnd w:id="43"/>
    </w:p>
    <w:p w14:paraId="516EBCAF" w14:textId="7DB5BFBB" w:rsidR="00A369F7" w:rsidRPr="00DF1F13" w:rsidRDefault="008A1122"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Current</w:t>
      </w:r>
      <w:r w:rsidRPr="00DF1F13">
        <w:rPr>
          <w:lang w:val="en-US"/>
        </w:rPr>
        <w:t xml:space="preserve"> </w:t>
      </w:r>
      <w:r w:rsidRPr="00DF1F13">
        <w:rPr>
          <w:rFonts w:ascii="Times New Roman" w:hAnsi="Times New Roman" w:cs="Times New Roman"/>
          <w:sz w:val="24"/>
          <w:szCs w:val="24"/>
          <w:lang w:val="en-US"/>
        </w:rPr>
        <w:t>evolutions, as well as the requests addressed to the UN Security Council to refer the Syrian case to the ICC,</w:t>
      </w:r>
      <w:r w:rsidRPr="00DF1F13">
        <w:rPr>
          <w:lang w:val="en-US"/>
        </w:rPr>
        <w:t xml:space="preserve"> </w:t>
      </w:r>
      <w:r w:rsidRPr="00DF1F13">
        <w:rPr>
          <w:rFonts w:ascii="Times New Roman" w:hAnsi="Times New Roman" w:cs="Times New Roman"/>
          <w:sz w:val="24"/>
          <w:szCs w:val="24"/>
          <w:lang w:val="en-US"/>
        </w:rPr>
        <w:t xml:space="preserve">the reference of the cases in Sudan and Libya to the </w:t>
      </w:r>
      <w:r w:rsidR="006503A1">
        <w:rPr>
          <w:rFonts w:ascii="Times New Roman" w:hAnsi="Times New Roman" w:cs="Times New Roman"/>
          <w:sz w:val="24"/>
          <w:szCs w:val="24"/>
          <w:lang w:val="en-US"/>
        </w:rPr>
        <w:t>C</w:t>
      </w:r>
      <w:r w:rsidRPr="00DF1F13">
        <w:rPr>
          <w:rFonts w:ascii="Times New Roman" w:hAnsi="Times New Roman" w:cs="Times New Roman"/>
          <w:sz w:val="24"/>
          <w:szCs w:val="24"/>
          <w:lang w:val="en-US"/>
        </w:rPr>
        <w:t>ourt, which includes different requests asking the Security Council to exercise its referral powers in accordance with the ICC statute,</w:t>
      </w:r>
      <w:r w:rsidRPr="00DF1F13">
        <w:rPr>
          <w:rStyle w:val="Znakapoznpodarou"/>
          <w:rFonts w:ascii="Times New Roman" w:hAnsi="Times New Roman" w:cs="Times New Roman"/>
          <w:sz w:val="24"/>
          <w:szCs w:val="24"/>
          <w:lang w:val="en-US"/>
        </w:rPr>
        <w:footnoteReference w:id="114"/>
      </w:r>
      <w:r w:rsidR="000E6EC5" w:rsidRPr="00DF1F13">
        <w:rPr>
          <w:rFonts w:ascii="Times New Roman" w:hAnsi="Times New Roman" w:cs="Times New Roman"/>
          <w:sz w:val="24"/>
          <w:szCs w:val="24"/>
          <w:lang w:val="en-US"/>
        </w:rPr>
        <w:t xml:space="preserve"> underline the</w:t>
      </w:r>
      <w:r w:rsidR="000E6EC5" w:rsidRPr="00DF1F13">
        <w:rPr>
          <w:lang w:val="en-US"/>
        </w:rPr>
        <w:t xml:space="preserve"> </w:t>
      </w:r>
      <w:r w:rsidR="000E6EC5" w:rsidRPr="00DF1F13">
        <w:rPr>
          <w:rFonts w:ascii="Times New Roman" w:hAnsi="Times New Roman" w:cs="Times New Roman"/>
          <w:sz w:val="24"/>
          <w:szCs w:val="24"/>
          <w:lang w:val="en-US"/>
        </w:rPr>
        <w:t xml:space="preserve">significance of the connection </w:t>
      </w:r>
      <w:r w:rsidR="00A46541">
        <w:rPr>
          <w:rFonts w:ascii="Times New Roman" w:hAnsi="Times New Roman" w:cs="Times New Roman"/>
          <w:sz w:val="24"/>
          <w:szCs w:val="24"/>
          <w:lang w:val="en-US"/>
        </w:rPr>
        <w:t>between</w:t>
      </w:r>
      <w:r w:rsidR="000E6EC5" w:rsidRPr="00DF1F13">
        <w:rPr>
          <w:rFonts w:ascii="Times New Roman" w:hAnsi="Times New Roman" w:cs="Times New Roman"/>
          <w:sz w:val="24"/>
          <w:szCs w:val="24"/>
          <w:lang w:val="en-US"/>
        </w:rPr>
        <w:t xml:space="preserve"> the Security Council and the </w:t>
      </w:r>
      <w:r w:rsidR="006503A1">
        <w:rPr>
          <w:rFonts w:ascii="Times New Roman" w:hAnsi="Times New Roman" w:cs="Times New Roman"/>
          <w:sz w:val="24"/>
          <w:szCs w:val="24"/>
          <w:lang w:val="en-US"/>
        </w:rPr>
        <w:t>C</w:t>
      </w:r>
      <w:r w:rsidR="000E6EC5" w:rsidRPr="00DF1F13">
        <w:rPr>
          <w:rFonts w:ascii="Times New Roman" w:hAnsi="Times New Roman" w:cs="Times New Roman"/>
          <w:sz w:val="24"/>
          <w:szCs w:val="24"/>
          <w:lang w:val="en-US"/>
        </w:rPr>
        <w:t>ourt.</w:t>
      </w:r>
      <w:r w:rsidR="00F83CF1" w:rsidRPr="00DF1F13">
        <w:rPr>
          <w:rFonts w:ascii="Times New Roman" w:hAnsi="Times New Roman" w:cs="Times New Roman"/>
          <w:sz w:val="24"/>
          <w:szCs w:val="24"/>
          <w:lang w:val="en-US"/>
        </w:rPr>
        <w:t xml:space="preserve"> The Security Council is a political</w:t>
      </w:r>
      <w:r w:rsidR="00F83CF1" w:rsidRPr="00DF1F13">
        <w:rPr>
          <w:lang w:val="en-US"/>
        </w:rPr>
        <w:t xml:space="preserve"> </w:t>
      </w:r>
      <w:r w:rsidR="00F83CF1" w:rsidRPr="00DF1F13">
        <w:rPr>
          <w:rFonts w:ascii="Times New Roman" w:hAnsi="Times New Roman" w:cs="Times New Roman"/>
          <w:sz w:val="24"/>
          <w:szCs w:val="24"/>
          <w:lang w:val="en-US"/>
        </w:rPr>
        <w:t xml:space="preserve">organization that plays a dominant role with regards to the </w:t>
      </w:r>
      <w:r w:rsidR="006503A1">
        <w:rPr>
          <w:rFonts w:ascii="Times New Roman" w:hAnsi="Times New Roman" w:cs="Times New Roman"/>
          <w:sz w:val="24"/>
          <w:szCs w:val="24"/>
          <w:lang w:val="en-US"/>
        </w:rPr>
        <w:t>C</w:t>
      </w:r>
      <w:r w:rsidR="00F83CF1" w:rsidRPr="00DF1F13">
        <w:rPr>
          <w:rFonts w:ascii="Times New Roman" w:hAnsi="Times New Roman" w:cs="Times New Roman"/>
          <w:sz w:val="24"/>
          <w:szCs w:val="24"/>
          <w:lang w:val="en-US"/>
        </w:rPr>
        <w:t>ourt (a legal</w:t>
      </w:r>
      <w:r w:rsidR="00F83CF1" w:rsidRPr="00DF1F13">
        <w:rPr>
          <w:lang w:val="en-US"/>
        </w:rPr>
        <w:t xml:space="preserve"> </w:t>
      </w:r>
      <w:r w:rsidR="00F83CF1" w:rsidRPr="00DF1F13">
        <w:rPr>
          <w:rFonts w:ascii="Times New Roman" w:hAnsi="Times New Roman" w:cs="Times New Roman"/>
          <w:sz w:val="24"/>
          <w:szCs w:val="24"/>
          <w:lang w:val="en-US"/>
        </w:rPr>
        <w:t>organization), especially the power to refer cases on which the ICC cannot in other ways have jurisdiction,</w:t>
      </w:r>
      <w:r w:rsidR="00E131DE">
        <w:rPr>
          <w:rFonts w:ascii="Times New Roman" w:hAnsi="Times New Roman" w:cs="Times New Roman"/>
          <w:sz w:val="24"/>
          <w:szCs w:val="24"/>
          <w:lang w:val="en-US"/>
        </w:rPr>
        <w:t xml:space="preserve"> </w:t>
      </w:r>
      <w:r w:rsidR="00F83CF1" w:rsidRPr="00DF1F13">
        <w:rPr>
          <w:rFonts w:ascii="Times New Roman" w:hAnsi="Times New Roman" w:cs="Times New Roman"/>
          <w:sz w:val="24"/>
          <w:szCs w:val="24"/>
          <w:lang w:val="en-US"/>
        </w:rPr>
        <w:t>to make inquiries and</w:t>
      </w:r>
      <w:r w:rsidR="00F83CF1" w:rsidRPr="00DF1F13">
        <w:rPr>
          <w:lang w:val="en-US"/>
        </w:rPr>
        <w:t xml:space="preserve"> </w:t>
      </w:r>
      <w:r w:rsidR="00F83CF1" w:rsidRPr="00DF1F13">
        <w:rPr>
          <w:rFonts w:ascii="Times New Roman" w:hAnsi="Times New Roman" w:cs="Times New Roman"/>
          <w:sz w:val="24"/>
          <w:szCs w:val="24"/>
          <w:lang w:val="en-US"/>
        </w:rPr>
        <w:t>indictments.</w:t>
      </w:r>
      <w:r w:rsidR="00EB5C16" w:rsidRPr="00DF1F13">
        <w:rPr>
          <w:rFonts w:ascii="Times New Roman" w:hAnsi="Times New Roman" w:cs="Times New Roman"/>
          <w:sz w:val="24"/>
          <w:szCs w:val="24"/>
          <w:lang w:val="en-US"/>
        </w:rPr>
        <w:t xml:space="preserve"> The provision of the Rome Statute concerning referrals to the Security Council is rather</w:t>
      </w:r>
      <w:r w:rsidR="00EB5C16" w:rsidRPr="00DF1F13">
        <w:rPr>
          <w:lang w:val="en-US"/>
        </w:rPr>
        <w:t xml:space="preserve"> </w:t>
      </w:r>
      <w:r w:rsidR="00EB5C16" w:rsidRPr="00DF1F13">
        <w:rPr>
          <w:rFonts w:ascii="Times New Roman" w:hAnsi="Times New Roman" w:cs="Times New Roman"/>
          <w:sz w:val="24"/>
          <w:szCs w:val="24"/>
          <w:lang w:val="en-US"/>
        </w:rPr>
        <w:t>short. Article 13 stipulates:” The Court may exercise its jurisdiction with respect to a crime referred to in article 5 in accordance with the provisions of this Statute if: … (b) A situation in which one or more of such crimes appears to have been committed is referred to the Prosecutor by the Security Council acting under Chapter VII of the Charter of the United Nations….”</w:t>
      </w:r>
      <w:r w:rsidR="00EB5C16" w:rsidRPr="00DF1F13">
        <w:rPr>
          <w:rStyle w:val="Znakapoznpodarou"/>
          <w:rFonts w:ascii="Times New Roman" w:hAnsi="Times New Roman" w:cs="Times New Roman"/>
          <w:sz w:val="24"/>
          <w:szCs w:val="24"/>
          <w:lang w:val="en-US"/>
        </w:rPr>
        <w:footnoteReference w:id="115"/>
      </w:r>
      <w:r w:rsidR="005E68B9" w:rsidRPr="00DF1F13">
        <w:rPr>
          <w:rFonts w:ascii="Times New Roman" w:hAnsi="Times New Roman" w:cs="Times New Roman"/>
          <w:sz w:val="24"/>
          <w:szCs w:val="24"/>
          <w:lang w:val="en-US"/>
        </w:rPr>
        <w:t xml:space="preserve">. </w:t>
      </w:r>
    </w:p>
    <w:p w14:paraId="3D64CE92" w14:textId="11CE9102" w:rsidR="00A369F7" w:rsidRPr="00DF1F13" w:rsidRDefault="00345565"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This part denies the context according to which the Chapter VII power of the Security Council has made the Sudanese president Al-Bashir immunity invalid for the goals of the ICC Statute.</w:t>
      </w:r>
      <w:r w:rsidR="00695FCB" w:rsidRPr="00DF1F13">
        <w:rPr>
          <w:rFonts w:ascii="Times New Roman" w:hAnsi="Times New Roman" w:cs="Times New Roman"/>
          <w:sz w:val="24"/>
          <w:szCs w:val="24"/>
          <w:lang w:val="en-US"/>
        </w:rPr>
        <w:t xml:space="preserve"> Al-Bashir has been indicted for crimes supposedly perpetrated in Darfur, which was referred to the </w:t>
      </w:r>
      <w:r w:rsidR="006503A1">
        <w:rPr>
          <w:rFonts w:ascii="Times New Roman" w:hAnsi="Times New Roman" w:cs="Times New Roman"/>
          <w:sz w:val="24"/>
          <w:szCs w:val="24"/>
          <w:lang w:val="en-US"/>
        </w:rPr>
        <w:t>C</w:t>
      </w:r>
      <w:r w:rsidR="00695FCB" w:rsidRPr="00DF1F13">
        <w:rPr>
          <w:rFonts w:ascii="Times New Roman" w:hAnsi="Times New Roman" w:cs="Times New Roman"/>
          <w:sz w:val="24"/>
          <w:szCs w:val="24"/>
          <w:lang w:val="en-US"/>
        </w:rPr>
        <w:t>ourt by Security Council resolution 1593.</w:t>
      </w:r>
      <w:r w:rsidR="00B6267B" w:rsidRPr="00DF1F13">
        <w:rPr>
          <w:rStyle w:val="Znakapoznpodarou"/>
          <w:rFonts w:ascii="Times New Roman" w:hAnsi="Times New Roman" w:cs="Times New Roman"/>
          <w:sz w:val="24"/>
          <w:szCs w:val="24"/>
          <w:lang w:val="en-US"/>
        </w:rPr>
        <w:footnoteReference w:id="116"/>
      </w:r>
      <w:r w:rsidR="00F53BF6" w:rsidRPr="00DF1F13">
        <w:rPr>
          <w:rFonts w:ascii="Times New Roman" w:hAnsi="Times New Roman" w:cs="Times New Roman"/>
          <w:sz w:val="24"/>
          <w:szCs w:val="24"/>
          <w:lang w:val="en-US"/>
        </w:rPr>
        <w:t xml:space="preserve"> </w:t>
      </w:r>
    </w:p>
    <w:p w14:paraId="721F4856" w14:textId="55E2B33A" w:rsidR="00A369F7" w:rsidRPr="00DF1F13" w:rsidRDefault="00F53BF6"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The PTC did not explain clearly how the Security Council Resolution 1593 could tie Sudanese </w:t>
      </w:r>
      <w:r w:rsidR="006503A1">
        <w:rPr>
          <w:rFonts w:ascii="Times New Roman" w:hAnsi="Times New Roman" w:cs="Times New Roman"/>
          <w:sz w:val="24"/>
          <w:szCs w:val="24"/>
          <w:lang w:val="en-US"/>
        </w:rPr>
        <w:t>s</w:t>
      </w:r>
      <w:r w:rsidRPr="00DF1F13">
        <w:rPr>
          <w:rFonts w:ascii="Times New Roman" w:hAnsi="Times New Roman" w:cs="Times New Roman"/>
          <w:sz w:val="24"/>
          <w:szCs w:val="24"/>
          <w:lang w:val="en-US"/>
        </w:rPr>
        <w:t>tate to the ICC Statute and waive Al-Bashir immunity, nevertheless there are three options.</w:t>
      </w:r>
      <w:r w:rsidR="005255D2" w:rsidRPr="00DF1F13">
        <w:rPr>
          <w:rFonts w:ascii="Times New Roman" w:hAnsi="Times New Roman" w:cs="Times New Roman"/>
          <w:sz w:val="24"/>
          <w:szCs w:val="24"/>
          <w:lang w:val="en-US"/>
        </w:rPr>
        <w:t xml:space="preserve"> One is by the means of transference of the Security Council Chapter VII powers to the </w:t>
      </w:r>
      <w:r w:rsidR="006503A1">
        <w:rPr>
          <w:rFonts w:ascii="Times New Roman" w:hAnsi="Times New Roman" w:cs="Times New Roman"/>
          <w:sz w:val="24"/>
          <w:szCs w:val="24"/>
          <w:lang w:val="en-US"/>
        </w:rPr>
        <w:t>C</w:t>
      </w:r>
      <w:r w:rsidR="005255D2" w:rsidRPr="00DF1F13">
        <w:rPr>
          <w:rFonts w:ascii="Times New Roman" w:hAnsi="Times New Roman" w:cs="Times New Roman"/>
          <w:sz w:val="24"/>
          <w:szCs w:val="24"/>
          <w:lang w:val="en-US"/>
        </w:rPr>
        <w:t>ourt, that also uses such powers to oblige Sudan to</w:t>
      </w:r>
      <w:r w:rsidR="005255D2" w:rsidRPr="00DF1F13">
        <w:rPr>
          <w:lang w:val="en-US"/>
        </w:rPr>
        <w:t xml:space="preserve"> </w:t>
      </w:r>
      <w:r w:rsidR="005255D2" w:rsidRPr="00DF1F13">
        <w:rPr>
          <w:rFonts w:ascii="Times New Roman" w:hAnsi="Times New Roman" w:cs="Times New Roman"/>
          <w:sz w:val="24"/>
          <w:szCs w:val="24"/>
          <w:lang w:val="en-US"/>
        </w:rPr>
        <w:t>collaborate.</w:t>
      </w:r>
      <w:r w:rsidR="004F218F" w:rsidRPr="00DF1F13">
        <w:rPr>
          <w:rFonts w:ascii="Times New Roman" w:hAnsi="Times New Roman" w:cs="Times New Roman"/>
          <w:sz w:val="24"/>
          <w:szCs w:val="24"/>
          <w:lang w:val="en-US"/>
        </w:rPr>
        <w:t xml:space="preserve"> Second is to tie Sudan to the ICC Statute and the provision of Article 27 (2) via Chapter VII resolution of the Security Council.</w:t>
      </w:r>
      <w:r w:rsidR="00F065E1" w:rsidRPr="00DF1F13">
        <w:rPr>
          <w:rFonts w:ascii="Times New Roman" w:hAnsi="Times New Roman" w:cs="Times New Roman"/>
          <w:sz w:val="24"/>
          <w:szCs w:val="24"/>
          <w:lang w:val="en-US"/>
        </w:rPr>
        <w:t xml:space="preserve"> Third is the removal of immunity by straight decision of the Security Council.</w:t>
      </w:r>
      <w:r w:rsidR="00B73AE6" w:rsidRPr="00DF1F13">
        <w:rPr>
          <w:rFonts w:ascii="Times New Roman" w:hAnsi="Times New Roman" w:cs="Times New Roman"/>
          <w:sz w:val="24"/>
          <w:szCs w:val="24"/>
          <w:lang w:val="en-US"/>
        </w:rPr>
        <w:t xml:space="preserve"> The last reasonings rely on Article 103 of the United Nations Charter and are therefore regarded as</w:t>
      </w:r>
      <w:r w:rsidR="00B73AE6" w:rsidRPr="00DF1F13">
        <w:rPr>
          <w:lang w:val="en-US"/>
        </w:rPr>
        <w:t xml:space="preserve"> </w:t>
      </w:r>
      <w:r w:rsidR="00B73AE6" w:rsidRPr="00DF1F13">
        <w:rPr>
          <w:rFonts w:ascii="Times New Roman" w:hAnsi="Times New Roman" w:cs="Times New Roman"/>
          <w:sz w:val="24"/>
          <w:szCs w:val="24"/>
          <w:lang w:val="en-US"/>
        </w:rPr>
        <w:t>in conjunction.</w:t>
      </w:r>
      <w:r w:rsidR="00B6267B" w:rsidRPr="00DF1F13">
        <w:rPr>
          <w:rFonts w:ascii="Times New Roman" w:hAnsi="Times New Roman" w:cs="Times New Roman"/>
          <w:sz w:val="24"/>
          <w:szCs w:val="24"/>
          <w:lang w:val="en-US"/>
        </w:rPr>
        <w:t xml:space="preserve"> </w:t>
      </w:r>
      <w:r w:rsidR="00D02C53">
        <w:rPr>
          <w:rFonts w:ascii="Times New Roman" w:hAnsi="Times New Roman" w:cs="Times New Roman"/>
          <w:sz w:val="24"/>
          <w:szCs w:val="24"/>
          <w:lang w:val="en-US"/>
        </w:rPr>
        <w:t>The second option is more understandable in our viewpoint.</w:t>
      </w:r>
    </w:p>
    <w:p w14:paraId="73DACFEF" w14:textId="1A0A7D11" w:rsidR="000D7CC5" w:rsidRPr="00DF1F13" w:rsidRDefault="00B6267B"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lastRenderedPageBreak/>
        <w:t xml:space="preserve">The </w:t>
      </w:r>
      <w:r w:rsidR="0010136A">
        <w:rPr>
          <w:rFonts w:ascii="Times New Roman" w:hAnsi="Times New Roman" w:cs="Times New Roman"/>
          <w:sz w:val="24"/>
          <w:szCs w:val="24"/>
          <w:lang w:val="en-US"/>
        </w:rPr>
        <w:t xml:space="preserve">principal </w:t>
      </w:r>
      <w:r w:rsidR="0010136A" w:rsidRPr="0010136A">
        <w:rPr>
          <w:rFonts w:ascii="Times New Roman" w:hAnsi="Times New Roman" w:cs="Times New Roman"/>
          <w:sz w:val="24"/>
          <w:szCs w:val="24"/>
          <w:lang w:val="en-US"/>
        </w:rPr>
        <w:t xml:space="preserve">problem </w:t>
      </w:r>
      <w:r w:rsidRPr="00DF1F13">
        <w:rPr>
          <w:rFonts w:ascii="Times New Roman" w:hAnsi="Times New Roman" w:cs="Times New Roman"/>
          <w:sz w:val="24"/>
          <w:szCs w:val="24"/>
          <w:lang w:val="en-US"/>
        </w:rPr>
        <w:t xml:space="preserve">with all these </w:t>
      </w:r>
      <w:r w:rsidR="00BF214F">
        <w:rPr>
          <w:rFonts w:ascii="Times New Roman" w:hAnsi="Times New Roman" w:cs="Times New Roman"/>
          <w:sz w:val="24"/>
          <w:szCs w:val="24"/>
          <w:lang w:val="en-US"/>
        </w:rPr>
        <w:t xml:space="preserve">lines of argumentation </w:t>
      </w:r>
      <w:r w:rsidRPr="00DF1F13">
        <w:rPr>
          <w:rFonts w:ascii="Times New Roman" w:hAnsi="Times New Roman" w:cs="Times New Roman"/>
          <w:sz w:val="24"/>
          <w:szCs w:val="24"/>
          <w:lang w:val="en-US"/>
        </w:rPr>
        <w:t>is</w:t>
      </w:r>
      <w:r w:rsidR="00BF214F">
        <w:rPr>
          <w:rFonts w:ascii="Times New Roman" w:hAnsi="Times New Roman" w:cs="Times New Roman"/>
          <w:sz w:val="24"/>
          <w:szCs w:val="24"/>
          <w:lang w:val="en-US"/>
        </w:rPr>
        <w:t xml:space="preserve"> </w:t>
      </w:r>
      <w:r w:rsidRPr="00DF1F13">
        <w:rPr>
          <w:rFonts w:ascii="Times New Roman" w:hAnsi="Times New Roman" w:cs="Times New Roman"/>
          <w:sz w:val="24"/>
          <w:szCs w:val="24"/>
          <w:lang w:val="en-US"/>
        </w:rPr>
        <w:t xml:space="preserve">that </w:t>
      </w:r>
      <w:r w:rsidR="00E854A3">
        <w:rPr>
          <w:rFonts w:ascii="Times New Roman" w:hAnsi="Times New Roman" w:cs="Times New Roman"/>
          <w:sz w:val="24"/>
          <w:szCs w:val="24"/>
          <w:lang w:val="en-US"/>
        </w:rPr>
        <w:t>neither</w:t>
      </w:r>
      <w:r w:rsidRPr="00DF1F13">
        <w:rPr>
          <w:rFonts w:ascii="Times New Roman" w:hAnsi="Times New Roman" w:cs="Times New Roman"/>
          <w:sz w:val="24"/>
          <w:szCs w:val="24"/>
          <w:lang w:val="en-US"/>
        </w:rPr>
        <w:t xml:space="preserve"> the Chapter VII </w:t>
      </w:r>
      <w:r w:rsidR="00E854A3">
        <w:rPr>
          <w:rFonts w:ascii="Times New Roman" w:hAnsi="Times New Roman" w:cs="Times New Roman"/>
          <w:sz w:val="24"/>
          <w:szCs w:val="24"/>
          <w:lang w:val="en-US"/>
        </w:rPr>
        <w:t>n</w:t>
      </w:r>
      <w:r w:rsidRPr="00DF1F13">
        <w:rPr>
          <w:rFonts w:ascii="Times New Roman" w:hAnsi="Times New Roman" w:cs="Times New Roman"/>
          <w:sz w:val="24"/>
          <w:szCs w:val="24"/>
          <w:lang w:val="en-US"/>
        </w:rPr>
        <w:t>or Article 103 of the</w:t>
      </w:r>
      <w:r w:rsidR="00E854A3">
        <w:rPr>
          <w:rFonts w:ascii="Times New Roman" w:hAnsi="Times New Roman" w:cs="Times New Roman"/>
          <w:sz w:val="24"/>
          <w:szCs w:val="24"/>
          <w:lang w:val="en-US"/>
        </w:rPr>
        <w:t xml:space="preserve"> United Nations</w:t>
      </w:r>
      <w:r w:rsidRPr="00DF1F13">
        <w:rPr>
          <w:rFonts w:ascii="Times New Roman" w:hAnsi="Times New Roman" w:cs="Times New Roman"/>
          <w:sz w:val="24"/>
          <w:szCs w:val="24"/>
          <w:lang w:val="en-US"/>
        </w:rPr>
        <w:t xml:space="preserve"> Charter </w:t>
      </w:r>
      <w:r w:rsidR="00E854A3">
        <w:rPr>
          <w:rFonts w:ascii="Times New Roman" w:hAnsi="Times New Roman" w:cs="Times New Roman"/>
          <w:sz w:val="24"/>
          <w:szCs w:val="24"/>
          <w:lang w:val="en-US"/>
        </w:rPr>
        <w:t xml:space="preserve">allows </w:t>
      </w:r>
      <w:r w:rsidRPr="00DF1F13">
        <w:rPr>
          <w:rFonts w:ascii="Times New Roman" w:hAnsi="Times New Roman" w:cs="Times New Roman"/>
          <w:sz w:val="24"/>
          <w:szCs w:val="24"/>
          <w:lang w:val="en-US"/>
        </w:rPr>
        <w:t xml:space="preserve">the Security Council to </w:t>
      </w:r>
      <w:r w:rsidR="00E854A3">
        <w:rPr>
          <w:rFonts w:ascii="Times New Roman" w:hAnsi="Times New Roman" w:cs="Times New Roman"/>
          <w:sz w:val="24"/>
          <w:szCs w:val="24"/>
          <w:lang w:val="en-US"/>
        </w:rPr>
        <w:t xml:space="preserve">extend </w:t>
      </w:r>
      <w:r w:rsidRPr="00DF1F13">
        <w:rPr>
          <w:rFonts w:ascii="Times New Roman" w:hAnsi="Times New Roman" w:cs="Times New Roman"/>
          <w:sz w:val="24"/>
          <w:szCs w:val="24"/>
          <w:lang w:val="en-US"/>
        </w:rPr>
        <w:t xml:space="preserve">the </w:t>
      </w:r>
      <w:r w:rsidR="0040683A">
        <w:rPr>
          <w:rFonts w:ascii="Times New Roman" w:hAnsi="Times New Roman" w:cs="Times New Roman"/>
          <w:sz w:val="24"/>
          <w:szCs w:val="24"/>
          <w:lang w:val="en-US"/>
        </w:rPr>
        <w:t xml:space="preserve">power </w:t>
      </w:r>
      <w:r w:rsidRPr="00DF1F13">
        <w:rPr>
          <w:rFonts w:ascii="Times New Roman" w:hAnsi="Times New Roman" w:cs="Times New Roman"/>
          <w:sz w:val="24"/>
          <w:szCs w:val="24"/>
          <w:lang w:val="en-US"/>
        </w:rPr>
        <w:t xml:space="preserve">of the </w:t>
      </w:r>
      <w:r w:rsidR="0040683A">
        <w:rPr>
          <w:rFonts w:ascii="Times New Roman" w:hAnsi="Times New Roman" w:cs="Times New Roman"/>
          <w:sz w:val="24"/>
          <w:szCs w:val="24"/>
          <w:lang w:val="en-US"/>
        </w:rPr>
        <w:t>Court</w:t>
      </w:r>
      <w:r w:rsidRPr="00DF1F13">
        <w:rPr>
          <w:rFonts w:ascii="Times New Roman" w:hAnsi="Times New Roman" w:cs="Times New Roman"/>
          <w:sz w:val="24"/>
          <w:szCs w:val="24"/>
          <w:lang w:val="en-US"/>
        </w:rPr>
        <w:t>.</w:t>
      </w:r>
      <w:r w:rsidRPr="00DF1F13">
        <w:rPr>
          <w:rStyle w:val="Znakapoznpodarou"/>
          <w:rFonts w:ascii="Times New Roman" w:hAnsi="Times New Roman" w:cs="Times New Roman"/>
          <w:sz w:val="24"/>
          <w:szCs w:val="24"/>
          <w:lang w:val="en-US"/>
        </w:rPr>
        <w:footnoteReference w:id="117"/>
      </w:r>
      <w:r w:rsidR="000C731B" w:rsidRPr="00DF1F13">
        <w:rPr>
          <w:rFonts w:ascii="Times New Roman" w:hAnsi="Times New Roman" w:cs="Times New Roman"/>
          <w:sz w:val="24"/>
          <w:szCs w:val="24"/>
          <w:lang w:val="en-US"/>
        </w:rPr>
        <w:t xml:space="preserve"> The</w:t>
      </w:r>
      <w:r w:rsidR="0040683A">
        <w:rPr>
          <w:rFonts w:ascii="Times New Roman" w:hAnsi="Times New Roman" w:cs="Times New Roman"/>
          <w:sz w:val="24"/>
          <w:szCs w:val="24"/>
          <w:lang w:val="en-US"/>
        </w:rPr>
        <w:t xml:space="preserve"> ICC</w:t>
      </w:r>
      <w:r w:rsidR="000C731B" w:rsidRPr="00DF1F13">
        <w:rPr>
          <w:rFonts w:ascii="Times New Roman" w:hAnsi="Times New Roman" w:cs="Times New Roman"/>
          <w:sz w:val="24"/>
          <w:szCs w:val="24"/>
          <w:lang w:val="en-US"/>
        </w:rPr>
        <w:t xml:space="preserve"> is </w:t>
      </w:r>
      <w:r w:rsidR="0040683A" w:rsidRPr="0040683A">
        <w:rPr>
          <w:rFonts w:ascii="Times New Roman" w:hAnsi="Times New Roman" w:cs="Times New Roman"/>
          <w:sz w:val="24"/>
          <w:szCs w:val="24"/>
          <w:lang w:val="en-US"/>
        </w:rPr>
        <w:t xml:space="preserve">incapable </w:t>
      </w:r>
      <w:r w:rsidR="000C731B" w:rsidRPr="00DF1F13">
        <w:rPr>
          <w:rFonts w:ascii="Times New Roman" w:hAnsi="Times New Roman" w:cs="Times New Roman"/>
          <w:sz w:val="24"/>
          <w:szCs w:val="24"/>
          <w:lang w:val="en-US"/>
        </w:rPr>
        <w:t>to</w:t>
      </w:r>
      <w:r w:rsidR="0040683A">
        <w:rPr>
          <w:rFonts w:ascii="Times New Roman" w:hAnsi="Times New Roman" w:cs="Times New Roman"/>
          <w:sz w:val="24"/>
          <w:szCs w:val="24"/>
          <w:lang w:val="en-US"/>
        </w:rPr>
        <w:t xml:space="preserve"> </w:t>
      </w:r>
      <w:r w:rsidR="00620EB3">
        <w:rPr>
          <w:rFonts w:ascii="Times New Roman" w:hAnsi="Times New Roman" w:cs="Times New Roman"/>
          <w:sz w:val="24"/>
          <w:szCs w:val="24"/>
          <w:lang w:val="en-US"/>
        </w:rPr>
        <w:t>exercise</w:t>
      </w:r>
      <w:r w:rsidR="000C731B" w:rsidRPr="00DF1F13">
        <w:rPr>
          <w:rFonts w:ascii="Times New Roman" w:hAnsi="Times New Roman" w:cs="Times New Roman"/>
          <w:sz w:val="24"/>
          <w:szCs w:val="24"/>
          <w:lang w:val="en-US"/>
        </w:rPr>
        <w:t xml:space="preserve"> Chapter VII </w:t>
      </w:r>
      <w:r w:rsidR="00620EB3">
        <w:rPr>
          <w:rFonts w:ascii="Times New Roman" w:hAnsi="Times New Roman" w:cs="Times New Roman"/>
          <w:sz w:val="24"/>
          <w:szCs w:val="24"/>
          <w:lang w:val="en-US"/>
        </w:rPr>
        <w:t xml:space="preserve">authorities </w:t>
      </w:r>
      <w:r w:rsidR="000C731B" w:rsidRPr="00DF1F13">
        <w:rPr>
          <w:rFonts w:ascii="Times New Roman" w:hAnsi="Times New Roman" w:cs="Times New Roman"/>
          <w:sz w:val="24"/>
          <w:szCs w:val="24"/>
          <w:lang w:val="en-US"/>
        </w:rPr>
        <w:t>since it is not a UN body, and the Security Council has no power to amend the regulations of public international law to deny the immunity of Al-Bashir.</w:t>
      </w:r>
      <w:r w:rsidR="000D7CC5" w:rsidRPr="00DF1F13">
        <w:rPr>
          <w:rFonts w:ascii="Times New Roman" w:hAnsi="Times New Roman" w:cs="Times New Roman"/>
          <w:sz w:val="24"/>
          <w:szCs w:val="24"/>
          <w:lang w:val="en-US"/>
        </w:rPr>
        <w:t xml:space="preserve"> These rules, that comprise the United Nations Charter</w:t>
      </w:r>
      <w:r w:rsidR="000D7CC5" w:rsidRPr="00DF1F13">
        <w:rPr>
          <w:rStyle w:val="Znakapoznpodarou"/>
          <w:rFonts w:ascii="Times New Roman" w:hAnsi="Times New Roman" w:cs="Times New Roman"/>
          <w:sz w:val="24"/>
          <w:szCs w:val="24"/>
          <w:lang w:val="en-US"/>
        </w:rPr>
        <w:footnoteReference w:id="118"/>
      </w:r>
      <w:r w:rsidR="000D7CC5" w:rsidRPr="00DF1F13">
        <w:rPr>
          <w:rFonts w:ascii="Times New Roman" w:hAnsi="Times New Roman" w:cs="Times New Roman"/>
          <w:sz w:val="24"/>
          <w:szCs w:val="24"/>
          <w:lang w:val="en-US"/>
        </w:rPr>
        <w:t xml:space="preserve"> as well, the customary law rules of immunities described previously and the law of treaties, seriously limit the powers of the Security Council in this matter.</w:t>
      </w:r>
    </w:p>
    <w:p w14:paraId="398D1EC7" w14:textId="369F642A" w:rsidR="00BD6052" w:rsidRPr="00DF1F13" w:rsidRDefault="00BD6052" w:rsidP="00966571">
      <w:pPr>
        <w:pStyle w:val="Nadpis1"/>
        <w:spacing w:after="120"/>
        <w:ind w:left="170" w:right="113"/>
        <w:jc w:val="both"/>
        <w:rPr>
          <w:rFonts w:ascii="Times New Roman" w:hAnsi="Times New Roman" w:cs="Times New Roman"/>
          <w:b/>
          <w:bCs/>
          <w:color w:val="auto"/>
        </w:rPr>
      </w:pPr>
      <w:bookmarkStart w:id="47" w:name="_Toc109340804"/>
      <w:bookmarkStart w:id="48" w:name="_Hlk81082435"/>
      <w:r w:rsidRPr="00DF1F13">
        <w:rPr>
          <w:rFonts w:ascii="Times New Roman" w:hAnsi="Times New Roman" w:cs="Times New Roman"/>
          <w:b/>
          <w:bCs/>
          <w:color w:val="auto"/>
        </w:rPr>
        <w:t>4.1</w:t>
      </w:r>
      <w:r w:rsidR="00A369F7" w:rsidRPr="00DF1F13">
        <w:rPr>
          <w:rFonts w:ascii="Times New Roman" w:hAnsi="Times New Roman" w:cs="Times New Roman"/>
          <w:b/>
          <w:bCs/>
          <w:color w:val="auto"/>
        </w:rPr>
        <w:t xml:space="preserve"> </w:t>
      </w:r>
      <w:r w:rsidRPr="00DF1F13">
        <w:rPr>
          <w:rFonts w:ascii="Times New Roman" w:hAnsi="Times New Roman" w:cs="Times New Roman"/>
          <w:b/>
          <w:bCs/>
          <w:color w:val="auto"/>
        </w:rPr>
        <w:t xml:space="preserve">The </w:t>
      </w:r>
      <w:r w:rsidR="00C20C04">
        <w:rPr>
          <w:rFonts w:ascii="Times New Roman" w:hAnsi="Times New Roman" w:cs="Times New Roman"/>
          <w:b/>
          <w:bCs/>
          <w:color w:val="auto"/>
        </w:rPr>
        <w:t>I</w:t>
      </w:r>
      <w:r w:rsidRPr="00DF1F13">
        <w:rPr>
          <w:rFonts w:ascii="Times New Roman" w:hAnsi="Times New Roman" w:cs="Times New Roman"/>
          <w:b/>
          <w:bCs/>
          <w:color w:val="auto"/>
        </w:rPr>
        <w:t xml:space="preserve">nability to </w:t>
      </w:r>
      <w:r w:rsidR="00C20C04">
        <w:rPr>
          <w:rFonts w:ascii="Times New Roman" w:hAnsi="Times New Roman" w:cs="Times New Roman"/>
          <w:b/>
          <w:bCs/>
          <w:color w:val="auto"/>
        </w:rPr>
        <w:t>D</w:t>
      </w:r>
      <w:r w:rsidRPr="00DF1F13">
        <w:rPr>
          <w:rFonts w:ascii="Times New Roman" w:hAnsi="Times New Roman" w:cs="Times New Roman"/>
          <w:b/>
          <w:bCs/>
          <w:color w:val="auto"/>
        </w:rPr>
        <w:t xml:space="preserve">elegate Chapter VII </w:t>
      </w:r>
      <w:r w:rsidR="00C20C04">
        <w:rPr>
          <w:rFonts w:ascii="Times New Roman" w:hAnsi="Times New Roman" w:cs="Times New Roman"/>
          <w:b/>
          <w:bCs/>
          <w:color w:val="auto"/>
        </w:rPr>
        <w:t>P</w:t>
      </w:r>
      <w:r w:rsidRPr="00DF1F13">
        <w:rPr>
          <w:rFonts w:ascii="Times New Roman" w:hAnsi="Times New Roman" w:cs="Times New Roman"/>
          <w:b/>
          <w:bCs/>
          <w:color w:val="auto"/>
        </w:rPr>
        <w:t>owers to the ICC</w:t>
      </w:r>
      <w:bookmarkEnd w:id="47"/>
    </w:p>
    <w:p w14:paraId="201C9AC9" w14:textId="2DCA39D3" w:rsidR="00555CC5" w:rsidRPr="00DF1F13" w:rsidRDefault="00BE11C5"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w:t>
      </w:r>
      <w:r w:rsidRPr="00DF1F13">
        <w:rPr>
          <w:lang w:val="en-US"/>
        </w:rPr>
        <w:t xml:space="preserve"> </w:t>
      </w:r>
      <w:r w:rsidRPr="00DF1F13">
        <w:rPr>
          <w:rFonts w:ascii="Times New Roman" w:hAnsi="Times New Roman" w:cs="Times New Roman"/>
          <w:sz w:val="24"/>
          <w:szCs w:val="24"/>
          <w:lang w:val="en-US"/>
        </w:rPr>
        <w:t>first point to be treated is that of</w:t>
      </w:r>
      <w:r w:rsidRPr="00DF1F13">
        <w:rPr>
          <w:lang w:val="en-US"/>
        </w:rPr>
        <w:t xml:space="preserve"> </w:t>
      </w:r>
      <w:r w:rsidRPr="00DF1F13">
        <w:rPr>
          <w:rFonts w:ascii="Times New Roman" w:hAnsi="Times New Roman" w:cs="Times New Roman"/>
          <w:sz w:val="24"/>
          <w:szCs w:val="24"/>
          <w:lang w:val="en-US"/>
        </w:rPr>
        <w:t>transference. Nonetheless whether it is presumed that the Security Council can waive immunities, this does not signify such power may be transfer to the ICC.</w:t>
      </w:r>
      <w:r w:rsidR="00511F98" w:rsidRPr="00DF1F13">
        <w:rPr>
          <w:rFonts w:ascii="Times New Roman" w:hAnsi="Times New Roman" w:cs="Times New Roman"/>
          <w:sz w:val="24"/>
          <w:szCs w:val="24"/>
          <w:lang w:val="en-US"/>
        </w:rPr>
        <w:t xml:space="preserve"> Granting this kind of power to the ICC needs that the </w:t>
      </w:r>
      <w:r w:rsidR="006503A1">
        <w:rPr>
          <w:rFonts w:ascii="Times New Roman" w:hAnsi="Times New Roman" w:cs="Times New Roman"/>
          <w:sz w:val="24"/>
          <w:szCs w:val="24"/>
          <w:lang w:val="en-US"/>
        </w:rPr>
        <w:t>C</w:t>
      </w:r>
      <w:r w:rsidR="00511F98" w:rsidRPr="00DF1F13">
        <w:rPr>
          <w:rFonts w:ascii="Times New Roman" w:hAnsi="Times New Roman" w:cs="Times New Roman"/>
          <w:sz w:val="24"/>
          <w:szCs w:val="24"/>
          <w:lang w:val="en-US"/>
        </w:rPr>
        <w:t>ourt is effectively specialized to be given such Chapter VII power.</w:t>
      </w:r>
      <w:r w:rsidR="00511F98" w:rsidRPr="00DF1F13">
        <w:rPr>
          <w:rStyle w:val="Znakapoznpodarou"/>
          <w:rFonts w:ascii="Times New Roman" w:hAnsi="Times New Roman" w:cs="Times New Roman"/>
          <w:sz w:val="24"/>
          <w:szCs w:val="24"/>
          <w:lang w:val="en-US"/>
        </w:rPr>
        <w:footnoteReference w:id="119"/>
      </w:r>
      <w:r w:rsidR="00A20842" w:rsidRPr="00DF1F13">
        <w:rPr>
          <w:rFonts w:ascii="Times New Roman" w:hAnsi="Times New Roman" w:cs="Times New Roman"/>
          <w:sz w:val="24"/>
          <w:szCs w:val="24"/>
          <w:lang w:val="en-US"/>
        </w:rPr>
        <w:t xml:space="preserve"> Under the United Nations Charter, the specialized bodies are the Member States of the United Nations</w:t>
      </w:r>
      <w:r w:rsidR="00A20842" w:rsidRPr="00DF1F13">
        <w:rPr>
          <w:rStyle w:val="Znakapoznpodarou"/>
          <w:rFonts w:ascii="Times New Roman" w:hAnsi="Times New Roman" w:cs="Times New Roman"/>
          <w:sz w:val="24"/>
          <w:szCs w:val="24"/>
          <w:lang w:val="en-US"/>
        </w:rPr>
        <w:footnoteReference w:id="120"/>
      </w:r>
      <w:r w:rsidR="00A20842" w:rsidRPr="00DF1F13">
        <w:rPr>
          <w:rFonts w:ascii="Times New Roman" w:hAnsi="Times New Roman" w:cs="Times New Roman"/>
          <w:sz w:val="24"/>
          <w:szCs w:val="24"/>
          <w:lang w:val="en-US"/>
        </w:rPr>
        <w:t>;</w:t>
      </w:r>
      <w:r w:rsidR="0013013E" w:rsidRPr="00DF1F13">
        <w:rPr>
          <w:rFonts w:ascii="Times New Roman" w:hAnsi="Times New Roman" w:cs="Times New Roman"/>
          <w:sz w:val="24"/>
          <w:szCs w:val="24"/>
          <w:lang w:val="en-US"/>
        </w:rPr>
        <w:t xml:space="preserve"> “regional arrangements” as envisaged in Article 51 of the Charter</w:t>
      </w:r>
      <w:r w:rsidR="0013013E" w:rsidRPr="00DF1F13">
        <w:rPr>
          <w:rStyle w:val="Znakapoznpodarou"/>
          <w:rFonts w:ascii="Times New Roman" w:hAnsi="Times New Roman" w:cs="Times New Roman"/>
          <w:sz w:val="24"/>
          <w:szCs w:val="24"/>
          <w:lang w:val="en-US"/>
        </w:rPr>
        <w:footnoteReference w:id="121"/>
      </w:r>
      <w:r w:rsidR="0013013E" w:rsidRPr="00DF1F13">
        <w:rPr>
          <w:rFonts w:ascii="Times New Roman" w:hAnsi="Times New Roman" w:cs="Times New Roman"/>
          <w:sz w:val="24"/>
          <w:szCs w:val="24"/>
          <w:lang w:val="en-US"/>
        </w:rPr>
        <w:t xml:space="preserve"> and other bodies of the United Nations.</w:t>
      </w:r>
      <w:r w:rsidR="00B471B5" w:rsidRPr="00DF1F13">
        <w:rPr>
          <w:rFonts w:ascii="Times New Roman" w:hAnsi="Times New Roman" w:cs="Times New Roman"/>
          <w:sz w:val="24"/>
          <w:szCs w:val="24"/>
          <w:lang w:val="en-US"/>
        </w:rPr>
        <w:t xml:space="preserve"> The </w:t>
      </w:r>
      <w:r w:rsidR="00932FBE">
        <w:rPr>
          <w:rFonts w:ascii="Times New Roman" w:hAnsi="Times New Roman" w:cs="Times New Roman"/>
          <w:sz w:val="24"/>
          <w:szCs w:val="24"/>
          <w:lang w:val="en-US"/>
        </w:rPr>
        <w:t>C</w:t>
      </w:r>
      <w:r w:rsidR="00B471B5" w:rsidRPr="00DF1F13">
        <w:rPr>
          <w:rFonts w:ascii="Times New Roman" w:hAnsi="Times New Roman" w:cs="Times New Roman"/>
          <w:sz w:val="24"/>
          <w:szCs w:val="24"/>
          <w:lang w:val="en-US"/>
        </w:rPr>
        <w:t>ourt does not belong to none of these bodies.</w:t>
      </w:r>
      <w:r w:rsidR="00F564E0" w:rsidRPr="00DF1F13">
        <w:rPr>
          <w:rFonts w:ascii="Times New Roman" w:hAnsi="Times New Roman" w:cs="Times New Roman"/>
          <w:sz w:val="24"/>
          <w:szCs w:val="24"/>
          <w:lang w:val="en-US"/>
        </w:rPr>
        <w:t xml:space="preserve"> Although there is no explanation of the word “regional” in the Charter, nevertheless the kinds of organisms described as regional offices</w:t>
      </w:r>
      <w:r w:rsidR="00E712E4">
        <w:rPr>
          <w:rFonts w:ascii="Times New Roman" w:hAnsi="Times New Roman" w:cs="Times New Roman"/>
          <w:sz w:val="24"/>
          <w:szCs w:val="24"/>
          <w:lang w:val="en-US"/>
        </w:rPr>
        <w:t xml:space="preserve"> </w:t>
      </w:r>
      <w:r w:rsidR="00715AF5">
        <w:rPr>
          <w:rFonts w:ascii="Times New Roman" w:hAnsi="Times New Roman" w:cs="Times New Roman"/>
          <w:sz w:val="24"/>
          <w:szCs w:val="24"/>
          <w:lang w:val="en-US"/>
        </w:rPr>
        <w:t>include</w:t>
      </w:r>
      <w:r w:rsidR="00F67C9A">
        <w:rPr>
          <w:rFonts w:ascii="Times New Roman" w:hAnsi="Times New Roman" w:cs="Times New Roman"/>
          <w:sz w:val="24"/>
          <w:szCs w:val="24"/>
          <w:lang w:val="en-US"/>
        </w:rPr>
        <w:t xml:space="preserve"> </w:t>
      </w:r>
      <w:r w:rsidR="00F564E0" w:rsidRPr="00DF1F13">
        <w:rPr>
          <w:rFonts w:ascii="Times New Roman" w:hAnsi="Times New Roman" w:cs="Times New Roman"/>
          <w:sz w:val="24"/>
          <w:szCs w:val="24"/>
          <w:lang w:val="en-US"/>
        </w:rPr>
        <w:t>the Organization of American States</w:t>
      </w:r>
      <w:r w:rsidR="00F67C9A">
        <w:rPr>
          <w:rFonts w:ascii="Times New Roman" w:hAnsi="Times New Roman" w:cs="Times New Roman"/>
          <w:sz w:val="24"/>
          <w:szCs w:val="24"/>
          <w:lang w:val="en-US"/>
        </w:rPr>
        <w:t xml:space="preserve">, </w:t>
      </w:r>
      <w:r w:rsidR="00715AF5" w:rsidRPr="00DF1F13">
        <w:rPr>
          <w:rFonts w:ascii="Times New Roman" w:hAnsi="Times New Roman" w:cs="Times New Roman"/>
          <w:sz w:val="24"/>
          <w:szCs w:val="24"/>
          <w:lang w:val="en-US"/>
        </w:rPr>
        <w:t xml:space="preserve">the Arab </w:t>
      </w:r>
      <w:r w:rsidR="00F67C9A" w:rsidRPr="00DF1F13">
        <w:rPr>
          <w:rFonts w:ascii="Times New Roman" w:hAnsi="Times New Roman" w:cs="Times New Roman"/>
          <w:sz w:val="24"/>
          <w:szCs w:val="24"/>
          <w:lang w:val="en-US"/>
        </w:rPr>
        <w:t>League,</w:t>
      </w:r>
      <w:r w:rsidR="00F67C9A">
        <w:rPr>
          <w:rFonts w:ascii="Times New Roman" w:hAnsi="Times New Roman" w:cs="Times New Roman"/>
          <w:sz w:val="24"/>
          <w:szCs w:val="24"/>
          <w:lang w:val="en-US"/>
        </w:rPr>
        <w:t xml:space="preserve"> and </w:t>
      </w:r>
      <w:r w:rsidR="00F67C9A" w:rsidRPr="00DF1F13">
        <w:rPr>
          <w:rFonts w:ascii="Times New Roman" w:hAnsi="Times New Roman" w:cs="Times New Roman"/>
          <w:sz w:val="24"/>
          <w:szCs w:val="24"/>
          <w:lang w:val="en-US"/>
        </w:rPr>
        <w:t>the African Union</w:t>
      </w:r>
      <w:r w:rsidR="00F564E0" w:rsidRPr="00DF1F13">
        <w:rPr>
          <w:rFonts w:ascii="Times New Roman" w:hAnsi="Times New Roman" w:cs="Times New Roman"/>
          <w:sz w:val="24"/>
          <w:szCs w:val="24"/>
          <w:lang w:val="en-US"/>
        </w:rPr>
        <w:t>.</w:t>
      </w:r>
      <w:r w:rsidR="00F564E0" w:rsidRPr="00DF1F13">
        <w:rPr>
          <w:rStyle w:val="Znakapoznpodarou"/>
          <w:rFonts w:ascii="Times New Roman" w:hAnsi="Times New Roman" w:cs="Times New Roman"/>
          <w:sz w:val="24"/>
          <w:szCs w:val="24"/>
          <w:lang w:val="en-US"/>
        </w:rPr>
        <w:footnoteReference w:id="122"/>
      </w:r>
    </w:p>
    <w:p w14:paraId="3AD3525F" w14:textId="4692B28F" w:rsidR="002F1C97" w:rsidRPr="00DF1F13" w:rsidRDefault="00555CC5"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w:t>
      </w:r>
      <w:r w:rsidR="005F7467">
        <w:rPr>
          <w:rFonts w:ascii="Times New Roman" w:hAnsi="Times New Roman" w:cs="Times New Roman"/>
          <w:sz w:val="24"/>
          <w:szCs w:val="24"/>
          <w:lang w:val="en-US"/>
        </w:rPr>
        <w:t xml:space="preserve">Authorizing the ICC </w:t>
      </w:r>
      <w:r w:rsidRPr="00DF1F13">
        <w:rPr>
          <w:rFonts w:ascii="Times New Roman" w:hAnsi="Times New Roman" w:cs="Times New Roman"/>
          <w:sz w:val="24"/>
          <w:szCs w:val="24"/>
          <w:lang w:val="en-US"/>
        </w:rPr>
        <w:t xml:space="preserve">to </w:t>
      </w:r>
      <w:r w:rsidR="009C6820">
        <w:rPr>
          <w:rFonts w:ascii="Times New Roman" w:hAnsi="Times New Roman" w:cs="Times New Roman"/>
          <w:sz w:val="24"/>
          <w:szCs w:val="24"/>
          <w:lang w:val="en-US"/>
        </w:rPr>
        <w:t xml:space="preserve">get </w:t>
      </w:r>
      <w:r w:rsidRPr="00DF1F13">
        <w:rPr>
          <w:rFonts w:ascii="Times New Roman" w:hAnsi="Times New Roman" w:cs="Times New Roman"/>
          <w:sz w:val="24"/>
          <w:szCs w:val="24"/>
          <w:lang w:val="en-US"/>
        </w:rPr>
        <w:t>a regional statu</w:t>
      </w:r>
      <w:r w:rsidR="009C6820">
        <w:rPr>
          <w:rFonts w:ascii="Times New Roman" w:hAnsi="Times New Roman" w:cs="Times New Roman"/>
          <w:sz w:val="24"/>
          <w:szCs w:val="24"/>
          <w:lang w:val="en-US"/>
        </w:rPr>
        <w:t>te</w:t>
      </w:r>
      <w:r w:rsidRPr="00DF1F13">
        <w:rPr>
          <w:rFonts w:ascii="Times New Roman" w:hAnsi="Times New Roman" w:cs="Times New Roman"/>
          <w:sz w:val="24"/>
          <w:szCs w:val="24"/>
          <w:lang w:val="en-US"/>
        </w:rPr>
        <w:t xml:space="preserve"> </w:t>
      </w:r>
      <w:r w:rsidR="00AC370A">
        <w:rPr>
          <w:rFonts w:ascii="Times New Roman" w:hAnsi="Times New Roman" w:cs="Times New Roman"/>
          <w:sz w:val="24"/>
          <w:szCs w:val="24"/>
          <w:lang w:val="en-US"/>
        </w:rPr>
        <w:t xml:space="preserve">regarding </w:t>
      </w:r>
      <w:r w:rsidRPr="00DF1F13">
        <w:rPr>
          <w:rFonts w:ascii="Times New Roman" w:hAnsi="Times New Roman" w:cs="Times New Roman"/>
          <w:sz w:val="24"/>
          <w:szCs w:val="24"/>
          <w:lang w:val="en-US"/>
        </w:rPr>
        <w:t>Chapter VII</w:t>
      </w:r>
      <w:r w:rsidR="00AC370A">
        <w:rPr>
          <w:rFonts w:ascii="Times New Roman" w:hAnsi="Times New Roman" w:cs="Times New Roman"/>
          <w:sz w:val="24"/>
          <w:szCs w:val="24"/>
          <w:lang w:val="en-US"/>
        </w:rPr>
        <w:t xml:space="preserve"> power,</w:t>
      </w:r>
      <w:r w:rsidRPr="00DF1F13">
        <w:rPr>
          <w:rFonts w:ascii="Times New Roman" w:hAnsi="Times New Roman" w:cs="Times New Roman"/>
          <w:sz w:val="24"/>
          <w:szCs w:val="24"/>
          <w:lang w:val="en-US"/>
        </w:rPr>
        <w:t xml:space="preserve"> </w:t>
      </w:r>
      <w:r w:rsidR="00AC370A">
        <w:rPr>
          <w:rFonts w:ascii="Times New Roman" w:hAnsi="Times New Roman" w:cs="Times New Roman"/>
          <w:sz w:val="24"/>
          <w:szCs w:val="24"/>
          <w:lang w:val="en-US"/>
        </w:rPr>
        <w:t xml:space="preserve">may endanger </w:t>
      </w:r>
      <w:r w:rsidRPr="00DF1F13">
        <w:rPr>
          <w:rFonts w:ascii="Times New Roman" w:hAnsi="Times New Roman" w:cs="Times New Roman"/>
          <w:sz w:val="24"/>
          <w:szCs w:val="24"/>
          <w:lang w:val="en-US"/>
        </w:rPr>
        <w:t xml:space="preserve">the </w:t>
      </w:r>
      <w:r w:rsidR="009A750B">
        <w:rPr>
          <w:rFonts w:ascii="Times New Roman" w:hAnsi="Times New Roman" w:cs="Times New Roman"/>
          <w:sz w:val="24"/>
          <w:szCs w:val="24"/>
          <w:lang w:val="en-US"/>
        </w:rPr>
        <w:t xml:space="preserve">task </w:t>
      </w:r>
      <w:r w:rsidRPr="00DF1F13">
        <w:rPr>
          <w:rFonts w:ascii="Times New Roman" w:hAnsi="Times New Roman" w:cs="Times New Roman"/>
          <w:sz w:val="24"/>
          <w:szCs w:val="24"/>
          <w:lang w:val="en-US"/>
        </w:rPr>
        <w:t xml:space="preserve">of the United Nations in </w:t>
      </w:r>
      <w:r w:rsidR="009A750B">
        <w:rPr>
          <w:rFonts w:ascii="Times New Roman" w:hAnsi="Times New Roman" w:cs="Times New Roman"/>
          <w:sz w:val="24"/>
          <w:szCs w:val="24"/>
          <w:lang w:val="en-US"/>
        </w:rPr>
        <w:t>keep</w:t>
      </w:r>
      <w:r w:rsidRPr="00DF1F13">
        <w:rPr>
          <w:rFonts w:ascii="Times New Roman" w:hAnsi="Times New Roman" w:cs="Times New Roman"/>
          <w:sz w:val="24"/>
          <w:szCs w:val="24"/>
          <w:lang w:val="en-US"/>
        </w:rPr>
        <w:t>ing international peace</w:t>
      </w:r>
      <w:r w:rsidRPr="00DF1F13">
        <w:rPr>
          <w:rStyle w:val="Znakapoznpodarou"/>
          <w:rFonts w:ascii="Times New Roman" w:hAnsi="Times New Roman" w:cs="Times New Roman"/>
          <w:sz w:val="24"/>
          <w:szCs w:val="24"/>
          <w:lang w:val="en-US"/>
        </w:rPr>
        <w:footnoteReference w:id="123"/>
      </w:r>
      <w:r w:rsidR="008A3D3D" w:rsidRPr="00DF1F13">
        <w:rPr>
          <w:rFonts w:ascii="Times New Roman" w:hAnsi="Times New Roman" w:cs="Times New Roman"/>
          <w:sz w:val="24"/>
          <w:szCs w:val="24"/>
          <w:lang w:val="en-US"/>
        </w:rPr>
        <w:t xml:space="preserve"> by making senseless the closeness demand that is mentioned in Article 51.</w:t>
      </w:r>
      <w:r w:rsidR="008A3D3D" w:rsidRPr="00DF1F13">
        <w:rPr>
          <w:rStyle w:val="Znakapoznpodarou"/>
          <w:rFonts w:ascii="Times New Roman" w:hAnsi="Times New Roman" w:cs="Times New Roman"/>
          <w:sz w:val="24"/>
          <w:szCs w:val="24"/>
          <w:lang w:val="en-US"/>
        </w:rPr>
        <w:footnoteReference w:id="124"/>
      </w:r>
      <w:r w:rsidR="00182807" w:rsidRPr="00DF1F13">
        <w:rPr>
          <w:rFonts w:ascii="Times New Roman" w:hAnsi="Times New Roman" w:cs="Times New Roman"/>
          <w:sz w:val="24"/>
          <w:szCs w:val="24"/>
          <w:lang w:val="en-US"/>
        </w:rPr>
        <w:t xml:space="preserve"> However, whether the </w:t>
      </w:r>
      <w:r w:rsidR="00932FBE">
        <w:rPr>
          <w:rFonts w:ascii="Times New Roman" w:hAnsi="Times New Roman" w:cs="Times New Roman"/>
          <w:sz w:val="24"/>
          <w:szCs w:val="24"/>
          <w:lang w:val="en-US"/>
        </w:rPr>
        <w:t>C</w:t>
      </w:r>
      <w:r w:rsidR="00182807" w:rsidRPr="00DF1F13">
        <w:rPr>
          <w:rFonts w:ascii="Times New Roman" w:hAnsi="Times New Roman" w:cs="Times New Roman"/>
          <w:sz w:val="24"/>
          <w:szCs w:val="24"/>
          <w:lang w:val="en-US"/>
        </w:rPr>
        <w:t xml:space="preserve">ourt was ranked as a regional office, the issue appears because the sole Chapter VII </w:t>
      </w:r>
      <w:r w:rsidR="00843E49">
        <w:rPr>
          <w:rFonts w:ascii="Times New Roman" w:hAnsi="Times New Roman" w:cs="Times New Roman"/>
          <w:sz w:val="24"/>
          <w:szCs w:val="24"/>
          <w:lang w:val="en-US"/>
        </w:rPr>
        <w:t xml:space="preserve">authorities </w:t>
      </w:r>
      <w:r w:rsidR="00D45851">
        <w:rPr>
          <w:rFonts w:ascii="Times New Roman" w:hAnsi="Times New Roman" w:cs="Times New Roman"/>
          <w:sz w:val="24"/>
          <w:szCs w:val="24"/>
          <w:lang w:val="en-US"/>
        </w:rPr>
        <w:t xml:space="preserve">which can </w:t>
      </w:r>
      <w:r w:rsidR="00182807" w:rsidRPr="00DF1F13">
        <w:rPr>
          <w:rFonts w:ascii="Times New Roman" w:hAnsi="Times New Roman" w:cs="Times New Roman"/>
          <w:sz w:val="24"/>
          <w:szCs w:val="24"/>
          <w:lang w:val="en-US"/>
        </w:rPr>
        <w:t>be</w:t>
      </w:r>
      <w:r w:rsidR="00D45851">
        <w:rPr>
          <w:rFonts w:ascii="Times New Roman" w:hAnsi="Times New Roman" w:cs="Times New Roman"/>
          <w:sz w:val="24"/>
          <w:szCs w:val="24"/>
          <w:lang w:val="en-US"/>
        </w:rPr>
        <w:t xml:space="preserve"> delegated</w:t>
      </w:r>
      <w:r w:rsidR="00182807" w:rsidRPr="00DF1F13">
        <w:rPr>
          <w:rFonts w:ascii="Times New Roman" w:hAnsi="Times New Roman" w:cs="Times New Roman"/>
          <w:sz w:val="24"/>
          <w:szCs w:val="24"/>
          <w:lang w:val="en-US"/>
        </w:rPr>
        <w:t xml:space="preserve"> to </w:t>
      </w:r>
      <w:r w:rsidR="00182807" w:rsidRPr="00DF1F13">
        <w:rPr>
          <w:rFonts w:ascii="Times New Roman" w:hAnsi="Times New Roman" w:cs="Times New Roman"/>
          <w:sz w:val="24"/>
          <w:szCs w:val="24"/>
          <w:lang w:val="en-US"/>
        </w:rPr>
        <w:lastRenderedPageBreak/>
        <w:t xml:space="preserve">regional </w:t>
      </w:r>
      <w:r w:rsidR="00D45851">
        <w:rPr>
          <w:rFonts w:ascii="Times New Roman" w:hAnsi="Times New Roman" w:cs="Times New Roman"/>
          <w:sz w:val="24"/>
          <w:szCs w:val="24"/>
          <w:lang w:val="en-US"/>
        </w:rPr>
        <w:t xml:space="preserve">offices </w:t>
      </w:r>
      <w:r w:rsidR="00182807" w:rsidRPr="00DF1F13">
        <w:rPr>
          <w:rFonts w:ascii="Times New Roman" w:hAnsi="Times New Roman" w:cs="Times New Roman"/>
          <w:sz w:val="24"/>
          <w:szCs w:val="24"/>
          <w:lang w:val="en-US"/>
        </w:rPr>
        <w:t>are military implementation powers</w:t>
      </w:r>
      <w:r w:rsidR="00413588" w:rsidRPr="00DF1F13">
        <w:rPr>
          <w:rStyle w:val="Znakapoznpodarou"/>
          <w:rFonts w:ascii="Times New Roman" w:hAnsi="Times New Roman" w:cs="Times New Roman"/>
          <w:sz w:val="24"/>
          <w:szCs w:val="24"/>
          <w:lang w:val="en-US"/>
        </w:rPr>
        <w:footnoteReference w:id="125"/>
      </w:r>
      <w:r w:rsidR="00413588" w:rsidRPr="00DF1F13">
        <w:rPr>
          <w:rFonts w:ascii="Times New Roman" w:hAnsi="Times New Roman" w:cs="Times New Roman"/>
          <w:sz w:val="24"/>
          <w:szCs w:val="24"/>
          <w:lang w:val="en-US"/>
        </w:rPr>
        <w:t>,</w:t>
      </w:r>
      <w:r w:rsidR="00413588" w:rsidRPr="00DF1F13">
        <w:rPr>
          <w:lang w:val="en-US"/>
        </w:rPr>
        <w:t xml:space="preserve"> </w:t>
      </w:r>
      <w:r w:rsidR="00413588" w:rsidRPr="00DF1F13">
        <w:rPr>
          <w:rFonts w:ascii="Times New Roman" w:hAnsi="Times New Roman" w:cs="Times New Roman"/>
          <w:sz w:val="24"/>
          <w:szCs w:val="24"/>
          <w:lang w:val="en-US"/>
        </w:rPr>
        <w:t>in accordance with Article 53 (1) of the United Nations Charter.</w:t>
      </w:r>
      <w:r w:rsidR="00413588" w:rsidRPr="00DF1F13">
        <w:rPr>
          <w:rStyle w:val="Znakapoznpodarou"/>
          <w:rFonts w:ascii="Times New Roman" w:hAnsi="Times New Roman" w:cs="Times New Roman"/>
          <w:sz w:val="24"/>
          <w:szCs w:val="24"/>
          <w:lang w:val="en-US"/>
        </w:rPr>
        <w:footnoteReference w:id="126"/>
      </w:r>
      <w:r w:rsidR="00424A55" w:rsidRPr="00DF1F13">
        <w:rPr>
          <w:rFonts w:ascii="Times New Roman" w:hAnsi="Times New Roman" w:cs="Times New Roman"/>
          <w:sz w:val="24"/>
          <w:szCs w:val="24"/>
          <w:lang w:val="en-US"/>
        </w:rPr>
        <w:t xml:space="preserve"> The aim of Article 53 (1) is also proved by the United Nations Secretary-General program for Peace</w:t>
      </w:r>
      <w:r w:rsidR="00424A55" w:rsidRPr="00DF1F13">
        <w:rPr>
          <w:rStyle w:val="Znakapoznpodarou"/>
          <w:rFonts w:ascii="Times New Roman" w:hAnsi="Times New Roman" w:cs="Times New Roman"/>
          <w:sz w:val="24"/>
          <w:szCs w:val="24"/>
          <w:lang w:val="en-US"/>
        </w:rPr>
        <w:footnoteReference w:id="127"/>
      </w:r>
      <w:r w:rsidR="008E7F70" w:rsidRPr="00DF1F13">
        <w:rPr>
          <w:rFonts w:ascii="Times New Roman" w:hAnsi="Times New Roman" w:cs="Times New Roman"/>
          <w:sz w:val="24"/>
          <w:szCs w:val="24"/>
          <w:lang w:val="en-US"/>
        </w:rPr>
        <w:t>, that seek to place regional organisms at the service of the political and military functions of protective international relations and peacekeeping.</w:t>
      </w:r>
      <w:r w:rsidR="002F1C97" w:rsidRPr="00DF1F13">
        <w:rPr>
          <w:rStyle w:val="Znakapoznpodarou"/>
          <w:rFonts w:ascii="Times New Roman" w:hAnsi="Times New Roman" w:cs="Times New Roman"/>
          <w:sz w:val="24"/>
          <w:szCs w:val="24"/>
          <w:lang w:val="en-US"/>
        </w:rPr>
        <w:footnoteReference w:id="128"/>
      </w:r>
      <w:r w:rsidR="002F1C97" w:rsidRPr="00DF1F13">
        <w:rPr>
          <w:rFonts w:ascii="Times New Roman" w:hAnsi="Times New Roman" w:cs="Times New Roman"/>
          <w:sz w:val="24"/>
          <w:szCs w:val="24"/>
          <w:lang w:val="en-US"/>
        </w:rPr>
        <w:t xml:space="preserve"> It does not envisage any legal functions.</w:t>
      </w:r>
      <w:r w:rsidR="002F1C97" w:rsidRPr="00DF1F13">
        <w:rPr>
          <w:rStyle w:val="Znakapoznpodarou"/>
          <w:rFonts w:ascii="Times New Roman" w:hAnsi="Times New Roman" w:cs="Times New Roman"/>
          <w:sz w:val="24"/>
          <w:szCs w:val="24"/>
          <w:lang w:val="en-US"/>
        </w:rPr>
        <w:footnoteReference w:id="129"/>
      </w:r>
    </w:p>
    <w:p w14:paraId="2FA77AF0" w14:textId="7291D532" w:rsidR="00F25D9B" w:rsidRPr="00DF1F13" w:rsidRDefault="001E72C8"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ICC Statute is a treaty which was achieved without the United Nations, and the provisions of Articles 1 and 4 (1) of this treaty stipulate that the ICC is permanent</w:t>
      </w:r>
      <w:r w:rsidRPr="00DF1F13">
        <w:rPr>
          <w:lang w:val="en-US"/>
        </w:rPr>
        <w:t xml:space="preserve"> </w:t>
      </w:r>
      <w:r w:rsidRPr="00DF1F13">
        <w:rPr>
          <w:rFonts w:ascii="Times New Roman" w:hAnsi="Times New Roman" w:cs="Times New Roman"/>
          <w:sz w:val="24"/>
          <w:szCs w:val="24"/>
          <w:lang w:val="en-US"/>
        </w:rPr>
        <w:t>and that it has “international legal personality”. The preface and article 2 of the UN-ICC Agreement also admit the autonomy of the ICC from the United Nations</w:t>
      </w:r>
      <w:r w:rsidRPr="00DF1F13">
        <w:rPr>
          <w:lang w:val="en-US"/>
        </w:rPr>
        <w:t xml:space="preserve"> </w:t>
      </w:r>
      <w:r w:rsidRPr="00DF1F13">
        <w:rPr>
          <w:rFonts w:ascii="Times New Roman" w:hAnsi="Times New Roman" w:cs="Times New Roman"/>
          <w:sz w:val="24"/>
          <w:szCs w:val="24"/>
          <w:lang w:val="en-US"/>
        </w:rPr>
        <w:t>structure.</w:t>
      </w:r>
      <w:r w:rsidRPr="00DF1F13">
        <w:rPr>
          <w:rStyle w:val="Znakapoznpodarou"/>
          <w:rFonts w:ascii="Times New Roman" w:hAnsi="Times New Roman" w:cs="Times New Roman"/>
          <w:sz w:val="24"/>
          <w:szCs w:val="24"/>
          <w:lang w:val="en-US"/>
        </w:rPr>
        <w:footnoteReference w:id="130"/>
      </w:r>
      <w:r w:rsidR="00CC5663" w:rsidRPr="00DF1F13">
        <w:rPr>
          <w:rFonts w:ascii="Times New Roman" w:hAnsi="Times New Roman" w:cs="Times New Roman"/>
          <w:sz w:val="24"/>
          <w:szCs w:val="24"/>
          <w:lang w:val="en-US"/>
        </w:rPr>
        <w:t xml:space="preserve"> Differently from</w:t>
      </w:r>
      <w:r w:rsidR="00A2242E">
        <w:rPr>
          <w:rFonts w:ascii="Times New Roman" w:hAnsi="Times New Roman" w:cs="Times New Roman"/>
          <w:sz w:val="24"/>
          <w:szCs w:val="24"/>
          <w:lang w:val="en-US"/>
        </w:rPr>
        <w:t xml:space="preserve"> </w:t>
      </w:r>
      <w:r w:rsidR="00CC5663" w:rsidRPr="00DF1F13">
        <w:rPr>
          <w:rFonts w:ascii="Times New Roman" w:hAnsi="Times New Roman" w:cs="Times New Roman"/>
          <w:sz w:val="24"/>
          <w:szCs w:val="24"/>
          <w:lang w:val="en-US"/>
        </w:rPr>
        <w:t>the Special Court for Sierra Leone</w:t>
      </w:r>
      <w:r w:rsidR="00A2242E">
        <w:rPr>
          <w:rFonts w:ascii="Times New Roman" w:hAnsi="Times New Roman" w:cs="Times New Roman"/>
          <w:sz w:val="24"/>
          <w:szCs w:val="24"/>
          <w:lang w:val="en-US"/>
        </w:rPr>
        <w:t>,</w:t>
      </w:r>
      <w:r w:rsidR="00163D9D">
        <w:rPr>
          <w:rFonts w:ascii="Times New Roman" w:hAnsi="Times New Roman" w:cs="Times New Roman"/>
          <w:sz w:val="24"/>
          <w:szCs w:val="24"/>
          <w:lang w:val="en-US"/>
        </w:rPr>
        <w:t xml:space="preserve"> </w:t>
      </w:r>
      <w:r w:rsidR="00163D9D" w:rsidRPr="00DF1F13">
        <w:rPr>
          <w:rFonts w:ascii="Times New Roman" w:hAnsi="Times New Roman" w:cs="Times New Roman"/>
          <w:sz w:val="24"/>
          <w:szCs w:val="24"/>
          <w:lang w:val="en-US"/>
        </w:rPr>
        <w:t>the International Criminal Tribunal for the Former Yugoslavia</w:t>
      </w:r>
      <w:r w:rsidR="00A2242E">
        <w:rPr>
          <w:rFonts w:ascii="Times New Roman" w:hAnsi="Times New Roman" w:cs="Times New Roman"/>
          <w:sz w:val="24"/>
          <w:szCs w:val="24"/>
          <w:lang w:val="en-US"/>
        </w:rPr>
        <w:t xml:space="preserve"> and </w:t>
      </w:r>
      <w:r w:rsidR="00A2242E" w:rsidRPr="00DF1F13">
        <w:rPr>
          <w:rFonts w:ascii="Times New Roman" w:hAnsi="Times New Roman" w:cs="Times New Roman"/>
          <w:sz w:val="24"/>
          <w:szCs w:val="24"/>
          <w:lang w:val="en-US"/>
        </w:rPr>
        <w:t>the International Criminal Tribunal for Rwanda</w:t>
      </w:r>
      <w:r w:rsidR="00A2242E">
        <w:rPr>
          <w:rFonts w:ascii="Times New Roman" w:hAnsi="Times New Roman" w:cs="Times New Roman"/>
          <w:sz w:val="24"/>
          <w:szCs w:val="24"/>
          <w:lang w:val="en-US"/>
        </w:rPr>
        <w:t xml:space="preserve">, </w:t>
      </w:r>
      <w:r w:rsidR="00CC5663" w:rsidRPr="00DF1F13">
        <w:rPr>
          <w:rFonts w:ascii="Times New Roman" w:hAnsi="Times New Roman" w:cs="Times New Roman"/>
          <w:sz w:val="24"/>
          <w:szCs w:val="24"/>
          <w:lang w:val="en-US"/>
        </w:rPr>
        <w:t xml:space="preserve">the </w:t>
      </w:r>
      <w:r w:rsidR="00A2242E">
        <w:rPr>
          <w:rFonts w:ascii="Times New Roman" w:hAnsi="Times New Roman" w:cs="Times New Roman"/>
          <w:sz w:val="24"/>
          <w:szCs w:val="24"/>
          <w:lang w:val="en-US"/>
        </w:rPr>
        <w:t>ICC</w:t>
      </w:r>
      <w:r w:rsidR="00CC5663" w:rsidRPr="00DF1F13">
        <w:rPr>
          <w:rFonts w:ascii="Times New Roman" w:hAnsi="Times New Roman" w:cs="Times New Roman"/>
          <w:sz w:val="24"/>
          <w:szCs w:val="24"/>
          <w:lang w:val="en-US"/>
        </w:rPr>
        <w:t xml:space="preserve"> is </w:t>
      </w:r>
      <w:r w:rsidR="00A2242E">
        <w:rPr>
          <w:rFonts w:ascii="Times New Roman" w:hAnsi="Times New Roman" w:cs="Times New Roman"/>
          <w:sz w:val="24"/>
          <w:szCs w:val="24"/>
          <w:lang w:val="en-US"/>
        </w:rPr>
        <w:t xml:space="preserve">entirely </w:t>
      </w:r>
      <w:r w:rsidR="00E4157A">
        <w:rPr>
          <w:rFonts w:ascii="Times New Roman" w:hAnsi="Times New Roman" w:cs="Times New Roman"/>
          <w:sz w:val="24"/>
          <w:szCs w:val="24"/>
          <w:lang w:val="en-US"/>
        </w:rPr>
        <w:t xml:space="preserve">governed </w:t>
      </w:r>
      <w:r w:rsidR="00CC5663" w:rsidRPr="00DF1F13">
        <w:rPr>
          <w:rFonts w:ascii="Times New Roman" w:hAnsi="Times New Roman" w:cs="Times New Roman"/>
          <w:sz w:val="24"/>
          <w:szCs w:val="24"/>
          <w:lang w:val="en-US"/>
        </w:rPr>
        <w:t>by the Assembly of its States</w:t>
      </w:r>
      <w:r w:rsidR="00E4157A">
        <w:rPr>
          <w:rFonts w:ascii="Times New Roman" w:hAnsi="Times New Roman" w:cs="Times New Roman"/>
          <w:sz w:val="24"/>
          <w:szCs w:val="24"/>
          <w:lang w:val="en-US"/>
        </w:rPr>
        <w:t xml:space="preserve"> parties.</w:t>
      </w:r>
    </w:p>
    <w:p w14:paraId="62562D3A" w14:textId="72AF89CF" w:rsidR="00A369F7" w:rsidRPr="00DF1F13" w:rsidRDefault="00F25D9B"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w:t>
      </w:r>
      <w:r w:rsidR="00E773AC">
        <w:rPr>
          <w:rFonts w:ascii="Times New Roman" w:hAnsi="Times New Roman" w:cs="Times New Roman"/>
          <w:sz w:val="24"/>
          <w:szCs w:val="24"/>
          <w:lang w:val="en-US"/>
        </w:rPr>
        <w:t xml:space="preserve">Whereas </w:t>
      </w:r>
      <w:r w:rsidR="00E773AC" w:rsidRPr="00E773AC">
        <w:rPr>
          <w:rFonts w:ascii="Times New Roman" w:hAnsi="Times New Roman" w:cs="Times New Roman"/>
          <w:sz w:val="24"/>
          <w:szCs w:val="24"/>
          <w:lang w:val="en-US"/>
        </w:rPr>
        <w:t>juridically</w:t>
      </w:r>
      <w:r w:rsidR="00E773AC" w:rsidRPr="00E773AC">
        <w:t xml:space="preserve"> </w:t>
      </w:r>
      <w:r w:rsidR="00E773AC" w:rsidRPr="00E773AC">
        <w:rPr>
          <w:rFonts w:ascii="Times New Roman" w:hAnsi="Times New Roman" w:cs="Times New Roman"/>
          <w:sz w:val="24"/>
          <w:szCs w:val="24"/>
          <w:lang w:val="en-US"/>
        </w:rPr>
        <w:t>independent</w:t>
      </w:r>
      <w:r w:rsidRPr="00DF1F13">
        <w:rPr>
          <w:rFonts w:ascii="Times New Roman" w:hAnsi="Times New Roman" w:cs="Times New Roman"/>
          <w:sz w:val="24"/>
          <w:szCs w:val="24"/>
          <w:lang w:val="en-US"/>
        </w:rPr>
        <w:t>, the</w:t>
      </w:r>
      <w:r w:rsidR="00E773AC">
        <w:rPr>
          <w:rFonts w:ascii="Times New Roman" w:hAnsi="Times New Roman" w:cs="Times New Roman"/>
          <w:sz w:val="24"/>
          <w:szCs w:val="24"/>
          <w:lang w:val="en-US"/>
        </w:rPr>
        <w:t xml:space="preserve"> </w:t>
      </w:r>
      <w:r w:rsidRPr="00DF1F13">
        <w:rPr>
          <w:rFonts w:ascii="Times New Roman" w:hAnsi="Times New Roman" w:cs="Times New Roman"/>
          <w:sz w:val="24"/>
          <w:szCs w:val="24"/>
          <w:lang w:val="en-US"/>
        </w:rPr>
        <w:t>ICTR</w:t>
      </w:r>
      <w:r w:rsidR="00E773AC">
        <w:rPr>
          <w:rFonts w:ascii="Times New Roman" w:hAnsi="Times New Roman" w:cs="Times New Roman"/>
          <w:sz w:val="24"/>
          <w:szCs w:val="24"/>
          <w:lang w:val="en-US"/>
        </w:rPr>
        <w:t xml:space="preserve"> and </w:t>
      </w:r>
      <w:r w:rsidR="00E773AC" w:rsidRPr="00DF1F13">
        <w:rPr>
          <w:rFonts w:ascii="Times New Roman" w:hAnsi="Times New Roman" w:cs="Times New Roman"/>
          <w:sz w:val="24"/>
          <w:szCs w:val="24"/>
          <w:lang w:val="en-US"/>
        </w:rPr>
        <w:t>ICTY</w:t>
      </w:r>
      <w:r w:rsidRPr="00DF1F13">
        <w:rPr>
          <w:rFonts w:ascii="Times New Roman" w:hAnsi="Times New Roman" w:cs="Times New Roman"/>
          <w:sz w:val="24"/>
          <w:szCs w:val="24"/>
          <w:lang w:val="en-US"/>
        </w:rPr>
        <w:t xml:space="preserve"> can use Chapter VII power since they are UN bodies which were created by the Security Council, and which were transferred such power.</w:t>
      </w:r>
      <w:r w:rsidRPr="00DF1F13">
        <w:rPr>
          <w:rStyle w:val="Znakapoznpodarou"/>
          <w:rFonts w:ascii="Times New Roman" w:hAnsi="Times New Roman" w:cs="Times New Roman"/>
          <w:sz w:val="24"/>
          <w:szCs w:val="24"/>
          <w:lang w:val="en-US"/>
        </w:rPr>
        <w:footnoteReference w:id="131"/>
      </w:r>
      <w:r w:rsidR="00866A35" w:rsidRPr="00DF1F13">
        <w:rPr>
          <w:rFonts w:ascii="Times New Roman" w:hAnsi="Times New Roman" w:cs="Times New Roman"/>
          <w:sz w:val="24"/>
          <w:szCs w:val="24"/>
          <w:lang w:val="en-US"/>
        </w:rPr>
        <w:t xml:space="preserve"> The Security Council is not able to oversee any task of the Court, comprising the designation of its staff.</w:t>
      </w:r>
      <w:r w:rsidR="00A7121F" w:rsidRPr="00DF1F13">
        <w:rPr>
          <w:rFonts w:ascii="Times New Roman" w:hAnsi="Times New Roman" w:cs="Times New Roman"/>
          <w:sz w:val="24"/>
          <w:szCs w:val="24"/>
          <w:lang w:val="en-US"/>
        </w:rPr>
        <w:t xml:space="preserve"> On the other hand, with the S</w:t>
      </w:r>
      <w:r w:rsidR="00CB50EB">
        <w:rPr>
          <w:rFonts w:ascii="Times New Roman" w:hAnsi="Times New Roman" w:cs="Times New Roman"/>
          <w:sz w:val="24"/>
          <w:szCs w:val="24"/>
          <w:lang w:val="en-US"/>
        </w:rPr>
        <w:t xml:space="preserve">pecial </w:t>
      </w:r>
      <w:r w:rsidR="00A7121F" w:rsidRPr="00DF1F13">
        <w:rPr>
          <w:rFonts w:ascii="Times New Roman" w:hAnsi="Times New Roman" w:cs="Times New Roman"/>
          <w:sz w:val="24"/>
          <w:szCs w:val="24"/>
          <w:lang w:val="en-US"/>
        </w:rPr>
        <w:t>C</w:t>
      </w:r>
      <w:r w:rsidR="00CB50EB">
        <w:rPr>
          <w:rFonts w:ascii="Times New Roman" w:hAnsi="Times New Roman" w:cs="Times New Roman"/>
          <w:sz w:val="24"/>
          <w:szCs w:val="24"/>
          <w:lang w:val="en-US"/>
        </w:rPr>
        <w:t xml:space="preserve">ourt for </w:t>
      </w:r>
      <w:r w:rsidR="00A7121F" w:rsidRPr="00DF1F13">
        <w:rPr>
          <w:rFonts w:ascii="Times New Roman" w:hAnsi="Times New Roman" w:cs="Times New Roman"/>
          <w:sz w:val="24"/>
          <w:szCs w:val="24"/>
          <w:lang w:val="en-US"/>
        </w:rPr>
        <w:t>S</w:t>
      </w:r>
      <w:r w:rsidR="00CB50EB">
        <w:rPr>
          <w:rFonts w:ascii="Times New Roman" w:hAnsi="Times New Roman" w:cs="Times New Roman"/>
          <w:sz w:val="24"/>
          <w:szCs w:val="24"/>
          <w:lang w:val="en-US"/>
        </w:rPr>
        <w:t xml:space="preserve">ierra </w:t>
      </w:r>
      <w:r w:rsidR="00A7121F" w:rsidRPr="00DF1F13">
        <w:rPr>
          <w:rFonts w:ascii="Times New Roman" w:hAnsi="Times New Roman" w:cs="Times New Roman"/>
          <w:sz w:val="24"/>
          <w:szCs w:val="24"/>
          <w:lang w:val="en-US"/>
        </w:rPr>
        <w:t>L</w:t>
      </w:r>
      <w:r w:rsidR="00CB50EB">
        <w:rPr>
          <w:rFonts w:ascii="Times New Roman" w:hAnsi="Times New Roman" w:cs="Times New Roman"/>
          <w:sz w:val="24"/>
          <w:szCs w:val="24"/>
          <w:lang w:val="en-US"/>
        </w:rPr>
        <w:t>eone</w:t>
      </w:r>
      <w:r w:rsidR="00A7121F" w:rsidRPr="00DF1F13">
        <w:rPr>
          <w:rFonts w:ascii="Times New Roman" w:hAnsi="Times New Roman" w:cs="Times New Roman"/>
          <w:sz w:val="24"/>
          <w:szCs w:val="24"/>
          <w:lang w:val="en-US"/>
        </w:rPr>
        <w:t>, the Secretary General</w:t>
      </w:r>
      <w:r w:rsidR="00875699">
        <w:rPr>
          <w:rFonts w:ascii="Times New Roman" w:hAnsi="Times New Roman" w:cs="Times New Roman"/>
          <w:sz w:val="24"/>
          <w:szCs w:val="24"/>
          <w:lang w:val="en-US"/>
        </w:rPr>
        <w:t xml:space="preserve"> of</w:t>
      </w:r>
      <w:r w:rsidR="00F00868">
        <w:rPr>
          <w:rFonts w:ascii="Times New Roman" w:hAnsi="Times New Roman" w:cs="Times New Roman"/>
          <w:sz w:val="24"/>
          <w:szCs w:val="24"/>
          <w:lang w:val="en-US"/>
        </w:rPr>
        <w:t xml:space="preserve"> the</w:t>
      </w:r>
      <w:r w:rsidR="00875699">
        <w:rPr>
          <w:rFonts w:ascii="Times New Roman" w:hAnsi="Times New Roman" w:cs="Times New Roman"/>
          <w:sz w:val="24"/>
          <w:szCs w:val="24"/>
          <w:lang w:val="en-US"/>
        </w:rPr>
        <w:t xml:space="preserve"> UN</w:t>
      </w:r>
      <w:r w:rsidR="00875699" w:rsidRPr="00875699">
        <w:t xml:space="preserve"> </w:t>
      </w:r>
      <w:r w:rsidR="00875699" w:rsidRPr="00875699">
        <w:rPr>
          <w:rFonts w:ascii="Times New Roman" w:hAnsi="Times New Roman" w:cs="Times New Roman"/>
          <w:sz w:val="24"/>
          <w:szCs w:val="24"/>
          <w:lang w:val="en-US"/>
        </w:rPr>
        <w:t>supervises</w:t>
      </w:r>
      <w:r w:rsidR="005054F2">
        <w:rPr>
          <w:rFonts w:ascii="Times New Roman" w:hAnsi="Times New Roman" w:cs="Times New Roman"/>
          <w:sz w:val="24"/>
          <w:szCs w:val="24"/>
          <w:lang w:val="en-US"/>
        </w:rPr>
        <w:t xml:space="preserve"> himself</w:t>
      </w:r>
      <w:r w:rsidR="00A7121F" w:rsidRPr="00DF1F13">
        <w:rPr>
          <w:rFonts w:ascii="Times New Roman" w:hAnsi="Times New Roman" w:cs="Times New Roman"/>
          <w:sz w:val="24"/>
          <w:szCs w:val="24"/>
          <w:lang w:val="en-US"/>
        </w:rPr>
        <w:t xml:space="preserve"> or</w:t>
      </w:r>
      <w:r w:rsidR="005054F2">
        <w:rPr>
          <w:rFonts w:ascii="Times New Roman" w:hAnsi="Times New Roman" w:cs="Times New Roman"/>
          <w:sz w:val="24"/>
          <w:szCs w:val="24"/>
          <w:lang w:val="en-US"/>
        </w:rPr>
        <w:t xml:space="preserve"> </w:t>
      </w:r>
      <w:r w:rsidR="00A7121F" w:rsidRPr="00DF1F13">
        <w:rPr>
          <w:rFonts w:ascii="Times New Roman" w:hAnsi="Times New Roman" w:cs="Times New Roman"/>
          <w:sz w:val="24"/>
          <w:szCs w:val="24"/>
          <w:lang w:val="en-US"/>
        </w:rPr>
        <w:t xml:space="preserve">with other </w:t>
      </w:r>
      <w:r w:rsidR="005054F2">
        <w:rPr>
          <w:rFonts w:ascii="Times New Roman" w:hAnsi="Times New Roman" w:cs="Times New Roman"/>
          <w:sz w:val="24"/>
          <w:szCs w:val="24"/>
          <w:lang w:val="en-US"/>
        </w:rPr>
        <w:t xml:space="preserve">members </w:t>
      </w:r>
      <w:r w:rsidR="00A7121F" w:rsidRPr="00DF1F13">
        <w:rPr>
          <w:rFonts w:ascii="Times New Roman" w:hAnsi="Times New Roman" w:cs="Times New Roman"/>
          <w:sz w:val="24"/>
          <w:szCs w:val="24"/>
          <w:lang w:val="en-US"/>
        </w:rPr>
        <w:t>of the</w:t>
      </w:r>
      <w:r w:rsidR="005054F2">
        <w:rPr>
          <w:rFonts w:ascii="Times New Roman" w:hAnsi="Times New Roman" w:cs="Times New Roman"/>
          <w:sz w:val="24"/>
          <w:szCs w:val="24"/>
          <w:lang w:val="en-US"/>
        </w:rPr>
        <w:t xml:space="preserve"> Court</w:t>
      </w:r>
      <w:r w:rsidR="00F00868">
        <w:rPr>
          <w:rFonts w:ascii="Times New Roman" w:hAnsi="Times New Roman" w:cs="Times New Roman"/>
          <w:sz w:val="24"/>
          <w:szCs w:val="24"/>
          <w:lang w:val="en-US"/>
        </w:rPr>
        <w:t>,</w:t>
      </w:r>
      <w:r w:rsidR="00A7121F" w:rsidRPr="00DF1F13">
        <w:rPr>
          <w:rFonts w:ascii="Times New Roman" w:hAnsi="Times New Roman" w:cs="Times New Roman"/>
          <w:sz w:val="24"/>
          <w:szCs w:val="24"/>
          <w:lang w:val="en-US"/>
        </w:rPr>
        <w:t xml:space="preserve"> the </w:t>
      </w:r>
      <w:r w:rsidR="00323B49" w:rsidRPr="00323B49">
        <w:rPr>
          <w:rFonts w:ascii="Times New Roman" w:hAnsi="Times New Roman" w:cs="Times New Roman"/>
          <w:sz w:val="24"/>
          <w:szCs w:val="24"/>
          <w:lang w:val="en-US"/>
        </w:rPr>
        <w:t xml:space="preserve">appointment </w:t>
      </w:r>
      <w:r w:rsidR="00A7121F" w:rsidRPr="00DF1F13">
        <w:rPr>
          <w:rFonts w:ascii="Times New Roman" w:hAnsi="Times New Roman" w:cs="Times New Roman"/>
          <w:sz w:val="24"/>
          <w:szCs w:val="24"/>
          <w:lang w:val="en-US"/>
        </w:rPr>
        <w:t>of</w:t>
      </w:r>
      <w:r w:rsidR="00B5645C" w:rsidRPr="00B5645C">
        <w:t xml:space="preserve"> </w:t>
      </w:r>
      <w:r w:rsidR="00B5645C" w:rsidRPr="00B5645C">
        <w:rPr>
          <w:rFonts w:ascii="Times New Roman" w:hAnsi="Times New Roman" w:cs="Times New Roman"/>
          <w:sz w:val="24"/>
          <w:szCs w:val="24"/>
          <w:lang w:val="en-US"/>
        </w:rPr>
        <w:t>magistrates</w:t>
      </w:r>
      <w:r w:rsidR="00A7121F" w:rsidRPr="00DF1F13">
        <w:rPr>
          <w:rFonts w:ascii="Times New Roman" w:hAnsi="Times New Roman" w:cs="Times New Roman"/>
          <w:sz w:val="24"/>
          <w:szCs w:val="24"/>
          <w:lang w:val="en-US"/>
        </w:rPr>
        <w:t>, prosecutors, and</w:t>
      </w:r>
      <w:r w:rsidR="00891782">
        <w:rPr>
          <w:rFonts w:ascii="Times New Roman" w:hAnsi="Times New Roman" w:cs="Times New Roman"/>
          <w:sz w:val="24"/>
          <w:szCs w:val="24"/>
          <w:lang w:val="en-US"/>
        </w:rPr>
        <w:t xml:space="preserve"> other officers of </w:t>
      </w:r>
      <w:r w:rsidR="00891782" w:rsidRPr="00DF1F13">
        <w:rPr>
          <w:rFonts w:ascii="Times New Roman" w:hAnsi="Times New Roman" w:cs="Times New Roman"/>
          <w:sz w:val="24"/>
          <w:szCs w:val="24"/>
          <w:lang w:val="en-US"/>
        </w:rPr>
        <w:t>the</w:t>
      </w:r>
      <w:r w:rsidR="00A7121F" w:rsidRPr="00DF1F13">
        <w:rPr>
          <w:rFonts w:ascii="Times New Roman" w:hAnsi="Times New Roman" w:cs="Times New Roman"/>
          <w:sz w:val="24"/>
          <w:szCs w:val="24"/>
          <w:lang w:val="en-US"/>
        </w:rPr>
        <w:t xml:space="preserve"> </w:t>
      </w:r>
      <w:r w:rsidR="00611041">
        <w:rPr>
          <w:rFonts w:ascii="Times New Roman" w:hAnsi="Times New Roman" w:cs="Times New Roman"/>
          <w:sz w:val="24"/>
          <w:szCs w:val="24"/>
          <w:lang w:val="en-US"/>
        </w:rPr>
        <w:t>tribunal</w:t>
      </w:r>
      <w:r w:rsidR="00A7121F" w:rsidRPr="00DF1F13">
        <w:rPr>
          <w:rFonts w:ascii="Times New Roman" w:hAnsi="Times New Roman" w:cs="Times New Roman"/>
          <w:sz w:val="24"/>
          <w:szCs w:val="24"/>
          <w:lang w:val="en-US"/>
        </w:rPr>
        <w:t>.</w:t>
      </w:r>
      <w:r w:rsidR="00A7121F" w:rsidRPr="00DF1F13">
        <w:rPr>
          <w:rStyle w:val="Znakapoznpodarou"/>
          <w:rFonts w:ascii="Times New Roman" w:hAnsi="Times New Roman" w:cs="Times New Roman"/>
          <w:sz w:val="24"/>
          <w:szCs w:val="24"/>
          <w:lang w:val="en-US"/>
        </w:rPr>
        <w:footnoteReference w:id="132"/>
      </w:r>
      <w:r w:rsidR="004C50D5" w:rsidRPr="00DF1F13">
        <w:rPr>
          <w:rFonts w:ascii="Times New Roman" w:hAnsi="Times New Roman" w:cs="Times New Roman"/>
          <w:sz w:val="24"/>
          <w:szCs w:val="24"/>
          <w:lang w:val="en-US"/>
        </w:rPr>
        <w:t xml:space="preserve"> </w:t>
      </w:r>
    </w:p>
    <w:p w14:paraId="215B834D" w14:textId="253380A2" w:rsidR="00675667" w:rsidRPr="00DF1F13" w:rsidRDefault="00F609F0" w:rsidP="00966571">
      <w:pPr>
        <w:spacing w:before="240" w:after="12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F609F0">
        <w:rPr>
          <w:rFonts w:ascii="Times New Roman" w:hAnsi="Times New Roman" w:cs="Times New Roman"/>
          <w:sz w:val="24"/>
          <w:szCs w:val="24"/>
          <w:lang w:val="en-US"/>
        </w:rPr>
        <w:t xml:space="preserve">n the light of our </w:t>
      </w:r>
      <w:r w:rsidR="005D2C3B" w:rsidRPr="00F609F0">
        <w:rPr>
          <w:rFonts w:ascii="Times New Roman" w:hAnsi="Times New Roman" w:cs="Times New Roman"/>
          <w:sz w:val="24"/>
          <w:szCs w:val="24"/>
          <w:lang w:val="en-US"/>
        </w:rPr>
        <w:t>analysis</w:t>
      </w:r>
      <w:r w:rsidR="005D2C3B">
        <w:rPr>
          <w:rFonts w:ascii="Times New Roman" w:hAnsi="Times New Roman" w:cs="Times New Roman"/>
          <w:sz w:val="24"/>
          <w:szCs w:val="24"/>
          <w:lang w:val="en-US"/>
        </w:rPr>
        <w:t>, there is</w:t>
      </w:r>
      <w:r w:rsidRPr="00DF1F13">
        <w:rPr>
          <w:rFonts w:ascii="Times New Roman" w:hAnsi="Times New Roman" w:cs="Times New Roman"/>
          <w:sz w:val="24"/>
          <w:szCs w:val="24"/>
          <w:lang w:val="en-US"/>
        </w:rPr>
        <w:t xml:space="preserve"> </w:t>
      </w:r>
      <w:r w:rsidR="004C50D5" w:rsidRPr="00DF1F13">
        <w:rPr>
          <w:rFonts w:ascii="Times New Roman" w:hAnsi="Times New Roman" w:cs="Times New Roman"/>
          <w:sz w:val="24"/>
          <w:szCs w:val="24"/>
          <w:lang w:val="en-US"/>
        </w:rPr>
        <w:t xml:space="preserve">no </w:t>
      </w:r>
      <w:r w:rsidR="005D2C3B" w:rsidRPr="005D2C3B">
        <w:rPr>
          <w:rFonts w:ascii="Times New Roman" w:hAnsi="Times New Roman" w:cs="Times New Roman"/>
          <w:sz w:val="24"/>
          <w:szCs w:val="24"/>
          <w:lang w:val="en-US"/>
        </w:rPr>
        <w:t>juridical</w:t>
      </w:r>
      <w:r w:rsidR="005D2C3B">
        <w:rPr>
          <w:rFonts w:ascii="Times New Roman" w:hAnsi="Times New Roman" w:cs="Times New Roman"/>
          <w:sz w:val="24"/>
          <w:szCs w:val="24"/>
          <w:lang w:val="en-US"/>
        </w:rPr>
        <w:t xml:space="preserve"> basis according to </w:t>
      </w:r>
      <w:r w:rsidR="004C50D5" w:rsidRPr="00DF1F13">
        <w:rPr>
          <w:rFonts w:ascii="Times New Roman" w:hAnsi="Times New Roman" w:cs="Times New Roman"/>
          <w:sz w:val="24"/>
          <w:szCs w:val="24"/>
          <w:lang w:val="en-US"/>
        </w:rPr>
        <w:t>which the</w:t>
      </w:r>
      <w:r w:rsidR="005D2C3B">
        <w:rPr>
          <w:rFonts w:ascii="Times New Roman" w:hAnsi="Times New Roman" w:cs="Times New Roman"/>
          <w:sz w:val="24"/>
          <w:szCs w:val="24"/>
          <w:lang w:val="en-US"/>
        </w:rPr>
        <w:t xml:space="preserve"> Court may</w:t>
      </w:r>
      <w:r w:rsidR="004C50D5" w:rsidRPr="00DF1F13">
        <w:rPr>
          <w:rFonts w:ascii="Times New Roman" w:hAnsi="Times New Roman" w:cs="Times New Roman"/>
          <w:sz w:val="24"/>
          <w:szCs w:val="24"/>
          <w:lang w:val="en-US"/>
        </w:rPr>
        <w:t xml:space="preserve"> </w:t>
      </w:r>
      <w:r w:rsidR="005D2C3B">
        <w:rPr>
          <w:rFonts w:ascii="Times New Roman" w:hAnsi="Times New Roman" w:cs="Times New Roman"/>
          <w:sz w:val="24"/>
          <w:szCs w:val="24"/>
          <w:lang w:val="en-US"/>
        </w:rPr>
        <w:t xml:space="preserve">exercise </w:t>
      </w:r>
      <w:r w:rsidR="004C50D5" w:rsidRPr="00DF1F13">
        <w:rPr>
          <w:rFonts w:ascii="Times New Roman" w:hAnsi="Times New Roman" w:cs="Times New Roman"/>
          <w:sz w:val="24"/>
          <w:szCs w:val="24"/>
          <w:lang w:val="en-US"/>
        </w:rPr>
        <w:t>the</w:t>
      </w:r>
      <w:r w:rsidR="004C50D5" w:rsidRPr="00DF1F13">
        <w:rPr>
          <w:sz w:val="28"/>
          <w:szCs w:val="28"/>
          <w:lang w:val="en-US"/>
        </w:rPr>
        <w:t xml:space="preserve"> </w:t>
      </w:r>
      <w:r w:rsidR="004C50D5" w:rsidRPr="00DF1F13">
        <w:rPr>
          <w:rFonts w:ascii="Times New Roman" w:hAnsi="Times New Roman" w:cs="Times New Roman"/>
          <w:sz w:val="24"/>
          <w:szCs w:val="24"/>
          <w:lang w:val="en-US"/>
        </w:rPr>
        <w:t xml:space="preserve">Chapter VII </w:t>
      </w:r>
      <w:r w:rsidR="000800F8">
        <w:rPr>
          <w:rFonts w:ascii="Times New Roman" w:hAnsi="Times New Roman" w:cs="Times New Roman"/>
          <w:sz w:val="24"/>
          <w:szCs w:val="24"/>
          <w:lang w:val="en-US"/>
        </w:rPr>
        <w:t xml:space="preserve">authorities </w:t>
      </w:r>
      <w:r w:rsidR="004C50D5" w:rsidRPr="00DF1F13">
        <w:rPr>
          <w:rFonts w:ascii="Times New Roman" w:hAnsi="Times New Roman" w:cs="Times New Roman"/>
          <w:sz w:val="24"/>
          <w:szCs w:val="24"/>
          <w:lang w:val="en-US"/>
        </w:rPr>
        <w:t xml:space="preserve">comprising the power to tie </w:t>
      </w:r>
      <w:r w:rsidR="00932FBE">
        <w:rPr>
          <w:rFonts w:ascii="Times New Roman" w:hAnsi="Times New Roman" w:cs="Times New Roman"/>
          <w:sz w:val="24"/>
          <w:szCs w:val="24"/>
          <w:lang w:val="en-US"/>
        </w:rPr>
        <w:t>s</w:t>
      </w:r>
      <w:r w:rsidR="004C50D5" w:rsidRPr="00DF1F13">
        <w:rPr>
          <w:rFonts w:ascii="Times New Roman" w:hAnsi="Times New Roman" w:cs="Times New Roman"/>
          <w:sz w:val="24"/>
          <w:szCs w:val="24"/>
          <w:lang w:val="en-US"/>
        </w:rPr>
        <w:t>tates that</w:t>
      </w:r>
      <w:r w:rsidR="00DF1F13">
        <w:rPr>
          <w:rFonts w:ascii="Times New Roman" w:hAnsi="Times New Roman" w:cs="Times New Roman"/>
          <w:sz w:val="24"/>
          <w:szCs w:val="24"/>
          <w:lang w:val="en-US"/>
        </w:rPr>
        <w:t xml:space="preserve"> are nonparties to the statute.</w:t>
      </w:r>
    </w:p>
    <w:p w14:paraId="51704600" w14:textId="35A8B689" w:rsidR="0067311B" w:rsidRPr="00DF1F13" w:rsidRDefault="005B0BFC" w:rsidP="00966571">
      <w:pPr>
        <w:pStyle w:val="Nadpis1"/>
        <w:spacing w:after="120"/>
        <w:ind w:left="170" w:right="113"/>
        <w:jc w:val="both"/>
        <w:rPr>
          <w:rFonts w:ascii="Times New Roman" w:hAnsi="Times New Roman" w:cs="Times New Roman"/>
          <w:b/>
          <w:bCs/>
          <w:color w:val="auto"/>
        </w:rPr>
      </w:pPr>
      <w:bookmarkStart w:id="52" w:name="_Toc109340805"/>
      <w:r w:rsidRPr="00DF1F13">
        <w:rPr>
          <w:rFonts w:ascii="Times New Roman" w:hAnsi="Times New Roman" w:cs="Times New Roman"/>
          <w:b/>
          <w:bCs/>
          <w:color w:val="auto"/>
        </w:rPr>
        <w:lastRenderedPageBreak/>
        <w:t>4.2</w:t>
      </w:r>
      <w:r w:rsidR="00675667" w:rsidRPr="00DF1F13">
        <w:rPr>
          <w:rFonts w:ascii="Times New Roman" w:hAnsi="Times New Roman" w:cs="Times New Roman"/>
          <w:b/>
          <w:bCs/>
          <w:color w:val="auto"/>
        </w:rPr>
        <w:t xml:space="preserve"> </w:t>
      </w:r>
      <w:r w:rsidRPr="00DF1F13">
        <w:rPr>
          <w:rFonts w:ascii="Times New Roman" w:hAnsi="Times New Roman" w:cs="Times New Roman"/>
          <w:b/>
          <w:bCs/>
          <w:color w:val="auto"/>
        </w:rPr>
        <w:t>Article 103 and the</w:t>
      </w:r>
      <w:r w:rsidR="00621077">
        <w:rPr>
          <w:rFonts w:ascii="Times New Roman" w:hAnsi="Times New Roman" w:cs="Times New Roman"/>
          <w:b/>
          <w:bCs/>
          <w:color w:val="auto"/>
        </w:rPr>
        <w:t xml:space="preserve"> </w:t>
      </w:r>
      <w:r w:rsidR="00621077" w:rsidRPr="00DF1F13">
        <w:rPr>
          <w:rFonts w:ascii="Times New Roman" w:hAnsi="Times New Roman" w:cs="Times New Roman"/>
          <w:b/>
          <w:bCs/>
          <w:color w:val="auto"/>
        </w:rPr>
        <w:t>primacy</w:t>
      </w:r>
      <w:r w:rsidR="00621077">
        <w:rPr>
          <w:rFonts w:ascii="Times New Roman" w:hAnsi="Times New Roman" w:cs="Times New Roman"/>
          <w:b/>
          <w:bCs/>
          <w:color w:val="auto"/>
        </w:rPr>
        <w:t xml:space="preserve"> </w:t>
      </w:r>
      <w:r w:rsidRPr="00DF1F13">
        <w:rPr>
          <w:rFonts w:ascii="Times New Roman" w:hAnsi="Times New Roman" w:cs="Times New Roman"/>
          <w:b/>
          <w:bCs/>
          <w:color w:val="auto"/>
        </w:rPr>
        <w:t>of the</w:t>
      </w:r>
      <w:r w:rsidR="00621077">
        <w:rPr>
          <w:rFonts w:ascii="Times New Roman" w:hAnsi="Times New Roman" w:cs="Times New Roman"/>
          <w:b/>
          <w:bCs/>
          <w:color w:val="auto"/>
        </w:rPr>
        <w:t xml:space="preserve"> United Nations </w:t>
      </w:r>
      <w:r w:rsidRPr="00DF1F13">
        <w:rPr>
          <w:rFonts w:ascii="Times New Roman" w:hAnsi="Times New Roman" w:cs="Times New Roman"/>
          <w:b/>
          <w:bCs/>
          <w:color w:val="auto"/>
        </w:rPr>
        <w:t>Security Council:</w:t>
      </w:r>
      <w:bookmarkEnd w:id="52"/>
    </w:p>
    <w:p w14:paraId="6F9E5DA6" w14:textId="766927AE" w:rsidR="00A552CA" w:rsidRPr="00A72756" w:rsidRDefault="0067311B" w:rsidP="00966571">
      <w:pPr>
        <w:spacing w:before="240" w:after="120" w:line="360" w:lineRule="auto"/>
        <w:ind w:left="170" w:right="113"/>
        <w:jc w:val="both"/>
        <w:rPr>
          <w:rFonts w:ascii="Times New Roman" w:hAnsi="Times New Roman" w:cs="Times New Roman"/>
          <w:sz w:val="24"/>
          <w:szCs w:val="24"/>
          <w:lang w:val="en-US"/>
        </w:rPr>
      </w:pPr>
      <w:r w:rsidRPr="00A72756">
        <w:rPr>
          <w:rFonts w:ascii="Times New Roman" w:hAnsi="Times New Roman" w:cs="Times New Roman"/>
          <w:sz w:val="24"/>
          <w:szCs w:val="24"/>
          <w:lang w:val="en-US"/>
        </w:rPr>
        <w:t xml:space="preserve">The </w:t>
      </w:r>
      <w:r w:rsidR="006B5F96" w:rsidRPr="00A72756">
        <w:rPr>
          <w:rFonts w:ascii="Times New Roman" w:hAnsi="Times New Roman" w:cs="Times New Roman"/>
          <w:sz w:val="24"/>
          <w:szCs w:val="24"/>
          <w:lang w:val="en-US"/>
        </w:rPr>
        <w:t xml:space="preserve">next rationales </w:t>
      </w:r>
      <w:r w:rsidRPr="00A72756">
        <w:rPr>
          <w:rFonts w:ascii="Times New Roman" w:hAnsi="Times New Roman" w:cs="Times New Roman"/>
          <w:sz w:val="24"/>
          <w:szCs w:val="24"/>
          <w:lang w:val="en-US"/>
        </w:rPr>
        <w:t>in</w:t>
      </w:r>
      <w:r w:rsidR="005276A1" w:rsidRPr="00A72756">
        <w:rPr>
          <w:rFonts w:ascii="Times New Roman" w:hAnsi="Times New Roman" w:cs="Times New Roman"/>
          <w:sz w:val="24"/>
          <w:szCs w:val="24"/>
          <w:lang w:val="en-US"/>
        </w:rPr>
        <w:t xml:space="preserve"> Omar Hassan Ahmad </w:t>
      </w:r>
      <w:r w:rsidRPr="00A72756">
        <w:rPr>
          <w:rFonts w:ascii="Times New Roman" w:hAnsi="Times New Roman" w:cs="Times New Roman"/>
          <w:sz w:val="24"/>
          <w:szCs w:val="24"/>
          <w:lang w:val="en-US"/>
        </w:rPr>
        <w:t>Al Bashir case</w:t>
      </w:r>
      <w:r w:rsidR="005276A1" w:rsidRPr="00A72756">
        <w:rPr>
          <w:rFonts w:ascii="Times New Roman" w:hAnsi="Times New Roman" w:cs="Times New Roman"/>
          <w:sz w:val="24"/>
          <w:szCs w:val="24"/>
          <w:lang w:val="en-US"/>
        </w:rPr>
        <w:t xml:space="preserve"> according to</w:t>
      </w:r>
      <w:r w:rsidRPr="00A72756">
        <w:rPr>
          <w:rFonts w:ascii="Times New Roman" w:hAnsi="Times New Roman" w:cs="Times New Roman"/>
          <w:sz w:val="24"/>
          <w:szCs w:val="24"/>
          <w:lang w:val="en-US"/>
        </w:rPr>
        <w:t xml:space="preserve"> which Sudan</w:t>
      </w:r>
      <w:r w:rsidR="005276A1" w:rsidRPr="00A72756">
        <w:rPr>
          <w:rFonts w:ascii="Times New Roman" w:hAnsi="Times New Roman" w:cs="Times New Roman"/>
          <w:sz w:val="24"/>
          <w:szCs w:val="24"/>
          <w:lang w:val="en-US"/>
        </w:rPr>
        <w:t>ese State</w:t>
      </w:r>
      <w:r w:rsidRPr="00A72756">
        <w:rPr>
          <w:rFonts w:ascii="Times New Roman" w:hAnsi="Times New Roman" w:cs="Times New Roman"/>
          <w:sz w:val="24"/>
          <w:szCs w:val="24"/>
          <w:lang w:val="en-US"/>
        </w:rPr>
        <w:t xml:space="preserve"> </w:t>
      </w:r>
      <w:r w:rsidR="005276A1" w:rsidRPr="00A72756">
        <w:rPr>
          <w:rFonts w:ascii="Times New Roman" w:hAnsi="Times New Roman" w:cs="Times New Roman"/>
          <w:sz w:val="24"/>
          <w:szCs w:val="24"/>
          <w:lang w:val="en-US"/>
        </w:rPr>
        <w:t>must</w:t>
      </w:r>
      <w:r w:rsidRPr="00A72756">
        <w:rPr>
          <w:rFonts w:ascii="Times New Roman" w:hAnsi="Times New Roman" w:cs="Times New Roman"/>
          <w:sz w:val="24"/>
          <w:szCs w:val="24"/>
          <w:lang w:val="en-US"/>
        </w:rPr>
        <w:t xml:space="preserve"> </w:t>
      </w:r>
      <w:r w:rsidR="005276A1" w:rsidRPr="00A72756">
        <w:rPr>
          <w:rFonts w:ascii="Times New Roman" w:hAnsi="Times New Roman" w:cs="Times New Roman"/>
          <w:sz w:val="24"/>
          <w:szCs w:val="24"/>
          <w:lang w:val="en-US"/>
        </w:rPr>
        <w:t xml:space="preserve">comply </w:t>
      </w:r>
      <w:r w:rsidRPr="00A72756">
        <w:rPr>
          <w:rFonts w:ascii="Times New Roman" w:hAnsi="Times New Roman" w:cs="Times New Roman"/>
          <w:sz w:val="24"/>
          <w:szCs w:val="24"/>
          <w:lang w:val="en-US"/>
        </w:rPr>
        <w:t>with the Security Council referral</w:t>
      </w:r>
      <w:r w:rsidR="001879CF" w:rsidRPr="00A72756">
        <w:rPr>
          <w:rFonts w:ascii="Times New Roman" w:hAnsi="Times New Roman" w:cs="Times New Roman"/>
          <w:sz w:val="24"/>
          <w:szCs w:val="24"/>
          <w:lang w:val="en-US"/>
        </w:rPr>
        <w:t xml:space="preserve"> because</w:t>
      </w:r>
      <w:r w:rsidRPr="00A72756">
        <w:rPr>
          <w:rFonts w:ascii="Times New Roman" w:hAnsi="Times New Roman" w:cs="Times New Roman"/>
          <w:sz w:val="24"/>
          <w:szCs w:val="24"/>
          <w:lang w:val="en-US"/>
        </w:rPr>
        <w:t xml:space="preserve"> it</w:t>
      </w:r>
      <w:r w:rsidR="0068286D" w:rsidRPr="00A72756">
        <w:rPr>
          <w:rFonts w:ascii="Times New Roman" w:hAnsi="Times New Roman" w:cs="Times New Roman"/>
          <w:sz w:val="24"/>
          <w:szCs w:val="24"/>
          <w:lang w:val="en-US"/>
        </w:rPr>
        <w:t xml:space="preserve"> is one</w:t>
      </w:r>
      <w:r w:rsidRPr="00A72756">
        <w:rPr>
          <w:rFonts w:ascii="Times New Roman" w:hAnsi="Times New Roman" w:cs="Times New Roman"/>
          <w:sz w:val="24"/>
          <w:szCs w:val="24"/>
          <w:lang w:val="en-US"/>
        </w:rPr>
        <w:t xml:space="preserve"> member</w:t>
      </w:r>
      <w:r w:rsidR="0068286D" w:rsidRPr="00A72756">
        <w:rPr>
          <w:rFonts w:ascii="Times New Roman" w:hAnsi="Times New Roman" w:cs="Times New Roman"/>
          <w:sz w:val="24"/>
          <w:szCs w:val="24"/>
          <w:lang w:val="en-US"/>
        </w:rPr>
        <w:t xml:space="preserve"> of the </w:t>
      </w:r>
      <w:r w:rsidR="005E2DA6" w:rsidRPr="00A72756">
        <w:rPr>
          <w:rFonts w:ascii="Times New Roman" w:hAnsi="Times New Roman" w:cs="Times New Roman"/>
          <w:sz w:val="24"/>
          <w:szCs w:val="24"/>
          <w:lang w:val="en-US"/>
        </w:rPr>
        <w:t>U</w:t>
      </w:r>
      <w:r w:rsidRPr="00A72756">
        <w:rPr>
          <w:rFonts w:ascii="Times New Roman" w:hAnsi="Times New Roman" w:cs="Times New Roman"/>
          <w:sz w:val="24"/>
          <w:szCs w:val="24"/>
          <w:lang w:val="en-US"/>
        </w:rPr>
        <w:t>N</w:t>
      </w:r>
      <w:r w:rsidR="0068286D" w:rsidRPr="00A72756">
        <w:rPr>
          <w:rFonts w:ascii="Times New Roman" w:hAnsi="Times New Roman" w:cs="Times New Roman"/>
          <w:sz w:val="24"/>
          <w:szCs w:val="24"/>
        </w:rPr>
        <w:t xml:space="preserve"> </w:t>
      </w:r>
      <w:r w:rsidR="0068286D" w:rsidRPr="00A72756">
        <w:rPr>
          <w:rFonts w:ascii="Times New Roman" w:hAnsi="Times New Roman" w:cs="Times New Roman"/>
          <w:sz w:val="24"/>
          <w:szCs w:val="24"/>
          <w:lang w:val="en-US"/>
        </w:rPr>
        <w:t>community</w:t>
      </w:r>
      <w:r w:rsidRPr="00A72756">
        <w:rPr>
          <w:rFonts w:ascii="Times New Roman" w:hAnsi="Times New Roman" w:cs="Times New Roman"/>
          <w:sz w:val="24"/>
          <w:szCs w:val="24"/>
          <w:lang w:val="en-US"/>
        </w:rPr>
        <w:t xml:space="preserve">, </w:t>
      </w:r>
      <w:r w:rsidR="005E2DA6" w:rsidRPr="00A72756">
        <w:rPr>
          <w:rFonts w:ascii="Times New Roman" w:hAnsi="Times New Roman" w:cs="Times New Roman"/>
          <w:sz w:val="24"/>
          <w:szCs w:val="24"/>
          <w:lang w:val="en-US"/>
        </w:rPr>
        <w:t xml:space="preserve">particularly </w:t>
      </w:r>
      <w:r w:rsidRPr="00A72756">
        <w:rPr>
          <w:rFonts w:ascii="Times New Roman" w:hAnsi="Times New Roman" w:cs="Times New Roman"/>
          <w:sz w:val="24"/>
          <w:szCs w:val="24"/>
          <w:lang w:val="en-US"/>
        </w:rPr>
        <w:t xml:space="preserve">its </w:t>
      </w:r>
      <w:r w:rsidR="005E2DA6" w:rsidRPr="00A72756">
        <w:rPr>
          <w:rFonts w:ascii="Times New Roman" w:hAnsi="Times New Roman" w:cs="Times New Roman"/>
          <w:sz w:val="24"/>
          <w:szCs w:val="24"/>
          <w:lang w:val="en-US"/>
        </w:rPr>
        <w:t xml:space="preserve">consent </w:t>
      </w:r>
      <w:r w:rsidRPr="00A72756">
        <w:rPr>
          <w:rFonts w:ascii="Times New Roman" w:hAnsi="Times New Roman" w:cs="Times New Roman"/>
          <w:sz w:val="24"/>
          <w:szCs w:val="24"/>
          <w:lang w:val="en-US"/>
        </w:rPr>
        <w:t xml:space="preserve">of the </w:t>
      </w:r>
      <w:r w:rsidR="005E2DA6" w:rsidRPr="00A72756">
        <w:rPr>
          <w:rFonts w:ascii="Times New Roman" w:hAnsi="Times New Roman" w:cs="Times New Roman"/>
          <w:sz w:val="24"/>
          <w:szCs w:val="24"/>
          <w:lang w:val="en-US"/>
        </w:rPr>
        <w:t xml:space="preserve">supremacy </w:t>
      </w:r>
      <w:r w:rsidRPr="00A72756">
        <w:rPr>
          <w:rFonts w:ascii="Times New Roman" w:hAnsi="Times New Roman" w:cs="Times New Roman"/>
          <w:sz w:val="24"/>
          <w:szCs w:val="24"/>
          <w:lang w:val="en-US"/>
        </w:rPr>
        <w:t>of the United Nations through Article 103</w:t>
      </w:r>
      <w:r w:rsidRPr="00A72756">
        <w:rPr>
          <w:rStyle w:val="Znakapoznpodarou"/>
          <w:rFonts w:ascii="Times New Roman" w:hAnsi="Times New Roman" w:cs="Times New Roman"/>
          <w:sz w:val="24"/>
          <w:szCs w:val="24"/>
          <w:lang w:val="en-US"/>
        </w:rPr>
        <w:footnoteReference w:id="133"/>
      </w:r>
      <w:r w:rsidRPr="00A72756">
        <w:rPr>
          <w:rFonts w:ascii="Times New Roman" w:hAnsi="Times New Roman" w:cs="Times New Roman"/>
          <w:sz w:val="24"/>
          <w:szCs w:val="24"/>
          <w:lang w:val="en-US"/>
        </w:rPr>
        <w:t xml:space="preserve"> of the charter,</w:t>
      </w:r>
      <w:r w:rsidR="006932B3" w:rsidRPr="00A72756">
        <w:rPr>
          <w:rFonts w:ascii="Times New Roman" w:hAnsi="Times New Roman" w:cs="Times New Roman"/>
          <w:sz w:val="24"/>
          <w:szCs w:val="24"/>
          <w:lang w:val="en-US"/>
        </w:rPr>
        <w:t xml:space="preserve"> and the compulsory character of Chapter VII resolutions.</w:t>
      </w:r>
      <w:r w:rsidR="007C5D1F" w:rsidRPr="00A72756">
        <w:rPr>
          <w:rFonts w:ascii="Times New Roman" w:hAnsi="Times New Roman" w:cs="Times New Roman"/>
          <w:sz w:val="24"/>
          <w:szCs w:val="24"/>
          <w:lang w:val="en-US"/>
        </w:rPr>
        <w:t xml:space="preserve"> </w:t>
      </w:r>
    </w:p>
    <w:p w14:paraId="15C5A367" w14:textId="3706B6BA" w:rsidR="00C27122" w:rsidRPr="00DF1F13" w:rsidRDefault="007C5D1F" w:rsidP="00966571">
      <w:pPr>
        <w:spacing w:before="240" w:after="12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The Chapter VII powers do not go through the </w:t>
      </w:r>
      <w:r w:rsidR="00932FBE">
        <w:rPr>
          <w:rFonts w:ascii="Times New Roman" w:hAnsi="Times New Roman" w:cs="Times New Roman"/>
          <w:sz w:val="24"/>
          <w:szCs w:val="24"/>
          <w:lang w:val="en-US"/>
        </w:rPr>
        <w:t>C</w:t>
      </w:r>
      <w:r w:rsidRPr="00DF1F13">
        <w:rPr>
          <w:rFonts w:ascii="Times New Roman" w:hAnsi="Times New Roman" w:cs="Times New Roman"/>
          <w:sz w:val="24"/>
          <w:szCs w:val="24"/>
          <w:lang w:val="en-US"/>
        </w:rPr>
        <w:t>ourt, the duty to apprehend Al-Bashir was Immediately enforced on Sudan and all United Nations member states by the Security Council.</w:t>
      </w:r>
      <w:r w:rsidR="001C1CE7" w:rsidRPr="00DF1F13">
        <w:rPr>
          <w:rFonts w:ascii="Times New Roman" w:hAnsi="Times New Roman" w:cs="Times New Roman"/>
          <w:sz w:val="24"/>
          <w:szCs w:val="24"/>
          <w:lang w:val="en-US"/>
        </w:rPr>
        <w:t xml:space="preserve"> The fundamental defect concerning this perspective is the fact that the United Nations Charter prevail over other international treaties</w:t>
      </w:r>
      <w:r w:rsidR="00B4479F" w:rsidRPr="00DF1F13">
        <w:rPr>
          <w:rStyle w:val="Znakapoznpodarou"/>
          <w:rFonts w:ascii="Times New Roman" w:hAnsi="Times New Roman" w:cs="Times New Roman"/>
          <w:sz w:val="24"/>
          <w:szCs w:val="24"/>
          <w:lang w:val="en-US"/>
        </w:rPr>
        <w:footnoteReference w:id="134"/>
      </w:r>
      <w:r w:rsidR="001C1CE7" w:rsidRPr="00DF1F13">
        <w:rPr>
          <w:rFonts w:ascii="Times New Roman" w:hAnsi="Times New Roman" w:cs="Times New Roman"/>
          <w:sz w:val="24"/>
          <w:szCs w:val="24"/>
          <w:lang w:val="en-US"/>
        </w:rPr>
        <w:t>,</w:t>
      </w:r>
      <w:r w:rsidR="00B4479F" w:rsidRPr="00DF1F13">
        <w:rPr>
          <w:rFonts w:ascii="Times New Roman" w:hAnsi="Times New Roman" w:cs="Times New Roman"/>
          <w:sz w:val="24"/>
          <w:szCs w:val="24"/>
          <w:lang w:val="en-US"/>
        </w:rPr>
        <w:t xml:space="preserve"> not the rules of customary international law like</w:t>
      </w:r>
      <w:r w:rsidR="00B4479F" w:rsidRPr="00DF1F13">
        <w:rPr>
          <w:lang w:val="en-US"/>
        </w:rPr>
        <w:t xml:space="preserve"> </w:t>
      </w:r>
      <w:r w:rsidR="001E13D0" w:rsidRPr="00DF1F13">
        <w:rPr>
          <w:rFonts w:ascii="Times New Roman" w:hAnsi="Times New Roman" w:cs="Times New Roman"/>
          <w:sz w:val="24"/>
          <w:szCs w:val="24"/>
          <w:lang w:val="en-US"/>
        </w:rPr>
        <w:t>h</w:t>
      </w:r>
      <w:r w:rsidR="001E13D0">
        <w:rPr>
          <w:rFonts w:ascii="Times New Roman" w:hAnsi="Times New Roman" w:cs="Times New Roman"/>
          <w:sz w:val="24"/>
          <w:szCs w:val="24"/>
          <w:lang w:val="en-US"/>
        </w:rPr>
        <w:t>igh-ranking</w:t>
      </w:r>
      <w:r w:rsidR="0098620B">
        <w:rPr>
          <w:rFonts w:ascii="Times New Roman" w:hAnsi="Times New Roman" w:cs="Times New Roman"/>
          <w:sz w:val="24"/>
          <w:szCs w:val="24"/>
          <w:lang w:val="en-US"/>
        </w:rPr>
        <w:t xml:space="preserve"> public </w:t>
      </w:r>
      <w:r w:rsidR="00DB2863">
        <w:rPr>
          <w:rFonts w:ascii="Times New Roman" w:hAnsi="Times New Roman" w:cs="Times New Roman"/>
          <w:sz w:val="24"/>
          <w:szCs w:val="24"/>
          <w:lang w:val="en-US"/>
        </w:rPr>
        <w:t>officials’</w:t>
      </w:r>
      <w:r w:rsidR="005A58EF">
        <w:rPr>
          <w:rFonts w:ascii="Times New Roman" w:hAnsi="Times New Roman" w:cs="Times New Roman"/>
          <w:sz w:val="24"/>
          <w:szCs w:val="24"/>
          <w:lang w:val="en-US"/>
        </w:rPr>
        <w:t xml:space="preserve"> </w:t>
      </w:r>
      <w:r w:rsidR="00B4479F" w:rsidRPr="00DF1F13">
        <w:rPr>
          <w:rFonts w:ascii="Times New Roman" w:hAnsi="Times New Roman" w:cs="Times New Roman"/>
          <w:sz w:val="24"/>
          <w:szCs w:val="24"/>
          <w:lang w:val="en-US"/>
        </w:rPr>
        <w:t xml:space="preserve">immunity or the </w:t>
      </w:r>
      <w:r w:rsidR="005A58EF">
        <w:rPr>
          <w:rFonts w:ascii="Times New Roman" w:hAnsi="Times New Roman" w:cs="Times New Roman"/>
          <w:sz w:val="24"/>
          <w:szCs w:val="24"/>
          <w:lang w:val="en-US"/>
        </w:rPr>
        <w:t xml:space="preserve">rules </w:t>
      </w:r>
      <w:r w:rsidR="004B7743">
        <w:rPr>
          <w:rFonts w:ascii="Times New Roman" w:hAnsi="Times New Roman" w:cs="Times New Roman"/>
          <w:sz w:val="24"/>
          <w:szCs w:val="24"/>
          <w:lang w:val="en-US"/>
        </w:rPr>
        <w:t>regulat</w:t>
      </w:r>
      <w:r w:rsidR="00B4479F" w:rsidRPr="00DF1F13">
        <w:rPr>
          <w:rFonts w:ascii="Times New Roman" w:hAnsi="Times New Roman" w:cs="Times New Roman"/>
          <w:sz w:val="24"/>
          <w:szCs w:val="24"/>
          <w:lang w:val="en-US"/>
        </w:rPr>
        <w:t xml:space="preserve">ing </w:t>
      </w:r>
      <w:r w:rsidR="001E13D0">
        <w:rPr>
          <w:rFonts w:ascii="Times New Roman" w:hAnsi="Times New Roman" w:cs="Times New Roman"/>
          <w:sz w:val="24"/>
          <w:szCs w:val="24"/>
          <w:lang w:val="en-US"/>
        </w:rPr>
        <w:t>pacts</w:t>
      </w:r>
      <w:r w:rsidR="00B4479F" w:rsidRPr="00DF1F13">
        <w:rPr>
          <w:rFonts w:ascii="Times New Roman" w:hAnsi="Times New Roman" w:cs="Times New Roman"/>
          <w:sz w:val="24"/>
          <w:szCs w:val="24"/>
          <w:lang w:val="en-US"/>
        </w:rPr>
        <w:t>.</w:t>
      </w:r>
      <w:r w:rsidR="00493D36" w:rsidRPr="00DF1F13">
        <w:rPr>
          <w:rFonts w:ascii="Times New Roman" w:hAnsi="Times New Roman" w:cs="Times New Roman"/>
          <w:sz w:val="24"/>
          <w:szCs w:val="24"/>
          <w:lang w:val="en-US"/>
        </w:rPr>
        <w:t xml:space="preserve"> In </w:t>
      </w:r>
      <w:r w:rsidR="00DB2863">
        <w:rPr>
          <w:rFonts w:ascii="Times New Roman" w:hAnsi="Times New Roman" w:cs="Times New Roman"/>
          <w:sz w:val="24"/>
          <w:szCs w:val="24"/>
          <w:lang w:val="en-US"/>
        </w:rPr>
        <w:t>such</w:t>
      </w:r>
      <w:r w:rsidR="00DB2863" w:rsidRPr="00DB2863">
        <w:t xml:space="preserve"> </w:t>
      </w:r>
      <w:r w:rsidR="00DB2863" w:rsidRPr="00DB2863">
        <w:rPr>
          <w:rFonts w:ascii="Times New Roman" w:hAnsi="Times New Roman" w:cs="Times New Roman"/>
          <w:sz w:val="24"/>
          <w:szCs w:val="24"/>
          <w:lang w:val="en-US"/>
        </w:rPr>
        <w:t>circumstance</w:t>
      </w:r>
      <w:r w:rsidR="00493D36" w:rsidRPr="00DF1F13">
        <w:rPr>
          <w:rFonts w:ascii="Times New Roman" w:hAnsi="Times New Roman" w:cs="Times New Roman"/>
          <w:sz w:val="24"/>
          <w:szCs w:val="24"/>
          <w:lang w:val="en-US"/>
        </w:rPr>
        <w:t>, th</w:t>
      </w:r>
      <w:r w:rsidR="00DB2863">
        <w:rPr>
          <w:rFonts w:ascii="Times New Roman" w:hAnsi="Times New Roman" w:cs="Times New Roman"/>
          <w:sz w:val="24"/>
          <w:szCs w:val="24"/>
          <w:lang w:val="en-US"/>
        </w:rPr>
        <w:t>o</w:t>
      </w:r>
      <w:r w:rsidR="00493D36" w:rsidRPr="00DF1F13">
        <w:rPr>
          <w:rFonts w:ascii="Times New Roman" w:hAnsi="Times New Roman" w:cs="Times New Roman"/>
          <w:sz w:val="24"/>
          <w:szCs w:val="24"/>
          <w:lang w:val="en-US"/>
        </w:rPr>
        <w:t xml:space="preserve">se </w:t>
      </w:r>
      <w:r w:rsidR="00DB2863">
        <w:rPr>
          <w:rFonts w:ascii="Times New Roman" w:hAnsi="Times New Roman" w:cs="Times New Roman"/>
          <w:sz w:val="24"/>
          <w:szCs w:val="24"/>
          <w:lang w:val="en-US"/>
        </w:rPr>
        <w:t xml:space="preserve">customary </w:t>
      </w:r>
      <w:r w:rsidR="005A19D6" w:rsidRPr="005A19D6">
        <w:rPr>
          <w:rFonts w:ascii="Times New Roman" w:hAnsi="Times New Roman" w:cs="Times New Roman"/>
          <w:sz w:val="24"/>
          <w:szCs w:val="24"/>
          <w:lang w:val="en-US"/>
        </w:rPr>
        <w:t>regulation</w:t>
      </w:r>
      <w:r w:rsidR="005A19D6">
        <w:rPr>
          <w:rFonts w:ascii="Times New Roman" w:hAnsi="Times New Roman" w:cs="Times New Roman"/>
          <w:sz w:val="24"/>
          <w:szCs w:val="24"/>
          <w:lang w:val="en-US"/>
        </w:rPr>
        <w:t>s</w:t>
      </w:r>
      <w:r w:rsidR="006C0AED">
        <w:rPr>
          <w:rFonts w:ascii="Times New Roman" w:hAnsi="Times New Roman" w:cs="Times New Roman"/>
          <w:sz w:val="24"/>
          <w:szCs w:val="24"/>
          <w:lang w:val="en-US"/>
        </w:rPr>
        <w:t xml:space="preserve"> are conflicting with </w:t>
      </w:r>
      <w:r w:rsidR="00493D36" w:rsidRPr="00DF1F13">
        <w:rPr>
          <w:rFonts w:ascii="Times New Roman" w:hAnsi="Times New Roman" w:cs="Times New Roman"/>
          <w:sz w:val="24"/>
          <w:szCs w:val="24"/>
          <w:lang w:val="en-US"/>
        </w:rPr>
        <w:t xml:space="preserve">the </w:t>
      </w:r>
      <w:r w:rsidR="00AA4206" w:rsidRPr="00AA4206">
        <w:rPr>
          <w:rFonts w:ascii="Times New Roman" w:hAnsi="Times New Roman" w:cs="Times New Roman"/>
          <w:sz w:val="24"/>
          <w:szCs w:val="24"/>
          <w:lang w:val="en-US"/>
        </w:rPr>
        <w:t>rationale</w:t>
      </w:r>
      <w:r w:rsidR="00AA4206">
        <w:rPr>
          <w:rFonts w:ascii="Times New Roman" w:hAnsi="Times New Roman" w:cs="Times New Roman"/>
          <w:sz w:val="24"/>
          <w:szCs w:val="24"/>
          <w:lang w:val="en-US"/>
        </w:rPr>
        <w:t xml:space="preserve"> according to</w:t>
      </w:r>
      <w:r w:rsidR="00493D36" w:rsidRPr="00DF1F13">
        <w:rPr>
          <w:rFonts w:ascii="Times New Roman" w:hAnsi="Times New Roman" w:cs="Times New Roman"/>
          <w:sz w:val="24"/>
          <w:szCs w:val="24"/>
          <w:lang w:val="en-US"/>
        </w:rPr>
        <w:t xml:space="preserve"> which the</w:t>
      </w:r>
      <w:r w:rsidR="00AA4206">
        <w:rPr>
          <w:rFonts w:ascii="Times New Roman" w:hAnsi="Times New Roman" w:cs="Times New Roman"/>
          <w:sz w:val="24"/>
          <w:szCs w:val="24"/>
          <w:lang w:val="en-US"/>
        </w:rPr>
        <w:t xml:space="preserve"> Security Council</w:t>
      </w:r>
      <w:r w:rsidR="00493D36" w:rsidRPr="00DF1F13">
        <w:rPr>
          <w:rFonts w:ascii="Times New Roman" w:hAnsi="Times New Roman" w:cs="Times New Roman"/>
          <w:sz w:val="24"/>
          <w:szCs w:val="24"/>
          <w:lang w:val="en-US"/>
        </w:rPr>
        <w:t xml:space="preserve"> referral </w:t>
      </w:r>
      <w:r w:rsidR="00AA4206">
        <w:rPr>
          <w:rFonts w:ascii="Times New Roman" w:hAnsi="Times New Roman" w:cs="Times New Roman"/>
          <w:sz w:val="24"/>
          <w:szCs w:val="24"/>
          <w:lang w:val="en-US"/>
        </w:rPr>
        <w:t>can</w:t>
      </w:r>
      <w:r w:rsidR="00493D36" w:rsidRPr="00DF1F13">
        <w:rPr>
          <w:rFonts w:ascii="Times New Roman" w:hAnsi="Times New Roman" w:cs="Times New Roman"/>
          <w:sz w:val="24"/>
          <w:szCs w:val="24"/>
          <w:lang w:val="en-US"/>
        </w:rPr>
        <w:t xml:space="preserve"> </w:t>
      </w:r>
      <w:r w:rsidR="00AA4206" w:rsidRPr="00AA4206">
        <w:rPr>
          <w:rFonts w:ascii="Times New Roman" w:hAnsi="Times New Roman" w:cs="Times New Roman"/>
          <w:sz w:val="24"/>
          <w:szCs w:val="24"/>
          <w:lang w:val="en-US"/>
        </w:rPr>
        <w:t xml:space="preserve">nullified </w:t>
      </w:r>
      <w:r w:rsidR="00AA4206">
        <w:rPr>
          <w:rFonts w:ascii="Times New Roman" w:hAnsi="Times New Roman" w:cs="Times New Roman"/>
          <w:sz w:val="24"/>
          <w:szCs w:val="24"/>
          <w:lang w:val="en-US"/>
        </w:rPr>
        <w:t xml:space="preserve">the Sudanese president’s </w:t>
      </w:r>
      <w:r w:rsidR="00493D36" w:rsidRPr="00DF1F13">
        <w:rPr>
          <w:rFonts w:ascii="Times New Roman" w:hAnsi="Times New Roman" w:cs="Times New Roman"/>
          <w:sz w:val="24"/>
          <w:szCs w:val="24"/>
          <w:lang w:val="en-US"/>
        </w:rPr>
        <w:t>immunity.</w:t>
      </w:r>
    </w:p>
    <w:p w14:paraId="05F22B1F" w14:textId="281CC3BB" w:rsidR="00A552CA" w:rsidRPr="00DF1F13" w:rsidRDefault="00C27122" w:rsidP="00966571">
      <w:pPr>
        <w:spacing w:before="240" w:after="120" w:line="360" w:lineRule="auto"/>
        <w:ind w:left="170" w:right="113"/>
        <w:jc w:val="both"/>
        <w:rPr>
          <w:rFonts w:ascii="Times New Roman" w:hAnsi="Times New Roman" w:cs="Times New Roman"/>
          <w:sz w:val="24"/>
          <w:szCs w:val="24"/>
          <w:lang w:val="en-US"/>
        </w:rPr>
      </w:pPr>
      <w:bookmarkStart w:id="53" w:name="_Hlk81219484"/>
      <w:r w:rsidRPr="00DF1F13">
        <w:rPr>
          <w:rFonts w:ascii="Times New Roman" w:hAnsi="Times New Roman" w:cs="Times New Roman"/>
          <w:sz w:val="24"/>
          <w:szCs w:val="24"/>
          <w:lang w:val="en-US"/>
        </w:rPr>
        <w:t xml:space="preserve">The </w:t>
      </w:r>
      <w:r w:rsidR="008A5926">
        <w:rPr>
          <w:rFonts w:ascii="Times New Roman" w:hAnsi="Times New Roman" w:cs="Times New Roman"/>
          <w:sz w:val="24"/>
          <w:szCs w:val="24"/>
          <w:lang w:val="en-US"/>
        </w:rPr>
        <w:t xml:space="preserve">history </w:t>
      </w:r>
      <w:r w:rsidRPr="00DF1F13">
        <w:rPr>
          <w:rFonts w:ascii="Times New Roman" w:hAnsi="Times New Roman" w:cs="Times New Roman"/>
          <w:sz w:val="24"/>
          <w:szCs w:val="24"/>
          <w:lang w:val="en-US"/>
        </w:rPr>
        <w:t>of Article 103</w:t>
      </w:r>
      <w:r w:rsidRPr="00DF1F13">
        <w:rPr>
          <w:lang w:val="en-US"/>
        </w:rPr>
        <w:t xml:space="preserve"> </w:t>
      </w:r>
      <w:r w:rsidR="008A5926">
        <w:rPr>
          <w:rFonts w:ascii="Times New Roman" w:hAnsi="Times New Roman" w:cs="Times New Roman"/>
          <w:sz w:val="24"/>
          <w:szCs w:val="24"/>
          <w:lang w:val="en-US"/>
        </w:rPr>
        <w:t>show</w:t>
      </w:r>
      <w:r w:rsidRPr="00DF1F13">
        <w:rPr>
          <w:rFonts w:ascii="Times New Roman" w:hAnsi="Times New Roman" w:cs="Times New Roman"/>
          <w:sz w:val="24"/>
          <w:szCs w:val="24"/>
          <w:lang w:val="en-US"/>
        </w:rPr>
        <w:t xml:space="preserve">s that </w:t>
      </w:r>
      <w:r w:rsidR="008A5926" w:rsidRPr="008A5926">
        <w:rPr>
          <w:rFonts w:ascii="Times New Roman" w:hAnsi="Times New Roman" w:cs="Times New Roman"/>
          <w:sz w:val="24"/>
          <w:szCs w:val="24"/>
          <w:lang w:val="en-US"/>
        </w:rPr>
        <w:t xml:space="preserve">subsequent </w:t>
      </w:r>
      <w:r w:rsidR="004112DE">
        <w:rPr>
          <w:rFonts w:ascii="Times New Roman" w:hAnsi="Times New Roman" w:cs="Times New Roman"/>
          <w:sz w:val="24"/>
          <w:szCs w:val="24"/>
          <w:lang w:val="en-US"/>
        </w:rPr>
        <w:t xml:space="preserve">to </w:t>
      </w:r>
      <w:r w:rsidR="004112DE" w:rsidRPr="00DF1F13">
        <w:rPr>
          <w:rFonts w:ascii="Times New Roman" w:hAnsi="Times New Roman" w:cs="Times New Roman"/>
          <w:sz w:val="24"/>
          <w:szCs w:val="24"/>
          <w:lang w:val="en-US"/>
        </w:rPr>
        <w:t>an</w:t>
      </w:r>
      <w:r w:rsidRPr="00DF1F13">
        <w:rPr>
          <w:rFonts w:ascii="Times New Roman" w:hAnsi="Times New Roman" w:cs="Times New Roman"/>
          <w:sz w:val="24"/>
          <w:szCs w:val="24"/>
          <w:lang w:val="en-US"/>
        </w:rPr>
        <w:t xml:space="preserve"> </w:t>
      </w:r>
      <w:r w:rsidR="004112DE">
        <w:rPr>
          <w:rFonts w:ascii="Times New Roman" w:hAnsi="Times New Roman" w:cs="Times New Roman"/>
          <w:sz w:val="24"/>
          <w:szCs w:val="24"/>
          <w:lang w:val="en-US"/>
        </w:rPr>
        <w:t xml:space="preserve">extended </w:t>
      </w:r>
      <w:r w:rsidR="004112DE" w:rsidRPr="004112DE">
        <w:rPr>
          <w:rFonts w:ascii="Times New Roman" w:hAnsi="Times New Roman" w:cs="Times New Roman"/>
          <w:sz w:val="24"/>
          <w:szCs w:val="24"/>
          <w:lang w:val="en-US"/>
        </w:rPr>
        <w:t>debate</w:t>
      </w:r>
      <w:r w:rsidR="004112DE">
        <w:rPr>
          <w:rFonts w:ascii="Times New Roman" w:hAnsi="Times New Roman" w:cs="Times New Roman"/>
          <w:sz w:val="24"/>
          <w:szCs w:val="24"/>
          <w:lang w:val="en-US"/>
        </w:rPr>
        <w:t xml:space="preserve"> in order to know</w:t>
      </w:r>
      <w:r w:rsidR="000A3ABF">
        <w:rPr>
          <w:rFonts w:ascii="Times New Roman" w:hAnsi="Times New Roman" w:cs="Times New Roman"/>
          <w:sz w:val="24"/>
          <w:szCs w:val="24"/>
          <w:lang w:val="en-US"/>
        </w:rPr>
        <w:t xml:space="preserve"> if</w:t>
      </w:r>
      <w:r w:rsidRPr="00DF1F13">
        <w:rPr>
          <w:rFonts w:ascii="Times New Roman" w:hAnsi="Times New Roman" w:cs="Times New Roman"/>
          <w:sz w:val="24"/>
          <w:szCs w:val="24"/>
          <w:lang w:val="en-US"/>
        </w:rPr>
        <w:t xml:space="preserve"> the</w:t>
      </w:r>
      <w:r w:rsidR="000A3ABF">
        <w:rPr>
          <w:rFonts w:ascii="Times New Roman" w:hAnsi="Times New Roman" w:cs="Times New Roman"/>
          <w:sz w:val="24"/>
          <w:szCs w:val="24"/>
          <w:lang w:val="en-US"/>
        </w:rPr>
        <w:t xml:space="preserve"> UN</w:t>
      </w:r>
      <w:r w:rsidRPr="00DF1F13">
        <w:rPr>
          <w:rFonts w:ascii="Times New Roman" w:hAnsi="Times New Roman" w:cs="Times New Roman"/>
          <w:sz w:val="24"/>
          <w:szCs w:val="24"/>
          <w:lang w:val="en-US"/>
        </w:rPr>
        <w:t xml:space="preserve"> Charter </w:t>
      </w:r>
      <w:r w:rsidR="000A3ABF">
        <w:rPr>
          <w:rFonts w:ascii="Times New Roman" w:hAnsi="Times New Roman" w:cs="Times New Roman"/>
          <w:sz w:val="24"/>
          <w:szCs w:val="24"/>
          <w:lang w:val="en-US"/>
        </w:rPr>
        <w:t>should</w:t>
      </w:r>
      <w:r w:rsidRPr="00DF1F13">
        <w:rPr>
          <w:rFonts w:ascii="Times New Roman" w:hAnsi="Times New Roman" w:cs="Times New Roman"/>
          <w:sz w:val="24"/>
          <w:szCs w:val="24"/>
          <w:lang w:val="en-US"/>
        </w:rPr>
        <w:t xml:space="preserve"> </w:t>
      </w:r>
      <w:r w:rsidR="000A3ABF" w:rsidRPr="000A3ABF">
        <w:rPr>
          <w:rFonts w:ascii="Times New Roman" w:hAnsi="Times New Roman" w:cs="Times New Roman"/>
          <w:sz w:val="24"/>
          <w:szCs w:val="24"/>
          <w:lang w:val="en-US"/>
        </w:rPr>
        <w:t xml:space="preserve">predominate </w:t>
      </w:r>
      <w:r w:rsidR="00E834A4">
        <w:rPr>
          <w:rFonts w:ascii="Times New Roman" w:hAnsi="Times New Roman" w:cs="Times New Roman"/>
          <w:sz w:val="24"/>
          <w:szCs w:val="24"/>
          <w:lang w:val="en-US"/>
        </w:rPr>
        <w:t>upon</w:t>
      </w:r>
      <w:r w:rsidRPr="00DF1F13">
        <w:rPr>
          <w:rFonts w:ascii="Times New Roman" w:hAnsi="Times New Roman" w:cs="Times New Roman"/>
          <w:sz w:val="24"/>
          <w:szCs w:val="24"/>
          <w:lang w:val="en-US"/>
        </w:rPr>
        <w:t xml:space="preserve"> </w:t>
      </w:r>
      <w:r w:rsidR="00E834A4">
        <w:rPr>
          <w:rFonts w:ascii="Times New Roman" w:hAnsi="Times New Roman" w:cs="Times New Roman"/>
          <w:sz w:val="24"/>
          <w:szCs w:val="24"/>
          <w:lang w:val="en-US"/>
        </w:rPr>
        <w:t xml:space="preserve">every </w:t>
      </w:r>
      <w:r w:rsidRPr="00DF1F13">
        <w:rPr>
          <w:rFonts w:ascii="Times New Roman" w:hAnsi="Times New Roman" w:cs="Times New Roman"/>
          <w:sz w:val="24"/>
          <w:szCs w:val="24"/>
          <w:lang w:val="en-US"/>
        </w:rPr>
        <w:t xml:space="preserve">international law, the </w:t>
      </w:r>
      <w:r w:rsidR="00B842B5">
        <w:rPr>
          <w:rFonts w:ascii="Times New Roman" w:hAnsi="Times New Roman" w:cs="Times New Roman"/>
          <w:sz w:val="24"/>
          <w:szCs w:val="24"/>
          <w:lang w:val="en-US"/>
        </w:rPr>
        <w:t xml:space="preserve">writers </w:t>
      </w:r>
      <w:r w:rsidRPr="00DF1F13">
        <w:rPr>
          <w:rFonts w:ascii="Times New Roman" w:hAnsi="Times New Roman" w:cs="Times New Roman"/>
          <w:sz w:val="24"/>
          <w:szCs w:val="24"/>
          <w:lang w:val="en-US"/>
        </w:rPr>
        <w:t>have</w:t>
      </w:r>
      <w:r w:rsidR="00B842B5">
        <w:rPr>
          <w:rFonts w:ascii="Times New Roman" w:hAnsi="Times New Roman" w:cs="Times New Roman"/>
          <w:sz w:val="24"/>
          <w:szCs w:val="24"/>
          <w:lang w:val="en-US"/>
        </w:rPr>
        <w:t xml:space="preserve"> </w:t>
      </w:r>
      <w:r w:rsidR="00B842B5" w:rsidRPr="00B842B5">
        <w:rPr>
          <w:rFonts w:ascii="Times New Roman" w:hAnsi="Times New Roman" w:cs="Times New Roman"/>
          <w:sz w:val="24"/>
          <w:szCs w:val="24"/>
          <w:lang w:val="en-US"/>
        </w:rPr>
        <w:t xml:space="preserve">deliberately </w:t>
      </w:r>
      <w:r w:rsidR="00B842B5">
        <w:rPr>
          <w:rFonts w:ascii="Times New Roman" w:hAnsi="Times New Roman" w:cs="Times New Roman"/>
          <w:sz w:val="24"/>
          <w:szCs w:val="24"/>
          <w:lang w:val="en-US"/>
        </w:rPr>
        <w:t xml:space="preserve">chosen </w:t>
      </w:r>
      <w:r w:rsidRPr="00DF1F13">
        <w:rPr>
          <w:rFonts w:ascii="Times New Roman" w:hAnsi="Times New Roman" w:cs="Times New Roman"/>
          <w:sz w:val="24"/>
          <w:szCs w:val="24"/>
          <w:lang w:val="en-US"/>
        </w:rPr>
        <w:t xml:space="preserve">to </w:t>
      </w:r>
      <w:r w:rsidR="00E448C3" w:rsidRPr="00E448C3">
        <w:rPr>
          <w:rFonts w:ascii="Times New Roman" w:hAnsi="Times New Roman" w:cs="Times New Roman"/>
          <w:sz w:val="24"/>
          <w:szCs w:val="24"/>
          <w:lang w:val="en-US"/>
        </w:rPr>
        <w:t xml:space="preserve">specify </w:t>
      </w:r>
      <w:r w:rsidRPr="00DF1F13">
        <w:rPr>
          <w:rFonts w:ascii="Times New Roman" w:hAnsi="Times New Roman" w:cs="Times New Roman"/>
          <w:sz w:val="24"/>
          <w:szCs w:val="24"/>
          <w:lang w:val="en-US"/>
        </w:rPr>
        <w:t>international</w:t>
      </w:r>
      <w:r w:rsidR="003E4901">
        <w:rPr>
          <w:rFonts w:ascii="Times New Roman" w:hAnsi="Times New Roman" w:cs="Times New Roman"/>
          <w:sz w:val="24"/>
          <w:szCs w:val="24"/>
          <w:lang w:val="en-US"/>
        </w:rPr>
        <w:t xml:space="preserve"> pacts</w:t>
      </w:r>
      <w:r w:rsidRPr="00DF1F13">
        <w:rPr>
          <w:rFonts w:ascii="Times New Roman" w:hAnsi="Times New Roman" w:cs="Times New Roman"/>
          <w:sz w:val="24"/>
          <w:szCs w:val="24"/>
          <w:lang w:val="en-US"/>
        </w:rPr>
        <w:t xml:space="preserve"> in</w:t>
      </w:r>
      <w:r w:rsidR="009B32CE">
        <w:rPr>
          <w:rFonts w:ascii="Times New Roman" w:hAnsi="Times New Roman" w:cs="Times New Roman"/>
          <w:sz w:val="24"/>
          <w:szCs w:val="24"/>
          <w:lang w:val="en-US"/>
        </w:rPr>
        <w:t xml:space="preserve">stead </w:t>
      </w:r>
      <w:r w:rsidRPr="00DF1F13">
        <w:rPr>
          <w:rFonts w:ascii="Times New Roman" w:hAnsi="Times New Roman" w:cs="Times New Roman"/>
          <w:sz w:val="24"/>
          <w:szCs w:val="24"/>
          <w:lang w:val="en-US"/>
        </w:rPr>
        <w:t xml:space="preserve">of </w:t>
      </w:r>
      <w:r w:rsidR="009B32CE">
        <w:rPr>
          <w:rFonts w:ascii="Times New Roman" w:hAnsi="Times New Roman" w:cs="Times New Roman"/>
          <w:sz w:val="24"/>
          <w:szCs w:val="24"/>
          <w:lang w:val="en-US"/>
        </w:rPr>
        <w:t>every</w:t>
      </w:r>
      <w:r w:rsidRPr="00DF1F13">
        <w:rPr>
          <w:rFonts w:ascii="Times New Roman" w:hAnsi="Times New Roman" w:cs="Times New Roman"/>
          <w:sz w:val="24"/>
          <w:szCs w:val="24"/>
          <w:lang w:val="en-US"/>
        </w:rPr>
        <w:t xml:space="preserve"> international</w:t>
      </w:r>
      <w:r w:rsidR="009B32CE">
        <w:rPr>
          <w:rFonts w:ascii="Times New Roman" w:hAnsi="Times New Roman" w:cs="Times New Roman"/>
          <w:sz w:val="24"/>
          <w:szCs w:val="24"/>
          <w:lang w:val="en-US"/>
        </w:rPr>
        <w:t xml:space="preserve"> duties</w:t>
      </w:r>
      <w:r w:rsidRPr="00DF1F13">
        <w:rPr>
          <w:rFonts w:ascii="Times New Roman" w:hAnsi="Times New Roman" w:cs="Times New Roman"/>
          <w:sz w:val="24"/>
          <w:szCs w:val="24"/>
          <w:lang w:val="en-US"/>
        </w:rPr>
        <w:t xml:space="preserve">, </w:t>
      </w:r>
      <w:r w:rsidR="00764754" w:rsidRPr="00764754">
        <w:rPr>
          <w:rFonts w:ascii="Times New Roman" w:hAnsi="Times New Roman" w:cs="Times New Roman"/>
          <w:sz w:val="24"/>
          <w:szCs w:val="24"/>
          <w:lang w:val="en-US"/>
        </w:rPr>
        <w:t xml:space="preserve">lifting up </w:t>
      </w:r>
      <w:r w:rsidRPr="00DF1F13">
        <w:rPr>
          <w:rFonts w:ascii="Times New Roman" w:hAnsi="Times New Roman" w:cs="Times New Roman"/>
          <w:sz w:val="24"/>
          <w:szCs w:val="24"/>
          <w:lang w:val="en-US"/>
        </w:rPr>
        <w:t xml:space="preserve">the </w:t>
      </w:r>
      <w:r w:rsidR="00764754">
        <w:rPr>
          <w:rFonts w:ascii="Times New Roman" w:hAnsi="Times New Roman" w:cs="Times New Roman"/>
          <w:sz w:val="24"/>
          <w:szCs w:val="24"/>
          <w:lang w:val="en-US"/>
        </w:rPr>
        <w:t xml:space="preserve">United Nations </w:t>
      </w:r>
      <w:r w:rsidRPr="00DF1F13">
        <w:rPr>
          <w:rFonts w:ascii="Times New Roman" w:hAnsi="Times New Roman" w:cs="Times New Roman"/>
          <w:sz w:val="24"/>
          <w:szCs w:val="24"/>
          <w:lang w:val="en-US"/>
        </w:rPr>
        <w:t>Charter</w:t>
      </w:r>
      <w:r w:rsidR="00764754">
        <w:rPr>
          <w:rFonts w:ascii="Times New Roman" w:hAnsi="Times New Roman" w:cs="Times New Roman"/>
          <w:sz w:val="24"/>
          <w:szCs w:val="24"/>
          <w:lang w:val="en-US"/>
        </w:rPr>
        <w:t xml:space="preserve"> only </w:t>
      </w:r>
      <w:r w:rsidRPr="00DF1F13">
        <w:rPr>
          <w:rFonts w:ascii="Times New Roman" w:hAnsi="Times New Roman" w:cs="Times New Roman"/>
          <w:sz w:val="24"/>
          <w:szCs w:val="24"/>
          <w:lang w:val="en-US"/>
        </w:rPr>
        <w:t>above treaties and other international agreements.</w:t>
      </w:r>
      <w:r w:rsidR="00F0600D" w:rsidRPr="00DF1F13">
        <w:rPr>
          <w:rStyle w:val="Znakapoznpodarou"/>
          <w:rFonts w:ascii="Times New Roman" w:hAnsi="Times New Roman" w:cs="Times New Roman"/>
          <w:sz w:val="24"/>
          <w:szCs w:val="24"/>
          <w:lang w:val="en-US"/>
        </w:rPr>
        <w:footnoteReference w:id="135"/>
      </w:r>
      <w:r w:rsidR="00F0600D" w:rsidRPr="00DF1F13">
        <w:rPr>
          <w:rFonts w:ascii="Times New Roman" w:hAnsi="Times New Roman" w:cs="Times New Roman"/>
          <w:sz w:val="24"/>
          <w:szCs w:val="24"/>
          <w:lang w:val="en-US"/>
        </w:rPr>
        <w:t xml:space="preserve"> That was proclaimed by the General Assembly in the Declaration on Friendly Relations</w:t>
      </w:r>
      <w:r w:rsidR="00F0600D" w:rsidRPr="00DF1F13">
        <w:rPr>
          <w:rStyle w:val="Znakapoznpodarou"/>
          <w:rFonts w:ascii="Times New Roman" w:hAnsi="Times New Roman" w:cs="Times New Roman"/>
          <w:sz w:val="24"/>
          <w:szCs w:val="24"/>
          <w:lang w:val="en-US"/>
        </w:rPr>
        <w:footnoteReference w:id="136"/>
      </w:r>
      <w:r w:rsidR="00F0600D" w:rsidRPr="00DF1F13">
        <w:rPr>
          <w:rFonts w:ascii="Times New Roman" w:hAnsi="Times New Roman" w:cs="Times New Roman"/>
          <w:sz w:val="24"/>
          <w:szCs w:val="24"/>
          <w:lang w:val="en-US"/>
        </w:rPr>
        <w:t>,</w:t>
      </w:r>
      <w:r w:rsidR="005C5980" w:rsidRPr="00DF1F13">
        <w:rPr>
          <w:rFonts w:ascii="Times New Roman" w:hAnsi="Times New Roman" w:cs="Times New Roman"/>
          <w:sz w:val="24"/>
          <w:szCs w:val="24"/>
          <w:lang w:val="en-US"/>
        </w:rPr>
        <w:t xml:space="preserve"> that differentiated among “obligations under the generally recognized principles and rules of international law” and “obligations under international agreements valid under the generally recognized principles and rules of international law”,</w:t>
      </w:r>
      <w:r w:rsidR="00390A60" w:rsidRPr="00DF1F13">
        <w:rPr>
          <w:rFonts w:ascii="Times New Roman" w:hAnsi="Times New Roman" w:cs="Times New Roman"/>
          <w:sz w:val="24"/>
          <w:szCs w:val="24"/>
          <w:lang w:val="en-US"/>
        </w:rPr>
        <w:t xml:space="preserve"> and plainly indicated that solely the latter have been replaced by the Charter.</w:t>
      </w:r>
      <w:r w:rsidR="00390A60" w:rsidRPr="00DF1F13">
        <w:rPr>
          <w:rStyle w:val="Znakapoznpodarou"/>
          <w:rFonts w:ascii="Times New Roman" w:hAnsi="Times New Roman" w:cs="Times New Roman"/>
          <w:sz w:val="24"/>
          <w:szCs w:val="24"/>
          <w:lang w:val="en-US"/>
        </w:rPr>
        <w:footnoteReference w:id="137"/>
      </w:r>
      <w:r w:rsidR="00B12788" w:rsidRPr="00DF1F13">
        <w:rPr>
          <w:rFonts w:ascii="Times New Roman" w:hAnsi="Times New Roman" w:cs="Times New Roman"/>
          <w:sz w:val="24"/>
          <w:szCs w:val="24"/>
          <w:lang w:val="en-US"/>
        </w:rPr>
        <w:t xml:space="preserve"> This comprehension has been visible in many statements of the General Assembly</w:t>
      </w:r>
      <w:r w:rsidR="00B12788" w:rsidRPr="00DF1F13">
        <w:rPr>
          <w:rStyle w:val="Znakapoznpodarou"/>
          <w:rFonts w:ascii="Times New Roman" w:hAnsi="Times New Roman" w:cs="Times New Roman"/>
          <w:sz w:val="24"/>
          <w:szCs w:val="24"/>
          <w:lang w:val="en-US"/>
        </w:rPr>
        <w:footnoteReference w:id="138"/>
      </w:r>
      <w:r w:rsidR="00B43582" w:rsidRPr="00DF1F13">
        <w:rPr>
          <w:rFonts w:ascii="Times New Roman" w:hAnsi="Times New Roman" w:cs="Times New Roman"/>
          <w:sz w:val="24"/>
          <w:szCs w:val="24"/>
          <w:lang w:val="en-US"/>
        </w:rPr>
        <w:t>,</w:t>
      </w:r>
      <w:r w:rsidR="00B041AE" w:rsidRPr="00DF1F13">
        <w:rPr>
          <w:rFonts w:ascii="Times New Roman" w:hAnsi="Times New Roman" w:cs="Times New Roman"/>
          <w:sz w:val="24"/>
          <w:szCs w:val="24"/>
          <w:lang w:val="en-US"/>
        </w:rPr>
        <w:t>without any</w:t>
      </w:r>
      <w:r w:rsidR="00B041AE" w:rsidRPr="00DF1F13">
        <w:rPr>
          <w:lang w:val="en-US"/>
        </w:rPr>
        <w:t xml:space="preserve"> </w:t>
      </w:r>
      <w:r w:rsidR="00B041AE" w:rsidRPr="00DF1F13">
        <w:rPr>
          <w:rFonts w:ascii="Times New Roman" w:hAnsi="Times New Roman" w:cs="Times New Roman"/>
          <w:sz w:val="24"/>
          <w:szCs w:val="24"/>
          <w:lang w:val="en-US"/>
        </w:rPr>
        <w:t>denial, and equally established by the International Court of Justice</w:t>
      </w:r>
      <w:r w:rsidR="006616D0" w:rsidRPr="00DF1F13">
        <w:rPr>
          <w:rFonts w:ascii="Times New Roman" w:hAnsi="Times New Roman" w:cs="Times New Roman"/>
          <w:sz w:val="24"/>
          <w:szCs w:val="24"/>
          <w:lang w:val="en-US"/>
        </w:rPr>
        <w:t xml:space="preserve"> </w:t>
      </w:r>
      <w:bookmarkStart w:id="56" w:name="_Hlk81219654"/>
      <w:bookmarkEnd w:id="53"/>
      <w:r w:rsidR="006616D0" w:rsidRPr="00DF1F13">
        <w:rPr>
          <w:rFonts w:ascii="Times New Roman" w:hAnsi="Times New Roman" w:cs="Times New Roman"/>
          <w:sz w:val="24"/>
          <w:szCs w:val="24"/>
          <w:lang w:val="en-US"/>
        </w:rPr>
        <w:lastRenderedPageBreak/>
        <w:t>(ICJ)</w:t>
      </w:r>
      <w:r w:rsidR="006616D0" w:rsidRPr="00DF1F13">
        <w:rPr>
          <w:rStyle w:val="Znakapoznpodarou"/>
          <w:rFonts w:ascii="Times New Roman" w:hAnsi="Times New Roman" w:cs="Times New Roman"/>
          <w:sz w:val="24"/>
          <w:szCs w:val="24"/>
          <w:lang w:val="en-US"/>
        </w:rPr>
        <w:footnoteReference w:id="139"/>
      </w:r>
      <w:r w:rsidR="006616D0" w:rsidRPr="00DF1F13">
        <w:rPr>
          <w:rFonts w:ascii="Times New Roman" w:hAnsi="Times New Roman" w:cs="Times New Roman"/>
          <w:sz w:val="24"/>
          <w:szCs w:val="24"/>
          <w:lang w:val="en-US"/>
        </w:rPr>
        <w:t xml:space="preserve">, and </w:t>
      </w:r>
      <w:r w:rsidR="002A2F0D">
        <w:rPr>
          <w:rFonts w:ascii="Times New Roman" w:hAnsi="Times New Roman" w:cs="Times New Roman"/>
          <w:sz w:val="24"/>
          <w:szCs w:val="24"/>
          <w:lang w:val="en-US"/>
        </w:rPr>
        <w:t>numerous scholars</w:t>
      </w:r>
      <w:r w:rsidR="00DD6F16">
        <w:rPr>
          <w:rFonts w:ascii="Times New Roman" w:hAnsi="Times New Roman" w:cs="Times New Roman"/>
          <w:sz w:val="24"/>
          <w:szCs w:val="24"/>
          <w:lang w:val="en-US"/>
        </w:rPr>
        <w:t xml:space="preserve"> have</w:t>
      </w:r>
      <w:r w:rsidR="006616D0" w:rsidRPr="00DF1F13">
        <w:rPr>
          <w:rFonts w:ascii="Times New Roman" w:hAnsi="Times New Roman" w:cs="Times New Roman"/>
          <w:sz w:val="24"/>
          <w:szCs w:val="24"/>
          <w:lang w:val="en-US"/>
        </w:rPr>
        <w:t xml:space="preserve"> </w:t>
      </w:r>
      <w:r w:rsidR="00DD6F16">
        <w:rPr>
          <w:rFonts w:ascii="Times New Roman" w:hAnsi="Times New Roman" w:cs="Times New Roman"/>
          <w:sz w:val="24"/>
          <w:szCs w:val="24"/>
          <w:lang w:val="en-US"/>
        </w:rPr>
        <w:t>draf</w:t>
      </w:r>
      <w:r w:rsidR="002E71B1">
        <w:rPr>
          <w:rFonts w:ascii="Times New Roman" w:hAnsi="Times New Roman" w:cs="Times New Roman"/>
          <w:sz w:val="24"/>
          <w:szCs w:val="24"/>
          <w:lang w:val="en-US"/>
        </w:rPr>
        <w:t>ted regarding</w:t>
      </w:r>
      <w:r w:rsidR="006616D0" w:rsidRPr="00DF1F13">
        <w:rPr>
          <w:rFonts w:ascii="Times New Roman" w:hAnsi="Times New Roman" w:cs="Times New Roman"/>
          <w:sz w:val="24"/>
          <w:szCs w:val="24"/>
          <w:lang w:val="en-US"/>
        </w:rPr>
        <w:t xml:space="preserve"> the UN</w:t>
      </w:r>
      <w:r w:rsidR="006616D0" w:rsidRPr="00DF1F13">
        <w:rPr>
          <w:rStyle w:val="Znakapoznpodarou"/>
          <w:rFonts w:ascii="Times New Roman" w:hAnsi="Times New Roman" w:cs="Times New Roman"/>
          <w:sz w:val="24"/>
          <w:szCs w:val="24"/>
          <w:lang w:val="en-US"/>
        </w:rPr>
        <w:footnoteReference w:id="140"/>
      </w:r>
      <w:r w:rsidR="006616D0" w:rsidRPr="00DF1F13">
        <w:rPr>
          <w:rFonts w:ascii="Times New Roman" w:hAnsi="Times New Roman" w:cs="Times New Roman"/>
          <w:sz w:val="24"/>
          <w:szCs w:val="24"/>
          <w:lang w:val="en-US"/>
        </w:rPr>
        <w:t xml:space="preserve"> and the Lockerbie</w:t>
      </w:r>
      <w:r w:rsidR="00DD6F16">
        <w:rPr>
          <w:rFonts w:ascii="Times New Roman" w:hAnsi="Times New Roman" w:cs="Times New Roman"/>
          <w:sz w:val="24"/>
          <w:szCs w:val="24"/>
          <w:lang w:val="en-US"/>
        </w:rPr>
        <w:t xml:space="preserve"> case </w:t>
      </w:r>
      <w:r w:rsidR="006616D0" w:rsidRPr="00DF1F13">
        <w:rPr>
          <w:rFonts w:ascii="Times New Roman" w:hAnsi="Times New Roman" w:cs="Times New Roman"/>
          <w:sz w:val="24"/>
          <w:szCs w:val="24"/>
          <w:lang w:val="en-US"/>
        </w:rPr>
        <w:t>of the I</w:t>
      </w:r>
      <w:r w:rsidR="00DD6F16">
        <w:rPr>
          <w:rFonts w:ascii="Times New Roman" w:hAnsi="Times New Roman" w:cs="Times New Roman"/>
          <w:sz w:val="24"/>
          <w:szCs w:val="24"/>
          <w:lang w:val="en-US"/>
        </w:rPr>
        <w:t xml:space="preserve">nternational </w:t>
      </w:r>
      <w:r w:rsidR="006616D0" w:rsidRPr="00DF1F13">
        <w:rPr>
          <w:rFonts w:ascii="Times New Roman" w:hAnsi="Times New Roman" w:cs="Times New Roman"/>
          <w:sz w:val="24"/>
          <w:szCs w:val="24"/>
          <w:lang w:val="en-US"/>
        </w:rPr>
        <w:t>C</w:t>
      </w:r>
      <w:r w:rsidR="00DD6F16">
        <w:rPr>
          <w:rFonts w:ascii="Times New Roman" w:hAnsi="Times New Roman" w:cs="Times New Roman"/>
          <w:sz w:val="24"/>
          <w:szCs w:val="24"/>
          <w:lang w:val="en-US"/>
        </w:rPr>
        <w:t xml:space="preserve">ourt of </w:t>
      </w:r>
      <w:r w:rsidR="006616D0" w:rsidRPr="00DF1F13">
        <w:rPr>
          <w:rFonts w:ascii="Times New Roman" w:hAnsi="Times New Roman" w:cs="Times New Roman"/>
          <w:sz w:val="24"/>
          <w:szCs w:val="24"/>
          <w:lang w:val="en-US"/>
        </w:rPr>
        <w:t>J</w:t>
      </w:r>
      <w:r w:rsidR="00DD6F16">
        <w:rPr>
          <w:rFonts w:ascii="Times New Roman" w:hAnsi="Times New Roman" w:cs="Times New Roman"/>
          <w:sz w:val="24"/>
          <w:szCs w:val="24"/>
          <w:lang w:val="en-US"/>
        </w:rPr>
        <w:t>ustice</w:t>
      </w:r>
      <w:r w:rsidR="006616D0" w:rsidRPr="00DF1F13">
        <w:rPr>
          <w:rFonts w:ascii="Times New Roman" w:hAnsi="Times New Roman" w:cs="Times New Roman"/>
          <w:sz w:val="24"/>
          <w:szCs w:val="24"/>
          <w:lang w:val="en-US"/>
        </w:rPr>
        <w:t>.</w:t>
      </w:r>
      <w:r w:rsidR="006616D0" w:rsidRPr="00DF1F13">
        <w:rPr>
          <w:rStyle w:val="Znakapoznpodarou"/>
          <w:rFonts w:ascii="Times New Roman" w:hAnsi="Times New Roman" w:cs="Times New Roman"/>
          <w:sz w:val="24"/>
          <w:szCs w:val="24"/>
          <w:lang w:val="en-US"/>
        </w:rPr>
        <w:footnoteReference w:id="141"/>
      </w:r>
      <w:bookmarkStart w:id="59" w:name="_Hlk81218584"/>
      <w:r w:rsidR="0080353E" w:rsidRPr="00DF1F13">
        <w:rPr>
          <w:rFonts w:ascii="Times New Roman" w:hAnsi="Times New Roman" w:cs="Times New Roman"/>
          <w:sz w:val="24"/>
          <w:szCs w:val="24"/>
          <w:lang w:val="en-US"/>
        </w:rPr>
        <w:t xml:space="preserve"> </w:t>
      </w:r>
    </w:p>
    <w:p w14:paraId="32B684CD" w14:textId="64E4F753" w:rsidR="0044409C" w:rsidRDefault="005F2FBC" w:rsidP="009B38F4">
      <w:pPr>
        <w:spacing w:before="240" w:after="120" w:line="360" w:lineRule="auto"/>
        <w:ind w:left="170" w:right="113"/>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80353E" w:rsidRPr="00DF1F13">
        <w:rPr>
          <w:rFonts w:ascii="Times New Roman" w:hAnsi="Times New Roman" w:cs="Times New Roman"/>
          <w:sz w:val="24"/>
          <w:szCs w:val="24"/>
          <w:lang w:val="en-US"/>
        </w:rPr>
        <w:t xml:space="preserve"> the Charte</w:t>
      </w:r>
      <w:r>
        <w:rPr>
          <w:rFonts w:ascii="Times New Roman" w:hAnsi="Times New Roman" w:cs="Times New Roman"/>
          <w:sz w:val="24"/>
          <w:szCs w:val="24"/>
          <w:lang w:val="en-US"/>
        </w:rPr>
        <w:t xml:space="preserve">r </w:t>
      </w:r>
      <w:r w:rsidR="0080353E" w:rsidRPr="00DF1F13">
        <w:rPr>
          <w:rFonts w:ascii="Times New Roman" w:hAnsi="Times New Roman" w:cs="Times New Roman"/>
          <w:sz w:val="24"/>
          <w:szCs w:val="24"/>
          <w:lang w:val="en-US"/>
        </w:rPr>
        <w:t>takes precedence</w:t>
      </w:r>
      <w:r>
        <w:rPr>
          <w:rFonts w:ascii="Times New Roman" w:hAnsi="Times New Roman" w:cs="Times New Roman"/>
          <w:sz w:val="24"/>
          <w:szCs w:val="24"/>
          <w:lang w:val="en-US"/>
        </w:rPr>
        <w:t xml:space="preserve"> only</w:t>
      </w:r>
      <w:r w:rsidR="0080353E" w:rsidRPr="00DF1F13">
        <w:rPr>
          <w:rFonts w:ascii="Times New Roman" w:hAnsi="Times New Roman" w:cs="Times New Roman"/>
          <w:sz w:val="24"/>
          <w:szCs w:val="24"/>
          <w:lang w:val="en-US"/>
        </w:rPr>
        <w:t xml:space="preserve"> over international agreements and not over customary international law, therefore</w:t>
      </w:r>
      <w:r w:rsidR="0080353E" w:rsidRPr="00DF1F13">
        <w:rPr>
          <w:lang w:val="en-US"/>
        </w:rPr>
        <w:t xml:space="preserve"> </w:t>
      </w:r>
      <w:r w:rsidR="0080353E" w:rsidRPr="00DF1F13">
        <w:rPr>
          <w:rFonts w:ascii="Times New Roman" w:hAnsi="Times New Roman" w:cs="Times New Roman"/>
          <w:sz w:val="24"/>
          <w:szCs w:val="24"/>
          <w:lang w:val="en-US"/>
        </w:rPr>
        <w:t>member states are not required to conform with all instructions coming from the United Nations.</w:t>
      </w:r>
      <w:r w:rsidR="00A62172" w:rsidRPr="00DF1F13">
        <w:rPr>
          <w:rFonts w:ascii="Times New Roman" w:hAnsi="Times New Roman" w:cs="Times New Roman"/>
          <w:sz w:val="24"/>
          <w:szCs w:val="24"/>
          <w:lang w:val="en-US"/>
        </w:rPr>
        <w:t xml:space="preserve"> Any Security Council instruction that breaches a principle of customary international law is ultra vires, since any duty to conform</w:t>
      </w:r>
      <w:r w:rsidR="00A62172" w:rsidRPr="00DF1F13">
        <w:rPr>
          <w:sz w:val="28"/>
          <w:szCs w:val="28"/>
          <w:lang w:val="en-US"/>
        </w:rPr>
        <w:t xml:space="preserve"> </w:t>
      </w:r>
      <w:r w:rsidR="00A62172" w:rsidRPr="00DF1F13">
        <w:rPr>
          <w:rFonts w:ascii="Times New Roman" w:hAnsi="Times New Roman" w:cs="Times New Roman"/>
          <w:sz w:val="24"/>
          <w:szCs w:val="24"/>
          <w:lang w:val="en-US"/>
        </w:rPr>
        <w:t xml:space="preserve">“is conditional upon the Council compliance with the Charter principles: Article 103 cannot make a resolution which is unlawful under the Charter </w:t>
      </w:r>
      <w:r w:rsidR="00FB155C">
        <w:rPr>
          <w:rFonts w:ascii="Times New Roman" w:hAnsi="Times New Roman" w:cs="Times New Roman"/>
          <w:sz w:val="24"/>
          <w:szCs w:val="24"/>
          <w:lang w:val="en-US"/>
        </w:rPr>
        <w:t>and</w:t>
      </w:r>
      <w:r w:rsidR="00345F72">
        <w:rPr>
          <w:rFonts w:ascii="Times New Roman" w:hAnsi="Times New Roman" w:cs="Times New Roman"/>
          <w:sz w:val="24"/>
          <w:szCs w:val="24"/>
          <w:lang w:val="en-US"/>
        </w:rPr>
        <w:t xml:space="preserve"> that </w:t>
      </w:r>
      <w:r w:rsidR="00FB155C" w:rsidRPr="00FB155C">
        <w:rPr>
          <w:rFonts w:ascii="Times New Roman" w:hAnsi="Times New Roman" w:cs="Times New Roman"/>
          <w:sz w:val="24"/>
          <w:szCs w:val="24"/>
          <w:lang w:val="en-US"/>
        </w:rPr>
        <w:t xml:space="preserve">predominate </w:t>
      </w:r>
      <w:r w:rsidR="00345F72">
        <w:rPr>
          <w:rFonts w:ascii="Times New Roman" w:hAnsi="Times New Roman" w:cs="Times New Roman"/>
          <w:sz w:val="24"/>
          <w:szCs w:val="24"/>
          <w:lang w:val="en-US"/>
        </w:rPr>
        <w:t xml:space="preserve">above </w:t>
      </w:r>
      <w:r w:rsidR="00A62172" w:rsidRPr="00DF1F13">
        <w:rPr>
          <w:rFonts w:ascii="Times New Roman" w:hAnsi="Times New Roman" w:cs="Times New Roman"/>
          <w:sz w:val="24"/>
          <w:szCs w:val="24"/>
          <w:lang w:val="en-US"/>
        </w:rPr>
        <w:t xml:space="preserve">other </w:t>
      </w:r>
      <w:r w:rsidR="00345F72">
        <w:rPr>
          <w:rFonts w:ascii="Times New Roman" w:hAnsi="Times New Roman" w:cs="Times New Roman"/>
          <w:sz w:val="24"/>
          <w:szCs w:val="24"/>
          <w:lang w:val="en-US"/>
        </w:rPr>
        <w:t>juridical rules</w:t>
      </w:r>
      <w:r w:rsidR="00A62172" w:rsidRPr="00DF1F13">
        <w:rPr>
          <w:rFonts w:ascii="Times New Roman" w:hAnsi="Times New Roman" w:cs="Times New Roman"/>
          <w:sz w:val="24"/>
          <w:szCs w:val="24"/>
          <w:lang w:val="en-US"/>
        </w:rPr>
        <w:t>”</w:t>
      </w:r>
      <w:r w:rsidR="00A62172" w:rsidRPr="00DF1F13">
        <w:rPr>
          <w:rStyle w:val="Znakapoznpodarou"/>
          <w:rFonts w:ascii="Times New Roman" w:hAnsi="Times New Roman" w:cs="Times New Roman"/>
          <w:sz w:val="24"/>
          <w:szCs w:val="24"/>
          <w:lang w:val="en-US"/>
        </w:rPr>
        <w:footnoteReference w:id="142"/>
      </w:r>
      <w:r w:rsidR="00DA4091" w:rsidRPr="00DF1F13">
        <w:rPr>
          <w:rFonts w:ascii="Times New Roman" w:hAnsi="Times New Roman" w:cs="Times New Roman"/>
          <w:sz w:val="24"/>
          <w:szCs w:val="24"/>
          <w:lang w:val="en-US"/>
        </w:rPr>
        <w:t xml:space="preserve"> Th</w:t>
      </w:r>
      <w:r w:rsidR="00377D9E">
        <w:rPr>
          <w:rFonts w:ascii="Times New Roman" w:hAnsi="Times New Roman" w:cs="Times New Roman"/>
          <w:sz w:val="24"/>
          <w:szCs w:val="24"/>
          <w:lang w:val="en-US"/>
        </w:rPr>
        <w:t>at</w:t>
      </w:r>
      <w:r w:rsidR="006A5258">
        <w:t xml:space="preserve"> </w:t>
      </w:r>
      <w:r w:rsidR="00377D9E" w:rsidRPr="00377D9E">
        <w:rPr>
          <w:rFonts w:ascii="Times New Roman" w:hAnsi="Times New Roman" w:cs="Times New Roman"/>
          <w:sz w:val="24"/>
          <w:szCs w:val="24"/>
          <w:lang w:val="en-US"/>
        </w:rPr>
        <w:t>viewpoint</w:t>
      </w:r>
      <w:r w:rsidR="00DA4091" w:rsidRPr="00DF1F13">
        <w:rPr>
          <w:rFonts w:ascii="Times New Roman" w:hAnsi="Times New Roman" w:cs="Times New Roman"/>
          <w:sz w:val="24"/>
          <w:szCs w:val="24"/>
          <w:lang w:val="en-US"/>
        </w:rPr>
        <w:t xml:space="preserve">, </w:t>
      </w:r>
      <w:r w:rsidR="006A5258">
        <w:rPr>
          <w:rFonts w:ascii="Times New Roman" w:hAnsi="Times New Roman" w:cs="Times New Roman"/>
          <w:sz w:val="24"/>
          <w:szCs w:val="24"/>
          <w:lang w:val="en-US"/>
        </w:rPr>
        <w:t xml:space="preserve">early </w:t>
      </w:r>
      <w:r w:rsidR="00DA4091" w:rsidRPr="00DF1F13">
        <w:rPr>
          <w:rFonts w:ascii="Times New Roman" w:hAnsi="Times New Roman" w:cs="Times New Roman"/>
          <w:sz w:val="24"/>
          <w:szCs w:val="24"/>
          <w:lang w:val="en-US"/>
        </w:rPr>
        <w:t xml:space="preserve">raised by </w:t>
      </w:r>
      <w:r w:rsidR="00DB0FB2">
        <w:rPr>
          <w:rFonts w:ascii="Times New Roman" w:hAnsi="Times New Roman" w:cs="Times New Roman"/>
          <w:sz w:val="24"/>
          <w:szCs w:val="24"/>
          <w:lang w:val="en-US"/>
        </w:rPr>
        <w:t>the Austrian jurist and legal philosopher</w:t>
      </w:r>
      <w:r w:rsidR="00D612A5">
        <w:rPr>
          <w:rFonts w:ascii="Times New Roman" w:hAnsi="Times New Roman" w:cs="Times New Roman"/>
          <w:sz w:val="24"/>
          <w:szCs w:val="24"/>
          <w:lang w:val="en-US"/>
        </w:rPr>
        <w:t xml:space="preserve"> Hans</w:t>
      </w:r>
      <w:r w:rsidR="00DB0FB2">
        <w:rPr>
          <w:rFonts w:ascii="Times New Roman" w:hAnsi="Times New Roman" w:cs="Times New Roman"/>
          <w:sz w:val="24"/>
          <w:szCs w:val="24"/>
          <w:lang w:val="en-US"/>
        </w:rPr>
        <w:t xml:space="preserve"> </w:t>
      </w:r>
      <w:r w:rsidR="00DA4091" w:rsidRPr="00DF1F13">
        <w:rPr>
          <w:rFonts w:ascii="Times New Roman" w:hAnsi="Times New Roman" w:cs="Times New Roman"/>
          <w:sz w:val="24"/>
          <w:szCs w:val="24"/>
          <w:lang w:val="en-US"/>
        </w:rPr>
        <w:t>Kelsen</w:t>
      </w:r>
      <w:r w:rsidR="00DB0FB2">
        <w:rPr>
          <w:rFonts w:ascii="Times New Roman" w:hAnsi="Times New Roman" w:cs="Times New Roman"/>
          <w:sz w:val="24"/>
          <w:szCs w:val="24"/>
          <w:lang w:val="en-US"/>
        </w:rPr>
        <w:t xml:space="preserve">, </w:t>
      </w:r>
      <w:r w:rsidR="00DA4091" w:rsidRPr="00DF1F13">
        <w:rPr>
          <w:rFonts w:ascii="Times New Roman" w:hAnsi="Times New Roman" w:cs="Times New Roman"/>
          <w:sz w:val="24"/>
          <w:szCs w:val="24"/>
          <w:lang w:val="en-US"/>
        </w:rPr>
        <w:t xml:space="preserve"> in 1950</w:t>
      </w:r>
      <w:r w:rsidR="00137605" w:rsidRPr="00DF1F13">
        <w:rPr>
          <w:rStyle w:val="Znakapoznpodarou"/>
          <w:rFonts w:ascii="Times New Roman" w:hAnsi="Times New Roman" w:cs="Times New Roman"/>
          <w:sz w:val="24"/>
          <w:szCs w:val="24"/>
          <w:lang w:val="en-US"/>
        </w:rPr>
        <w:footnoteReference w:id="143"/>
      </w:r>
      <w:r w:rsidR="00DA4091" w:rsidRPr="00DF1F13">
        <w:rPr>
          <w:rFonts w:ascii="Times New Roman" w:hAnsi="Times New Roman" w:cs="Times New Roman"/>
          <w:sz w:val="24"/>
          <w:szCs w:val="24"/>
          <w:lang w:val="en-US"/>
        </w:rPr>
        <w:t xml:space="preserve">, </w:t>
      </w:r>
      <w:r w:rsidR="00E574CB">
        <w:rPr>
          <w:rFonts w:ascii="Times New Roman" w:hAnsi="Times New Roman" w:cs="Times New Roman"/>
          <w:sz w:val="24"/>
          <w:szCs w:val="24"/>
          <w:lang w:val="en-US"/>
        </w:rPr>
        <w:t>has been tak</w:t>
      </w:r>
      <w:r w:rsidR="001907E2">
        <w:rPr>
          <w:rFonts w:ascii="Times New Roman" w:hAnsi="Times New Roman" w:cs="Times New Roman"/>
          <w:sz w:val="24"/>
          <w:szCs w:val="24"/>
          <w:lang w:val="en-US"/>
        </w:rPr>
        <w:t>ing</w:t>
      </w:r>
      <w:r w:rsidR="00E574CB">
        <w:rPr>
          <w:rFonts w:ascii="Times New Roman" w:hAnsi="Times New Roman" w:cs="Times New Roman"/>
          <w:sz w:val="24"/>
          <w:szCs w:val="24"/>
          <w:lang w:val="en-US"/>
        </w:rPr>
        <w:t xml:space="preserve"> into account </w:t>
      </w:r>
      <w:r w:rsidR="00DA4091" w:rsidRPr="00DF1F13">
        <w:rPr>
          <w:rFonts w:ascii="Times New Roman" w:hAnsi="Times New Roman" w:cs="Times New Roman"/>
          <w:sz w:val="24"/>
          <w:szCs w:val="24"/>
          <w:lang w:val="en-US"/>
        </w:rPr>
        <w:t>by the I</w:t>
      </w:r>
      <w:r w:rsidR="001907E2">
        <w:rPr>
          <w:rFonts w:ascii="Times New Roman" w:hAnsi="Times New Roman" w:cs="Times New Roman"/>
          <w:sz w:val="24"/>
          <w:szCs w:val="24"/>
          <w:lang w:val="en-US"/>
        </w:rPr>
        <w:t xml:space="preserve">nternational </w:t>
      </w:r>
      <w:r w:rsidR="00DA4091" w:rsidRPr="00DF1F13">
        <w:rPr>
          <w:rFonts w:ascii="Times New Roman" w:hAnsi="Times New Roman" w:cs="Times New Roman"/>
          <w:sz w:val="24"/>
          <w:szCs w:val="24"/>
          <w:lang w:val="en-US"/>
        </w:rPr>
        <w:t>C</w:t>
      </w:r>
      <w:r w:rsidR="001907E2">
        <w:rPr>
          <w:rFonts w:ascii="Times New Roman" w:hAnsi="Times New Roman" w:cs="Times New Roman"/>
          <w:sz w:val="24"/>
          <w:szCs w:val="24"/>
          <w:lang w:val="en-US"/>
        </w:rPr>
        <w:t xml:space="preserve">ourt Of </w:t>
      </w:r>
      <w:r w:rsidR="00DA4091" w:rsidRPr="00DF1F13">
        <w:rPr>
          <w:rFonts w:ascii="Times New Roman" w:hAnsi="Times New Roman" w:cs="Times New Roman"/>
          <w:sz w:val="24"/>
          <w:szCs w:val="24"/>
          <w:lang w:val="en-US"/>
        </w:rPr>
        <w:t>J</w:t>
      </w:r>
      <w:r w:rsidR="001907E2">
        <w:rPr>
          <w:rFonts w:ascii="Times New Roman" w:hAnsi="Times New Roman" w:cs="Times New Roman"/>
          <w:sz w:val="24"/>
          <w:szCs w:val="24"/>
          <w:lang w:val="en-US"/>
        </w:rPr>
        <w:t xml:space="preserve">ustice </w:t>
      </w:r>
      <w:r w:rsidR="00DA4091" w:rsidRPr="00DF1F13">
        <w:rPr>
          <w:rFonts w:ascii="Times New Roman" w:hAnsi="Times New Roman" w:cs="Times New Roman"/>
          <w:sz w:val="24"/>
          <w:szCs w:val="24"/>
          <w:lang w:val="en-US"/>
        </w:rPr>
        <w:t xml:space="preserve">in the Lockerbie </w:t>
      </w:r>
      <w:r w:rsidR="00C97154">
        <w:rPr>
          <w:rFonts w:ascii="Times New Roman" w:hAnsi="Times New Roman" w:cs="Times New Roman"/>
          <w:sz w:val="24"/>
          <w:szCs w:val="24"/>
          <w:lang w:val="en-US"/>
        </w:rPr>
        <w:t>decision</w:t>
      </w:r>
      <w:r w:rsidR="00137605" w:rsidRPr="00DF1F13">
        <w:rPr>
          <w:rStyle w:val="Znakapoznpodarou"/>
          <w:rFonts w:ascii="Times New Roman" w:hAnsi="Times New Roman" w:cs="Times New Roman"/>
          <w:sz w:val="24"/>
          <w:szCs w:val="24"/>
          <w:lang w:val="en-US"/>
        </w:rPr>
        <w:footnoteReference w:id="144"/>
      </w:r>
      <w:r w:rsidR="00DA4091" w:rsidRPr="00DF1F13">
        <w:rPr>
          <w:rFonts w:ascii="Times New Roman" w:hAnsi="Times New Roman" w:cs="Times New Roman"/>
          <w:sz w:val="24"/>
          <w:szCs w:val="24"/>
          <w:lang w:val="en-US"/>
        </w:rPr>
        <w:t xml:space="preserve"> and </w:t>
      </w:r>
      <w:r w:rsidR="00C97154" w:rsidRPr="00C97154">
        <w:rPr>
          <w:rFonts w:ascii="Times New Roman" w:hAnsi="Times New Roman" w:cs="Times New Roman"/>
          <w:sz w:val="24"/>
          <w:szCs w:val="24"/>
          <w:lang w:val="en-US"/>
        </w:rPr>
        <w:t>reinforce</w:t>
      </w:r>
      <w:r w:rsidR="00C97154">
        <w:rPr>
          <w:rFonts w:ascii="Times New Roman" w:hAnsi="Times New Roman" w:cs="Times New Roman"/>
          <w:sz w:val="24"/>
          <w:szCs w:val="24"/>
          <w:lang w:val="en-US"/>
        </w:rPr>
        <w:t xml:space="preserve">d </w:t>
      </w:r>
      <w:r w:rsidR="00DA4091" w:rsidRPr="00DF1F13">
        <w:rPr>
          <w:rFonts w:ascii="Times New Roman" w:hAnsi="Times New Roman" w:cs="Times New Roman"/>
          <w:sz w:val="24"/>
          <w:szCs w:val="24"/>
          <w:lang w:val="en-US"/>
        </w:rPr>
        <w:t>by</w:t>
      </w:r>
      <w:r w:rsidR="00C97154">
        <w:rPr>
          <w:rFonts w:ascii="Times New Roman" w:hAnsi="Times New Roman" w:cs="Times New Roman"/>
          <w:sz w:val="24"/>
          <w:szCs w:val="24"/>
          <w:lang w:val="en-US"/>
        </w:rPr>
        <w:t xml:space="preserve"> numerous</w:t>
      </w:r>
      <w:r w:rsidR="00DA4091" w:rsidRPr="00DF1F13">
        <w:rPr>
          <w:rFonts w:ascii="Times New Roman" w:hAnsi="Times New Roman" w:cs="Times New Roman"/>
          <w:sz w:val="24"/>
          <w:szCs w:val="24"/>
          <w:lang w:val="en-US"/>
        </w:rPr>
        <w:t xml:space="preserve"> </w:t>
      </w:r>
      <w:r w:rsidR="00C97154">
        <w:rPr>
          <w:rFonts w:ascii="Times New Roman" w:hAnsi="Times New Roman" w:cs="Times New Roman"/>
          <w:sz w:val="24"/>
          <w:szCs w:val="24"/>
          <w:lang w:val="en-US"/>
        </w:rPr>
        <w:t>academics</w:t>
      </w:r>
      <w:r w:rsidR="00DA4091" w:rsidRPr="00DF1F13">
        <w:rPr>
          <w:rFonts w:ascii="Times New Roman" w:hAnsi="Times New Roman" w:cs="Times New Roman"/>
          <w:sz w:val="24"/>
          <w:szCs w:val="24"/>
          <w:lang w:val="en-US"/>
        </w:rPr>
        <w:t>.</w:t>
      </w:r>
    </w:p>
    <w:p w14:paraId="0A1FC3FD" w14:textId="22E95AA9"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6D47CD9F" w14:textId="6664B811"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40F648BB" w14:textId="205C5EAD"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12A8D9BC" w14:textId="3F0817BD"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34838208" w14:textId="5C58024C"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375D0443" w14:textId="18127B86"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181974C3" w14:textId="6031C8E4" w:rsidR="009B38F4" w:rsidRDefault="009B38F4" w:rsidP="009B38F4">
      <w:pPr>
        <w:spacing w:before="240" w:after="120" w:line="360" w:lineRule="auto"/>
        <w:ind w:left="170" w:right="113"/>
        <w:jc w:val="both"/>
        <w:rPr>
          <w:rFonts w:ascii="Times New Roman" w:hAnsi="Times New Roman" w:cs="Times New Roman"/>
          <w:sz w:val="24"/>
          <w:szCs w:val="24"/>
          <w:lang w:val="en-US"/>
        </w:rPr>
      </w:pPr>
    </w:p>
    <w:p w14:paraId="4B17810B" w14:textId="77777777" w:rsidR="009B38F4" w:rsidRPr="00966571" w:rsidRDefault="009B38F4" w:rsidP="00A71F08">
      <w:pPr>
        <w:spacing w:before="240" w:after="120" w:line="360" w:lineRule="auto"/>
        <w:ind w:right="113"/>
        <w:jc w:val="both"/>
        <w:rPr>
          <w:rFonts w:ascii="Times New Roman" w:hAnsi="Times New Roman" w:cs="Times New Roman"/>
          <w:sz w:val="24"/>
          <w:szCs w:val="24"/>
          <w:lang w:val="en-US"/>
        </w:rPr>
      </w:pPr>
    </w:p>
    <w:p w14:paraId="23C11898" w14:textId="0A693A47" w:rsidR="002A6036" w:rsidRPr="00966571" w:rsidRDefault="00966571" w:rsidP="00966571">
      <w:pPr>
        <w:pStyle w:val="Nadpis1"/>
        <w:spacing w:after="240"/>
        <w:ind w:left="170" w:right="113"/>
        <w:rPr>
          <w:rFonts w:ascii="Times New Roman" w:hAnsi="Times New Roman" w:cs="Times New Roman"/>
          <w:b/>
          <w:bCs/>
          <w:color w:val="auto"/>
        </w:rPr>
      </w:pPr>
      <w:bookmarkStart w:id="61" w:name="_Toc109340806"/>
      <w:r w:rsidRPr="00966571">
        <w:rPr>
          <w:rFonts w:ascii="Times New Roman" w:hAnsi="Times New Roman" w:cs="Times New Roman"/>
          <w:b/>
          <w:bCs/>
          <w:color w:val="auto"/>
        </w:rPr>
        <w:lastRenderedPageBreak/>
        <w:t>5.</w:t>
      </w:r>
      <w:r w:rsidR="007521CE">
        <w:rPr>
          <w:rFonts w:ascii="Times New Roman" w:hAnsi="Times New Roman" w:cs="Times New Roman"/>
          <w:b/>
          <w:bCs/>
          <w:color w:val="auto"/>
        </w:rPr>
        <w:t>Exceptions and Limitations to Immunity R</w:t>
      </w:r>
      <w:r w:rsidR="00073074">
        <w:rPr>
          <w:rFonts w:ascii="Times New Roman" w:hAnsi="Times New Roman" w:cs="Times New Roman"/>
          <w:b/>
          <w:bCs/>
          <w:color w:val="auto"/>
        </w:rPr>
        <w:t xml:space="preserve">ule </w:t>
      </w:r>
      <w:r w:rsidR="007521CE">
        <w:rPr>
          <w:rFonts w:ascii="Times New Roman" w:hAnsi="Times New Roman" w:cs="Times New Roman"/>
          <w:b/>
          <w:bCs/>
          <w:color w:val="auto"/>
        </w:rPr>
        <w:t>for State Officials, Current Work of the International Law Commission</w:t>
      </w:r>
      <w:bookmarkEnd w:id="61"/>
    </w:p>
    <w:p w14:paraId="2F59A637" w14:textId="6A1AEBB4" w:rsidR="00A82B7E" w:rsidRDefault="002A6036" w:rsidP="007F5BBE">
      <w:pPr>
        <w:spacing w:before="240" w:after="240" w:line="360" w:lineRule="auto"/>
        <w:ind w:left="170" w:right="113"/>
        <w:jc w:val="both"/>
        <w:rPr>
          <w:rFonts w:ascii="Times New Roman" w:hAnsi="Times New Roman" w:cs="Times New Roman"/>
          <w:sz w:val="24"/>
          <w:szCs w:val="24"/>
          <w:shd w:val="clear" w:color="auto" w:fill="FFFFFF"/>
        </w:rPr>
      </w:pPr>
      <w:bookmarkStart w:id="62" w:name="_Hlk106274314"/>
      <w:r w:rsidRPr="00966571">
        <w:rPr>
          <w:rFonts w:ascii="Times New Roman" w:hAnsi="Times New Roman" w:cs="Times New Roman"/>
          <w:sz w:val="24"/>
          <w:szCs w:val="24"/>
          <w:shd w:val="clear" w:color="auto" w:fill="FFFFFF"/>
        </w:rPr>
        <w:t xml:space="preserve">In </w:t>
      </w:r>
      <w:r w:rsidR="00EA77E6">
        <w:rPr>
          <w:rFonts w:ascii="Times New Roman" w:hAnsi="Times New Roman" w:cs="Times New Roman"/>
          <w:sz w:val="24"/>
          <w:szCs w:val="24"/>
          <w:shd w:val="clear" w:color="auto" w:fill="FFFFFF"/>
        </w:rPr>
        <w:t xml:space="preserve">2017, </w:t>
      </w:r>
      <w:r w:rsidR="001B3115">
        <w:rPr>
          <w:rFonts w:ascii="Times New Roman" w:hAnsi="Times New Roman" w:cs="Times New Roman"/>
          <w:sz w:val="24"/>
          <w:szCs w:val="24"/>
          <w:shd w:val="clear" w:color="auto" w:fill="FFFFFF"/>
        </w:rPr>
        <w:t xml:space="preserve">following a very </w:t>
      </w:r>
      <w:r w:rsidR="005A1FB0" w:rsidRPr="005A1FB0">
        <w:rPr>
          <w:rFonts w:ascii="Times New Roman" w:hAnsi="Times New Roman" w:cs="Times New Roman"/>
          <w:sz w:val="24"/>
          <w:szCs w:val="24"/>
          <w:shd w:val="clear" w:color="auto" w:fill="FFFFFF"/>
        </w:rPr>
        <w:t>controversial</w:t>
      </w:r>
      <w:r w:rsidR="005A1FB0">
        <w:rPr>
          <w:rFonts w:ascii="Times New Roman" w:hAnsi="Times New Roman" w:cs="Times New Roman"/>
          <w:sz w:val="24"/>
          <w:szCs w:val="24"/>
          <w:shd w:val="clear" w:color="auto" w:fill="FFFFFF"/>
        </w:rPr>
        <w:t xml:space="preserve"> </w:t>
      </w:r>
      <w:r w:rsidR="001B3115">
        <w:rPr>
          <w:rFonts w:ascii="Times New Roman" w:hAnsi="Times New Roman" w:cs="Times New Roman"/>
          <w:sz w:val="24"/>
          <w:szCs w:val="24"/>
          <w:shd w:val="clear" w:color="auto" w:fill="FFFFFF"/>
        </w:rPr>
        <w:t xml:space="preserve">vote on </w:t>
      </w:r>
      <w:r w:rsidR="005A1FB0">
        <w:rPr>
          <w:rFonts w:ascii="Times New Roman" w:hAnsi="Times New Roman" w:cs="Times New Roman"/>
          <w:sz w:val="24"/>
          <w:szCs w:val="24"/>
          <w:shd w:val="clear" w:color="auto" w:fill="FFFFFF"/>
        </w:rPr>
        <w:t>exceptions and limitations to immunity of public officials,</w:t>
      </w:r>
      <w:r w:rsidR="00982715">
        <w:rPr>
          <w:rFonts w:ascii="Times New Roman" w:hAnsi="Times New Roman" w:cs="Times New Roman"/>
          <w:sz w:val="24"/>
          <w:szCs w:val="24"/>
          <w:shd w:val="clear" w:color="auto" w:fill="FFFFFF"/>
        </w:rPr>
        <w:t xml:space="preserve"> which is well known as draft article 7 of the </w:t>
      </w:r>
      <w:r w:rsidR="008F44AE">
        <w:rPr>
          <w:rFonts w:ascii="Times New Roman" w:hAnsi="Times New Roman" w:cs="Times New Roman"/>
          <w:sz w:val="24"/>
          <w:szCs w:val="24"/>
          <w:shd w:val="clear" w:color="auto" w:fill="FFFFFF"/>
        </w:rPr>
        <w:t>ILC, the International Law Commission has</w:t>
      </w:r>
      <w:r w:rsidR="00BD475A">
        <w:rPr>
          <w:rFonts w:ascii="Times New Roman" w:hAnsi="Times New Roman" w:cs="Times New Roman"/>
          <w:sz w:val="24"/>
          <w:szCs w:val="24"/>
          <w:shd w:val="clear" w:color="auto" w:fill="FFFFFF"/>
        </w:rPr>
        <w:t xml:space="preserve"> </w:t>
      </w:r>
      <w:r w:rsidR="00BD475A" w:rsidRPr="00BD475A">
        <w:rPr>
          <w:rFonts w:ascii="Times New Roman" w:hAnsi="Times New Roman" w:cs="Times New Roman"/>
          <w:sz w:val="24"/>
          <w:szCs w:val="24"/>
          <w:shd w:val="clear" w:color="auto" w:fill="FFFFFF"/>
        </w:rPr>
        <w:t>temporarily</w:t>
      </w:r>
      <w:r w:rsidR="00BD475A">
        <w:rPr>
          <w:rFonts w:ascii="Times New Roman" w:hAnsi="Times New Roman" w:cs="Times New Roman"/>
          <w:sz w:val="24"/>
          <w:szCs w:val="24"/>
          <w:shd w:val="clear" w:color="auto" w:fill="FFFFFF"/>
        </w:rPr>
        <w:t xml:space="preserve"> added recent draft articles </w:t>
      </w:r>
      <w:r w:rsidR="00F75224">
        <w:rPr>
          <w:rFonts w:ascii="Times New Roman" w:hAnsi="Times New Roman" w:cs="Times New Roman"/>
          <w:sz w:val="24"/>
          <w:szCs w:val="24"/>
          <w:shd w:val="clear" w:color="auto" w:fill="FFFFFF"/>
        </w:rPr>
        <w:t>during its last seance in 2021</w:t>
      </w:r>
      <w:r w:rsidR="001C59B7">
        <w:rPr>
          <w:rFonts w:ascii="Times New Roman" w:hAnsi="Times New Roman" w:cs="Times New Roman"/>
          <w:sz w:val="24"/>
          <w:szCs w:val="24"/>
          <w:shd w:val="clear" w:color="auto" w:fill="FFFFFF"/>
        </w:rPr>
        <w:t xml:space="preserve">.The new draft article added </w:t>
      </w:r>
      <w:r w:rsidR="0058525F" w:rsidRPr="0058525F">
        <w:rPr>
          <w:rFonts w:ascii="Times New Roman" w:hAnsi="Times New Roman" w:cs="Times New Roman"/>
          <w:sz w:val="24"/>
          <w:szCs w:val="24"/>
          <w:shd w:val="clear" w:color="auto" w:fill="FFFFFF"/>
        </w:rPr>
        <w:t>enumerate</w:t>
      </w:r>
      <w:r w:rsidR="0058525F">
        <w:rPr>
          <w:rFonts w:ascii="Times New Roman" w:hAnsi="Times New Roman" w:cs="Times New Roman"/>
          <w:sz w:val="24"/>
          <w:szCs w:val="24"/>
          <w:shd w:val="clear" w:color="auto" w:fill="FFFFFF"/>
        </w:rPr>
        <w:t xml:space="preserve">s six serious international crimes like war crimes, </w:t>
      </w:r>
      <w:r w:rsidR="00525649">
        <w:rPr>
          <w:rFonts w:ascii="Times New Roman" w:hAnsi="Times New Roman" w:cs="Times New Roman"/>
          <w:sz w:val="24"/>
          <w:szCs w:val="24"/>
          <w:shd w:val="clear" w:color="auto" w:fill="FFFFFF"/>
        </w:rPr>
        <w:t>the crime of genocide, crimes against humanity, enforced disappearances, torture and</w:t>
      </w:r>
      <w:r w:rsidR="005E3BDA">
        <w:rPr>
          <w:rFonts w:ascii="Times New Roman" w:hAnsi="Times New Roman" w:cs="Times New Roman"/>
          <w:sz w:val="24"/>
          <w:szCs w:val="24"/>
          <w:shd w:val="clear" w:color="auto" w:fill="FFFFFF"/>
        </w:rPr>
        <w:t xml:space="preserve"> crime of apartheid </w:t>
      </w:r>
      <w:r w:rsidR="0058525F">
        <w:rPr>
          <w:rFonts w:ascii="Times New Roman" w:hAnsi="Times New Roman" w:cs="Times New Roman"/>
          <w:sz w:val="24"/>
          <w:szCs w:val="24"/>
          <w:shd w:val="clear" w:color="auto" w:fill="FFFFFF"/>
        </w:rPr>
        <w:t>for which immunity</w:t>
      </w:r>
      <w:r w:rsidR="005E3BDA">
        <w:rPr>
          <w:rFonts w:ascii="Times New Roman" w:hAnsi="Times New Roman" w:cs="Times New Roman"/>
          <w:sz w:val="24"/>
          <w:szCs w:val="24"/>
          <w:shd w:val="clear" w:color="auto" w:fill="FFFFFF"/>
        </w:rPr>
        <w:t xml:space="preserve"> ratione materiae cannot be granted</w:t>
      </w:r>
      <w:r w:rsidR="00A95CDD">
        <w:rPr>
          <w:rFonts w:ascii="Times New Roman" w:hAnsi="Times New Roman" w:cs="Times New Roman"/>
          <w:sz w:val="24"/>
          <w:szCs w:val="24"/>
          <w:shd w:val="clear" w:color="auto" w:fill="FFFFFF"/>
        </w:rPr>
        <w:t>.</w:t>
      </w:r>
      <w:r w:rsidR="007F5BBE">
        <w:rPr>
          <w:rFonts w:ascii="Times New Roman" w:hAnsi="Times New Roman" w:cs="Times New Roman"/>
          <w:sz w:val="24"/>
          <w:szCs w:val="24"/>
          <w:shd w:val="clear" w:color="auto" w:fill="FFFFFF"/>
        </w:rPr>
        <w:t xml:space="preserve"> </w:t>
      </w:r>
      <w:r w:rsidR="007E217D" w:rsidRPr="007E217D">
        <w:rPr>
          <w:rFonts w:ascii="Times New Roman" w:hAnsi="Times New Roman" w:cs="Times New Roman"/>
          <w:sz w:val="24"/>
          <w:szCs w:val="24"/>
          <w:shd w:val="clear" w:color="auto" w:fill="FFFFFF"/>
        </w:rPr>
        <w:t>Such exceptions cannot be enforced when it comes to immunity ratione personae.</w:t>
      </w:r>
    </w:p>
    <w:p w14:paraId="2CDF4080" w14:textId="5ECC0958" w:rsidR="005D2DEE" w:rsidRDefault="005C5B78" w:rsidP="005D2DEE">
      <w:pPr>
        <w:spacing w:before="240" w:after="240" w:line="360" w:lineRule="auto"/>
        <w:ind w:left="170" w:right="113"/>
        <w:jc w:val="both"/>
        <w:rPr>
          <w:rFonts w:ascii="Times New Roman" w:hAnsi="Times New Roman" w:cs="Times New Roman"/>
          <w:sz w:val="24"/>
          <w:szCs w:val="24"/>
          <w:shd w:val="clear" w:color="auto" w:fill="FFFFFF"/>
        </w:rPr>
      </w:pPr>
      <w:r w:rsidRPr="005C5B78">
        <w:rPr>
          <w:rFonts w:ascii="Times New Roman" w:hAnsi="Times New Roman" w:cs="Times New Roman"/>
          <w:sz w:val="24"/>
          <w:szCs w:val="24"/>
          <w:shd w:val="clear" w:color="auto" w:fill="FFFFFF"/>
        </w:rPr>
        <w:t>The principal denunciation formulated in opposition to the draft article</w:t>
      </w:r>
      <w:r>
        <w:rPr>
          <w:rFonts w:ascii="Times New Roman" w:hAnsi="Times New Roman" w:cs="Times New Roman"/>
          <w:sz w:val="24"/>
          <w:szCs w:val="24"/>
          <w:shd w:val="clear" w:color="auto" w:fill="FFFFFF"/>
        </w:rPr>
        <w:t xml:space="preserve"> is </w:t>
      </w:r>
      <w:r w:rsidR="0076070D">
        <w:rPr>
          <w:rFonts w:ascii="Times New Roman" w:hAnsi="Times New Roman" w:cs="Times New Roman"/>
          <w:sz w:val="24"/>
          <w:szCs w:val="24"/>
          <w:shd w:val="clear" w:color="auto" w:fill="FFFFFF"/>
        </w:rPr>
        <w:t xml:space="preserve">the fact that it does not constitute current </w:t>
      </w:r>
      <w:r w:rsidR="00FE0DFC">
        <w:rPr>
          <w:rFonts w:ascii="Times New Roman" w:hAnsi="Times New Roman" w:cs="Times New Roman"/>
          <w:sz w:val="24"/>
          <w:szCs w:val="24"/>
          <w:shd w:val="clear" w:color="auto" w:fill="FFFFFF"/>
        </w:rPr>
        <w:t xml:space="preserve">rule and in states </w:t>
      </w:r>
      <w:r w:rsidR="00B85401" w:rsidRPr="001C798B">
        <w:rPr>
          <w:rFonts w:ascii="Times New Roman" w:hAnsi="Times New Roman" w:cs="Times New Roman"/>
          <w:sz w:val="24"/>
          <w:szCs w:val="24"/>
          <w:shd w:val="clear" w:color="auto" w:fill="FFFFFF"/>
        </w:rPr>
        <w:t>behaviours</w:t>
      </w:r>
      <w:r w:rsidR="00FE0DFC">
        <w:rPr>
          <w:rFonts w:ascii="Times New Roman" w:hAnsi="Times New Roman" w:cs="Times New Roman"/>
          <w:sz w:val="24"/>
          <w:szCs w:val="24"/>
          <w:shd w:val="clear" w:color="auto" w:fill="FFFFFF"/>
        </w:rPr>
        <w:t>, it has no foundation.</w:t>
      </w:r>
      <w:r w:rsidR="000563ED">
        <w:rPr>
          <w:rFonts w:ascii="Times New Roman" w:hAnsi="Times New Roman" w:cs="Times New Roman"/>
          <w:sz w:val="24"/>
          <w:szCs w:val="24"/>
          <w:shd w:val="clear" w:color="auto" w:fill="FFFFFF"/>
        </w:rPr>
        <w:t xml:space="preserve"> In the </w:t>
      </w:r>
      <w:r w:rsidR="00287512">
        <w:rPr>
          <w:rFonts w:ascii="Times New Roman" w:hAnsi="Times New Roman" w:cs="Times New Roman"/>
          <w:sz w:val="24"/>
          <w:szCs w:val="24"/>
          <w:shd w:val="clear" w:color="auto" w:fill="FFFFFF"/>
        </w:rPr>
        <w:t xml:space="preserve">following part, this paper will </w:t>
      </w:r>
      <w:r w:rsidR="006A29D7" w:rsidRPr="006A29D7">
        <w:rPr>
          <w:rFonts w:ascii="Times New Roman" w:hAnsi="Times New Roman" w:cs="Times New Roman"/>
          <w:sz w:val="24"/>
          <w:szCs w:val="24"/>
          <w:shd w:val="clear" w:color="auto" w:fill="FFFFFF"/>
        </w:rPr>
        <w:t>underline</w:t>
      </w:r>
      <w:r w:rsidR="006A29D7">
        <w:rPr>
          <w:rFonts w:ascii="Times New Roman" w:hAnsi="Times New Roman" w:cs="Times New Roman"/>
          <w:sz w:val="24"/>
          <w:szCs w:val="24"/>
          <w:shd w:val="clear" w:color="auto" w:fill="FFFFFF"/>
        </w:rPr>
        <w:t xml:space="preserve"> the </w:t>
      </w:r>
      <w:r w:rsidR="006A29D7" w:rsidRPr="006A29D7">
        <w:rPr>
          <w:rFonts w:ascii="Times New Roman" w:hAnsi="Times New Roman" w:cs="Times New Roman"/>
          <w:sz w:val="24"/>
          <w:szCs w:val="24"/>
          <w:shd w:val="clear" w:color="auto" w:fill="FFFFFF"/>
        </w:rPr>
        <w:t>context</w:t>
      </w:r>
      <w:r w:rsidR="006A29D7">
        <w:rPr>
          <w:rFonts w:ascii="Times New Roman" w:hAnsi="Times New Roman" w:cs="Times New Roman"/>
          <w:sz w:val="24"/>
          <w:szCs w:val="24"/>
          <w:shd w:val="clear" w:color="auto" w:fill="FFFFFF"/>
        </w:rPr>
        <w:t xml:space="preserve"> of adoption of the draft article by the </w:t>
      </w:r>
      <w:r w:rsidR="00803782" w:rsidRPr="00803782">
        <w:rPr>
          <w:rFonts w:ascii="Times New Roman" w:hAnsi="Times New Roman" w:cs="Times New Roman"/>
          <w:sz w:val="24"/>
          <w:szCs w:val="24"/>
          <w:shd w:val="clear" w:color="auto" w:fill="FFFFFF"/>
        </w:rPr>
        <w:t>committee</w:t>
      </w:r>
      <w:r w:rsidR="00803782">
        <w:rPr>
          <w:rFonts w:ascii="Times New Roman" w:hAnsi="Times New Roman" w:cs="Times New Roman"/>
          <w:sz w:val="24"/>
          <w:szCs w:val="24"/>
          <w:shd w:val="clear" w:color="auto" w:fill="FFFFFF"/>
        </w:rPr>
        <w:t xml:space="preserve">, as well as a short </w:t>
      </w:r>
      <w:r w:rsidR="00C0664C">
        <w:rPr>
          <w:rFonts w:ascii="Times New Roman" w:hAnsi="Times New Roman" w:cs="Times New Roman"/>
          <w:sz w:val="24"/>
          <w:szCs w:val="24"/>
          <w:shd w:val="clear" w:color="auto" w:fill="FFFFFF"/>
        </w:rPr>
        <w:t xml:space="preserve">view of the </w:t>
      </w:r>
      <w:r w:rsidR="00311540">
        <w:rPr>
          <w:rFonts w:ascii="Times New Roman" w:hAnsi="Times New Roman" w:cs="Times New Roman"/>
          <w:sz w:val="24"/>
          <w:szCs w:val="24"/>
          <w:shd w:val="clear" w:color="auto" w:fill="FFFFFF"/>
        </w:rPr>
        <w:t>report that is the foundation of the draft article 7</w:t>
      </w:r>
      <w:r w:rsidR="004B4BEB">
        <w:rPr>
          <w:rFonts w:ascii="Times New Roman" w:hAnsi="Times New Roman" w:cs="Times New Roman"/>
          <w:sz w:val="24"/>
          <w:szCs w:val="24"/>
          <w:shd w:val="clear" w:color="auto" w:fill="FFFFFF"/>
        </w:rPr>
        <w:t xml:space="preserve"> and </w:t>
      </w:r>
      <w:r w:rsidR="004B4BEB" w:rsidRPr="004B4BEB">
        <w:rPr>
          <w:rFonts w:ascii="Times New Roman" w:hAnsi="Times New Roman" w:cs="Times New Roman"/>
          <w:sz w:val="24"/>
          <w:szCs w:val="24"/>
          <w:shd w:val="clear" w:color="auto" w:fill="FFFFFF"/>
        </w:rPr>
        <w:t>numerous</w:t>
      </w:r>
      <w:r w:rsidR="004B4BEB">
        <w:rPr>
          <w:rFonts w:ascii="Times New Roman" w:hAnsi="Times New Roman" w:cs="Times New Roman"/>
          <w:sz w:val="24"/>
          <w:szCs w:val="24"/>
          <w:shd w:val="clear" w:color="auto" w:fill="FFFFFF"/>
        </w:rPr>
        <w:t xml:space="preserve"> </w:t>
      </w:r>
      <w:r w:rsidR="004B4BEB" w:rsidRPr="004B4BEB">
        <w:rPr>
          <w:rFonts w:ascii="Times New Roman" w:hAnsi="Times New Roman" w:cs="Times New Roman"/>
          <w:sz w:val="24"/>
          <w:szCs w:val="24"/>
          <w:shd w:val="clear" w:color="auto" w:fill="FFFFFF"/>
        </w:rPr>
        <w:t>reasonings</w:t>
      </w:r>
      <w:r w:rsidR="00D94722">
        <w:rPr>
          <w:rFonts w:ascii="Times New Roman" w:hAnsi="Times New Roman" w:cs="Times New Roman"/>
          <w:sz w:val="24"/>
          <w:szCs w:val="24"/>
          <w:shd w:val="clear" w:color="auto" w:fill="FFFFFF"/>
        </w:rPr>
        <w:t xml:space="preserve"> provided </w:t>
      </w:r>
      <w:r w:rsidR="00D94722" w:rsidRPr="00D94722">
        <w:rPr>
          <w:rFonts w:ascii="Times New Roman" w:hAnsi="Times New Roman" w:cs="Times New Roman"/>
          <w:sz w:val="24"/>
          <w:szCs w:val="24"/>
          <w:shd w:val="clear" w:color="auto" w:fill="FFFFFF"/>
        </w:rPr>
        <w:t>hostile to</w:t>
      </w:r>
      <w:r w:rsidR="00D94722">
        <w:rPr>
          <w:rFonts w:ascii="Times New Roman" w:hAnsi="Times New Roman" w:cs="Times New Roman"/>
          <w:sz w:val="24"/>
          <w:szCs w:val="24"/>
          <w:shd w:val="clear" w:color="auto" w:fill="FFFFFF"/>
        </w:rPr>
        <w:t xml:space="preserve"> the </w:t>
      </w:r>
      <w:r w:rsidR="00642D53">
        <w:rPr>
          <w:rFonts w:ascii="Times New Roman" w:hAnsi="Times New Roman" w:cs="Times New Roman"/>
          <w:sz w:val="24"/>
          <w:szCs w:val="24"/>
          <w:shd w:val="clear" w:color="auto" w:fill="FFFFFF"/>
        </w:rPr>
        <w:t>acceptance of the draft article.</w:t>
      </w:r>
      <w:r w:rsidR="00D34ACC">
        <w:rPr>
          <w:rFonts w:ascii="Times New Roman" w:hAnsi="Times New Roman" w:cs="Times New Roman"/>
          <w:sz w:val="24"/>
          <w:szCs w:val="24"/>
          <w:shd w:val="clear" w:color="auto" w:fill="FFFFFF"/>
        </w:rPr>
        <w:t xml:space="preserve"> In the second part, it will be demonstrated that exceptions and limitations to immunity ratione materiae</w:t>
      </w:r>
      <w:r w:rsidR="00FD3FE3">
        <w:rPr>
          <w:rFonts w:ascii="Times New Roman" w:hAnsi="Times New Roman" w:cs="Times New Roman"/>
          <w:sz w:val="24"/>
          <w:szCs w:val="24"/>
          <w:shd w:val="clear" w:color="auto" w:fill="FFFFFF"/>
        </w:rPr>
        <w:t xml:space="preserve"> still cannot establish international </w:t>
      </w:r>
      <w:r w:rsidR="00CE2BDB">
        <w:rPr>
          <w:rFonts w:ascii="Times New Roman" w:hAnsi="Times New Roman" w:cs="Times New Roman"/>
          <w:sz w:val="24"/>
          <w:szCs w:val="24"/>
          <w:shd w:val="clear" w:color="auto" w:fill="FFFFFF"/>
        </w:rPr>
        <w:t xml:space="preserve">customary </w:t>
      </w:r>
      <w:r w:rsidR="00FD3FE3">
        <w:rPr>
          <w:rFonts w:ascii="Times New Roman" w:hAnsi="Times New Roman" w:cs="Times New Roman"/>
          <w:sz w:val="24"/>
          <w:szCs w:val="24"/>
          <w:shd w:val="clear" w:color="auto" w:fill="FFFFFF"/>
        </w:rPr>
        <w:t>law.</w:t>
      </w:r>
    </w:p>
    <w:p w14:paraId="4D52AC0D" w14:textId="5645A725" w:rsidR="00A17D74" w:rsidRPr="00966571" w:rsidRDefault="00EC5950" w:rsidP="00966571">
      <w:pPr>
        <w:pStyle w:val="Nadpis1"/>
        <w:spacing w:after="240"/>
        <w:ind w:left="170" w:right="113"/>
        <w:rPr>
          <w:rFonts w:ascii="Times New Roman" w:hAnsi="Times New Roman" w:cs="Times New Roman"/>
          <w:b/>
          <w:color w:val="auto"/>
        </w:rPr>
      </w:pPr>
      <w:bookmarkStart w:id="63" w:name="_Toc109340807"/>
      <w:r>
        <w:rPr>
          <w:rFonts w:ascii="Times New Roman" w:hAnsi="Times New Roman" w:cs="Times New Roman"/>
          <w:b/>
          <w:color w:val="auto"/>
          <w:lang w:val="en-GB"/>
        </w:rPr>
        <w:t>5.1</w:t>
      </w:r>
      <w:r w:rsidR="005D2DEE" w:rsidRPr="005D2DEE">
        <w:rPr>
          <w:rFonts w:ascii="Times New Roman" w:hAnsi="Times New Roman" w:cs="Times New Roman"/>
          <w:b/>
          <w:color w:val="auto"/>
        </w:rPr>
        <w:t xml:space="preserve"> The </w:t>
      </w:r>
      <w:r w:rsidR="0021681C">
        <w:rPr>
          <w:rFonts w:ascii="Times New Roman" w:hAnsi="Times New Roman" w:cs="Times New Roman"/>
          <w:b/>
          <w:color w:val="auto"/>
        </w:rPr>
        <w:t>C</w:t>
      </w:r>
      <w:r w:rsidR="005D2DEE" w:rsidRPr="005D2DEE">
        <w:rPr>
          <w:rFonts w:ascii="Times New Roman" w:hAnsi="Times New Roman" w:cs="Times New Roman"/>
          <w:b/>
          <w:color w:val="auto"/>
        </w:rPr>
        <w:t xml:space="preserve">lauses of Draft Article 7 and the </w:t>
      </w:r>
      <w:r w:rsidR="0021681C">
        <w:rPr>
          <w:rFonts w:ascii="Times New Roman" w:hAnsi="Times New Roman" w:cs="Times New Roman"/>
          <w:b/>
          <w:color w:val="auto"/>
        </w:rPr>
        <w:t>J</w:t>
      </w:r>
      <w:r w:rsidR="005D2DEE" w:rsidRPr="005D2DEE">
        <w:rPr>
          <w:rFonts w:ascii="Times New Roman" w:hAnsi="Times New Roman" w:cs="Times New Roman"/>
          <w:b/>
          <w:color w:val="auto"/>
        </w:rPr>
        <w:t xml:space="preserve">ustifications for </w:t>
      </w:r>
      <w:r w:rsidR="0021681C">
        <w:rPr>
          <w:rFonts w:ascii="Times New Roman" w:hAnsi="Times New Roman" w:cs="Times New Roman"/>
          <w:b/>
          <w:color w:val="auto"/>
        </w:rPr>
        <w:t>i</w:t>
      </w:r>
      <w:r w:rsidR="005D2DEE" w:rsidRPr="005D2DEE">
        <w:rPr>
          <w:rFonts w:ascii="Times New Roman" w:hAnsi="Times New Roman" w:cs="Times New Roman"/>
          <w:b/>
          <w:color w:val="auto"/>
        </w:rPr>
        <w:t xml:space="preserve">ts </w:t>
      </w:r>
      <w:r w:rsidR="0021681C">
        <w:rPr>
          <w:rFonts w:ascii="Times New Roman" w:hAnsi="Times New Roman" w:cs="Times New Roman"/>
          <w:b/>
          <w:color w:val="auto"/>
        </w:rPr>
        <w:t>A</w:t>
      </w:r>
      <w:r w:rsidR="005D2DEE" w:rsidRPr="005D2DEE">
        <w:rPr>
          <w:rFonts w:ascii="Times New Roman" w:hAnsi="Times New Roman" w:cs="Times New Roman"/>
          <w:b/>
          <w:color w:val="auto"/>
        </w:rPr>
        <w:t>cceptance</w:t>
      </w:r>
      <w:bookmarkEnd w:id="63"/>
    </w:p>
    <w:p w14:paraId="7FAFEB90" w14:textId="24496E18" w:rsidR="00894C72" w:rsidRDefault="00871DF6" w:rsidP="00966571">
      <w:pPr>
        <w:spacing w:before="240" w:after="24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Early it is</w:t>
      </w:r>
      <w:r w:rsidR="00C40C70">
        <w:rPr>
          <w:rFonts w:ascii="Times New Roman" w:hAnsi="Times New Roman" w:cs="Times New Roman"/>
          <w:sz w:val="24"/>
          <w:szCs w:val="24"/>
        </w:rPr>
        <w:t xml:space="preserve"> fundamental to </w:t>
      </w:r>
      <w:r w:rsidR="000B2D76">
        <w:rPr>
          <w:rFonts w:ascii="Times New Roman" w:hAnsi="Times New Roman" w:cs="Times New Roman"/>
          <w:sz w:val="24"/>
          <w:szCs w:val="24"/>
        </w:rPr>
        <w:t xml:space="preserve">indicate the </w:t>
      </w:r>
      <w:r w:rsidR="000B2D76" w:rsidRPr="000B2D76">
        <w:rPr>
          <w:rFonts w:ascii="Times New Roman" w:hAnsi="Times New Roman" w:cs="Times New Roman"/>
          <w:sz w:val="24"/>
          <w:szCs w:val="24"/>
        </w:rPr>
        <w:t>structure</w:t>
      </w:r>
      <w:r w:rsidR="00C30780">
        <w:rPr>
          <w:rFonts w:ascii="Times New Roman" w:hAnsi="Times New Roman" w:cs="Times New Roman"/>
          <w:sz w:val="24"/>
          <w:szCs w:val="24"/>
        </w:rPr>
        <w:t xml:space="preserve"> </w:t>
      </w:r>
      <w:r w:rsidR="00C30780" w:rsidRPr="00C30780">
        <w:rPr>
          <w:rFonts w:ascii="Times New Roman" w:hAnsi="Times New Roman" w:cs="Times New Roman"/>
          <w:sz w:val="24"/>
          <w:szCs w:val="24"/>
        </w:rPr>
        <w:t>of th</w:t>
      </w:r>
      <w:r w:rsidR="00EE0B04">
        <w:rPr>
          <w:rFonts w:ascii="Times New Roman" w:hAnsi="Times New Roman" w:cs="Times New Roman"/>
          <w:sz w:val="24"/>
          <w:szCs w:val="24"/>
        </w:rPr>
        <w:t>is</w:t>
      </w:r>
      <w:r w:rsidR="00C30780" w:rsidRPr="00C30780">
        <w:rPr>
          <w:rFonts w:ascii="Times New Roman" w:hAnsi="Times New Roman" w:cs="Times New Roman"/>
          <w:sz w:val="24"/>
          <w:szCs w:val="24"/>
        </w:rPr>
        <w:t xml:space="preserve"> text before starting any analysis.</w:t>
      </w:r>
      <w:r w:rsidR="003419F1">
        <w:rPr>
          <w:rFonts w:ascii="Times New Roman" w:hAnsi="Times New Roman" w:cs="Times New Roman"/>
          <w:sz w:val="24"/>
          <w:szCs w:val="24"/>
        </w:rPr>
        <w:t xml:space="preserve"> As this paper </w:t>
      </w:r>
      <w:r w:rsidR="001F3EFA" w:rsidRPr="000E3A5E">
        <w:rPr>
          <w:rFonts w:ascii="Times New Roman" w:hAnsi="Times New Roman" w:cs="Times New Roman"/>
          <w:sz w:val="24"/>
          <w:szCs w:val="24"/>
        </w:rPr>
        <w:t>explains</w:t>
      </w:r>
      <w:r w:rsidR="000E3A5E">
        <w:rPr>
          <w:rFonts w:ascii="Times New Roman" w:hAnsi="Times New Roman" w:cs="Times New Roman"/>
          <w:sz w:val="24"/>
          <w:szCs w:val="24"/>
        </w:rPr>
        <w:t xml:space="preserve"> the actual </w:t>
      </w:r>
      <w:r w:rsidR="00422320">
        <w:rPr>
          <w:rFonts w:ascii="Times New Roman" w:hAnsi="Times New Roman" w:cs="Times New Roman"/>
          <w:sz w:val="24"/>
          <w:szCs w:val="24"/>
        </w:rPr>
        <w:t>work</w:t>
      </w:r>
      <w:r w:rsidR="001F3EFA">
        <w:rPr>
          <w:rFonts w:ascii="Times New Roman" w:hAnsi="Times New Roman" w:cs="Times New Roman"/>
          <w:sz w:val="24"/>
          <w:szCs w:val="24"/>
        </w:rPr>
        <w:t xml:space="preserve"> of the committee</w:t>
      </w:r>
      <w:r w:rsidR="00CD135E">
        <w:rPr>
          <w:rFonts w:ascii="Times New Roman" w:hAnsi="Times New Roman" w:cs="Times New Roman"/>
          <w:sz w:val="24"/>
          <w:szCs w:val="24"/>
        </w:rPr>
        <w:t xml:space="preserve"> based on immunity of public</w:t>
      </w:r>
      <w:r w:rsidR="00EE0B04">
        <w:rPr>
          <w:rFonts w:ascii="Times New Roman" w:hAnsi="Times New Roman" w:cs="Times New Roman"/>
          <w:sz w:val="24"/>
          <w:szCs w:val="24"/>
        </w:rPr>
        <w:t xml:space="preserve"> agents from external criminal </w:t>
      </w:r>
      <w:r w:rsidR="00422320" w:rsidRPr="00422320">
        <w:rPr>
          <w:rFonts w:ascii="Times New Roman" w:hAnsi="Times New Roman" w:cs="Times New Roman"/>
          <w:sz w:val="24"/>
          <w:szCs w:val="24"/>
        </w:rPr>
        <w:t>judicature</w:t>
      </w:r>
      <w:r w:rsidR="00422320">
        <w:rPr>
          <w:rFonts w:ascii="Times New Roman" w:hAnsi="Times New Roman" w:cs="Times New Roman"/>
          <w:sz w:val="24"/>
          <w:szCs w:val="24"/>
        </w:rPr>
        <w:t>,</w:t>
      </w:r>
      <w:r w:rsidR="00D52C58">
        <w:rPr>
          <w:rFonts w:ascii="Times New Roman" w:hAnsi="Times New Roman" w:cs="Times New Roman"/>
          <w:sz w:val="24"/>
          <w:szCs w:val="24"/>
        </w:rPr>
        <w:t xml:space="preserve"> its </w:t>
      </w:r>
      <w:r w:rsidR="00D52C58" w:rsidRPr="00D52C58">
        <w:rPr>
          <w:rFonts w:ascii="Times New Roman" w:hAnsi="Times New Roman" w:cs="Times New Roman"/>
          <w:sz w:val="24"/>
          <w:szCs w:val="24"/>
        </w:rPr>
        <w:t>framework</w:t>
      </w:r>
      <w:r w:rsidR="00D52C58">
        <w:rPr>
          <w:rFonts w:ascii="Times New Roman" w:hAnsi="Times New Roman" w:cs="Times New Roman"/>
          <w:sz w:val="24"/>
          <w:szCs w:val="24"/>
        </w:rPr>
        <w:t xml:space="preserve"> is going to be like the one of the draft </w:t>
      </w:r>
      <w:r w:rsidR="00D15DF6">
        <w:rPr>
          <w:rFonts w:ascii="Times New Roman" w:hAnsi="Times New Roman" w:cs="Times New Roman"/>
          <w:sz w:val="24"/>
          <w:szCs w:val="24"/>
        </w:rPr>
        <w:t>articles</w:t>
      </w:r>
      <w:r w:rsidR="00D40C34">
        <w:rPr>
          <w:rFonts w:ascii="Times New Roman" w:hAnsi="Times New Roman" w:cs="Times New Roman"/>
          <w:sz w:val="24"/>
          <w:szCs w:val="24"/>
        </w:rPr>
        <w:t xml:space="preserve"> of the commission.</w:t>
      </w:r>
      <w:r w:rsidR="00181A07">
        <w:rPr>
          <w:rStyle w:val="Znakapoznpodarou"/>
          <w:rFonts w:ascii="Times New Roman" w:hAnsi="Times New Roman" w:cs="Times New Roman"/>
          <w:sz w:val="24"/>
          <w:szCs w:val="24"/>
        </w:rPr>
        <w:footnoteReference w:id="145"/>
      </w:r>
      <w:r w:rsidR="00FA5C7C">
        <w:rPr>
          <w:rFonts w:ascii="Times New Roman" w:hAnsi="Times New Roman" w:cs="Times New Roman"/>
          <w:sz w:val="24"/>
          <w:szCs w:val="24"/>
        </w:rPr>
        <w:t xml:space="preserve"> T</w:t>
      </w:r>
      <w:r w:rsidR="00FA5C7C" w:rsidRPr="00FA5C7C">
        <w:rPr>
          <w:rFonts w:ascii="Times New Roman" w:hAnsi="Times New Roman" w:cs="Times New Roman"/>
          <w:sz w:val="24"/>
          <w:szCs w:val="24"/>
        </w:rPr>
        <w:t>herefore</w:t>
      </w:r>
      <w:r w:rsidR="00FA5C7C">
        <w:rPr>
          <w:rFonts w:ascii="Times New Roman" w:hAnsi="Times New Roman" w:cs="Times New Roman"/>
          <w:sz w:val="24"/>
          <w:szCs w:val="24"/>
        </w:rPr>
        <w:t xml:space="preserve">, this </w:t>
      </w:r>
      <w:r w:rsidR="00F602A3">
        <w:rPr>
          <w:rFonts w:ascii="Times New Roman" w:hAnsi="Times New Roman" w:cs="Times New Roman"/>
          <w:sz w:val="24"/>
          <w:szCs w:val="24"/>
        </w:rPr>
        <w:t xml:space="preserve">text is going to be </w:t>
      </w:r>
      <w:r w:rsidR="00F602A3" w:rsidRPr="00F602A3">
        <w:rPr>
          <w:rFonts w:ascii="Times New Roman" w:hAnsi="Times New Roman" w:cs="Times New Roman"/>
          <w:sz w:val="24"/>
          <w:szCs w:val="24"/>
        </w:rPr>
        <w:t>restricted</w:t>
      </w:r>
      <w:r w:rsidR="00F602A3">
        <w:rPr>
          <w:rFonts w:ascii="Times New Roman" w:hAnsi="Times New Roman" w:cs="Times New Roman"/>
          <w:sz w:val="24"/>
          <w:szCs w:val="24"/>
        </w:rPr>
        <w:t xml:space="preserve"> mainly on immunit</w:t>
      </w:r>
      <w:r w:rsidR="00A86DDF">
        <w:rPr>
          <w:rFonts w:ascii="Times New Roman" w:hAnsi="Times New Roman" w:cs="Times New Roman"/>
          <w:sz w:val="24"/>
          <w:szCs w:val="24"/>
        </w:rPr>
        <w:t>ies of public agents according to</w:t>
      </w:r>
      <w:r w:rsidR="00305E73">
        <w:rPr>
          <w:rFonts w:ascii="Times New Roman" w:hAnsi="Times New Roman" w:cs="Times New Roman"/>
          <w:sz w:val="24"/>
          <w:szCs w:val="24"/>
        </w:rPr>
        <w:t xml:space="preserve"> </w:t>
      </w:r>
      <w:r w:rsidR="00A86DDF">
        <w:rPr>
          <w:rFonts w:ascii="Times New Roman" w:hAnsi="Times New Roman" w:cs="Times New Roman"/>
          <w:sz w:val="24"/>
          <w:szCs w:val="24"/>
        </w:rPr>
        <w:t>international</w:t>
      </w:r>
      <w:r w:rsidR="00305E73">
        <w:rPr>
          <w:rFonts w:ascii="Times New Roman" w:hAnsi="Times New Roman" w:cs="Times New Roman"/>
          <w:sz w:val="24"/>
          <w:szCs w:val="24"/>
        </w:rPr>
        <w:t xml:space="preserve"> customary</w:t>
      </w:r>
      <w:r w:rsidR="00A86DDF">
        <w:rPr>
          <w:rFonts w:ascii="Times New Roman" w:hAnsi="Times New Roman" w:cs="Times New Roman"/>
          <w:sz w:val="24"/>
          <w:szCs w:val="24"/>
        </w:rPr>
        <w:t xml:space="preserve"> rule</w:t>
      </w:r>
      <w:r w:rsidR="004E6125">
        <w:rPr>
          <w:rFonts w:ascii="Times New Roman" w:hAnsi="Times New Roman" w:cs="Times New Roman"/>
          <w:sz w:val="24"/>
          <w:szCs w:val="24"/>
        </w:rPr>
        <w:t xml:space="preserve"> and will not cover State immunity or </w:t>
      </w:r>
      <w:r w:rsidR="00363C50">
        <w:rPr>
          <w:rFonts w:ascii="Times New Roman" w:hAnsi="Times New Roman" w:cs="Times New Roman"/>
          <w:sz w:val="24"/>
          <w:szCs w:val="24"/>
        </w:rPr>
        <w:t>other immunities contained in different pacts like</w:t>
      </w:r>
      <w:r w:rsidR="006E28D9">
        <w:rPr>
          <w:rFonts w:ascii="Times New Roman" w:hAnsi="Times New Roman" w:cs="Times New Roman"/>
          <w:sz w:val="24"/>
          <w:szCs w:val="24"/>
        </w:rPr>
        <w:t xml:space="preserve"> diplomatic immunities according to the Vienna Convention on Diplomatic Relations.</w:t>
      </w:r>
      <w:r w:rsidR="00DD585B">
        <w:rPr>
          <w:rFonts w:ascii="Times New Roman" w:hAnsi="Times New Roman" w:cs="Times New Roman"/>
          <w:sz w:val="24"/>
          <w:szCs w:val="24"/>
        </w:rPr>
        <w:t xml:space="preserve"> Likewise, as </w:t>
      </w:r>
      <w:r w:rsidR="00E755E5">
        <w:rPr>
          <w:rFonts w:ascii="Times New Roman" w:hAnsi="Times New Roman" w:cs="Times New Roman"/>
          <w:sz w:val="24"/>
          <w:szCs w:val="24"/>
        </w:rPr>
        <w:t xml:space="preserve">the structure of the Committee’s work </w:t>
      </w:r>
      <w:r w:rsidR="00E755E5" w:rsidRPr="00E755E5">
        <w:rPr>
          <w:rFonts w:ascii="Times New Roman" w:hAnsi="Times New Roman" w:cs="Times New Roman"/>
          <w:sz w:val="24"/>
          <w:szCs w:val="24"/>
        </w:rPr>
        <w:lastRenderedPageBreak/>
        <w:t>examine</w:t>
      </w:r>
      <w:r w:rsidR="00BB6A57">
        <w:rPr>
          <w:rFonts w:ascii="Times New Roman" w:hAnsi="Times New Roman" w:cs="Times New Roman"/>
          <w:sz w:val="24"/>
          <w:szCs w:val="24"/>
        </w:rPr>
        <w:t xml:space="preserve"> immunity</w:t>
      </w:r>
      <w:r w:rsidR="00DA4698">
        <w:rPr>
          <w:rFonts w:ascii="Times New Roman" w:hAnsi="Times New Roman" w:cs="Times New Roman"/>
          <w:sz w:val="24"/>
          <w:szCs w:val="24"/>
        </w:rPr>
        <w:t xml:space="preserve"> with regards to</w:t>
      </w:r>
      <w:r w:rsidR="00BB6A57">
        <w:rPr>
          <w:rFonts w:ascii="Times New Roman" w:hAnsi="Times New Roman" w:cs="Times New Roman"/>
          <w:sz w:val="24"/>
          <w:szCs w:val="24"/>
        </w:rPr>
        <w:t xml:space="preserve"> </w:t>
      </w:r>
      <w:r w:rsidR="000D0B73">
        <w:rPr>
          <w:rFonts w:ascii="Times New Roman" w:hAnsi="Times New Roman" w:cs="Times New Roman"/>
          <w:sz w:val="24"/>
          <w:szCs w:val="24"/>
        </w:rPr>
        <w:t xml:space="preserve">external criminal </w:t>
      </w:r>
      <w:r w:rsidR="000D0B73" w:rsidRPr="00422320">
        <w:rPr>
          <w:rFonts w:ascii="Times New Roman" w:hAnsi="Times New Roman" w:cs="Times New Roman"/>
          <w:sz w:val="24"/>
          <w:szCs w:val="24"/>
        </w:rPr>
        <w:t>judicature</w:t>
      </w:r>
      <w:r w:rsidR="00DA4698">
        <w:rPr>
          <w:rFonts w:ascii="Times New Roman" w:hAnsi="Times New Roman" w:cs="Times New Roman"/>
          <w:sz w:val="24"/>
          <w:szCs w:val="24"/>
        </w:rPr>
        <w:t xml:space="preserve">, therefore </w:t>
      </w:r>
      <w:r w:rsidR="00C0709C">
        <w:rPr>
          <w:rFonts w:ascii="Times New Roman" w:hAnsi="Times New Roman" w:cs="Times New Roman"/>
          <w:sz w:val="24"/>
          <w:szCs w:val="24"/>
        </w:rPr>
        <w:t xml:space="preserve">the question of immunity before the ICC is </w:t>
      </w:r>
      <w:r w:rsidR="00C0709C" w:rsidRPr="00C0709C">
        <w:rPr>
          <w:rFonts w:ascii="Times New Roman" w:hAnsi="Times New Roman" w:cs="Times New Roman"/>
          <w:sz w:val="24"/>
          <w:szCs w:val="24"/>
        </w:rPr>
        <w:t>precluded</w:t>
      </w:r>
      <w:r w:rsidR="00C0709C">
        <w:rPr>
          <w:rFonts w:ascii="Times New Roman" w:hAnsi="Times New Roman" w:cs="Times New Roman"/>
          <w:sz w:val="24"/>
          <w:szCs w:val="24"/>
        </w:rPr>
        <w:t>.</w:t>
      </w:r>
    </w:p>
    <w:p w14:paraId="1C38055C" w14:textId="522B6B8D" w:rsidR="00E14F33" w:rsidRDefault="00E14F33" w:rsidP="00966571">
      <w:pPr>
        <w:spacing w:before="240" w:after="24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The International Law Commission has double task, that is </w:t>
      </w:r>
      <w:r w:rsidR="00BA4790">
        <w:rPr>
          <w:rFonts w:ascii="Times New Roman" w:hAnsi="Times New Roman" w:cs="Times New Roman"/>
          <w:sz w:val="24"/>
          <w:szCs w:val="24"/>
        </w:rPr>
        <w:t xml:space="preserve">to codify and develop international law </w:t>
      </w:r>
      <w:r w:rsidR="00BA4790" w:rsidRPr="00BA4790">
        <w:rPr>
          <w:rFonts w:ascii="Times New Roman" w:hAnsi="Times New Roman" w:cs="Times New Roman"/>
          <w:sz w:val="24"/>
          <w:szCs w:val="24"/>
        </w:rPr>
        <w:t>continuously</w:t>
      </w:r>
      <w:r w:rsidR="00BA4790">
        <w:rPr>
          <w:rFonts w:ascii="Times New Roman" w:hAnsi="Times New Roman" w:cs="Times New Roman"/>
          <w:sz w:val="24"/>
          <w:szCs w:val="24"/>
        </w:rPr>
        <w:t>.</w:t>
      </w:r>
      <w:r w:rsidR="00290125">
        <w:rPr>
          <w:rStyle w:val="Znakapoznpodarou"/>
          <w:rFonts w:ascii="Times New Roman" w:hAnsi="Times New Roman" w:cs="Times New Roman"/>
          <w:sz w:val="24"/>
          <w:szCs w:val="24"/>
        </w:rPr>
        <w:footnoteReference w:id="146"/>
      </w:r>
      <w:r w:rsidR="00BF0FCE">
        <w:rPr>
          <w:rFonts w:ascii="Times New Roman" w:hAnsi="Times New Roman" w:cs="Times New Roman"/>
          <w:sz w:val="24"/>
          <w:szCs w:val="24"/>
        </w:rPr>
        <w:t xml:space="preserve"> Under </w:t>
      </w:r>
      <w:r w:rsidR="00552D07">
        <w:rPr>
          <w:rFonts w:ascii="Times New Roman" w:hAnsi="Times New Roman" w:cs="Times New Roman"/>
          <w:sz w:val="24"/>
          <w:szCs w:val="24"/>
        </w:rPr>
        <w:t xml:space="preserve">the Commission Statute, codification </w:t>
      </w:r>
      <w:r w:rsidR="00552D07" w:rsidRPr="00552D07">
        <w:rPr>
          <w:rFonts w:ascii="Times New Roman" w:hAnsi="Times New Roman" w:cs="Times New Roman"/>
          <w:sz w:val="24"/>
          <w:szCs w:val="24"/>
        </w:rPr>
        <w:t>happens</w:t>
      </w:r>
      <w:r w:rsidR="00552D07">
        <w:rPr>
          <w:rFonts w:ascii="Times New Roman" w:hAnsi="Times New Roman" w:cs="Times New Roman"/>
          <w:sz w:val="24"/>
          <w:szCs w:val="24"/>
        </w:rPr>
        <w:t xml:space="preserve"> when the Commission organizes</w:t>
      </w:r>
      <w:r w:rsidR="004E7957">
        <w:rPr>
          <w:rFonts w:ascii="Times New Roman" w:hAnsi="Times New Roman" w:cs="Times New Roman"/>
          <w:sz w:val="24"/>
          <w:szCs w:val="24"/>
        </w:rPr>
        <w:t xml:space="preserve"> the different </w:t>
      </w:r>
      <w:r w:rsidR="006E0E96">
        <w:rPr>
          <w:rFonts w:ascii="Times New Roman" w:hAnsi="Times New Roman" w:cs="Times New Roman"/>
          <w:sz w:val="24"/>
          <w:szCs w:val="24"/>
        </w:rPr>
        <w:t>provisions</w:t>
      </w:r>
      <w:r w:rsidR="004E7957">
        <w:rPr>
          <w:rFonts w:ascii="Times New Roman" w:hAnsi="Times New Roman" w:cs="Times New Roman"/>
          <w:sz w:val="24"/>
          <w:szCs w:val="24"/>
        </w:rPr>
        <w:t xml:space="preserve"> of international law</w:t>
      </w:r>
      <w:r w:rsidR="006E0E96">
        <w:rPr>
          <w:rFonts w:ascii="Times New Roman" w:hAnsi="Times New Roman" w:cs="Times New Roman"/>
          <w:sz w:val="24"/>
          <w:szCs w:val="24"/>
        </w:rPr>
        <w:t xml:space="preserve"> on topics </w:t>
      </w:r>
      <w:r w:rsidR="00CD3620">
        <w:rPr>
          <w:rFonts w:ascii="Times New Roman" w:hAnsi="Times New Roman" w:cs="Times New Roman"/>
          <w:sz w:val="24"/>
          <w:szCs w:val="24"/>
        </w:rPr>
        <w:t>where there is enough</w:t>
      </w:r>
      <w:r w:rsidR="00C571E4" w:rsidRPr="00C571E4">
        <w:t xml:space="preserve"> </w:t>
      </w:r>
      <w:r w:rsidR="0034683A">
        <w:rPr>
          <w:rFonts w:ascii="Times New Roman" w:hAnsi="Times New Roman" w:cs="Times New Roman"/>
          <w:sz w:val="24"/>
          <w:szCs w:val="24"/>
        </w:rPr>
        <w:t>practice</w:t>
      </w:r>
      <w:r w:rsidR="00CD3620">
        <w:rPr>
          <w:rFonts w:ascii="Times New Roman" w:hAnsi="Times New Roman" w:cs="Times New Roman"/>
          <w:sz w:val="24"/>
          <w:szCs w:val="24"/>
        </w:rPr>
        <w:t xml:space="preserve"> of State</w:t>
      </w:r>
      <w:r w:rsidR="0034683A">
        <w:rPr>
          <w:rFonts w:ascii="Times New Roman" w:hAnsi="Times New Roman" w:cs="Times New Roman"/>
          <w:sz w:val="24"/>
          <w:szCs w:val="24"/>
        </w:rPr>
        <w:t>s</w:t>
      </w:r>
      <w:r w:rsidR="00C571E4">
        <w:rPr>
          <w:rFonts w:ascii="Times New Roman" w:hAnsi="Times New Roman" w:cs="Times New Roman"/>
          <w:sz w:val="24"/>
          <w:szCs w:val="24"/>
        </w:rPr>
        <w:t>.</w:t>
      </w:r>
      <w:r w:rsidR="000758B3">
        <w:rPr>
          <w:rStyle w:val="Znakapoznpodarou"/>
          <w:rFonts w:ascii="Times New Roman" w:hAnsi="Times New Roman" w:cs="Times New Roman"/>
          <w:sz w:val="24"/>
          <w:szCs w:val="24"/>
        </w:rPr>
        <w:footnoteReference w:id="147"/>
      </w:r>
      <w:r w:rsidR="00C11798">
        <w:rPr>
          <w:rFonts w:ascii="Times New Roman" w:hAnsi="Times New Roman" w:cs="Times New Roman"/>
          <w:sz w:val="24"/>
          <w:szCs w:val="24"/>
        </w:rPr>
        <w:t xml:space="preserve"> With</w:t>
      </w:r>
      <w:r w:rsidR="00BE5714">
        <w:rPr>
          <w:rFonts w:ascii="Times New Roman" w:hAnsi="Times New Roman" w:cs="Times New Roman"/>
          <w:sz w:val="24"/>
          <w:szCs w:val="24"/>
        </w:rPr>
        <w:t xml:space="preserve"> regards to continual development, it </w:t>
      </w:r>
      <w:r w:rsidR="007319DE">
        <w:rPr>
          <w:rFonts w:ascii="Times New Roman" w:hAnsi="Times New Roman" w:cs="Times New Roman"/>
          <w:sz w:val="24"/>
          <w:szCs w:val="24"/>
        </w:rPr>
        <w:t xml:space="preserve">is about events which </w:t>
      </w:r>
      <w:r w:rsidR="0048687F">
        <w:rPr>
          <w:rFonts w:ascii="Times New Roman" w:hAnsi="Times New Roman" w:cs="Times New Roman"/>
          <w:sz w:val="24"/>
          <w:szCs w:val="24"/>
        </w:rPr>
        <w:t>still have not been discussed by international law</w:t>
      </w:r>
      <w:r w:rsidR="00C718D5">
        <w:rPr>
          <w:rFonts w:ascii="Times New Roman" w:hAnsi="Times New Roman" w:cs="Times New Roman"/>
          <w:sz w:val="24"/>
          <w:szCs w:val="24"/>
        </w:rPr>
        <w:t xml:space="preserve"> or </w:t>
      </w:r>
      <w:r w:rsidR="00581E81">
        <w:rPr>
          <w:rFonts w:ascii="Times New Roman" w:hAnsi="Times New Roman" w:cs="Times New Roman"/>
          <w:sz w:val="24"/>
          <w:szCs w:val="24"/>
        </w:rPr>
        <w:t>that have not been used enough by numerous States.</w:t>
      </w:r>
      <w:r w:rsidR="00581E81">
        <w:rPr>
          <w:rStyle w:val="Znakapoznpodarou"/>
          <w:rFonts w:ascii="Times New Roman" w:hAnsi="Times New Roman" w:cs="Times New Roman"/>
          <w:sz w:val="24"/>
          <w:szCs w:val="24"/>
        </w:rPr>
        <w:footnoteReference w:id="148"/>
      </w:r>
    </w:p>
    <w:p w14:paraId="2FF4CFC0" w14:textId="62AF1E3D" w:rsidR="00AE6E88" w:rsidRDefault="00145F10" w:rsidP="00AE6E88">
      <w:pPr>
        <w:spacing w:before="240" w:after="24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 xml:space="preserve">For </w:t>
      </w:r>
      <w:r w:rsidR="0008646C" w:rsidRPr="0008646C">
        <w:rPr>
          <w:rFonts w:ascii="Times New Roman" w:hAnsi="Times New Roman" w:cs="Times New Roman"/>
          <w:sz w:val="24"/>
          <w:szCs w:val="24"/>
        </w:rPr>
        <w:t>opponent</w:t>
      </w:r>
      <w:r w:rsidR="0008646C">
        <w:rPr>
          <w:rFonts w:ascii="Times New Roman" w:hAnsi="Times New Roman" w:cs="Times New Roman"/>
          <w:sz w:val="24"/>
          <w:szCs w:val="24"/>
        </w:rPr>
        <w:t xml:space="preserve">s to the draft articles 7, this is something new that </w:t>
      </w:r>
      <w:r w:rsidR="004630BA">
        <w:rPr>
          <w:rFonts w:ascii="Times New Roman" w:hAnsi="Times New Roman" w:cs="Times New Roman"/>
          <w:sz w:val="24"/>
          <w:szCs w:val="24"/>
        </w:rPr>
        <w:t>cannot be qualified as codification or constant development.</w:t>
      </w:r>
      <w:r w:rsidR="00397BFF">
        <w:rPr>
          <w:rFonts w:ascii="Times New Roman" w:hAnsi="Times New Roman" w:cs="Times New Roman"/>
          <w:sz w:val="24"/>
          <w:szCs w:val="24"/>
        </w:rPr>
        <w:t xml:space="preserve"> According to their opinion, draft article 7 is a new rule which has no foundation in</w:t>
      </w:r>
      <w:r w:rsidR="001C798B">
        <w:rPr>
          <w:rFonts w:ascii="Times New Roman" w:hAnsi="Times New Roman" w:cs="Times New Roman"/>
          <w:sz w:val="24"/>
          <w:szCs w:val="24"/>
        </w:rPr>
        <w:t xml:space="preserve"> States</w:t>
      </w:r>
      <w:r w:rsidR="001C798B" w:rsidRPr="001C798B">
        <w:t xml:space="preserve"> </w:t>
      </w:r>
      <w:r w:rsidR="001C798B" w:rsidRPr="001C798B">
        <w:rPr>
          <w:rFonts w:ascii="Times New Roman" w:hAnsi="Times New Roman" w:cs="Times New Roman"/>
          <w:sz w:val="24"/>
          <w:szCs w:val="24"/>
        </w:rPr>
        <w:t>behaviou</w:t>
      </w:r>
      <w:r w:rsidR="001C798B">
        <w:rPr>
          <w:rFonts w:ascii="Times New Roman" w:hAnsi="Times New Roman" w:cs="Times New Roman"/>
          <w:sz w:val="24"/>
          <w:szCs w:val="24"/>
        </w:rPr>
        <w:t>rs.</w:t>
      </w:r>
      <w:r w:rsidR="009C2D35">
        <w:rPr>
          <w:rFonts w:ascii="Times New Roman" w:hAnsi="Times New Roman" w:cs="Times New Roman"/>
          <w:sz w:val="24"/>
          <w:szCs w:val="24"/>
        </w:rPr>
        <w:t xml:space="preserve"> Finally,</w:t>
      </w:r>
      <w:r w:rsidR="00AD4BD1">
        <w:rPr>
          <w:rFonts w:ascii="Times New Roman" w:hAnsi="Times New Roman" w:cs="Times New Roman"/>
          <w:sz w:val="24"/>
          <w:szCs w:val="24"/>
        </w:rPr>
        <w:t xml:space="preserve"> the draft articles 7 was </w:t>
      </w:r>
      <w:r w:rsidR="009C2D35" w:rsidRPr="009C2D35">
        <w:rPr>
          <w:rFonts w:ascii="Times New Roman" w:hAnsi="Times New Roman" w:cs="Times New Roman"/>
          <w:sz w:val="24"/>
          <w:szCs w:val="24"/>
        </w:rPr>
        <w:t>approved</w:t>
      </w:r>
      <w:r w:rsidR="009C2D35">
        <w:rPr>
          <w:rFonts w:ascii="Times New Roman" w:hAnsi="Times New Roman" w:cs="Times New Roman"/>
          <w:sz w:val="24"/>
          <w:szCs w:val="24"/>
        </w:rPr>
        <w:t xml:space="preserve"> </w:t>
      </w:r>
      <w:r w:rsidR="00AD4BD1">
        <w:rPr>
          <w:rFonts w:ascii="Times New Roman" w:hAnsi="Times New Roman" w:cs="Times New Roman"/>
          <w:sz w:val="24"/>
          <w:szCs w:val="24"/>
        </w:rPr>
        <w:t>by the Committee after a very controversial vote</w:t>
      </w:r>
      <w:r w:rsidR="007515D0">
        <w:rPr>
          <w:rFonts w:ascii="Times New Roman" w:hAnsi="Times New Roman" w:cs="Times New Roman"/>
          <w:sz w:val="24"/>
          <w:szCs w:val="24"/>
        </w:rPr>
        <w:t xml:space="preserve"> </w:t>
      </w:r>
      <w:r w:rsidR="001F3BCE">
        <w:rPr>
          <w:rFonts w:ascii="Times New Roman" w:hAnsi="Times New Roman" w:cs="Times New Roman"/>
          <w:sz w:val="24"/>
          <w:szCs w:val="24"/>
        </w:rPr>
        <w:t>on</w:t>
      </w:r>
      <w:r w:rsidR="00801ECD">
        <w:rPr>
          <w:rFonts w:ascii="Times New Roman" w:hAnsi="Times New Roman" w:cs="Times New Roman"/>
          <w:sz w:val="24"/>
          <w:szCs w:val="24"/>
        </w:rPr>
        <w:t xml:space="preserve"> July 20, 2017.</w:t>
      </w:r>
    </w:p>
    <w:p w14:paraId="16615881" w14:textId="1E69D7C6" w:rsidR="00AE6E88" w:rsidRDefault="00AE6E88" w:rsidP="00AE6E88">
      <w:pPr>
        <w:spacing w:before="240" w:after="240" w:line="360" w:lineRule="auto"/>
        <w:ind w:left="170" w:right="113"/>
        <w:jc w:val="both"/>
        <w:rPr>
          <w:rFonts w:ascii="Times New Roman" w:hAnsi="Times New Roman" w:cs="Times New Roman"/>
          <w:color w:val="232323"/>
          <w:sz w:val="24"/>
          <w:szCs w:val="24"/>
          <w:shd w:val="clear" w:color="auto" w:fill="FFFFFF"/>
          <w:lang w:val="en-US"/>
        </w:rPr>
      </w:pPr>
      <w:r w:rsidRPr="0099266C">
        <w:rPr>
          <w:rFonts w:ascii="Times New Roman" w:hAnsi="Times New Roman" w:cs="Times New Roman"/>
          <w:color w:val="232323"/>
          <w:sz w:val="24"/>
          <w:szCs w:val="24"/>
          <w:shd w:val="clear" w:color="auto" w:fill="FFFFFF"/>
          <w:lang w:val="en-US"/>
        </w:rPr>
        <w:t>It is fundamental at this level to recap the</w:t>
      </w:r>
      <w:r w:rsidR="00453539">
        <w:rPr>
          <w:rFonts w:ascii="Times New Roman" w:hAnsi="Times New Roman" w:cs="Times New Roman"/>
          <w:color w:val="232323"/>
          <w:sz w:val="24"/>
          <w:szCs w:val="24"/>
          <w:shd w:val="clear" w:color="auto" w:fill="FFFFFF"/>
          <w:lang w:val="en-US"/>
        </w:rPr>
        <w:t xml:space="preserve"> </w:t>
      </w:r>
      <w:r w:rsidR="00453539" w:rsidRPr="00453539">
        <w:rPr>
          <w:rFonts w:ascii="Times New Roman" w:hAnsi="Times New Roman" w:cs="Times New Roman"/>
          <w:color w:val="232323"/>
          <w:sz w:val="24"/>
          <w:szCs w:val="24"/>
          <w:shd w:val="clear" w:color="auto" w:fill="FFFFFF"/>
          <w:lang w:val="en-US"/>
        </w:rPr>
        <w:t>context</w:t>
      </w:r>
      <w:r w:rsidRPr="0099266C">
        <w:rPr>
          <w:rFonts w:ascii="Times New Roman" w:hAnsi="Times New Roman" w:cs="Times New Roman"/>
          <w:color w:val="232323"/>
          <w:sz w:val="24"/>
          <w:szCs w:val="24"/>
          <w:shd w:val="clear" w:color="auto" w:fill="FFFFFF"/>
          <w:lang w:val="en-US"/>
        </w:rPr>
        <w:t xml:space="preserve"> </w:t>
      </w:r>
      <w:r w:rsidR="00453539">
        <w:rPr>
          <w:rFonts w:ascii="Times New Roman" w:hAnsi="Times New Roman" w:cs="Times New Roman"/>
          <w:color w:val="232323"/>
          <w:sz w:val="24"/>
          <w:szCs w:val="24"/>
          <w:shd w:val="clear" w:color="auto" w:fill="FFFFFF"/>
          <w:lang w:val="en-US"/>
        </w:rPr>
        <w:t xml:space="preserve">under which the </w:t>
      </w:r>
      <w:r w:rsidRPr="0099266C">
        <w:rPr>
          <w:rFonts w:ascii="Times New Roman" w:hAnsi="Times New Roman" w:cs="Times New Roman"/>
          <w:color w:val="232323"/>
          <w:sz w:val="24"/>
          <w:szCs w:val="24"/>
          <w:shd w:val="clear" w:color="auto" w:fill="FFFFFF"/>
          <w:lang w:val="en-US"/>
        </w:rPr>
        <w:t>Draft Article 7</w:t>
      </w:r>
      <w:r w:rsidR="00453539">
        <w:rPr>
          <w:rFonts w:ascii="Times New Roman" w:hAnsi="Times New Roman" w:cs="Times New Roman"/>
          <w:color w:val="232323"/>
          <w:sz w:val="24"/>
          <w:szCs w:val="24"/>
          <w:shd w:val="clear" w:color="auto" w:fill="FFFFFF"/>
          <w:lang w:val="en-US"/>
        </w:rPr>
        <w:t xml:space="preserve"> was </w:t>
      </w:r>
      <w:r w:rsidR="00785804">
        <w:rPr>
          <w:rFonts w:ascii="Times New Roman" w:hAnsi="Times New Roman" w:cs="Times New Roman"/>
          <w:color w:val="232323"/>
          <w:sz w:val="24"/>
          <w:szCs w:val="24"/>
          <w:shd w:val="clear" w:color="auto" w:fill="FFFFFF"/>
          <w:lang w:val="en-US"/>
        </w:rPr>
        <w:t>approved</w:t>
      </w:r>
      <w:r w:rsidRPr="0099266C">
        <w:rPr>
          <w:rFonts w:ascii="Times New Roman" w:hAnsi="Times New Roman" w:cs="Times New Roman"/>
          <w:color w:val="232323"/>
          <w:sz w:val="24"/>
          <w:szCs w:val="24"/>
          <w:shd w:val="clear" w:color="auto" w:fill="FFFFFF"/>
          <w:lang w:val="en-US"/>
        </w:rPr>
        <w:t xml:space="preserve"> by the Commission</w:t>
      </w:r>
      <w:r w:rsidR="00453539">
        <w:rPr>
          <w:rFonts w:ascii="Times New Roman" w:hAnsi="Times New Roman" w:cs="Times New Roman"/>
          <w:color w:val="232323"/>
          <w:sz w:val="24"/>
          <w:szCs w:val="24"/>
          <w:shd w:val="clear" w:color="auto" w:fill="FFFFFF"/>
          <w:lang w:val="en-US"/>
        </w:rPr>
        <w:t>.</w:t>
      </w:r>
      <w:r w:rsidR="00D80FAB">
        <w:rPr>
          <w:rFonts w:ascii="Times New Roman" w:hAnsi="Times New Roman" w:cs="Times New Roman"/>
          <w:color w:val="232323"/>
          <w:sz w:val="24"/>
          <w:szCs w:val="24"/>
          <w:shd w:val="clear" w:color="auto" w:fill="FFFFFF"/>
          <w:lang w:val="en-US"/>
        </w:rPr>
        <w:t xml:space="preserve"> The</w:t>
      </w:r>
      <w:r w:rsidR="00785804">
        <w:rPr>
          <w:rFonts w:ascii="Times New Roman" w:hAnsi="Times New Roman" w:cs="Times New Roman"/>
          <w:color w:val="232323"/>
          <w:sz w:val="24"/>
          <w:szCs w:val="24"/>
          <w:shd w:val="clear" w:color="auto" w:fill="FFFFFF"/>
          <w:lang w:val="en-US"/>
        </w:rPr>
        <w:t xml:space="preserve"> fifth report was transmitted </w:t>
      </w:r>
      <w:r w:rsidR="009F1D52">
        <w:rPr>
          <w:rFonts w:ascii="Times New Roman" w:hAnsi="Times New Roman" w:cs="Times New Roman"/>
          <w:color w:val="232323"/>
          <w:sz w:val="24"/>
          <w:szCs w:val="24"/>
          <w:shd w:val="clear" w:color="auto" w:fill="FFFFFF"/>
          <w:lang w:val="en-US"/>
        </w:rPr>
        <w:t xml:space="preserve">to the committee by the special </w:t>
      </w:r>
      <w:r w:rsidR="009F1D52" w:rsidRPr="00D80FAB">
        <w:rPr>
          <w:rFonts w:ascii="Times New Roman" w:hAnsi="Times New Roman" w:cs="Times New Roman"/>
          <w:color w:val="232323"/>
          <w:sz w:val="24"/>
          <w:szCs w:val="24"/>
          <w:shd w:val="clear" w:color="auto" w:fill="FFFFFF"/>
          <w:lang w:val="en-US"/>
        </w:rPr>
        <w:t>r</w:t>
      </w:r>
      <w:r w:rsidR="009F1D52">
        <w:rPr>
          <w:rFonts w:ascii="Times New Roman" w:hAnsi="Times New Roman" w:cs="Times New Roman"/>
          <w:color w:val="232323"/>
          <w:sz w:val="24"/>
          <w:szCs w:val="24"/>
          <w:shd w:val="clear" w:color="auto" w:fill="FFFFFF"/>
          <w:lang w:val="en-US"/>
        </w:rPr>
        <w:t xml:space="preserve">apporteur about immunities, which </w:t>
      </w:r>
      <w:r w:rsidR="00900894">
        <w:rPr>
          <w:rFonts w:ascii="Times New Roman" w:hAnsi="Times New Roman" w:cs="Times New Roman"/>
          <w:color w:val="232323"/>
          <w:sz w:val="24"/>
          <w:szCs w:val="24"/>
          <w:shd w:val="clear" w:color="auto" w:fill="FFFFFF"/>
          <w:lang w:val="en-US"/>
        </w:rPr>
        <w:t xml:space="preserve">includes limitations and exceptions to immunity over the </w:t>
      </w:r>
      <w:r w:rsidR="00237F81">
        <w:rPr>
          <w:rFonts w:ascii="Times New Roman" w:hAnsi="Times New Roman" w:cs="Times New Roman"/>
          <w:color w:val="232323"/>
          <w:sz w:val="24"/>
          <w:szCs w:val="24"/>
          <w:shd w:val="clear" w:color="auto" w:fill="FFFFFF"/>
          <w:lang w:val="en-US"/>
        </w:rPr>
        <w:t>sixty-eighth session in 2016.</w:t>
      </w:r>
      <w:r w:rsidR="000B3C1E">
        <w:rPr>
          <w:rStyle w:val="Znakapoznpodarou"/>
          <w:rFonts w:ascii="Times New Roman" w:hAnsi="Times New Roman" w:cs="Times New Roman"/>
          <w:color w:val="232323"/>
          <w:sz w:val="24"/>
          <w:szCs w:val="24"/>
          <w:shd w:val="clear" w:color="auto" w:fill="FFFFFF"/>
          <w:lang w:val="en-US"/>
        </w:rPr>
        <w:footnoteReference w:id="149"/>
      </w:r>
      <w:r w:rsidR="000368B3">
        <w:rPr>
          <w:rFonts w:ascii="Times New Roman" w:hAnsi="Times New Roman" w:cs="Times New Roman"/>
          <w:color w:val="232323"/>
          <w:sz w:val="24"/>
          <w:szCs w:val="24"/>
          <w:shd w:val="clear" w:color="auto" w:fill="FFFFFF"/>
          <w:lang w:val="en-US"/>
        </w:rPr>
        <w:t xml:space="preserve"> The report offers </w:t>
      </w:r>
      <w:r w:rsidR="00C35CCB">
        <w:rPr>
          <w:rFonts w:ascii="Times New Roman" w:hAnsi="Times New Roman" w:cs="Times New Roman"/>
          <w:color w:val="232323"/>
          <w:sz w:val="24"/>
          <w:szCs w:val="24"/>
          <w:shd w:val="clear" w:color="auto" w:fill="FFFFFF"/>
          <w:lang w:val="en-US"/>
        </w:rPr>
        <w:t xml:space="preserve">an important review of pacts </w:t>
      </w:r>
      <w:r w:rsidR="00CF4527">
        <w:rPr>
          <w:rFonts w:ascii="Times New Roman" w:hAnsi="Times New Roman" w:cs="Times New Roman"/>
          <w:color w:val="232323"/>
          <w:sz w:val="24"/>
          <w:szCs w:val="24"/>
          <w:shd w:val="clear" w:color="auto" w:fill="FFFFFF"/>
          <w:lang w:val="en-US"/>
        </w:rPr>
        <w:t>application,</w:t>
      </w:r>
      <w:r w:rsidR="002E601C">
        <w:rPr>
          <w:rFonts w:ascii="Times New Roman" w:hAnsi="Times New Roman" w:cs="Times New Roman"/>
          <w:color w:val="232323"/>
          <w:sz w:val="24"/>
          <w:szCs w:val="24"/>
          <w:shd w:val="clear" w:color="auto" w:fill="FFFFFF"/>
          <w:lang w:val="en-US"/>
        </w:rPr>
        <w:t xml:space="preserve"> domestic </w:t>
      </w:r>
      <w:r w:rsidR="00665E1F" w:rsidRPr="002E601C">
        <w:rPr>
          <w:rFonts w:ascii="Times New Roman" w:hAnsi="Times New Roman" w:cs="Times New Roman"/>
          <w:color w:val="232323"/>
          <w:sz w:val="24"/>
          <w:szCs w:val="24"/>
          <w:shd w:val="clear" w:color="auto" w:fill="FFFFFF"/>
          <w:lang w:val="en-US"/>
        </w:rPr>
        <w:t>regulation,</w:t>
      </w:r>
      <w:r w:rsidR="002E601C">
        <w:rPr>
          <w:rFonts w:ascii="Times New Roman" w:hAnsi="Times New Roman" w:cs="Times New Roman"/>
          <w:color w:val="232323"/>
          <w:sz w:val="24"/>
          <w:szCs w:val="24"/>
          <w:shd w:val="clear" w:color="auto" w:fill="FFFFFF"/>
          <w:lang w:val="en-US"/>
        </w:rPr>
        <w:t xml:space="preserve"> and domestic </w:t>
      </w:r>
      <w:r w:rsidR="00665E1F">
        <w:rPr>
          <w:rFonts w:ascii="Times New Roman" w:hAnsi="Times New Roman" w:cs="Times New Roman"/>
          <w:color w:val="232323"/>
          <w:sz w:val="24"/>
          <w:szCs w:val="24"/>
          <w:shd w:val="clear" w:color="auto" w:fill="FFFFFF"/>
          <w:lang w:val="en-US"/>
        </w:rPr>
        <w:t>court judgments like example</w:t>
      </w:r>
      <w:r w:rsidR="00651C74">
        <w:rPr>
          <w:rFonts w:ascii="Times New Roman" w:hAnsi="Times New Roman" w:cs="Times New Roman"/>
          <w:color w:val="232323"/>
          <w:sz w:val="24"/>
          <w:szCs w:val="24"/>
          <w:shd w:val="clear" w:color="auto" w:fill="FFFFFF"/>
          <w:lang w:val="en-US"/>
        </w:rPr>
        <w:t>s</w:t>
      </w:r>
      <w:r w:rsidR="00665E1F">
        <w:rPr>
          <w:rFonts w:ascii="Times New Roman" w:hAnsi="Times New Roman" w:cs="Times New Roman"/>
          <w:color w:val="232323"/>
          <w:sz w:val="24"/>
          <w:szCs w:val="24"/>
          <w:shd w:val="clear" w:color="auto" w:fill="FFFFFF"/>
          <w:lang w:val="en-US"/>
        </w:rPr>
        <w:t xml:space="preserve"> of </w:t>
      </w:r>
      <w:r w:rsidR="00651C74">
        <w:rPr>
          <w:rFonts w:ascii="Times New Roman" w:hAnsi="Times New Roman" w:cs="Times New Roman"/>
          <w:color w:val="232323"/>
          <w:sz w:val="24"/>
          <w:szCs w:val="24"/>
          <w:shd w:val="clear" w:color="auto" w:fill="FFFFFF"/>
          <w:lang w:val="en-US"/>
        </w:rPr>
        <w:t>practice by States.</w:t>
      </w:r>
      <w:r w:rsidR="00F63BB5">
        <w:rPr>
          <w:rFonts w:ascii="Times New Roman" w:hAnsi="Times New Roman" w:cs="Times New Roman"/>
          <w:color w:val="232323"/>
          <w:sz w:val="24"/>
          <w:szCs w:val="24"/>
          <w:shd w:val="clear" w:color="auto" w:fill="FFFFFF"/>
          <w:lang w:val="en-US"/>
        </w:rPr>
        <w:t xml:space="preserve"> Equally it offers a review </w:t>
      </w:r>
      <w:r w:rsidR="00193F6D">
        <w:rPr>
          <w:rFonts w:ascii="Times New Roman" w:hAnsi="Times New Roman" w:cs="Times New Roman"/>
          <w:color w:val="232323"/>
          <w:sz w:val="24"/>
          <w:szCs w:val="24"/>
          <w:shd w:val="clear" w:color="auto" w:fill="FFFFFF"/>
          <w:lang w:val="en-US"/>
        </w:rPr>
        <w:t xml:space="preserve">of international tribunal judgments and the work of the </w:t>
      </w:r>
      <w:r w:rsidR="003B1E1C">
        <w:rPr>
          <w:rFonts w:ascii="Times New Roman" w:hAnsi="Times New Roman" w:cs="Times New Roman"/>
          <w:color w:val="232323"/>
          <w:sz w:val="24"/>
          <w:szCs w:val="24"/>
          <w:shd w:val="clear" w:color="auto" w:fill="FFFFFF"/>
          <w:lang w:val="en-US"/>
        </w:rPr>
        <w:t>commission,</w:t>
      </w:r>
      <w:r w:rsidR="008D3545">
        <w:rPr>
          <w:rFonts w:ascii="Times New Roman" w:hAnsi="Times New Roman" w:cs="Times New Roman"/>
          <w:color w:val="232323"/>
          <w:sz w:val="24"/>
          <w:szCs w:val="24"/>
          <w:shd w:val="clear" w:color="auto" w:fill="FFFFFF"/>
          <w:lang w:val="en-US"/>
        </w:rPr>
        <w:t xml:space="preserve"> that are the </w:t>
      </w:r>
      <w:r w:rsidR="003145AF">
        <w:rPr>
          <w:rFonts w:ascii="Times New Roman" w:hAnsi="Times New Roman" w:cs="Times New Roman"/>
          <w:color w:val="232323"/>
          <w:sz w:val="24"/>
          <w:szCs w:val="24"/>
          <w:shd w:val="clear" w:color="auto" w:fill="FFFFFF"/>
          <w:lang w:val="en-US"/>
        </w:rPr>
        <w:t xml:space="preserve">secondary </w:t>
      </w:r>
      <w:r w:rsidR="003B1E1C" w:rsidRPr="003B1E1C">
        <w:rPr>
          <w:rFonts w:ascii="Times New Roman" w:hAnsi="Times New Roman" w:cs="Times New Roman"/>
          <w:color w:val="232323"/>
          <w:sz w:val="24"/>
          <w:szCs w:val="24"/>
          <w:shd w:val="clear" w:color="auto" w:fill="FFFFFF"/>
          <w:lang w:val="en-US"/>
        </w:rPr>
        <w:t>method</w:t>
      </w:r>
      <w:r w:rsidR="003B1E1C">
        <w:rPr>
          <w:rFonts w:ascii="Times New Roman" w:hAnsi="Times New Roman" w:cs="Times New Roman"/>
          <w:color w:val="232323"/>
          <w:sz w:val="24"/>
          <w:szCs w:val="24"/>
          <w:shd w:val="clear" w:color="auto" w:fill="FFFFFF"/>
          <w:lang w:val="en-US"/>
        </w:rPr>
        <w:t xml:space="preserve">s for the </w:t>
      </w:r>
      <w:r w:rsidR="003B1E1C" w:rsidRPr="003B1E1C">
        <w:rPr>
          <w:rFonts w:ascii="Times New Roman" w:hAnsi="Times New Roman" w:cs="Times New Roman"/>
          <w:color w:val="232323"/>
          <w:sz w:val="24"/>
          <w:szCs w:val="24"/>
          <w:shd w:val="clear" w:color="auto" w:fill="FFFFFF"/>
          <w:lang w:val="en-US"/>
        </w:rPr>
        <w:t>establishment</w:t>
      </w:r>
      <w:r w:rsidR="003B1E1C">
        <w:rPr>
          <w:rFonts w:ascii="Times New Roman" w:hAnsi="Times New Roman" w:cs="Times New Roman"/>
          <w:color w:val="232323"/>
          <w:sz w:val="24"/>
          <w:szCs w:val="24"/>
          <w:shd w:val="clear" w:color="auto" w:fill="FFFFFF"/>
          <w:lang w:val="en-US"/>
        </w:rPr>
        <w:t xml:space="preserve"> of international law regulations.</w:t>
      </w:r>
      <w:r w:rsidR="004B5ED6">
        <w:rPr>
          <w:rFonts w:ascii="Times New Roman" w:hAnsi="Times New Roman" w:cs="Times New Roman"/>
          <w:color w:val="232323"/>
          <w:sz w:val="24"/>
          <w:szCs w:val="24"/>
          <w:shd w:val="clear" w:color="auto" w:fill="FFFFFF"/>
          <w:lang w:val="en-US"/>
        </w:rPr>
        <w:t xml:space="preserve"> It </w:t>
      </w:r>
      <w:r w:rsidR="004B5ED6" w:rsidRPr="004B5ED6">
        <w:rPr>
          <w:rFonts w:ascii="Times New Roman" w:hAnsi="Times New Roman" w:cs="Times New Roman"/>
          <w:color w:val="232323"/>
          <w:sz w:val="24"/>
          <w:szCs w:val="24"/>
          <w:shd w:val="clear" w:color="auto" w:fill="FFFFFF"/>
          <w:lang w:val="en-US"/>
        </w:rPr>
        <w:t>deduces</w:t>
      </w:r>
      <w:r w:rsidR="004B5ED6">
        <w:rPr>
          <w:rFonts w:ascii="Times New Roman" w:hAnsi="Times New Roman" w:cs="Times New Roman"/>
          <w:color w:val="232323"/>
          <w:sz w:val="24"/>
          <w:szCs w:val="24"/>
          <w:shd w:val="clear" w:color="auto" w:fill="FFFFFF"/>
          <w:lang w:val="en-US"/>
        </w:rPr>
        <w:t xml:space="preserve"> </w:t>
      </w:r>
      <w:r w:rsidR="001346F1">
        <w:rPr>
          <w:rFonts w:ascii="Times New Roman" w:hAnsi="Times New Roman" w:cs="Times New Roman"/>
          <w:color w:val="232323"/>
          <w:sz w:val="24"/>
          <w:szCs w:val="24"/>
          <w:shd w:val="clear" w:color="auto" w:fill="FFFFFF"/>
          <w:lang w:val="en-US"/>
        </w:rPr>
        <w:t>that according to international law no exception is possible to immunity ratione personae.</w:t>
      </w:r>
    </w:p>
    <w:p w14:paraId="5D877AA1" w14:textId="17C9F647" w:rsidR="00CA737D" w:rsidRDefault="00CA737D" w:rsidP="00AE6E88">
      <w:pPr>
        <w:spacing w:before="240" w:after="240" w:line="360" w:lineRule="auto"/>
        <w:ind w:left="170" w:right="113"/>
        <w:jc w:val="both"/>
        <w:rPr>
          <w:rFonts w:ascii="Times New Roman" w:hAnsi="Times New Roman" w:cs="Times New Roman"/>
          <w:color w:val="232323"/>
          <w:sz w:val="24"/>
          <w:szCs w:val="24"/>
          <w:shd w:val="clear" w:color="auto" w:fill="FFFFFF"/>
          <w:lang w:val="en-US"/>
        </w:rPr>
      </w:pPr>
      <w:r>
        <w:rPr>
          <w:rFonts w:ascii="Times New Roman" w:hAnsi="Times New Roman" w:cs="Times New Roman"/>
          <w:color w:val="232323"/>
          <w:sz w:val="24"/>
          <w:szCs w:val="24"/>
          <w:shd w:val="clear" w:color="auto" w:fill="FFFFFF"/>
          <w:lang w:val="en-US"/>
        </w:rPr>
        <w:t>Regarding immunity ratione materiae</w:t>
      </w:r>
      <w:r w:rsidR="0038797A">
        <w:rPr>
          <w:rFonts w:ascii="Times New Roman" w:hAnsi="Times New Roman" w:cs="Times New Roman"/>
          <w:color w:val="232323"/>
          <w:sz w:val="24"/>
          <w:szCs w:val="24"/>
          <w:shd w:val="clear" w:color="auto" w:fill="FFFFFF"/>
          <w:lang w:val="en-US"/>
        </w:rPr>
        <w:t xml:space="preserve">, the report deduces </w:t>
      </w:r>
      <w:r w:rsidR="00407EC4" w:rsidRPr="00407EC4">
        <w:rPr>
          <w:rFonts w:ascii="Times New Roman" w:hAnsi="Times New Roman" w:cs="Times New Roman"/>
          <w:color w:val="232323"/>
          <w:sz w:val="24"/>
          <w:szCs w:val="24"/>
          <w:shd w:val="clear" w:color="auto" w:fill="FFFFFF"/>
          <w:lang w:val="en-US"/>
        </w:rPr>
        <w:t>dubiously</w:t>
      </w:r>
      <w:r w:rsidR="00407EC4">
        <w:rPr>
          <w:rFonts w:ascii="Times New Roman" w:hAnsi="Times New Roman" w:cs="Times New Roman"/>
          <w:color w:val="232323"/>
          <w:sz w:val="24"/>
          <w:szCs w:val="24"/>
          <w:shd w:val="clear" w:color="auto" w:fill="FFFFFF"/>
          <w:lang w:val="en-US"/>
        </w:rPr>
        <w:t xml:space="preserve"> that there are limitations and exceptions to immunity ratione materiae.</w:t>
      </w:r>
      <w:r w:rsidR="00223D1B">
        <w:rPr>
          <w:rFonts w:ascii="Times New Roman" w:hAnsi="Times New Roman" w:cs="Times New Roman"/>
          <w:color w:val="232323"/>
          <w:sz w:val="24"/>
          <w:szCs w:val="24"/>
          <w:shd w:val="clear" w:color="auto" w:fill="FFFFFF"/>
          <w:lang w:val="en-US"/>
        </w:rPr>
        <w:t xml:space="preserve"> </w:t>
      </w:r>
      <w:r w:rsidR="00031A7B">
        <w:rPr>
          <w:rFonts w:ascii="Times New Roman" w:hAnsi="Times New Roman" w:cs="Times New Roman"/>
          <w:color w:val="232323"/>
          <w:sz w:val="24"/>
          <w:szCs w:val="24"/>
          <w:shd w:val="clear" w:color="auto" w:fill="FFFFFF"/>
          <w:lang w:val="en-US"/>
        </w:rPr>
        <w:t>S</w:t>
      </w:r>
      <w:r w:rsidR="00031A7B" w:rsidRPr="00031A7B">
        <w:rPr>
          <w:rFonts w:ascii="Times New Roman" w:hAnsi="Times New Roman" w:cs="Times New Roman"/>
          <w:color w:val="232323"/>
          <w:sz w:val="24"/>
          <w:szCs w:val="24"/>
          <w:shd w:val="clear" w:color="auto" w:fill="FFFFFF"/>
          <w:lang w:val="en-US"/>
        </w:rPr>
        <w:t xml:space="preserve">uch concluding remark was a subject of a lot of </w:t>
      </w:r>
      <w:r w:rsidR="00223D1B" w:rsidRPr="00223D1B">
        <w:rPr>
          <w:rFonts w:ascii="Times New Roman" w:hAnsi="Times New Roman" w:cs="Times New Roman"/>
          <w:color w:val="232323"/>
          <w:sz w:val="24"/>
          <w:szCs w:val="24"/>
          <w:shd w:val="clear" w:color="auto" w:fill="FFFFFF"/>
          <w:lang w:val="en-US"/>
        </w:rPr>
        <w:t>disagreement</w:t>
      </w:r>
      <w:r w:rsidR="00223D1B">
        <w:rPr>
          <w:rFonts w:ascii="Times New Roman" w:hAnsi="Times New Roman" w:cs="Times New Roman"/>
          <w:color w:val="232323"/>
          <w:sz w:val="24"/>
          <w:szCs w:val="24"/>
          <w:shd w:val="clear" w:color="auto" w:fill="FFFFFF"/>
          <w:lang w:val="en-US"/>
        </w:rPr>
        <w:t xml:space="preserve"> and </w:t>
      </w:r>
      <w:r w:rsidR="00223D1B" w:rsidRPr="00223D1B">
        <w:rPr>
          <w:rFonts w:ascii="Times New Roman" w:hAnsi="Times New Roman" w:cs="Times New Roman"/>
          <w:color w:val="232323"/>
          <w:sz w:val="24"/>
          <w:szCs w:val="24"/>
          <w:shd w:val="clear" w:color="auto" w:fill="FFFFFF"/>
          <w:lang w:val="en-US"/>
        </w:rPr>
        <w:t>dissension</w:t>
      </w:r>
      <w:r w:rsidR="00223D1B">
        <w:rPr>
          <w:rFonts w:ascii="Times New Roman" w:hAnsi="Times New Roman" w:cs="Times New Roman"/>
          <w:color w:val="232323"/>
          <w:sz w:val="24"/>
          <w:szCs w:val="24"/>
          <w:shd w:val="clear" w:color="auto" w:fill="FFFFFF"/>
          <w:lang w:val="en-US"/>
        </w:rPr>
        <w:t xml:space="preserve"> within the commission</w:t>
      </w:r>
      <w:r w:rsidR="00827855">
        <w:rPr>
          <w:rFonts w:ascii="Times New Roman" w:hAnsi="Times New Roman" w:cs="Times New Roman"/>
          <w:color w:val="232323"/>
          <w:sz w:val="24"/>
          <w:szCs w:val="24"/>
          <w:shd w:val="clear" w:color="auto" w:fill="FFFFFF"/>
          <w:lang w:val="en-US"/>
        </w:rPr>
        <w:t xml:space="preserve"> and that is examined in this paper.</w:t>
      </w:r>
    </w:p>
    <w:p w14:paraId="39F9C48E" w14:textId="7AACF110" w:rsidR="00CF0C14" w:rsidRDefault="00CF0C14" w:rsidP="00AE6E88">
      <w:pPr>
        <w:spacing w:before="240" w:after="240" w:line="360" w:lineRule="auto"/>
        <w:ind w:left="170" w:right="113"/>
        <w:jc w:val="both"/>
        <w:rPr>
          <w:rFonts w:ascii="Times New Roman" w:hAnsi="Times New Roman" w:cs="Times New Roman"/>
          <w:color w:val="232323"/>
          <w:sz w:val="24"/>
          <w:szCs w:val="24"/>
          <w:shd w:val="clear" w:color="auto" w:fill="FFFFFF"/>
          <w:lang w:val="en-US"/>
        </w:rPr>
      </w:pPr>
      <w:r>
        <w:rPr>
          <w:rFonts w:ascii="Times New Roman" w:hAnsi="Times New Roman" w:cs="Times New Roman"/>
          <w:color w:val="232323"/>
          <w:sz w:val="24"/>
          <w:szCs w:val="24"/>
          <w:shd w:val="clear" w:color="auto" w:fill="FFFFFF"/>
          <w:lang w:val="en-US"/>
        </w:rPr>
        <w:lastRenderedPageBreak/>
        <w:t xml:space="preserve">It is fundamental to start with the Special Rapporteur </w:t>
      </w:r>
      <w:r w:rsidRPr="00CF0C14">
        <w:rPr>
          <w:rFonts w:ascii="Times New Roman" w:hAnsi="Times New Roman" w:cs="Times New Roman"/>
          <w:color w:val="232323"/>
          <w:sz w:val="24"/>
          <w:szCs w:val="24"/>
          <w:shd w:val="clear" w:color="auto" w:fill="FFFFFF"/>
          <w:lang w:val="en-US"/>
        </w:rPr>
        <w:t>behavior toward</w:t>
      </w:r>
      <w:r>
        <w:rPr>
          <w:rFonts w:ascii="Times New Roman" w:hAnsi="Times New Roman" w:cs="Times New Roman"/>
          <w:color w:val="232323"/>
          <w:sz w:val="24"/>
          <w:szCs w:val="24"/>
          <w:shd w:val="clear" w:color="auto" w:fill="FFFFFF"/>
          <w:lang w:val="en-US"/>
        </w:rPr>
        <w:t xml:space="preserve"> pact application.</w:t>
      </w:r>
      <w:r w:rsidR="001C439E">
        <w:rPr>
          <w:rFonts w:ascii="Times New Roman" w:hAnsi="Times New Roman" w:cs="Times New Roman"/>
          <w:color w:val="232323"/>
          <w:sz w:val="24"/>
          <w:szCs w:val="24"/>
          <w:shd w:val="clear" w:color="auto" w:fill="FFFFFF"/>
          <w:lang w:val="en-US"/>
        </w:rPr>
        <w:t xml:space="preserve"> </w:t>
      </w:r>
      <w:r w:rsidR="005E37D1">
        <w:rPr>
          <w:rFonts w:ascii="Times New Roman" w:hAnsi="Times New Roman" w:cs="Times New Roman"/>
          <w:color w:val="232323"/>
          <w:sz w:val="24"/>
          <w:szCs w:val="24"/>
          <w:shd w:val="clear" w:color="auto" w:fill="FFFFFF"/>
          <w:lang w:val="en-US"/>
        </w:rPr>
        <w:t>To demonstrat</w:t>
      </w:r>
      <w:r w:rsidR="001C439E">
        <w:rPr>
          <w:rFonts w:ascii="Times New Roman" w:hAnsi="Times New Roman" w:cs="Times New Roman"/>
          <w:color w:val="232323"/>
          <w:sz w:val="24"/>
          <w:szCs w:val="24"/>
          <w:shd w:val="clear" w:color="auto" w:fill="FFFFFF"/>
          <w:lang w:val="en-US"/>
        </w:rPr>
        <w:t>e</w:t>
      </w:r>
      <w:r w:rsidR="005E37D1">
        <w:rPr>
          <w:rFonts w:ascii="Times New Roman" w:hAnsi="Times New Roman" w:cs="Times New Roman"/>
          <w:color w:val="232323"/>
          <w:sz w:val="24"/>
          <w:szCs w:val="24"/>
          <w:shd w:val="clear" w:color="auto" w:fill="FFFFFF"/>
          <w:lang w:val="en-US"/>
        </w:rPr>
        <w:t xml:space="preserve"> limitations and exceptions to immunity ratione materiae, he </w:t>
      </w:r>
      <w:r w:rsidR="001C439E">
        <w:rPr>
          <w:rFonts w:ascii="Times New Roman" w:hAnsi="Times New Roman" w:cs="Times New Roman"/>
          <w:color w:val="232323"/>
          <w:sz w:val="24"/>
          <w:szCs w:val="24"/>
          <w:shd w:val="clear" w:color="auto" w:fill="FFFFFF"/>
          <w:lang w:val="en-US"/>
        </w:rPr>
        <w:t xml:space="preserve">was relaying on </w:t>
      </w:r>
      <w:r w:rsidR="005E37D1">
        <w:rPr>
          <w:rFonts w:ascii="Times New Roman" w:hAnsi="Times New Roman" w:cs="Times New Roman"/>
          <w:color w:val="232323"/>
          <w:sz w:val="24"/>
          <w:szCs w:val="24"/>
          <w:shd w:val="clear" w:color="auto" w:fill="FFFFFF"/>
          <w:lang w:val="en-US"/>
        </w:rPr>
        <w:t xml:space="preserve">different agreements like </w:t>
      </w:r>
      <w:r w:rsidR="002F1B73">
        <w:rPr>
          <w:rFonts w:ascii="Times New Roman" w:hAnsi="Times New Roman" w:cs="Times New Roman"/>
          <w:color w:val="232323"/>
          <w:sz w:val="24"/>
          <w:szCs w:val="24"/>
          <w:shd w:val="clear" w:color="auto" w:fill="FFFFFF"/>
          <w:lang w:val="en-US"/>
        </w:rPr>
        <w:t xml:space="preserve">Enforced Disappearance Convention, Genocide </w:t>
      </w:r>
      <w:r w:rsidR="00CD1D5C">
        <w:rPr>
          <w:rFonts w:ascii="Times New Roman" w:hAnsi="Times New Roman" w:cs="Times New Roman"/>
          <w:color w:val="232323"/>
          <w:sz w:val="24"/>
          <w:szCs w:val="24"/>
          <w:shd w:val="clear" w:color="auto" w:fill="FFFFFF"/>
          <w:lang w:val="en-US"/>
        </w:rPr>
        <w:t>Convention,</w:t>
      </w:r>
      <w:r w:rsidR="002F1B73">
        <w:rPr>
          <w:rFonts w:ascii="Times New Roman" w:hAnsi="Times New Roman" w:cs="Times New Roman"/>
          <w:color w:val="232323"/>
          <w:sz w:val="24"/>
          <w:szCs w:val="24"/>
          <w:shd w:val="clear" w:color="auto" w:fill="FFFFFF"/>
          <w:lang w:val="en-US"/>
        </w:rPr>
        <w:t xml:space="preserve"> and the Convention against Torture.</w:t>
      </w:r>
      <w:r w:rsidR="00CD1D5C">
        <w:rPr>
          <w:rStyle w:val="Znakapoznpodarou"/>
          <w:rFonts w:ascii="Times New Roman" w:hAnsi="Times New Roman" w:cs="Times New Roman"/>
          <w:color w:val="232323"/>
          <w:sz w:val="24"/>
          <w:szCs w:val="24"/>
          <w:shd w:val="clear" w:color="auto" w:fill="FFFFFF"/>
          <w:lang w:val="en-US"/>
        </w:rPr>
        <w:footnoteReference w:id="150"/>
      </w:r>
      <w:r w:rsidR="002B04AC">
        <w:rPr>
          <w:rFonts w:ascii="Times New Roman" w:hAnsi="Times New Roman" w:cs="Times New Roman"/>
          <w:color w:val="232323"/>
          <w:sz w:val="24"/>
          <w:szCs w:val="24"/>
          <w:shd w:val="clear" w:color="auto" w:fill="FFFFFF"/>
          <w:lang w:val="en-US"/>
        </w:rPr>
        <w:t xml:space="preserve"> For</w:t>
      </w:r>
      <w:r w:rsidR="00F36DF2">
        <w:rPr>
          <w:rFonts w:ascii="Times New Roman" w:hAnsi="Times New Roman" w:cs="Times New Roman"/>
          <w:color w:val="232323"/>
          <w:sz w:val="24"/>
          <w:szCs w:val="24"/>
          <w:shd w:val="clear" w:color="auto" w:fill="FFFFFF"/>
          <w:lang w:val="en-US"/>
        </w:rPr>
        <w:t xml:space="preserve"> </w:t>
      </w:r>
      <w:r w:rsidR="00F36DF2" w:rsidRPr="00F36DF2">
        <w:rPr>
          <w:rFonts w:ascii="Times New Roman" w:hAnsi="Times New Roman" w:cs="Times New Roman"/>
          <w:color w:val="232323"/>
          <w:sz w:val="24"/>
          <w:szCs w:val="24"/>
          <w:shd w:val="clear" w:color="auto" w:fill="FFFFFF"/>
          <w:lang w:val="en-US"/>
        </w:rPr>
        <w:t xml:space="preserve">instance </w:t>
      </w:r>
      <w:r w:rsidR="002B04AC">
        <w:rPr>
          <w:rFonts w:ascii="Times New Roman" w:hAnsi="Times New Roman" w:cs="Times New Roman"/>
          <w:color w:val="232323"/>
          <w:sz w:val="24"/>
          <w:szCs w:val="24"/>
          <w:shd w:val="clear" w:color="auto" w:fill="FFFFFF"/>
          <w:lang w:val="en-US"/>
        </w:rPr>
        <w:t>the Apartheid Convention and the Genocide Con</w:t>
      </w:r>
      <w:r w:rsidR="00AC50B4">
        <w:rPr>
          <w:rFonts w:ascii="Times New Roman" w:hAnsi="Times New Roman" w:cs="Times New Roman"/>
          <w:color w:val="232323"/>
          <w:sz w:val="24"/>
          <w:szCs w:val="24"/>
          <w:shd w:val="clear" w:color="auto" w:fill="FFFFFF"/>
          <w:lang w:val="en-US"/>
        </w:rPr>
        <w:t xml:space="preserve">vention </w:t>
      </w:r>
      <w:r w:rsidR="00AC50B4" w:rsidRPr="00AC50B4">
        <w:rPr>
          <w:rFonts w:ascii="Times New Roman" w:hAnsi="Times New Roman" w:cs="Times New Roman"/>
          <w:color w:val="232323"/>
          <w:sz w:val="24"/>
          <w:szCs w:val="24"/>
          <w:shd w:val="clear" w:color="auto" w:fill="FFFFFF"/>
          <w:lang w:val="en-US"/>
        </w:rPr>
        <w:t>comprise</w:t>
      </w:r>
      <w:r w:rsidR="00AC50B4">
        <w:rPr>
          <w:rFonts w:ascii="Times New Roman" w:hAnsi="Times New Roman" w:cs="Times New Roman"/>
          <w:color w:val="232323"/>
          <w:sz w:val="24"/>
          <w:szCs w:val="24"/>
          <w:shd w:val="clear" w:color="auto" w:fill="FFFFFF"/>
          <w:lang w:val="en-US"/>
        </w:rPr>
        <w:t xml:space="preserve"> clauses</w:t>
      </w:r>
      <w:r w:rsidR="00F36DF2">
        <w:rPr>
          <w:rFonts w:ascii="Times New Roman" w:hAnsi="Times New Roman" w:cs="Times New Roman"/>
          <w:color w:val="232323"/>
          <w:sz w:val="24"/>
          <w:szCs w:val="24"/>
          <w:shd w:val="clear" w:color="auto" w:fill="FFFFFF"/>
          <w:lang w:val="en-US"/>
        </w:rPr>
        <w:t xml:space="preserve"> </w:t>
      </w:r>
      <w:r w:rsidR="00F36DF2" w:rsidRPr="00F36DF2">
        <w:rPr>
          <w:rFonts w:ascii="Times New Roman" w:hAnsi="Times New Roman" w:cs="Times New Roman"/>
          <w:color w:val="232323"/>
          <w:sz w:val="24"/>
          <w:szCs w:val="24"/>
          <w:shd w:val="clear" w:color="auto" w:fill="FFFFFF"/>
          <w:lang w:val="en-US"/>
        </w:rPr>
        <w:t>precluding</w:t>
      </w:r>
      <w:r w:rsidR="00F36DF2">
        <w:rPr>
          <w:rFonts w:ascii="Times New Roman" w:hAnsi="Times New Roman" w:cs="Times New Roman"/>
          <w:color w:val="232323"/>
          <w:sz w:val="24"/>
          <w:szCs w:val="24"/>
          <w:shd w:val="clear" w:color="auto" w:fill="FFFFFF"/>
          <w:lang w:val="en-US"/>
        </w:rPr>
        <w:t xml:space="preserve"> the </w:t>
      </w:r>
      <w:r w:rsidR="00D9027A">
        <w:rPr>
          <w:rFonts w:ascii="Times New Roman" w:hAnsi="Times New Roman" w:cs="Times New Roman"/>
          <w:color w:val="232323"/>
          <w:sz w:val="24"/>
          <w:szCs w:val="24"/>
          <w:shd w:val="clear" w:color="auto" w:fill="FFFFFF"/>
          <w:lang w:val="en-US"/>
        </w:rPr>
        <w:t>legal</w:t>
      </w:r>
      <w:r w:rsidR="00F36DF2">
        <w:rPr>
          <w:rFonts w:ascii="Times New Roman" w:hAnsi="Times New Roman" w:cs="Times New Roman"/>
          <w:color w:val="232323"/>
          <w:sz w:val="24"/>
          <w:szCs w:val="24"/>
          <w:shd w:val="clear" w:color="auto" w:fill="FFFFFF"/>
          <w:lang w:val="en-US"/>
        </w:rPr>
        <w:t xml:space="preserve"> status </w:t>
      </w:r>
      <w:r w:rsidR="00D9027A">
        <w:rPr>
          <w:rFonts w:ascii="Times New Roman" w:hAnsi="Times New Roman" w:cs="Times New Roman"/>
          <w:color w:val="232323"/>
          <w:sz w:val="24"/>
          <w:szCs w:val="24"/>
          <w:shd w:val="clear" w:color="auto" w:fill="FFFFFF"/>
          <w:lang w:val="en-US"/>
        </w:rPr>
        <w:t>when it comes to</w:t>
      </w:r>
      <w:r w:rsidR="009B5AE0">
        <w:rPr>
          <w:rFonts w:ascii="Times New Roman" w:hAnsi="Times New Roman" w:cs="Times New Roman"/>
          <w:color w:val="232323"/>
          <w:sz w:val="24"/>
          <w:szCs w:val="24"/>
          <w:shd w:val="clear" w:color="auto" w:fill="FFFFFF"/>
          <w:lang w:val="en-US"/>
        </w:rPr>
        <w:t xml:space="preserve"> the question </w:t>
      </w:r>
      <w:r w:rsidR="009C5D01">
        <w:rPr>
          <w:rFonts w:ascii="Times New Roman" w:hAnsi="Times New Roman" w:cs="Times New Roman"/>
          <w:color w:val="232323"/>
          <w:sz w:val="24"/>
          <w:szCs w:val="24"/>
          <w:shd w:val="clear" w:color="auto" w:fill="FFFFFF"/>
          <w:lang w:val="en-US"/>
        </w:rPr>
        <w:t>of liability</w:t>
      </w:r>
      <w:r w:rsidR="009B5AE0" w:rsidRPr="009B5AE0">
        <w:rPr>
          <w:rFonts w:ascii="Times New Roman" w:hAnsi="Times New Roman" w:cs="Times New Roman"/>
          <w:color w:val="232323"/>
          <w:sz w:val="24"/>
          <w:szCs w:val="24"/>
          <w:shd w:val="clear" w:color="auto" w:fill="FFFFFF"/>
          <w:lang w:val="en-US"/>
        </w:rPr>
        <w:t xml:space="preserve"> </w:t>
      </w:r>
      <w:r w:rsidR="009B5AE0">
        <w:rPr>
          <w:rFonts w:ascii="Times New Roman" w:hAnsi="Times New Roman" w:cs="Times New Roman"/>
          <w:color w:val="232323"/>
          <w:sz w:val="24"/>
          <w:szCs w:val="24"/>
          <w:shd w:val="clear" w:color="auto" w:fill="FFFFFF"/>
          <w:lang w:val="en-US"/>
        </w:rPr>
        <w:t>for serious international crime.</w:t>
      </w:r>
      <w:r w:rsidR="009C5D01">
        <w:rPr>
          <w:rStyle w:val="Znakapoznpodarou"/>
          <w:rFonts w:ascii="Times New Roman" w:hAnsi="Times New Roman" w:cs="Times New Roman"/>
          <w:color w:val="232323"/>
          <w:sz w:val="24"/>
          <w:szCs w:val="24"/>
          <w:shd w:val="clear" w:color="auto" w:fill="FFFFFF"/>
          <w:lang w:val="en-US"/>
        </w:rPr>
        <w:footnoteReference w:id="151"/>
      </w:r>
    </w:p>
    <w:p w14:paraId="1D3AC2F7" w14:textId="00DE544F" w:rsidR="00686449" w:rsidRDefault="00CC10FF" w:rsidP="00F83C53">
      <w:pPr>
        <w:spacing w:before="240" w:after="240" w:line="360" w:lineRule="auto"/>
        <w:ind w:left="170" w:right="113"/>
        <w:jc w:val="both"/>
        <w:rPr>
          <w:rFonts w:ascii="Times New Roman" w:hAnsi="Times New Roman" w:cs="Times New Roman"/>
          <w:color w:val="232323"/>
          <w:sz w:val="24"/>
          <w:szCs w:val="24"/>
          <w:shd w:val="clear" w:color="auto" w:fill="FFFFFF"/>
          <w:lang w:val="en-US"/>
        </w:rPr>
      </w:pPr>
      <w:r>
        <w:rPr>
          <w:rFonts w:ascii="Times New Roman" w:hAnsi="Times New Roman" w:cs="Times New Roman"/>
          <w:color w:val="232323"/>
          <w:sz w:val="24"/>
          <w:szCs w:val="24"/>
          <w:shd w:val="clear" w:color="auto" w:fill="FFFFFF"/>
          <w:lang w:val="en-US"/>
        </w:rPr>
        <w:t>Concerning</w:t>
      </w:r>
      <w:r w:rsidR="001647FD">
        <w:rPr>
          <w:rFonts w:ascii="Times New Roman" w:hAnsi="Times New Roman" w:cs="Times New Roman"/>
          <w:color w:val="232323"/>
          <w:sz w:val="24"/>
          <w:szCs w:val="24"/>
          <w:shd w:val="clear" w:color="auto" w:fill="FFFFFF"/>
          <w:lang w:val="en-US"/>
        </w:rPr>
        <w:t xml:space="preserve"> the practice in domestic </w:t>
      </w:r>
      <w:r w:rsidR="001647FD" w:rsidRPr="002E601C">
        <w:rPr>
          <w:rFonts w:ascii="Times New Roman" w:hAnsi="Times New Roman" w:cs="Times New Roman"/>
          <w:color w:val="232323"/>
          <w:sz w:val="24"/>
          <w:szCs w:val="24"/>
          <w:shd w:val="clear" w:color="auto" w:fill="FFFFFF"/>
          <w:lang w:val="en-US"/>
        </w:rPr>
        <w:t>regulation</w:t>
      </w:r>
      <w:r>
        <w:rPr>
          <w:rFonts w:ascii="Times New Roman" w:hAnsi="Times New Roman" w:cs="Times New Roman"/>
          <w:color w:val="232323"/>
          <w:sz w:val="24"/>
          <w:szCs w:val="24"/>
          <w:shd w:val="clear" w:color="auto" w:fill="FFFFFF"/>
          <w:lang w:val="en-US"/>
        </w:rPr>
        <w:t>, the report started by mentioning different r</w:t>
      </w:r>
      <w:r w:rsidR="00AB1891">
        <w:rPr>
          <w:rFonts w:ascii="Times New Roman" w:hAnsi="Times New Roman" w:cs="Times New Roman"/>
          <w:color w:val="232323"/>
          <w:sz w:val="24"/>
          <w:szCs w:val="24"/>
          <w:shd w:val="clear" w:color="auto" w:fill="FFFFFF"/>
          <w:lang w:val="en-US"/>
        </w:rPr>
        <w:t>ules about immunity.</w:t>
      </w:r>
      <w:r w:rsidR="004B42DA">
        <w:rPr>
          <w:rFonts w:ascii="Times New Roman" w:hAnsi="Times New Roman" w:cs="Times New Roman"/>
          <w:color w:val="232323"/>
          <w:sz w:val="24"/>
          <w:szCs w:val="24"/>
          <w:shd w:val="clear" w:color="auto" w:fill="FFFFFF"/>
          <w:lang w:val="en-US"/>
        </w:rPr>
        <w:t xml:space="preserve"> H</w:t>
      </w:r>
      <w:r w:rsidR="004B42DA" w:rsidRPr="004B42DA">
        <w:rPr>
          <w:rFonts w:ascii="Times New Roman" w:hAnsi="Times New Roman" w:cs="Times New Roman"/>
          <w:color w:val="232323"/>
          <w:sz w:val="24"/>
          <w:szCs w:val="24"/>
          <w:shd w:val="clear" w:color="auto" w:fill="FFFFFF"/>
          <w:lang w:val="en-US"/>
        </w:rPr>
        <w:t>owever</w:t>
      </w:r>
      <w:r w:rsidR="004B42DA">
        <w:rPr>
          <w:rFonts w:ascii="Times New Roman" w:hAnsi="Times New Roman" w:cs="Times New Roman"/>
          <w:color w:val="232323"/>
          <w:sz w:val="24"/>
          <w:szCs w:val="24"/>
          <w:shd w:val="clear" w:color="auto" w:fill="FFFFFF"/>
          <w:lang w:val="en-US"/>
        </w:rPr>
        <w:t xml:space="preserve">, it </w:t>
      </w:r>
      <w:r w:rsidR="004B42DA" w:rsidRPr="004B42DA">
        <w:rPr>
          <w:rFonts w:ascii="Times New Roman" w:hAnsi="Times New Roman" w:cs="Times New Roman"/>
          <w:color w:val="232323"/>
          <w:sz w:val="24"/>
          <w:szCs w:val="24"/>
          <w:shd w:val="clear" w:color="auto" w:fill="FFFFFF"/>
          <w:lang w:val="en-US"/>
        </w:rPr>
        <w:t>comments</w:t>
      </w:r>
      <w:r w:rsidR="004B42DA">
        <w:rPr>
          <w:rFonts w:ascii="Times New Roman" w:hAnsi="Times New Roman" w:cs="Times New Roman"/>
          <w:color w:val="232323"/>
          <w:sz w:val="24"/>
          <w:szCs w:val="24"/>
          <w:shd w:val="clear" w:color="auto" w:fill="FFFFFF"/>
          <w:lang w:val="en-US"/>
        </w:rPr>
        <w:t xml:space="preserve"> that the question of immunity of public agents </w:t>
      </w:r>
      <w:r w:rsidR="00EB1FD3">
        <w:rPr>
          <w:rFonts w:ascii="Times New Roman" w:hAnsi="Times New Roman" w:cs="Times New Roman"/>
          <w:color w:val="232323"/>
          <w:sz w:val="24"/>
          <w:szCs w:val="24"/>
          <w:shd w:val="clear" w:color="auto" w:fill="FFFFFF"/>
          <w:lang w:val="en-US"/>
        </w:rPr>
        <w:t xml:space="preserve">at domestic level is not clearly </w:t>
      </w:r>
      <w:r w:rsidR="00AF0D17">
        <w:rPr>
          <w:rFonts w:ascii="Times New Roman" w:hAnsi="Times New Roman" w:cs="Times New Roman"/>
          <w:color w:val="232323"/>
          <w:sz w:val="24"/>
          <w:szCs w:val="24"/>
          <w:shd w:val="clear" w:color="auto" w:fill="FFFFFF"/>
          <w:lang w:val="en-US"/>
        </w:rPr>
        <w:t>mentioned in many States.</w:t>
      </w:r>
      <w:r w:rsidR="002F596B">
        <w:rPr>
          <w:rStyle w:val="Znakapoznpodarou"/>
          <w:rFonts w:ascii="Times New Roman" w:hAnsi="Times New Roman" w:cs="Times New Roman"/>
          <w:color w:val="232323"/>
          <w:sz w:val="24"/>
          <w:szCs w:val="24"/>
          <w:shd w:val="clear" w:color="auto" w:fill="FFFFFF"/>
          <w:lang w:val="en-US"/>
        </w:rPr>
        <w:footnoteReference w:id="152"/>
      </w:r>
      <w:r w:rsidR="00D930B9">
        <w:rPr>
          <w:rFonts w:ascii="Times New Roman" w:hAnsi="Times New Roman" w:cs="Times New Roman"/>
          <w:color w:val="232323"/>
          <w:sz w:val="24"/>
          <w:szCs w:val="24"/>
          <w:shd w:val="clear" w:color="auto" w:fill="FFFFFF"/>
          <w:lang w:val="en-US"/>
        </w:rPr>
        <w:t xml:space="preserve"> At the same time, it </w:t>
      </w:r>
      <w:r w:rsidR="00D930B9" w:rsidRPr="00D930B9">
        <w:rPr>
          <w:rFonts w:ascii="Times New Roman" w:hAnsi="Times New Roman" w:cs="Times New Roman"/>
          <w:color w:val="232323"/>
          <w:sz w:val="24"/>
          <w:szCs w:val="24"/>
          <w:shd w:val="clear" w:color="auto" w:fill="FFFFFF"/>
          <w:lang w:val="en-US"/>
        </w:rPr>
        <w:t>acknowledges</w:t>
      </w:r>
      <w:r w:rsidR="00D930B9">
        <w:rPr>
          <w:rFonts w:ascii="Times New Roman" w:hAnsi="Times New Roman" w:cs="Times New Roman"/>
          <w:color w:val="232323"/>
          <w:sz w:val="24"/>
          <w:szCs w:val="24"/>
          <w:shd w:val="clear" w:color="auto" w:fill="FFFFFF"/>
          <w:lang w:val="en-US"/>
        </w:rPr>
        <w:t xml:space="preserve"> some domestic</w:t>
      </w:r>
      <w:r w:rsidR="000B47BC">
        <w:rPr>
          <w:rFonts w:ascii="Times New Roman" w:hAnsi="Times New Roman" w:cs="Times New Roman"/>
          <w:color w:val="232323"/>
          <w:sz w:val="24"/>
          <w:szCs w:val="24"/>
          <w:shd w:val="clear" w:color="auto" w:fill="FFFFFF"/>
          <w:lang w:val="en-US"/>
        </w:rPr>
        <w:t xml:space="preserve"> rules dealing with question </w:t>
      </w:r>
      <w:r w:rsidR="000E5D44">
        <w:rPr>
          <w:rFonts w:ascii="Times New Roman" w:hAnsi="Times New Roman" w:cs="Times New Roman"/>
          <w:color w:val="232323"/>
          <w:sz w:val="24"/>
          <w:szCs w:val="24"/>
          <w:shd w:val="clear" w:color="auto" w:fill="FFFFFF"/>
          <w:lang w:val="en-US"/>
        </w:rPr>
        <w:t>relating to some</w:t>
      </w:r>
      <w:r w:rsidR="000B47BC">
        <w:rPr>
          <w:rFonts w:ascii="Times New Roman" w:hAnsi="Times New Roman" w:cs="Times New Roman"/>
          <w:color w:val="232323"/>
          <w:sz w:val="24"/>
          <w:szCs w:val="24"/>
          <w:shd w:val="clear" w:color="auto" w:fill="FFFFFF"/>
          <w:lang w:val="en-US"/>
        </w:rPr>
        <w:t xml:space="preserve"> public </w:t>
      </w:r>
      <w:r w:rsidR="000E5D44">
        <w:rPr>
          <w:rFonts w:ascii="Times New Roman" w:hAnsi="Times New Roman" w:cs="Times New Roman"/>
          <w:color w:val="232323"/>
          <w:sz w:val="24"/>
          <w:szCs w:val="24"/>
          <w:shd w:val="clear" w:color="auto" w:fill="FFFFFF"/>
          <w:lang w:val="en-US"/>
        </w:rPr>
        <w:t>agents’</w:t>
      </w:r>
      <w:r w:rsidR="000B47BC">
        <w:rPr>
          <w:rFonts w:ascii="Times New Roman" w:hAnsi="Times New Roman" w:cs="Times New Roman"/>
          <w:color w:val="232323"/>
          <w:sz w:val="24"/>
          <w:szCs w:val="24"/>
          <w:shd w:val="clear" w:color="auto" w:fill="FFFFFF"/>
          <w:lang w:val="en-US"/>
        </w:rPr>
        <w:t xml:space="preserve"> </w:t>
      </w:r>
      <w:r w:rsidR="000E5D44">
        <w:rPr>
          <w:rFonts w:ascii="Times New Roman" w:hAnsi="Times New Roman" w:cs="Times New Roman"/>
          <w:color w:val="232323"/>
          <w:sz w:val="24"/>
          <w:szCs w:val="24"/>
          <w:shd w:val="clear" w:color="auto" w:fill="FFFFFF"/>
          <w:lang w:val="en-US"/>
        </w:rPr>
        <w:t>immunities.</w:t>
      </w:r>
      <w:r w:rsidR="00DD66C3">
        <w:rPr>
          <w:rStyle w:val="Znakapoznpodarou"/>
          <w:rFonts w:ascii="Times New Roman" w:hAnsi="Times New Roman" w:cs="Times New Roman"/>
          <w:color w:val="232323"/>
          <w:sz w:val="24"/>
          <w:szCs w:val="24"/>
          <w:shd w:val="clear" w:color="auto" w:fill="FFFFFF"/>
          <w:lang w:val="en-US"/>
        </w:rPr>
        <w:footnoteReference w:id="153"/>
      </w:r>
      <w:r w:rsidR="00E228D5">
        <w:rPr>
          <w:rFonts w:ascii="Times New Roman" w:hAnsi="Times New Roman" w:cs="Times New Roman"/>
          <w:color w:val="232323"/>
          <w:sz w:val="24"/>
          <w:szCs w:val="24"/>
          <w:shd w:val="clear" w:color="auto" w:fill="FFFFFF"/>
          <w:lang w:val="en-US"/>
        </w:rPr>
        <w:t xml:space="preserve"> The following countries: </w:t>
      </w:r>
      <w:r w:rsidR="000E4E99">
        <w:rPr>
          <w:rFonts w:ascii="Times New Roman" w:hAnsi="Times New Roman" w:cs="Times New Roman"/>
          <w:color w:val="232323"/>
          <w:sz w:val="24"/>
          <w:szCs w:val="24"/>
          <w:shd w:val="clear" w:color="auto" w:fill="FFFFFF"/>
          <w:lang w:val="en-US"/>
        </w:rPr>
        <w:t xml:space="preserve">Spain, United States of America and </w:t>
      </w:r>
      <w:r w:rsidR="000B661A">
        <w:rPr>
          <w:rFonts w:ascii="Times New Roman" w:hAnsi="Times New Roman" w:cs="Times New Roman"/>
          <w:color w:val="232323"/>
          <w:sz w:val="24"/>
          <w:szCs w:val="24"/>
          <w:shd w:val="clear" w:color="auto" w:fill="FFFFFF"/>
          <w:lang w:val="en-US"/>
        </w:rPr>
        <w:t>Argentina</w:t>
      </w:r>
      <w:r w:rsidR="00E228D5">
        <w:rPr>
          <w:rFonts w:ascii="Times New Roman" w:hAnsi="Times New Roman" w:cs="Times New Roman"/>
          <w:color w:val="232323"/>
          <w:sz w:val="24"/>
          <w:szCs w:val="24"/>
          <w:shd w:val="clear" w:color="auto" w:fill="FFFFFF"/>
          <w:lang w:val="en-US"/>
        </w:rPr>
        <w:t xml:space="preserve"> are mentioned to be </w:t>
      </w:r>
      <w:r w:rsidR="000B661A" w:rsidRPr="000B661A">
        <w:rPr>
          <w:rFonts w:ascii="Times New Roman" w:hAnsi="Times New Roman" w:cs="Times New Roman"/>
          <w:color w:val="232323"/>
          <w:sz w:val="24"/>
          <w:szCs w:val="24"/>
          <w:shd w:val="clear" w:color="auto" w:fill="FFFFFF"/>
          <w:lang w:val="en-US"/>
        </w:rPr>
        <w:t>especially</w:t>
      </w:r>
      <w:r w:rsidR="000B661A">
        <w:rPr>
          <w:rFonts w:ascii="Times New Roman" w:hAnsi="Times New Roman" w:cs="Times New Roman"/>
          <w:color w:val="232323"/>
          <w:sz w:val="24"/>
          <w:szCs w:val="24"/>
          <w:shd w:val="clear" w:color="auto" w:fill="FFFFFF"/>
          <w:lang w:val="en-US"/>
        </w:rPr>
        <w:t xml:space="preserve"> </w:t>
      </w:r>
      <w:r w:rsidR="000B661A" w:rsidRPr="000B661A">
        <w:rPr>
          <w:rFonts w:ascii="Times New Roman" w:hAnsi="Times New Roman" w:cs="Times New Roman"/>
          <w:color w:val="232323"/>
          <w:sz w:val="24"/>
          <w:szCs w:val="24"/>
          <w:shd w:val="clear" w:color="auto" w:fill="FFFFFF"/>
          <w:lang w:val="en-US"/>
        </w:rPr>
        <w:t>pertinent</w:t>
      </w:r>
      <w:r w:rsidR="000B661A">
        <w:rPr>
          <w:rFonts w:ascii="Times New Roman" w:hAnsi="Times New Roman" w:cs="Times New Roman"/>
          <w:color w:val="232323"/>
          <w:sz w:val="24"/>
          <w:szCs w:val="24"/>
          <w:shd w:val="clear" w:color="auto" w:fill="FFFFFF"/>
          <w:lang w:val="en-US"/>
        </w:rPr>
        <w:t>.</w:t>
      </w:r>
      <w:r w:rsidR="00675D9F">
        <w:rPr>
          <w:rStyle w:val="Znakapoznpodarou"/>
          <w:rFonts w:ascii="Times New Roman" w:hAnsi="Times New Roman" w:cs="Times New Roman"/>
          <w:color w:val="232323"/>
          <w:sz w:val="24"/>
          <w:szCs w:val="24"/>
          <w:shd w:val="clear" w:color="auto" w:fill="FFFFFF"/>
          <w:lang w:val="en-US"/>
        </w:rPr>
        <w:footnoteReference w:id="154"/>
      </w:r>
      <w:r w:rsidR="008B38CD">
        <w:rPr>
          <w:rFonts w:ascii="Times New Roman" w:hAnsi="Times New Roman" w:cs="Times New Roman"/>
          <w:color w:val="232323"/>
          <w:sz w:val="24"/>
          <w:szCs w:val="24"/>
          <w:shd w:val="clear" w:color="auto" w:fill="FFFFFF"/>
          <w:lang w:val="en-US"/>
        </w:rPr>
        <w:t xml:space="preserve"> The report also relates many national </w:t>
      </w:r>
      <w:r w:rsidR="003153D5">
        <w:rPr>
          <w:rFonts w:ascii="Times New Roman" w:hAnsi="Times New Roman" w:cs="Times New Roman"/>
          <w:color w:val="232323"/>
          <w:sz w:val="24"/>
          <w:szCs w:val="24"/>
          <w:shd w:val="clear" w:color="auto" w:fill="FFFFFF"/>
          <w:lang w:val="en-US"/>
        </w:rPr>
        <w:t>laws</w:t>
      </w:r>
      <w:r w:rsidR="008B38CD">
        <w:rPr>
          <w:rFonts w:ascii="Times New Roman" w:hAnsi="Times New Roman" w:cs="Times New Roman"/>
          <w:color w:val="232323"/>
          <w:sz w:val="24"/>
          <w:szCs w:val="24"/>
          <w:shd w:val="clear" w:color="auto" w:fill="FFFFFF"/>
          <w:lang w:val="en-US"/>
        </w:rPr>
        <w:t xml:space="preserve"> </w:t>
      </w:r>
      <w:r w:rsidR="008B38CD" w:rsidRPr="008B38CD">
        <w:rPr>
          <w:rFonts w:ascii="Times New Roman" w:hAnsi="Times New Roman" w:cs="Times New Roman"/>
          <w:color w:val="232323"/>
          <w:sz w:val="24"/>
          <w:szCs w:val="24"/>
          <w:shd w:val="clear" w:color="auto" w:fill="FFFFFF"/>
          <w:lang w:val="en-US"/>
        </w:rPr>
        <w:t>achieving</w:t>
      </w:r>
      <w:r w:rsidR="008B38CD">
        <w:rPr>
          <w:rFonts w:ascii="Times New Roman" w:hAnsi="Times New Roman" w:cs="Times New Roman"/>
          <w:color w:val="232323"/>
          <w:sz w:val="24"/>
          <w:szCs w:val="24"/>
          <w:shd w:val="clear" w:color="auto" w:fill="FFFFFF"/>
          <w:lang w:val="en-US"/>
        </w:rPr>
        <w:t xml:space="preserve"> the goals of the ICC Statute</w:t>
      </w:r>
      <w:r w:rsidR="003153D5">
        <w:rPr>
          <w:rFonts w:ascii="Times New Roman" w:hAnsi="Times New Roman" w:cs="Times New Roman"/>
          <w:color w:val="232323"/>
          <w:sz w:val="24"/>
          <w:szCs w:val="24"/>
          <w:shd w:val="clear" w:color="auto" w:fill="FFFFFF"/>
          <w:lang w:val="en-US"/>
        </w:rPr>
        <w:t xml:space="preserve">, </w:t>
      </w:r>
      <w:r w:rsidR="008F6268">
        <w:rPr>
          <w:rFonts w:ascii="Times New Roman" w:hAnsi="Times New Roman" w:cs="Times New Roman"/>
          <w:color w:val="232323"/>
          <w:sz w:val="24"/>
          <w:szCs w:val="24"/>
          <w:shd w:val="clear" w:color="auto" w:fill="FFFFFF"/>
          <w:lang w:val="en-US"/>
        </w:rPr>
        <w:t xml:space="preserve">fact </w:t>
      </w:r>
      <w:r w:rsidR="003153D5">
        <w:rPr>
          <w:rFonts w:ascii="Times New Roman" w:hAnsi="Times New Roman" w:cs="Times New Roman"/>
          <w:color w:val="232323"/>
          <w:sz w:val="24"/>
          <w:szCs w:val="24"/>
          <w:shd w:val="clear" w:color="auto" w:fill="FFFFFF"/>
          <w:lang w:val="en-US"/>
        </w:rPr>
        <w:t xml:space="preserve">from which two main </w:t>
      </w:r>
      <w:r w:rsidR="008F6268">
        <w:rPr>
          <w:rFonts w:ascii="Times New Roman" w:hAnsi="Times New Roman" w:cs="Times New Roman"/>
          <w:color w:val="232323"/>
          <w:sz w:val="24"/>
          <w:szCs w:val="24"/>
          <w:shd w:val="clear" w:color="auto" w:fill="FFFFFF"/>
          <w:lang w:val="en-US"/>
        </w:rPr>
        <w:t xml:space="preserve">perspectives can be </w:t>
      </w:r>
      <w:r w:rsidR="00F83C53">
        <w:rPr>
          <w:rFonts w:ascii="Times New Roman" w:hAnsi="Times New Roman" w:cs="Times New Roman"/>
          <w:color w:val="232323"/>
          <w:sz w:val="24"/>
          <w:szCs w:val="24"/>
          <w:shd w:val="clear" w:color="auto" w:fill="FFFFFF"/>
          <w:lang w:val="en-US"/>
        </w:rPr>
        <w:t>found.</w:t>
      </w:r>
      <w:r w:rsidR="00BC3615">
        <w:rPr>
          <w:rFonts w:ascii="Times New Roman" w:hAnsi="Times New Roman" w:cs="Times New Roman"/>
          <w:color w:val="232323"/>
          <w:sz w:val="24"/>
          <w:szCs w:val="24"/>
          <w:shd w:val="clear" w:color="auto" w:fill="FFFFFF"/>
          <w:lang w:val="en-US"/>
        </w:rPr>
        <w:t xml:space="preserve"> T</w:t>
      </w:r>
      <w:r w:rsidR="00686449">
        <w:rPr>
          <w:rFonts w:ascii="Times New Roman" w:hAnsi="Times New Roman" w:cs="Times New Roman"/>
          <w:color w:val="232323"/>
          <w:sz w:val="24"/>
          <w:szCs w:val="24"/>
          <w:shd w:val="clear" w:color="auto" w:fill="FFFFFF"/>
          <w:lang w:val="en-US"/>
        </w:rPr>
        <w:t>he first perspective</w:t>
      </w:r>
      <w:r w:rsidR="00BC3615">
        <w:rPr>
          <w:rFonts w:ascii="Times New Roman" w:hAnsi="Times New Roman" w:cs="Times New Roman"/>
          <w:color w:val="232323"/>
          <w:sz w:val="24"/>
          <w:szCs w:val="24"/>
          <w:shd w:val="clear" w:color="auto" w:fill="FFFFFF"/>
          <w:lang w:val="en-US"/>
        </w:rPr>
        <w:t xml:space="preserve"> is about</w:t>
      </w:r>
      <w:r w:rsidR="009D7590">
        <w:rPr>
          <w:rFonts w:ascii="Times New Roman" w:hAnsi="Times New Roman" w:cs="Times New Roman"/>
          <w:color w:val="232323"/>
          <w:sz w:val="24"/>
          <w:szCs w:val="24"/>
          <w:shd w:val="clear" w:color="auto" w:fill="FFFFFF"/>
          <w:lang w:val="en-US"/>
        </w:rPr>
        <w:t xml:space="preserve"> the </w:t>
      </w:r>
      <w:r w:rsidR="009D7590" w:rsidRPr="009D7590">
        <w:rPr>
          <w:rFonts w:ascii="Times New Roman" w:hAnsi="Times New Roman" w:cs="Times New Roman"/>
          <w:color w:val="232323"/>
          <w:sz w:val="24"/>
          <w:szCs w:val="24"/>
          <w:shd w:val="clear" w:color="auto" w:fill="FFFFFF"/>
          <w:lang w:val="en-US"/>
        </w:rPr>
        <w:t>pertinent</w:t>
      </w:r>
      <w:r w:rsidR="009D7590">
        <w:rPr>
          <w:rFonts w:ascii="Times New Roman" w:hAnsi="Times New Roman" w:cs="Times New Roman"/>
          <w:color w:val="232323"/>
          <w:sz w:val="24"/>
          <w:szCs w:val="24"/>
          <w:shd w:val="clear" w:color="auto" w:fill="FFFFFF"/>
          <w:lang w:val="en-US"/>
        </w:rPr>
        <w:t xml:space="preserve"> national laws that </w:t>
      </w:r>
      <w:r w:rsidR="009C081A" w:rsidRPr="009C081A">
        <w:rPr>
          <w:rFonts w:ascii="Times New Roman" w:hAnsi="Times New Roman" w:cs="Times New Roman"/>
          <w:color w:val="232323"/>
          <w:sz w:val="24"/>
          <w:szCs w:val="24"/>
          <w:shd w:val="clear" w:color="auto" w:fill="FFFFFF"/>
          <w:lang w:val="en-US"/>
        </w:rPr>
        <w:t>rejects</w:t>
      </w:r>
      <w:r w:rsidR="009C081A">
        <w:rPr>
          <w:rFonts w:ascii="Times New Roman" w:hAnsi="Times New Roman" w:cs="Times New Roman"/>
          <w:color w:val="232323"/>
          <w:sz w:val="24"/>
          <w:szCs w:val="24"/>
          <w:shd w:val="clear" w:color="auto" w:fill="FFFFFF"/>
          <w:lang w:val="en-US"/>
        </w:rPr>
        <w:t xml:space="preserve"> immunity in cases relating to crimes within the scope of the ICC.</w:t>
      </w:r>
      <w:r w:rsidR="005E2B8F">
        <w:rPr>
          <w:rStyle w:val="Znakapoznpodarou"/>
          <w:rFonts w:ascii="Times New Roman" w:hAnsi="Times New Roman" w:cs="Times New Roman"/>
          <w:color w:val="232323"/>
          <w:sz w:val="24"/>
          <w:szCs w:val="24"/>
          <w:shd w:val="clear" w:color="auto" w:fill="FFFFFF"/>
          <w:lang w:val="en-US"/>
        </w:rPr>
        <w:footnoteReference w:id="155"/>
      </w:r>
      <w:r w:rsidR="00F83C53">
        <w:rPr>
          <w:rFonts w:ascii="Times New Roman" w:hAnsi="Times New Roman" w:cs="Times New Roman"/>
          <w:color w:val="232323"/>
          <w:sz w:val="24"/>
          <w:szCs w:val="24"/>
          <w:shd w:val="clear" w:color="auto" w:fill="FFFFFF"/>
          <w:lang w:val="en-US"/>
        </w:rPr>
        <w:t xml:space="preserve"> The next perspective</w:t>
      </w:r>
      <w:r w:rsidR="00BC3615">
        <w:rPr>
          <w:rFonts w:ascii="Times New Roman" w:hAnsi="Times New Roman" w:cs="Times New Roman"/>
          <w:color w:val="232323"/>
          <w:sz w:val="24"/>
          <w:szCs w:val="24"/>
          <w:shd w:val="clear" w:color="auto" w:fill="FFFFFF"/>
          <w:lang w:val="en-US"/>
        </w:rPr>
        <w:t xml:space="preserve"> </w:t>
      </w:r>
      <w:r w:rsidR="00E94401" w:rsidRPr="00E94401">
        <w:rPr>
          <w:rFonts w:ascii="Times New Roman" w:hAnsi="Times New Roman" w:cs="Times New Roman"/>
          <w:color w:val="232323"/>
          <w:sz w:val="24"/>
          <w:szCs w:val="24"/>
          <w:shd w:val="clear" w:color="auto" w:fill="FFFFFF"/>
          <w:lang w:val="en-US"/>
        </w:rPr>
        <w:t>restrict</w:t>
      </w:r>
      <w:r w:rsidR="00E94401">
        <w:rPr>
          <w:rFonts w:ascii="Times New Roman" w:hAnsi="Times New Roman" w:cs="Times New Roman"/>
          <w:color w:val="232323"/>
          <w:sz w:val="24"/>
          <w:szCs w:val="24"/>
          <w:shd w:val="clear" w:color="auto" w:fill="FFFFFF"/>
          <w:lang w:val="en-US"/>
        </w:rPr>
        <w:t>s the non-use</w:t>
      </w:r>
      <w:r w:rsidR="003C676A">
        <w:rPr>
          <w:rFonts w:ascii="Times New Roman" w:hAnsi="Times New Roman" w:cs="Times New Roman"/>
          <w:color w:val="232323"/>
          <w:sz w:val="24"/>
          <w:szCs w:val="24"/>
          <w:shd w:val="clear" w:color="auto" w:fill="FFFFFF"/>
          <w:lang w:val="en-US"/>
        </w:rPr>
        <w:t xml:space="preserve"> </w:t>
      </w:r>
      <w:r w:rsidR="00E94401">
        <w:rPr>
          <w:rFonts w:ascii="Times New Roman" w:hAnsi="Times New Roman" w:cs="Times New Roman"/>
          <w:color w:val="232323"/>
          <w:sz w:val="24"/>
          <w:szCs w:val="24"/>
          <w:shd w:val="clear" w:color="auto" w:fill="FFFFFF"/>
          <w:lang w:val="en-US"/>
        </w:rPr>
        <w:t>of</w:t>
      </w:r>
      <w:r w:rsidR="005604AA">
        <w:rPr>
          <w:rFonts w:ascii="Times New Roman" w:hAnsi="Times New Roman" w:cs="Times New Roman"/>
          <w:color w:val="232323"/>
          <w:sz w:val="24"/>
          <w:szCs w:val="24"/>
          <w:shd w:val="clear" w:color="auto" w:fill="FFFFFF"/>
          <w:lang w:val="en-US"/>
        </w:rPr>
        <w:t xml:space="preserve"> immunity</w:t>
      </w:r>
      <w:r w:rsidR="003C676A">
        <w:rPr>
          <w:rFonts w:ascii="Times New Roman" w:hAnsi="Times New Roman" w:cs="Times New Roman"/>
          <w:color w:val="232323"/>
          <w:sz w:val="24"/>
          <w:szCs w:val="24"/>
          <w:shd w:val="clear" w:color="auto" w:fill="FFFFFF"/>
          <w:lang w:val="en-US"/>
        </w:rPr>
        <w:t xml:space="preserve"> to </w:t>
      </w:r>
      <w:r w:rsidR="003C676A" w:rsidRPr="003C676A">
        <w:rPr>
          <w:rFonts w:ascii="Times New Roman" w:hAnsi="Times New Roman" w:cs="Times New Roman"/>
          <w:color w:val="232323"/>
          <w:sz w:val="24"/>
          <w:szCs w:val="24"/>
          <w:shd w:val="clear" w:color="auto" w:fill="FFFFFF"/>
          <w:lang w:val="en-US"/>
        </w:rPr>
        <w:t>circumstances</w:t>
      </w:r>
      <w:r w:rsidR="00A41FD7">
        <w:rPr>
          <w:rFonts w:ascii="Times New Roman" w:hAnsi="Times New Roman" w:cs="Times New Roman"/>
          <w:color w:val="232323"/>
          <w:sz w:val="24"/>
          <w:szCs w:val="24"/>
          <w:shd w:val="clear" w:color="auto" w:fill="FFFFFF"/>
          <w:lang w:val="en-US"/>
        </w:rPr>
        <w:t xml:space="preserve"> under </w:t>
      </w:r>
      <w:r w:rsidR="002A4B28">
        <w:rPr>
          <w:rFonts w:ascii="Times New Roman" w:hAnsi="Times New Roman" w:cs="Times New Roman"/>
          <w:color w:val="232323"/>
          <w:sz w:val="24"/>
          <w:szCs w:val="24"/>
          <w:shd w:val="clear" w:color="auto" w:fill="FFFFFF"/>
          <w:lang w:val="en-US"/>
        </w:rPr>
        <w:t xml:space="preserve">which </w:t>
      </w:r>
      <w:r w:rsidR="002A4B28" w:rsidRPr="002A4B28">
        <w:rPr>
          <w:rFonts w:ascii="Times New Roman" w:hAnsi="Times New Roman" w:cs="Times New Roman"/>
          <w:color w:val="232323"/>
          <w:sz w:val="24"/>
          <w:szCs w:val="24"/>
          <w:shd w:val="clear" w:color="auto" w:fill="FFFFFF"/>
          <w:lang w:val="en-US"/>
        </w:rPr>
        <w:t>collaboration</w:t>
      </w:r>
      <w:r w:rsidR="002A4B28">
        <w:rPr>
          <w:rFonts w:ascii="Times New Roman" w:hAnsi="Times New Roman" w:cs="Times New Roman"/>
          <w:color w:val="232323"/>
          <w:sz w:val="24"/>
          <w:szCs w:val="24"/>
          <w:shd w:val="clear" w:color="auto" w:fill="FFFFFF"/>
          <w:lang w:val="en-US"/>
        </w:rPr>
        <w:t xml:space="preserve"> is required with the International Criminal Court.</w:t>
      </w:r>
      <w:r w:rsidR="002744B8">
        <w:rPr>
          <w:rStyle w:val="Znakapoznpodarou"/>
          <w:rFonts w:ascii="Times New Roman" w:hAnsi="Times New Roman" w:cs="Times New Roman"/>
          <w:color w:val="232323"/>
          <w:sz w:val="24"/>
          <w:szCs w:val="24"/>
          <w:shd w:val="clear" w:color="auto" w:fill="FFFFFF"/>
          <w:lang w:val="en-US"/>
        </w:rPr>
        <w:footnoteReference w:id="156"/>
      </w:r>
    </w:p>
    <w:p w14:paraId="7D112910" w14:textId="21CAB76C" w:rsidR="00AE6E88" w:rsidRPr="002A31DC" w:rsidRDefault="00454EE3" w:rsidP="002A31DC">
      <w:pPr>
        <w:spacing w:before="240" w:after="240" w:line="360" w:lineRule="auto"/>
        <w:ind w:left="170" w:right="113"/>
        <w:jc w:val="both"/>
        <w:rPr>
          <w:rFonts w:ascii="Times New Roman" w:hAnsi="Times New Roman" w:cs="Times New Roman"/>
          <w:color w:val="232323"/>
          <w:sz w:val="24"/>
          <w:szCs w:val="24"/>
          <w:shd w:val="clear" w:color="auto" w:fill="FFFFFF"/>
          <w:lang w:val="en-US"/>
        </w:rPr>
      </w:pPr>
      <w:r>
        <w:rPr>
          <w:rFonts w:ascii="Times New Roman" w:hAnsi="Times New Roman" w:cs="Times New Roman"/>
          <w:color w:val="232323"/>
          <w:sz w:val="24"/>
          <w:szCs w:val="24"/>
          <w:shd w:val="clear" w:color="auto" w:fill="FFFFFF"/>
          <w:lang w:val="en-US"/>
        </w:rPr>
        <w:t>With regards to</w:t>
      </w:r>
      <w:r w:rsidR="00991087">
        <w:rPr>
          <w:rFonts w:ascii="Times New Roman" w:hAnsi="Times New Roman" w:cs="Times New Roman"/>
          <w:color w:val="232323"/>
          <w:sz w:val="24"/>
          <w:szCs w:val="24"/>
          <w:shd w:val="clear" w:color="auto" w:fill="FFFFFF"/>
          <w:lang w:val="en-US"/>
        </w:rPr>
        <w:t xml:space="preserve"> </w:t>
      </w:r>
      <w:r>
        <w:rPr>
          <w:rFonts w:ascii="Times New Roman" w:hAnsi="Times New Roman" w:cs="Times New Roman"/>
          <w:color w:val="232323"/>
          <w:sz w:val="24"/>
          <w:szCs w:val="24"/>
          <w:shd w:val="clear" w:color="auto" w:fill="FFFFFF"/>
          <w:lang w:val="en-US"/>
        </w:rPr>
        <w:t xml:space="preserve">international crimes, the report </w:t>
      </w:r>
      <w:r w:rsidR="00991087" w:rsidRPr="00991087">
        <w:rPr>
          <w:rFonts w:ascii="Times New Roman" w:hAnsi="Times New Roman" w:cs="Times New Roman"/>
          <w:color w:val="232323"/>
          <w:sz w:val="24"/>
          <w:szCs w:val="24"/>
          <w:shd w:val="clear" w:color="auto" w:fill="FFFFFF"/>
          <w:lang w:val="en-US"/>
        </w:rPr>
        <w:t>makes mention of</w:t>
      </w:r>
      <w:r w:rsidR="00991087">
        <w:rPr>
          <w:rFonts w:ascii="Times New Roman" w:hAnsi="Times New Roman" w:cs="Times New Roman"/>
          <w:color w:val="232323"/>
          <w:sz w:val="24"/>
          <w:szCs w:val="24"/>
          <w:shd w:val="clear" w:color="auto" w:fill="FFFFFF"/>
          <w:lang w:val="en-US"/>
        </w:rPr>
        <w:t xml:space="preserve"> </w:t>
      </w:r>
      <w:r w:rsidR="004732E7">
        <w:rPr>
          <w:rFonts w:ascii="Times New Roman" w:hAnsi="Times New Roman" w:cs="Times New Roman"/>
          <w:color w:val="232323"/>
          <w:sz w:val="24"/>
          <w:szCs w:val="24"/>
          <w:shd w:val="clear" w:color="auto" w:fill="FFFFFF"/>
          <w:lang w:val="en-US"/>
        </w:rPr>
        <w:t>the case against Ex Parte Pinochet in UK</w:t>
      </w:r>
      <w:r w:rsidR="007C7FC2">
        <w:rPr>
          <w:rFonts w:ascii="Times New Roman" w:hAnsi="Times New Roman" w:cs="Times New Roman"/>
          <w:color w:val="232323"/>
          <w:sz w:val="24"/>
          <w:szCs w:val="24"/>
          <w:shd w:val="clear" w:color="auto" w:fill="FFFFFF"/>
          <w:lang w:val="en-US"/>
        </w:rPr>
        <w:t xml:space="preserve"> as example of practice by States</w:t>
      </w:r>
      <w:r w:rsidR="004732E7">
        <w:rPr>
          <w:rFonts w:ascii="Times New Roman" w:hAnsi="Times New Roman" w:cs="Times New Roman"/>
          <w:color w:val="232323"/>
          <w:sz w:val="24"/>
          <w:szCs w:val="24"/>
          <w:shd w:val="clear" w:color="auto" w:fill="FFFFFF"/>
          <w:lang w:val="en-US"/>
        </w:rPr>
        <w:t>.</w:t>
      </w:r>
      <w:r w:rsidR="004732E7">
        <w:rPr>
          <w:rStyle w:val="Znakapoznpodarou"/>
          <w:rFonts w:ascii="Times New Roman" w:hAnsi="Times New Roman" w:cs="Times New Roman"/>
          <w:color w:val="232323"/>
          <w:sz w:val="24"/>
          <w:szCs w:val="24"/>
          <w:shd w:val="clear" w:color="auto" w:fill="FFFFFF"/>
          <w:lang w:val="en-US"/>
        </w:rPr>
        <w:footnoteReference w:id="157"/>
      </w:r>
      <w:r w:rsidR="00AB15E3">
        <w:rPr>
          <w:rFonts w:ascii="Times New Roman" w:hAnsi="Times New Roman" w:cs="Times New Roman"/>
          <w:color w:val="232323"/>
          <w:sz w:val="24"/>
          <w:szCs w:val="24"/>
          <w:shd w:val="clear" w:color="auto" w:fill="FFFFFF"/>
          <w:lang w:val="en-US"/>
        </w:rPr>
        <w:t xml:space="preserve"> M</w:t>
      </w:r>
      <w:r w:rsidR="00AB15E3" w:rsidRPr="00AB15E3">
        <w:rPr>
          <w:rFonts w:ascii="Times New Roman" w:hAnsi="Times New Roman" w:cs="Times New Roman"/>
          <w:color w:val="232323"/>
          <w:sz w:val="24"/>
          <w:szCs w:val="24"/>
          <w:shd w:val="clear" w:color="auto" w:fill="FFFFFF"/>
          <w:lang w:val="en-US"/>
        </w:rPr>
        <w:t>oreover</w:t>
      </w:r>
      <w:r w:rsidR="00AB15E3">
        <w:rPr>
          <w:rFonts w:ascii="Times New Roman" w:hAnsi="Times New Roman" w:cs="Times New Roman"/>
          <w:color w:val="232323"/>
          <w:sz w:val="24"/>
          <w:szCs w:val="24"/>
          <w:shd w:val="clear" w:color="auto" w:fill="FFFFFF"/>
          <w:lang w:val="en-US"/>
        </w:rPr>
        <w:t>, the report</w:t>
      </w:r>
      <w:r w:rsidR="00123F6E">
        <w:rPr>
          <w:rFonts w:ascii="Times New Roman" w:hAnsi="Times New Roman" w:cs="Times New Roman"/>
          <w:color w:val="232323"/>
          <w:sz w:val="24"/>
          <w:szCs w:val="24"/>
          <w:shd w:val="clear" w:color="auto" w:fill="FFFFFF"/>
          <w:lang w:val="en-US"/>
        </w:rPr>
        <w:t xml:space="preserve"> pointed out </w:t>
      </w:r>
      <w:r w:rsidR="00CF1CE4">
        <w:rPr>
          <w:rFonts w:ascii="Times New Roman" w:hAnsi="Times New Roman" w:cs="Times New Roman"/>
          <w:color w:val="232323"/>
          <w:sz w:val="24"/>
          <w:szCs w:val="24"/>
          <w:shd w:val="clear" w:color="auto" w:fill="FFFFFF"/>
          <w:lang w:val="en-US"/>
        </w:rPr>
        <w:t>the decisions of international tribunals comprising the ICJ.</w:t>
      </w:r>
      <w:r w:rsidR="004A6974">
        <w:rPr>
          <w:rFonts w:ascii="Times New Roman" w:hAnsi="Times New Roman" w:cs="Times New Roman"/>
          <w:color w:val="232323"/>
          <w:sz w:val="24"/>
          <w:szCs w:val="24"/>
          <w:shd w:val="clear" w:color="auto" w:fill="FFFFFF"/>
          <w:lang w:val="en-US"/>
        </w:rPr>
        <w:t xml:space="preserve"> It offers a very long </w:t>
      </w:r>
      <w:r w:rsidR="004A6974" w:rsidRPr="004A6974">
        <w:rPr>
          <w:rFonts w:ascii="Times New Roman" w:hAnsi="Times New Roman" w:cs="Times New Roman"/>
          <w:color w:val="232323"/>
          <w:sz w:val="24"/>
          <w:szCs w:val="24"/>
          <w:shd w:val="clear" w:color="auto" w:fill="FFFFFF"/>
          <w:lang w:val="en-US"/>
        </w:rPr>
        <w:t>examination</w:t>
      </w:r>
      <w:r w:rsidR="004A6974">
        <w:rPr>
          <w:rFonts w:ascii="Times New Roman" w:hAnsi="Times New Roman" w:cs="Times New Roman"/>
          <w:color w:val="232323"/>
          <w:sz w:val="24"/>
          <w:szCs w:val="24"/>
          <w:shd w:val="clear" w:color="auto" w:fill="FFFFFF"/>
          <w:lang w:val="en-US"/>
        </w:rPr>
        <w:t xml:space="preserve"> </w:t>
      </w:r>
      <w:r w:rsidR="006953F3">
        <w:rPr>
          <w:rFonts w:ascii="Times New Roman" w:hAnsi="Times New Roman" w:cs="Times New Roman"/>
          <w:color w:val="232323"/>
          <w:sz w:val="24"/>
          <w:szCs w:val="24"/>
          <w:shd w:val="clear" w:color="auto" w:fill="FFFFFF"/>
          <w:lang w:val="en-US"/>
        </w:rPr>
        <w:t>about the Arrest Warrant case.</w:t>
      </w:r>
      <w:r w:rsidR="00433623">
        <w:rPr>
          <w:rStyle w:val="Znakapoznpodarou"/>
          <w:rFonts w:ascii="Times New Roman" w:hAnsi="Times New Roman" w:cs="Times New Roman"/>
          <w:color w:val="232323"/>
          <w:sz w:val="24"/>
          <w:szCs w:val="24"/>
          <w:shd w:val="clear" w:color="auto" w:fill="FFFFFF"/>
          <w:lang w:val="en-US"/>
        </w:rPr>
        <w:footnoteReference w:id="158"/>
      </w:r>
      <w:r w:rsidR="008040D8">
        <w:rPr>
          <w:rFonts w:ascii="Times New Roman" w:hAnsi="Times New Roman" w:cs="Times New Roman"/>
          <w:color w:val="232323"/>
          <w:sz w:val="24"/>
          <w:szCs w:val="24"/>
          <w:shd w:val="clear" w:color="auto" w:fill="FFFFFF"/>
          <w:lang w:val="en-US"/>
        </w:rPr>
        <w:t xml:space="preserve"> It is </w:t>
      </w:r>
      <w:r w:rsidR="008040D8" w:rsidRPr="008040D8">
        <w:rPr>
          <w:rFonts w:ascii="Times New Roman" w:hAnsi="Times New Roman" w:cs="Times New Roman"/>
          <w:color w:val="232323"/>
          <w:sz w:val="24"/>
          <w:szCs w:val="24"/>
          <w:shd w:val="clear" w:color="auto" w:fill="FFFFFF"/>
          <w:lang w:val="en-US"/>
        </w:rPr>
        <w:t>understandable</w:t>
      </w:r>
      <w:r w:rsidR="008040D8">
        <w:rPr>
          <w:rFonts w:ascii="Times New Roman" w:hAnsi="Times New Roman" w:cs="Times New Roman"/>
          <w:color w:val="232323"/>
          <w:sz w:val="24"/>
          <w:szCs w:val="24"/>
          <w:shd w:val="clear" w:color="auto" w:fill="FFFFFF"/>
          <w:lang w:val="en-US"/>
        </w:rPr>
        <w:t xml:space="preserve"> according to the examination of the different decisions </w:t>
      </w:r>
      <w:r w:rsidR="004C3181">
        <w:rPr>
          <w:rFonts w:ascii="Times New Roman" w:hAnsi="Times New Roman" w:cs="Times New Roman"/>
          <w:color w:val="232323"/>
          <w:sz w:val="24"/>
          <w:szCs w:val="24"/>
          <w:shd w:val="clear" w:color="auto" w:fill="FFFFFF"/>
          <w:lang w:val="en-US"/>
        </w:rPr>
        <w:t>mentioned in the report that jurisprudence offers</w:t>
      </w:r>
      <w:r w:rsidR="00AB3298">
        <w:rPr>
          <w:rFonts w:ascii="Times New Roman" w:hAnsi="Times New Roman" w:cs="Times New Roman"/>
          <w:color w:val="232323"/>
          <w:sz w:val="24"/>
          <w:szCs w:val="24"/>
          <w:shd w:val="clear" w:color="auto" w:fill="FFFFFF"/>
          <w:lang w:val="en-US"/>
        </w:rPr>
        <w:t xml:space="preserve"> only </w:t>
      </w:r>
      <w:r w:rsidR="00096C44">
        <w:rPr>
          <w:rFonts w:ascii="Times New Roman" w:hAnsi="Times New Roman" w:cs="Times New Roman"/>
          <w:color w:val="232323"/>
          <w:sz w:val="24"/>
          <w:szCs w:val="24"/>
          <w:shd w:val="clear" w:color="auto" w:fill="FFFFFF"/>
          <w:lang w:val="en-US"/>
        </w:rPr>
        <w:t xml:space="preserve">a small </w:t>
      </w:r>
      <w:r w:rsidR="00096C44" w:rsidRPr="00096C44">
        <w:rPr>
          <w:rFonts w:ascii="Times New Roman" w:hAnsi="Times New Roman" w:cs="Times New Roman"/>
          <w:color w:val="232323"/>
          <w:sz w:val="24"/>
          <w:szCs w:val="24"/>
          <w:shd w:val="clear" w:color="auto" w:fill="FFFFFF"/>
          <w:lang w:val="en-US"/>
        </w:rPr>
        <w:t>assistance</w:t>
      </w:r>
      <w:r w:rsidR="00096C44">
        <w:rPr>
          <w:rFonts w:ascii="Times New Roman" w:hAnsi="Times New Roman" w:cs="Times New Roman"/>
          <w:color w:val="232323"/>
          <w:sz w:val="24"/>
          <w:szCs w:val="24"/>
          <w:shd w:val="clear" w:color="auto" w:fill="FFFFFF"/>
          <w:lang w:val="en-US"/>
        </w:rPr>
        <w:t xml:space="preserve"> </w:t>
      </w:r>
      <w:r w:rsidR="00424F82">
        <w:rPr>
          <w:rFonts w:ascii="Times New Roman" w:hAnsi="Times New Roman" w:cs="Times New Roman"/>
          <w:color w:val="232323"/>
          <w:sz w:val="24"/>
          <w:szCs w:val="24"/>
          <w:shd w:val="clear" w:color="auto" w:fill="FFFFFF"/>
          <w:lang w:val="en-US"/>
        </w:rPr>
        <w:t xml:space="preserve">to immunity </w:t>
      </w:r>
      <w:r w:rsidR="00424F82">
        <w:rPr>
          <w:rFonts w:ascii="Times New Roman" w:hAnsi="Times New Roman" w:cs="Times New Roman"/>
          <w:color w:val="232323"/>
          <w:sz w:val="24"/>
          <w:szCs w:val="24"/>
          <w:shd w:val="clear" w:color="auto" w:fill="FFFFFF"/>
          <w:lang w:val="en-US"/>
        </w:rPr>
        <w:lastRenderedPageBreak/>
        <w:t>exceptions</w:t>
      </w:r>
      <w:r w:rsidR="0000052B">
        <w:rPr>
          <w:rFonts w:ascii="Times New Roman" w:hAnsi="Times New Roman" w:cs="Times New Roman"/>
          <w:color w:val="232323"/>
          <w:sz w:val="24"/>
          <w:szCs w:val="24"/>
          <w:shd w:val="clear" w:color="auto" w:fill="FFFFFF"/>
          <w:lang w:val="en-US"/>
        </w:rPr>
        <w:t xml:space="preserve"> trend.</w:t>
      </w:r>
      <w:r w:rsidR="00CC6B9E">
        <w:rPr>
          <w:rFonts w:ascii="Times New Roman" w:hAnsi="Times New Roman" w:cs="Times New Roman"/>
          <w:color w:val="232323"/>
          <w:sz w:val="24"/>
          <w:szCs w:val="24"/>
          <w:shd w:val="clear" w:color="auto" w:fill="FFFFFF"/>
          <w:lang w:val="en-US"/>
        </w:rPr>
        <w:t xml:space="preserve"> I</w:t>
      </w:r>
      <w:r w:rsidR="00CC6B9E" w:rsidRPr="00CC6B9E">
        <w:rPr>
          <w:rFonts w:ascii="Times New Roman" w:hAnsi="Times New Roman" w:cs="Times New Roman"/>
          <w:color w:val="232323"/>
          <w:sz w:val="24"/>
          <w:szCs w:val="24"/>
          <w:shd w:val="clear" w:color="auto" w:fill="FFFFFF"/>
          <w:lang w:val="en-US"/>
        </w:rPr>
        <w:t>dentical</w:t>
      </w:r>
      <w:r w:rsidR="00CC6B9E">
        <w:rPr>
          <w:rFonts w:ascii="Times New Roman" w:hAnsi="Times New Roman" w:cs="Times New Roman"/>
          <w:color w:val="232323"/>
          <w:sz w:val="24"/>
          <w:szCs w:val="24"/>
          <w:shd w:val="clear" w:color="auto" w:fill="FFFFFF"/>
          <w:lang w:val="en-US"/>
        </w:rPr>
        <w:t xml:space="preserve"> </w:t>
      </w:r>
      <w:r w:rsidR="00CC6B9E" w:rsidRPr="00CC6B9E">
        <w:rPr>
          <w:rFonts w:ascii="Times New Roman" w:hAnsi="Times New Roman" w:cs="Times New Roman"/>
          <w:color w:val="232323"/>
          <w:sz w:val="24"/>
          <w:szCs w:val="24"/>
          <w:shd w:val="clear" w:color="auto" w:fill="FFFFFF"/>
          <w:lang w:val="en-US"/>
        </w:rPr>
        <w:t>deduction</w:t>
      </w:r>
      <w:r w:rsidR="00454002">
        <w:rPr>
          <w:rFonts w:ascii="Times New Roman" w:hAnsi="Times New Roman" w:cs="Times New Roman"/>
          <w:color w:val="232323"/>
          <w:sz w:val="24"/>
          <w:szCs w:val="24"/>
          <w:shd w:val="clear" w:color="auto" w:fill="FFFFFF"/>
          <w:lang w:val="en-US"/>
        </w:rPr>
        <w:t xml:space="preserve"> </w:t>
      </w:r>
      <w:r w:rsidR="00454002" w:rsidRPr="00454002">
        <w:rPr>
          <w:rFonts w:ascii="Times New Roman" w:hAnsi="Times New Roman" w:cs="Times New Roman"/>
          <w:color w:val="232323"/>
          <w:sz w:val="24"/>
          <w:szCs w:val="24"/>
          <w:shd w:val="clear" w:color="auto" w:fill="FFFFFF"/>
          <w:lang w:val="en-US"/>
        </w:rPr>
        <w:t>appears</w:t>
      </w:r>
      <w:r w:rsidR="00454002">
        <w:rPr>
          <w:rFonts w:ascii="Times New Roman" w:hAnsi="Times New Roman" w:cs="Times New Roman"/>
          <w:color w:val="232323"/>
          <w:sz w:val="24"/>
          <w:szCs w:val="24"/>
          <w:shd w:val="clear" w:color="auto" w:fill="FFFFFF"/>
          <w:lang w:val="en-US"/>
        </w:rPr>
        <w:t xml:space="preserve"> from the report about judgments of the European Court of Human Right</w:t>
      </w:r>
      <w:r w:rsidR="00394206">
        <w:rPr>
          <w:rFonts w:ascii="Times New Roman" w:hAnsi="Times New Roman" w:cs="Times New Roman"/>
          <w:color w:val="232323"/>
          <w:sz w:val="24"/>
          <w:szCs w:val="24"/>
          <w:shd w:val="clear" w:color="auto" w:fill="FFFFFF"/>
          <w:lang w:val="en-US"/>
        </w:rPr>
        <w:t>s.</w:t>
      </w:r>
    </w:p>
    <w:p w14:paraId="1AECE9DA" w14:textId="5DC61929" w:rsidR="00894C72" w:rsidRPr="00966571" w:rsidRDefault="00EC5950" w:rsidP="00966571">
      <w:pPr>
        <w:pStyle w:val="Nadpis1"/>
        <w:spacing w:after="240"/>
        <w:ind w:left="170" w:right="113"/>
        <w:rPr>
          <w:rFonts w:ascii="Times New Roman" w:hAnsi="Times New Roman" w:cs="Times New Roman"/>
          <w:b/>
          <w:bCs/>
          <w:color w:val="auto"/>
        </w:rPr>
      </w:pPr>
      <w:bookmarkStart w:id="64" w:name="_Toc109340808"/>
      <w:r>
        <w:rPr>
          <w:rFonts w:ascii="Times New Roman" w:hAnsi="Times New Roman" w:cs="Times New Roman"/>
          <w:b/>
          <w:bCs/>
          <w:color w:val="auto"/>
        </w:rPr>
        <w:t xml:space="preserve">5.2 </w:t>
      </w:r>
      <w:r w:rsidR="002A31DC">
        <w:rPr>
          <w:rFonts w:ascii="Times New Roman" w:hAnsi="Times New Roman" w:cs="Times New Roman"/>
          <w:b/>
          <w:bCs/>
          <w:color w:val="auto"/>
        </w:rPr>
        <w:t>Exceptions and Limitations to Immunity Ratione Materiae</w:t>
      </w:r>
      <w:r w:rsidR="00767E88">
        <w:rPr>
          <w:rFonts w:ascii="Times New Roman" w:hAnsi="Times New Roman" w:cs="Times New Roman"/>
          <w:b/>
          <w:bCs/>
          <w:color w:val="auto"/>
        </w:rPr>
        <w:t xml:space="preserve"> still cannot establish</w:t>
      </w:r>
      <w:r w:rsidR="00B63104">
        <w:rPr>
          <w:rFonts w:ascii="Times New Roman" w:hAnsi="Times New Roman" w:cs="Times New Roman"/>
          <w:b/>
          <w:bCs/>
          <w:color w:val="auto"/>
        </w:rPr>
        <w:t xml:space="preserve"> </w:t>
      </w:r>
      <w:r w:rsidR="00767E88">
        <w:rPr>
          <w:rFonts w:ascii="Times New Roman" w:hAnsi="Times New Roman" w:cs="Times New Roman"/>
          <w:b/>
          <w:bCs/>
          <w:color w:val="auto"/>
        </w:rPr>
        <w:t>International</w:t>
      </w:r>
      <w:r w:rsidR="00B63104">
        <w:rPr>
          <w:rFonts w:ascii="Times New Roman" w:hAnsi="Times New Roman" w:cs="Times New Roman"/>
          <w:b/>
          <w:bCs/>
          <w:color w:val="auto"/>
        </w:rPr>
        <w:t xml:space="preserve"> Customary</w:t>
      </w:r>
      <w:r w:rsidR="00767E88">
        <w:rPr>
          <w:rFonts w:ascii="Times New Roman" w:hAnsi="Times New Roman" w:cs="Times New Roman"/>
          <w:b/>
          <w:bCs/>
          <w:color w:val="auto"/>
        </w:rPr>
        <w:t xml:space="preserve"> Law</w:t>
      </w:r>
      <w:bookmarkEnd w:id="64"/>
    </w:p>
    <w:p w14:paraId="1E2DEEA0" w14:textId="673A8F64" w:rsidR="0069294E" w:rsidRPr="003A0823" w:rsidRDefault="00085086" w:rsidP="00085086">
      <w:pPr>
        <w:spacing w:before="240" w:after="240" w:line="360" w:lineRule="auto"/>
        <w:ind w:left="170" w:right="113"/>
        <w:jc w:val="both"/>
        <w:rPr>
          <w:rFonts w:ascii="Times New Roman" w:hAnsi="Times New Roman" w:cs="Times New Roman"/>
          <w:sz w:val="24"/>
          <w:szCs w:val="24"/>
          <w:lang w:val="en-US"/>
        </w:rPr>
      </w:pPr>
      <w:r w:rsidRPr="003A0823">
        <w:rPr>
          <w:rFonts w:ascii="Times New Roman" w:hAnsi="Times New Roman" w:cs="Times New Roman"/>
          <w:sz w:val="24"/>
          <w:szCs w:val="24"/>
          <w:lang w:val="en-US"/>
        </w:rPr>
        <w:t>The International Court of Justice</w:t>
      </w:r>
      <w:r w:rsidR="006C3275" w:rsidRPr="003A0823">
        <w:rPr>
          <w:rFonts w:ascii="Times New Roman" w:hAnsi="Times New Roman" w:cs="Times New Roman"/>
          <w:sz w:val="24"/>
          <w:szCs w:val="24"/>
          <w:lang w:val="en-US"/>
        </w:rPr>
        <w:t xml:space="preserve"> </w:t>
      </w:r>
      <w:r w:rsidR="00F745DD" w:rsidRPr="003A0823">
        <w:rPr>
          <w:rFonts w:ascii="Times New Roman" w:hAnsi="Times New Roman" w:cs="Times New Roman"/>
          <w:sz w:val="24"/>
          <w:szCs w:val="24"/>
          <w:lang w:val="en-US"/>
        </w:rPr>
        <w:t>in</w:t>
      </w:r>
      <w:r w:rsidR="00EC1AE6" w:rsidRPr="003A0823">
        <w:rPr>
          <w:rFonts w:ascii="Times New Roman" w:hAnsi="Times New Roman" w:cs="Times New Roman"/>
          <w:sz w:val="24"/>
          <w:szCs w:val="24"/>
          <w:lang w:val="en-US"/>
        </w:rPr>
        <w:t xml:space="preserve"> the Republic of Nicaragua v. the United States of America case</w:t>
      </w:r>
      <w:r w:rsidR="006C3275" w:rsidRPr="003A0823">
        <w:rPr>
          <w:rFonts w:ascii="Times New Roman" w:hAnsi="Times New Roman" w:cs="Times New Roman"/>
          <w:sz w:val="24"/>
          <w:szCs w:val="24"/>
          <w:lang w:val="en-US"/>
        </w:rPr>
        <w:t xml:space="preserve"> declared</w:t>
      </w:r>
      <w:r w:rsidR="00EC1AE6" w:rsidRPr="003A0823">
        <w:rPr>
          <w:rFonts w:ascii="Times New Roman" w:hAnsi="Times New Roman" w:cs="Times New Roman"/>
          <w:sz w:val="24"/>
          <w:szCs w:val="24"/>
          <w:lang w:val="en-US"/>
        </w:rPr>
        <w:t xml:space="preserve"> that</w:t>
      </w:r>
      <w:r w:rsidR="003A0823" w:rsidRPr="003A0823">
        <w:rPr>
          <w:rFonts w:ascii="Times New Roman" w:hAnsi="Times New Roman" w:cs="Times New Roman"/>
          <w:sz w:val="24"/>
          <w:szCs w:val="24"/>
          <w:lang w:val="en-US"/>
        </w:rPr>
        <w:t xml:space="preserve"> </w:t>
      </w:r>
      <w:r w:rsidR="003A0823" w:rsidRPr="003A0823">
        <w:rPr>
          <w:rFonts w:ascii="Times New Roman" w:hAnsi="Times New Roman" w:cs="Times New Roman"/>
          <w:sz w:val="24"/>
          <w:szCs w:val="24"/>
        </w:rPr>
        <w:t>two fundamental elements: objective State practice, and State’s subjective belief that their behaviour is obligatory under international law, an element known as opinion juris</w:t>
      </w:r>
      <w:r w:rsidR="003A0823">
        <w:rPr>
          <w:rFonts w:ascii="Times New Roman" w:hAnsi="Times New Roman" w:cs="Times New Roman"/>
          <w:sz w:val="24"/>
          <w:szCs w:val="24"/>
        </w:rPr>
        <w:t>,</w:t>
      </w:r>
      <w:r w:rsidR="003A0823">
        <w:rPr>
          <w:rFonts w:ascii="Times New Roman" w:hAnsi="Times New Roman" w:cs="Times New Roman"/>
          <w:sz w:val="24"/>
          <w:szCs w:val="24"/>
          <w:lang w:val="en-US"/>
        </w:rPr>
        <w:t xml:space="preserve"> </w:t>
      </w:r>
      <w:r w:rsidR="007B261E" w:rsidRPr="003A0823">
        <w:rPr>
          <w:rFonts w:ascii="Times New Roman" w:hAnsi="Times New Roman" w:cs="Times New Roman"/>
          <w:sz w:val="24"/>
          <w:szCs w:val="24"/>
          <w:lang w:val="en-US"/>
        </w:rPr>
        <w:t>are needed to</w:t>
      </w:r>
      <w:r w:rsidR="006C3275" w:rsidRPr="003A0823">
        <w:rPr>
          <w:rFonts w:ascii="Times New Roman" w:hAnsi="Times New Roman" w:cs="Times New Roman"/>
          <w:sz w:val="24"/>
          <w:szCs w:val="24"/>
          <w:lang w:val="en-US"/>
        </w:rPr>
        <w:t xml:space="preserve"> creat</w:t>
      </w:r>
      <w:r w:rsidR="003A0823">
        <w:rPr>
          <w:rFonts w:ascii="Times New Roman" w:hAnsi="Times New Roman" w:cs="Times New Roman"/>
          <w:sz w:val="24"/>
          <w:szCs w:val="24"/>
          <w:lang w:val="en-US"/>
        </w:rPr>
        <w:t xml:space="preserve">e </w:t>
      </w:r>
      <w:r w:rsidR="006C3275" w:rsidRPr="003A0823">
        <w:rPr>
          <w:rFonts w:ascii="Times New Roman" w:hAnsi="Times New Roman" w:cs="Times New Roman"/>
          <w:sz w:val="24"/>
          <w:szCs w:val="24"/>
          <w:lang w:val="en-US"/>
        </w:rPr>
        <w:t>international</w:t>
      </w:r>
      <w:r w:rsidR="00CE2BDB" w:rsidRPr="003A0823">
        <w:rPr>
          <w:rFonts w:ascii="Times New Roman" w:hAnsi="Times New Roman" w:cs="Times New Roman"/>
          <w:sz w:val="24"/>
          <w:szCs w:val="24"/>
          <w:lang w:val="en-US"/>
        </w:rPr>
        <w:t xml:space="preserve"> </w:t>
      </w:r>
      <w:r w:rsidR="00CE2BDB" w:rsidRPr="003A0823">
        <w:rPr>
          <w:rFonts w:ascii="Times New Roman" w:hAnsi="Times New Roman" w:cs="Times New Roman"/>
          <w:sz w:val="24"/>
          <w:szCs w:val="24"/>
          <w:shd w:val="clear" w:color="auto" w:fill="FFFFFF"/>
        </w:rPr>
        <w:t>customary</w:t>
      </w:r>
      <w:r w:rsidR="006C3275" w:rsidRPr="003A0823">
        <w:rPr>
          <w:rFonts w:ascii="Times New Roman" w:hAnsi="Times New Roman" w:cs="Times New Roman"/>
          <w:sz w:val="24"/>
          <w:szCs w:val="24"/>
          <w:lang w:val="en-US"/>
        </w:rPr>
        <w:t xml:space="preserve"> law</w:t>
      </w:r>
      <w:r w:rsidR="003A0823">
        <w:rPr>
          <w:rFonts w:ascii="Times New Roman" w:hAnsi="Times New Roman" w:cs="Times New Roman"/>
          <w:sz w:val="24"/>
          <w:szCs w:val="24"/>
          <w:lang w:val="en-US"/>
        </w:rPr>
        <w:t>.</w:t>
      </w:r>
      <w:r w:rsidR="008C64D2">
        <w:rPr>
          <w:rStyle w:val="Znakapoznpodarou"/>
          <w:rFonts w:ascii="Times New Roman" w:hAnsi="Times New Roman" w:cs="Times New Roman"/>
          <w:sz w:val="24"/>
          <w:szCs w:val="24"/>
          <w:lang w:val="en-US"/>
        </w:rPr>
        <w:footnoteReference w:id="159"/>
      </w:r>
      <w:r w:rsidR="00631DF1">
        <w:rPr>
          <w:rFonts w:ascii="Times New Roman" w:hAnsi="Times New Roman" w:cs="Times New Roman"/>
          <w:sz w:val="24"/>
          <w:szCs w:val="24"/>
          <w:lang w:val="en-US"/>
        </w:rPr>
        <w:t xml:space="preserve"> The </w:t>
      </w:r>
      <w:r w:rsidR="00631DF1" w:rsidRPr="00631DF1">
        <w:rPr>
          <w:rFonts w:ascii="Times New Roman" w:hAnsi="Times New Roman" w:cs="Times New Roman"/>
          <w:sz w:val="24"/>
          <w:szCs w:val="24"/>
          <w:lang w:val="en-US"/>
        </w:rPr>
        <w:t>reality</w:t>
      </w:r>
      <w:r w:rsidR="00631DF1">
        <w:rPr>
          <w:rFonts w:ascii="Times New Roman" w:hAnsi="Times New Roman" w:cs="Times New Roman"/>
          <w:sz w:val="24"/>
          <w:szCs w:val="24"/>
          <w:lang w:val="en-US"/>
        </w:rPr>
        <w:t xml:space="preserve"> of State practices with regards to immunity exceptions</w:t>
      </w:r>
      <w:r w:rsidR="002C14FE">
        <w:rPr>
          <w:rFonts w:ascii="Times New Roman" w:hAnsi="Times New Roman" w:cs="Times New Roman"/>
          <w:sz w:val="24"/>
          <w:szCs w:val="24"/>
          <w:lang w:val="en-US"/>
        </w:rPr>
        <w:t xml:space="preserve"> needs to </w:t>
      </w:r>
      <w:r w:rsidR="00A66574">
        <w:rPr>
          <w:rFonts w:ascii="Times New Roman" w:hAnsi="Times New Roman" w:cs="Times New Roman"/>
          <w:sz w:val="24"/>
          <w:szCs w:val="24"/>
          <w:lang w:val="en-US"/>
        </w:rPr>
        <w:t>fulfill</w:t>
      </w:r>
      <w:r w:rsidR="002C14FE">
        <w:rPr>
          <w:rFonts w:ascii="Times New Roman" w:hAnsi="Times New Roman" w:cs="Times New Roman"/>
          <w:sz w:val="24"/>
          <w:szCs w:val="24"/>
          <w:lang w:val="en-US"/>
        </w:rPr>
        <w:t xml:space="preserve"> the conditions of </w:t>
      </w:r>
      <w:r w:rsidR="00A66574" w:rsidRPr="00A66574">
        <w:rPr>
          <w:rFonts w:ascii="Times New Roman" w:hAnsi="Times New Roman" w:cs="Times New Roman"/>
          <w:sz w:val="24"/>
          <w:szCs w:val="24"/>
          <w:lang w:val="en-US"/>
        </w:rPr>
        <w:t>continuance</w:t>
      </w:r>
      <w:r w:rsidR="00A66574">
        <w:rPr>
          <w:rFonts w:ascii="Times New Roman" w:hAnsi="Times New Roman" w:cs="Times New Roman"/>
          <w:sz w:val="24"/>
          <w:szCs w:val="24"/>
          <w:lang w:val="en-US"/>
        </w:rPr>
        <w:t xml:space="preserve">, </w:t>
      </w:r>
      <w:r w:rsidR="00537F57" w:rsidRPr="00A66574">
        <w:rPr>
          <w:rFonts w:ascii="Times New Roman" w:hAnsi="Times New Roman" w:cs="Times New Roman"/>
          <w:sz w:val="24"/>
          <w:szCs w:val="24"/>
          <w:lang w:val="en-US"/>
        </w:rPr>
        <w:t>accuracy,</w:t>
      </w:r>
      <w:r w:rsidR="00A66574">
        <w:rPr>
          <w:rFonts w:ascii="Times New Roman" w:hAnsi="Times New Roman" w:cs="Times New Roman"/>
          <w:sz w:val="24"/>
          <w:szCs w:val="24"/>
          <w:lang w:val="en-US"/>
        </w:rPr>
        <w:t xml:space="preserve"> and </w:t>
      </w:r>
      <w:r w:rsidR="00A66574" w:rsidRPr="00A66574">
        <w:rPr>
          <w:rFonts w:ascii="Times New Roman" w:hAnsi="Times New Roman" w:cs="Times New Roman"/>
          <w:sz w:val="24"/>
          <w:szCs w:val="24"/>
          <w:lang w:val="en-US"/>
        </w:rPr>
        <w:t>generalization</w:t>
      </w:r>
      <w:r w:rsidR="00537F57">
        <w:rPr>
          <w:rFonts w:ascii="Times New Roman" w:hAnsi="Times New Roman" w:cs="Times New Roman"/>
          <w:sz w:val="24"/>
          <w:szCs w:val="24"/>
          <w:lang w:val="en-US"/>
        </w:rPr>
        <w:t>.</w:t>
      </w:r>
      <w:r w:rsidR="00711DDA">
        <w:rPr>
          <w:rFonts w:ascii="Times New Roman" w:hAnsi="Times New Roman" w:cs="Times New Roman"/>
          <w:sz w:val="24"/>
          <w:szCs w:val="24"/>
          <w:lang w:val="en-US"/>
        </w:rPr>
        <w:t xml:space="preserve"> While looking at different practices from national and international</w:t>
      </w:r>
      <w:r w:rsidR="00341EC8">
        <w:rPr>
          <w:rFonts w:ascii="Times New Roman" w:hAnsi="Times New Roman" w:cs="Times New Roman"/>
          <w:sz w:val="24"/>
          <w:szCs w:val="24"/>
          <w:lang w:val="en-US"/>
        </w:rPr>
        <w:t xml:space="preserve"> side, it is possible to clearly see that immunity of public agents</w:t>
      </w:r>
      <w:r w:rsidR="00E728A3">
        <w:rPr>
          <w:rFonts w:ascii="Times New Roman" w:hAnsi="Times New Roman" w:cs="Times New Roman"/>
          <w:sz w:val="24"/>
          <w:szCs w:val="24"/>
          <w:lang w:val="en-US"/>
        </w:rPr>
        <w:t xml:space="preserve"> from </w:t>
      </w:r>
      <w:r w:rsidR="001F5A28">
        <w:rPr>
          <w:rFonts w:ascii="Times New Roman" w:hAnsi="Times New Roman" w:cs="Times New Roman"/>
          <w:sz w:val="24"/>
          <w:szCs w:val="24"/>
          <w:lang w:val="en-US"/>
        </w:rPr>
        <w:t xml:space="preserve">external </w:t>
      </w:r>
      <w:r w:rsidR="00E728A3">
        <w:rPr>
          <w:rFonts w:ascii="Times New Roman" w:hAnsi="Times New Roman" w:cs="Times New Roman"/>
          <w:sz w:val="24"/>
          <w:szCs w:val="24"/>
          <w:lang w:val="en-US"/>
        </w:rPr>
        <w:t>criminal</w:t>
      </w:r>
      <w:r w:rsidR="001F5A28" w:rsidRPr="001F5A28">
        <w:t xml:space="preserve"> </w:t>
      </w:r>
      <w:r w:rsidR="001F5A28" w:rsidRPr="001F5A28">
        <w:rPr>
          <w:rFonts w:ascii="Times New Roman" w:hAnsi="Times New Roman" w:cs="Times New Roman"/>
          <w:sz w:val="24"/>
          <w:szCs w:val="24"/>
          <w:lang w:val="en-US"/>
        </w:rPr>
        <w:t>judicature</w:t>
      </w:r>
      <w:r w:rsidR="00E728A3">
        <w:rPr>
          <w:rFonts w:ascii="Times New Roman" w:hAnsi="Times New Roman" w:cs="Times New Roman"/>
          <w:sz w:val="24"/>
          <w:szCs w:val="24"/>
          <w:lang w:val="en-US"/>
        </w:rPr>
        <w:t>,</w:t>
      </w:r>
      <w:r w:rsidR="00341EC8">
        <w:rPr>
          <w:rFonts w:ascii="Times New Roman" w:hAnsi="Times New Roman" w:cs="Times New Roman"/>
          <w:sz w:val="24"/>
          <w:szCs w:val="24"/>
          <w:lang w:val="en-US"/>
        </w:rPr>
        <w:t xml:space="preserve"> </w:t>
      </w:r>
      <w:r w:rsidR="00E728A3">
        <w:rPr>
          <w:rFonts w:ascii="Times New Roman" w:hAnsi="Times New Roman" w:cs="Times New Roman"/>
          <w:sz w:val="24"/>
          <w:szCs w:val="24"/>
          <w:lang w:val="en-US"/>
        </w:rPr>
        <w:t>is a rule of international customary law.</w:t>
      </w:r>
      <w:r w:rsidR="00627892">
        <w:rPr>
          <w:rFonts w:ascii="Times New Roman" w:hAnsi="Times New Roman" w:cs="Times New Roman"/>
          <w:sz w:val="24"/>
          <w:szCs w:val="24"/>
          <w:lang w:val="en-US"/>
        </w:rPr>
        <w:t xml:space="preserve"> </w:t>
      </w:r>
      <w:r w:rsidR="00627892" w:rsidRPr="00627892">
        <w:rPr>
          <w:rFonts w:ascii="Times New Roman" w:hAnsi="Times New Roman" w:cs="Times New Roman"/>
          <w:sz w:val="24"/>
          <w:szCs w:val="24"/>
          <w:lang w:val="en-US"/>
        </w:rPr>
        <w:t>Nevertheless</w:t>
      </w:r>
      <w:r w:rsidR="00627892">
        <w:rPr>
          <w:rFonts w:ascii="Times New Roman" w:hAnsi="Times New Roman" w:cs="Times New Roman"/>
          <w:sz w:val="24"/>
          <w:szCs w:val="24"/>
          <w:lang w:val="en-US"/>
        </w:rPr>
        <w:t>, concerning the exceptions and limitations to immunity of public agents from external criminal</w:t>
      </w:r>
      <w:r w:rsidR="00627892" w:rsidRPr="001F5A28">
        <w:t xml:space="preserve"> </w:t>
      </w:r>
      <w:r w:rsidR="00627892" w:rsidRPr="001F5A28">
        <w:rPr>
          <w:rFonts w:ascii="Times New Roman" w:hAnsi="Times New Roman" w:cs="Times New Roman"/>
          <w:sz w:val="24"/>
          <w:szCs w:val="24"/>
          <w:lang w:val="en-US"/>
        </w:rPr>
        <w:t>judicature</w:t>
      </w:r>
      <w:r w:rsidR="00627892">
        <w:rPr>
          <w:rFonts w:ascii="Times New Roman" w:hAnsi="Times New Roman" w:cs="Times New Roman"/>
          <w:sz w:val="24"/>
          <w:szCs w:val="24"/>
          <w:lang w:val="en-US"/>
        </w:rPr>
        <w:t xml:space="preserve">, the practice is </w:t>
      </w:r>
      <w:r w:rsidR="00964489">
        <w:rPr>
          <w:rFonts w:ascii="Times New Roman" w:hAnsi="Times New Roman" w:cs="Times New Roman"/>
          <w:sz w:val="24"/>
          <w:szCs w:val="24"/>
          <w:lang w:val="en-US"/>
        </w:rPr>
        <w:t>different from one State to another one and that</w:t>
      </w:r>
      <w:r w:rsidR="00A156FC">
        <w:rPr>
          <w:rFonts w:ascii="Times New Roman" w:hAnsi="Times New Roman" w:cs="Times New Roman"/>
          <w:sz w:val="24"/>
          <w:szCs w:val="24"/>
          <w:lang w:val="en-US"/>
        </w:rPr>
        <w:t xml:space="preserve"> </w:t>
      </w:r>
      <w:r w:rsidR="00964489">
        <w:rPr>
          <w:rFonts w:ascii="Times New Roman" w:hAnsi="Times New Roman" w:cs="Times New Roman"/>
          <w:sz w:val="24"/>
          <w:szCs w:val="24"/>
          <w:lang w:val="en-US"/>
        </w:rPr>
        <w:t>fact</w:t>
      </w:r>
      <w:r w:rsidR="00A156FC">
        <w:rPr>
          <w:rFonts w:ascii="Times New Roman" w:hAnsi="Times New Roman" w:cs="Times New Roman"/>
          <w:sz w:val="24"/>
          <w:szCs w:val="24"/>
          <w:lang w:val="en-US"/>
        </w:rPr>
        <w:t xml:space="preserve"> </w:t>
      </w:r>
      <w:r w:rsidR="00964489">
        <w:rPr>
          <w:rFonts w:ascii="Times New Roman" w:hAnsi="Times New Roman" w:cs="Times New Roman"/>
          <w:sz w:val="24"/>
          <w:szCs w:val="24"/>
          <w:lang w:val="en-US"/>
        </w:rPr>
        <w:t>is</w:t>
      </w:r>
      <w:r w:rsidR="00A156FC">
        <w:rPr>
          <w:rFonts w:ascii="Times New Roman" w:hAnsi="Times New Roman" w:cs="Times New Roman"/>
          <w:sz w:val="24"/>
          <w:szCs w:val="24"/>
          <w:lang w:val="en-US"/>
        </w:rPr>
        <w:t xml:space="preserve"> </w:t>
      </w:r>
      <w:r w:rsidR="00A156FC" w:rsidRPr="00A156FC">
        <w:rPr>
          <w:rFonts w:ascii="Times New Roman" w:hAnsi="Times New Roman" w:cs="Times New Roman"/>
          <w:sz w:val="24"/>
          <w:szCs w:val="24"/>
          <w:lang w:val="en-US"/>
        </w:rPr>
        <w:t>inadequate</w:t>
      </w:r>
      <w:r w:rsidR="00A156FC">
        <w:rPr>
          <w:rFonts w:ascii="Times New Roman" w:hAnsi="Times New Roman" w:cs="Times New Roman"/>
          <w:sz w:val="24"/>
          <w:szCs w:val="24"/>
          <w:lang w:val="en-US"/>
        </w:rPr>
        <w:t xml:space="preserve"> to </w:t>
      </w:r>
      <w:r w:rsidR="00A156FC" w:rsidRPr="00A156FC">
        <w:rPr>
          <w:rFonts w:ascii="Times New Roman" w:hAnsi="Times New Roman" w:cs="Times New Roman"/>
          <w:sz w:val="24"/>
          <w:szCs w:val="24"/>
          <w:lang w:val="en-US"/>
        </w:rPr>
        <w:t>establish</w:t>
      </w:r>
      <w:r w:rsidR="00A156FC">
        <w:rPr>
          <w:rFonts w:ascii="Times New Roman" w:hAnsi="Times New Roman" w:cs="Times New Roman"/>
          <w:sz w:val="24"/>
          <w:szCs w:val="24"/>
          <w:lang w:val="en-US"/>
        </w:rPr>
        <w:t xml:space="preserve"> a rule of international customary law.</w:t>
      </w:r>
    </w:p>
    <w:p w14:paraId="0345434C" w14:textId="77777777" w:rsidR="00B63104" w:rsidRPr="00B63104" w:rsidRDefault="00B63104" w:rsidP="00085086">
      <w:pPr>
        <w:spacing w:before="240" w:after="240" w:line="360" w:lineRule="auto"/>
        <w:ind w:left="170" w:right="113"/>
        <w:jc w:val="both"/>
        <w:rPr>
          <w:rFonts w:ascii="Times New Roman" w:hAnsi="Times New Roman" w:cs="Times New Roman"/>
          <w:sz w:val="24"/>
          <w:szCs w:val="24"/>
          <w:lang w:val="en-US"/>
        </w:rPr>
      </w:pPr>
    </w:p>
    <w:bookmarkEnd w:id="62"/>
    <w:p w14:paraId="4E43FF8E" w14:textId="59141DF6" w:rsidR="006967A7" w:rsidRDefault="006967A7" w:rsidP="00FB04C2">
      <w:pPr>
        <w:spacing w:before="240" w:after="240" w:line="360" w:lineRule="auto"/>
        <w:ind w:right="113"/>
        <w:jc w:val="both"/>
        <w:rPr>
          <w:rFonts w:ascii="Times New Roman" w:hAnsi="Times New Roman" w:cs="Times New Roman"/>
          <w:sz w:val="24"/>
          <w:szCs w:val="24"/>
        </w:rPr>
      </w:pPr>
    </w:p>
    <w:p w14:paraId="0C1B5703" w14:textId="716E7E29" w:rsidR="006967A7" w:rsidRDefault="006967A7" w:rsidP="00966571">
      <w:pPr>
        <w:spacing w:before="240" w:after="240" w:line="360" w:lineRule="auto"/>
        <w:ind w:left="170" w:right="113"/>
        <w:jc w:val="both"/>
        <w:rPr>
          <w:rFonts w:ascii="Times New Roman" w:hAnsi="Times New Roman" w:cs="Times New Roman"/>
          <w:sz w:val="24"/>
          <w:szCs w:val="24"/>
        </w:rPr>
      </w:pPr>
    </w:p>
    <w:p w14:paraId="36EAD598" w14:textId="6A10F4DE" w:rsidR="00085086" w:rsidRDefault="00085086" w:rsidP="00966571">
      <w:pPr>
        <w:spacing w:before="240" w:after="240" w:line="360" w:lineRule="auto"/>
        <w:ind w:left="170" w:right="113"/>
        <w:jc w:val="both"/>
        <w:rPr>
          <w:rFonts w:ascii="Times New Roman" w:hAnsi="Times New Roman" w:cs="Times New Roman"/>
          <w:sz w:val="24"/>
          <w:szCs w:val="24"/>
        </w:rPr>
      </w:pPr>
    </w:p>
    <w:p w14:paraId="278EE1E2" w14:textId="32D6F500" w:rsidR="00085086" w:rsidRDefault="00085086" w:rsidP="00966571">
      <w:pPr>
        <w:spacing w:before="240" w:after="240" w:line="360" w:lineRule="auto"/>
        <w:ind w:left="170" w:right="113"/>
        <w:jc w:val="both"/>
        <w:rPr>
          <w:rFonts w:ascii="Times New Roman" w:hAnsi="Times New Roman" w:cs="Times New Roman"/>
          <w:sz w:val="24"/>
          <w:szCs w:val="24"/>
        </w:rPr>
      </w:pPr>
    </w:p>
    <w:p w14:paraId="5ABC5BA9" w14:textId="4AD69D26" w:rsidR="00085086" w:rsidRDefault="00085086" w:rsidP="00501AED">
      <w:pPr>
        <w:spacing w:before="240" w:after="240" w:line="360" w:lineRule="auto"/>
        <w:ind w:right="113"/>
        <w:jc w:val="both"/>
        <w:rPr>
          <w:rFonts w:ascii="Times New Roman" w:hAnsi="Times New Roman" w:cs="Times New Roman"/>
          <w:sz w:val="24"/>
          <w:szCs w:val="24"/>
        </w:rPr>
      </w:pPr>
    </w:p>
    <w:p w14:paraId="265799D1" w14:textId="1C7A2362" w:rsidR="00501AED" w:rsidRDefault="00501AED" w:rsidP="00501AED">
      <w:pPr>
        <w:spacing w:before="240" w:after="240" w:line="360" w:lineRule="auto"/>
        <w:ind w:right="113"/>
        <w:jc w:val="both"/>
        <w:rPr>
          <w:rFonts w:ascii="Times New Roman" w:hAnsi="Times New Roman" w:cs="Times New Roman"/>
          <w:sz w:val="24"/>
          <w:szCs w:val="24"/>
        </w:rPr>
      </w:pPr>
    </w:p>
    <w:p w14:paraId="00392674" w14:textId="77777777" w:rsidR="00BE0AAC" w:rsidRDefault="00BE0AAC" w:rsidP="00501AED">
      <w:pPr>
        <w:spacing w:before="240" w:after="240" w:line="360" w:lineRule="auto"/>
        <w:ind w:right="113"/>
        <w:jc w:val="both"/>
        <w:rPr>
          <w:rFonts w:ascii="Times New Roman" w:hAnsi="Times New Roman" w:cs="Times New Roman"/>
          <w:sz w:val="24"/>
          <w:szCs w:val="24"/>
        </w:rPr>
      </w:pPr>
    </w:p>
    <w:p w14:paraId="1B5131BD" w14:textId="2AA7BA9F" w:rsidR="0069294E" w:rsidRPr="00966571" w:rsidRDefault="00966571" w:rsidP="00966571">
      <w:pPr>
        <w:pStyle w:val="Nadpis1"/>
        <w:jc w:val="both"/>
        <w:rPr>
          <w:rFonts w:ascii="Times New Roman" w:hAnsi="Times New Roman" w:cs="Times New Roman"/>
          <w:b/>
          <w:bCs/>
          <w:color w:val="auto"/>
        </w:rPr>
      </w:pPr>
      <w:bookmarkStart w:id="66" w:name="_Toc109340809"/>
      <w:r w:rsidRPr="004949F4">
        <w:rPr>
          <w:rFonts w:ascii="Times New Roman" w:hAnsi="Times New Roman" w:cs="Times New Roman"/>
          <w:b/>
          <w:bCs/>
          <w:color w:val="000000" w:themeColor="text1"/>
        </w:rPr>
        <w:lastRenderedPageBreak/>
        <w:t>6. Conclusion</w:t>
      </w:r>
      <w:bookmarkEnd w:id="66"/>
    </w:p>
    <w:p w14:paraId="0103D497" w14:textId="7D0BBEAE" w:rsidR="00B1386B" w:rsidRPr="00DF1F13" w:rsidRDefault="004D53B9"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The fundamental goals of those parties that redacted the Rome Statute were "that the most serious crimes of concern to the international community as a whole must not go unpunished" and "to put an end to impunity for the perpetrators of these crimes."</w:t>
      </w:r>
      <w:r w:rsidRPr="00DF1F13">
        <w:rPr>
          <w:rStyle w:val="Znakapoznpodarou"/>
          <w:rFonts w:ascii="Times New Roman" w:hAnsi="Times New Roman" w:cs="Times New Roman"/>
          <w:sz w:val="24"/>
          <w:szCs w:val="24"/>
          <w:lang w:val="en-US"/>
        </w:rPr>
        <w:footnoteReference w:id="160"/>
      </w:r>
      <w:r w:rsidR="005E2B24" w:rsidRPr="00DF1F13">
        <w:rPr>
          <w:rFonts w:ascii="Times New Roman" w:hAnsi="Times New Roman" w:cs="Times New Roman"/>
          <w:sz w:val="24"/>
          <w:szCs w:val="24"/>
          <w:lang w:val="en-US"/>
        </w:rPr>
        <w:t xml:space="preserve"> These aims can be achieved merely insofar as</w:t>
      </w:r>
      <w:r w:rsidR="00C81713" w:rsidRPr="00DF1F13">
        <w:rPr>
          <w:rFonts w:ascii="Times New Roman" w:hAnsi="Times New Roman" w:cs="Times New Roman"/>
          <w:sz w:val="24"/>
          <w:szCs w:val="24"/>
          <w:lang w:val="en-US"/>
        </w:rPr>
        <w:t xml:space="preserve"> </w:t>
      </w:r>
      <w:r w:rsidR="005E2B24" w:rsidRPr="00DF1F13">
        <w:rPr>
          <w:rFonts w:ascii="Times New Roman" w:hAnsi="Times New Roman" w:cs="Times New Roman"/>
          <w:sz w:val="24"/>
          <w:szCs w:val="24"/>
          <w:lang w:val="en-US"/>
        </w:rPr>
        <w:t>there is an endeavor to conduct to justice those individuals who intended and perpetrated such crimes</w:t>
      </w:r>
      <w:r w:rsidR="00665DDD" w:rsidRPr="00DF1F13">
        <w:rPr>
          <w:rFonts w:ascii="Times New Roman" w:hAnsi="Times New Roman" w:cs="Times New Roman"/>
          <w:sz w:val="24"/>
          <w:szCs w:val="24"/>
          <w:lang w:val="en-US"/>
        </w:rPr>
        <w:t>. As story shows that international crimes are frequently done by public officials, therefore a plan of indictment until the summit can lead to prosecute high</w:t>
      </w:r>
      <w:r w:rsidR="00411C20" w:rsidRPr="00DF1F13">
        <w:rPr>
          <w:rFonts w:ascii="Times New Roman" w:hAnsi="Times New Roman" w:cs="Times New Roman"/>
          <w:sz w:val="24"/>
          <w:szCs w:val="24"/>
          <w:lang w:val="en-US"/>
        </w:rPr>
        <w:t>-</w:t>
      </w:r>
      <w:r w:rsidR="00665DDD" w:rsidRPr="00DF1F13">
        <w:rPr>
          <w:rFonts w:ascii="Times New Roman" w:hAnsi="Times New Roman" w:cs="Times New Roman"/>
          <w:sz w:val="24"/>
          <w:szCs w:val="24"/>
          <w:lang w:val="en-US"/>
        </w:rPr>
        <w:t>ranking state officials.</w:t>
      </w:r>
      <w:r w:rsidR="007D7E80" w:rsidRPr="00DF1F13">
        <w:rPr>
          <w:rFonts w:ascii="Times New Roman" w:hAnsi="Times New Roman" w:cs="Times New Roman"/>
          <w:sz w:val="24"/>
          <w:szCs w:val="24"/>
          <w:lang w:val="en-US"/>
        </w:rPr>
        <w:t xml:space="preserve"> </w:t>
      </w:r>
      <w:r w:rsidR="00E15969" w:rsidRPr="00DF1F13">
        <w:rPr>
          <w:rFonts w:ascii="Times New Roman" w:hAnsi="Times New Roman" w:cs="Times New Roman"/>
          <w:sz w:val="24"/>
          <w:szCs w:val="24"/>
          <w:lang w:val="en-US"/>
        </w:rPr>
        <w:t>Likely</w:t>
      </w:r>
      <w:r w:rsidR="007D7E80" w:rsidRPr="00DF1F13">
        <w:rPr>
          <w:rFonts w:ascii="Times New Roman" w:hAnsi="Times New Roman" w:cs="Times New Roman"/>
          <w:sz w:val="24"/>
          <w:szCs w:val="24"/>
          <w:lang w:val="en-US"/>
        </w:rPr>
        <w:t xml:space="preserve">, the </w:t>
      </w:r>
      <w:r w:rsidR="00875FD6">
        <w:rPr>
          <w:rFonts w:ascii="Times New Roman" w:hAnsi="Times New Roman" w:cs="Times New Roman"/>
          <w:sz w:val="24"/>
          <w:szCs w:val="24"/>
          <w:lang w:val="en-US"/>
        </w:rPr>
        <w:t>C</w:t>
      </w:r>
      <w:r w:rsidR="007D7E80" w:rsidRPr="00DF1F13">
        <w:rPr>
          <w:rFonts w:ascii="Times New Roman" w:hAnsi="Times New Roman" w:cs="Times New Roman"/>
          <w:sz w:val="24"/>
          <w:szCs w:val="24"/>
          <w:lang w:val="en-US"/>
        </w:rPr>
        <w:t>ourt will rely on the cooperation of states to ensure the detention of those accused of serious crimes, so</w:t>
      </w:r>
      <w:r w:rsidR="00B31655">
        <w:rPr>
          <w:rFonts w:ascii="Times New Roman" w:hAnsi="Times New Roman" w:cs="Times New Roman"/>
          <w:sz w:val="24"/>
          <w:szCs w:val="24"/>
          <w:lang w:val="en-US"/>
        </w:rPr>
        <w:t xml:space="preserve"> </w:t>
      </w:r>
      <w:r w:rsidR="007D7E80" w:rsidRPr="00DF1F13">
        <w:rPr>
          <w:rFonts w:ascii="Times New Roman" w:hAnsi="Times New Roman" w:cs="Times New Roman"/>
          <w:sz w:val="24"/>
          <w:szCs w:val="24"/>
          <w:lang w:val="en-US"/>
        </w:rPr>
        <w:t>the issue of the immunity of public agents from arrest and surrender is probably to be central in the tasks of the Court.</w:t>
      </w:r>
    </w:p>
    <w:p w14:paraId="1443D623" w14:textId="453A57B3" w:rsidR="00064AA3" w:rsidRPr="00DF1F13" w:rsidRDefault="00B1386B"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While applying to criminal matter pretending the perpetration of international crimes, the international law provisions regarding immunity should make a just balance, </w:t>
      </w:r>
      <w:r w:rsidR="009D14B3">
        <w:rPr>
          <w:rFonts w:ascii="Times New Roman" w:hAnsi="Times New Roman" w:cs="Times New Roman"/>
          <w:sz w:val="24"/>
          <w:szCs w:val="24"/>
          <w:lang w:val="en-US"/>
        </w:rPr>
        <w:t>between the</w:t>
      </w:r>
      <w:r w:rsidRPr="00DF1F13">
        <w:rPr>
          <w:rFonts w:ascii="Times New Roman" w:hAnsi="Times New Roman" w:cs="Times New Roman"/>
          <w:sz w:val="24"/>
          <w:szCs w:val="24"/>
          <w:lang w:val="en-US"/>
        </w:rPr>
        <w:t xml:space="preserve"> necessity to make sure that there is no excessive intrusion in the running of any states and the necessity to make sure that perpetrators of international crimes are penalized.</w:t>
      </w:r>
      <w:r w:rsidR="00064AA3" w:rsidRPr="00DF1F13">
        <w:rPr>
          <w:rFonts w:ascii="Times New Roman" w:hAnsi="Times New Roman" w:cs="Times New Roman"/>
          <w:sz w:val="24"/>
          <w:szCs w:val="24"/>
          <w:lang w:val="en-US"/>
        </w:rPr>
        <w:t xml:space="preserve"> Therefore, high </w:t>
      </w:r>
      <w:r w:rsidR="00411C20" w:rsidRPr="00DF1F13">
        <w:rPr>
          <w:rFonts w:ascii="Times New Roman" w:hAnsi="Times New Roman" w:cs="Times New Roman"/>
          <w:sz w:val="24"/>
          <w:szCs w:val="24"/>
          <w:lang w:val="en-US"/>
        </w:rPr>
        <w:t>-</w:t>
      </w:r>
      <w:r w:rsidR="00064AA3" w:rsidRPr="00DF1F13">
        <w:rPr>
          <w:rFonts w:ascii="Times New Roman" w:hAnsi="Times New Roman" w:cs="Times New Roman"/>
          <w:sz w:val="24"/>
          <w:szCs w:val="24"/>
          <w:lang w:val="en-US"/>
        </w:rPr>
        <w:t>ranking public agents, like serving diplomats and other representative agents on special mission, have the right to immunity and cannot be apprehended or prosecuted while in function or when they work within the scope of the mission.</w:t>
      </w:r>
    </w:p>
    <w:p w14:paraId="079F631A" w14:textId="5EB03931" w:rsidR="00A81968" w:rsidRPr="00DF1F13" w:rsidRDefault="00F740F6"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Nevertheless, the situation is dissimilar for other public agents like former civil servants (regardless of the grade they</w:t>
      </w:r>
      <w:r w:rsidRPr="00DF1F13">
        <w:rPr>
          <w:lang w:val="en-US"/>
        </w:rPr>
        <w:t xml:space="preserve"> </w:t>
      </w:r>
      <w:r w:rsidRPr="00DF1F13">
        <w:rPr>
          <w:rFonts w:ascii="Times New Roman" w:hAnsi="Times New Roman" w:cs="Times New Roman"/>
          <w:sz w:val="24"/>
          <w:szCs w:val="24"/>
          <w:lang w:val="en-US"/>
        </w:rPr>
        <w:t>occupied).</w:t>
      </w:r>
      <w:r w:rsidR="00B058C6" w:rsidRPr="00DF1F13">
        <w:rPr>
          <w:rFonts w:ascii="Times New Roman" w:hAnsi="Times New Roman" w:cs="Times New Roman"/>
          <w:sz w:val="24"/>
          <w:szCs w:val="24"/>
          <w:lang w:val="en-US"/>
        </w:rPr>
        <w:t xml:space="preserve"> The evolution of the provision of universal jurisdiction shows that all states have the right to prosecute individuals in their territory that are charged of having perpetrated some international crimes, regardless of their nationality or the location where such crime was perpetrated.</w:t>
      </w:r>
      <w:r w:rsidR="00FF327C" w:rsidRPr="00DF1F13">
        <w:rPr>
          <w:rFonts w:ascii="Times New Roman" w:hAnsi="Times New Roman" w:cs="Times New Roman"/>
          <w:sz w:val="24"/>
          <w:szCs w:val="24"/>
          <w:lang w:val="en-US"/>
        </w:rPr>
        <w:t xml:space="preserve"> When this rule thinks over prosecution of public agents, those who are not granted immunity by reason of their actual position (immunity ratione personae) cannot invoke immunity ratione materiae in circumstances where universal jurisdiction is used.</w:t>
      </w:r>
      <w:r w:rsidR="00093D5C" w:rsidRPr="00DF1F13">
        <w:t xml:space="preserve"> </w:t>
      </w:r>
      <w:r w:rsidR="00093D5C" w:rsidRPr="00DF1F13">
        <w:rPr>
          <w:rFonts w:ascii="Times New Roman" w:hAnsi="Times New Roman" w:cs="Times New Roman"/>
          <w:sz w:val="24"/>
          <w:szCs w:val="24"/>
          <w:lang w:val="en-US"/>
        </w:rPr>
        <w:t>State parties to the Rome Statute went further on the evolution of customary international law.</w:t>
      </w:r>
      <w:r w:rsidR="00E770E0" w:rsidRPr="00DF1F13">
        <w:rPr>
          <w:rFonts w:ascii="Times New Roman" w:hAnsi="Times New Roman" w:cs="Times New Roman"/>
          <w:sz w:val="24"/>
          <w:szCs w:val="24"/>
          <w:lang w:val="en-US"/>
        </w:rPr>
        <w:t xml:space="preserve"> By opening the way for prospective indictment of all public agents by the court and by clearly suppressing the international law immunities of high-ranking agents, </w:t>
      </w:r>
      <w:r w:rsidR="0057515D" w:rsidRPr="00DF1F13">
        <w:rPr>
          <w:rFonts w:ascii="Times New Roman" w:hAnsi="Times New Roman" w:cs="Times New Roman"/>
          <w:sz w:val="24"/>
          <w:szCs w:val="24"/>
          <w:lang w:val="en-US"/>
        </w:rPr>
        <w:t xml:space="preserve">as well as heads of state (article 27), Rome Statute parties have accepted not just indictments by the </w:t>
      </w:r>
      <w:r w:rsidR="00780E07">
        <w:rPr>
          <w:rFonts w:ascii="Times New Roman" w:hAnsi="Times New Roman" w:cs="Times New Roman"/>
          <w:sz w:val="24"/>
          <w:szCs w:val="24"/>
          <w:lang w:val="en-US"/>
        </w:rPr>
        <w:t>C</w:t>
      </w:r>
      <w:r w:rsidR="0057515D" w:rsidRPr="00DF1F13">
        <w:rPr>
          <w:rFonts w:ascii="Times New Roman" w:hAnsi="Times New Roman" w:cs="Times New Roman"/>
          <w:sz w:val="24"/>
          <w:szCs w:val="24"/>
          <w:lang w:val="en-US"/>
        </w:rPr>
        <w:t>ourt, but equally the probability for high-ranking agents to be apprehended and handed over to the ICC by all states.</w:t>
      </w:r>
      <w:r w:rsidR="00DB5FFD" w:rsidRPr="00DF1F13">
        <w:rPr>
          <w:rFonts w:ascii="Times New Roman" w:hAnsi="Times New Roman" w:cs="Times New Roman"/>
          <w:sz w:val="24"/>
          <w:szCs w:val="24"/>
          <w:lang w:val="en-US"/>
        </w:rPr>
        <w:t xml:space="preserve"> </w:t>
      </w:r>
      <w:r w:rsidR="00DB5FFD" w:rsidRPr="00DF1F13">
        <w:rPr>
          <w:rFonts w:ascii="Times New Roman" w:hAnsi="Times New Roman" w:cs="Times New Roman"/>
          <w:sz w:val="24"/>
          <w:szCs w:val="24"/>
          <w:lang w:val="en-US"/>
        </w:rPr>
        <w:lastRenderedPageBreak/>
        <w:t>Such conclusion appears inevitable even with the provision of article 98 of the Statute. While it is difficult to reject the reasoning under which Article 98 conserves the international law immunities of agents from state parties to the statute while they are in nonparties states, such reading should be dismissed finally as it can make some section of article 27</w:t>
      </w:r>
      <w:r w:rsidR="00DB5FFD" w:rsidRPr="00DF1F13">
        <w:rPr>
          <w:lang w:val="en-US"/>
        </w:rPr>
        <w:t xml:space="preserve"> </w:t>
      </w:r>
      <w:r w:rsidR="00DB5FFD" w:rsidRPr="00DF1F13">
        <w:rPr>
          <w:rFonts w:ascii="Times New Roman" w:hAnsi="Times New Roman" w:cs="Times New Roman"/>
          <w:sz w:val="24"/>
          <w:szCs w:val="24"/>
          <w:lang w:val="en-US"/>
        </w:rPr>
        <w:t>inefficient.</w:t>
      </w:r>
      <w:r w:rsidR="0042776B" w:rsidRPr="00DF1F13">
        <w:rPr>
          <w:rFonts w:ascii="Times New Roman" w:hAnsi="Times New Roman" w:cs="Times New Roman"/>
          <w:sz w:val="24"/>
          <w:szCs w:val="24"/>
          <w:lang w:val="en-US"/>
        </w:rPr>
        <w:t xml:space="preserve"> The granting of an authority to states to apprehend a head of state who is a guest or serving diplomats, goes further, but this is a unique chance to bring such individuals to the ICC. </w:t>
      </w:r>
      <w:r w:rsidR="00A81968" w:rsidRPr="00DF1F13">
        <w:rPr>
          <w:rFonts w:ascii="Times New Roman" w:hAnsi="Times New Roman" w:cs="Times New Roman"/>
          <w:sz w:val="24"/>
          <w:szCs w:val="24"/>
          <w:lang w:val="en-US"/>
        </w:rPr>
        <w:t xml:space="preserve">Considering the parties resolution in accordance with the Rome Statute to conduct all authors of international crimes to the </w:t>
      </w:r>
      <w:r w:rsidR="00780E07">
        <w:rPr>
          <w:rFonts w:ascii="Times New Roman" w:hAnsi="Times New Roman" w:cs="Times New Roman"/>
          <w:sz w:val="24"/>
          <w:szCs w:val="24"/>
          <w:lang w:val="en-US"/>
        </w:rPr>
        <w:t>C</w:t>
      </w:r>
      <w:r w:rsidR="00A81968" w:rsidRPr="00DF1F13">
        <w:rPr>
          <w:rFonts w:ascii="Times New Roman" w:hAnsi="Times New Roman" w:cs="Times New Roman"/>
          <w:sz w:val="24"/>
          <w:szCs w:val="24"/>
          <w:lang w:val="en-US"/>
        </w:rPr>
        <w:t>ourt, the Statute should be interpreted in a manner that allows this possibility.</w:t>
      </w:r>
    </w:p>
    <w:p w14:paraId="64BEE176" w14:textId="241B347A" w:rsidR="00A01D73" w:rsidRPr="00DF1F13" w:rsidRDefault="003D5F73"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As state immunity comes from the independence and sovereign equality of States</w:t>
      </w:r>
      <w:r w:rsidRPr="00DF1F13">
        <w:rPr>
          <w:rStyle w:val="Znakapoznpodarou"/>
          <w:rFonts w:ascii="Times New Roman" w:hAnsi="Times New Roman" w:cs="Times New Roman"/>
          <w:sz w:val="24"/>
          <w:szCs w:val="24"/>
          <w:lang w:val="en-US"/>
        </w:rPr>
        <w:footnoteReference w:id="161"/>
      </w:r>
      <w:r w:rsidRPr="00DF1F13">
        <w:rPr>
          <w:rFonts w:ascii="Times New Roman" w:hAnsi="Times New Roman" w:cs="Times New Roman"/>
          <w:sz w:val="24"/>
          <w:szCs w:val="24"/>
          <w:lang w:val="en-US"/>
        </w:rPr>
        <w:t>,</w:t>
      </w:r>
      <w:r w:rsidR="00F50E47" w:rsidRPr="00DF1F13">
        <w:rPr>
          <w:rFonts w:ascii="Times New Roman" w:hAnsi="Times New Roman" w:cs="Times New Roman"/>
          <w:sz w:val="24"/>
          <w:szCs w:val="24"/>
          <w:lang w:val="en-US"/>
        </w:rPr>
        <w:t xml:space="preserve"> this concept should be put to the side when a State is acting in favor of an international court.</w:t>
      </w:r>
      <w:r w:rsidR="00A01D73" w:rsidRPr="00DF1F13">
        <w:rPr>
          <w:rFonts w:ascii="Times New Roman" w:hAnsi="Times New Roman" w:cs="Times New Roman"/>
          <w:sz w:val="24"/>
          <w:szCs w:val="24"/>
          <w:lang w:val="en-US"/>
        </w:rPr>
        <w:t xml:space="preserve"> In this context, the</w:t>
      </w:r>
      <w:r w:rsidR="00A01D73" w:rsidRPr="00DF1F13">
        <w:rPr>
          <w:lang w:val="en-US"/>
        </w:rPr>
        <w:t xml:space="preserve"> </w:t>
      </w:r>
      <w:r w:rsidR="00A01D73" w:rsidRPr="00DF1F13">
        <w:rPr>
          <w:rFonts w:ascii="Times New Roman" w:hAnsi="Times New Roman" w:cs="Times New Roman"/>
          <w:sz w:val="24"/>
          <w:szCs w:val="24"/>
          <w:lang w:val="en-US"/>
        </w:rPr>
        <w:t xml:space="preserve">proverb </w:t>
      </w:r>
      <w:r w:rsidR="00A01D73" w:rsidRPr="00DF1F13">
        <w:rPr>
          <w:rFonts w:ascii="Times New Roman" w:hAnsi="Times New Roman" w:cs="Times New Roman"/>
          <w:i/>
          <w:iCs/>
          <w:sz w:val="24"/>
          <w:szCs w:val="24"/>
          <w:lang w:val="en-US"/>
        </w:rPr>
        <w:t>par in parem non habet</w:t>
      </w:r>
      <w:r w:rsidR="00A01D73" w:rsidRPr="00DF1F13">
        <w:rPr>
          <w:rFonts w:ascii="Times New Roman" w:hAnsi="Times New Roman" w:cs="Times New Roman"/>
          <w:sz w:val="24"/>
          <w:szCs w:val="24"/>
          <w:lang w:val="en-US"/>
        </w:rPr>
        <w:t xml:space="preserve"> </w:t>
      </w:r>
      <w:r w:rsidR="00A01D73" w:rsidRPr="00DF1F13">
        <w:rPr>
          <w:rFonts w:ascii="Times New Roman" w:hAnsi="Times New Roman" w:cs="Times New Roman"/>
          <w:i/>
          <w:iCs/>
          <w:sz w:val="24"/>
          <w:szCs w:val="24"/>
          <w:lang w:val="en-US"/>
        </w:rPr>
        <w:t>imperium</w:t>
      </w:r>
      <w:r w:rsidR="00A01D73" w:rsidRPr="00DF1F13">
        <w:rPr>
          <w:rFonts w:ascii="Times New Roman" w:hAnsi="Times New Roman" w:cs="Times New Roman"/>
          <w:sz w:val="24"/>
          <w:szCs w:val="24"/>
          <w:lang w:val="en-US"/>
        </w:rPr>
        <w:t xml:space="preserve"> ("An equal has no power over an equal") is difficult to apply since it is the </w:t>
      </w:r>
      <w:r w:rsidR="00780E07">
        <w:rPr>
          <w:rFonts w:ascii="Times New Roman" w:hAnsi="Times New Roman" w:cs="Times New Roman"/>
          <w:sz w:val="24"/>
          <w:szCs w:val="24"/>
          <w:lang w:val="en-US"/>
        </w:rPr>
        <w:t>C</w:t>
      </w:r>
      <w:r w:rsidR="00A01D73" w:rsidRPr="00DF1F13">
        <w:rPr>
          <w:rFonts w:ascii="Times New Roman" w:hAnsi="Times New Roman" w:cs="Times New Roman"/>
          <w:sz w:val="24"/>
          <w:szCs w:val="24"/>
          <w:lang w:val="en-US"/>
        </w:rPr>
        <w:t xml:space="preserve">ourt and not a </w:t>
      </w:r>
      <w:r w:rsidR="00780E07">
        <w:rPr>
          <w:rFonts w:ascii="Times New Roman" w:hAnsi="Times New Roman" w:cs="Times New Roman"/>
          <w:sz w:val="24"/>
          <w:szCs w:val="24"/>
          <w:lang w:val="en-US"/>
        </w:rPr>
        <w:t>s</w:t>
      </w:r>
      <w:r w:rsidR="00A01D73" w:rsidRPr="00DF1F13">
        <w:rPr>
          <w:rFonts w:ascii="Times New Roman" w:hAnsi="Times New Roman" w:cs="Times New Roman"/>
          <w:sz w:val="24"/>
          <w:szCs w:val="24"/>
          <w:lang w:val="en-US"/>
        </w:rPr>
        <w:t>tate that is apprehending and which eventually tries to use power.</w:t>
      </w:r>
    </w:p>
    <w:p w14:paraId="39AABB4F" w14:textId="4A573C4E" w:rsidR="000202A1" w:rsidRPr="00DF1F13" w:rsidRDefault="00FB02DC"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Nonetheless, it should be noted that this removal of immunity vis-à-vis different states is considering once the </w:t>
      </w:r>
      <w:r w:rsidR="00780E07">
        <w:rPr>
          <w:rFonts w:ascii="Times New Roman" w:hAnsi="Times New Roman" w:cs="Times New Roman"/>
          <w:sz w:val="24"/>
          <w:szCs w:val="24"/>
          <w:lang w:val="en-US"/>
        </w:rPr>
        <w:t>C</w:t>
      </w:r>
      <w:r w:rsidRPr="00DF1F13">
        <w:rPr>
          <w:rFonts w:ascii="Times New Roman" w:hAnsi="Times New Roman" w:cs="Times New Roman"/>
          <w:sz w:val="24"/>
          <w:szCs w:val="24"/>
          <w:lang w:val="en-US"/>
        </w:rPr>
        <w:t>ourt demands for an apprehension and transfer, and this has no link with any internal prosecutions.</w:t>
      </w:r>
      <w:r w:rsidR="001F52A8" w:rsidRPr="00DF1F13">
        <w:rPr>
          <w:rFonts w:ascii="Times New Roman" w:hAnsi="Times New Roman" w:cs="Times New Roman"/>
          <w:sz w:val="24"/>
          <w:szCs w:val="24"/>
          <w:lang w:val="en-US"/>
        </w:rPr>
        <w:t xml:space="preserve"> It should also be noted that solely state parties to the Rome Statute have removed the immunities in accordance with international law (</w:t>
      </w:r>
      <w:r w:rsidR="001F52A8" w:rsidRPr="00DF1F13">
        <w:rPr>
          <w:rFonts w:ascii="Times New Roman" w:hAnsi="Times New Roman" w:cs="Times New Roman"/>
          <w:i/>
          <w:iCs/>
          <w:sz w:val="24"/>
          <w:szCs w:val="24"/>
          <w:lang w:val="en-US"/>
        </w:rPr>
        <w:t>ratione personae</w:t>
      </w:r>
      <w:r w:rsidR="001F52A8" w:rsidRPr="00DF1F13">
        <w:rPr>
          <w:rFonts w:ascii="Times New Roman" w:hAnsi="Times New Roman" w:cs="Times New Roman"/>
          <w:sz w:val="24"/>
          <w:szCs w:val="24"/>
          <w:lang w:val="en-US"/>
        </w:rPr>
        <w:t>) of their high-ranking public agents.</w:t>
      </w:r>
      <w:r w:rsidR="000202A1" w:rsidRPr="00DF1F13">
        <w:rPr>
          <w:rFonts w:ascii="Times New Roman" w:hAnsi="Times New Roman" w:cs="Times New Roman"/>
          <w:sz w:val="24"/>
          <w:szCs w:val="24"/>
          <w:lang w:val="en-US"/>
        </w:rPr>
        <w:t xml:space="preserve"> While the ICC can use</w:t>
      </w:r>
      <w:r w:rsidR="000202A1" w:rsidRPr="00DF1F13">
        <w:rPr>
          <w:lang w:val="en-US"/>
        </w:rPr>
        <w:t xml:space="preserve"> </w:t>
      </w:r>
      <w:r w:rsidR="000202A1" w:rsidRPr="00DF1F13">
        <w:rPr>
          <w:rFonts w:ascii="Times New Roman" w:hAnsi="Times New Roman" w:cs="Times New Roman"/>
          <w:sz w:val="24"/>
          <w:szCs w:val="24"/>
          <w:lang w:val="en-US"/>
        </w:rPr>
        <w:t>authority over citizens and agents of states that are non-parties,</w:t>
      </w:r>
      <w:r w:rsidR="000202A1" w:rsidRPr="00DF1F13">
        <w:rPr>
          <w:lang w:val="en-US"/>
        </w:rPr>
        <w:t xml:space="preserve"> </w:t>
      </w:r>
      <w:r w:rsidR="000202A1" w:rsidRPr="00DF1F13">
        <w:rPr>
          <w:rFonts w:ascii="Times New Roman" w:hAnsi="Times New Roman" w:cs="Times New Roman"/>
          <w:sz w:val="24"/>
          <w:szCs w:val="24"/>
          <w:lang w:val="en-US"/>
        </w:rPr>
        <w:t xml:space="preserve">nevertheless there is no provision in the Statute that should influence the immunities of agents of those non-parties. </w:t>
      </w:r>
    </w:p>
    <w:p w14:paraId="3025C2EB" w14:textId="471BE3B9" w:rsidR="00E75768" w:rsidRPr="00DF1F13" w:rsidRDefault="00E75768" w:rsidP="00966571">
      <w:pPr>
        <w:spacing w:line="360" w:lineRule="auto"/>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Consequently, the provision of article 98 of the Statute constitutes a message for the Court and the Rome Statute parties not to interfere with those agents of non-parties who normally enjoy immunity under international law.</w:t>
      </w:r>
    </w:p>
    <w:p w14:paraId="74A91BC3" w14:textId="33E9DE22" w:rsidR="006967A7" w:rsidRDefault="006967A7" w:rsidP="006967A7">
      <w:pPr>
        <w:rPr>
          <w:lang w:val="en-US" w:bidi="ar-SA"/>
        </w:rPr>
      </w:pPr>
    </w:p>
    <w:p w14:paraId="2DFB9B6A" w14:textId="15902D7E" w:rsidR="00DB03D1" w:rsidRDefault="00DB03D1" w:rsidP="006967A7">
      <w:pPr>
        <w:rPr>
          <w:lang w:val="en-US" w:bidi="ar-SA"/>
        </w:rPr>
      </w:pPr>
    </w:p>
    <w:p w14:paraId="572DF67D" w14:textId="195610B3" w:rsidR="00BE0AAC" w:rsidRDefault="00BE0AAC" w:rsidP="006967A7">
      <w:pPr>
        <w:rPr>
          <w:lang w:val="en-US" w:bidi="ar-SA"/>
        </w:rPr>
      </w:pPr>
    </w:p>
    <w:p w14:paraId="4099B635" w14:textId="47002819" w:rsidR="00BE0AAC" w:rsidRDefault="00BE0AAC" w:rsidP="006967A7">
      <w:pPr>
        <w:rPr>
          <w:lang w:val="en-US" w:bidi="ar-SA"/>
        </w:rPr>
      </w:pPr>
    </w:p>
    <w:p w14:paraId="6C0F27E3" w14:textId="77777777" w:rsidR="00BE0AAC" w:rsidRPr="006967A7" w:rsidRDefault="00BE0AAC" w:rsidP="006967A7">
      <w:pPr>
        <w:rPr>
          <w:lang w:val="en-US" w:bidi="ar-SA"/>
        </w:rPr>
      </w:pPr>
    </w:p>
    <w:p w14:paraId="4A7E1AD0" w14:textId="10A68D6D" w:rsidR="00CE7AD5" w:rsidRPr="009A53AF" w:rsidRDefault="00CE7AD5" w:rsidP="001C0C5A">
      <w:pPr>
        <w:pStyle w:val="Nadpis1"/>
        <w:spacing w:after="240"/>
        <w:ind w:right="113"/>
        <w:rPr>
          <w:rFonts w:ascii="Times New Roman" w:hAnsi="Times New Roman" w:cs="Times New Roman"/>
          <w:b/>
          <w:bCs/>
          <w:color w:val="auto"/>
        </w:rPr>
      </w:pPr>
      <w:bookmarkStart w:id="68" w:name="_Toc109340810"/>
      <w:r w:rsidRPr="009A53AF">
        <w:rPr>
          <w:rFonts w:ascii="Times New Roman" w:hAnsi="Times New Roman" w:cs="Times New Roman"/>
          <w:b/>
          <w:bCs/>
          <w:color w:val="auto"/>
        </w:rPr>
        <w:lastRenderedPageBreak/>
        <w:t>Bibliography</w:t>
      </w:r>
      <w:bookmarkEnd w:id="68"/>
    </w:p>
    <w:p w14:paraId="2D850AA0" w14:textId="259B5271" w:rsidR="00385928" w:rsidRPr="00DF1F13" w:rsidRDefault="00385928" w:rsidP="009A53AF">
      <w:pPr>
        <w:pStyle w:val="Thesisbody"/>
        <w:spacing w:before="240" w:after="240"/>
        <w:ind w:left="170" w:right="113"/>
        <w:rPr>
          <w:b/>
          <w:bCs w:val="0"/>
          <w:sz w:val="28"/>
          <w:szCs w:val="28"/>
        </w:rPr>
      </w:pPr>
      <w:r w:rsidRPr="00DF1F13">
        <w:rPr>
          <w:b/>
          <w:bCs w:val="0"/>
          <w:sz w:val="28"/>
          <w:szCs w:val="28"/>
        </w:rPr>
        <w:t>Legal Sources</w:t>
      </w:r>
    </w:p>
    <w:p w14:paraId="25609726" w14:textId="77777777" w:rsidR="009A53AF" w:rsidRPr="00DF1F13" w:rsidRDefault="009A53AF" w:rsidP="001C0C5A">
      <w:pPr>
        <w:pStyle w:val="Textpoznpodarou"/>
        <w:spacing w:before="240" w:after="240" w:line="360" w:lineRule="auto"/>
        <w:ind w:right="113"/>
        <w:jc w:val="both"/>
        <w:rPr>
          <w:rFonts w:ascii="Times New Roman" w:hAnsi="Times New Roman" w:cs="Times New Roman"/>
          <w:sz w:val="24"/>
          <w:szCs w:val="24"/>
        </w:rPr>
      </w:pPr>
      <w:r w:rsidRPr="00DF1F13">
        <w:rPr>
          <w:rFonts w:ascii="Times New Roman" w:hAnsi="Times New Roman" w:cs="Times New Roman"/>
          <w:sz w:val="24"/>
          <w:szCs w:val="24"/>
        </w:rPr>
        <w:t>Agreement Between the Parties to the North Atlantic Treaty Regarding the Status of their Forces, June 19,1951, [hereinafter NATO SOFA].</w:t>
      </w:r>
    </w:p>
    <w:p w14:paraId="059347ED" w14:textId="77777777" w:rsidR="009A53AF" w:rsidRPr="00DF1F13" w:rsidRDefault="009A53AF" w:rsidP="009A53AF">
      <w:pPr>
        <w:pStyle w:val="Thesisbody"/>
        <w:spacing w:before="240" w:after="240"/>
        <w:ind w:left="170" w:right="113"/>
      </w:pPr>
      <w:r w:rsidRPr="00DF1F13">
        <w:t>Charter of the International Military Tribunal for the Far East, Jan. 19 &amp; Apr. 26, 1946.</w:t>
      </w:r>
    </w:p>
    <w:p w14:paraId="7E3B0EA2" w14:textId="77777777" w:rsidR="009A53AF" w:rsidRPr="00DF1F13" w:rsidRDefault="009A53AF" w:rsidP="009A53AF">
      <w:pPr>
        <w:pStyle w:val="Thesisbody"/>
        <w:spacing w:before="240" w:after="240"/>
        <w:ind w:left="170" w:right="113"/>
      </w:pPr>
      <w:r w:rsidRPr="00DF1F13">
        <w:t>Convention on the Privileges and Immunities of the United Nations, Feb. 13, 1946.</w:t>
      </w:r>
    </w:p>
    <w:p w14:paraId="3AAD5E41" w14:textId="77777777" w:rsidR="009A53AF" w:rsidRPr="00DF1F13" w:rsidRDefault="009A53AF" w:rsidP="009A53AF">
      <w:pPr>
        <w:pStyle w:val="Thesisbody"/>
        <w:spacing w:before="240" w:after="240"/>
        <w:ind w:left="170" w:right="113"/>
      </w:pPr>
      <w:r w:rsidRPr="00DF1F13">
        <w:t>European Convention on Extradition, Dec. 13, 1957.</w:t>
      </w:r>
    </w:p>
    <w:p w14:paraId="2805B1C4" w14:textId="77777777" w:rsidR="009A53AF" w:rsidRPr="00DF1F13" w:rsidRDefault="009A53AF" w:rsidP="009A53AF">
      <w:pPr>
        <w:pStyle w:val="Thesisbody"/>
        <w:spacing w:before="240" w:after="240"/>
        <w:ind w:left="170" w:right="113"/>
      </w:pPr>
      <w:r w:rsidRPr="00DF1F13">
        <w:t>International Criminal Court Act, 2002.</w:t>
      </w:r>
    </w:p>
    <w:p w14:paraId="7D8170FC" w14:textId="77777777" w:rsidR="009A53AF" w:rsidRPr="00DF1F13" w:rsidRDefault="009A53AF" w:rsidP="009A53AF">
      <w:pPr>
        <w:pStyle w:val="Thesisbody"/>
        <w:spacing w:before="240" w:after="240"/>
        <w:ind w:left="170" w:right="113"/>
      </w:pPr>
      <w:r w:rsidRPr="00DF1F13">
        <w:t>Military Technical Agreement Between the International Security Assistance Force (ISAF) and the Interim Administration of Afghanistan, Jan. 4, 2002.</w:t>
      </w:r>
    </w:p>
    <w:p w14:paraId="69D86A02" w14:textId="77777777" w:rsidR="009A53AF" w:rsidRPr="00DF1F13" w:rsidRDefault="009A53AF" w:rsidP="009A53AF">
      <w:pPr>
        <w:pStyle w:val="Thesisbody"/>
        <w:spacing w:before="240" w:after="240"/>
        <w:ind w:left="170" w:right="113"/>
      </w:pPr>
      <w:r w:rsidRPr="00DF1F13">
        <w:t>Rome Statute of the International Criminal Court, July 17, 1998.</w:t>
      </w:r>
    </w:p>
    <w:p w14:paraId="2E67AF4F" w14:textId="77777777" w:rsidR="009A53AF" w:rsidRPr="00DF1F13" w:rsidRDefault="009A53AF" w:rsidP="009A53AF">
      <w:pPr>
        <w:pStyle w:val="Thesisbody"/>
        <w:spacing w:before="240" w:after="240"/>
        <w:ind w:left="170" w:right="113"/>
      </w:pPr>
      <w:r w:rsidRPr="00DF1F13">
        <w:t>Statute of the International Court of Justice, Oct. 24, 1945.</w:t>
      </w:r>
    </w:p>
    <w:p w14:paraId="5ABD48B5" w14:textId="77777777" w:rsidR="009A53AF" w:rsidRPr="00DF1F13" w:rsidRDefault="009A53AF" w:rsidP="009A53AF">
      <w:pPr>
        <w:pStyle w:val="Thesisbody"/>
        <w:spacing w:before="240" w:after="240"/>
        <w:ind w:left="170" w:right="113"/>
      </w:pPr>
      <w:r w:rsidRPr="00DF1F13">
        <w:t>Statute of the International Criminal Tribunal for Rwanda, SC Res. 955, (1994).</w:t>
      </w:r>
    </w:p>
    <w:p w14:paraId="2A9B2DE2" w14:textId="77777777" w:rsidR="009A53AF" w:rsidRPr="00DF1F13" w:rsidRDefault="009A53AF" w:rsidP="009A53AF">
      <w:pPr>
        <w:pStyle w:val="Thesisbody"/>
        <w:spacing w:before="240" w:after="240"/>
        <w:ind w:left="170" w:right="113"/>
      </w:pPr>
      <w:r w:rsidRPr="00DF1F13">
        <w:t>Statute of the International Criminal Tribunal for the Former Yugoslavia, (1993).</w:t>
      </w:r>
    </w:p>
    <w:p w14:paraId="1E3C00AF" w14:textId="77777777" w:rsidR="009A53AF" w:rsidRPr="00DF1F13" w:rsidRDefault="009A53AF" w:rsidP="009A53AF">
      <w:pPr>
        <w:pStyle w:val="Thesisbody"/>
        <w:spacing w:before="240" w:after="240"/>
        <w:ind w:left="170" w:right="113"/>
      </w:pPr>
      <w:r w:rsidRPr="00DF1F13">
        <w:t>United Nations Convention on Special Missions, Dec. 8,1969.</w:t>
      </w:r>
    </w:p>
    <w:p w14:paraId="7EF2FB48" w14:textId="77777777" w:rsidR="009A53AF" w:rsidRPr="00DF1F13" w:rsidRDefault="009A53AF" w:rsidP="009A53AF">
      <w:pPr>
        <w:pStyle w:val="Thesisbody"/>
        <w:spacing w:before="240" w:after="240"/>
        <w:ind w:left="170" w:right="113"/>
        <w:rPr>
          <w:b/>
          <w:bCs w:val="0"/>
          <w:sz w:val="28"/>
          <w:szCs w:val="28"/>
        </w:rPr>
      </w:pPr>
      <w:r w:rsidRPr="00DF1F13">
        <w:t>United Nations, Charter of the United Nations (UN Charter), 24 October 1945.</w:t>
      </w:r>
    </w:p>
    <w:p w14:paraId="4A9F04D2" w14:textId="77777777" w:rsidR="009A53AF" w:rsidRPr="00DF1F13" w:rsidRDefault="009A53AF" w:rsidP="009A53AF">
      <w:pPr>
        <w:pStyle w:val="Thesisbody"/>
        <w:spacing w:before="240" w:after="240"/>
        <w:ind w:left="170" w:right="113"/>
      </w:pPr>
      <w:r w:rsidRPr="00DF1F13">
        <w:t>Vienna Convention on Consular Relations, 1963, [hereinafter VCCR].</w:t>
      </w:r>
    </w:p>
    <w:p w14:paraId="3C5F9F68" w14:textId="77777777" w:rsidR="00605EA7" w:rsidRDefault="009A53AF" w:rsidP="00605EA7">
      <w:pPr>
        <w:pStyle w:val="Thesisbody"/>
        <w:spacing w:before="240" w:after="240"/>
        <w:ind w:left="170" w:right="113"/>
      </w:pPr>
      <w:r w:rsidRPr="00DF1F13">
        <w:t>Vienna Convention on Diplomatic Relations, Apr. 18, 1961, [hereinafter VCDR].</w:t>
      </w:r>
    </w:p>
    <w:p w14:paraId="12D9F80B" w14:textId="77777777" w:rsidR="00605EA7" w:rsidRDefault="009A53AF" w:rsidP="00605EA7">
      <w:pPr>
        <w:pStyle w:val="Thesisbody"/>
        <w:spacing w:before="240" w:after="240"/>
        <w:ind w:left="170" w:right="113"/>
      </w:pPr>
      <w:r w:rsidRPr="00DF1F13">
        <w:t>Vienna Convention on the Law of Treaties, opened for signature May</w:t>
      </w:r>
      <w:r>
        <w:t xml:space="preserve"> 23, 1969, [hereinafter VCLT].</w:t>
      </w:r>
    </w:p>
    <w:p w14:paraId="058DC1A2" w14:textId="0069B108" w:rsidR="007E7883" w:rsidRPr="00107AD6" w:rsidRDefault="009A53AF" w:rsidP="00107AD6">
      <w:pPr>
        <w:pStyle w:val="Thesisbody"/>
        <w:spacing w:before="240" w:after="240"/>
        <w:ind w:left="170" w:right="113"/>
      </w:pPr>
      <w:r>
        <w:lastRenderedPageBreak/>
        <w:t xml:space="preserve"> </w:t>
      </w:r>
      <w:r w:rsidR="00605EA7" w:rsidRPr="003D58A3">
        <w:t>Draft art 7</w:t>
      </w:r>
      <w:r w:rsidR="00FD4748">
        <w:t xml:space="preserve"> </w:t>
      </w:r>
      <w:r w:rsidR="00605EA7" w:rsidRPr="003D58A3">
        <w:t>on the Immunity of State Officials from Foreign Criminal Jurisdiction adopted provisionally by the Commission, ILC report during its Sixty-Ninth Session, GA Official Records, Seventy-Second Session, Supplement No 10.</w:t>
      </w:r>
    </w:p>
    <w:p w14:paraId="3EE9C919" w14:textId="26BF22B2" w:rsidR="009A53AF" w:rsidRPr="00D518DE" w:rsidRDefault="00CB37EE" w:rsidP="00D518DE">
      <w:pPr>
        <w:pStyle w:val="Textpoznpodarou"/>
        <w:spacing w:before="240" w:after="240" w:line="360" w:lineRule="auto"/>
        <w:ind w:left="170" w:right="113"/>
        <w:jc w:val="both"/>
        <w:rPr>
          <w:rFonts w:ascii="Times New Roman" w:hAnsi="Times New Roman" w:cs="Times New Roman"/>
          <w:b/>
          <w:bCs/>
          <w:sz w:val="28"/>
          <w:szCs w:val="28"/>
        </w:rPr>
      </w:pPr>
      <w:r w:rsidRPr="00DF1F13">
        <w:rPr>
          <w:rFonts w:ascii="Times New Roman" w:hAnsi="Times New Roman" w:cs="Times New Roman"/>
          <w:b/>
          <w:bCs/>
          <w:sz w:val="28"/>
          <w:szCs w:val="28"/>
        </w:rPr>
        <w:t>Books</w:t>
      </w:r>
    </w:p>
    <w:p w14:paraId="29D48B44" w14:textId="3CE7FC05" w:rsidR="009A53AF" w:rsidRPr="00DF1F13" w:rsidRDefault="00D518DE" w:rsidP="009A53AF">
      <w:pPr>
        <w:pStyle w:val="Textpoznpodarou"/>
        <w:spacing w:before="240" w:after="24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BYERS</w:t>
      </w:r>
      <w:r w:rsidR="009A53AF" w:rsidRPr="00DF1F13">
        <w:rPr>
          <w:rFonts w:ascii="Times New Roman" w:hAnsi="Times New Roman" w:cs="Times New Roman"/>
          <w:sz w:val="24"/>
          <w:szCs w:val="24"/>
        </w:rPr>
        <w:t>,</w:t>
      </w:r>
      <w:r>
        <w:rPr>
          <w:rFonts w:ascii="Times New Roman" w:hAnsi="Times New Roman" w:cs="Times New Roman"/>
          <w:sz w:val="24"/>
          <w:szCs w:val="24"/>
        </w:rPr>
        <w:t xml:space="preserve"> MICHAEL, </w:t>
      </w:r>
      <w:r w:rsidR="009A53AF" w:rsidRPr="00DF1F13">
        <w:rPr>
          <w:rFonts w:ascii="Times New Roman" w:hAnsi="Times New Roman" w:cs="Times New Roman"/>
          <w:sz w:val="24"/>
          <w:szCs w:val="24"/>
        </w:rPr>
        <w:t>CUSTOM, POWER AND THE POWER OF RULES: INTERNATIONAL RELATIONS AND CUSTOMARY INTERNATIONAL LAW 19 (1999).</w:t>
      </w:r>
    </w:p>
    <w:p w14:paraId="61BF880C" w14:textId="7A4A69B9" w:rsidR="00DD2A1D" w:rsidRDefault="00DD2A1D" w:rsidP="00DD2A1D">
      <w:pPr>
        <w:pStyle w:val="Textpoznpodarou"/>
        <w:spacing w:before="240" w:after="240" w:line="360" w:lineRule="auto"/>
        <w:ind w:left="170" w:right="113"/>
        <w:jc w:val="both"/>
        <w:rPr>
          <w:rFonts w:ascii="Times New Roman" w:hAnsi="Times New Roman" w:cs="Times New Roman"/>
          <w:sz w:val="24"/>
          <w:szCs w:val="24"/>
        </w:rPr>
      </w:pPr>
      <w:r w:rsidRPr="00DF1F13">
        <w:rPr>
          <w:rFonts w:ascii="Times New Roman" w:hAnsi="Times New Roman" w:cs="Times New Roman"/>
          <w:sz w:val="24"/>
          <w:szCs w:val="24"/>
        </w:rPr>
        <w:t>Cassese, Antonio,</w:t>
      </w:r>
      <w:r w:rsidR="009A53AF" w:rsidRPr="00DF1F13">
        <w:rPr>
          <w:rFonts w:ascii="Times New Roman" w:hAnsi="Times New Roman" w:cs="Times New Roman"/>
          <w:sz w:val="24"/>
          <w:szCs w:val="24"/>
        </w:rPr>
        <w:t xml:space="preserve"> International Criminal Law, in International Law 720 (Malcolm D.</w:t>
      </w:r>
      <w:r w:rsidR="000252D3">
        <w:rPr>
          <w:rFonts w:ascii="Times New Roman" w:hAnsi="Times New Roman" w:cs="Times New Roman"/>
          <w:sz w:val="24"/>
          <w:szCs w:val="24"/>
        </w:rPr>
        <w:t xml:space="preserve"> </w:t>
      </w:r>
      <w:r w:rsidR="009A53AF" w:rsidRPr="00DF1F13">
        <w:rPr>
          <w:rFonts w:ascii="Times New Roman" w:hAnsi="Times New Roman" w:cs="Times New Roman"/>
          <w:sz w:val="24"/>
          <w:szCs w:val="24"/>
        </w:rPr>
        <w:t>Evans ed., 2003</w:t>
      </w:r>
      <w:r w:rsidR="00DD6D65">
        <w:rPr>
          <w:rFonts w:ascii="Times New Roman" w:hAnsi="Times New Roman" w:cs="Times New Roman"/>
          <w:sz w:val="24"/>
          <w:szCs w:val="24"/>
        </w:rPr>
        <w:t>.</w:t>
      </w:r>
    </w:p>
    <w:p w14:paraId="34449B8C" w14:textId="7932E047" w:rsidR="009A53AF" w:rsidRPr="00DF1F13" w:rsidRDefault="00884E76" w:rsidP="00DD6D65">
      <w:pPr>
        <w:pStyle w:val="Textpoznpodarou"/>
        <w:spacing w:before="240" w:after="24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FOX,</w:t>
      </w:r>
      <w:r w:rsidR="00DD2A1D">
        <w:rPr>
          <w:rFonts w:ascii="Times New Roman" w:hAnsi="Times New Roman" w:cs="Times New Roman"/>
          <w:sz w:val="24"/>
          <w:szCs w:val="24"/>
        </w:rPr>
        <w:t xml:space="preserve"> HAZEL,</w:t>
      </w:r>
      <w:r w:rsidR="009A53AF" w:rsidRPr="00DF1F13">
        <w:rPr>
          <w:rFonts w:ascii="Times New Roman" w:hAnsi="Times New Roman" w:cs="Times New Roman"/>
          <w:sz w:val="24"/>
          <w:szCs w:val="24"/>
        </w:rPr>
        <w:t xml:space="preserve"> THE LAW OF STATE IMMUNITY (2002)</w:t>
      </w:r>
      <w:r w:rsidR="00DD6D65">
        <w:rPr>
          <w:rFonts w:ascii="Times New Roman" w:hAnsi="Times New Roman" w:cs="Times New Roman"/>
          <w:sz w:val="24"/>
          <w:szCs w:val="24"/>
        </w:rPr>
        <w:t>.</w:t>
      </w:r>
      <w:r w:rsidR="009A53AF" w:rsidRPr="00DF1F13">
        <w:rPr>
          <w:rFonts w:ascii="Times New Roman" w:hAnsi="Times New Roman" w:cs="Times New Roman"/>
          <w:sz w:val="24"/>
          <w:szCs w:val="24"/>
        </w:rPr>
        <w:t xml:space="preserve"> </w:t>
      </w:r>
    </w:p>
    <w:p w14:paraId="4429E7F4" w14:textId="4581539D" w:rsidR="00CE2432" w:rsidRPr="00DD6D65" w:rsidRDefault="009A53AF" w:rsidP="00DD6D65">
      <w:pPr>
        <w:pStyle w:val="Textpoznpodarou"/>
        <w:spacing w:before="240" w:after="240" w:line="360" w:lineRule="auto"/>
        <w:ind w:left="170" w:right="113"/>
        <w:jc w:val="both"/>
        <w:rPr>
          <w:rFonts w:ascii="Times New Roman" w:hAnsi="Times New Roman" w:cs="Times New Roman"/>
          <w:sz w:val="24"/>
          <w:szCs w:val="24"/>
        </w:rPr>
      </w:pPr>
      <w:r w:rsidRPr="00DF1F13">
        <w:rPr>
          <w:rFonts w:ascii="Times New Roman" w:hAnsi="Times New Roman" w:cs="Times New Roman"/>
          <w:sz w:val="24"/>
          <w:szCs w:val="24"/>
        </w:rPr>
        <w:t>Sarooshi, Danesh, The United Nations and the Development of Collective Security: The Delegation by the UN Security Council of its Chapter VII Powers (2000).</w:t>
      </w:r>
    </w:p>
    <w:p w14:paraId="7D65E510" w14:textId="4DCE3169" w:rsidR="00CE2432" w:rsidRDefault="00CE2432" w:rsidP="00CE2432">
      <w:pPr>
        <w:spacing w:before="240" w:after="240" w:line="360" w:lineRule="auto"/>
        <w:ind w:left="170" w:right="113"/>
        <w:jc w:val="both"/>
        <w:rPr>
          <w:rFonts w:ascii="Times New Roman" w:hAnsi="Times New Roman" w:cs="Times New Roman"/>
          <w:sz w:val="24"/>
          <w:szCs w:val="24"/>
        </w:rPr>
      </w:pPr>
      <w:r w:rsidRPr="001E52A2">
        <w:rPr>
          <w:rFonts w:ascii="Times New Roman" w:hAnsi="Times New Roman" w:cs="Times New Roman"/>
          <w:sz w:val="24"/>
          <w:szCs w:val="24"/>
        </w:rPr>
        <w:t>L</w:t>
      </w:r>
      <w:r>
        <w:rPr>
          <w:rFonts w:ascii="Times New Roman" w:hAnsi="Times New Roman" w:cs="Times New Roman"/>
          <w:sz w:val="24"/>
          <w:szCs w:val="24"/>
        </w:rPr>
        <w:t>,</w:t>
      </w:r>
      <w:r w:rsidRPr="001E52A2">
        <w:rPr>
          <w:rFonts w:ascii="Times New Roman" w:hAnsi="Times New Roman" w:cs="Times New Roman"/>
          <w:sz w:val="24"/>
          <w:szCs w:val="24"/>
        </w:rPr>
        <w:t xml:space="preserve"> Condorelli. and </w:t>
      </w:r>
      <w:r w:rsidR="000252D3" w:rsidRPr="001E52A2">
        <w:rPr>
          <w:rFonts w:ascii="Times New Roman" w:hAnsi="Times New Roman" w:cs="Times New Roman"/>
          <w:sz w:val="24"/>
          <w:szCs w:val="24"/>
        </w:rPr>
        <w:t>S</w:t>
      </w:r>
      <w:r w:rsidR="000252D3">
        <w:rPr>
          <w:rFonts w:ascii="Times New Roman" w:hAnsi="Times New Roman" w:cs="Times New Roman"/>
          <w:sz w:val="24"/>
          <w:szCs w:val="24"/>
        </w:rPr>
        <w:t>,</w:t>
      </w:r>
      <w:r w:rsidR="000252D3" w:rsidRPr="001E52A2">
        <w:rPr>
          <w:rFonts w:ascii="Times New Roman" w:hAnsi="Times New Roman" w:cs="Times New Roman"/>
          <w:sz w:val="24"/>
          <w:szCs w:val="24"/>
        </w:rPr>
        <w:t xml:space="preserve"> Villalpando</w:t>
      </w:r>
      <w:r w:rsidRPr="001E52A2">
        <w:rPr>
          <w:rFonts w:ascii="Times New Roman" w:hAnsi="Times New Roman" w:cs="Times New Roman"/>
          <w:sz w:val="24"/>
          <w:szCs w:val="24"/>
        </w:rPr>
        <w:t>, The Rome Statute of the International Criminal Court: A Commentary</w:t>
      </w:r>
      <w:r>
        <w:rPr>
          <w:rFonts w:ascii="Times New Roman" w:hAnsi="Times New Roman" w:cs="Times New Roman"/>
          <w:sz w:val="24"/>
          <w:szCs w:val="24"/>
        </w:rPr>
        <w:t xml:space="preserve">, </w:t>
      </w:r>
      <w:r w:rsidRPr="001E52A2">
        <w:rPr>
          <w:rFonts w:ascii="Times New Roman" w:hAnsi="Times New Roman" w:cs="Times New Roman"/>
          <w:sz w:val="24"/>
          <w:szCs w:val="24"/>
        </w:rPr>
        <w:t>2002</w:t>
      </w:r>
      <w:r>
        <w:rPr>
          <w:rFonts w:ascii="Times New Roman" w:hAnsi="Times New Roman" w:cs="Times New Roman"/>
          <w:sz w:val="24"/>
          <w:szCs w:val="24"/>
        </w:rPr>
        <w:t>.</w:t>
      </w:r>
    </w:p>
    <w:p w14:paraId="55E99780" w14:textId="3DE3ADCD" w:rsidR="00CE2432" w:rsidRDefault="000252D3" w:rsidP="000252D3">
      <w:pPr>
        <w:pStyle w:val="Textpoznpodarou"/>
        <w:spacing w:before="120"/>
        <w:ind w:left="170" w:right="113"/>
        <w:jc w:val="both"/>
        <w:rPr>
          <w:rFonts w:ascii="Times New Roman" w:hAnsi="Times New Roman" w:cs="Times New Roman"/>
          <w:sz w:val="24"/>
          <w:szCs w:val="24"/>
        </w:rPr>
      </w:pPr>
      <w:r>
        <w:rPr>
          <w:rFonts w:ascii="Times New Roman" w:hAnsi="Times New Roman" w:cs="Times New Roman"/>
          <w:sz w:val="24"/>
          <w:szCs w:val="24"/>
        </w:rPr>
        <w:t>B, Conforti. The Law and Practice of the United Nations, 3 rd. ed, 2005.</w:t>
      </w:r>
    </w:p>
    <w:p w14:paraId="628F5F06" w14:textId="77777777" w:rsidR="000252D3" w:rsidRPr="00CE2432" w:rsidRDefault="000252D3" w:rsidP="000252D3">
      <w:pPr>
        <w:pStyle w:val="Textpoznpodarou"/>
        <w:spacing w:before="120"/>
        <w:ind w:left="170" w:right="113"/>
        <w:jc w:val="both"/>
        <w:rPr>
          <w:rFonts w:ascii="Times New Roman" w:hAnsi="Times New Roman" w:cs="Times New Roman"/>
          <w:sz w:val="24"/>
          <w:szCs w:val="24"/>
        </w:rPr>
      </w:pPr>
    </w:p>
    <w:p w14:paraId="05D0047C" w14:textId="43BA827A" w:rsidR="00196B8B" w:rsidRPr="00DF1F13" w:rsidRDefault="00196B8B" w:rsidP="009A53AF">
      <w:pPr>
        <w:spacing w:before="240" w:after="240" w:line="360" w:lineRule="auto"/>
        <w:ind w:left="170" w:right="113"/>
        <w:jc w:val="both"/>
        <w:rPr>
          <w:rFonts w:ascii="Times New Roman" w:hAnsi="Times New Roman" w:cs="Times New Roman"/>
          <w:b/>
          <w:bCs/>
          <w:sz w:val="28"/>
          <w:szCs w:val="28"/>
        </w:rPr>
      </w:pPr>
      <w:r w:rsidRPr="00DF1F13">
        <w:rPr>
          <w:rFonts w:ascii="Times New Roman" w:hAnsi="Times New Roman" w:cs="Times New Roman"/>
          <w:b/>
          <w:bCs/>
          <w:sz w:val="28"/>
          <w:szCs w:val="28"/>
        </w:rPr>
        <w:t xml:space="preserve">Journal </w:t>
      </w:r>
      <w:r w:rsidR="00567A0E" w:rsidRPr="00DF1F13">
        <w:rPr>
          <w:rFonts w:ascii="Times New Roman" w:hAnsi="Times New Roman" w:cs="Times New Roman"/>
          <w:b/>
          <w:bCs/>
          <w:sz w:val="28"/>
          <w:szCs w:val="28"/>
        </w:rPr>
        <w:t>Articles</w:t>
      </w:r>
    </w:p>
    <w:p w14:paraId="5B27F868" w14:textId="00973AFC" w:rsidR="009A53AF" w:rsidRPr="00DF1F13" w:rsidRDefault="009A53AF" w:rsidP="009A53AF">
      <w:pPr>
        <w:pStyle w:val="Textpoznpodarou"/>
        <w:spacing w:before="240" w:after="240" w:line="360" w:lineRule="auto"/>
        <w:ind w:left="170" w:right="113"/>
        <w:jc w:val="both"/>
        <w:rPr>
          <w:rFonts w:ascii="Times New Roman" w:hAnsi="Times New Roman" w:cs="Times New Roman"/>
          <w:sz w:val="24"/>
          <w:szCs w:val="24"/>
        </w:rPr>
      </w:pPr>
      <w:r w:rsidRPr="00DF1F13">
        <w:rPr>
          <w:rFonts w:ascii="Times New Roman" w:hAnsi="Times New Roman" w:cs="Times New Roman"/>
          <w:sz w:val="24"/>
          <w:szCs w:val="24"/>
        </w:rPr>
        <w:t xml:space="preserve">Akande, </w:t>
      </w:r>
      <w:r w:rsidR="00250FBA" w:rsidRPr="00DF1F13">
        <w:rPr>
          <w:rFonts w:ascii="Times New Roman" w:hAnsi="Times New Roman" w:cs="Times New Roman"/>
          <w:sz w:val="24"/>
          <w:szCs w:val="24"/>
        </w:rPr>
        <w:t>Dapo, The</w:t>
      </w:r>
      <w:r w:rsidRPr="00DF1F13">
        <w:rPr>
          <w:rFonts w:ascii="Times New Roman" w:hAnsi="Times New Roman" w:cs="Times New Roman"/>
          <w:sz w:val="24"/>
          <w:szCs w:val="24"/>
        </w:rPr>
        <w:t xml:space="preserve"> Jurisdiction of the International Criminal Court over Nationals of Non-Parties: Legal Basis and Limits, 1J. INT'L CRIM.JUST. (2003).</w:t>
      </w:r>
    </w:p>
    <w:p w14:paraId="2771A6CB"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Akande, Dapo, International Law Immunities and the International Criminal Court ,The American Journal of International Law, Vol. 98, No. 3 (Jul., 2004).</w:t>
      </w:r>
    </w:p>
    <w:p w14:paraId="4E187AA2"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Asad G. Kiyani, Al-Bashir &amp; the ICC: The Problem of Head of State Immunity, 2013 Published by Oxford University.</w:t>
      </w:r>
    </w:p>
    <w:p w14:paraId="5C673EE4" w14:textId="164C362C" w:rsidR="007E7883" w:rsidRDefault="009A53AF" w:rsidP="007E7883">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Tunks, A.Michael ,Diplomats or Defendants? Defining the Future of Head-of-State Immunity, 52 DUKE LJ. (2002).</w:t>
      </w:r>
    </w:p>
    <w:p w14:paraId="59E95689" w14:textId="3E9D439C" w:rsidR="002928AA" w:rsidRDefault="002928AA" w:rsidP="002928AA">
      <w:pPr>
        <w:pStyle w:val="Textpoznpodarou"/>
        <w:spacing w:before="120"/>
        <w:ind w:left="170" w:right="113"/>
        <w:jc w:val="both"/>
        <w:rPr>
          <w:rFonts w:ascii="Times New Roman" w:hAnsi="Times New Roman" w:cs="Times New Roman"/>
          <w:sz w:val="24"/>
          <w:szCs w:val="24"/>
        </w:rPr>
      </w:pPr>
      <w:r w:rsidRPr="0035646D">
        <w:rPr>
          <w:rFonts w:ascii="Times New Roman" w:hAnsi="Times New Roman" w:cs="Times New Roman"/>
          <w:sz w:val="24"/>
          <w:szCs w:val="24"/>
        </w:rPr>
        <w:lastRenderedPageBreak/>
        <w:t>Akande</w:t>
      </w:r>
      <w:r w:rsidR="00DB3AA6">
        <w:rPr>
          <w:rFonts w:ascii="Times New Roman" w:hAnsi="Times New Roman" w:cs="Times New Roman"/>
          <w:sz w:val="24"/>
          <w:szCs w:val="24"/>
        </w:rPr>
        <w:t>,</w:t>
      </w:r>
      <w:r w:rsidR="00250FBA">
        <w:rPr>
          <w:rFonts w:ascii="Times New Roman" w:hAnsi="Times New Roman" w:cs="Times New Roman"/>
          <w:sz w:val="24"/>
          <w:szCs w:val="24"/>
        </w:rPr>
        <w:t xml:space="preserve"> Dapo</w:t>
      </w:r>
      <w:r w:rsidRPr="0035646D">
        <w:rPr>
          <w:rFonts w:ascii="Times New Roman" w:hAnsi="Times New Roman" w:cs="Times New Roman"/>
          <w:sz w:val="24"/>
          <w:szCs w:val="24"/>
        </w:rPr>
        <w:t xml:space="preserve"> and Sangeeta Shah, Immunities of State Officials, International Crimes, and Foreign Domestic Courts, The European Journal of International Law, Vol.21</w:t>
      </w:r>
      <w:r>
        <w:rPr>
          <w:rFonts w:ascii="Times New Roman" w:hAnsi="Times New Roman" w:cs="Times New Roman"/>
          <w:sz w:val="24"/>
          <w:szCs w:val="24"/>
        </w:rPr>
        <w:t>, 2011.</w:t>
      </w:r>
    </w:p>
    <w:p w14:paraId="727F4847" w14:textId="77777777" w:rsidR="002928AA" w:rsidRDefault="002928AA" w:rsidP="002928AA">
      <w:pPr>
        <w:pStyle w:val="Textpoznpodarou"/>
        <w:spacing w:before="120"/>
        <w:ind w:left="170" w:right="113"/>
        <w:jc w:val="both"/>
        <w:rPr>
          <w:rFonts w:ascii="Times New Roman" w:hAnsi="Times New Roman" w:cs="Times New Roman"/>
          <w:sz w:val="24"/>
          <w:szCs w:val="24"/>
        </w:rPr>
      </w:pPr>
    </w:p>
    <w:p w14:paraId="70BAE572" w14:textId="67A9A72D" w:rsidR="00567A0E" w:rsidRPr="007E7883" w:rsidRDefault="00567A0E" w:rsidP="002928AA">
      <w:pPr>
        <w:pStyle w:val="Textpoznpodarou"/>
        <w:spacing w:before="120"/>
        <w:ind w:left="170" w:right="113"/>
        <w:jc w:val="both"/>
        <w:rPr>
          <w:rFonts w:ascii="Times New Roman" w:hAnsi="Times New Roman" w:cs="Times New Roman"/>
          <w:sz w:val="24"/>
          <w:szCs w:val="24"/>
        </w:rPr>
      </w:pPr>
      <w:r w:rsidRPr="00DF1F13">
        <w:rPr>
          <w:rFonts w:ascii="Times New Roman" w:hAnsi="Times New Roman" w:cs="Times New Roman"/>
          <w:b/>
          <w:bCs/>
          <w:sz w:val="28"/>
          <w:szCs w:val="28"/>
        </w:rPr>
        <w:t>CASES</w:t>
      </w:r>
    </w:p>
    <w:p w14:paraId="3346CF5D"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Arrest Warrant of 11 April 2000 (Dem. Rep. Congo v. Belg.).</w:t>
      </w:r>
    </w:p>
    <w:p w14:paraId="3E8DF2E2"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 xml:space="preserve"> Asylum Case (Colom. v. Peru), 1950 I.C.J. 266, 276–77 (Nov. 20).</w:t>
      </w:r>
    </w:p>
    <w:p w14:paraId="66ABA89B"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Case Concerning Armed Activities on The Territory of The Congo (Democratic Republic of the Congo v. Uganda), ICJ Decision of 19 December 2005.</w:t>
      </w:r>
    </w:p>
    <w:p w14:paraId="627040B6"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Ghaddafi Case Before the French Cour de Cassation, 12 EUR.J. INT'L L. 595 (2001).</w:t>
      </w:r>
    </w:p>
    <w:p w14:paraId="076F705F"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Lockerbie case (Libya v UK), Provisional Measures, ICJ Reports 1992.</w:t>
      </w:r>
    </w:p>
    <w:p w14:paraId="59368F5A"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Military and Paramilitary Activities (Nicar. v. U.S.), 1986 I.C.J. 14, 97 (June 27).</w:t>
      </w:r>
    </w:p>
    <w:p w14:paraId="1D265B4B" w14:textId="77777777" w:rsidR="009A53AF" w:rsidRPr="00DF1F13" w:rsidRDefault="009A53AF" w:rsidP="009A53AF">
      <w:pPr>
        <w:pStyle w:val="Textpoznpodarou"/>
        <w:spacing w:before="240" w:after="240" w:line="360" w:lineRule="auto"/>
        <w:ind w:left="170" w:right="113"/>
        <w:jc w:val="both"/>
        <w:rPr>
          <w:rFonts w:ascii="Times New Roman" w:hAnsi="Times New Roman" w:cs="Times New Roman"/>
          <w:sz w:val="24"/>
          <w:szCs w:val="24"/>
        </w:rPr>
      </w:pPr>
      <w:r w:rsidRPr="00DF1F13">
        <w:rPr>
          <w:rFonts w:ascii="Times New Roman" w:hAnsi="Times New Roman" w:cs="Times New Roman"/>
          <w:sz w:val="24"/>
          <w:szCs w:val="24"/>
        </w:rPr>
        <w:t>Prosecutor v. Charles Taylor, Immunity from Jurisdiction, No. SCSL-03-01-I (May 31, 2004).</w:t>
      </w:r>
    </w:p>
    <w:p w14:paraId="63891FCA" w14:textId="77777777" w:rsidR="009A53AF" w:rsidRPr="00DF1F13"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Prosecutor V. Omar Hassan Ahmad Al-Bashir, ICC-02/05-01/09, Pre-Trial Chamber I, Decision on the prosecution’s Application for a Warrant of Arrest against Omar Hassan Ahmad Al-Bashir (4 March 2009) (First Bashir Warrant) and Second Decision on the prosecutor’s Application for a Warrant of Arrest (12 July 2010) (Second Bashir Warrant).</w:t>
      </w:r>
    </w:p>
    <w:p w14:paraId="314FE286" w14:textId="74A1973D" w:rsidR="00876D19" w:rsidRPr="009A53AF" w:rsidRDefault="009A53AF" w:rsidP="009A53AF">
      <w:pPr>
        <w:spacing w:before="240" w:after="240" w:line="360" w:lineRule="auto"/>
        <w:ind w:left="170" w:right="113"/>
        <w:jc w:val="both"/>
        <w:rPr>
          <w:rFonts w:ascii="Times New Roman" w:hAnsi="Times New Roman" w:cs="Times New Roman"/>
          <w:sz w:val="24"/>
          <w:szCs w:val="24"/>
          <w:lang w:val="en-US"/>
        </w:rPr>
      </w:pPr>
      <w:r w:rsidRPr="00DF1F13">
        <w:rPr>
          <w:rFonts w:ascii="Times New Roman" w:hAnsi="Times New Roman" w:cs="Times New Roman"/>
          <w:sz w:val="24"/>
          <w:szCs w:val="24"/>
          <w:lang w:val="en-US"/>
        </w:rPr>
        <w:t>United States Diplomatic and Consular Staff in Tehran (U.S. v. Iran), Merits, 1980 ICJ REP. 3, para. 91 (May 24).</w:t>
      </w:r>
      <w:bookmarkEnd w:id="48"/>
      <w:bookmarkEnd w:id="56"/>
      <w:bookmarkEnd w:id="59"/>
    </w:p>
    <w:sectPr w:rsidR="00876D19" w:rsidRPr="009A53AF" w:rsidSect="00934A8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2813D" w14:textId="77777777" w:rsidR="00C2264C" w:rsidRDefault="00C2264C" w:rsidP="006A6219">
      <w:pPr>
        <w:spacing w:after="0" w:line="240" w:lineRule="auto"/>
      </w:pPr>
      <w:r>
        <w:separator/>
      </w:r>
    </w:p>
  </w:endnote>
  <w:endnote w:type="continuationSeparator" w:id="0">
    <w:p w14:paraId="2B10AF79" w14:textId="77777777" w:rsidR="00C2264C" w:rsidRDefault="00C2264C" w:rsidP="006A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89276"/>
      <w:docPartObj>
        <w:docPartGallery w:val="Page Numbers (Bottom of Page)"/>
        <w:docPartUnique/>
      </w:docPartObj>
    </w:sdtPr>
    <w:sdtEndPr>
      <w:rPr>
        <w:noProof/>
      </w:rPr>
    </w:sdtEndPr>
    <w:sdtContent>
      <w:p w14:paraId="19267E97" w14:textId="67FB1A03" w:rsidR="008B621A" w:rsidRDefault="008B621A">
        <w:pPr>
          <w:pStyle w:val="Zpat"/>
          <w:jc w:val="center"/>
        </w:pPr>
        <w:r>
          <w:fldChar w:fldCharType="begin"/>
        </w:r>
        <w:r>
          <w:instrText xml:space="preserve"> PAGE   \* MERGEFORMAT </w:instrText>
        </w:r>
        <w:r>
          <w:fldChar w:fldCharType="separate"/>
        </w:r>
        <w:r w:rsidR="0093634E">
          <w:rPr>
            <w:noProof/>
          </w:rPr>
          <w:t>1</w:t>
        </w:r>
        <w:r>
          <w:rPr>
            <w:noProof/>
          </w:rPr>
          <w:fldChar w:fldCharType="end"/>
        </w:r>
      </w:p>
    </w:sdtContent>
  </w:sdt>
  <w:p w14:paraId="7B2E9158" w14:textId="77777777" w:rsidR="008B621A" w:rsidRDefault="008B62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16465"/>
      <w:docPartObj>
        <w:docPartGallery w:val="Page Numbers (Bottom of Page)"/>
        <w:docPartUnique/>
      </w:docPartObj>
    </w:sdtPr>
    <w:sdtEndPr>
      <w:rPr>
        <w:noProof/>
      </w:rPr>
    </w:sdtEndPr>
    <w:sdtContent>
      <w:p w14:paraId="4F652860" w14:textId="20898626" w:rsidR="008B621A" w:rsidRDefault="00C2264C" w:rsidP="006A1879">
        <w:pPr>
          <w:pStyle w:val="Zpat"/>
        </w:pPr>
      </w:p>
    </w:sdtContent>
  </w:sdt>
  <w:p w14:paraId="26394724" w14:textId="77777777" w:rsidR="008B621A" w:rsidRDefault="008B62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083F9" w14:textId="77777777" w:rsidR="00C2264C" w:rsidRDefault="00C2264C" w:rsidP="006A6219">
      <w:pPr>
        <w:spacing w:after="0" w:line="240" w:lineRule="auto"/>
      </w:pPr>
      <w:r>
        <w:separator/>
      </w:r>
    </w:p>
  </w:footnote>
  <w:footnote w:type="continuationSeparator" w:id="0">
    <w:p w14:paraId="210F60F9" w14:textId="77777777" w:rsidR="00C2264C" w:rsidRDefault="00C2264C" w:rsidP="006A6219">
      <w:pPr>
        <w:spacing w:after="0" w:line="240" w:lineRule="auto"/>
      </w:pPr>
      <w:r>
        <w:continuationSeparator/>
      </w:r>
    </w:p>
  </w:footnote>
  <w:footnote w:id="1">
    <w:p w14:paraId="4D31CBD5" w14:textId="50D82A6F" w:rsidR="008B621A" w:rsidRPr="001A2740" w:rsidRDefault="008B621A" w:rsidP="00C66554">
      <w:pPr>
        <w:pStyle w:val="Textpoznpodarou"/>
        <w:spacing w:before="120"/>
        <w:ind w:left="170" w:right="113"/>
        <w:jc w:val="both"/>
        <w:rPr>
          <w:rFonts w:ascii="Times New Roman" w:hAnsi="Times New Roman" w:cs="Times New Roman"/>
        </w:rPr>
      </w:pPr>
      <w:r w:rsidRPr="001A2740">
        <w:rPr>
          <w:rStyle w:val="Znakapoznpodarou"/>
          <w:rFonts w:ascii="Times New Roman" w:hAnsi="Times New Roman" w:cs="Times New Roman"/>
        </w:rPr>
        <w:footnoteRef/>
      </w:r>
      <w:r w:rsidRPr="001A2740">
        <w:rPr>
          <w:rFonts w:ascii="Times New Roman" w:hAnsi="Times New Roman" w:cs="Times New Roman"/>
        </w:rPr>
        <w:t xml:space="preserve"> See </w:t>
      </w:r>
      <w:bookmarkStart w:id="2" w:name="_Hlk109337515"/>
      <w:r w:rsidR="00FB6FC3">
        <w:rPr>
          <w:rFonts w:ascii="Times New Roman" w:hAnsi="Times New Roman" w:cs="Times New Roman"/>
        </w:rPr>
        <w:t>Dapo Akande, International Law Immunities</w:t>
      </w:r>
      <w:r w:rsidR="004236C4">
        <w:rPr>
          <w:rFonts w:ascii="Times New Roman" w:hAnsi="Times New Roman" w:cs="Times New Roman"/>
        </w:rPr>
        <w:t xml:space="preserve"> </w:t>
      </w:r>
      <w:r w:rsidR="00FB6FC3">
        <w:rPr>
          <w:rFonts w:ascii="Times New Roman" w:hAnsi="Times New Roman" w:cs="Times New Roman"/>
        </w:rPr>
        <w:t>and the International Criminal Court</w:t>
      </w:r>
      <w:r w:rsidR="004236C4">
        <w:rPr>
          <w:rFonts w:ascii="Times New Roman" w:hAnsi="Times New Roman" w:cs="Times New Roman"/>
        </w:rPr>
        <w:t>, the American Journal of International Law, Vol.98, No. 3 (Jul. 2004), P.407.</w:t>
      </w:r>
    </w:p>
    <w:bookmarkEnd w:id="2"/>
  </w:footnote>
  <w:footnote w:id="2">
    <w:p w14:paraId="0A6577C9" w14:textId="6D634F63" w:rsidR="008B621A" w:rsidRPr="00C66554" w:rsidRDefault="008B621A" w:rsidP="00C66554">
      <w:pPr>
        <w:pStyle w:val="Textpoznpodarou"/>
        <w:spacing w:before="120"/>
        <w:ind w:left="170" w:right="113"/>
        <w:jc w:val="both"/>
        <w:rPr>
          <w:rFonts w:ascii="Times New Roman" w:hAnsi="Times New Roman" w:cs="Times New Roman"/>
        </w:rPr>
      </w:pPr>
      <w:r w:rsidRPr="001A2740">
        <w:rPr>
          <w:rStyle w:val="Znakapoznpodarou"/>
          <w:rFonts w:ascii="Times New Roman" w:hAnsi="Times New Roman" w:cs="Times New Roman"/>
        </w:rPr>
        <w:footnoteRef/>
      </w:r>
      <w:r w:rsidRPr="001A2740">
        <w:rPr>
          <w:rFonts w:ascii="Times New Roman" w:hAnsi="Times New Roman" w:cs="Times New Roman"/>
        </w:rPr>
        <w:t xml:space="preserve"> </w:t>
      </w:r>
      <w:r w:rsidR="00B117FA">
        <w:rPr>
          <w:rFonts w:ascii="Times New Roman" w:hAnsi="Times New Roman" w:cs="Times New Roman"/>
        </w:rPr>
        <w:t>Ibid</w:t>
      </w:r>
      <w:r w:rsidR="0084646A">
        <w:rPr>
          <w:rFonts w:ascii="Times New Roman" w:hAnsi="Times New Roman" w:cs="Times New Roman"/>
        </w:rPr>
        <w:t>, P.407.</w:t>
      </w:r>
    </w:p>
  </w:footnote>
  <w:footnote w:id="3">
    <w:p w14:paraId="6598005D" w14:textId="3FF09D1D" w:rsidR="008B621A" w:rsidRPr="00C96187" w:rsidRDefault="008B621A" w:rsidP="00C66554">
      <w:pPr>
        <w:pStyle w:val="Textpoznpodarou"/>
        <w:spacing w:before="120"/>
        <w:ind w:left="170" w:right="113"/>
        <w:jc w:val="both"/>
        <w:rPr>
          <w:rFonts w:ascii="Times New Roman" w:hAnsi="Times New Roman" w:cs="Times New Roman"/>
          <w:lang w:val="en-GB"/>
        </w:rPr>
      </w:pPr>
      <w:r w:rsidRPr="00C66554">
        <w:rPr>
          <w:rStyle w:val="Znakapoznpodarou"/>
          <w:rFonts w:ascii="Times New Roman" w:hAnsi="Times New Roman" w:cs="Times New Roman"/>
        </w:rPr>
        <w:footnoteRef/>
      </w:r>
      <w:r w:rsidRPr="00C66554">
        <w:rPr>
          <w:rFonts w:ascii="Times New Roman" w:hAnsi="Times New Roman" w:cs="Times New Roman"/>
        </w:rPr>
        <w:t xml:space="preserve">Al-Bashir is </w:t>
      </w:r>
      <w:r w:rsidR="00C26F4A" w:rsidRPr="00C26F4A">
        <w:rPr>
          <w:rFonts w:ascii="Times New Roman" w:hAnsi="Times New Roman" w:cs="Times New Roman"/>
        </w:rPr>
        <w:t xml:space="preserve">pretended </w:t>
      </w:r>
      <w:r w:rsidRPr="00C66554">
        <w:rPr>
          <w:rFonts w:ascii="Times New Roman" w:hAnsi="Times New Roman" w:cs="Times New Roman"/>
        </w:rPr>
        <w:t xml:space="preserve">to have </w:t>
      </w:r>
      <w:r w:rsidR="00C26F4A" w:rsidRPr="00C26F4A">
        <w:rPr>
          <w:rFonts w:ascii="Times New Roman" w:hAnsi="Times New Roman" w:cs="Times New Roman"/>
        </w:rPr>
        <w:t>facilitated</w:t>
      </w:r>
      <w:r w:rsidR="00C26F4A" w:rsidRPr="00C26F4A">
        <w:t xml:space="preserve"> </w:t>
      </w:r>
      <w:r w:rsidR="00C26F4A" w:rsidRPr="00C26F4A">
        <w:rPr>
          <w:rFonts w:ascii="Times New Roman" w:hAnsi="Times New Roman" w:cs="Times New Roman"/>
        </w:rPr>
        <w:t>plan</w:t>
      </w:r>
      <w:r w:rsidRPr="00C66554">
        <w:rPr>
          <w:rFonts w:ascii="Times New Roman" w:hAnsi="Times New Roman" w:cs="Times New Roman"/>
        </w:rPr>
        <w:t xml:space="preserve">, </w:t>
      </w:r>
      <w:r w:rsidR="00597437" w:rsidRPr="00597437">
        <w:rPr>
          <w:rFonts w:ascii="Times New Roman" w:hAnsi="Times New Roman" w:cs="Times New Roman"/>
        </w:rPr>
        <w:t xml:space="preserve">arrange, </w:t>
      </w:r>
      <w:r w:rsidRPr="00C66554">
        <w:rPr>
          <w:rFonts w:ascii="Times New Roman" w:hAnsi="Times New Roman" w:cs="Times New Roman"/>
        </w:rPr>
        <w:t xml:space="preserve">and </w:t>
      </w:r>
      <w:r w:rsidR="00E211F3" w:rsidRPr="00E211F3">
        <w:rPr>
          <w:rFonts w:ascii="Times New Roman" w:hAnsi="Times New Roman" w:cs="Times New Roman"/>
        </w:rPr>
        <w:t xml:space="preserve">perform </w:t>
      </w:r>
      <w:r w:rsidR="00E211F3">
        <w:rPr>
          <w:rFonts w:ascii="Times New Roman" w:hAnsi="Times New Roman" w:cs="Times New Roman"/>
        </w:rPr>
        <w:t>horrible atrocities</w:t>
      </w:r>
      <w:r w:rsidR="00063297" w:rsidRPr="00063297">
        <w:t xml:space="preserve"> </w:t>
      </w:r>
      <w:r w:rsidR="00063297" w:rsidRPr="00063297">
        <w:rPr>
          <w:rFonts w:ascii="Times New Roman" w:hAnsi="Times New Roman" w:cs="Times New Roman"/>
        </w:rPr>
        <w:t>comprising</w:t>
      </w:r>
      <w:r w:rsidRPr="00C66554">
        <w:rPr>
          <w:rFonts w:ascii="Times New Roman" w:hAnsi="Times New Roman" w:cs="Times New Roman"/>
        </w:rPr>
        <w:t>:</w:t>
      </w:r>
      <w:r w:rsidR="00D8348D">
        <w:rPr>
          <w:rFonts w:ascii="Times New Roman" w:hAnsi="Times New Roman" w:cs="Times New Roman"/>
        </w:rPr>
        <w:t xml:space="preserve"> </w:t>
      </w:r>
      <w:r w:rsidRPr="00C66554">
        <w:rPr>
          <w:rFonts w:ascii="Times New Roman" w:hAnsi="Times New Roman" w:cs="Times New Roman"/>
        </w:rPr>
        <w:t xml:space="preserve">the </w:t>
      </w:r>
      <w:r w:rsidR="00D8348D" w:rsidRPr="00D8348D">
        <w:rPr>
          <w:rFonts w:ascii="Times New Roman" w:hAnsi="Times New Roman" w:cs="Times New Roman"/>
        </w:rPr>
        <w:t xml:space="preserve">compulsory </w:t>
      </w:r>
      <w:r w:rsidR="00330E61" w:rsidRPr="00330E61">
        <w:rPr>
          <w:rFonts w:ascii="Times New Roman" w:hAnsi="Times New Roman" w:cs="Times New Roman"/>
        </w:rPr>
        <w:t>relocation</w:t>
      </w:r>
      <w:r w:rsidRPr="00C66554">
        <w:rPr>
          <w:rFonts w:ascii="Times New Roman" w:hAnsi="Times New Roman" w:cs="Times New Roman"/>
        </w:rPr>
        <w:t xml:space="preserve"> of</w:t>
      </w:r>
      <w:r w:rsidR="00145E8D">
        <w:rPr>
          <w:rFonts w:ascii="Times New Roman" w:hAnsi="Times New Roman" w:cs="Times New Roman"/>
        </w:rPr>
        <w:t xml:space="preserve"> </w:t>
      </w:r>
      <w:r w:rsidR="00844DC2" w:rsidRPr="00844DC2">
        <w:rPr>
          <w:rFonts w:ascii="Times New Roman" w:hAnsi="Times New Roman" w:cs="Times New Roman"/>
        </w:rPr>
        <w:t>numerous</w:t>
      </w:r>
      <w:r w:rsidR="00AE2EF1" w:rsidRPr="00AE2EF1">
        <w:t xml:space="preserve"> </w:t>
      </w:r>
      <w:r w:rsidR="00AE2EF1" w:rsidRPr="00AE2EF1">
        <w:rPr>
          <w:rFonts w:ascii="Times New Roman" w:hAnsi="Times New Roman" w:cs="Times New Roman"/>
        </w:rPr>
        <w:t>noncombatant</w:t>
      </w:r>
      <w:r w:rsidR="00AE2EF1">
        <w:rPr>
          <w:rFonts w:ascii="Times New Roman" w:hAnsi="Times New Roman" w:cs="Times New Roman"/>
        </w:rPr>
        <w:t>s</w:t>
      </w:r>
      <w:r w:rsidRPr="00C66554">
        <w:rPr>
          <w:rFonts w:ascii="Times New Roman" w:hAnsi="Times New Roman" w:cs="Times New Roman"/>
        </w:rPr>
        <w:t xml:space="preserve">; the rape of </w:t>
      </w:r>
      <w:r w:rsidR="00FC33E3">
        <w:rPr>
          <w:rFonts w:ascii="Times New Roman" w:hAnsi="Times New Roman" w:cs="Times New Roman"/>
        </w:rPr>
        <w:t xml:space="preserve">numerous </w:t>
      </w:r>
      <w:r w:rsidRPr="00C66554">
        <w:rPr>
          <w:rFonts w:ascii="Times New Roman" w:hAnsi="Times New Roman" w:cs="Times New Roman"/>
        </w:rPr>
        <w:t>women;</w:t>
      </w:r>
      <w:r w:rsidR="00FD0225" w:rsidRPr="00FD0225">
        <w:t xml:space="preserve"> </w:t>
      </w:r>
      <w:r w:rsidR="00FD0225" w:rsidRPr="00FD0225">
        <w:rPr>
          <w:rFonts w:ascii="Times New Roman" w:hAnsi="Times New Roman" w:cs="Times New Roman"/>
        </w:rPr>
        <w:t>ill treatment</w:t>
      </w:r>
      <w:r w:rsidRPr="00C66554">
        <w:rPr>
          <w:rFonts w:ascii="Times New Roman" w:hAnsi="Times New Roman" w:cs="Times New Roman"/>
        </w:rPr>
        <w:t>;</w:t>
      </w:r>
      <w:r w:rsidR="00FD0225" w:rsidRPr="00FD0225">
        <w:t xml:space="preserve"> </w:t>
      </w:r>
      <w:r w:rsidR="00FD0225" w:rsidRPr="00FD0225">
        <w:rPr>
          <w:rFonts w:ascii="Times New Roman" w:hAnsi="Times New Roman" w:cs="Times New Roman"/>
        </w:rPr>
        <w:t>massive</w:t>
      </w:r>
      <w:r w:rsidR="00FB52C0" w:rsidRPr="00FB52C0">
        <w:t xml:space="preserve"> </w:t>
      </w:r>
      <w:r w:rsidR="00FB52C0" w:rsidRPr="00FB52C0">
        <w:rPr>
          <w:rFonts w:ascii="Times New Roman" w:hAnsi="Times New Roman" w:cs="Times New Roman"/>
        </w:rPr>
        <w:t>murder</w:t>
      </w:r>
      <w:r w:rsidR="00FD0225" w:rsidRPr="00FD0225">
        <w:rPr>
          <w:rFonts w:ascii="Times New Roman" w:hAnsi="Times New Roman" w:cs="Times New Roman"/>
        </w:rPr>
        <w:t xml:space="preserve"> of populations</w:t>
      </w:r>
      <w:r w:rsidRPr="00C66554">
        <w:rPr>
          <w:rFonts w:ascii="Times New Roman" w:hAnsi="Times New Roman" w:cs="Times New Roman"/>
        </w:rPr>
        <w:t>; and genocide</w:t>
      </w:r>
      <w:r w:rsidR="00573963">
        <w:rPr>
          <w:rFonts w:ascii="Times New Roman" w:hAnsi="Times New Roman" w:cs="Times New Roman"/>
        </w:rPr>
        <w:t>.</w:t>
      </w:r>
      <w:r w:rsidRPr="00C66554">
        <w:rPr>
          <w:rFonts w:ascii="Times New Roman" w:hAnsi="Times New Roman" w:cs="Times New Roman"/>
        </w:rPr>
        <w:t xml:space="preserve"> </w:t>
      </w:r>
      <w:r w:rsidRPr="001A7DCB">
        <w:rPr>
          <w:rFonts w:ascii="Times New Roman" w:hAnsi="Times New Roman" w:cs="Times New Roman"/>
        </w:rPr>
        <w:t>See</w:t>
      </w:r>
      <w:r w:rsidR="0060329E" w:rsidRPr="001A7DCB">
        <w:rPr>
          <w:rFonts w:ascii="Times New Roman" w:hAnsi="Times New Roman" w:cs="Times New Roman"/>
        </w:rPr>
        <w:t xml:space="preserve"> </w:t>
      </w:r>
      <w:r w:rsidR="0060329E" w:rsidRPr="001A7DCB">
        <w:rPr>
          <w:rFonts w:ascii="Times New Roman" w:hAnsi="Times New Roman" w:cs="Times New Roman"/>
          <w:color w:val="212529"/>
          <w:shd w:val="clear" w:color="auto" w:fill="FFFFFF"/>
        </w:rPr>
        <w:t>Case: </w:t>
      </w:r>
      <w:r w:rsidR="0060329E" w:rsidRPr="00661732">
        <w:rPr>
          <w:rStyle w:val="Zdraznn"/>
          <w:rFonts w:ascii="Times New Roman" w:hAnsi="Times New Roman" w:cs="Times New Roman"/>
          <w:i w:val="0"/>
          <w:iCs w:val="0"/>
          <w:color w:val="212529"/>
          <w:shd w:val="clear" w:color="auto" w:fill="FFFFFF"/>
        </w:rPr>
        <w:t>The Prosecutor v. Omar Hassan Ahmad Al Bashir</w:t>
      </w:r>
      <w:bookmarkStart w:id="9" w:name="_Hlk81411406"/>
      <w:r w:rsidRPr="00C66554">
        <w:rPr>
          <w:rFonts w:ascii="Times New Roman" w:hAnsi="Times New Roman" w:cs="Times New Roman"/>
        </w:rPr>
        <w:t>, ICC-02/05-01/09</w:t>
      </w:r>
      <w:r w:rsidR="00A82BF5">
        <w:rPr>
          <w:rFonts w:ascii="Times New Roman" w:hAnsi="Times New Roman" w:cs="Times New Roman"/>
        </w:rPr>
        <w:t>-3</w:t>
      </w:r>
      <w:r w:rsidRPr="00C66554">
        <w:rPr>
          <w:rFonts w:ascii="Times New Roman" w:hAnsi="Times New Roman" w:cs="Times New Roman"/>
        </w:rPr>
        <w:t>, Pre-Trial Chamber I, Decision on the prosecution’s Application for a Warrant of Arrest against Omar Hassan Ahmad Al-Bashir 4 March 2009</w:t>
      </w:r>
      <w:r w:rsidR="000040D5">
        <w:rPr>
          <w:rFonts w:ascii="Times New Roman" w:hAnsi="Times New Roman" w:cs="Times New Roman"/>
        </w:rPr>
        <w:t xml:space="preserve"> </w:t>
      </w:r>
      <w:r w:rsidRPr="00C66554">
        <w:rPr>
          <w:rFonts w:ascii="Times New Roman" w:hAnsi="Times New Roman" w:cs="Times New Roman"/>
        </w:rPr>
        <w:t xml:space="preserve">and </w:t>
      </w:r>
      <w:r w:rsidR="00BB4345">
        <w:rPr>
          <w:rFonts w:ascii="Times New Roman" w:hAnsi="Times New Roman" w:cs="Times New Roman"/>
        </w:rPr>
        <w:t>S</w:t>
      </w:r>
      <w:r w:rsidRPr="00C66554">
        <w:rPr>
          <w:rFonts w:ascii="Times New Roman" w:hAnsi="Times New Roman" w:cs="Times New Roman"/>
        </w:rPr>
        <w:t>econd Decision on the prosecut</w:t>
      </w:r>
      <w:r w:rsidR="000040D5">
        <w:rPr>
          <w:rFonts w:ascii="Times New Roman" w:hAnsi="Times New Roman" w:cs="Times New Roman"/>
        </w:rPr>
        <w:t>ion</w:t>
      </w:r>
      <w:r w:rsidRPr="00C66554">
        <w:rPr>
          <w:rFonts w:ascii="Times New Roman" w:hAnsi="Times New Roman" w:cs="Times New Roman"/>
        </w:rPr>
        <w:t>’s Application for a Warrant of Arrest 12 July 2010</w:t>
      </w:r>
      <w:bookmarkEnd w:id="9"/>
      <w:r w:rsidR="00C96187">
        <w:rPr>
          <w:rFonts w:ascii="Times New Roman" w:hAnsi="Times New Roman" w:cs="Times New Roman"/>
        </w:rPr>
        <w:t>,</w:t>
      </w:r>
      <w:r w:rsidR="00A82BF5">
        <w:rPr>
          <w:rFonts w:ascii="Times New Roman" w:hAnsi="Times New Roman" w:cs="Times New Roman"/>
        </w:rPr>
        <w:t xml:space="preserve"> </w:t>
      </w:r>
      <w:r w:rsidR="00A82BF5" w:rsidRPr="00A82BF5">
        <w:rPr>
          <w:rFonts w:ascii="Times New Roman" w:hAnsi="Times New Roman" w:cs="Times New Roman"/>
          <w:color w:val="000000" w:themeColor="text1"/>
          <w:shd w:val="clear" w:color="auto" w:fill="FFFFFF"/>
        </w:rPr>
        <w:t>ICC-02/05-01/09-94</w:t>
      </w:r>
      <w:r w:rsidR="00A82BF5">
        <w:rPr>
          <w:rFonts w:ascii="Times New Roman" w:hAnsi="Times New Roman" w:cs="Times New Roman"/>
          <w:color w:val="000000" w:themeColor="text1"/>
          <w:shd w:val="clear" w:color="auto" w:fill="FFFFFF"/>
        </w:rPr>
        <w:t>.</w:t>
      </w:r>
    </w:p>
  </w:footnote>
  <w:footnote w:id="4">
    <w:p w14:paraId="3FA4D730" w14:textId="277B9412" w:rsidR="008B621A" w:rsidRPr="00C66554" w:rsidRDefault="008B621A" w:rsidP="00CE086F">
      <w:pPr>
        <w:pStyle w:val="Textpoznpodarou"/>
        <w:spacing w:before="120"/>
        <w:ind w:left="170" w:right="113"/>
        <w:jc w:val="both"/>
        <w:rPr>
          <w:rFonts w:ascii="Times New Roman" w:hAnsi="Times New Roman" w:cs="Times New Roman"/>
        </w:rPr>
      </w:pPr>
      <w:bookmarkStart w:id="10" w:name="_Hlk105317542"/>
      <w:r w:rsidRPr="00C66554">
        <w:rPr>
          <w:rStyle w:val="Znakapoznpodarou"/>
          <w:rFonts w:ascii="Times New Roman" w:hAnsi="Times New Roman" w:cs="Times New Roman"/>
        </w:rPr>
        <w:footnoteRef/>
      </w:r>
      <w:bookmarkStart w:id="11" w:name="_Hlk105317607"/>
      <w:bookmarkEnd w:id="10"/>
      <w:r w:rsidR="0080047D">
        <w:rPr>
          <w:rFonts w:ascii="Times New Roman" w:hAnsi="Times New Roman" w:cs="Times New Roman"/>
        </w:rPr>
        <w:t xml:space="preserve"> See </w:t>
      </w:r>
      <w:bookmarkStart w:id="12" w:name="_Hlk109337670"/>
      <w:r w:rsidR="0080047D">
        <w:rPr>
          <w:rFonts w:ascii="Times New Roman" w:hAnsi="Times New Roman" w:cs="Times New Roman"/>
        </w:rPr>
        <w:t>Asad G. Kiyani, Al- Bashir &amp; the ICC: The Problem of Head of State</w:t>
      </w:r>
      <w:r w:rsidR="00C26118">
        <w:rPr>
          <w:rFonts w:ascii="Times New Roman" w:hAnsi="Times New Roman" w:cs="Times New Roman"/>
        </w:rPr>
        <w:t xml:space="preserve"> Immunity, Oxford University Press, 2013, P.468. </w:t>
      </w:r>
    </w:p>
    <w:bookmarkEnd w:id="11"/>
    <w:bookmarkEnd w:id="12"/>
  </w:footnote>
  <w:footnote w:id="5">
    <w:p w14:paraId="1F9CCF28" w14:textId="215F37A6"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International</w:t>
      </w:r>
      <w:r w:rsidR="00CB7C77">
        <w:rPr>
          <w:rFonts w:ascii="Times New Roman" w:hAnsi="Times New Roman" w:cs="Times New Roman"/>
        </w:rPr>
        <w:t xml:space="preserve"> Custom </w:t>
      </w:r>
      <w:r w:rsidRPr="00C66554">
        <w:rPr>
          <w:rFonts w:ascii="Times New Roman" w:hAnsi="Times New Roman" w:cs="Times New Roman"/>
        </w:rPr>
        <w:t xml:space="preserve">is </w:t>
      </w:r>
      <w:r w:rsidR="00CB7C77" w:rsidRPr="00CB7C77">
        <w:rPr>
          <w:rFonts w:ascii="Times New Roman" w:hAnsi="Times New Roman" w:cs="Times New Roman"/>
        </w:rPr>
        <w:t xml:space="preserve">accepted </w:t>
      </w:r>
      <w:r w:rsidRPr="00C66554">
        <w:rPr>
          <w:rFonts w:ascii="Times New Roman" w:hAnsi="Times New Roman" w:cs="Times New Roman"/>
        </w:rPr>
        <w:t xml:space="preserve">as one of the </w:t>
      </w:r>
      <w:r w:rsidR="00694974">
        <w:rPr>
          <w:rFonts w:ascii="Times New Roman" w:hAnsi="Times New Roman" w:cs="Times New Roman"/>
        </w:rPr>
        <w:t xml:space="preserve">main </w:t>
      </w:r>
      <w:r w:rsidRPr="00C66554">
        <w:rPr>
          <w:rFonts w:ascii="Times New Roman" w:hAnsi="Times New Roman" w:cs="Times New Roman"/>
        </w:rPr>
        <w:t>sources of international law</w:t>
      </w:r>
      <w:bookmarkStart w:id="13" w:name="_Hlk81411514"/>
      <w:r w:rsidRPr="00C66554">
        <w:rPr>
          <w:rFonts w:ascii="Times New Roman" w:hAnsi="Times New Roman" w:cs="Times New Roman"/>
        </w:rPr>
        <w:t>. Statute of the International Court of Justice, Oct. 24, 1945,</w:t>
      </w:r>
      <w:bookmarkEnd w:id="13"/>
      <w:r w:rsidRPr="00C66554">
        <w:rPr>
          <w:rFonts w:ascii="Times New Roman" w:hAnsi="Times New Roman" w:cs="Times New Roman"/>
        </w:rPr>
        <w:t xml:space="preserve"> art. 38, para. 1. The other </w:t>
      </w:r>
      <w:r w:rsidR="00F21FB6">
        <w:rPr>
          <w:rFonts w:ascii="Times New Roman" w:hAnsi="Times New Roman" w:cs="Times New Roman"/>
        </w:rPr>
        <w:t xml:space="preserve">accepted </w:t>
      </w:r>
      <w:r w:rsidRPr="00C66554">
        <w:rPr>
          <w:rFonts w:ascii="Times New Roman" w:hAnsi="Times New Roman" w:cs="Times New Roman"/>
        </w:rPr>
        <w:t xml:space="preserve">sources are treaties, general principles of law, </w:t>
      </w:r>
      <w:r w:rsidR="00DD428B">
        <w:rPr>
          <w:rFonts w:ascii="Times New Roman" w:hAnsi="Times New Roman" w:cs="Times New Roman"/>
        </w:rPr>
        <w:t xml:space="preserve">judicial </w:t>
      </w:r>
      <w:r w:rsidR="00CB2B18">
        <w:rPr>
          <w:rFonts w:ascii="Times New Roman" w:hAnsi="Times New Roman" w:cs="Times New Roman"/>
        </w:rPr>
        <w:t>decisions,</w:t>
      </w:r>
      <w:r w:rsidR="00DD428B">
        <w:rPr>
          <w:rFonts w:ascii="Times New Roman" w:hAnsi="Times New Roman" w:cs="Times New Roman"/>
        </w:rPr>
        <w:t xml:space="preserve"> and </w:t>
      </w:r>
      <w:r w:rsidRPr="00C66554">
        <w:rPr>
          <w:rFonts w:ascii="Times New Roman" w:hAnsi="Times New Roman" w:cs="Times New Roman"/>
        </w:rPr>
        <w:t xml:space="preserve">writings of </w:t>
      </w:r>
      <w:r w:rsidR="00CB2B18">
        <w:rPr>
          <w:rFonts w:ascii="Times New Roman" w:hAnsi="Times New Roman" w:cs="Times New Roman"/>
        </w:rPr>
        <w:t>academics.</w:t>
      </w:r>
    </w:p>
  </w:footnote>
  <w:footnote w:id="6">
    <w:p w14:paraId="4A4AEE0A" w14:textId="08D09B2B" w:rsidR="008B621A" w:rsidRPr="00C66554" w:rsidRDefault="008B621A" w:rsidP="00F26DED">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bookmarkStart w:id="14" w:name="_Hlk81411581"/>
      <w:bookmarkStart w:id="15" w:name="_Hlk109337800"/>
      <w:r w:rsidRPr="00C66554">
        <w:rPr>
          <w:rFonts w:ascii="Times New Roman" w:hAnsi="Times New Roman" w:cs="Times New Roman"/>
        </w:rPr>
        <w:t>Military and Paramilitary Activities</w:t>
      </w:r>
      <w:r w:rsidR="001A3279">
        <w:rPr>
          <w:rFonts w:ascii="Times New Roman" w:hAnsi="Times New Roman" w:cs="Times New Roman"/>
        </w:rPr>
        <w:t xml:space="preserve">, </w:t>
      </w:r>
      <w:r w:rsidRPr="00C66554">
        <w:rPr>
          <w:rFonts w:ascii="Times New Roman" w:hAnsi="Times New Roman" w:cs="Times New Roman"/>
        </w:rPr>
        <w:t>Nicar. v. U.S., 1986 I.C.J. 14, 97 (June 27</w:t>
      </w:r>
      <w:bookmarkStart w:id="16" w:name="_Hlk81411648"/>
      <w:r w:rsidRPr="00C66554">
        <w:rPr>
          <w:rFonts w:ascii="Times New Roman" w:hAnsi="Times New Roman" w:cs="Times New Roman"/>
        </w:rPr>
        <w:t xml:space="preserve">); </w:t>
      </w:r>
      <w:bookmarkEnd w:id="14"/>
      <w:r w:rsidRPr="00C66554">
        <w:rPr>
          <w:rFonts w:ascii="Times New Roman" w:hAnsi="Times New Roman" w:cs="Times New Roman"/>
        </w:rPr>
        <w:t>see also Asylum Case</w:t>
      </w:r>
      <w:r w:rsidR="001A3279">
        <w:rPr>
          <w:rFonts w:ascii="Times New Roman" w:hAnsi="Times New Roman" w:cs="Times New Roman"/>
        </w:rPr>
        <w:t xml:space="preserve"> </w:t>
      </w:r>
      <w:r w:rsidRPr="00C66554">
        <w:rPr>
          <w:rFonts w:ascii="Times New Roman" w:hAnsi="Times New Roman" w:cs="Times New Roman"/>
        </w:rPr>
        <w:t>Colom. v. Peru, 1950 I.C.J. 266, 276–77 (Nov. 20)</w:t>
      </w:r>
      <w:bookmarkEnd w:id="16"/>
      <w:r w:rsidRPr="00C66554">
        <w:rPr>
          <w:rFonts w:ascii="Times New Roman" w:hAnsi="Times New Roman" w:cs="Times New Roman"/>
        </w:rPr>
        <w:t xml:space="preserve"> </w:t>
      </w:r>
      <w:bookmarkEnd w:id="15"/>
      <w:r w:rsidRPr="00C66554">
        <w:rPr>
          <w:rFonts w:ascii="Times New Roman" w:hAnsi="Times New Roman" w:cs="Times New Roman"/>
        </w:rPr>
        <w:t xml:space="preserve">(noting that a rule of customary international law must derive from constant and uniform usage); </w:t>
      </w:r>
      <w:bookmarkStart w:id="17" w:name="_Hlk81411937"/>
      <w:r w:rsidRPr="00C66554">
        <w:rPr>
          <w:rFonts w:ascii="Times New Roman" w:hAnsi="Times New Roman" w:cs="Times New Roman"/>
        </w:rPr>
        <w:t xml:space="preserve">MICHAEL BYERS, CUSTOM, POWER AND THE POWER OF RULES: INTERNATIONAL RELATIONS AND CUSTOMARY INTERNATIONAL LAW 19 (1999) </w:t>
      </w:r>
      <w:bookmarkEnd w:id="17"/>
      <w:r w:rsidRPr="00C66554">
        <w:rPr>
          <w:rFonts w:ascii="Times New Roman" w:hAnsi="Times New Roman" w:cs="Times New Roman"/>
        </w:rPr>
        <w:t xml:space="preserve">(explaining that the opinio juris element establishes that “only that </w:t>
      </w:r>
      <w:r w:rsidR="00F92651" w:rsidRPr="00C66554">
        <w:rPr>
          <w:rFonts w:ascii="Times New Roman" w:hAnsi="Times New Roman" w:cs="Times New Roman"/>
        </w:rPr>
        <w:t>behavior</w:t>
      </w:r>
      <w:r w:rsidRPr="00C66554">
        <w:rPr>
          <w:rFonts w:ascii="Times New Roman" w:hAnsi="Times New Roman" w:cs="Times New Roman"/>
        </w:rPr>
        <w:t xml:space="preserve"> which is considered legally relevant is regarded as capable of contributing to the process of customary international law”).</w:t>
      </w:r>
    </w:p>
  </w:footnote>
  <w:footnote w:id="7">
    <w:p w14:paraId="65254FF0" w14:textId="7A209F2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bookmarkStart w:id="18" w:name="_Hlk81411966"/>
      <w:r w:rsidR="00F26DED">
        <w:rPr>
          <w:rFonts w:ascii="Times New Roman" w:hAnsi="Times New Roman" w:cs="Times New Roman"/>
        </w:rPr>
        <w:t xml:space="preserve"> </w:t>
      </w:r>
      <w:bookmarkStart w:id="19" w:name="_Hlk109337998"/>
      <w:r w:rsidR="00F26DED">
        <w:rPr>
          <w:rFonts w:ascii="Times New Roman" w:hAnsi="Times New Roman" w:cs="Times New Roman"/>
        </w:rPr>
        <w:t xml:space="preserve">See Michael A. Tunks, DIPLOMATS OR DEFENDANTS? DEFINING </w:t>
      </w:r>
      <w:r w:rsidR="00A279AC">
        <w:rPr>
          <w:rFonts w:ascii="Times New Roman" w:hAnsi="Times New Roman" w:cs="Times New Roman"/>
        </w:rPr>
        <w:t>THE FUTUR OF HEAD- OF STATE IMMUNITY, 52 DUKE LJ. 2002. P.653.</w:t>
      </w:r>
    </w:p>
    <w:bookmarkEnd w:id="18"/>
    <w:bookmarkEnd w:id="19"/>
  </w:footnote>
  <w:footnote w:id="8">
    <w:p w14:paraId="4DB5AEB0" w14:textId="633CFC23"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5E449B">
        <w:rPr>
          <w:rFonts w:ascii="Times New Roman" w:hAnsi="Times New Roman" w:cs="Times New Roman"/>
        </w:rPr>
        <w:t>bid, P</w:t>
      </w:r>
      <w:r w:rsidRPr="00C66554">
        <w:rPr>
          <w:rFonts w:ascii="Times New Roman" w:hAnsi="Times New Roman" w:cs="Times New Roman"/>
        </w:rPr>
        <w:t>.</w:t>
      </w:r>
      <w:r w:rsidR="005E449B">
        <w:rPr>
          <w:rFonts w:ascii="Times New Roman" w:hAnsi="Times New Roman" w:cs="Times New Roman"/>
        </w:rPr>
        <w:t>653.</w:t>
      </w:r>
    </w:p>
  </w:footnote>
  <w:footnote w:id="9">
    <w:p w14:paraId="333706FF" w14:textId="5AA414A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00AC3BCF">
        <w:rPr>
          <w:rFonts w:ascii="Times New Roman" w:hAnsi="Times New Roman" w:cs="Times New Roman"/>
        </w:rPr>
        <w:t xml:space="preserve"> </w:t>
      </w:r>
      <w:r w:rsidRPr="00C66554">
        <w:rPr>
          <w:rFonts w:ascii="Times New Roman" w:hAnsi="Times New Roman" w:cs="Times New Roman"/>
        </w:rPr>
        <w:t>I</w:t>
      </w:r>
      <w:r w:rsidR="00AC3BCF">
        <w:rPr>
          <w:rFonts w:ascii="Times New Roman" w:hAnsi="Times New Roman" w:cs="Times New Roman"/>
        </w:rPr>
        <w:t>bid, P.653.</w:t>
      </w:r>
    </w:p>
  </w:footnote>
  <w:footnote w:id="10">
    <w:p w14:paraId="0BD7B42D" w14:textId="43CAE25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See </w:t>
      </w:r>
      <w:r w:rsidR="00B414F7">
        <w:rPr>
          <w:rFonts w:ascii="Times New Roman" w:hAnsi="Times New Roman" w:cs="Times New Roman"/>
        </w:rPr>
        <w:t>Dapo Akande and Sangeeta Shah, Immunities of State Officials</w:t>
      </w:r>
      <w:r w:rsidR="008C1EE8">
        <w:rPr>
          <w:rFonts w:ascii="Times New Roman" w:hAnsi="Times New Roman" w:cs="Times New Roman"/>
        </w:rPr>
        <w:t>, International Crimes, and Foreign Domestic Courts, The European Journal of International Law, Vol.21, P.817.</w:t>
      </w:r>
    </w:p>
  </w:footnote>
  <w:footnote w:id="11">
    <w:p w14:paraId="435606B1" w14:textId="7A54CACE"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00786B54">
        <w:rPr>
          <w:rFonts w:ascii="Times New Roman" w:hAnsi="Times New Roman" w:cs="Times New Roman"/>
        </w:rPr>
        <w:t xml:space="preserve"> Ibid, P.818.</w:t>
      </w:r>
    </w:p>
  </w:footnote>
  <w:footnote w:id="12">
    <w:p w14:paraId="29F695BC" w14:textId="3C9E4882"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150A9E">
        <w:rPr>
          <w:rFonts w:ascii="Times New Roman" w:hAnsi="Times New Roman" w:cs="Times New Roman"/>
        </w:rPr>
        <w:t>Dapo Akande and Sangeeta Shah</w:t>
      </w:r>
      <w:r>
        <w:rPr>
          <w:rFonts w:ascii="Times New Roman" w:hAnsi="Times New Roman" w:cs="Times New Roman"/>
        </w:rPr>
        <w:t>, above</w:t>
      </w:r>
      <w:r w:rsidRPr="00C66554">
        <w:rPr>
          <w:rFonts w:ascii="Times New Roman" w:hAnsi="Times New Roman" w:cs="Times New Roman"/>
        </w:rPr>
        <w:t xml:space="preserve"> note 10.</w:t>
      </w:r>
    </w:p>
  </w:footnote>
  <w:footnote w:id="13">
    <w:p w14:paraId="73DB0916" w14:textId="2A973C97"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Pr>
          <w:rFonts w:ascii="Times New Roman" w:hAnsi="Times New Roman" w:cs="Times New Roman"/>
        </w:rPr>
        <w:t>See</w:t>
      </w:r>
      <w:bookmarkStart w:id="21" w:name="_Hlk81412190"/>
      <w:r>
        <w:rPr>
          <w:rFonts w:ascii="Times New Roman" w:hAnsi="Times New Roman" w:cs="Times New Roman"/>
        </w:rPr>
        <w:t xml:space="preserve"> </w:t>
      </w:r>
      <w:r w:rsidRPr="00C66554">
        <w:rPr>
          <w:rFonts w:ascii="Times New Roman" w:hAnsi="Times New Roman" w:cs="Times New Roman"/>
        </w:rPr>
        <w:t>United Nations Convention on Special Missions, Dec. 8,1969,</w:t>
      </w:r>
      <w:bookmarkEnd w:id="21"/>
      <w:r>
        <w:rPr>
          <w:rFonts w:ascii="Times New Roman" w:hAnsi="Times New Roman" w:cs="Times New Roman"/>
        </w:rPr>
        <w:t xml:space="preserve"> Vol.</w:t>
      </w:r>
      <w:r w:rsidRPr="00C66554">
        <w:rPr>
          <w:rFonts w:ascii="Times New Roman" w:hAnsi="Times New Roman" w:cs="Times New Roman"/>
        </w:rPr>
        <w:t xml:space="preserve">1400 </w:t>
      </w:r>
      <w:r>
        <w:rPr>
          <w:rFonts w:ascii="Times New Roman" w:hAnsi="Times New Roman" w:cs="Times New Roman"/>
        </w:rPr>
        <w:t>P</w:t>
      </w:r>
      <w:r w:rsidRPr="00C66554">
        <w:rPr>
          <w:rFonts w:ascii="Times New Roman" w:hAnsi="Times New Roman" w:cs="Times New Roman"/>
        </w:rPr>
        <w:t xml:space="preserve"> 231</w:t>
      </w:r>
      <w:r>
        <w:rPr>
          <w:rFonts w:ascii="Times New Roman" w:hAnsi="Times New Roman" w:cs="Times New Roman"/>
        </w:rPr>
        <w:t xml:space="preserve">; Vienna Convention on Diplomatic Relations, </w:t>
      </w:r>
      <w:r w:rsidR="00E86CCE">
        <w:rPr>
          <w:rFonts w:ascii="Times New Roman" w:hAnsi="Times New Roman" w:cs="Times New Roman"/>
        </w:rPr>
        <w:t xml:space="preserve">18 April </w:t>
      </w:r>
      <w:r>
        <w:rPr>
          <w:rFonts w:ascii="Times New Roman" w:hAnsi="Times New Roman" w:cs="Times New Roman"/>
        </w:rPr>
        <w:t>1961, Arts. 29,31.</w:t>
      </w:r>
    </w:p>
  </w:footnote>
  <w:footnote w:id="14">
    <w:p w14:paraId="34F88F3F" w14:textId="1F356F54" w:rsidR="00EF1433" w:rsidRPr="005B5BB1"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5B5BB1">
        <w:rPr>
          <w:rFonts w:ascii="Times New Roman" w:hAnsi="Times New Roman" w:cs="Times New Roman"/>
        </w:rPr>
        <w:t xml:space="preserve"> </w:t>
      </w:r>
      <w:r w:rsidR="005B5BB1" w:rsidRPr="005B5BB1">
        <w:rPr>
          <w:rFonts w:ascii="Times New Roman" w:hAnsi="Times New Roman" w:cs="Times New Roman"/>
        </w:rPr>
        <w:t>Dapo Akande and Sangeeta S</w:t>
      </w:r>
      <w:r w:rsidR="005B5BB1">
        <w:rPr>
          <w:rFonts w:ascii="Times New Roman" w:hAnsi="Times New Roman" w:cs="Times New Roman"/>
        </w:rPr>
        <w:t>hah, supra note 10, P.</w:t>
      </w:r>
      <w:r w:rsidR="006C1305">
        <w:rPr>
          <w:rFonts w:ascii="Times New Roman" w:hAnsi="Times New Roman" w:cs="Times New Roman"/>
        </w:rPr>
        <w:t>817.</w:t>
      </w:r>
    </w:p>
  </w:footnote>
  <w:footnote w:id="15">
    <w:p w14:paraId="3E9C4046" w14:textId="114B3F4C"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5B5BB1">
        <w:rPr>
          <w:rFonts w:ascii="Times New Roman" w:hAnsi="Times New Roman" w:cs="Times New Roman"/>
        </w:rPr>
        <w:t xml:space="preserve"> </w:t>
      </w:r>
      <w:r w:rsidR="00750B98">
        <w:rPr>
          <w:rFonts w:ascii="Times New Roman" w:hAnsi="Times New Roman" w:cs="Times New Roman"/>
        </w:rPr>
        <w:t>Ibid, P.818.</w:t>
      </w:r>
    </w:p>
  </w:footnote>
  <w:footnote w:id="16">
    <w:p w14:paraId="0B5A95D9" w14:textId="0CC0CE2D"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Pr>
          <w:rFonts w:ascii="Times New Roman" w:hAnsi="Times New Roman" w:cs="Times New Roman"/>
        </w:rPr>
        <w:t xml:space="preserve"> </w:t>
      </w:r>
      <w:r w:rsidR="00281AA6">
        <w:rPr>
          <w:rFonts w:ascii="Times New Roman" w:hAnsi="Times New Roman" w:cs="Times New Roman"/>
        </w:rPr>
        <w:t xml:space="preserve">Case Democratic Republic of Congo v </w:t>
      </w:r>
      <w:r w:rsidR="003E406C">
        <w:rPr>
          <w:rFonts w:ascii="Times New Roman" w:hAnsi="Times New Roman" w:cs="Times New Roman"/>
        </w:rPr>
        <w:t>Belgium</w:t>
      </w:r>
      <w:r w:rsidR="00281AA6">
        <w:rPr>
          <w:rFonts w:ascii="Times New Roman" w:hAnsi="Times New Roman" w:cs="Times New Roman"/>
        </w:rPr>
        <w:t xml:space="preserve">: Arrest warrant </w:t>
      </w:r>
      <w:r w:rsidR="003E406C">
        <w:rPr>
          <w:rFonts w:ascii="Times New Roman" w:hAnsi="Times New Roman" w:cs="Times New Roman"/>
        </w:rPr>
        <w:t>of 11 April 2000, mixed different viewpoints of judges Buergenthal, Higgins, and Kooijmans, para 75.</w:t>
      </w:r>
    </w:p>
  </w:footnote>
  <w:footnote w:id="17">
    <w:p w14:paraId="2D336632" w14:textId="3E8B8959"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5F5D7E">
        <w:rPr>
          <w:rFonts w:ascii="Times New Roman" w:hAnsi="Times New Roman" w:cs="Times New Roman"/>
        </w:rPr>
        <w:t>Dapo Akande and Sangeeta Shah, above note 1</w:t>
      </w:r>
      <w:r w:rsidR="00FA448A">
        <w:rPr>
          <w:rFonts w:ascii="Times New Roman" w:hAnsi="Times New Roman" w:cs="Times New Roman"/>
        </w:rPr>
        <w:t>5, P.818.</w:t>
      </w:r>
    </w:p>
  </w:footnote>
  <w:footnote w:id="18">
    <w:p w14:paraId="4B73C268" w14:textId="677D71EF" w:rsidR="00EF1433" w:rsidRPr="00C66554" w:rsidRDefault="00EF1433" w:rsidP="00EF1433">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Arrest Warrant, </w:t>
      </w:r>
      <w:r w:rsidR="00495B78">
        <w:rPr>
          <w:rFonts w:ascii="Times New Roman" w:hAnsi="Times New Roman" w:cs="Times New Roman"/>
        </w:rPr>
        <w:t>above</w:t>
      </w:r>
      <w:r w:rsidRPr="00C66554">
        <w:rPr>
          <w:rFonts w:ascii="Times New Roman" w:hAnsi="Times New Roman" w:cs="Times New Roman"/>
        </w:rPr>
        <w:t xml:space="preserve"> note 16, para. 54; See </w:t>
      </w:r>
      <w:r w:rsidR="00495B78">
        <w:rPr>
          <w:rFonts w:ascii="Times New Roman" w:hAnsi="Times New Roman" w:cs="Times New Roman"/>
        </w:rPr>
        <w:t xml:space="preserve">equally </w:t>
      </w:r>
      <w:r w:rsidRPr="00C66554">
        <w:rPr>
          <w:rFonts w:ascii="Times New Roman" w:hAnsi="Times New Roman" w:cs="Times New Roman"/>
        </w:rPr>
        <w:t>the treaty provisions</w:t>
      </w:r>
      <w:r w:rsidR="00495B78">
        <w:rPr>
          <w:rFonts w:ascii="Times New Roman" w:hAnsi="Times New Roman" w:cs="Times New Roman"/>
        </w:rPr>
        <w:t xml:space="preserve"> mentioned</w:t>
      </w:r>
      <w:r w:rsidRPr="00C66554">
        <w:rPr>
          <w:rFonts w:ascii="Times New Roman" w:hAnsi="Times New Roman" w:cs="Times New Roman"/>
        </w:rPr>
        <w:t xml:space="preserve"> </w:t>
      </w:r>
      <w:r w:rsidR="00495B78">
        <w:rPr>
          <w:rFonts w:ascii="Times New Roman" w:hAnsi="Times New Roman" w:cs="Times New Roman"/>
        </w:rPr>
        <w:t>above</w:t>
      </w:r>
      <w:r w:rsidRPr="00C66554">
        <w:rPr>
          <w:rFonts w:ascii="Times New Roman" w:hAnsi="Times New Roman" w:cs="Times New Roman"/>
        </w:rPr>
        <w:t xml:space="preserve"> note 13.</w:t>
      </w:r>
    </w:p>
  </w:footnote>
  <w:footnote w:id="19">
    <w:p w14:paraId="30E00605" w14:textId="26BA216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Arrest Warrant, </w:t>
      </w:r>
      <w:r w:rsidR="00495B78">
        <w:rPr>
          <w:rFonts w:ascii="Times New Roman" w:hAnsi="Times New Roman" w:cs="Times New Roman"/>
        </w:rPr>
        <w:t>above</w:t>
      </w:r>
      <w:r w:rsidRPr="00C66554">
        <w:rPr>
          <w:rFonts w:ascii="Times New Roman" w:hAnsi="Times New Roman" w:cs="Times New Roman"/>
        </w:rPr>
        <w:t xml:space="preserve"> note 16, paras. 54-55.</w:t>
      </w:r>
    </w:p>
  </w:footnote>
  <w:footnote w:id="20">
    <w:p w14:paraId="4234387B" w14:textId="1CD075DA"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5C5549">
        <w:rPr>
          <w:rFonts w:ascii="Times New Roman" w:hAnsi="Times New Roman" w:cs="Times New Roman"/>
        </w:rPr>
        <w:t>Dapo Akande and Sangeeta Shah, supra note 10, p.819.</w:t>
      </w:r>
    </w:p>
  </w:footnote>
  <w:footnote w:id="21">
    <w:p w14:paraId="50CAEB34" w14:textId="677FDED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1A3644">
        <w:rPr>
          <w:rFonts w:ascii="Times New Roman" w:hAnsi="Times New Roman" w:cs="Times New Roman"/>
        </w:rPr>
        <w:t>bid, P.819.</w:t>
      </w:r>
    </w:p>
  </w:footnote>
  <w:footnote w:id="22">
    <w:p w14:paraId="36050B00" w14:textId="0CF8186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3316F5">
        <w:rPr>
          <w:rFonts w:ascii="Times New Roman" w:hAnsi="Times New Roman" w:cs="Times New Roman"/>
        </w:rPr>
        <w:t>bid, P</w:t>
      </w:r>
      <w:r w:rsidRPr="00C66554">
        <w:rPr>
          <w:rFonts w:ascii="Times New Roman" w:hAnsi="Times New Roman" w:cs="Times New Roman"/>
        </w:rPr>
        <w:t>.</w:t>
      </w:r>
      <w:r w:rsidR="009D3126">
        <w:rPr>
          <w:rFonts w:ascii="Times New Roman" w:hAnsi="Times New Roman" w:cs="Times New Roman"/>
        </w:rPr>
        <w:t>819.</w:t>
      </w:r>
    </w:p>
  </w:footnote>
  <w:footnote w:id="23">
    <w:p w14:paraId="03117D56" w14:textId="6BD7088A"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C15F23">
        <w:rPr>
          <w:rFonts w:ascii="Times New Roman" w:hAnsi="Times New Roman" w:cs="Times New Roman"/>
        </w:rPr>
        <w:t xml:space="preserve">Dapo Akande and Sangeeta Shah, </w:t>
      </w:r>
      <w:r w:rsidR="005D06B7">
        <w:rPr>
          <w:rFonts w:ascii="Times New Roman" w:hAnsi="Times New Roman" w:cs="Times New Roman"/>
        </w:rPr>
        <w:t>supra</w:t>
      </w:r>
      <w:r w:rsidR="00C15F23">
        <w:rPr>
          <w:rFonts w:ascii="Times New Roman" w:hAnsi="Times New Roman" w:cs="Times New Roman"/>
        </w:rPr>
        <w:t xml:space="preserve"> note 10, P.819.</w:t>
      </w:r>
    </w:p>
  </w:footnote>
  <w:footnote w:id="24">
    <w:p w14:paraId="3A50E4C2" w14:textId="5C0F1AF3"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495CBF">
        <w:rPr>
          <w:rFonts w:ascii="Times New Roman" w:hAnsi="Times New Roman" w:cs="Times New Roman"/>
        </w:rPr>
        <w:t>Ibid, P.818.</w:t>
      </w:r>
    </w:p>
  </w:footnote>
  <w:footnote w:id="25">
    <w:p w14:paraId="105317E9" w14:textId="0E760CE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w:t>
      </w:r>
      <w:r w:rsidR="00913681">
        <w:rPr>
          <w:rFonts w:ascii="Times New Roman" w:hAnsi="Times New Roman" w:cs="Times New Roman"/>
        </w:rPr>
        <w:t xml:space="preserve"> Michael A. Tunks</w:t>
      </w:r>
      <w:r w:rsidR="001B6625">
        <w:rPr>
          <w:rFonts w:ascii="Times New Roman" w:hAnsi="Times New Roman" w:cs="Times New Roman"/>
        </w:rPr>
        <w:t>,</w:t>
      </w:r>
      <w:r w:rsidR="00FA1DD9">
        <w:rPr>
          <w:rFonts w:ascii="Times New Roman" w:hAnsi="Times New Roman" w:cs="Times New Roman"/>
        </w:rPr>
        <w:t xml:space="preserve"> sup</w:t>
      </w:r>
      <w:r w:rsidR="00913681">
        <w:rPr>
          <w:rFonts w:ascii="Times New Roman" w:hAnsi="Times New Roman" w:cs="Times New Roman"/>
        </w:rPr>
        <w:t>ra note 7, P.663.</w:t>
      </w:r>
    </w:p>
  </w:footnote>
  <w:footnote w:id="26">
    <w:p w14:paraId="732A137B" w14:textId="0010A639"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913681">
        <w:rPr>
          <w:rFonts w:ascii="Times New Roman" w:hAnsi="Times New Roman" w:cs="Times New Roman"/>
        </w:rPr>
        <w:t>Ibid,</w:t>
      </w:r>
      <w:r w:rsidR="008849E6">
        <w:rPr>
          <w:rFonts w:ascii="Times New Roman" w:hAnsi="Times New Roman" w:cs="Times New Roman"/>
        </w:rPr>
        <w:t xml:space="preserve"> P.663.</w:t>
      </w:r>
    </w:p>
  </w:footnote>
  <w:footnote w:id="27">
    <w:p w14:paraId="257234E9" w14:textId="668689A1"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w:t>
      </w:r>
      <w:r w:rsidR="001B46A0">
        <w:rPr>
          <w:rFonts w:ascii="Times New Roman" w:hAnsi="Times New Roman" w:cs="Times New Roman"/>
        </w:rPr>
        <w:t>Michael A. Tunks, supra note 7, P.663.</w:t>
      </w:r>
    </w:p>
  </w:footnote>
  <w:footnote w:id="28">
    <w:p w14:paraId="63115E1E" w14:textId="7463A228" w:rsidR="008B621A" w:rsidRPr="00E513ED" w:rsidRDefault="008B621A" w:rsidP="00C66554">
      <w:pPr>
        <w:pStyle w:val="Textpoznpodarou"/>
        <w:spacing w:before="120"/>
        <w:ind w:left="170" w:right="113"/>
        <w:jc w:val="both"/>
        <w:rPr>
          <w:rFonts w:ascii="Times New Roman" w:hAnsi="Times New Roman" w:cs="Times New Roman"/>
          <w:lang w:val="fr-FR"/>
        </w:rPr>
      </w:pPr>
      <w:r w:rsidRPr="00C66554">
        <w:rPr>
          <w:rStyle w:val="Znakapoznpodarou"/>
          <w:rFonts w:ascii="Times New Roman" w:hAnsi="Times New Roman" w:cs="Times New Roman"/>
        </w:rPr>
        <w:footnoteRef/>
      </w:r>
      <w:r w:rsidR="00CF0815" w:rsidRPr="00E513ED">
        <w:rPr>
          <w:rFonts w:ascii="Times New Roman" w:hAnsi="Times New Roman" w:cs="Times New Roman"/>
          <w:lang w:val="fr-FR"/>
        </w:rPr>
        <w:t xml:space="preserve"> Dapo Akande, supra note</w:t>
      </w:r>
      <w:r w:rsidR="00E513ED" w:rsidRPr="00E513ED">
        <w:rPr>
          <w:rFonts w:ascii="Times New Roman" w:hAnsi="Times New Roman" w:cs="Times New Roman"/>
          <w:lang w:val="fr-FR"/>
        </w:rPr>
        <w:t xml:space="preserve"> </w:t>
      </w:r>
      <w:r w:rsidR="006F6A3B" w:rsidRPr="00E513ED">
        <w:rPr>
          <w:rFonts w:ascii="Times New Roman" w:hAnsi="Times New Roman" w:cs="Times New Roman"/>
          <w:lang w:val="fr-FR"/>
        </w:rPr>
        <w:t>1,</w:t>
      </w:r>
      <w:r w:rsidR="00CF0815" w:rsidRPr="00E513ED">
        <w:rPr>
          <w:rFonts w:ascii="Times New Roman" w:hAnsi="Times New Roman" w:cs="Times New Roman"/>
          <w:lang w:val="fr-FR"/>
        </w:rPr>
        <w:t xml:space="preserve"> P.</w:t>
      </w:r>
      <w:r w:rsidR="00E513ED" w:rsidRPr="00E513ED">
        <w:rPr>
          <w:rFonts w:ascii="Times New Roman" w:hAnsi="Times New Roman" w:cs="Times New Roman"/>
          <w:lang w:val="fr-FR"/>
        </w:rPr>
        <w:t>411</w:t>
      </w:r>
      <w:r w:rsidR="00CF0815" w:rsidRPr="00E513ED">
        <w:rPr>
          <w:rFonts w:ascii="Times New Roman" w:hAnsi="Times New Roman" w:cs="Times New Roman"/>
          <w:lang w:val="fr-FR"/>
        </w:rPr>
        <w:t>.</w:t>
      </w:r>
    </w:p>
  </w:footnote>
  <w:footnote w:id="29">
    <w:p w14:paraId="02EA570C" w14:textId="7CCF327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Arrest Warrant, supra note 16, para. 51 (emphasis added). The use of the words "such as" suggests that the list of senior officials </w:t>
      </w:r>
      <w:r w:rsidR="002C7369">
        <w:rPr>
          <w:rFonts w:ascii="Times New Roman" w:hAnsi="Times New Roman" w:cs="Times New Roman"/>
        </w:rPr>
        <w:t>authorized</w:t>
      </w:r>
      <w:r w:rsidRPr="00C66554">
        <w:rPr>
          <w:rFonts w:ascii="Times New Roman" w:hAnsi="Times New Roman" w:cs="Times New Roman"/>
        </w:rPr>
        <w:t xml:space="preserve"> to </w:t>
      </w:r>
      <w:r w:rsidR="002C7369">
        <w:rPr>
          <w:rFonts w:ascii="Times New Roman" w:hAnsi="Times New Roman" w:cs="Times New Roman"/>
        </w:rPr>
        <w:t>use such</w:t>
      </w:r>
      <w:r w:rsidRPr="00C66554">
        <w:rPr>
          <w:rFonts w:ascii="Times New Roman" w:hAnsi="Times New Roman" w:cs="Times New Roman"/>
        </w:rPr>
        <w:t xml:space="preserve"> immunity is </w:t>
      </w:r>
      <w:r w:rsidR="002C7369">
        <w:rPr>
          <w:rFonts w:ascii="Times New Roman" w:hAnsi="Times New Roman" w:cs="Times New Roman"/>
        </w:rPr>
        <w:t>extensive</w:t>
      </w:r>
      <w:r w:rsidRPr="00C66554">
        <w:rPr>
          <w:rFonts w:ascii="Times New Roman" w:hAnsi="Times New Roman" w:cs="Times New Roman"/>
        </w:rPr>
        <w:t>.</w:t>
      </w:r>
    </w:p>
  </w:footnote>
  <w:footnote w:id="30">
    <w:p w14:paraId="7B69D3E3" w14:textId="779C2EB9"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075194">
        <w:rPr>
          <w:rFonts w:ascii="Times New Roman" w:hAnsi="Times New Roman" w:cs="Times New Roman"/>
        </w:rPr>
        <w:t>Dapo Akande and Sangeeta Shah,</w:t>
      </w:r>
      <w:r w:rsidR="00637165">
        <w:rPr>
          <w:rFonts w:ascii="Times New Roman" w:hAnsi="Times New Roman" w:cs="Times New Roman"/>
        </w:rPr>
        <w:t xml:space="preserve"> </w:t>
      </w:r>
      <w:r w:rsidR="00075194">
        <w:rPr>
          <w:rFonts w:ascii="Times New Roman" w:hAnsi="Times New Roman" w:cs="Times New Roman"/>
        </w:rPr>
        <w:t>supra note10, P.</w:t>
      </w:r>
      <w:r w:rsidR="00637165">
        <w:rPr>
          <w:rFonts w:ascii="Times New Roman" w:hAnsi="Times New Roman" w:cs="Times New Roman"/>
        </w:rPr>
        <w:t>820.</w:t>
      </w:r>
    </w:p>
  </w:footnote>
  <w:footnote w:id="31">
    <w:p w14:paraId="0402DAA3" w14:textId="3DB96871"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Arrest Warrant, supra note 16, para. 53</w:t>
      </w:r>
      <w:r w:rsidR="00637165">
        <w:rPr>
          <w:rFonts w:ascii="Times New Roman" w:hAnsi="Times New Roman" w:cs="Times New Roman"/>
        </w:rPr>
        <w:t>.</w:t>
      </w:r>
    </w:p>
  </w:footnote>
  <w:footnote w:id="32">
    <w:p w14:paraId="33F7E3FD" w14:textId="3507C00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C00F20">
        <w:rPr>
          <w:rFonts w:ascii="Times New Roman" w:hAnsi="Times New Roman" w:cs="Times New Roman"/>
        </w:rPr>
        <w:t xml:space="preserve">Dapo Akande and Sangeeta Shah, </w:t>
      </w:r>
      <w:r w:rsidR="006E5E99">
        <w:rPr>
          <w:rFonts w:ascii="Times New Roman" w:hAnsi="Times New Roman" w:cs="Times New Roman"/>
        </w:rPr>
        <w:t>supra note 10, P.821.</w:t>
      </w:r>
    </w:p>
  </w:footnote>
  <w:footnote w:id="33">
    <w:p w14:paraId="162D86EC" w14:textId="6E21AEC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DD7972">
        <w:rPr>
          <w:rFonts w:ascii="Times New Roman" w:hAnsi="Times New Roman" w:cs="Times New Roman"/>
        </w:rPr>
        <w:t>Ibid, P. 821.</w:t>
      </w:r>
    </w:p>
  </w:footnote>
  <w:footnote w:id="34">
    <w:p w14:paraId="5D33AFF1" w14:textId="757CEFF9"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w:t>
      </w:r>
      <w:r w:rsidR="0084010A">
        <w:rPr>
          <w:rFonts w:ascii="Times New Roman" w:hAnsi="Times New Roman" w:cs="Times New Roman"/>
        </w:rPr>
        <w:t xml:space="preserve"> Dapo Akande, International Law Immunities, and the International Criminal Court, supra note1, P. 412;</w:t>
      </w:r>
      <w:r w:rsidR="005E0267">
        <w:rPr>
          <w:rFonts w:ascii="Times New Roman" w:hAnsi="Times New Roman" w:cs="Times New Roman"/>
        </w:rPr>
        <w:t xml:space="preserve"> Dapo Akande and Sangeeta Shah</w:t>
      </w:r>
      <w:r w:rsidR="00037454">
        <w:rPr>
          <w:rFonts w:ascii="Times New Roman" w:hAnsi="Times New Roman" w:cs="Times New Roman"/>
        </w:rPr>
        <w:t xml:space="preserve">, </w:t>
      </w:r>
      <w:r w:rsidRPr="00C66554">
        <w:rPr>
          <w:rFonts w:ascii="Times New Roman" w:hAnsi="Times New Roman" w:cs="Times New Roman"/>
        </w:rPr>
        <w:t>supra note 10,</w:t>
      </w:r>
      <w:r w:rsidR="00037454">
        <w:rPr>
          <w:rFonts w:ascii="Times New Roman" w:hAnsi="Times New Roman" w:cs="Times New Roman"/>
        </w:rPr>
        <w:t xml:space="preserve"> P</w:t>
      </w:r>
      <w:r w:rsidRPr="00C66554">
        <w:rPr>
          <w:rFonts w:ascii="Times New Roman" w:hAnsi="Times New Roman" w:cs="Times New Roman"/>
        </w:rPr>
        <w:t xml:space="preserve">. </w:t>
      </w:r>
      <w:r w:rsidR="00037454">
        <w:rPr>
          <w:rFonts w:ascii="Times New Roman" w:hAnsi="Times New Roman" w:cs="Times New Roman"/>
        </w:rPr>
        <w:t>825.</w:t>
      </w:r>
    </w:p>
  </w:footnote>
  <w:footnote w:id="35">
    <w:p w14:paraId="622706B2" w14:textId="7FF8610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6C6DCB">
        <w:rPr>
          <w:rFonts w:ascii="Times New Roman" w:hAnsi="Times New Roman" w:cs="Times New Roman"/>
        </w:rPr>
        <w:t>Ibid, P.825.</w:t>
      </w:r>
    </w:p>
  </w:footnote>
  <w:footnote w:id="36">
    <w:p w14:paraId="41D44969" w14:textId="334F2CE7"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187A69">
        <w:rPr>
          <w:rFonts w:ascii="Times New Roman" w:hAnsi="Times New Roman" w:cs="Times New Roman"/>
        </w:rPr>
        <w:t>Dapo Akande and Sangeeta Shah, supra note 10, P.825.</w:t>
      </w:r>
    </w:p>
  </w:footnote>
  <w:footnote w:id="37">
    <w:p w14:paraId="55ED6FEA" w14:textId="3A33FAE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004B66F4">
        <w:rPr>
          <w:rFonts w:ascii="Times New Roman" w:hAnsi="Times New Roman" w:cs="Times New Roman"/>
        </w:rPr>
        <w:t xml:space="preserve"> Ibid, P.826.</w:t>
      </w:r>
    </w:p>
  </w:footnote>
  <w:footnote w:id="38">
    <w:p w14:paraId="224A3B1E" w14:textId="68D1DE4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D077F1">
        <w:rPr>
          <w:rFonts w:ascii="Times New Roman" w:hAnsi="Times New Roman" w:cs="Times New Roman"/>
        </w:rPr>
        <w:t>Dapo Akande and Sangeeta Shah</w:t>
      </w:r>
      <w:r w:rsidR="00D45733">
        <w:rPr>
          <w:rFonts w:ascii="Times New Roman" w:hAnsi="Times New Roman" w:cs="Times New Roman"/>
        </w:rPr>
        <w:t>, supra note 10, P.826.</w:t>
      </w:r>
    </w:p>
  </w:footnote>
  <w:footnote w:id="39">
    <w:p w14:paraId="123EF0E2" w14:textId="7A386F97"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577045">
        <w:rPr>
          <w:rFonts w:ascii="Times New Roman" w:hAnsi="Times New Roman" w:cs="Times New Roman"/>
        </w:rPr>
        <w:t>Ibid, P.826.</w:t>
      </w:r>
    </w:p>
  </w:footnote>
  <w:footnote w:id="40">
    <w:p w14:paraId="34F90329" w14:textId="46F6180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3E718C">
        <w:rPr>
          <w:rFonts w:ascii="Times New Roman" w:hAnsi="Times New Roman" w:cs="Times New Roman"/>
        </w:rPr>
        <w:t>Ibid, P.827.</w:t>
      </w:r>
    </w:p>
  </w:footnote>
  <w:footnote w:id="41">
    <w:p w14:paraId="10995E7B" w14:textId="1A36642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00A012BB">
        <w:rPr>
          <w:rFonts w:ascii="Times New Roman" w:hAnsi="Times New Roman" w:cs="Times New Roman"/>
        </w:rPr>
        <w:t xml:space="preserve"> Ibid, P. 839.</w:t>
      </w:r>
    </w:p>
  </w:footnote>
  <w:footnote w:id="42">
    <w:p w14:paraId="4D68D017" w14:textId="70DB5055"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w:t>
      </w:r>
      <w:r w:rsidR="005F586B">
        <w:rPr>
          <w:rFonts w:ascii="Times New Roman" w:hAnsi="Times New Roman" w:cs="Times New Roman"/>
        </w:rPr>
        <w:t xml:space="preserve"> Dapo Akande and Sangeeta Shah, supra note 10, P.839.</w:t>
      </w:r>
    </w:p>
  </w:footnote>
  <w:footnote w:id="43">
    <w:p w14:paraId="28BD4F4D" w14:textId="619EB13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C965BD">
        <w:rPr>
          <w:rFonts w:ascii="Times New Roman" w:hAnsi="Times New Roman" w:cs="Times New Roman"/>
        </w:rPr>
        <w:t>Ibid, P.840.</w:t>
      </w:r>
    </w:p>
  </w:footnote>
  <w:footnote w:id="44">
    <w:p w14:paraId="62EDD1C5" w14:textId="25191A2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A55DA4">
        <w:rPr>
          <w:rFonts w:ascii="Times New Roman" w:hAnsi="Times New Roman" w:cs="Times New Roman"/>
        </w:rPr>
        <w:t>Ibid, P.828.</w:t>
      </w:r>
    </w:p>
  </w:footnote>
  <w:footnote w:id="45">
    <w:p w14:paraId="2B85EEF6" w14:textId="4087B250"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Dapo Akande, International Immunities in Respect of Human Rights </w:t>
      </w:r>
      <w:r w:rsidR="00C1235D" w:rsidRPr="00C66554">
        <w:rPr>
          <w:rFonts w:ascii="Times New Roman" w:hAnsi="Times New Roman" w:cs="Times New Roman"/>
        </w:rPr>
        <w:t>Violations,</w:t>
      </w:r>
      <w:r w:rsidRPr="00C66554">
        <w:rPr>
          <w:rFonts w:ascii="Times New Roman" w:hAnsi="Times New Roman" w:cs="Times New Roman"/>
        </w:rPr>
        <w:t xml:space="preserve"> and International Crimes: Why the Difference Between Civil and Criminal Proceedings? </w:t>
      </w:r>
    </w:p>
  </w:footnote>
  <w:footnote w:id="46">
    <w:p w14:paraId="29182053" w14:textId="1D5098B9" w:rsidR="008B621A" w:rsidRPr="006430CF" w:rsidRDefault="008B621A" w:rsidP="00C66554">
      <w:pPr>
        <w:pStyle w:val="Textpoznpodarou"/>
        <w:spacing w:before="120"/>
        <w:ind w:left="170" w:right="113"/>
        <w:jc w:val="both"/>
        <w:rPr>
          <w:rFonts w:ascii="Times New Roman" w:hAnsi="Times New Roman" w:cs="Times New Roman"/>
          <w:lang w:val="fr-FR"/>
        </w:rPr>
      </w:pPr>
      <w:r w:rsidRPr="00C66554">
        <w:rPr>
          <w:rStyle w:val="Znakapoznpodarou"/>
          <w:rFonts w:ascii="Times New Roman" w:hAnsi="Times New Roman" w:cs="Times New Roman"/>
        </w:rPr>
        <w:footnoteRef/>
      </w:r>
      <w:r w:rsidRPr="006430CF">
        <w:rPr>
          <w:rFonts w:ascii="Times New Roman" w:hAnsi="Times New Roman" w:cs="Times New Roman"/>
          <w:lang w:val="fr-FR"/>
        </w:rPr>
        <w:t xml:space="preserve"> </w:t>
      </w:r>
      <w:r w:rsidR="006430CF" w:rsidRPr="006430CF">
        <w:rPr>
          <w:rFonts w:ascii="Times New Roman" w:hAnsi="Times New Roman" w:cs="Times New Roman"/>
          <w:lang w:val="fr-FR"/>
        </w:rPr>
        <w:t>Dapo Akande, supra note 1, P</w:t>
      </w:r>
      <w:r w:rsidR="006430CF">
        <w:rPr>
          <w:rFonts w:ascii="Times New Roman" w:hAnsi="Times New Roman" w:cs="Times New Roman"/>
          <w:lang w:val="fr-FR"/>
        </w:rPr>
        <w:t>.414.</w:t>
      </w:r>
    </w:p>
  </w:footnote>
  <w:footnote w:id="47">
    <w:p w14:paraId="501207D9" w14:textId="7C8A0C27"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6430CF">
        <w:rPr>
          <w:rFonts w:ascii="Times New Roman" w:hAnsi="Times New Roman" w:cs="Times New Roman"/>
        </w:rPr>
        <w:t>Ibid, P.414.</w:t>
      </w:r>
      <w:r w:rsidR="00366DC6">
        <w:rPr>
          <w:rFonts w:ascii="Times New Roman" w:hAnsi="Times New Roman" w:cs="Times New Roman"/>
        </w:rPr>
        <w:t xml:space="preserve"> </w:t>
      </w:r>
    </w:p>
  </w:footnote>
  <w:footnote w:id="48">
    <w:p w14:paraId="74E07505" w14:textId="4519946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6430CF">
        <w:rPr>
          <w:rFonts w:ascii="Times New Roman" w:hAnsi="Times New Roman" w:cs="Times New Roman"/>
        </w:rPr>
        <w:t>Ibid, P.414.</w:t>
      </w:r>
    </w:p>
  </w:footnote>
  <w:footnote w:id="49">
    <w:p w14:paraId="7118188F" w14:textId="178E7FA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w:t>
      </w:r>
      <w:r w:rsidR="009170CE">
        <w:rPr>
          <w:rFonts w:ascii="Times New Roman" w:hAnsi="Times New Roman" w:cs="Times New Roman"/>
        </w:rPr>
        <w:t xml:space="preserve"> Dapo Akande and Sangeeta Shah</w:t>
      </w:r>
      <w:bookmarkStart w:id="23" w:name="_Hlk81414642"/>
      <w:r w:rsidR="009170CE">
        <w:rPr>
          <w:rFonts w:ascii="Times New Roman" w:hAnsi="Times New Roman" w:cs="Times New Roman"/>
        </w:rPr>
        <w:t>, supra note10, P.8</w:t>
      </w:r>
      <w:r w:rsidR="000B69DE">
        <w:rPr>
          <w:rFonts w:ascii="Times New Roman" w:hAnsi="Times New Roman" w:cs="Times New Roman"/>
        </w:rPr>
        <w:t>40</w:t>
      </w:r>
      <w:r w:rsidR="009170CE">
        <w:rPr>
          <w:rFonts w:ascii="Times New Roman" w:hAnsi="Times New Roman" w:cs="Times New Roman"/>
        </w:rPr>
        <w:t>.</w:t>
      </w:r>
    </w:p>
    <w:bookmarkEnd w:id="23"/>
  </w:footnote>
  <w:footnote w:id="50">
    <w:p w14:paraId="523BA82B" w14:textId="125A23E5" w:rsidR="008B621A" w:rsidRPr="002C26CF" w:rsidRDefault="008B621A" w:rsidP="00C66554">
      <w:pPr>
        <w:pStyle w:val="Textpoznpodarou"/>
        <w:spacing w:before="120"/>
        <w:ind w:left="170" w:right="113"/>
        <w:jc w:val="both"/>
        <w:rPr>
          <w:rFonts w:ascii="Times New Roman" w:hAnsi="Times New Roman" w:cs="Times New Roman"/>
          <w:lang w:val="fr-FR"/>
        </w:rPr>
      </w:pPr>
      <w:r w:rsidRPr="00C66554">
        <w:rPr>
          <w:rStyle w:val="Znakapoznpodarou"/>
          <w:rFonts w:ascii="Times New Roman" w:hAnsi="Times New Roman" w:cs="Times New Roman"/>
        </w:rPr>
        <w:footnoteRef/>
      </w:r>
      <w:r w:rsidRPr="002C26CF">
        <w:rPr>
          <w:rFonts w:ascii="Times New Roman" w:hAnsi="Times New Roman" w:cs="Times New Roman"/>
          <w:lang w:val="fr-FR"/>
        </w:rPr>
        <w:t xml:space="preserve"> </w:t>
      </w:r>
      <w:r w:rsidR="007834B2" w:rsidRPr="002C26CF">
        <w:rPr>
          <w:rFonts w:ascii="Times New Roman" w:hAnsi="Times New Roman" w:cs="Times New Roman"/>
          <w:lang w:val="fr-FR"/>
        </w:rPr>
        <w:t>Dapo Akande, supra note 1, P.415.</w:t>
      </w:r>
      <w:r w:rsidRPr="002C26CF">
        <w:rPr>
          <w:rFonts w:ascii="Times New Roman" w:hAnsi="Times New Roman" w:cs="Times New Roman"/>
          <w:lang w:val="fr-FR"/>
        </w:rPr>
        <w:t xml:space="preserve"> </w:t>
      </w:r>
    </w:p>
  </w:footnote>
  <w:footnote w:id="51">
    <w:p w14:paraId="3DC18006" w14:textId="1AD183C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w:t>
      </w:r>
      <w:r w:rsidR="00C24ECF">
        <w:rPr>
          <w:rFonts w:ascii="Times New Roman" w:hAnsi="Times New Roman" w:cs="Times New Roman"/>
        </w:rPr>
        <w:t>Dapo Akande and Sangeeta Shah, supra note 10, P.841.</w:t>
      </w:r>
    </w:p>
  </w:footnote>
  <w:footnote w:id="52">
    <w:p w14:paraId="61958BA3" w14:textId="5AEFE5B3" w:rsidR="008B621A" w:rsidRPr="002C26CF" w:rsidRDefault="008B621A" w:rsidP="00C66554">
      <w:pPr>
        <w:pStyle w:val="Textpoznpodarou"/>
        <w:spacing w:before="120"/>
        <w:ind w:left="170" w:right="113"/>
        <w:jc w:val="both"/>
        <w:rPr>
          <w:rFonts w:ascii="Times New Roman" w:hAnsi="Times New Roman" w:cs="Times New Roman"/>
          <w:lang w:val="fr-FR"/>
        </w:rPr>
      </w:pPr>
      <w:r w:rsidRPr="00C66554">
        <w:rPr>
          <w:rStyle w:val="Znakapoznpodarou"/>
          <w:rFonts w:ascii="Times New Roman" w:hAnsi="Times New Roman" w:cs="Times New Roman"/>
        </w:rPr>
        <w:footnoteRef/>
      </w:r>
      <w:r w:rsidRPr="003C165F">
        <w:rPr>
          <w:rFonts w:ascii="Times New Roman" w:hAnsi="Times New Roman" w:cs="Times New Roman"/>
          <w:lang w:val="fr-FR"/>
        </w:rPr>
        <w:t xml:space="preserve"> </w:t>
      </w:r>
      <w:r w:rsidR="003C165F" w:rsidRPr="003C165F">
        <w:rPr>
          <w:rFonts w:ascii="Times New Roman" w:hAnsi="Times New Roman" w:cs="Times New Roman"/>
          <w:lang w:val="fr-FR"/>
        </w:rPr>
        <w:t>Dapo Akande, supra note 1, P.415.</w:t>
      </w:r>
      <w:bookmarkStart w:id="24" w:name="_Hlk81415007"/>
    </w:p>
    <w:bookmarkEnd w:id="24"/>
  </w:footnote>
  <w:footnote w:id="53">
    <w:p w14:paraId="4C36E891" w14:textId="0D15DDD0"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256471">
        <w:rPr>
          <w:rFonts w:ascii="Times New Roman" w:hAnsi="Times New Roman" w:cs="Times New Roman"/>
        </w:rPr>
        <w:t>Ibid, P. 415.</w:t>
      </w:r>
    </w:p>
  </w:footnote>
  <w:footnote w:id="54">
    <w:p w14:paraId="6C3DFCC7" w14:textId="573CD4AE"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w:t>
      </w:r>
      <w:r w:rsidR="002B65AC">
        <w:rPr>
          <w:rFonts w:ascii="Times New Roman" w:hAnsi="Times New Roman" w:cs="Times New Roman"/>
        </w:rPr>
        <w:t xml:space="preserve"> Dapo Akande, supra note 1, P. 415.</w:t>
      </w:r>
      <w:r w:rsidRPr="00C66554">
        <w:rPr>
          <w:rFonts w:ascii="Times New Roman" w:hAnsi="Times New Roman" w:cs="Times New Roman"/>
        </w:rPr>
        <w:t xml:space="preserve"> </w:t>
      </w:r>
    </w:p>
  </w:footnote>
  <w:footnote w:id="55">
    <w:p w14:paraId="2C7E8F4D" w14:textId="22D3AD41"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w:t>
      </w:r>
      <w:bookmarkStart w:id="27" w:name="_Hlk81417070"/>
      <w:bookmarkStart w:id="28" w:name="_Hlk109338280"/>
      <w:r w:rsidRPr="00C66554">
        <w:rPr>
          <w:rFonts w:ascii="Times New Roman" w:hAnsi="Times New Roman" w:cs="Times New Roman"/>
        </w:rPr>
        <w:t xml:space="preserve">HAZEL FOX, THE LAW OF STATE IMMUNITY (2002) </w:t>
      </w:r>
      <w:bookmarkEnd w:id="27"/>
      <w:r w:rsidRPr="00C66554">
        <w:rPr>
          <w:rFonts w:ascii="Times New Roman" w:hAnsi="Times New Roman" w:cs="Times New Roman"/>
        </w:rPr>
        <w:t>at 429-30.</w:t>
      </w:r>
      <w:bookmarkEnd w:id="28"/>
    </w:p>
  </w:footnote>
  <w:footnote w:id="56">
    <w:p w14:paraId="7E5D5B16" w14:textId="5C9D04F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Arrest Warrant, supra note 16, para. 58; </w:t>
      </w:r>
      <w:bookmarkStart w:id="29" w:name="_Hlk81417163"/>
      <w:bookmarkStart w:id="30" w:name="_Hlk109338348"/>
      <w:r w:rsidRPr="00C66554">
        <w:rPr>
          <w:rFonts w:ascii="Times New Roman" w:hAnsi="Times New Roman" w:cs="Times New Roman"/>
        </w:rPr>
        <w:t>ANTONIO CASSESE, INTERNATIONAL CRIMINAL LAW (2003) at 267</w:t>
      </w:r>
      <w:bookmarkEnd w:id="29"/>
      <w:r w:rsidRPr="00C66554">
        <w:rPr>
          <w:rFonts w:ascii="Times New Roman" w:hAnsi="Times New Roman" w:cs="Times New Roman"/>
        </w:rPr>
        <w:t>.</w:t>
      </w:r>
    </w:p>
    <w:bookmarkEnd w:id="30"/>
  </w:footnote>
  <w:footnote w:id="57">
    <w:p w14:paraId="2B207A02" w14:textId="6B3471F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487296">
        <w:rPr>
          <w:rFonts w:ascii="Times New Roman" w:hAnsi="Times New Roman" w:cs="Times New Roman"/>
        </w:rPr>
        <w:t>Dapo Akande and Sangeeta Shah, supra note 10, P.826-827.</w:t>
      </w:r>
    </w:p>
  </w:footnote>
  <w:footnote w:id="58">
    <w:p w14:paraId="5123B711" w14:textId="5A9446F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w:t>
      </w:r>
      <w:r w:rsidR="006B60F0">
        <w:rPr>
          <w:rFonts w:ascii="Times New Roman" w:hAnsi="Times New Roman" w:cs="Times New Roman"/>
        </w:rPr>
        <w:t>ee Rome</w:t>
      </w:r>
      <w:r w:rsidRPr="00C66554">
        <w:rPr>
          <w:rFonts w:ascii="Times New Roman" w:hAnsi="Times New Roman" w:cs="Times New Roman"/>
        </w:rPr>
        <w:t xml:space="preserve"> Statute</w:t>
      </w:r>
      <w:r w:rsidR="006B60F0">
        <w:rPr>
          <w:rFonts w:ascii="Times New Roman" w:hAnsi="Times New Roman" w:cs="Times New Roman"/>
        </w:rPr>
        <w:t xml:space="preserve"> of the International Criminal Court</w:t>
      </w:r>
      <w:r w:rsidRPr="00C66554">
        <w:rPr>
          <w:rFonts w:ascii="Times New Roman" w:hAnsi="Times New Roman" w:cs="Times New Roman"/>
        </w:rPr>
        <w:t xml:space="preserve">, </w:t>
      </w:r>
      <w:r w:rsidR="006B60F0">
        <w:rPr>
          <w:rFonts w:ascii="Times New Roman" w:hAnsi="Times New Roman" w:cs="Times New Roman"/>
        </w:rPr>
        <w:t xml:space="preserve">July 17, 1998. </w:t>
      </w:r>
      <w:r w:rsidRPr="00C66554">
        <w:rPr>
          <w:rFonts w:ascii="Times New Roman" w:hAnsi="Times New Roman" w:cs="Times New Roman"/>
        </w:rPr>
        <w:t xml:space="preserve">Arts. 86, 89.  </w:t>
      </w:r>
    </w:p>
  </w:footnote>
  <w:footnote w:id="59">
    <w:p w14:paraId="3AB6EC78" w14:textId="2D5C8413"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9E0125">
        <w:rPr>
          <w:rFonts w:ascii="Times New Roman" w:hAnsi="Times New Roman" w:cs="Times New Roman"/>
        </w:rPr>
        <w:t>Dapo Akande, International Law Immunities, and the International Criminal Court, supra note 1, P.420.</w:t>
      </w:r>
    </w:p>
  </w:footnote>
  <w:footnote w:id="60">
    <w:p w14:paraId="4B4D93A2" w14:textId="0471C4C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684AFE">
        <w:rPr>
          <w:rFonts w:ascii="Times New Roman" w:hAnsi="Times New Roman" w:cs="Times New Roman"/>
        </w:rPr>
        <w:t xml:space="preserve">bid, </w:t>
      </w:r>
      <w:r w:rsidR="00580522">
        <w:rPr>
          <w:rFonts w:ascii="Times New Roman" w:hAnsi="Times New Roman" w:cs="Times New Roman"/>
        </w:rPr>
        <w:t>P. 420.</w:t>
      </w:r>
    </w:p>
  </w:footnote>
  <w:footnote w:id="61">
    <w:p w14:paraId="1078C46C" w14:textId="56676605"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580522">
        <w:rPr>
          <w:rFonts w:ascii="Times New Roman" w:hAnsi="Times New Roman" w:cs="Times New Roman"/>
        </w:rPr>
        <w:t xml:space="preserve">Ibid, P.420. </w:t>
      </w:r>
    </w:p>
  </w:footnote>
  <w:footnote w:id="62">
    <w:p w14:paraId="392A9E75" w14:textId="64CF99CE" w:rsidR="008B621A" w:rsidRPr="002C26CF"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2C26CF">
        <w:rPr>
          <w:rFonts w:ascii="Times New Roman" w:hAnsi="Times New Roman" w:cs="Times New Roman"/>
        </w:rPr>
        <w:t xml:space="preserve"> </w:t>
      </w:r>
      <w:r w:rsidR="00846484" w:rsidRPr="002C26CF">
        <w:rPr>
          <w:rFonts w:ascii="Times New Roman" w:hAnsi="Times New Roman" w:cs="Times New Roman"/>
        </w:rPr>
        <w:t>Dapo Akande</w:t>
      </w:r>
      <w:r w:rsidR="00256C91" w:rsidRPr="002C26CF">
        <w:rPr>
          <w:rFonts w:ascii="Times New Roman" w:hAnsi="Times New Roman" w:cs="Times New Roman"/>
        </w:rPr>
        <w:t>,</w:t>
      </w:r>
      <w:r w:rsidR="00846484" w:rsidRPr="002C26CF">
        <w:rPr>
          <w:rFonts w:ascii="Times New Roman" w:hAnsi="Times New Roman" w:cs="Times New Roman"/>
        </w:rPr>
        <w:t xml:space="preserve"> supra note 1,</w:t>
      </w:r>
      <w:r w:rsidR="00256C91" w:rsidRPr="002C26CF">
        <w:rPr>
          <w:rFonts w:ascii="Times New Roman" w:hAnsi="Times New Roman" w:cs="Times New Roman"/>
        </w:rPr>
        <w:t xml:space="preserve"> P.421.</w:t>
      </w:r>
    </w:p>
  </w:footnote>
  <w:footnote w:id="63">
    <w:p w14:paraId="0F61BFC6" w14:textId="4BA4CF7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846484">
        <w:rPr>
          <w:rFonts w:ascii="Times New Roman" w:hAnsi="Times New Roman" w:cs="Times New Roman"/>
        </w:rPr>
        <w:t>Ibid, P.421.</w:t>
      </w:r>
    </w:p>
  </w:footnote>
  <w:footnote w:id="64">
    <w:p w14:paraId="5F895ADB" w14:textId="0B309D3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154B32">
        <w:rPr>
          <w:rFonts w:ascii="Times New Roman" w:hAnsi="Times New Roman" w:cs="Times New Roman"/>
        </w:rPr>
        <w:t>Ibid, P.421.</w:t>
      </w:r>
      <w:bookmarkStart w:id="32" w:name="_Hlk81429921"/>
    </w:p>
    <w:bookmarkEnd w:id="32"/>
  </w:footnote>
  <w:footnote w:id="65">
    <w:p w14:paraId="36499E9B" w14:textId="4C7BD06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CB19DD">
        <w:rPr>
          <w:rFonts w:ascii="Times New Roman" w:hAnsi="Times New Roman" w:cs="Times New Roman"/>
        </w:rPr>
        <w:t>Ibid, P.421.</w:t>
      </w:r>
    </w:p>
  </w:footnote>
  <w:footnote w:id="66">
    <w:p w14:paraId="4AF698BB" w14:textId="467E0EC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CB19DD">
        <w:rPr>
          <w:rFonts w:ascii="Times New Roman" w:hAnsi="Times New Roman" w:cs="Times New Roman"/>
        </w:rPr>
        <w:t>Ibid, P.421</w:t>
      </w:r>
      <w:r w:rsidRPr="00C66554">
        <w:rPr>
          <w:rFonts w:ascii="Times New Roman" w:hAnsi="Times New Roman" w:cs="Times New Roman"/>
        </w:rPr>
        <w:t xml:space="preserve">. </w:t>
      </w:r>
    </w:p>
  </w:footnote>
  <w:footnote w:id="67">
    <w:p w14:paraId="379A4E78" w14:textId="74E6F0C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w:t>
      </w:r>
      <w:r w:rsidR="00400383">
        <w:rPr>
          <w:rFonts w:ascii="Times New Roman" w:hAnsi="Times New Roman" w:cs="Times New Roman"/>
        </w:rPr>
        <w:t>Dapo Akande, supra note 1, P.421.</w:t>
      </w:r>
    </w:p>
  </w:footnote>
  <w:footnote w:id="68">
    <w:p w14:paraId="16146F20" w14:textId="3263949B"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D9457B">
        <w:rPr>
          <w:rFonts w:ascii="Times New Roman" w:hAnsi="Times New Roman" w:cs="Times New Roman"/>
        </w:rPr>
        <w:t>Ibid, P.421.</w:t>
      </w:r>
    </w:p>
  </w:footnote>
  <w:footnote w:id="69">
    <w:p w14:paraId="4903F75D" w14:textId="45DA56BD"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2433F5">
        <w:rPr>
          <w:rFonts w:ascii="Times New Roman" w:hAnsi="Times New Roman" w:cs="Times New Roman"/>
        </w:rPr>
        <w:t>Ibid, P.421.</w:t>
      </w:r>
    </w:p>
  </w:footnote>
  <w:footnote w:id="70">
    <w:p w14:paraId="682FAF12" w14:textId="3799DC32"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30759A">
        <w:rPr>
          <w:rFonts w:ascii="Times New Roman" w:hAnsi="Times New Roman" w:cs="Times New Roman"/>
        </w:rPr>
        <w:t>Ibid, P.422.</w:t>
      </w:r>
    </w:p>
  </w:footnote>
  <w:footnote w:id="71">
    <w:p w14:paraId="71556017" w14:textId="18C1E405"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w:t>
      </w:r>
      <w:r w:rsidR="0030759A">
        <w:rPr>
          <w:rFonts w:ascii="Times New Roman" w:hAnsi="Times New Roman" w:cs="Times New Roman"/>
        </w:rPr>
        <w:t>Dapo Akande, supra note 1,</w:t>
      </w:r>
      <w:bookmarkStart w:id="33" w:name="_Hlk81427220"/>
      <w:r w:rsidR="0030759A">
        <w:rPr>
          <w:rFonts w:ascii="Times New Roman" w:hAnsi="Times New Roman" w:cs="Times New Roman"/>
        </w:rPr>
        <w:t xml:space="preserve"> P.422.</w:t>
      </w:r>
    </w:p>
    <w:bookmarkEnd w:id="33"/>
  </w:footnote>
  <w:footnote w:id="72">
    <w:p w14:paraId="1358A41B" w14:textId="64342CE9"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3620C3">
        <w:rPr>
          <w:rFonts w:ascii="Times New Roman" w:hAnsi="Times New Roman" w:cs="Times New Roman"/>
        </w:rPr>
        <w:t>bid, P.422.</w:t>
      </w:r>
      <w:r w:rsidRPr="00C66554">
        <w:rPr>
          <w:rFonts w:ascii="Times New Roman" w:hAnsi="Times New Roman" w:cs="Times New Roman"/>
        </w:rPr>
        <w:t xml:space="preserve"> </w:t>
      </w:r>
    </w:p>
  </w:footnote>
  <w:footnote w:id="73">
    <w:p w14:paraId="62F1BBDF" w14:textId="56B9676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0F04D2">
        <w:rPr>
          <w:rFonts w:ascii="Times New Roman" w:hAnsi="Times New Roman" w:cs="Times New Roman"/>
        </w:rPr>
        <w:t>bid, P.422.</w:t>
      </w:r>
    </w:p>
  </w:footnote>
  <w:footnote w:id="74">
    <w:p w14:paraId="2937E99C" w14:textId="4161DBFB"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0F04D2">
        <w:rPr>
          <w:rFonts w:ascii="Times New Roman" w:hAnsi="Times New Roman" w:cs="Times New Roman"/>
        </w:rPr>
        <w:t>Ibid, P.422.</w:t>
      </w:r>
    </w:p>
  </w:footnote>
  <w:footnote w:id="75">
    <w:p w14:paraId="3B5E494E" w14:textId="05AE7A21"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7F0FBD">
        <w:rPr>
          <w:rFonts w:ascii="Times New Roman" w:hAnsi="Times New Roman" w:cs="Times New Roman"/>
        </w:rPr>
        <w:t>See Dapo Akande, supra note 1, P. 422.</w:t>
      </w:r>
    </w:p>
  </w:footnote>
  <w:footnote w:id="76">
    <w:p w14:paraId="34D42F75" w14:textId="18384310"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D72078">
        <w:rPr>
          <w:rFonts w:ascii="Times New Roman" w:hAnsi="Times New Roman" w:cs="Times New Roman"/>
        </w:rPr>
        <w:t>Ibid, P. 423.</w:t>
      </w:r>
    </w:p>
  </w:footnote>
  <w:footnote w:id="77">
    <w:p w14:paraId="3A91B69C" w14:textId="61C8E14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3766C1">
        <w:rPr>
          <w:rFonts w:ascii="Times New Roman" w:hAnsi="Times New Roman" w:cs="Times New Roman"/>
        </w:rPr>
        <w:t>Ibid, P.423.</w:t>
      </w:r>
    </w:p>
  </w:footnote>
  <w:footnote w:id="78">
    <w:p w14:paraId="3E102617" w14:textId="2B2A094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E6783A">
        <w:rPr>
          <w:rFonts w:ascii="Times New Roman" w:hAnsi="Times New Roman" w:cs="Times New Roman"/>
        </w:rPr>
        <w:t>Ibid, P.423.</w:t>
      </w:r>
    </w:p>
  </w:footnote>
  <w:footnote w:id="79">
    <w:p w14:paraId="7712ADD5" w14:textId="3F1BF36B"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E6783A">
        <w:rPr>
          <w:rFonts w:ascii="Times New Roman" w:hAnsi="Times New Roman" w:cs="Times New Roman"/>
        </w:rPr>
        <w:t>Ibid,</w:t>
      </w:r>
      <w:r w:rsidR="006F28B4">
        <w:rPr>
          <w:rFonts w:ascii="Times New Roman" w:hAnsi="Times New Roman" w:cs="Times New Roman"/>
        </w:rPr>
        <w:t xml:space="preserve"> P.423.</w:t>
      </w:r>
    </w:p>
  </w:footnote>
  <w:footnote w:id="80">
    <w:p w14:paraId="45AF6DBD" w14:textId="35955DC5"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See V</w:t>
      </w:r>
      <w:r w:rsidR="00EB6D4C">
        <w:rPr>
          <w:rFonts w:ascii="Times New Roman" w:hAnsi="Times New Roman" w:cs="Times New Roman"/>
        </w:rPr>
        <w:t xml:space="preserve">ienna </w:t>
      </w:r>
      <w:r w:rsidRPr="00C66554">
        <w:rPr>
          <w:rFonts w:ascii="Times New Roman" w:hAnsi="Times New Roman" w:cs="Times New Roman"/>
        </w:rPr>
        <w:t>C</w:t>
      </w:r>
      <w:r w:rsidR="00EB6D4C">
        <w:rPr>
          <w:rFonts w:ascii="Times New Roman" w:hAnsi="Times New Roman" w:cs="Times New Roman"/>
        </w:rPr>
        <w:t xml:space="preserve">onvention on the </w:t>
      </w:r>
      <w:r w:rsidRPr="00C66554">
        <w:rPr>
          <w:rFonts w:ascii="Times New Roman" w:hAnsi="Times New Roman" w:cs="Times New Roman"/>
        </w:rPr>
        <w:t>L</w:t>
      </w:r>
      <w:r w:rsidR="00EB6D4C">
        <w:rPr>
          <w:rFonts w:ascii="Times New Roman" w:hAnsi="Times New Roman" w:cs="Times New Roman"/>
        </w:rPr>
        <w:t xml:space="preserve">aw of </w:t>
      </w:r>
      <w:r w:rsidRPr="00C66554">
        <w:rPr>
          <w:rFonts w:ascii="Times New Roman" w:hAnsi="Times New Roman" w:cs="Times New Roman"/>
        </w:rPr>
        <w:t>T</w:t>
      </w:r>
      <w:r w:rsidR="00EB6D4C">
        <w:rPr>
          <w:rFonts w:ascii="Times New Roman" w:hAnsi="Times New Roman" w:cs="Times New Roman"/>
        </w:rPr>
        <w:t>reaties</w:t>
      </w:r>
      <w:r w:rsidRPr="00C66554">
        <w:rPr>
          <w:rFonts w:ascii="Times New Roman" w:hAnsi="Times New Roman" w:cs="Times New Roman"/>
        </w:rPr>
        <w:t>,</w:t>
      </w:r>
      <w:r w:rsidR="00EB6D4C">
        <w:rPr>
          <w:rFonts w:ascii="Times New Roman" w:hAnsi="Times New Roman" w:cs="Times New Roman"/>
        </w:rPr>
        <w:t xml:space="preserve"> May 23</w:t>
      </w:r>
      <w:r w:rsidRPr="00C66554">
        <w:rPr>
          <w:rFonts w:ascii="Times New Roman" w:hAnsi="Times New Roman" w:cs="Times New Roman"/>
        </w:rPr>
        <w:t xml:space="preserve">, </w:t>
      </w:r>
      <w:r w:rsidR="00EB6D4C">
        <w:rPr>
          <w:rFonts w:ascii="Times New Roman" w:hAnsi="Times New Roman" w:cs="Times New Roman"/>
        </w:rPr>
        <w:t>1969.</w:t>
      </w:r>
      <w:r w:rsidRPr="00C66554">
        <w:rPr>
          <w:rFonts w:ascii="Times New Roman" w:hAnsi="Times New Roman" w:cs="Times New Roman"/>
        </w:rPr>
        <w:t>Arts. 34</w:t>
      </w:r>
      <w:r w:rsidR="00EB6D4C">
        <w:rPr>
          <w:rFonts w:ascii="Times New Roman" w:hAnsi="Times New Roman" w:cs="Times New Roman"/>
        </w:rPr>
        <w:t>,</w:t>
      </w:r>
      <w:r w:rsidRPr="00C66554">
        <w:rPr>
          <w:rFonts w:ascii="Times New Roman" w:hAnsi="Times New Roman" w:cs="Times New Roman"/>
        </w:rPr>
        <w:t>38</w:t>
      </w:r>
      <w:r w:rsidR="00EB6D4C">
        <w:rPr>
          <w:rFonts w:ascii="Times New Roman" w:hAnsi="Times New Roman" w:cs="Times New Roman"/>
        </w:rPr>
        <w:t>.</w:t>
      </w:r>
    </w:p>
  </w:footnote>
  <w:footnote w:id="81">
    <w:p w14:paraId="64DAAFA9" w14:textId="3D59240E"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F80259">
        <w:rPr>
          <w:rFonts w:ascii="Times New Roman" w:hAnsi="Times New Roman" w:cs="Times New Roman"/>
        </w:rPr>
        <w:t>Dapo Akande</w:t>
      </w:r>
      <w:r w:rsidRPr="00C66554">
        <w:rPr>
          <w:rFonts w:ascii="Times New Roman" w:hAnsi="Times New Roman" w:cs="Times New Roman"/>
        </w:rPr>
        <w:t xml:space="preserve">, supra note </w:t>
      </w:r>
      <w:r w:rsidR="00F80259">
        <w:rPr>
          <w:rFonts w:ascii="Times New Roman" w:hAnsi="Times New Roman" w:cs="Times New Roman"/>
        </w:rPr>
        <w:t>1</w:t>
      </w:r>
      <w:r w:rsidRPr="00C66554">
        <w:rPr>
          <w:rFonts w:ascii="Times New Roman" w:hAnsi="Times New Roman" w:cs="Times New Roman"/>
        </w:rPr>
        <w:t>,</w:t>
      </w:r>
      <w:r w:rsidR="00F80259">
        <w:rPr>
          <w:rFonts w:ascii="Times New Roman" w:hAnsi="Times New Roman" w:cs="Times New Roman"/>
        </w:rPr>
        <w:t xml:space="preserve"> P.423;</w:t>
      </w:r>
      <w:r w:rsidRPr="00C66554">
        <w:rPr>
          <w:rFonts w:ascii="Times New Roman" w:hAnsi="Times New Roman" w:cs="Times New Roman"/>
        </w:rPr>
        <w:t xml:space="preserve"> ICC Statute, supra note 5</w:t>
      </w:r>
      <w:r w:rsidR="00F80259">
        <w:rPr>
          <w:rFonts w:ascii="Times New Roman" w:hAnsi="Times New Roman" w:cs="Times New Roman"/>
        </w:rPr>
        <w:t>8</w:t>
      </w:r>
      <w:r w:rsidRPr="00C66554">
        <w:rPr>
          <w:rFonts w:ascii="Times New Roman" w:hAnsi="Times New Roman" w:cs="Times New Roman"/>
        </w:rPr>
        <w:t>, Art. 90(4).</w:t>
      </w:r>
    </w:p>
  </w:footnote>
  <w:footnote w:id="82">
    <w:p w14:paraId="03582357" w14:textId="060EEC7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ICC Statute, supra note 5</w:t>
      </w:r>
      <w:r w:rsidR="00EF1438">
        <w:rPr>
          <w:rFonts w:ascii="Times New Roman" w:hAnsi="Times New Roman" w:cs="Times New Roman"/>
        </w:rPr>
        <w:t>8</w:t>
      </w:r>
      <w:r w:rsidRPr="00C66554">
        <w:rPr>
          <w:rFonts w:ascii="Times New Roman" w:hAnsi="Times New Roman" w:cs="Times New Roman"/>
        </w:rPr>
        <w:t xml:space="preserve">, Art. 73; </w:t>
      </w:r>
      <w:r w:rsidR="00EF1438">
        <w:rPr>
          <w:rFonts w:ascii="Times New Roman" w:hAnsi="Times New Roman" w:cs="Times New Roman"/>
        </w:rPr>
        <w:t>Dapo Akande, supra note 1, P.423.</w:t>
      </w:r>
    </w:p>
  </w:footnote>
  <w:footnote w:id="83">
    <w:p w14:paraId="4A663003" w14:textId="1A2196D5"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AD2C47">
        <w:rPr>
          <w:rFonts w:ascii="Times New Roman" w:hAnsi="Times New Roman" w:cs="Times New Roman"/>
        </w:rPr>
        <w:t>Ib</w:t>
      </w:r>
      <w:r w:rsidRPr="00C66554">
        <w:rPr>
          <w:rFonts w:ascii="Times New Roman" w:hAnsi="Times New Roman" w:cs="Times New Roman"/>
        </w:rPr>
        <w:t xml:space="preserve">id, </w:t>
      </w:r>
      <w:r w:rsidR="00AD2C47">
        <w:rPr>
          <w:rFonts w:ascii="Times New Roman" w:hAnsi="Times New Roman" w:cs="Times New Roman"/>
        </w:rPr>
        <w:t>P.42</w:t>
      </w:r>
      <w:r w:rsidRPr="00C66554">
        <w:rPr>
          <w:rFonts w:ascii="Times New Roman" w:hAnsi="Times New Roman" w:cs="Times New Roman"/>
        </w:rPr>
        <w:t>4</w:t>
      </w:r>
      <w:r w:rsidR="00AD2C47">
        <w:rPr>
          <w:rFonts w:ascii="Times New Roman" w:hAnsi="Times New Roman" w:cs="Times New Roman"/>
        </w:rPr>
        <w:t>.</w:t>
      </w:r>
    </w:p>
  </w:footnote>
  <w:footnote w:id="84">
    <w:p w14:paraId="4A230792" w14:textId="35750A8A"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4F4D85">
        <w:rPr>
          <w:rFonts w:ascii="Times New Roman" w:hAnsi="Times New Roman" w:cs="Times New Roman"/>
        </w:rPr>
        <w:t>Ibid, P.424.</w:t>
      </w:r>
    </w:p>
  </w:footnote>
  <w:footnote w:id="85">
    <w:p w14:paraId="56FFFF3B" w14:textId="1F82578C"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4F4D85">
        <w:rPr>
          <w:rFonts w:ascii="Times New Roman" w:hAnsi="Times New Roman" w:cs="Times New Roman"/>
        </w:rPr>
        <w:t>See Dapo Akande, supra note 1, P. 424.</w:t>
      </w:r>
    </w:p>
  </w:footnote>
  <w:footnote w:id="86">
    <w:p w14:paraId="13F378A4" w14:textId="744D888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316B7C">
        <w:rPr>
          <w:rFonts w:ascii="Times New Roman" w:hAnsi="Times New Roman" w:cs="Times New Roman"/>
        </w:rPr>
        <w:t>Ibid, P.424.</w:t>
      </w:r>
    </w:p>
  </w:footnote>
  <w:footnote w:id="87">
    <w:p w14:paraId="7019CDFB" w14:textId="6C96E99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ICC Statute, supra note 5</w:t>
      </w:r>
      <w:r w:rsidR="00316B7C">
        <w:rPr>
          <w:rFonts w:ascii="Times New Roman" w:hAnsi="Times New Roman" w:cs="Times New Roman"/>
        </w:rPr>
        <w:t>8</w:t>
      </w:r>
      <w:r w:rsidRPr="00C66554">
        <w:rPr>
          <w:rFonts w:ascii="Times New Roman" w:hAnsi="Times New Roman" w:cs="Times New Roman"/>
        </w:rPr>
        <w:t>, Art. 98(1).</w:t>
      </w:r>
    </w:p>
  </w:footnote>
  <w:footnote w:id="88">
    <w:p w14:paraId="55960308" w14:textId="6D6FE1AC"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8B67A8">
        <w:rPr>
          <w:rFonts w:ascii="Times New Roman" w:hAnsi="Times New Roman" w:cs="Times New Roman"/>
        </w:rPr>
        <w:t>See Dapo Akande, supra note 1, P.424.</w:t>
      </w:r>
    </w:p>
  </w:footnote>
  <w:footnote w:id="89">
    <w:p w14:paraId="58D95E92" w14:textId="4BDCFE1E"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8B67A8">
        <w:rPr>
          <w:rFonts w:ascii="Times New Roman" w:hAnsi="Times New Roman" w:cs="Times New Roman"/>
        </w:rPr>
        <w:t>Ibid, P.424.</w:t>
      </w:r>
      <w:bookmarkStart w:id="34" w:name="_Hlk81428512"/>
    </w:p>
    <w:bookmarkEnd w:id="34"/>
  </w:footnote>
  <w:footnote w:id="90">
    <w:p w14:paraId="7E27ED22" w14:textId="1450F2C4"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I</w:t>
      </w:r>
      <w:r w:rsidR="002D06CD">
        <w:rPr>
          <w:rFonts w:ascii="Times New Roman" w:hAnsi="Times New Roman" w:cs="Times New Roman"/>
        </w:rPr>
        <w:t>bid, P.425.</w:t>
      </w:r>
    </w:p>
  </w:footnote>
  <w:footnote w:id="91">
    <w:p w14:paraId="3295CD68" w14:textId="5D34366F"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2D06CD">
        <w:rPr>
          <w:rFonts w:ascii="Times New Roman" w:hAnsi="Times New Roman" w:cs="Times New Roman"/>
        </w:rPr>
        <w:t>Ibid, P.425.</w:t>
      </w:r>
    </w:p>
  </w:footnote>
  <w:footnote w:id="92">
    <w:p w14:paraId="489F0F7E" w14:textId="3F4FF7B7"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765FF3">
        <w:rPr>
          <w:rFonts w:ascii="Times New Roman" w:hAnsi="Times New Roman" w:cs="Times New Roman"/>
        </w:rPr>
        <w:t>See Dapo Akande, supra note 1, P.425.</w:t>
      </w:r>
    </w:p>
  </w:footnote>
  <w:footnote w:id="93">
    <w:p w14:paraId="54C352C4" w14:textId="6145E983"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765FF3">
        <w:rPr>
          <w:rFonts w:ascii="Times New Roman" w:hAnsi="Times New Roman" w:cs="Times New Roman"/>
        </w:rPr>
        <w:t>Ibid, P</w:t>
      </w:r>
      <w:r w:rsidR="006A77B5">
        <w:rPr>
          <w:rFonts w:ascii="Times New Roman" w:hAnsi="Times New Roman" w:cs="Times New Roman"/>
        </w:rPr>
        <w:t>.425.</w:t>
      </w:r>
    </w:p>
  </w:footnote>
  <w:footnote w:id="94">
    <w:p w14:paraId="1E05EAF4" w14:textId="52AB1920"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6A77B5">
        <w:rPr>
          <w:rFonts w:ascii="Times New Roman" w:hAnsi="Times New Roman" w:cs="Times New Roman"/>
        </w:rPr>
        <w:t>Ibid, P.426.</w:t>
      </w:r>
    </w:p>
  </w:footnote>
  <w:footnote w:id="95">
    <w:p w14:paraId="1DFB955F" w14:textId="5B8FD519" w:rsidR="008B621A" w:rsidRPr="00C66554" w:rsidRDefault="008B621A" w:rsidP="00C66554">
      <w:pPr>
        <w:pStyle w:val="Textpoznpodarou"/>
        <w:spacing w:before="120"/>
        <w:ind w:left="170" w:right="113"/>
        <w:jc w:val="both"/>
        <w:rPr>
          <w:rFonts w:ascii="Times New Roman" w:hAnsi="Times New Roman" w:cs="Times New Roman"/>
          <w:u w:val="single"/>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bookmarkStart w:id="35" w:name="_Hlk81429203"/>
      <w:r w:rsidR="0079141D">
        <w:rPr>
          <w:rFonts w:ascii="Times New Roman" w:hAnsi="Times New Roman" w:cs="Times New Roman"/>
        </w:rPr>
        <w:t>Ibid, 426.</w:t>
      </w:r>
      <w:r w:rsidRPr="00C66554">
        <w:rPr>
          <w:rFonts w:ascii="Times New Roman" w:hAnsi="Times New Roman" w:cs="Times New Roman"/>
        </w:rPr>
        <w:t xml:space="preserve"> </w:t>
      </w:r>
      <w:bookmarkEnd w:id="35"/>
    </w:p>
  </w:footnote>
  <w:footnote w:id="96">
    <w:p w14:paraId="08E6454A" w14:textId="20DCE358" w:rsidR="008B621A" w:rsidRPr="00C66554" w:rsidRDefault="008B621A" w:rsidP="00C66554">
      <w:pPr>
        <w:pStyle w:val="Textpoznpodarou"/>
        <w:spacing w:before="120"/>
        <w:ind w:left="170" w:right="113"/>
        <w:jc w:val="both"/>
        <w:rPr>
          <w:rFonts w:ascii="Times New Roman" w:hAnsi="Times New Roman" w:cs="Times New Roman"/>
        </w:rPr>
      </w:pPr>
      <w:r w:rsidRPr="00C66554">
        <w:rPr>
          <w:rStyle w:val="Znakapoznpodarou"/>
          <w:rFonts w:ascii="Times New Roman" w:hAnsi="Times New Roman" w:cs="Times New Roman"/>
        </w:rPr>
        <w:footnoteRef/>
      </w:r>
      <w:r w:rsidRPr="00C66554">
        <w:rPr>
          <w:rFonts w:ascii="Times New Roman" w:hAnsi="Times New Roman" w:cs="Times New Roman"/>
        </w:rPr>
        <w:t xml:space="preserve"> </w:t>
      </w:r>
      <w:r w:rsidR="00DD3A98">
        <w:rPr>
          <w:rFonts w:ascii="Times New Roman" w:hAnsi="Times New Roman" w:cs="Times New Roman"/>
        </w:rPr>
        <w:t>Ibid, P.426.</w:t>
      </w:r>
    </w:p>
  </w:footnote>
  <w:footnote w:id="97">
    <w:p w14:paraId="34137BC1" w14:textId="1D0300A5" w:rsidR="008B621A" w:rsidRPr="005307BF" w:rsidRDefault="008B621A" w:rsidP="00C66554">
      <w:pPr>
        <w:pStyle w:val="Textpoznpodarou"/>
        <w:spacing w:before="120"/>
        <w:ind w:left="170" w:right="113"/>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911700">
        <w:rPr>
          <w:rFonts w:ascii="Times New Roman" w:hAnsi="Times New Roman" w:cs="Times New Roman"/>
        </w:rPr>
        <w:t>See Dapo Akande, supra note 1, P.426.</w:t>
      </w:r>
      <w:bookmarkStart w:id="36" w:name="_Hlk81430051"/>
      <w:r w:rsidRPr="005307BF">
        <w:rPr>
          <w:rFonts w:ascii="Times New Roman" w:hAnsi="Times New Roman" w:cs="Times New Roman"/>
        </w:rPr>
        <w:t xml:space="preserve">  </w:t>
      </w:r>
    </w:p>
    <w:bookmarkEnd w:id="36"/>
  </w:footnote>
  <w:footnote w:id="98">
    <w:p w14:paraId="5DBFF3B4" w14:textId="41C64DD1" w:rsidR="008B621A" w:rsidRPr="005307BF" w:rsidRDefault="008B621A" w:rsidP="00C66554">
      <w:pPr>
        <w:pStyle w:val="Textpoznpodarou"/>
        <w:spacing w:before="120"/>
        <w:ind w:left="170" w:right="113"/>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bookmarkStart w:id="37" w:name="_Hlk81429491"/>
      <w:r w:rsidR="00911700">
        <w:rPr>
          <w:rFonts w:ascii="Times New Roman" w:hAnsi="Times New Roman" w:cs="Times New Roman"/>
        </w:rPr>
        <w:t>Ibid, P.426.</w:t>
      </w:r>
      <w:bookmarkEnd w:id="37"/>
    </w:p>
  </w:footnote>
  <w:footnote w:id="99">
    <w:p w14:paraId="1C055442" w14:textId="0CBD0811" w:rsidR="008B621A" w:rsidRPr="005307BF" w:rsidRDefault="008B621A" w:rsidP="00C66554">
      <w:pPr>
        <w:pStyle w:val="Textpoznpodarou"/>
        <w:spacing w:before="120"/>
        <w:ind w:left="170" w:right="113"/>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59432F">
        <w:rPr>
          <w:rFonts w:ascii="Times New Roman" w:hAnsi="Times New Roman" w:cs="Times New Roman"/>
        </w:rPr>
        <w:t>Ibid, P.427.</w:t>
      </w:r>
      <w:r w:rsidRPr="005307BF">
        <w:rPr>
          <w:rFonts w:ascii="Times New Roman" w:hAnsi="Times New Roman" w:cs="Times New Roman"/>
        </w:rPr>
        <w:t xml:space="preserve"> </w:t>
      </w:r>
    </w:p>
  </w:footnote>
  <w:footnote w:id="100">
    <w:p w14:paraId="1ED95BD0" w14:textId="2C16BD68" w:rsidR="008B621A" w:rsidRPr="002A7F8F" w:rsidRDefault="008B621A" w:rsidP="00C623D8">
      <w:pPr>
        <w:pStyle w:val="Textpoznpodarou"/>
        <w:spacing w:before="120"/>
        <w:ind w:left="170" w:right="113"/>
        <w:rPr>
          <w:rFonts w:ascii="Times New Roman" w:hAnsi="Times New Roman" w:cs="Times New Roman"/>
        </w:rPr>
      </w:pPr>
      <w:r w:rsidRPr="005307BF">
        <w:rPr>
          <w:rStyle w:val="Znakapoznpodarou"/>
          <w:rFonts w:ascii="Times New Roman" w:hAnsi="Times New Roman" w:cs="Times New Roman"/>
        </w:rPr>
        <w:footnoteRef/>
      </w:r>
      <w:r w:rsidRPr="002A7F8F">
        <w:rPr>
          <w:rFonts w:ascii="Times New Roman" w:hAnsi="Times New Roman" w:cs="Times New Roman"/>
        </w:rPr>
        <w:t xml:space="preserve"> </w:t>
      </w:r>
      <w:r w:rsidR="00C623D8" w:rsidRPr="002A7F8F">
        <w:rPr>
          <w:rFonts w:ascii="Times New Roman" w:hAnsi="Times New Roman" w:cs="Times New Roman"/>
        </w:rPr>
        <w:t>Dapo Akande, supra note 1, P.427.</w:t>
      </w:r>
      <w:r w:rsidRPr="002A7F8F">
        <w:rPr>
          <w:rFonts w:ascii="Times New Roman" w:hAnsi="Times New Roman" w:cs="Times New Roman"/>
        </w:rPr>
        <w:t xml:space="preserve"> </w:t>
      </w:r>
    </w:p>
  </w:footnote>
  <w:footnote w:id="101">
    <w:p w14:paraId="1A292CAA" w14:textId="47CFDC80" w:rsidR="008B621A" w:rsidRPr="005307BF" w:rsidRDefault="008B621A" w:rsidP="002B3900">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B3900">
        <w:rPr>
          <w:rFonts w:ascii="Times New Roman" w:hAnsi="Times New Roman" w:cs="Times New Roman"/>
        </w:rPr>
        <w:t>Ibid, P. 427.</w:t>
      </w:r>
    </w:p>
  </w:footnote>
  <w:footnote w:id="102">
    <w:p w14:paraId="4B34B107" w14:textId="03E4EE65" w:rsidR="008B621A" w:rsidRPr="005307BF" w:rsidRDefault="008B621A" w:rsidP="005307BF">
      <w:pPr>
        <w:pStyle w:val="Textpoznpodarou"/>
        <w:spacing w:before="120"/>
        <w:ind w:left="170" w:right="113"/>
        <w:jc w:val="both"/>
        <w:rPr>
          <w:rFonts w:ascii="Times New Roman" w:hAnsi="Times New Roman" w:cs="Times New Roman"/>
        </w:rPr>
      </w:pPr>
      <w:bookmarkStart w:id="38" w:name="_Hlk81430669"/>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9E1C96">
        <w:rPr>
          <w:rFonts w:ascii="Times New Roman" w:hAnsi="Times New Roman" w:cs="Times New Roman"/>
        </w:rPr>
        <w:t>Ibid, P.427.</w:t>
      </w:r>
      <w:bookmarkEnd w:id="38"/>
    </w:p>
  </w:footnote>
  <w:footnote w:id="103">
    <w:p w14:paraId="7E99DCA3" w14:textId="4E51097C"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B84EA3">
        <w:rPr>
          <w:rFonts w:ascii="Times New Roman" w:hAnsi="Times New Roman" w:cs="Times New Roman"/>
        </w:rPr>
        <w:t>Ibid, P.427, 428.</w:t>
      </w:r>
    </w:p>
  </w:footnote>
  <w:footnote w:id="104">
    <w:p w14:paraId="6240C585" w14:textId="4CA4376C"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62CD7">
        <w:rPr>
          <w:rFonts w:ascii="Times New Roman" w:hAnsi="Times New Roman" w:cs="Times New Roman"/>
        </w:rPr>
        <w:t>See Dapo Akande, supra note 1, P.428.</w:t>
      </w:r>
    </w:p>
  </w:footnote>
  <w:footnote w:id="105">
    <w:p w14:paraId="34ED4B13" w14:textId="70D1DEAB"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62CD7">
        <w:rPr>
          <w:rFonts w:ascii="Times New Roman" w:hAnsi="Times New Roman" w:cs="Times New Roman"/>
        </w:rPr>
        <w:t>Ibid, P. 428</w:t>
      </w:r>
      <w:r w:rsidR="005F7D12">
        <w:rPr>
          <w:rFonts w:ascii="Times New Roman" w:hAnsi="Times New Roman" w:cs="Times New Roman"/>
        </w:rPr>
        <w:t>.</w:t>
      </w:r>
    </w:p>
  </w:footnote>
  <w:footnote w:id="106">
    <w:p w14:paraId="68315534" w14:textId="2AE617F1"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5F7D12">
        <w:rPr>
          <w:rFonts w:ascii="Times New Roman" w:hAnsi="Times New Roman" w:cs="Times New Roman"/>
        </w:rPr>
        <w:t>Ibid, P.428.</w:t>
      </w:r>
    </w:p>
  </w:footnote>
  <w:footnote w:id="107">
    <w:p w14:paraId="2FAE67E6" w14:textId="4FB3879F"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54272C">
        <w:rPr>
          <w:rFonts w:ascii="Times New Roman" w:hAnsi="Times New Roman" w:cs="Times New Roman"/>
        </w:rPr>
        <w:t xml:space="preserve">See Dapo Akande, </w:t>
      </w:r>
      <w:r w:rsidR="00262611">
        <w:rPr>
          <w:rFonts w:ascii="Times New Roman" w:hAnsi="Times New Roman" w:cs="Times New Roman"/>
        </w:rPr>
        <w:t>supra note 1, P.428.</w:t>
      </w:r>
    </w:p>
  </w:footnote>
  <w:footnote w:id="108">
    <w:p w14:paraId="76F7CAFD" w14:textId="64F630D5"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62611">
        <w:rPr>
          <w:rFonts w:ascii="Times New Roman" w:hAnsi="Times New Roman" w:cs="Times New Roman"/>
        </w:rPr>
        <w:t>Ibid, P.428.</w:t>
      </w:r>
    </w:p>
  </w:footnote>
  <w:footnote w:id="109">
    <w:p w14:paraId="31B3D0AD" w14:textId="35EAE9D6"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A7F8F">
        <w:rPr>
          <w:rFonts w:ascii="Times New Roman" w:hAnsi="Times New Roman" w:cs="Times New Roman"/>
        </w:rPr>
        <w:t>Ibid, P. 431.</w:t>
      </w:r>
    </w:p>
  </w:footnote>
  <w:footnote w:id="110">
    <w:p w14:paraId="6D2957F2" w14:textId="1EA722B3" w:rsidR="008B621A" w:rsidRPr="006E41D5"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I</w:t>
      </w:r>
      <w:r w:rsidR="002A7F8F">
        <w:rPr>
          <w:rFonts w:ascii="Times New Roman" w:hAnsi="Times New Roman" w:cs="Times New Roman"/>
        </w:rPr>
        <w:t>bid, P.431.</w:t>
      </w:r>
      <w:r w:rsidRPr="005307BF">
        <w:rPr>
          <w:rFonts w:ascii="Times New Roman" w:hAnsi="Times New Roman" w:cs="Times New Roman"/>
        </w:rPr>
        <w:t xml:space="preserve"> </w:t>
      </w:r>
    </w:p>
  </w:footnote>
  <w:footnote w:id="111">
    <w:p w14:paraId="5FD50E6B" w14:textId="57016319"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See </w:t>
      </w:r>
      <w:r w:rsidR="00C34FE4">
        <w:rPr>
          <w:rFonts w:ascii="Times New Roman" w:hAnsi="Times New Roman" w:cs="Times New Roman"/>
        </w:rPr>
        <w:t>Dapo Akande, supra note 1, P.431.</w:t>
      </w:r>
    </w:p>
  </w:footnote>
  <w:footnote w:id="112">
    <w:p w14:paraId="6530C10A" w14:textId="74C3FD99"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C34FE4">
        <w:rPr>
          <w:rFonts w:ascii="Times New Roman" w:hAnsi="Times New Roman" w:cs="Times New Roman"/>
        </w:rPr>
        <w:t>Ibid, P.431.</w:t>
      </w:r>
    </w:p>
  </w:footnote>
  <w:footnote w:id="113">
    <w:p w14:paraId="5B08AB79" w14:textId="28F8493C"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bookmarkStart w:id="42" w:name="_Hlk81431220"/>
      <w:r w:rsidRPr="005307BF">
        <w:rPr>
          <w:rFonts w:ascii="Times New Roman" w:hAnsi="Times New Roman" w:cs="Times New Roman"/>
        </w:rPr>
        <w:t>I</w:t>
      </w:r>
      <w:r w:rsidR="00415DE3">
        <w:rPr>
          <w:rFonts w:ascii="Times New Roman" w:hAnsi="Times New Roman" w:cs="Times New Roman"/>
        </w:rPr>
        <w:t>bid, P.431, 432.</w:t>
      </w:r>
      <w:bookmarkEnd w:id="42"/>
    </w:p>
  </w:footnote>
  <w:footnote w:id="114">
    <w:p w14:paraId="3D6C7666" w14:textId="74B1B2DE"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Rome Statute of the International Criminal Court, July 17, 1998.</w:t>
      </w:r>
    </w:p>
  </w:footnote>
  <w:footnote w:id="115">
    <w:p w14:paraId="666D3FA7" w14:textId="6F44516E"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332C12">
        <w:rPr>
          <w:rFonts w:ascii="Times New Roman" w:hAnsi="Times New Roman" w:cs="Times New Roman"/>
        </w:rPr>
        <w:t xml:space="preserve">Ibid, </w:t>
      </w:r>
      <w:r w:rsidRPr="005307BF">
        <w:rPr>
          <w:rFonts w:ascii="Times New Roman" w:hAnsi="Times New Roman" w:cs="Times New Roman"/>
        </w:rPr>
        <w:t>Art. 13(b).</w:t>
      </w:r>
    </w:p>
  </w:footnote>
  <w:footnote w:id="116">
    <w:p w14:paraId="03B7A9B6" w14:textId="08695167"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BD354A">
        <w:rPr>
          <w:rFonts w:ascii="Times New Roman" w:hAnsi="Times New Roman" w:cs="Times New Roman"/>
        </w:rPr>
        <w:t xml:space="preserve">Security Council Resolution 1593, </w:t>
      </w:r>
      <w:r w:rsidR="000723DC">
        <w:rPr>
          <w:rFonts w:ascii="Times New Roman" w:hAnsi="Times New Roman" w:cs="Times New Roman"/>
        </w:rPr>
        <w:t xml:space="preserve">March 31, </w:t>
      </w:r>
      <w:r w:rsidR="00BD354A">
        <w:rPr>
          <w:rFonts w:ascii="Times New Roman" w:hAnsi="Times New Roman" w:cs="Times New Roman"/>
        </w:rPr>
        <w:t>2005.</w:t>
      </w:r>
    </w:p>
  </w:footnote>
  <w:footnote w:id="117">
    <w:p w14:paraId="35E8C9DF" w14:textId="4D6C2539" w:rsidR="008B621A" w:rsidRPr="005307BF" w:rsidRDefault="008B621A" w:rsidP="005307BF">
      <w:pPr>
        <w:pStyle w:val="Textpoznpodarou"/>
        <w:spacing w:before="120"/>
        <w:ind w:left="170" w:right="113"/>
        <w:jc w:val="both"/>
        <w:rPr>
          <w:rFonts w:ascii="Times New Roman" w:hAnsi="Times New Roman" w:cs="Times New Roman"/>
        </w:rPr>
      </w:pPr>
      <w:bookmarkStart w:id="44" w:name="_Hlk109310515"/>
      <w:r w:rsidRPr="005307BF">
        <w:rPr>
          <w:rStyle w:val="Znakapoznpodarou"/>
          <w:rFonts w:ascii="Times New Roman" w:hAnsi="Times New Roman" w:cs="Times New Roman"/>
        </w:rPr>
        <w:footnoteRef/>
      </w:r>
      <w:r w:rsidR="009E5FF0">
        <w:rPr>
          <w:rFonts w:ascii="Times New Roman" w:hAnsi="Times New Roman" w:cs="Times New Roman"/>
        </w:rPr>
        <w:t xml:space="preserve"> </w:t>
      </w:r>
      <w:bookmarkStart w:id="45" w:name="_Hlk109338536"/>
      <w:r w:rsidR="006153CA">
        <w:rPr>
          <w:rFonts w:ascii="Times New Roman" w:hAnsi="Times New Roman" w:cs="Times New Roman"/>
        </w:rPr>
        <w:t xml:space="preserve">L, </w:t>
      </w:r>
      <w:r w:rsidRPr="005307BF">
        <w:rPr>
          <w:rFonts w:ascii="Times New Roman" w:hAnsi="Times New Roman" w:cs="Times New Roman"/>
        </w:rPr>
        <w:t>Condorelli</w:t>
      </w:r>
      <w:r w:rsidR="009E5FF0">
        <w:rPr>
          <w:rFonts w:ascii="Times New Roman" w:hAnsi="Times New Roman" w:cs="Times New Roman"/>
        </w:rPr>
        <w:t>.</w:t>
      </w:r>
      <w:r w:rsidRPr="005307BF">
        <w:rPr>
          <w:rFonts w:ascii="Times New Roman" w:hAnsi="Times New Roman" w:cs="Times New Roman"/>
        </w:rPr>
        <w:t xml:space="preserve"> and S</w:t>
      </w:r>
      <w:r w:rsidR="000566CE">
        <w:rPr>
          <w:rFonts w:ascii="Times New Roman" w:hAnsi="Times New Roman" w:cs="Times New Roman"/>
        </w:rPr>
        <w:t>,</w:t>
      </w:r>
      <w:r w:rsidRPr="005307BF">
        <w:rPr>
          <w:rFonts w:ascii="Times New Roman" w:hAnsi="Times New Roman" w:cs="Times New Roman"/>
        </w:rPr>
        <w:t xml:space="preserve"> Villalpando, The Rome Statute of the International Criminal Court: A Commentary </w:t>
      </w:r>
      <w:r w:rsidR="00CE2432">
        <w:rPr>
          <w:rFonts w:ascii="Times New Roman" w:hAnsi="Times New Roman" w:cs="Times New Roman"/>
        </w:rPr>
        <w:t>,</w:t>
      </w:r>
      <w:r w:rsidRPr="005307BF">
        <w:rPr>
          <w:rFonts w:ascii="Times New Roman" w:hAnsi="Times New Roman" w:cs="Times New Roman"/>
        </w:rPr>
        <w:t>2002</w:t>
      </w:r>
      <w:r w:rsidR="00CE2432">
        <w:rPr>
          <w:rFonts w:ascii="Times New Roman" w:hAnsi="Times New Roman" w:cs="Times New Roman"/>
        </w:rPr>
        <w:t xml:space="preserve">. </w:t>
      </w:r>
      <w:r w:rsidR="000723DC">
        <w:rPr>
          <w:rFonts w:ascii="Times New Roman" w:hAnsi="Times New Roman" w:cs="Times New Roman"/>
        </w:rPr>
        <w:t>P.</w:t>
      </w:r>
      <w:r w:rsidRPr="005307BF">
        <w:rPr>
          <w:rFonts w:ascii="Times New Roman" w:hAnsi="Times New Roman" w:cs="Times New Roman"/>
        </w:rPr>
        <w:t>572.</w:t>
      </w:r>
      <w:bookmarkEnd w:id="45"/>
    </w:p>
    <w:bookmarkEnd w:id="44"/>
  </w:footnote>
  <w:footnote w:id="118">
    <w:p w14:paraId="369A811D" w14:textId="07BD3A66"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bookmarkStart w:id="46" w:name="_Hlk81431631"/>
      <w:r w:rsidR="00CD4A84">
        <w:rPr>
          <w:rFonts w:ascii="Times New Roman" w:hAnsi="Times New Roman" w:cs="Times New Roman"/>
        </w:rPr>
        <w:t>See Asad G. Kiyani</w:t>
      </w:r>
      <w:bookmarkEnd w:id="46"/>
      <w:r w:rsidR="00337BB3">
        <w:rPr>
          <w:rFonts w:ascii="Times New Roman" w:hAnsi="Times New Roman" w:cs="Times New Roman"/>
        </w:rPr>
        <w:t>, Al-Bashir &amp; the ICC: The Problem of Head of State Immunity</w:t>
      </w:r>
      <w:r w:rsidR="004867B0">
        <w:rPr>
          <w:rFonts w:ascii="Times New Roman" w:hAnsi="Times New Roman" w:cs="Times New Roman"/>
        </w:rPr>
        <w:t>, supra note 4, P.475.</w:t>
      </w:r>
    </w:p>
  </w:footnote>
  <w:footnote w:id="119">
    <w:p w14:paraId="1CAE4EF2" w14:textId="71110D9E"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bookmarkStart w:id="49" w:name="_Hlk81431829"/>
      <w:r w:rsidR="00A012E6">
        <w:rPr>
          <w:rFonts w:ascii="Times New Roman" w:hAnsi="Times New Roman" w:cs="Times New Roman"/>
        </w:rPr>
        <w:t xml:space="preserve"> </w:t>
      </w:r>
      <w:bookmarkStart w:id="50" w:name="_Hlk109338615"/>
      <w:r w:rsidR="006153CA">
        <w:rPr>
          <w:rFonts w:ascii="Times New Roman" w:hAnsi="Times New Roman" w:cs="Times New Roman"/>
        </w:rPr>
        <w:t xml:space="preserve">D, </w:t>
      </w:r>
      <w:r w:rsidRPr="005307BF">
        <w:rPr>
          <w:rFonts w:ascii="Times New Roman" w:hAnsi="Times New Roman" w:cs="Times New Roman"/>
        </w:rPr>
        <w:t>Sarooshi</w:t>
      </w:r>
      <w:r w:rsidR="00A012E6">
        <w:rPr>
          <w:rFonts w:ascii="Times New Roman" w:hAnsi="Times New Roman" w:cs="Times New Roman"/>
        </w:rPr>
        <w:t xml:space="preserve">. </w:t>
      </w:r>
      <w:r w:rsidRPr="005307BF">
        <w:rPr>
          <w:rFonts w:ascii="Times New Roman" w:hAnsi="Times New Roman" w:cs="Times New Roman"/>
        </w:rPr>
        <w:t>The United Nations and the Development of Collective Security: The Delegation by the UN Security Council of its Chapter VII Powers</w:t>
      </w:r>
      <w:r w:rsidR="009528D1">
        <w:rPr>
          <w:rFonts w:ascii="Times New Roman" w:hAnsi="Times New Roman" w:cs="Times New Roman"/>
        </w:rPr>
        <w:t xml:space="preserve"> 1999</w:t>
      </w:r>
      <w:r w:rsidRPr="005307BF">
        <w:rPr>
          <w:rFonts w:ascii="Times New Roman" w:hAnsi="Times New Roman" w:cs="Times New Roman"/>
        </w:rPr>
        <w:t xml:space="preserve">, </w:t>
      </w:r>
      <w:bookmarkEnd w:id="49"/>
      <w:r w:rsidR="006E41D5">
        <w:rPr>
          <w:rFonts w:ascii="Times New Roman" w:hAnsi="Times New Roman" w:cs="Times New Roman"/>
        </w:rPr>
        <w:t>P.</w:t>
      </w:r>
      <w:r w:rsidRPr="005307BF">
        <w:rPr>
          <w:rFonts w:ascii="Times New Roman" w:hAnsi="Times New Roman" w:cs="Times New Roman"/>
        </w:rPr>
        <w:t>247</w:t>
      </w:r>
      <w:r w:rsidR="00A012E6">
        <w:rPr>
          <w:rFonts w:ascii="Times New Roman" w:hAnsi="Times New Roman" w:cs="Times New Roman"/>
        </w:rPr>
        <w:t>,</w:t>
      </w:r>
      <w:r w:rsidRPr="005307BF">
        <w:rPr>
          <w:rFonts w:ascii="Times New Roman" w:hAnsi="Times New Roman" w:cs="Times New Roman"/>
        </w:rPr>
        <w:t xml:space="preserve"> 252</w:t>
      </w:r>
      <w:r w:rsidR="00A012E6">
        <w:rPr>
          <w:rFonts w:ascii="Times New Roman" w:hAnsi="Times New Roman" w:cs="Times New Roman"/>
        </w:rPr>
        <w:t xml:space="preserve"> and </w:t>
      </w:r>
      <w:r w:rsidRPr="005307BF">
        <w:rPr>
          <w:rFonts w:ascii="Times New Roman" w:hAnsi="Times New Roman" w:cs="Times New Roman"/>
        </w:rPr>
        <w:t>253</w:t>
      </w:r>
      <w:r w:rsidR="00A012E6">
        <w:rPr>
          <w:rFonts w:ascii="Times New Roman" w:hAnsi="Times New Roman" w:cs="Times New Roman"/>
        </w:rPr>
        <w:t>.</w:t>
      </w:r>
      <w:bookmarkEnd w:id="50"/>
    </w:p>
  </w:footnote>
  <w:footnote w:id="120">
    <w:p w14:paraId="69A1B3DE" w14:textId="5B376E43"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E20017">
        <w:rPr>
          <w:rFonts w:ascii="Times New Roman" w:hAnsi="Times New Roman" w:cs="Times New Roman"/>
        </w:rPr>
        <w:t xml:space="preserve"> </w:t>
      </w:r>
      <w:r w:rsidR="004867B0">
        <w:rPr>
          <w:rFonts w:ascii="Times New Roman" w:hAnsi="Times New Roman" w:cs="Times New Roman"/>
        </w:rPr>
        <w:t>Asad</w:t>
      </w:r>
      <w:r w:rsidR="00B86E92">
        <w:rPr>
          <w:rFonts w:ascii="Times New Roman" w:hAnsi="Times New Roman" w:cs="Times New Roman"/>
        </w:rPr>
        <w:t xml:space="preserve"> G. Kiyani, supra note 4, P. 475.</w:t>
      </w:r>
    </w:p>
  </w:footnote>
  <w:footnote w:id="121">
    <w:p w14:paraId="5B40D3E9" w14:textId="53714605"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724805">
        <w:rPr>
          <w:rFonts w:ascii="Times New Roman" w:hAnsi="Times New Roman" w:cs="Times New Roman"/>
        </w:rPr>
        <w:t xml:space="preserve"> </w:t>
      </w:r>
      <w:r w:rsidR="00B86E92">
        <w:rPr>
          <w:rFonts w:ascii="Times New Roman" w:hAnsi="Times New Roman" w:cs="Times New Roman"/>
        </w:rPr>
        <w:t>Ibid, P.475.</w:t>
      </w:r>
    </w:p>
  </w:footnote>
  <w:footnote w:id="122">
    <w:p w14:paraId="6AE8513B" w14:textId="08CFFD59"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1C66C3">
        <w:rPr>
          <w:rFonts w:ascii="Times New Roman" w:hAnsi="Times New Roman" w:cs="Times New Roman"/>
        </w:rPr>
        <w:t xml:space="preserve"> </w:t>
      </w:r>
      <w:r w:rsidR="00157117">
        <w:rPr>
          <w:rFonts w:ascii="Times New Roman" w:hAnsi="Times New Roman" w:cs="Times New Roman"/>
        </w:rPr>
        <w:t>Ibid, P. 475.</w:t>
      </w:r>
    </w:p>
  </w:footnote>
  <w:footnote w:id="123">
    <w:p w14:paraId="1148938F" w14:textId="1223EA43"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325D1D">
        <w:rPr>
          <w:rFonts w:ascii="Times New Roman" w:hAnsi="Times New Roman" w:cs="Times New Roman"/>
        </w:rPr>
        <w:t xml:space="preserve"> Ibid</w:t>
      </w:r>
      <w:r w:rsidR="00BA5E10">
        <w:rPr>
          <w:rFonts w:ascii="Times New Roman" w:hAnsi="Times New Roman" w:cs="Times New Roman"/>
        </w:rPr>
        <w:t>.</w:t>
      </w:r>
      <w:r w:rsidR="00157117">
        <w:rPr>
          <w:rFonts w:ascii="Times New Roman" w:hAnsi="Times New Roman" w:cs="Times New Roman"/>
        </w:rPr>
        <w:t xml:space="preserve"> P</w:t>
      </w:r>
      <w:r w:rsidR="00D575BD">
        <w:rPr>
          <w:rFonts w:ascii="Times New Roman" w:hAnsi="Times New Roman" w:cs="Times New Roman"/>
        </w:rPr>
        <w:t>.</w:t>
      </w:r>
      <w:r w:rsidR="00157117">
        <w:rPr>
          <w:rFonts w:ascii="Times New Roman" w:hAnsi="Times New Roman" w:cs="Times New Roman"/>
        </w:rPr>
        <w:t xml:space="preserve"> 475, 476.</w:t>
      </w:r>
    </w:p>
  </w:footnote>
  <w:footnote w:id="124">
    <w:p w14:paraId="349C0B26" w14:textId="498FFDB2"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C019F4">
        <w:rPr>
          <w:rFonts w:ascii="Times New Roman" w:hAnsi="Times New Roman" w:cs="Times New Roman"/>
        </w:rPr>
        <w:t xml:space="preserve"> Ibid, P.476.</w:t>
      </w:r>
    </w:p>
  </w:footnote>
  <w:footnote w:id="125">
    <w:p w14:paraId="0744052B" w14:textId="37C054BC"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See</w:t>
      </w:r>
      <w:r w:rsidR="003C5096">
        <w:rPr>
          <w:rFonts w:ascii="Times New Roman" w:hAnsi="Times New Roman" w:cs="Times New Roman"/>
        </w:rPr>
        <w:t xml:space="preserve"> </w:t>
      </w:r>
      <w:r w:rsidR="008511D2">
        <w:rPr>
          <w:rFonts w:ascii="Times New Roman" w:hAnsi="Times New Roman" w:cs="Times New Roman"/>
        </w:rPr>
        <w:t xml:space="preserve">D, </w:t>
      </w:r>
      <w:r w:rsidRPr="005307BF">
        <w:rPr>
          <w:rFonts w:ascii="Times New Roman" w:hAnsi="Times New Roman" w:cs="Times New Roman"/>
        </w:rPr>
        <w:t>Saroosh</w:t>
      </w:r>
      <w:r w:rsidR="00DD224E">
        <w:rPr>
          <w:rFonts w:ascii="Times New Roman" w:hAnsi="Times New Roman" w:cs="Times New Roman"/>
        </w:rPr>
        <w:t>i. The United Nations</w:t>
      </w:r>
      <w:r w:rsidR="006871CB">
        <w:rPr>
          <w:rFonts w:ascii="Times New Roman" w:hAnsi="Times New Roman" w:cs="Times New Roman"/>
        </w:rPr>
        <w:t xml:space="preserve"> and</w:t>
      </w:r>
      <w:r w:rsidR="00DD224E">
        <w:rPr>
          <w:rFonts w:ascii="Times New Roman" w:hAnsi="Times New Roman" w:cs="Times New Roman"/>
        </w:rPr>
        <w:t xml:space="preserve"> the Development</w:t>
      </w:r>
      <w:r w:rsidR="006871CB">
        <w:rPr>
          <w:rFonts w:ascii="Times New Roman" w:hAnsi="Times New Roman" w:cs="Times New Roman"/>
        </w:rPr>
        <w:t xml:space="preserve"> of Collective Security: The Delegation by the UN Security Council of its Chapter VII Powers</w:t>
      </w:r>
      <w:r w:rsidR="006E41D5">
        <w:rPr>
          <w:rFonts w:ascii="Times New Roman" w:hAnsi="Times New Roman" w:cs="Times New Roman"/>
        </w:rPr>
        <w:t>, P.</w:t>
      </w:r>
      <w:r w:rsidRPr="005307BF">
        <w:rPr>
          <w:rFonts w:ascii="Times New Roman" w:hAnsi="Times New Roman" w:cs="Times New Roman"/>
        </w:rPr>
        <w:t>248</w:t>
      </w:r>
      <w:r w:rsidR="006E41D5">
        <w:rPr>
          <w:rFonts w:ascii="Times New Roman" w:hAnsi="Times New Roman" w:cs="Times New Roman"/>
        </w:rPr>
        <w:t xml:space="preserve">, </w:t>
      </w:r>
      <w:r w:rsidRPr="005307BF">
        <w:rPr>
          <w:rFonts w:ascii="Times New Roman" w:hAnsi="Times New Roman" w:cs="Times New Roman"/>
        </w:rPr>
        <w:t>251</w:t>
      </w:r>
      <w:r w:rsidR="006871CB">
        <w:rPr>
          <w:rFonts w:ascii="Times New Roman" w:hAnsi="Times New Roman" w:cs="Times New Roman"/>
        </w:rPr>
        <w:t>.</w:t>
      </w:r>
    </w:p>
  </w:footnote>
  <w:footnote w:id="126">
    <w:p w14:paraId="46037734" w14:textId="252B8E45"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BC66EE">
        <w:rPr>
          <w:rFonts w:ascii="Times New Roman" w:hAnsi="Times New Roman" w:cs="Times New Roman"/>
        </w:rPr>
        <w:t xml:space="preserve"> </w:t>
      </w:r>
      <w:bookmarkStart w:id="51" w:name="_Hlk109338731"/>
      <w:r w:rsidR="008511D2">
        <w:rPr>
          <w:rFonts w:ascii="Times New Roman" w:hAnsi="Times New Roman" w:cs="Times New Roman"/>
        </w:rPr>
        <w:t xml:space="preserve">B, </w:t>
      </w:r>
      <w:r w:rsidRPr="005307BF">
        <w:rPr>
          <w:rFonts w:ascii="Times New Roman" w:hAnsi="Times New Roman" w:cs="Times New Roman"/>
        </w:rPr>
        <w:t>Conforti</w:t>
      </w:r>
      <w:r w:rsidR="0080332B">
        <w:rPr>
          <w:rFonts w:ascii="Times New Roman" w:hAnsi="Times New Roman" w:cs="Times New Roman"/>
        </w:rPr>
        <w:t>. The</w:t>
      </w:r>
      <w:r w:rsidR="00BC66EE">
        <w:rPr>
          <w:rFonts w:ascii="Times New Roman" w:hAnsi="Times New Roman" w:cs="Times New Roman"/>
        </w:rPr>
        <w:t xml:space="preserve"> Law and Practice of the United Nations</w:t>
      </w:r>
      <w:r w:rsidR="006E41D5">
        <w:rPr>
          <w:rFonts w:ascii="Times New Roman" w:hAnsi="Times New Roman" w:cs="Times New Roman"/>
        </w:rPr>
        <w:t>,</w:t>
      </w:r>
      <w:r w:rsidR="00CA4DC3">
        <w:rPr>
          <w:rFonts w:ascii="Times New Roman" w:hAnsi="Times New Roman" w:cs="Times New Roman"/>
        </w:rPr>
        <w:t xml:space="preserve"> 3 </w:t>
      </w:r>
      <w:r w:rsidR="009F01EC">
        <w:rPr>
          <w:rFonts w:ascii="Times New Roman" w:hAnsi="Times New Roman" w:cs="Times New Roman"/>
        </w:rPr>
        <w:t>rd. ed, 2005.</w:t>
      </w:r>
      <w:r w:rsidR="006E41D5">
        <w:rPr>
          <w:rFonts w:ascii="Times New Roman" w:hAnsi="Times New Roman" w:cs="Times New Roman"/>
        </w:rPr>
        <w:t xml:space="preserve"> </w:t>
      </w:r>
      <w:bookmarkEnd w:id="51"/>
      <w:r w:rsidR="006E41D5">
        <w:rPr>
          <w:rFonts w:ascii="Times New Roman" w:hAnsi="Times New Roman" w:cs="Times New Roman"/>
        </w:rPr>
        <w:t>P.</w:t>
      </w:r>
      <w:r w:rsidRPr="005307BF">
        <w:rPr>
          <w:rFonts w:ascii="Times New Roman" w:hAnsi="Times New Roman" w:cs="Times New Roman"/>
        </w:rPr>
        <w:t xml:space="preserve"> 231</w:t>
      </w:r>
      <w:r w:rsidR="006E41D5">
        <w:rPr>
          <w:rFonts w:ascii="Times New Roman" w:hAnsi="Times New Roman" w:cs="Times New Roman"/>
        </w:rPr>
        <w:t xml:space="preserve">, </w:t>
      </w:r>
      <w:r w:rsidR="006E41D5" w:rsidRPr="005307BF">
        <w:rPr>
          <w:rFonts w:ascii="Times New Roman" w:hAnsi="Times New Roman" w:cs="Times New Roman"/>
        </w:rPr>
        <w:t>238</w:t>
      </w:r>
      <w:r w:rsidR="006E41D5">
        <w:rPr>
          <w:rFonts w:ascii="Times New Roman" w:hAnsi="Times New Roman" w:cs="Times New Roman"/>
        </w:rPr>
        <w:t>;</w:t>
      </w:r>
      <w:r w:rsidRPr="005307BF">
        <w:rPr>
          <w:rFonts w:ascii="Times New Roman" w:hAnsi="Times New Roman" w:cs="Times New Roman"/>
        </w:rPr>
        <w:t xml:space="preserve"> and</w:t>
      </w:r>
      <w:r w:rsidR="00A63A51">
        <w:rPr>
          <w:rFonts w:ascii="Times New Roman" w:hAnsi="Times New Roman" w:cs="Times New Roman"/>
        </w:rPr>
        <w:t xml:space="preserve"> </w:t>
      </w:r>
      <w:r w:rsidR="008511D2">
        <w:rPr>
          <w:rFonts w:ascii="Times New Roman" w:hAnsi="Times New Roman" w:cs="Times New Roman"/>
        </w:rPr>
        <w:t xml:space="preserve">D, </w:t>
      </w:r>
      <w:r w:rsidRPr="005307BF">
        <w:rPr>
          <w:rFonts w:ascii="Times New Roman" w:hAnsi="Times New Roman" w:cs="Times New Roman"/>
        </w:rPr>
        <w:t>Sarooshi</w:t>
      </w:r>
      <w:r w:rsidR="00A63A51">
        <w:rPr>
          <w:rFonts w:ascii="Times New Roman" w:hAnsi="Times New Roman" w:cs="Times New Roman"/>
        </w:rPr>
        <w:t>. Ibid</w:t>
      </w:r>
      <w:r w:rsidRPr="005307BF">
        <w:rPr>
          <w:rFonts w:ascii="Times New Roman" w:hAnsi="Times New Roman" w:cs="Times New Roman"/>
        </w:rPr>
        <w:t xml:space="preserve">, </w:t>
      </w:r>
      <w:r w:rsidR="006E41D5">
        <w:rPr>
          <w:rFonts w:ascii="Times New Roman" w:hAnsi="Times New Roman" w:cs="Times New Roman"/>
        </w:rPr>
        <w:t>P.</w:t>
      </w:r>
      <w:r w:rsidRPr="005307BF">
        <w:rPr>
          <w:rFonts w:ascii="Times New Roman" w:hAnsi="Times New Roman" w:cs="Times New Roman"/>
        </w:rPr>
        <w:t>247</w:t>
      </w:r>
      <w:r w:rsidR="006E41D5">
        <w:rPr>
          <w:rFonts w:ascii="Times New Roman" w:hAnsi="Times New Roman" w:cs="Times New Roman"/>
        </w:rPr>
        <w:t xml:space="preserve">, </w:t>
      </w:r>
      <w:r w:rsidR="006E41D5" w:rsidRPr="005307BF">
        <w:rPr>
          <w:rFonts w:ascii="Times New Roman" w:hAnsi="Times New Roman" w:cs="Times New Roman"/>
        </w:rPr>
        <w:t>253</w:t>
      </w:r>
      <w:r w:rsidR="006E41D5">
        <w:rPr>
          <w:rFonts w:ascii="Times New Roman" w:hAnsi="Times New Roman" w:cs="Times New Roman"/>
        </w:rPr>
        <w:t>.</w:t>
      </w:r>
    </w:p>
  </w:footnote>
  <w:footnote w:id="127">
    <w:p w14:paraId="47C09BDD" w14:textId="4D11BEEA"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9F01EC">
        <w:rPr>
          <w:rFonts w:ascii="Times New Roman" w:hAnsi="Times New Roman" w:cs="Times New Roman"/>
        </w:rPr>
        <w:t xml:space="preserve">See Asad </w:t>
      </w:r>
      <w:r w:rsidR="001A2FED">
        <w:rPr>
          <w:rFonts w:ascii="Times New Roman" w:hAnsi="Times New Roman" w:cs="Times New Roman"/>
        </w:rPr>
        <w:t>G. Kiyani, supra note 4, P.476.</w:t>
      </w:r>
    </w:p>
  </w:footnote>
  <w:footnote w:id="128">
    <w:p w14:paraId="6E845096" w14:textId="2AEA55D4"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1A2FED">
        <w:rPr>
          <w:rFonts w:ascii="Times New Roman" w:hAnsi="Times New Roman" w:cs="Times New Roman"/>
        </w:rPr>
        <w:t>Ibid, P.476.</w:t>
      </w:r>
    </w:p>
  </w:footnote>
  <w:footnote w:id="129">
    <w:p w14:paraId="536FC017" w14:textId="2D8B8FD1"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506809">
        <w:rPr>
          <w:rFonts w:ascii="Times New Roman" w:hAnsi="Times New Roman" w:cs="Times New Roman"/>
        </w:rPr>
        <w:t xml:space="preserve"> </w:t>
      </w:r>
      <w:r w:rsidR="00DF3552">
        <w:rPr>
          <w:rFonts w:ascii="Times New Roman" w:hAnsi="Times New Roman" w:cs="Times New Roman"/>
        </w:rPr>
        <w:t>Ibid, P.476.</w:t>
      </w:r>
    </w:p>
  </w:footnote>
  <w:footnote w:id="130">
    <w:p w14:paraId="1B20850E" w14:textId="55603A92"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A45055">
        <w:rPr>
          <w:rFonts w:ascii="Times New Roman" w:hAnsi="Times New Roman" w:cs="Times New Roman"/>
        </w:rPr>
        <w:t>Ibid, P.476.</w:t>
      </w:r>
    </w:p>
  </w:footnote>
  <w:footnote w:id="131">
    <w:p w14:paraId="4F246371" w14:textId="16BD5057" w:rsidR="008B621A" w:rsidRPr="005307BF" w:rsidRDefault="008B621A" w:rsidP="00B64FF6">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CB7DE0">
        <w:rPr>
          <w:rFonts w:ascii="Times New Roman" w:hAnsi="Times New Roman" w:cs="Times New Roman"/>
        </w:rPr>
        <w:t>Asad G. Kiyani, supra note 4, P.476, 477.</w:t>
      </w:r>
    </w:p>
  </w:footnote>
  <w:footnote w:id="132">
    <w:p w14:paraId="30AE8561" w14:textId="71EBCAD9"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DB0334">
        <w:rPr>
          <w:rFonts w:ascii="Times New Roman" w:hAnsi="Times New Roman" w:cs="Times New Roman"/>
        </w:rPr>
        <w:t xml:space="preserve"> </w:t>
      </w:r>
      <w:r w:rsidR="00151CE0">
        <w:rPr>
          <w:rFonts w:ascii="Times New Roman" w:hAnsi="Times New Roman" w:cs="Times New Roman"/>
        </w:rPr>
        <w:t>Ibid, P. 477.</w:t>
      </w:r>
    </w:p>
  </w:footnote>
  <w:footnote w:id="133">
    <w:p w14:paraId="183B9298" w14:textId="13DA27FD"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AD259D">
        <w:rPr>
          <w:rFonts w:ascii="Times New Roman" w:hAnsi="Times New Roman" w:cs="Times New Roman"/>
        </w:rPr>
        <w:t>See</w:t>
      </w:r>
      <w:r w:rsidR="00803FB0">
        <w:rPr>
          <w:rFonts w:ascii="Times New Roman" w:hAnsi="Times New Roman" w:cs="Times New Roman"/>
        </w:rPr>
        <w:t xml:space="preserve"> </w:t>
      </w:r>
      <w:r w:rsidRPr="005307BF">
        <w:rPr>
          <w:rFonts w:ascii="Times New Roman" w:hAnsi="Times New Roman" w:cs="Times New Roman"/>
        </w:rPr>
        <w:t>Charter</w:t>
      </w:r>
      <w:r w:rsidR="00803FB0">
        <w:rPr>
          <w:rFonts w:ascii="Times New Roman" w:hAnsi="Times New Roman" w:cs="Times New Roman"/>
        </w:rPr>
        <w:t xml:space="preserve"> of the United Nations</w:t>
      </w:r>
      <w:r w:rsidRPr="005307BF">
        <w:rPr>
          <w:rFonts w:ascii="Times New Roman" w:hAnsi="Times New Roman" w:cs="Times New Roman"/>
        </w:rPr>
        <w:t xml:space="preserve">, </w:t>
      </w:r>
      <w:r w:rsidR="0084407E">
        <w:rPr>
          <w:rFonts w:ascii="Times New Roman" w:hAnsi="Times New Roman" w:cs="Times New Roman"/>
        </w:rPr>
        <w:t>26 June 1945</w:t>
      </w:r>
      <w:r w:rsidRPr="005307BF">
        <w:rPr>
          <w:rFonts w:ascii="Times New Roman" w:hAnsi="Times New Roman" w:cs="Times New Roman"/>
        </w:rPr>
        <w:t>, art. 103.</w:t>
      </w:r>
    </w:p>
  </w:footnote>
  <w:footnote w:id="134">
    <w:p w14:paraId="6E80C59D" w14:textId="272E4876"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84407E">
        <w:rPr>
          <w:rFonts w:ascii="Times New Roman" w:hAnsi="Times New Roman" w:cs="Times New Roman"/>
        </w:rPr>
        <w:t>Asad G. Kiyani, supra note 4, P.478.</w:t>
      </w:r>
    </w:p>
  </w:footnote>
  <w:footnote w:id="135">
    <w:p w14:paraId="7FF913A2" w14:textId="6B313D7D" w:rsidR="008B621A" w:rsidRPr="005307BF" w:rsidRDefault="008B621A" w:rsidP="005307BF">
      <w:pPr>
        <w:pStyle w:val="Textpoznpodarou"/>
        <w:spacing w:before="120"/>
        <w:ind w:left="170" w:right="113"/>
        <w:jc w:val="both"/>
        <w:rPr>
          <w:rFonts w:ascii="Times New Roman" w:hAnsi="Times New Roman" w:cs="Times New Roman"/>
        </w:rPr>
      </w:pPr>
      <w:bookmarkStart w:id="54" w:name="_Hlk106178085"/>
      <w:r w:rsidRPr="005307BF">
        <w:rPr>
          <w:rStyle w:val="Znakapoznpodarou"/>
          <w:rFonts w:ascii="Times New Roman" w:hAnsi="Times New Roman" w:cs="Times New Roman"/>
        </w:rPr>
        <w:footnoteRef/>
      </w:r>
      <w:r w:rsidRPr="005307BF">
        <w:rPr>
          <w:rFonts w:ascii="Times New Roman" w:hAnsi="Times New Roman" w:cs="Times New Roman"/>
        </w:rPr>
        <w:t xml:space="preserve"> </w:t>
      </w:r>
      <w:bookmarkEnd w:id="54"/>
      <w:r w:rsidR="00F951A5">
        <w:rPr>
          <w:rFonts w:ascii="Times New Roman" w:hAnsi="Times New Roman" w:cs="Times New Roman"/>
        </w:rPr>
        <w:t>Ibid, P.478.</w:t>
      </w:r>
    </w:p>
  </w:footnote>
  <w:footnote w:id="136">
    <w:p w14:paraId="737D5845" w14:textId="68DC4F74"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F951A5">
        <w:rPr>
          <w:rFonts w:ascii="Times New Roman" w:hAnsi="Times New Roman" w:cs="Times New Roman"/>
        </w:rPr>
        <w:t>Ibid, P.478.</w:t>
      </w:r>
    </w:p>
  </w:footnote>
  <w:footnote w:id="137">
    <w:p w14:paraId="1DF43FD7" w14:textId="05BC9874"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Ibid</w:t>
      </w:r>
      <w:r w:rsidR="0018017B">
        <w:rPr>
          <w:rFonts w:ascii="Times New Roman" w:hAnsi="Times New Roman" w:cs="Times New Roman"/>
        </w:rPr>
        <w:t>, P.478.</w:t>
      </w:r>
    </w:p>
  </w:footnote>
  <w:footnote w:id="138">
    <w:p w14:paraId="310496A6" w14:textId="79758027"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C52F10">
        <w:rPr>
          <w:rFonts w:ascii="Times New Roman" w:hAnsi="Times New Roman" w:cs="Times New Roman"/>
        </w:rPr>
        <w:t xml:space="preserve"> </w:t>
      </w:r>
      <w:r w:rsidR="0018017B">
        <w:rPr>
          <w:rFonts w:ascii="Times New Roman" w:hAnsi="Times New Roman" w:cs="Times New Roman"/>
        </w:rPr>
        <w:t>Ibid, P.479.</w:t>
      </w:r>
      <w:r w:rsidRPr="005307BF">
        <w:rPr>
          <w:rFonts w:ascii="Times New Roman" w:hAnsi="Times New Roman" w:cs="Times New Roman"/>
        </w:rPr>
        <w:t xml:space="preserve"> </w:t>
      </w:r>
      <w:bookmarkStart w:id="55" w:name="_Hlk106188468"/>
    </w:p>
    <w:bookmarkEnd w:id="55"/>
  </w:footnote>
  <w:footnote w:id="139">
    <w:p w14:paraId="6E75642B" w14:textId="0F66D9BB"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7A0484">
        <w:rPr>
          <w:rFonts w:ascii="Times New Roman" w:hAnsi="Times New Roman" w:cs="Times New Roman"/>
        </w:rPr>
        <w:t xml:space="preserve"> </w:t>
      </w:r>
      <w:r w:rsidR="00147B50">
        <w:rPr>
          <w:rFonts w:ascii="Times New Roman" w:hAnsi="Times New Roman" w:cs="Times New Roman"/>
        </w:rPr>
        <w:t>Asad G. Kiyani, supra note 4, P.479.</w:t>
      </w:r>
    </w:p>
  </w:footnote>
  <w:footnote w:id="140">
    <w:p w14:paraId="2890AF32" w14:textId="7C42DAFB" w:rsidR="008B621A" w:rsidRPr="005307BF" w:rsidRDefault="008B621A" w:rsidP="005307BF">
      <w:pPr>
        <w:pStyle w:val="Textpoznpodarou"/>
        <w:spacing w:before="120"/>
        <w:ind w:left="170" w:right="113"/>
        <w:jc w:val="both"/>
        <w:rPr>
          <w:rFonts w:ascii="Times New Roman" w:hAnsi="Times New Roman" w:cs="Times New Roman"/>
        </w:rPr>
      </w:pPr>
      <w:bookmarkStart w:id="57" w:name="_Hlk106199402"/>
      <w:r w:rsidRPr="005307BF">
        <w:rPr>
          <w:rStyle w:val="Znakapoznpodarou"/>
          <w:rFonts w:ascii="Times New Roman" w:hAnsi="Times New Roman" w:cs="Times New Roman"/>
        </w:rPr>
        <w:footnoteRef/>
      </w:r>
      <w:r w:rsidR="003B4EF1">
        <w:rPr>
          <w:rFonts w:ascii="Times New Roman" w:hAnsi="Times New Roman" w:cs="Times New Roman"/>
        </w:rPr>
        <w:t xml:space="preserve"> </w:t>
      </w:r>
      <w:r w:rsidR="00147B50">
        <w:rPr>
          <w:rFonts w:ascii="Times New Roman" w:hAnsi="Times New Roman" w:cs="Times New Roman"/>
        </w:rPr>
        <w:t>Ibid, P.479.</w:t>
      </w:r>
      <w:bookmarkEnd w:id="57"/>
    </w:p>
  </w:footnote>
  <w:footnote w:id="141">
    <w:p w14:paraId="519DE874" w14:textId="56E6F0E2" w:rsidR="008B621A" w:rsidRPr="005307BF" w:rsidRDefault="008B621A" w:rsidP="005307BF">
      <w:pPr>
        <w:pStyle w:val="Textpoznpodarou"/>
        <w:spacing w:before="120"/>
        <w:ind w:left="170" w:right="113"/>
        <w:jc w:val="both"/>
        <w:rPr>
          <w:rFonts w:ascii="Times New Roman" w:hAnsi="Times New Roman" w:cs="Times New Roman"/>
        </w:rPr>
      </w:pPr>
      <w:bookmarkStart w:id="58" w:name="_Hlk106202003"/>
      <w:r w:rsidRPr="005307BF">
        <w:rPr>
          <w:rStyle w:val="Znakapoznpodarou"/>
          <w:rFonts w:ascii="Times New Roman" w:hAnsi="Times New Roman" w:cs="Times New Roman"/>
        </w:rPr>
        <w:footnoteRef/>
      </w:r>
      <w:r w:rsidR="007E4C57">
        <w:rPr>
          <w:rFonts w:ascii="Times New Roman" w:hAnsi="Times New Roman" w:cs="Times New Roman"/>
        </w:rPr>
        <w:t xml:space="preserve"> </w:t>
      </w:r>
      <w:r w:rsidR="002653F4">
        <w:rPr>
          <w:rFonts w:ascii="Times New Roman" w:hAnsi="Times New Roman" w:cs="Times New Roman"/>
        </w:rPr>
        <w:t>Ibid, P.479.</w:t>
      </w:r>
      <w:r w:rsidR="00A02380">
        <w:rPr>
          <w:rFonts w:ascii="Times New Roman" w:hAnsi="Times New Roman" w:cs="Times New Roman"/>
        </w:rPr>
        <w:t xml:space="preserve"> </w:t>
      </w:r>
      <w:bookmarkEnd w:id="58"/>
    </w:p>
  </w:footnote>
  <w:footnote w:id="142">
    <w:p w14:paraId="18615B9A" w14:textId="3660998F"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5307BF">
        <w:rPr>
          <w:rFonts w:ascii="Times New Roman" w:hAnsi="Times New Roman" w:cs="Times New Roman"/>
        </w:rPr>
        <w:t xml:space="preserve"> </w:t>
      </w:r>
      <w:r w:rsidR="002653F4">
        <w:rPr>
          <w:rFonts w:ascii="Times New Roman" w:hAnsi="Times New Roman" w:cs="Times New Roman"/>
        </w:rPr>
        <w:t>Ibid, P.480.</w:t>
      </w:r>
    </w:p>
  </w:footnote>
  <w:footnote w:id="143">
    <w:p w14:paraId="34BC737A" w14:textId="0E5EEC45"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00E83DDB">
        <w:rPr>
          <w:rFonts w:ascii="Times New Roman" w:hAnsi="Times New Roman" w:cs="Times New Roman"/>
        </w:rPr>
        <w:t xml:space="preserve"> </w:t>
      </w:r>
      <w:r w:rsidR="002653F4">
        <w:rPr>
          <w:rFonts w:ascii="Times New Roman" w:hAnsi="Times New Roman" w:cs="Times New Roman"/>
        </w:rPr>
        <w:t xml:space="preserve">Asad </w:t>
      </w:r>
      <w:r w:rsidR="003C7152">
        <w:rPr>
          <w:rFonts w:ascii="Times New Roman" w:hAnsi="Times New Roman" w:cs="Times New Roman"/>
        </w:rPr>
        <w:t>G. Kiyani, supra note 4, P.480.</w:t>
      </w:r>
    </w:p>
  </w:footnote>
  <w:footnote w:id="144">
    <w:p w14:paraId="5FE06BC5" w14:textId="1419BEA1" w:rsidR="008B621A" w:rsidRPr="005307BF"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bookmarkStart w:id="60" w:name="_Hlk81432600"/>
      <w:r w:rsidR="00F81406">
        <w:rPr>
          <w:rFonts w:ascii="Times New Roman" w:hAnsi="Times New Roman" w:cs="Times New Roman"/>
        </w:rPr>
        <w:t xml:space="preserve"> </w:t>
      </w:r>
      <w:r w:rsidR="003C7152">
        <w:rPr>
          <w:rFonts w:ascii="Times New Roman" w:hAnsi="Times New Roman" w:cs="Times New Roman"/>
        </w:rPr>
        <w:t>Ibid, P.480.</w:t>
      </w:r>
      <w:r w:rsidRPr="005307BF">
        <w:rPr>
          <w:rFonts w:ascii="Times New Roman" w:hAnsi="Times New Roman" w:cs="Times New Roman"/>
        </w:rPr>
        <w:t xml:space="preserve"> </w:t>
      </w:r>
      <w:bookmarkEnd w:id="60"/>
    </w:p>
  </w:footnote>
  <w:footnote w:id="145">
    <w:p w14:paraId="10DD2392" w14:textId="3EFEF708" w:rsidR="00181A07" w:rsidRPr="00181A07" w:rsidRDefault="00181A07">
      <w:pPr>
        <w:pStyle w:val="Textpoznpodarou"/>
      </w:pPr>
      <w:r>
        <w:rPr>
          <w:rStyle w:val="Znakapoznpodarou"/>
        </w:rPr>
        <w:footnoteRef/>
      </w:r>
      <w:r>
        <w:t xml:space="preserve"> </w:t>
      </w:r>
      <w:r w:rsidRPr="00694EBA">
        <w:rPr>
          <w:rFonts w:ascii="Times New Roman" w:hAnsi="Times New Roman" w:cs="Times New Roman"/>
        </w:rPr>
        <w:t xml:space="preserve">Draft art 7 para 1 on the Immunity of State Officials from Foreign Criminal Jurisdiction adopted </w:t>
      </w:r>
      <w:r w:rsidR="0001518D" w:rsidRPr="00694EBA">
        <w:rPr>
          <w:rFonts w:ascii="Times New Roman" w:hAnsi="Times New Roman" w:cs="Times New Roman"/>
        </w:rPr>
        <w:t>provisionally by the Commission, ILC report during its Sixty-Ninth Session, GA Official Records, Seventy-Second Session, Supplement No</w:t>
      </w:r>
      <w:r w:rsidR="00094373" w:rsidRPr="00694EBA">
        <w:rPr>
          <w:rFonts w:ascii="Times New Roman" w:hAnsi="Times New Roman" w:cs="Times New Roman"/>
        </w:rPr>
        <w:t xml:space="preserve"> 10</w:t>
      </w:r>
      <w:r w:rsidR="0069728E" w:rsidRPr="00694EBA">
        <w:rPr>
          <w:rFonts w:ascii="Times New Roman" w:hAnsi="Times New Roman" w:cs="Times New Roman"/>
        </w:rPr>
        <w:t>.</w:t>
      </w:r>
    </w:p>
  </w:footnote>
  <w:footnote w:id="146">
    <w:p w14:paraId="143BE385" w14:textId="52CE10C7" w:rsidR="00290125" w:rsidRPr="00EA5060" w:rsidRDefault="00290125">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Article 1 of the International Law Commission Statute.</w:t>
      </w:r>
    </w:p>
  </w:footnote>
  <w:footnote w:id="147">
    <w:p w14:paraId="5CE64B92" w14:textId="561A66B5" w:rsidR="000758B3" w:rsidRPr="00EA5060" w:rsidRDefault="000758B3">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 Para 15.</w:t>
      </w:r>
    </w:p>
  </w:footnote>
  <w:footnote w:id="148">
    <w:p w14:paraId="2E1DFAEE" w14:textId="6CFD27E2" w:rsidR="00581E81" w:rsidRPr="00EA5060" w:rsidRDefault="00581E81">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w:t>
      </w:r>
    </w:p>
  </w:footnote>
  <w:footnote w:id="149">
    <w:p w14:paraId="3436EF50" w14:textId="07A48696" w:rsidR="000B3C1E" w:rsidRPr="000B3C1E" w:rsidRDefault="000B3C1E">
      <w:pPr>
        <w:pStyle w:val="Textpoznpodarou"/>
      </w:pPr>
      <w:r w:rsidRPr="00EA5060">
        <w:rPr>
          <w:rStyle w:val="Znakapoznpodarou"/>
          <w:rFonts w:ascii="Times New Roman" w:hAnsi="Times New Roman" w:cs="Times New Roman"/>
        </w:rPr>
        <w:footnoteRef/>
      </w:r>
      <w:r w:rsidRPr="00EA5060">
        <w:rPr>
          <w:rFonts w:ascii="Times New Roman" w:hAnsi="Times New Roman" w:cs="Times New Roman"/>
        </w:rPr>
        <w:t xml:space="preserve"> Fifth report,</w:t>
      </w:r>
      <w:r w:rsidR="005D7668" w:rsidRPr="00EA5060">
        <w:rPr>
          <w:rFonts w:ascii="Times New Roman" w:hAnsi="Times New Roman" w:cs="Times New Roman"/>
        </w:rPr>
        <w:t xml:space="preserve"> Concepcion</w:t>
      </w:r>
      <w:r w:rsidRPr="00EA5060">
        <w:rPr>
          <w:rFonts w:ascii="Times New Roman" w:hAnsi="Times New Roman" w:cs="Times New Roman"/>
        </w:rPr>
        <w:t xml:space="preserve"> Escoba</w:t>
      </w:r>
      <w:r w:rsidR="00B27511" w:rsidRPr="00EA5060">
        <w:rPr>
          <w:rFonts w:ascii="Times New Roman" w:hAnsi="Times New Roman" w:cs="Times New Roman"/>
        </w:rPr>
        <w:t>r Hernandez</w:t>
      </w:r>
      <w:r w:rsidR="00B60072" w:rsidRPr="00EA5060">
        <w:rPr>
          <w:rFonts w:ascii="Times New Roman" w:hAnsi="Times New Roman" w:cs="Times New Roman"/>
        </w:rPr>
        <w:t>, Special Rapporteur on the Immunity of State Officials from Foreign Criminal Jurisdiction, 2016.</w:t>
      </w:r>
    </w:p>
  </w:footnote>
  <w:footnote w:id="150">
    <w:p w14:paraId="2C5A3779" w14:textId="5404C425" w:rsidR="00CD1D5C" w:rsidRPr="00EA5060" w:rsidRDefault="00CD1D5C">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w:t>
      </w:r>
      <w:r w:rsidR="0020390B" w:rsidRPr="00EA5060">
        <w:rPr>
          <w:rFonts w:ascii="Times New Roman" w:hAnsi="Times New Roman" w:cs="Times New Roman"/>
        </w:rPr>
        <w:t xml:space="preserve">Fifth Report on </w:t>
      </w:r>
      <w:r w:rsidR="002F596B" w:rsidRPr="00EA5060">
        <w:rPr>
          <w:rFonts w:ascii="Times New Roman" w:hAnsi="Times New Roman" w:cs="Times New Roman"/>
        </w:rPr>
        <w:t>Immunity</w:t>
      </w:r>
      <w:r w:rsidR="0020390B" w:rsidRPr="00EA5060">
        <w:rPr>
          <w:rFonts w:ascii="Times New Roman" w:hAnsi="Times New Roman" w:cs="Times New Roman"/>
        </w:rPr>
        <w:t>,</w:t>
      </w:r>
      <w:r w:rsidR="002806C4" w:rsidRPr="00EA5060">
        <w:rPr>
          <w:rFonts w:ascii="Times New Roman" w:hAnsi="Times New Roman" w:cs="Times New Roman"/>
        </w:rPr>
        <w:t xml:space="preserve"> above note 149,</w:t>
      </w:r>
      <w:r w:rsidRPr="00EA5060">
        <w:rPr>
          <w:rFonts w:ascii="Times New Roman" w:hAnsi="Times New Roman" w:cs="Times New Roman"/>
        </w:rPr>
        <w:t xml:space="preserve"> Para 32.</w:t>
      </w:r>
    </w:p>
  </w:footnote>
  <w:footnote w:id="151">
    <w:p w14:paraId="42F50D0F" w14:textId="7FC13244" w:rsidR="009C5D01" w:rsidRPr="00EA5060" w:rsidRDefault="009C5D01">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 Para 33.</w:t>
      </w:r>
    </w:p>
  </w:footnote>
  <w:footnote w:id="152">
    <w:p w14:paraId="70FE02D7" w14:textId="39CDC18F" w:rsidR="002F596B" w:rsidRPr="00EA5060" w:rsidRDefault="002F596B">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 Para 44.</w:t>
      </w:r>
    </w:p>
  </w:footnote>
  <w:footnote w:id="153">
    <w:p w14:paraId="0F8B46C7" w14:textId="5C7646AB" w:rsidR="00DD66C3" w:rsidRPr="00EA5060" w:rsidRDefault="00DD66C3">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w:t>
      </w:r>
    </w:p>
  </w:footnote>
  <w:footnote w:id="154">
    <w:p w14:paraId="4626305A" w14:textId="3F8A6D54" w:rsidR="00675D9F" w:rsidRPr="00EA5060" w:rsidRDefault="00675D9F">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Fifth Report on Immunities, above note 149, Paras 47-53.</w:t>
      </w:r>
    </w:p>
  </w:footnote>
  <w:footnote w:id="155">
    <w:p w14:paraId="1C1ADEFB" w14:textId="7493A661" w:rsidR="005E2B8F" w:rsidRPr="00EA5060" w:rsidRDefault="005E2B8F">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 Para </w:t>
      </w:r>
      <w:r w:rsidR="00652CE7" w:rsidRPr="00EA5060">
        <w:rPr>
          <w:rFonts w:ascii="Times New Roman" w:hAnsi="Times New Roman" w:cs="Times New Roman"/>
        </w:rPr>
        <w:t>58.</w:t>
      </w:r>
    </w:p>
  </w:footnote>
  <w:footnote w:id="156">
    <w:p w14:paraId="117A05E7" w14:textId="0058CF36" w:rsidR="002744B8" w:rsidRPr="00EA5060" w:rsidRDefault="002744B8">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Ibid. Para</w:t>
      </w:r>
      <w:r w:rsidR="0010027C" w:rsidRPr="00EA5060">
        <w:rPr>
          <w:rFonts w:ascii="Times New Roman" w:hAnsi="Times New Roman" w:cs="Times New Roman"/>
        </w:rPr>
        <w:t xml:space="preserve"> 59. Under the report, States</w:t>
      </w:r>
      <w:r w:rsidR="008466AF" w:rsidRPr="00EA5060">
        <w:rPr>
          <w:rFonts w:ascii="Times New Roman" w:hAnsi="Times New Roman" w:cs="Times New Roman"/>
        </w:rPr>
        <w:t xml:space="preserve"> </w:t>
      </w:r>
      <w:r w:rsidR="0010027C" w:rsidRPr="00EA5060">
        <w:rPr>
          <w:rFonts w:ascii="Times New Roman" w:hAnsi="Times New Roman" w:cs="Times New Roman"/>
        </w:rPr>
        <w:t>following that perspective</w:t>
      </w:r>
      <w:r w:rsidR="008466AF" w:rsidRPr="00EA5060">
        <w:rPr>
          <w:rFonts w:ascii="Times New Roman" w:hAnsi="Times New Roman" w:cs="Times New Roman"/>
        </w:rPr>
        <w:t xml:space="preserve"> </w:t>
      </w:r>
      <w:r w:rsidR="003C2785" w:rsidRPr="00EA5060">
        <w:rPr>
          <w:rFonts w:ascii="Times New Roman" w:hAnsi="Times New Roman" w:cs="Times New Roman"/>
        </w:rPr>
        <w:t>are</w:t>
      </w:r>
      <w:r w:rsidR="008466AF" w:rsidRPr="00EA5060">
        <w:rPr>
          <w:rFonts w:ascii="Times New Roman" w:hAnsi="Times New Roman" w:cs="Times New Roman"/>
        </w:rPr>
        <w:t xml:space="preserve"> Kenya, Switzerland, Canada, Uganda, France, New Zealand, </w:t>
      </w:r>
      <w:r w:rsidR="006953F3" w:rsidRPr="00EA5060">
        <w:rPr>
          <w:rFonts w:ascii="Times New Roman" w:hAnsi="Times New Roman" w:cs="Times New Roman"/>
        </w:rPr>
        <w:t>Germany,</w:t>
      </w:r>
      <w:r w:rsidR="008466AF" w:rsidRPr="00EA5060">
        <w:rPr>
          <w:rFonts w:ascii="Times New Roman" w:hAnsi="Times New Roman" w:cs="Times New Roman"/>
        </w:rPr>
        <w:t xml:space="preserve"> and Norway.</w:t>
      </w:r>
    </w:p>
  </w:footnote>
  <w:footnote w:id="157">
    <w:p w14:paraId="076673A2" w14:textId="501C7D4E" w:rsidR="004732E7" w:rsidRPr="00EA5060" w:rsidRDefault="004732E7">
      <w:pPr>
        <w:pStyle w:val="Textpoznpodarou"/>
        <w:rPr>
          <w:rFonts w:ascii="Times New Roman" w:hAnsi="Times New Roman" w:cs="Times New Roman"/>
        </w:rPr>
      </w:pPr>
      <w:r w:rsidRPr="00EA5060">
        <w:rPr>
          <w:rStyle w:val="Znakapoznpodarou"/>
          <w:rFonts w:ascii="Times New Roman" w:hAnsi="Times New Roman" w:cs="Times New Roman"/>
        </w:rPr>
        <w:footnoteRef/>
      </w:r>
      <w:r w:rsidRPr="00EA5060">
        <w:rPr>
          <w:rFonts w:ascii="Times New Roman" w:hAnsi="Times New Roman" w:cs="Times New Roman"/>
        </w:rPr>
        <w:t xml:space="preserve"> Ex Parte Pinochet</w:t>
      </w:r>
      <w:r w:rsidR="003C2785" w:rsidRPr="00EA5060">
        <w:rPr>
          <w:rFonts w:ascii="Times New Roman" w:hAnsi="Times New Roman" w:cs="Times New Roman"/>
        </w:rPr>
        <w:t>, United Kingdom House of Lords Decisions, 24 March 1999.</w:t>
      </w:r>
    </w:p>
  </w:footnote>
  <w:footnote w:id="158">
    <w:p w14:paraId="6943063A" w14:textId="6F127996" w:rsidR="00433623" w:rsidRPr="00433623" w:rsidRDefault="00433623">
      <w:pPr>
        <w:pStyle w:val="Textpoznpodarou"/>
      </w:pPr>
      <w:r w:rsidRPr="00EA5060">
        <w:rPr>
          <w:rStyle w:val="Znakapoznpodarou"/>
          <w:rFonts w:ascii="Times New Roman" w:hAnsi="Times New Roman" w:cs="Times New Roman"/>
        </w:rPr>
        <w:footnoteRef/>
      </w:r>
      <w:r w:rsidRPr="00EA5060">
        <w:rPr>
          <w:rFonts w:ascii="Times New Roman" w:hAnsi="Times New Roman" w:cs="Times New Roman"/>
        </w:rPr>
        <w:t xml:space="preserve"> See Arrest Warrant of 11 April 2000, Democratic Republic of Congo, Judgment Of 14 February 2002, 3 </w:t>
      </w:r>
      <w:r w:rsidR="001F70A3" w:rsidRPr="00EA5060">
        <w:rPr>
          <w:rFonts w:ascii="Times New Roman" w:hAnsi="Times New Roman" w:cs="Times New Roman"/>
        </w:rPr>
        <w:t>P,</w:t>
      </w:r>
      <w:r w:rsidRPr="00EA5060">
        <w:rPr>
          <w:rFonts w:ascii="Times New Roman" w:hAnsi="Times New Roman" w:cs="Times New Roman"/>
        </w:rPr>
        <w:t xml:space="preserve"> Paras 60-61.</w:t>
      </w:r>
    </w:p>
  </w:footnote>
  <w:footnote w:id="159">
    <w:p w14:paraId="7535688D" w14:textId="3580E2D6" w:rsidR="008C64D2" w:rsidRPr="00943375" w:rsidRDefault="008C64D2">
      <w:pPr>
        <w:pStyle w:val="Textpoznpodarou"/>
        <w:rPr>
          <w:rFonts w:ascii="Times New Roman" w:hAnsi="Times New Roman" w:cs="Times New Roman"/>
        </w:rPr>
      </w:pPr>
      <w:r w:rsidRPr="00943375">
        <w:rPr>
          <w:rStyle w:val="Znakapoznpodarou"/>
          <w:rFonts w:ascii="Times New Roman" w:hAnsi="Times New Roman" w:cs="Times New Roman"/>
        </w:rPr>
        <w:footnoteRef/>
      </w:r>
      <w:r w:rsidRPr="00943375">
        <w:rPr>
          <w:rFonts w:ascii="Times New Roman" w:hAnsi="Times New Roman" w:cs="Times New Roman"/>
        </w:rPr>
        <w:t xml:space="preserve"> See </w:t>
      </w:r>
      <w:bookmarkStart w:id="65" w:name="_Hlk109338903"/>
      <w:r w:rsidRPr="00943375">
        <w:rPr>
          <w:rFonts w:ascii="Times New Roman" w:hAnsi="Times New Roman" w:cs="Times New Roman"/>
        </w:rPr>
        <w:t>Military and Paramilitary Activities, the Republic of Nicaragua v. the United States of America in 1986.</w:t>
      </w:r>
      <w:bookmarkEnd w:id="65"/>
    </w:p>
  </w:footnote>
  <w:footnote w:id="160">
    <w:p w14:paraId="59D3941B" w14:textId="2ADC15D5" w:rsidR="008B621A" w:rsidRPr="00433623" w:rsidRDefault="008B621A" w:rsidP="005307BF">
      <w:pPr>
        <w:pStyle w:val="Textpoznpodarou"/>
        <w:spacing w:before="120"/>
        <w:ind w:left="170" w:right="113"/>
        <w:jc w:val="both"/>
        <w:rPr>
          <w:rFonts w:ascii="Times New Roman" w:hAnsi="Times New Roman" w:cs="Times New Roman"/>
        </w:rPr>
      </w:pPr>
      <w:r w:rsidRPr="005307BF">
        <w:rPr>
          <w:rStyle w:val="Znakapoznpodarou"/>
          <w:rFonts w:ascii="Times New Roman" w:hAnsi="Times New Roman" w:cs="Times New Roman"/>
        </w:rPr>
        <w:footnoteRef/>
      </w:r>
      <w:r w:rsidRPr="00433623">
        <w:rPr>
          <w:rFonts w:ascii="Times New Roman" w:hAnsi="Times New Roman" w:cs="Times New Roman"/>
        </w:rPr>
        <w:t xml:space="preserve"> ICC Statute, supra note 114, pmbl.</w:t>
      </w:r>
    </w:p>
  </w:footnote>
  <w:footnote w:id="161">
    <w:p w14:paraId="0BA904C0" w14:textId="57874F97" w:rsidR="008B621A" w:rsidRPr="00F22117" w:rsidRDefault="008B621A" w:rsidP="005307BF">
      <w:pPr>
        <w:pStyle w:val="Textpoznpodarou"/>
        <w:rPr>
          <w:rFonts w:ascii="Times New Roman" w:hAnsi="Times New Roman" w:cs="Times New Roman"/>
        </w:rPr>
      </w:pPr>
      <w:r w:rsidRPr="00F22117">
        <w:rPr>
          <w:rStyle w:val="Znakapoznpodarou"/>
          <w:rFonts w:ascii="Times New Roman" w:hAnsi="Times New Roman" w:cs="Times New Roman"/>
        </w:rPr>
        <w:footnoteRef/>
      </w:r>
      <w:r w:rsidRPr="00F22117">
        <w:rPr>
          <w:rFonts w:ascii="Times New Roman" w:hAnsi="Times New Roman" w:cs="Times New Roman"/>
        </w:rPr>
        <w:t xml:space="preserve"> See </w:t>
      </w:r>
      <w:bookmarkStart w:id="67" w:name="_Hlk109339032"/>
      <w:r w:rsidRPr="00F22117">
        <w:rPr>
          <w:rFonts w:ascii="Times New Roman" w:hAnsi="Times New Roman" w:cs="Times New Roman"/>
        </w:rPr>
        <w:t xml:space="preserve">HAZEL FOX, THE LAW OF STATE IMMUNITY (2002) at </w:t>
      </w:r>
      <w:r w:rsidR="00F22117">
        <w:rPr>
          <w:rFonts w:ascii="Times New Roman" w:hAnsi="Times New Roman" w:cs="Times New Roman"/>
        </w:rPr>
        <w:t xml:space="preserve">P. </w:t>
      </w:r>
      <w:r w:rsidRPr="00F22117">
        <w:rPr>
          <w:rFonts w:ascii="Times New Roman" w:hAnsi="Times New Roman" w:cs="Times New Roman"/>
        </w:rPr>
        <w:t>30.</w:t>
      </w:r>
      <w:bookmarkEnd w:id="67"/>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9E9"/>
    <w:multiLevelType w:val="hybridMultilevel"/>
    <w:tmpl w:val="00E0D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5405"/>
    <w:multiLevelType w:val="hybridMultilevel"/>
    <w:tmpl w:val="F710A7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B1632"/>
    <w:multiLevelType w:val="hybridMultilevel"/>
    <w:tmpl w:val="B9DCE1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87F2D"/>
    <w:multiLevelType w:val="hybridMultilevel"/>
    <w:tmpl w:val="D2163C3A"/>
    <w:lvl w:ilvl="0" w:tplc="D1AC5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2A31"/>
    <w:multiLevelType w:val="multilevel"/>
    <w:tmpl w:val="CD00F93A"/>
    <w:lvl w:ilvl="0">
      <w:start w:val="3"/>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1A2B0AF4"/>
    <w:multiLevelType w:val="hybridMultilevel"/>
    <w:tmpl w:val="A91AB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1D45"/>
    <w:multiLevelType w:val="hybridMultilevel"/>
    <w:tmpl w:val="20EA08A2"/>
    <w:lvl w:ilvl="0" w:tplc="40C4FBD0">
      <w:start w:val="1"/>
      <w:numFmt w:val="upperRoman"/>
      <w:lvlText w:val="%1."/>
      <w:lvlJc w:val="left"/>
      <w:pPr>
        <w:ind w:left="1485" w:hanging="72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7" w15:restartNumberingAfterBreak="0">
    <w:nsid w:val="2AD30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343A10"/>
    <w:multiLevelType w:val="multilevel"/>
    <w:tmpl w:val="8B8047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43599C"/>
    <w:multiLevelType w:val="hybridMultilevel"/>
    <w:tmpl w:val="6620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1120E"/>
    <w:multiLevelType w:val="hybridMultilevel"/>
    <w:tmpl w:val="41D6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176DC"/>
    <w:multiLevelType w:val="multilevel"/>
    <w:tmpl w:val="59962D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838B9"/>
    <w:multiLevelType w:val="multilevel"/>
    <w:tmpl w:val="22406C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444D7AFD"/>
    <w:multiLevelType w:val="hybridMultilevel"/>
    <w:tmpl w:val="39D06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078F4"/>
    <w:multiLevelType w:val="hybridMultilevel"/>
    <w:tmpl w:val="E82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820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1434F65"/>
    <w:multiLevelType w:val="hybridMultilevel"/>
    <w:tmpl w:val="9B9E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D3A1F"/>
    <w:multiLevelType w:val="hybridMultilevel"/>
    <w:tmpl w:val="D5A0D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83C26"/>
    <w:multiLevelType w:val="hybridMultilevel"/>
    <w:tmpl w:val="8C2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C20A0"/>
    <w:multiLevelType w:val="hybridMultilevel"/>
    <w:tmpl w:val="9A9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48DC"/>
    <w:multiLevelType w:val="hybridMultilevel"/>
    <w:tmpl w:val="D50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87CAB"/>
    <w:multiLevelType w:val="hybridMultilevel"/>
    <w:tmpl w:val="C19038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B2E2E"/>
    <w:multiLevelType w:val="hybridMultilevel"/>
    <w:tmpl w:val="8D08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80622"/>
    <w:multiLevelType w:val="hybridMultilevel"/>
    <w:tmpl w:val="06FE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D2780"/>
    <w:multiLevelType w:val="hybridMultilevel"/>
    <w:tmpl w:val="4CFCC9A2"/>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12"/>
  </w:num>
  <w:num w:numId="2">
    <w:abstractNumId w:val="15"/>
  </w:num>
  <w:num w:numId="3">
    <w:abstractNumId w:val="16"/>
  </w:num>
  <w:num w:numId="4">
    <w:abstractNumId w:val="2"/>
  </w:num>
  <w:num w:numId="5">
    <w:abstractNumId w:val="0"/>
  </w:num>
  <w:num w:numId="6">
    <w:abstractNumId w:val="13"/>
  </w:num>
  <w:num w:numId="7">
    <w:abstractNumId w:val="3"/>
  </w:num>
  <w:num w:numId="8">
    <w:abstractNumId w:val="5"/>
  </w:num>
  <w:num w:numId="9">
    <w:abstractNumId w:val="7"/>
  </w:num>
  <w:num w:numId="10">
    <w:abstractNumId w:val="10"/>
  </w:num>
  <w:num w:numId="11">
    <w:abstractNumId w:val="21"/>
  </w:num>
  <w:num w:numId="12">
    <w:abstractNumId w:val="1"/>
  </w:num>
  <w:num w:numId="13">
    <w:abstractNumId w:val="17"/>
  </w:num>
  <w:num w:numId="14">
    <w:abstractNumId w:val="24"/>
  </w:num>
  <w:num w:numId="15">
    <w:abstractNumId w:val="20"/>
  </w:num>
  <w:num w:numId="16">
    <w:abstractNumId w:val="19"/>
  </w:num>
  <w:num w:numId="17">
    <w:abstractNumId w:val="22"/>
  </w:num>
  <w:num w:numId="18">
    <w:abstractNumId w:val="9"/>
  </w:num>
  <w:num w:numId="19">
    <w:abstractNumId w:val="23"/>
  </w:num>
  <w:num w:numId="20">
    <w:abstractNumId w:val="18"/>
  </w:num>
  <w:num w:numId="21">
    <w:abstractNumId w:val="14"/>
  </w:num>
  <w:num w:numId="22">
    <w:abstractNumId w:val="6"/>
  </w:num>
  <w:num w:numId="23">
    <w:abstractNumId w:val="11"/>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0"/>
    <w:rsid w:val="0000052B"/>
    <w:rsid w:val="000006E0"/>
    <w:rsid w:val="00000F8E"/>
    <w:rsid w:val="00003D8B"/>
    <w:rsid w:val="000040D5"/>
    <w:rsid w:val="00004307"/>
    <w:rsid w:val="000053C7"/>
    <w:rsid w:val="00006CC3"/>
    <w:rsid w:val="00006EA9"/>
    <w:rsid w:val="00010313"/>
    <w:rsid w:val="000142FC"/>
    <w:rsid w:val="0001472D"/>
    <w:rsid w:val="00014F40"/>
    <w:rsid w:val="0001518D"/>
    <w:rsid w:val="00016288"/>
    <w:rsid w:val="000202A1"/>
    <w:rsid w:val="00020BA3"/>
    <w:rsid w:val="00021298"/>
    <w:rsid w:val="00022172"/>
    <w:rsid w:val="000221F5"/>
    <w:rsid w:val="000222E3"/>
    <w:rsid w:val="00022E94"/>
    <w:rsid w:val="000251F8"/>
    <w:rsid w:val="000252D3"/>
    <w:rsid w:val="00025CA4"/>
    <w:rsid w:val="000273E7"/>
    <w:rsid w:val="00031A7B"/>
    <w:rsid w:val="00031ED9"/>
    <w:rsid w:val="000320AC"/>
    <w:rsid w:val="000343EC"/>
    <w:rsid w:val="000368B3"/>
    <w:rsid w:val="00037454"/>
    <w:rsid w:val="00037D2C"/>
    <w:rsid w:val="000458E3"/>
    <w:rsid w:val="00045DEC"/>
    <w:rsid w:val="00047262"/>
    <w:rsid w:val="00047DA2"/>
    <w:rsid w:val="00053580"/>
    <w:rsid w:val="00053777"/>
    <w:rsid w:val="00053A39"/>
    <w:rsid w:val="00053F50"/>
    <w:rsid w:val="00054041"/>
    <w:rsid w:val="00054E81"/>
    <w:rsid w:val="000563ED"/>
    <w:rsid w:val="000566CE"/>
    <w:rsid w:val="0006071F"/>
    <w:rsid w:val="0006085E"/>
    <w:rsid w:val="00063297"/>
    <w:rsid w:val="00063E65"/>
    <w:rsid w:val="000644D9"/>
    <w:rsid w:val="00064AA3"/>
    <w:rsid w:val="00065490"/>
    <w:rsid w:val="00065C53"/>
    <w:rsid w:val="0007165C"/>
    <w:rsid w:val="000723DC"/>
    <w:rsid w:val="00073074"/>
    <w:rsid w:val="00073E1F"/>
    <w:rsid w:val="0007459A"/>
    <w:rsid w:val="00075194"/>
    <w:rsid w:val="000758B3"/>
    <w:rsid w:val="00076058"/>
    <w:rsid w:val="000777A1"/>
    <w:rsid w:val="00077C07"/>
    <w:rsid w:val="000800F8"/>
    <w:rsid w:val="00082371"/>
    <w:rsid w:val="00083037"/>
    <w:rsid w:val="00085086"/>
    <w:rsid w:val="00085B8D"/>
    <w:rsid w:val="0008646C"/>
    <w:rsid w:val="00086B58"/>
    <w:rsid w:val="00093D5C"/>
    <w:rsid w:val="00094373"/>
    <w:rsid w:val="0009455F"/>
    <w:rsid w:val="000950FB"/>
    <w:rsid w:val="0009674D"/>
    <w:rsid w:val="00096C44"/>
    <w:rsid w:val="0009717C"/>
    <w:rsid w:val="000A0E2E"/>
    <w:rsid w:val="000A2DB5"/>
    <w:rsid w:val="000A39E3"/>
    <w:rsid w:val="000A3ABF"/>
    <w:rsid w:val="000A4295"/>
    <w:rsid w:val="000A55B8"/>
    <w:rsid w:val="000A6C0B"/>
    <w:rsid w:val="000A72C5"/>
    <w:rsid w:val="000B0FCD"/>
    <w:rsid w:val="000B1977"/>
    <w:rsid w:val="000B1FE7"/>
    <w:rsid w:val="000B2A42"/>
    <w:rsid w:val="000B2D76"/>
    <w:rsid w:val="000B3C1E"/>
    <w:rsid w:val="000B4512"/>
    <w:rsid w:val="000B47BC"/>
    <w:rsid w:val="000B4960"/>
    <w:rsid w:val="000B661A"/>
    <w:rsid w:val="000B69DE"/>
    <w:rsid w:val="000C2727"/>
    <w:rsid w:val="000C2C94"/>
    <w:rsid w:val="000C6627"/>
    <w:rsid w:val="000C731B"/>
    <w:rsid w:val="000D0B73"/>
    <w:rsid w:val="000D0BE1"/>
    <w:rsid w:val="000D29EF"/>
    <w:rsid w:val="000D39A3"/>
    <w:rsid w:val="000D7909"/>
    <w:rsid w:val="000D7CC5"/>
    <w:rsid w:val="000E0872"/>
    <w:rsid w:val="000E0CD5"/>
    <w:rsid w:val="000E1031"/>
    <w:rsid w:val="000E291A"/>
    <w:rsid w:val="000E310D"/>
    <w:rsid w:val="000E3A5E"/>
    <w:rsid w:val="000E4CF6"/>
    <w:rsid w:val="000E4E99"/>
    <w:rsid w:val="000E5AEF"/>
    <w:rsid w:val="000E5D44"/>
    <w:rsid w:val="000E60B1"/>
    <w:rsid w:val="000E6608"/>
    <w:rsid w:val="000E6EC5"/>
    <w:rsid w:val="000E7259"/>
    <w:rsid w:val="000F04D2"/>
    <w:rsid w:val="000F31C1"/>
    <w:rsid w:val="000F57A2"/>
    <w:rsid w:val="000F770D"/>
    <w:rsid w:val="0010027C"/>
    <w:rsid w:val="0010136A"/>
    <w:rsid w:val="001013C0"/>
    <w:rsid w:val="0010265B"/>
    <w:rsid w:val="001075FC"/>
    <w:rsid w:val="00107AD6"/>
    <w:rsid w:val="001105DE"/>
    <w:rsid w:val="00110C9B"/>
    <w:rsid w:val="0011346D"/>
    <w:rsid w:val="00114886"/>
    <w:rsid w:val="00114AB9"/>
    <w:rsid w:val="0011508D"/>
    <w:rsid w:val="00120FBB"/>
    <w:rsid w:val="001217DE"/>
    <w:rsid w:val="0012222D"/>
    <w:rsid w:val="0012252D"/>
    <w:rsid w:val="00123F6E"/>
    <w:rsid w:val="00126818"/>
    <w:rsid w:val="00126A30"/>
    <w:rsid w:val="0013013E"/>
    <w:rsid w:val="00131ED4"/>
    <w:rsid w:val="00132FD5"/>
    <w:rsid w:val="00133E52"/>
    <w:rsid w:val="001346F1"/>
    <w:rsid w:val="00135296"/>
    <w:rsid w:val="0013561E"/>
    <w:rsid w:val="00137605"/>
    <w:rsid w:val="0014545C"/>
    <w:rsid w:val="00145E8D"/>
    <w:rsid w:val="00145F10"/>
    <w:rsid w:val="00146F8C"/>
    <w:rsid w:val="00147A5D"/>
    <w:rsid w:val="00147B50"/>
    <w:rsid w:val="00150A9E"/>
    <w:rsid w:val="00151CE0"/>
    <w:rsid w:val="00154B32"/>
    <w:rsid w:val="001557C8"/>
    <w:rsid w:val="001564E8"/>
    <w:rsid w:val="00157117"/>
    <w:rsid w:val="00160B41"/>
    <w:rsid w:val="00161B99"/>
    <w:rsid w:val="00163D9D"/>
    <w:rsid w:val="001647FD"/>
    <w:rsid w:val="00165CA1"/>
    <w:rsid w:val="00165CBE"/>
    <w:rsid w:val="00166FD7"/>
    <w:rsid w:val="0017042D"/>
    <w:rsid w:val="00170F5D"/>
    <w:rsid w:val="001715E1"/>
    <w:rsid w:val="00173425"/>
    <w:rsid w:val="001739F5"/>
    <w:rsid w:val="00177175"/>
    <w:rsid w:val="00177724"/>
    <w:rsid w:val="0018017B"/>
    <w:rsid w:val="0018070D"/>
    <w:rsid w:val="00181A07"/>
    <w:rsid w:val="0018278F"/>
    <w:rsid w:val="00182807"/>
    <w:rsid w:val="00182CC4"/>
    <w:rsid w:val="001848A4"/>
    <w:rsid w:val="001879CF"/>
    <w:rsid w:val="00187A69"/>
    <w:rsid w:val="00187AF0"/>
    <w:rsid w:val="00187DF7"/>
    <w:rsid w:val="00190614"/>
    <w:rsid w:val="001907E2"/>
    <w:rsid w:val="0019101B"/>
    <w:rsid w:val="0019161F"/>
    <w:rsid w:val="00193C03"/>
    <w:rsid w:val="00193F6D"/>
    <w:rsid w:val="00194984"/>
    <w:rsid w:val="00195F51"/>
    <w:rsid w:val="00196B8B"/>
    <w:rsid w:val="0019717D"/>
    <w:rsid w:val="001A0326"/>
    <w:rsid w:val="001A2740"/>
    <w:rsid w:val="001A2EBD"/>
    <w:rsid w:val="001A2FED"/>
    <w:rsid w:val="001A3279"/>
    <w:rsid w:val="001A3644"/>
    <w:rsid w:val="001A533B"/>
    <w:rsid w:val="001A5E4B"/>
    <w:rsid w:val="001A7067"/>
    <w:rsid w:val="001A7092"/>
    <w:rsid w:val="001A7DCB"/>
    <w:rsid w:val="001B2173"/>
    <w:rsid w:val="001B3115"/>
    <w:rsid w:val="001B4197"/>
    <w:rsid w:val="001B42AF"/>
    <w:rsid w:val="001B431D"/>
    <w:rsid w:val="001B46A0"/>
    <w:rsid w:val="001B6625"/>
    <w:rsid w:val="001C0BAF"/>
    <w:rsid w:val="001C0C5A"/>
    <w:rsid w:val="001C1AC4"/>
    <w:rsid w:val="001C1CE7"/>
    <w:rsid w:val="001C29E8"/>
    <w:rsid w:val="001C439E"/>
    <w:rsid w:val="001C59B7"/>
    <w:rsid w:val="001C66C3"/>
    <w:rsid w:val="001C6D32"/>
    <w:rsid w:val="001C798B"/>
    <w:rsid w:val="001D2F35"/>
    <w:rsid w:val="001D3AE4"/>
    <w:rsid w:val="001E13D0"/>
    <w:rsid w:val="001E72C8"/>
    <w:rsid w:val="001F1874"/>
    <w:rsid w:val="001F3BCE"/>
    <w:rsid w:val="001F3EFA"/>
    <w:rsid w:val="001F52A8"/>
    <w:rsid w:val="001F5A28"/>
    <w:rsid w:val="001F70A3"/>
    <w:rsid w:val="00200217"/>
    <w:rsid w:val="00201D40"/>
    <w:rsid w:val="0020390B"/>
    <w:rsid w:val="00204C6E"/>
    <w:rsid w:val="002061E4"/>
    <w:rsid w:val="00211C3F"/>
    <w:rsid w:val="00212EEB"/>
    <w:rsid w:val="0021681C"/>
    <w:rsid w:val="002170EA"/>
    <w:rsid w:val="00217CC8"/>
    <w:rsid w:val="00217CDB"/>
    <w:rsid w:val="002213C0"/>
    <w:rsid w:val="00221534"/>
    <w:rsid w:val="00221DE2"/>
    <w:rsid w:val="00222DFD"/>
    <w:rsid w:val="002233D4"/>
    <w:rsid w:val="00223D1B"/>
    <w:rsid w:val="00226433"/>
    <w:rsid w:val="00233FFE"/>
    <w:rsid w:val="002348B5"/>
    <w:rsid w:val="00234CC6"/>
    <w:rsid w:val="0023691F"/>
    <w:rsid w:val="002369EE"/>
    <w:rsid w:val="00237F81"/>
    <w:rsid w:val="00240190"/>
    <w:rsid w:val="00241E71"/>
    <w:rsid w:val="002433F5"/>
    <w:rsid w:val="00244B5C"/>
    <w:rsid w:val="00246331"/>
    <w:rsid w:val="002464B7"/>
    <w:rsid w:val="002475D4"/>
    <w:rsid w:val="00250FBA"/>
    <w:rsid w:val="00251523"/>
    <w:rsid w:val="00251DF4"/>
    <w:rsid w:val="00254653"/>
    <w:rsid w:val="00256015"/>
    <w:rsid w:val="00256471"/>
    <w:rsid w:val="00256C91"/>
    <w:rsid w:val="00260B67"/>
    <w:rsid w:val="00261FBE"/>
    <w:rsid w:val="00262611"/>
    <w:rsid w:val="00262CD7"/>
    <w:rsid w:val="002653F4"/>
    <w:rsid w:val="0026584A"/>
    <w:rsid w:val="002668D5"/>
    <w:rsid w:val="002669C8"/>
    <w:rsid w:val="00271DF4"/>
    <w:rsid w:val="002744B8"/>
    <w:rsid w:val="00277569"/>
    <w:rsid w:val="00277E92"/>
    <w:rsid w:val="00280124"/>
    <w:rsid w:val="002806C4"/>
    <w:rsid w:val="00280B3F"/>
    <w:rsid w:val="00281AA6"/>
    <w:rsid w:val="00284B40"/>
    <w:rsid w:val="00285448"/>
    <w:rsid w:val="00285988"/>
    <w:rsid w:val="0028721C"/>
    <w:rsid w:val="00287512"/>
    <w:rsid w:val="00290125"/>
    <w:rsid w:val="0029267B"/>
    <w:rsid w:val="002928AA"/>
    <w:rsid w:val="00296822"/>
    <w:rsid w:val="002A2F0D"/>
    <w:rsid w:val="002A31DC"/>
    <w:rsid w:val="002A327B"/>
    <w:rsid w:val="002A3C28"/>
    <w:rsid w:val="002A4B28"/>
    <w:rsid w:val="002A6036"/>
    <w:rsid w:val="002A7A69"/>
    <w:rsid w:val="002A7F8F"/>
    <w:rsid w:val="002B04AC"/>
    <w:rsid w:val="002B3900"/>
    <w:rsid w:val="002B3B94"/>
    <w:rsid w:val="002B65AC"/>
    <w:rsid w:val="002C0ABE"/>
    <w:rsid w:val="002C0F8D"/>
    <w:rsid w:val="002C14E7"/>
    <w:rsid w:val="002C14FE"/>
    <w:rsid w:val="002C19C6"/>
    <w:rsid w:val="002C2445"/>
    <w:rsid w:val="002C26CF"/>
    <w:rsid w:val="002C436E"/>
    <w:rsid w:val="002C52D1"/>
    <w:rsid w:val="002C65C4"/>
    <w:rsid w:val="002C6B2C"/>
    <w:rsid w:val="002C6F03"/>
    <w:rsid w:val="002C7369"/>
    <w:rsid w:val="002D06CD"/>
    <w:rsid w:val="002D0C4D"/>
    <w:rsid w:val="002D0E1F"/>
    <w:rsid w:val="002D3728"/>
    <w:rsid w:val="002D7DA3"/>
    <w:rsid w:val="002E02FF"/>
    <w:rsid w:val="002E5ECE"/>
    <w:rsid w:val="002E601C"/>
    <w:rsid w:val="002E71B1"/>
    <w:rsid w:val="002F14C0"/>
    <w:rsid w:val="002F15B7"/>
    <w:rsid w:val="002F1B73"/>
    <w:rsid w:val="002F1C97"/>
    <w:rsid w:val="002F4704"/>
    <w:rsid w:val="002F596B"/>
    <w:rsid w:val="002F741B"/>
    <w:rsid w:val="00301A98"/>
    <w:rsid w:val="003024A1"/>
    <w:rsid w:val="00302BF5"/>
    <w:rsid w:val="00304218"/>
    <w:rsid w:val="003048FA"/>
    <w:rsid w:val="003057B3"/>
    <w:rsid w:val="00305E73"/>
    <w:rsid w:val="00306F5C"/>
    <w:rsid w:val="0030759A"/>
    <w:rsid w:val="00311540"/>
    <w:rsid w:val="003129A9"/>
    <w:rsid w:val="003145AF"/>
    <w:rsid w:val="00315128"/>
    <w:rsid w:val="003153D5"/>
    <w:rsid w:val="003158CE"/>
    <w:rsid w:val="00316B7C"/>
    <w:rsid w:val="003210BD"/>
    <w:rsid w:val="00323B49"/>
    <w:rsid w:val="00324FAB"/>
    <w:rsid w:val="00325D1D"/>
    <w:rsid w:val="00330E61"/>
    <w:rsid w:val="003316F5"/>
    <w:rsid w:val="00332A95"/>
    <w:rsid w:val="00332C12"/>
    <w:rsid w:val="00337010"/>
    <w:rsid w:val="00337BB3"/>
    <w:rsid w:val="00341153"/>
    <w:rsid w:val="003416F3"/>
    <w:rsid w:val="003419F1"/>
    <w:rsid w:val="00341EC8"/>
    <w:rsid w:val="00343918"/>
    <w:rsid w:val="003439C7"/>
    <w:rsid w:val="00345565"/>
    <w:rsid w:val="00345F72"/>
    <w:rsid w:val="0034683A"/>
    <w:rsid w:val="00355293"/>
    <w:rsid w:val="003571E6"/>
    <w:rsid w:val="003617D9"/>
    <w:rsid w:val="003620C3"/>
    <w:rsid w:val="00363C50"/>
    <w:rsid w:val="00366DC6"/>
    <w:rsid w:val="00370F3D"/>
    <w:rsid w:val="003766C1"/>
    <w:rsid w:val="00377D9E"/>
    <w:rsid w:val="0038084D"/>
    <w:rsid w:val="00380BC9"/>
    <w:rsid w:val="00383360"/>
    <w:rsid w:val="00385928"/>
    <w:rsid w:val="00385DAA"/>
    <w:rsid w:val="00385E9F"/>
    <w:rsid w:val="003874BA"/>
    <w:rsid w:val="00387826"/>
    <w:rsid w:val="0038797A"/>
    <w:rsid w:val="0039096F"/>
    <w:rsid w:val="00390A60"/>
    <w:rsid w:val="00392DFB"/>
    <w:rsid w:val="00393E88"/>
    <w:rsid w:val="00394206"/>
    <w:rsid w:val="00394E4A"/>
    <w:rsid w:val="00397BFF"/>
    <w:rsid w:val="003A058D"/>
    <w:rsid w:val="003A0823"/>
    <w:rsid w:val="003A3C61"/>
    <w:rsid w:val="003A4B6E"/>
    <w:rsid w:val="003A77E4"/>
    <w:rsid w:val="003B1E1C"/>
    <w:rsid w:val="003B1E28"/>
    <w:rsid w:val="003B263E"/>
    <w:rsid w:val="003B4EF1"/>
    <w:rsid w:val="003B62E8"/>
    <w:rsid w:val="003B74C0"/>
    <w:rsid w:val="003B7AC5"/>
    <w:rsid w:val="003C05FC"/>
    <w:rsid w:val="003C1078"/>
    <w:rsid w:val="003C12F3"/>
    <w:rsid w:val="003C165F"/>
    <w:rsid w:val="003C2738"/>
    <w:rsid w:val="003C2785"/>
    <w:rsid w:val="003C4632"/>
    <w:rsid w:val="003C5096"/>
    <w:rsid w:val="003C63E9"/>
    <w:rsid w:val="003C676A"/>
    <w:rsid w:val="003C7152"/>
    <w:rsid w:val="003D2D5F"/>
    <w:rsid w:val="003D4371"/>
    <w:rsid w:val="003D5F73"/>
    <w:rsid w:val="003D62DB"/>
    <w:rsid w:val="003D6438"/>
    <w:rsid w:val="003E2EFD"/>
    <w:rsid w:val="003E406C"/>
    <w:rsid w:val="003E4901"/>
    <w:rsid w:val="003E718C"/>
    <w:rsid w:val="003E7437"/>
    <w:rsid w:val="003E7446"/>
    <w:rsid w:val="003E76E7"/>
    <w:rsid w:val="003F2967"/>
    <w:rsid w:val="003F39B1"/>
    <w:rsid w:val="003F5670"/>
    <w:rsid w:val="0040016C"/>
    <w:rsid w:val="00400383"/>
    <w:rsid w:val="004007A6"/>
    <w:rsid w:val="0040104F"/>
    <w:rsid w:val="0040307E"/>
    <w:rsid w:val="0040446B"/>
    <w:rsid w:val="0040549C"/>
    <w:rsid w:val="0040683A"/>
    <w:rsid w:val="00407EC4"/>
    <w:rsid w:val="004112DE"/>
    <w:rsid w:val="00411C20"/>
    <w:rsid w:val="00412415"/>
    <w:rsid w:val="00412C45"/>
    <w:rsid w:val="00413522"/>
    <w:rsid w:val="00413588"/>
    <w:rsid w:val="00415A8B"/>
    <w:rsid w:val="00415DE3"/>
    <w:rsid w:val="00416861"/>
    <w:rsid w:val="00422320"/>
    <w:rsid w:val="004236C4"/>
    <w:rsid w:val="00424212"/>
    <w:rsid w:val="00424A55"/>
    <w:rsid w:val="00424F82"/>
    <w:rsid w:val="0042776B"/>
    <w:rsid w:val="00431C50"/>
    <w:rsid w:val="00433623"/>
    <w:rsid w:val="00434DBB"/>
    <w:rsid w:val="00442556"/>
    <w:rsid w:val="0044291F"/>
    <w:rsid w:val="00443917"/>
    <w:rsid w:val="00443B82"/>
    <w:rsid w:val="0044409C"/>
    <w:rsid w:val="0044447A"/>
    <w:rsid w:val="0044612A"/>
    <w:rsid w:val="0044721C"/>
    <w:rsid w:val="00447730"/>
    <w:rsid w:val="00451634"/>
    <w:rsid w:val="0045169E"/>
    <w:rsid w:val="00452099"/>
    <w:rsid w:val="00452A22"/>
    <w:rsid w:val="00452D11"/>
    <w:rsid w:val="00453539"/>
    <w:rsid w:val="004536E3"/>
    <w:rsid w:val="00454002"/>
    <w:rsid w:val="00454EE3"/>
    <w:rsid w:val="0045561D"/>
    <w:rsid w:val="0045667D"/>
    <w:rsid w:val="00460CA6"/>
    <w:rsid w:val="0046156C"/>
    <w:rsid w:val="004630BA"/>
    <w:rsid w:val="00463429"/>
    <w:rsid w:val="00464503"/>
    <w:rsid w:val="00467101"/>
    <w:rsid w:val="0046783F"/>
    <w:rsid w:val="00472844"/>
    <w:rsid w:val="004732E7"/>
    <w:rsid w:val="00474C8B"/>
    <w:rsid w:val="00476689"/>
    <w:rsid w:val="00477BB7"/>
    <w:rsid w:val="00477EC2"/>
    <w:rsid w:val="00481347"/>
    <w:rsid w:val="00482969"/>
    <w:rsid w:val="00484DEE"/>
    <w:rsid w:val="004867B0"/>
    <w:rsid w:val="0048687F"/>
    <w:rsid w:val="00486A73"/>
    <w:rsid w:val="00487296"/>
    <w:rsid w:val="0049275E"/>
    <w:rsid w:val="0049297C"/>
    <w:rsid w:val="00492A95"/>
    <w:rsid w:val="00493107"/>
    <w:rsid w:val="00493D36"/>
    <w:rsid w:val="004949F4"/>
    <w:rsid w:val="00495B78"/>
    <w:rsid w:val="00495CBF"/>
    <w:rsid w:val="00495D67"/>
    <w:rsid w:val="00497ADA"/>
    <w:rsid w:val="004A2637"/>
    <w:rsid w:val="004A2703"/>
    <w:rsid w:val="004A5228"/>
    <w:rsid w:val="004A6974"/>
    <w:rsid w:val="004A6A17"/>
    <w:rsid w:val="004B42DA"/>
    <w:rsid w:val="004B4BEB"/>
    <w:rsid w:val="004B5ED6"/>
    <w:rsid w:val="004B632A"/>
    <w:rsid w:val="004B64DD"/>
    <w:rsid w:val="004B66F4"/>
    <w:rsid w:val="004B7743"/>
    <w:rsid w:val="004C0C90"/>
    <w:rsid w:val="004C3181"/>
    <w:rsid w:val="004C50D5"/>
    <w:rsid w:val="004C5846"/>
    <w:rsid w:val="004C68EC"/>
    <w:rsid w:val="004C721D"/>
    <w:rsid w:val="004D3899"/>
    <w:rsid w:val="004D4180"/>
    <w:rsid w:val="004D53B9"/>
    <w:rsid w:val="004D6B34"/>
    <w:rsid w:val="004D732B"/>
    <w:rsid w:val="004E123A"/>
    <w:rsid w:val="004E39B3"/>
    <w:rsid w:val="004E3A86"/>
    <w:rsid w:val="004E4455"/>
    <w:rsid w:val="004E486A"/>
    <w:rsid w:val="004E51CA"/>
    <w:rsid w:val="004E6125"/>
    <w:rsid w:val="004E6370"/>
    <w:rsid w:val="004E7133"/>
    <w:rsid w:val="004E7957"/>
    <w:rsid w:val="004F218F"/>
    <w:rsid w:val="004F39C5"/>
    <w:rsid w:val="004F3D75"/>
    <w:rsid w:val="004F4D85"/>
    <w:rsid w:val="004F6177"/>
    <w:rsid w:val="004F715B"/>
    <w:rsid w:val="00501AED"/>
    <w:rsid w:val="00501B7C"/>
    <w:rsid w:val="005033AC"/>
    <w:rsid w:val="005054F2"/>
    <w:rsid w:val="00506809"/>
    <w:rsid w:val="00511F98"/>
    <w:rsid w:val="00513C15"/>
    <w:rsid w:val="00513EBC"/>
    <w:rsid w:val="005255D2"/>
    <w:rsid w:val="00525649"/>
    <w:rsid w:val="0052686A"/>
    <w:rsid w:val="0052722D"/>
    <w:rsid w:val="005276A1"/>
    <w:rsid w:val="005307BF"/>
    <w:rsid w:val="0053227B"/>
    <w:rsid w:val="00537202"/>
    <w:rsid w:val="0053735B"/>
    <w:rsid w:val="00537F57"/>
    <w:rsid w:val="00540EF9"/>
    <w:rsid w:val="0054272C"/>
    <w:rsid w:val="005517CE"/>
    <w:rsid w:val="00552D07"/>
    <w:rsid w:val="00552D24"/>
    <w:rsid w:val="00552DFF"/>
    <w:rsid w:val="0055392F"/>
    <w:rsid w:val="00555CC5"/>
    <w:rsid w:val="00557BAF"/>
    <w:rsid w:val="005604AA"/>
    <w:rsid w:val="00560AA1"/>
    <w:rsid w:val="005628C4"/>
    <w:rsid w:val="00563DE1"/>
    <w:rsid w:val="00566B64"/>
    <w:rsid w:val="00566EB4"/>
    <w:rsid w:val="00567A0E"/>
    <w:rsid w:val="00573963"/>
    <w:rsid w:val="00573CF3"/>
    <w:rsid w:val="00574F05"/>
    <w:rsid w:val="0057515D"/>
    <w:rsid w:val="00575ACC"/>
    <w:rsid w:val="00575E2A"/>
    <w:rsid w:val="00576672"/>
    <w:rsid w:val="00577045"/>
    <w:rsid w:val="00577C6A"/>
    <w:rsid w:val="00580522"/>
    <w:rsid w:val="00581E81"/>
    <w:rsid w:val="00583753"/>
    <w:rsid w:val="0058525F"/>
    <w:rsid w:val="00592900"/>
    <w:rsid w:val="00592E4A"/>
    <w:rsid w:val="0059432F"/>
    <w:rsid w:val="005944CF"/>
    <w:rsid w:val="00597437"/>
    <w:rsid w:val="005A0C34"/>
    <w:rsid w:val="005A19D6"/>
    <w:rsid w:val="005A1FB0"/>
    <w:rsid w:val="005A4779"/>
    <w:rsid w:val="005A485D"/>
    <w:rsid w:val="005A58EF"/>
    <w:rsid w:val="005A5933"/>
    <w:rsid w:val="005A6A47"/>
    <w:rsid w:val="005A7A74"/>
    <w:rsid w:val="005B0BFC"/>
    <w:rsid w:val="005B0E05"/>
    <w:rsid w:val="005B1062"/>
    <w:rsid w:val="005B1880"/>
    <w:rsid w:val="005B47C4"/>
    <w:rsid w:val="005B5BB1"/>
    <w:rsid w:val="005B5FA4"/>
    <w:rsid w:val="005B69A1"/>
    <w:rsid w:val="005B763D"/>
    <w:rsid w:val="005B7DB1"/>
    <w:rsid w:val="005C06A9"/>
    <w:rsid w:val="005C2CD6"/>
    <w:rsid w:val="005C5549"/>
    <w:rsid w:val="005C5980"/>
    <w:rsid w:val="005C5B78"/>
    <w:rsid w:val="005D06B7"/>
    <w:rsid w:val="005D2C3B"/>
    <w:rsid w:val="005D2DEE"/>
    <w:rsid w:val="005D30AE"/>
    <w:rsid w:val="005D6630"/>
    <w:rsid w:val="005D6AB4"/>
    <w:rsid w:val="005D7668"/>
    <w:rsid w:val="005D77AB"/>
    <w:rsid w:val="005E0267"/>
    <w:rsid w:val="005E2B24"/>
    <w:rsid w:val="005E2B8F"/>
    <w:rsid w:val="005E2DA6"/>
    <w:rsid w:val="005E37D1"/>
    <w:rsid w:val="005E3BDA"/>
    <w:rsid w:val="005E449B"/>
    <w:rsid w:val="005E68B9"/>
    <w:rsid w:val="005E695C"/>
    <w:rsid w:val="005F2018"/>
    <w:rsid w:val="005F2B89"/>
    <w:rsid w:val="005F2FBC"/>
    <w:rsid w:val="005F586B"/>
    <w:rsid w:val="005F5D7E"/>
    <w:rsid w:val="005F6E71"/>
    <w:rsid w:val="005F7467"/>
    <w:rsid w:val="005F762A"/>
    <w:rsid w:val="005F7D12"/>
    <w:rsid w:val="00600EE9"/>
    <w:rsid w:val="006011C1"/>
    <w:rsid w:val="00601340"/>
    <w:rsid w:val="006019F7"/>
    <w:rsid w:val="00602866"/>
    <w:rsid w:val="0060329E"/>
    <w:rsid w:val="00605EA7"/>
    <w:rsid w:val="00605FDB"/>
    <w:rsid w:val="00610582"/>
    <w:rsid w:val="00611041"/>
    <w:rsid w:val="00614EFE"/>
    <w:rsid w:val="00615265"/>
    <w:rsid w:val="006153CA"/>
    <w:rsid w:val="0061551F"/>
    <w:rsid w:val="00620595"/>
    <w:rsid w:val="00620EB3"/>
    <w:rsid w:val="00620FF1"/>
    <w:rsid w:val="00621077"/>
    <w:rsid w:val="00621121"/>
    <w:rsid w:val="0062594A"/>
    <w:rsid w:val="00627892"/>
    <w:rsid w:val="0063020C"/>
    <w:rsid w:val="00631DF1"/>
    <w:rsid w:val="00632725"/>
    <w:rsid w:val="00632C5D"/>
    <w:rsid w:val="0063416A"/>
    <w:rsid w:val="0063456C"/>
    <w:rsid w:val="00637165"/>
    <w:rsid w:val="006379A4"/>
    <w:rsid w:val="006401DD"/>
    <w:rsid w:val="00642D53"/>
    <w:rsid w:val="006430CF"/>
    <w:rsid w:val="006443A4"/>
    <w:rsid w:val="0064595B"/>
    <w:rsid w:val="00647BD8"/>
    <w:rsid w:val="006503A1"/>
    <w:rsid w:val="00650417"/>
    <w:rsid w:val="00651C74"/>
    <w:rsid w:val="00652CE7"/>
    <w:rsid w:val="00655867"/>
    <w:rsid w:val="00657FC3"/>
    <w:rsid w:val="006600BA"/>
    <w:rsid w:val="0066115A"/>
    <w:rsid w:val="006616D0"/>
    <w:rsid w:val="00661732"/>
    <w:rsid w:val="00663B4B"/>
    <w:rsid w:val="006648A0"/>
    <w:rsid w:val="00665CA8"/>
    <w:rsid w:val="00665DDD"/>
    <w:rsid w:val="00665E1F"/>
    <w:rsid w:val="00670B1B"/>
    <w:rsid w:val="006723EF"/>
    <w:rsid w:val="0067311B"/>
    <w:rsid w:val="00673973"/>
    <w:rsid w:val="00675667"/>
    <w:rsid w:val="006758CD"/>
    <w:rsid w:val="00675D9F"/>
    <w:rsid w:val="006765B6"/>
    <w:rsid w:val="00676966"/>
    <w:rsid w:val="0067698B"/>
    <w:rsid w:val="00680B44"/>
    <w:rsid w:val="0068286D"/>
    <w:rsid w:val="0068370A"/>
    <w:rsid w:val="00683783"/>
    <w:rsid w:val="00684AFE"/>
    <w:rsid w:val="0068633A"/>
    <w:rsid w:val="00686449"/>
    <w:rsid w:val="006871CB"/>
    <w:rsid w:val="0068730B"/>
    <w:rsid w:val="00687D3F"/>
    <w:rsid w:val="006900EC"/>
    <w:rsid w:val="0069294E"/>
    <w:rsid w:val="00692D04"/>
    <w:rsid w:val="006932B3"/>
    <w:rsid w:val="006932DA"/>
    <w:rsid w:val="00694974"/>
    <w:rsid w:val="00694EBA"/>
    <w:rsid w:val="006953F3"/>
    <w:rsid w:val="00695FCB"/>
    <w:rsid w:val="00696284"/>
    <w:rsid w:val="0069650C"/>
    <w:rsid w:val="006967A7"/>
    <w:rsid w:val="0069728E"/>
    <w:rsid w:val="00697427"/>
    <w:rsid w:val="00697ACC"/>
    <w:rsid w:val="006A02D2"/>
    <w:rsid w:val="006A1879"/>
    <w:rsid w:val="006A1B06"/>
    <w:rsid w:val="006A1FFB"/>
    <w:rsid w:val="006A29D7"/>
    <w:rsid w:val="006A4C4C"/>
    <w:rsid w:val="006A5258"/>
    <w:rsid w:val="006A53CE"/>
    <w:rsid w:val="006A56BB"/>
    <w:rsid w:val="006A6219"/>
    <w:rsid w:val="006A7179"/>
    <w:rsid w:val="006A77B5"/>
    <w:rsid w:val="006B3C07"/>
    <w:rsid w:val="006B497C"/>
    <w:rsid w:val="006B4BFF"/>
    <w:rsid w:val="006B5F96"/>
    <w:rsid w:val="006B60F0"/>
    <w:rsid w:val="006C0024"/>
    <w:rsid w:val="006C01F8"/>
    <w:rsid w:val="006C0AED"/>
    <w:rsid w:val="006C1305"/>
    <w:rsid w:val="006C2AD5"/>
    <w:rsid w:val="006C3275"/>
    <w:rsid w:val="006C3B1A"/>
    <w:rsid w:val="006C4622"/>
    <w:rsid w:val="006C6DCB"/>
    <w:rsid w:val="006D068C"/>
    <w:rsid w:val="006D0904"/>
    <w:rsid w:val="006D12F3"/>
    <w:rsid w:val="006D3807"/>
    <w:rsid w:val="006D4112"/>
    <w:rsid w:val="006D50ED"/>
    <w:rsid w:val="006D5EA7"/>
    <w:rsid w:val="006E058F"/>
    <w:rsid w:val="006E0A86"/>
    <w:rsid w:val="006E0E96"/>
    <w:rsid w:val="006E1145"/>
    <w:rsid w:val="006E12B2"/>
    <w:rsid w:val="006E1EDF"/>
    <w:rsid w:val="006E28D9"/>
    <w:rsid w:val="006E41D5"/>
    <w:rsid w:val="006E5E99"/>
    <w:rsid w:val="006F00C2"/>
    <w:rsid w:val="006F0F7B"/>
    <w:rsid w:val="006F15FF"/>
    <w:rsid w:val="006F24DF"/>
    <w:rsid w:val="006F28B4"/>
    <w:rsid w:val="006F362F"/>
    <w:rsid w:val="006F6A3B"/>
    <w:rsid w:val="00700264"/>
    <w:rsid w:val="007028F0"/>
    <w:rsid w:val="007043A8"/>
    <w:rsid w:val="00704B36"/>
    <w:rsid w:val="00711DDA"/>
    <w:rsid w:val="00713278"/>
    <w:rsid w:val="00713BEC"/>
    <w:rsid w:val="00714F58"/>
    <w:rsid w:val="00714FFA"/>
    <w:rsid w:val="007151C3"/>
    <w:rsid w:val="00715A53"/>
    <w:rsid w:val="00715AF5"/>
    <w:rsid w:val="007178BD"/>
    <w:rsid w:val="007204CE"/>
    <w:rsid w:val="00721DF8"/>
    <w:rsid w:val="00722A14"/>
    <w:rsid w:val="00722C85"/>
    <w:rsid w:val="00723353"/>
    <w:rsid w:val="00724315"/>
    <w:rsid w:val="00724805"/>
    <w:rsid w:val="007319DE"/>
    <w:rsid w:val="00731A8E"/>
    <w:rsid w:val="007339E4"/>
    <w:rsid w:val="00733EAA"/>
    <w:rsid w:val="00740D8C"/>
    <w:rsid w:val="00742F84"/>
    <w:rsid w:val="007467CC"/>
    <w:rsid w:val="007477B3"/>
    <w:rsid w:val="007504ED"/>
    <w:rsid w:val="00750B98"/>
    <w:rsid w:val="007515D0"/>
    <w:rsid w:val="00751876"/>
    <w:rsid w:val="007521CE"/>
    <w:rsid w:val="00752B1E"/>
    <w:rsid w:val="007545D3"/>
    <w:rsid w:val="007553D7"/>
    <w:rsid w:val="00756E9F"/>
    <w:rsid w:val="0075749B"/>
    <w:rsid w:val="00757FA7"/>
    <w:rsid w:val="00760025"/>
    <w:rsid w:val="0076070D"/>
    <w:rsid w:val="0076162E"/>
    <w:rsid w:val="007625E9"/>
    <w:rsid w:val="00762E46"/>
    <w:rsid w:val="007632FF"/>
    <w:rsid w:val="00764754"/>
    <w:rsid w:val="00765FF3"/>
    <w:rsid w:val="00767E88"/>
    <w:rsid w:val="007704F5"/>
    <w:rsid w:val="00772E76"/>
    <w:rsid w:val="00776F9B"/>
    <w:rsid w:val="00777E1C"/>
    <w:rsid w:val="00780E07"/>
    <w:rsid w:val="007832B6"/>
    <w:rsid w:val="007833E4"/>
    <w:rsid w:val="007834B2"/>
    <w:rsid w:val="007845D9"/>
    <w:rsid w:val="0078570C"/>
    <w:rsid w:val="00785804"/>
    <w:rsid w:val="00786B54"/>
    <w:rsid w:val="0079029A"/>
    <w:rsid w:val="007908A1"/>
    <w:rsid w:val="0079141D"/>
    <w:rsid w:val="0079214A"/>
    <w:rsid w:val="007941BF"/>
    <w:rsid w:val="007A0484"/>
    <w:rsid w:val="007A1972"/>
    <w:rsid w:val="007A2D7B"/>
    <w:rsid w:val="007A3D92"/>
    <w:rsid w:val="007A67B1"/>
    <w:rsid w:val="007B00D7"/>
    <w:rsid w:val="007B261E"/>
    <w:rsid w:val="007B4C9E"/>
    <w:rsid w:val="007B684D"/>
    <w:rsid w:val="007B7137"/>
    <w:rsid w:val="007C2076"/>
    <w:rsid w:val="007C5D1F"/>
    <w:rsid w:val="007C7FC2"/>
    <w:rsid w:val="007D190A"/>
    <w:rsid w:val="007D4586"/>
    <w:rsid w:val="007D5A59"/>
    <w:rsid w:val="007D6256"/>
    <w:rsid w:val="007D7E80"/>
    <w:rsid w:val="007E1D6C"/>
    <w:rsid w:val="007E217D"/>
    <w:rsid w:val="007E422F"/>
    <w:rsid w:val="007E4C57"/>
    <w:rsid w:val="007E4DFB"/>
    <w:rsid w:val="007E4FA2"/>
    <w:rsid w:val="007E6C3B"/>
    <w:rsid w:val="007E7883"/>
    <w:rsid w:val="007F0832"/>
    <w:rsid w:val="007F0B6E"/>
    <w:rsid w:val="007F0FBD"/>
    <w:rsid w:val="007F1126"/>
    <w:rsid w:val="007F174D"/>
    <w:rsid w:val="007F22DC"/>
    <w:rsid w:val="007F2FC3"/>
    <w:rsid w:val="007F4871"/>
    <w:rsid w:val="007F5BBE"/>
    <w:rsid w:val="0080047D"/>
    <w:rsid w:val="00801ECD"/>
    <w:rsid w:val="0080332B"/>
    <w:rsid w:val="00803333"/>
    <w:rsid w:val="0080353E"/>
    <w:rsid w:val="00803782"/>
    <w:rsid w:val="00803E6B"/>
    <w:rsid w:val="00803FB0"/>
    <w:rsid w:val="008040D8"/>
    <w:rsid w:val="0080746D"/>
    <w:rsid w:val="00807D19"/>
    <w:rsid w:val="00815CD8"/>
    <w:rsid w:val="00817085"/>
    <w:rsid w:val="008179C0"/>
    <w:rsid w:val="00817E5E"/>
    <w:rsid w:val="00820B1E"/>
    <w:rsid w:val="00821302"/>
    <w:rsid w:val="008224F2"/>
    <w:rsid w:val="008262A7"/>
    <w:rsid w:val="00827855"/>
    <w:rsid w:val="0083099E"/>
    <w:rsid w:val="00830AAA"/>
    <w:rsid w:val="008340D7"/>
    <w:rsid w:val="008344DF"/>
    <w:rsid w:val="00836182"/>
    <w:rsid w:val="008362E7"/>
    <w:rsid w:val="00836CB7"/>
    <w:rsid w:val="00836DEF"/>
    <w:rsid w:val="00837DDC"/>
    <w:rsid w:val="0084010A"/>
    <w:rsid w:val="00842DE4"/>
    <w:rsid w:val="00843E49"/>
    <w:rsid w:val="0084407E"/>
    <w:rsid w:val="00844DC2"/>
    <w:rsid w:val="008452C5"/>
    <w:rsid w:val="00845964"/>
    <w:rsid w:val="00846433"/>
    <w:rsid w:val="0084646A"/>
    <w:rsid w:val="00846484"/>
    <w:rsid w:val="008466AF"/>
    <w:rsid w:val="0085117F"/>
    <w:rsid w:val="008511D2"/>
    <w:rsid w:val="0085187B"/>
    <w:rsid w:val="00851949"/>
    <w:rsid w:val="00852418"/>
    <w:rsid w:val="00853431"/>
    <w:rsid w:val="00860ABE"/>
    <w:rsid w:val="00863D0A"/>
    <w:rsid w:val="00865EFD"/>
    <w:rsid w:val="00866A35"/>
    <w:rsid w:val="00870DC9"/>
    <w:rsid w:val="00870E1E"/>
    <w:rsid w:val="00871DF6"/>
    <w:rsid w:val="00871E1C"/>
    <w:rsid w:val="00873048"/>
    <w:rsid w:val="0087407C"/>
    <w:rsid w:val="00875699"/>
    <w:rsid w:val="00875FD6"/>
    <w:rsid w:val="00876D19"/>
    <w:rsid w:val="00877154"/>
    <w:rsid w:val="00882944"/>
    <w:rsid w:val="008849E6"/>
    <w:rsid w:val="00884E76"/>
    <w:rsid w:val="00887762"/>
    <w:rsid w:val="00887E19"/>
    <w:rsid w:val="00891782"/>
    <w:rsid w:val="00891BC2"/>
    <w:rsid w:val="00894C72"/>
    <w:rsid w:val="00895EB2"/>
    <w:rsid w:val="008A085D"/>
    <w:rsid w:val="008A1122"/>
    <w:rsid w:val="008A1F94"/>
    <w:rsid w:val="008A3D3D"/>
    <w:rsid w:val="008A5926"/>
    <w:rsid w:val="008A6BE3"/>
    <w:rsid w:val="008A70C2"/>
    <w:rsid w:val="008A7B42"/>
    <w:rsid w:val="008B12D3"/>
    <w:rsid w:val="008B331D"/>
    <w:rsid w:val="008B345B"/>
    <w:rsid w:val="008B38CD"/>
    <w:rsid w:val="008B4006"/>
    <w:rsid w:val="008B621A"/>
    <w:rsid w:val="008B67A8"/>
    <w:rsid w:val="008C05EC"/>
    <w:rsid w:val="008C1AE6"/>
    <w:rsid w:val="008C1EE8"/>
    <w:rsid w:val="008C64D2"/>
    <w:rsid w:val="008D027F"/>
    <w:rsid w:val="008D0302"/>
    <w:rsid w:val="008D0D8D"/>
    <w:rsid w:val="008D3545"/>
    <w:rsid w:val="008D4429"/>
    <w:rsid w:val="008D4A9E"/>
    <w:rsid w:val="008D4D19"/>
    <w:rsid w:val="008D5268"/>
    <w:rsid w:val="008D5CE1"/>
    <w:rsid w:val="008E63B4"/>
    <w:rsid w:val="008E6469"/>
    <w:rsid w:val="008E7F70"/>
    <w:rsid w:val="008F0853"/>
    <w:rsid w:val="008F44AE"/>
    <w:rsid w:val="008F4534"/>
    <w:rsid w:val="008F51E2"/>
    <w:rsid w:val="008F6268"/>
    <w:rsid w:val="008F6599"/>
    <w:rsid w:val="0090082C"/>
    <w:rsid w:val="00900894"/>
    <w:rsid w:val="00901A87"/>
    <w:rsid w:val="009036FF"/>
    <w:rsid w:val="0090619B"/>
    <w:rsid w:val="00911700"/>
    <w:rsid w:val="00913681"/>
    <w:rsid w:val="009170CE"/>
    <w:rsid w:val="00920EAE"/>
    <w:rsid w:val="00922F2F"/>
    <w:rsid w:val="00924F1D"/>
    <w:rsid w:val="009261BF"/>
    <w:rsid w:val="00927C16"/>
    <w:rsid w:val="00932FBE"/>
    <w:rsid w:val="00934A76"/>
    <w:rsid w:val="00934A85"/>
    <w:rsid w:val="0093634E"/>
    <w:rsid w:val="00943375"/>
    <w:rsid w:val="009439DA"/>
    <w:rsid w:val="00944567"/>
    <w:rsid w:val="00946FDC"/>
    <w:rsid w:val="009477E1"/>
    <w:rsid w:val="009514DD"/>
    <w:rsid w:val="00951B37"/>
    <w:rsid w:val="0095237A"/>
    <w:rsid w:val="009528D1"/>
    <w:rsid w:val="00953189"/>
    <w:rsid w:val="009533F6"/>
    <w:rsid w:val="0095540F"/>
    <w:rsid w:val="00955554"/>
    <w:rsid w:val="00956E6C"/>
    <w:rsid w:val="00960AC5"/>
    <w:rsid w:val="00962B12"/>
    <w:rsid w:val="00964489"/>
    <w:rsid w:val="00964FC7"/>
    <w:rsid w:val="00966571"/>
    <w:rsid w:val="00966F77"/>
    <w:rsid w:val="009671D2"/>
    <w:rsid w:val="00967D2C"/>
    <w:rsid w:val="00967E6A"/>
    <w:rsid w:val="00970177"/>
    <w:rsid w:val="0097093F"/>
    <w:rsid w:val="00970B89"/>
    <w:rsid w:val="009726B5"/>
    <w:rsid w:val="009741A1"/>
    <w:rsid w:val="00974827"/>
    <w:rsid w:val="00974CC5"/>
    <w:rsid w:val="0097527E"/>
    <w:rsid w:val="00976B02"/>
    <w:rsid w:val="00977D5F"/>
    <w:rsid w:val="00982193"/>
    <w:rsid w:val="00982715"/>
    <w:rsid w:val="0098331B"/>
    <w:rsid w:val="00983859"/>
    <w:rsid w:val="0098620B"/>
    <w:rsid w:val="009869F6"/>
    <w:rsid w:val="00991087"/>
    <w:rsid w:val="00993ACB"/>
    <w:rsid w:val="00995F18"/>
    <w:rsid w:val="009A08F6"/>
    <w:rsid w:val="009A1978"/>
    <w:rsid w:val="009A2718"/>
    <w:rsid w:val="009A38BB"/>
    <w:rsid w:val="009A53AF"/>
    <w:rsid w:val="009A7334"/>
    <w:rsid w:val="009A750B"/>
    <w:rsid w:val="009B0B68"/>
    <w:rsid w:val="009B1703"/>
    <w:rsid w:val="009B2EE6"/>
    <w:rsid w:val="009B32CE"/>
    <w:rsid w:val="009B38F4"/>
    <w:rsid w:val="009B3FC0"/>
    <w:rsid w:val="009B4582"/>
    <w:rsid w:val="009B48C6"/>
    <w:rsid w:val="009B5AE0"/>
    <w:rsid w:val="009B6D16"/>
    <w:rsid w:val="009B7748"/>
    <w:rsid w:val="009B7C7D"/>
    <w:rsid w:val="009C081A"/>
    <w:rsid w:val="009C2D35"/>
    <w:rsid w:val="009C48CA"/>
    <w:rsid w:val="009C5D01"/>
    <w:rsid w:val="009C6820"/>
    <w:rsid w:val="009D14B3"/>
    <w:rsid w:val="009D3126"/>
    <w:rsid w:val="009D7590"/>
    <w:rsid w:val="009E0125"/>
    <w:rsid w:val="009E1C96"/>
    <w:rsid w:val="009E4CAF"/>
    <w:rsid w:val="009E5FF0"/>
    <w:rsid w:val="009E64D6"/>
    <w:rsid w:val="009F01EC"/>
    <w:rsid w:val="009F0291"/>
    <w:rsid w:val="009F1D52"/>
    <w:rsid w:val="009F3C17"/>
    <w:rsid w:val="009F6A41"/>
    <w:rsid w:val="00A0027F"/>
    <w:rsid w:val="00A012BB"/>
    <w:rsid w:val="00A012E6"/>
    <w:rsid w:val="00A01A06"/>
    <w:rsid w:val="00A01B29"/>
    <w:rsid w:val="00A01D73"/>
    <w:rsid w:val="00A02380"/>
    <w:rsid w:val="00A051EE"/>
    <w:rsid w:val="00A0720F"/>
    <w:rsid w:val="00A10ACC"/>
    <w:rsid w:val="00A114AD"/>
    <w:rsid w:val="00A13E54"/>
    <w:rsid w:val="00A145F7"/>
    <w:rsid w:val="00A156FC"/>
    <w:rsid w:val="00A15BF9"/>
    <w:rsid w:val="00A15E50"/>
    <w:rsid w:val="00A1647D"/>
    <w:rsid w:val="00A17D74"/>
    <w:rsid w:val="00A20842"/>
    <w:rsid w:val="00A21968"/>
    <w:rsid w:val="00A2242E"/>
    <w:rsid w:val="00A271B9"/>
    <w:rsid w:val="00A279AC"/>
    <w:rsid w:val="00A3097B"/>
    <w:rsid w:val="00A30B6A"/>
    <w:rsid w:val="00A318C9"/>
    <w:rsid w:val="00A31FBD"/>
    <w:rsid w:val="00A3324C"/>
    <w:rsid w:val="00A33AD5"/>
    <w:rsid w:val="00A3419F"/>
    <w:rsid w:val="00A353E6"/>
    <w:rsid w:val="00A369F7"/>
    <w:rsid w:val="00A37CB2"/>
    <w:rsid w:val="00A41FD7"/>
    <w:rsid w:val="00A42794"/>
    <w:rsid w:val="00A43468"/>
    <w:rsid w:val="00A45055"/>
    <w:rsid w:val="00A46541"/>
    <w:rsid w:val="00A472BE"/>
    <w:rsid w:val="00A47626"/>
    <w:rsid w:val="00A552CA"/>
    <w:rsid w:val="00A55DA4"/>
    <w:rsid w:val="00A55F88"/>
    <w:rsid w:val="00A57755"/>
    <w:rsid w:val="00A61447"/>
    <w:rsid w:val="00A6148D"/>
    <w:rsid w:val="00A620D9"/>
    <w:rsid w:val="00A62172"/>
    <w:rsid w:val="00A62607"/>
    <w:rsid w:val="00A63274"/>
    <w:rsid w:val="00A63A51"/>
    <w:rsid w:val="00A64946"/>
    <w:rsid w:val="00A659BA"/>
    <w:rsid w:val="00A66574"/>
    <w:rsid w:val="00A67488"/>
    <w:rsid w:val="00A67B0D"/>
    <w:rsid w:val="00A70022"/>
    <w:rsid w:val="00A7121F"/>
    <w:rsid w:val="00A716A0"/>
    <w:rsid w:val="00A71F08"/>
    <w:rsid w:val="00A72756"/>
    <w:rsid w:val="00A72CB4"/>
    <w:rsid w:val="00A73D17"/>
    <w:rsid w:val="00A74159"/>
    <w:rsid w:val="00A76596"/>
    <w:rsid w:val="00A81968"/>
    <w:rsid w:val="00A82B7E"/>
    <w:rsid w:val="00A82BF5"/>
    <w:rsid w:val="00A84E92"/>
    <w:rsid w:val="00A8541E"/>
    <w:rsid w:val="00A86DDF"/>
    <w:rsid w:val="00A87EDD"/>
    <w:rsid w:val="00A91124"/>
    <w:rsid w:val="00A91A43"/>
    <w:rsid w:val="00A91F0A"/>
    <w:rsid w:val="00A926EC"/>
    <w:rsid w:val="00A92AB9"/>
    <w:rsid w:val="00A95CDD"/>
    <w:rsid w:val="00AA1B5C"/>
    <w:rsid w:val="00AA1C91"/>
    <w:rsid w:val="00AA40A9"/>
    <w:rsid w:val="00AA4206"/>
    <w:rsid w:val="00AA5A62"/>
    <w:rsid w:val="00AA6316"/>
    <w:rsid w:val="00AA6536"/>
    <w:rsid w:val="00AA77A5"/>
    <w:rsid w:val="00AB0B19"/>
    <w:rsid w:val="00AB15E3"/>
    <w:rsid w:val="00AB1891"/>
    <w:rsid w:val="00AB3298"/>
    <w:rsid w:val="00AB580A"/>
    <w:rsid w:val="00AB71F0"/>
    <w:rsid w:val="00AC370A"/>
    <w:rsid w:val="00AC39A7"/>
    <w:rsid w:val="00AC3BCF"/>
    <w:rsid w:val="00AC50B4"/>
    <w:rsid w:val="00AC612F"/>
    <w:rsid w:val="00AD1EFC"/>
    <w:rsid w:val="00AD259D"/>
    <w:rsid w:val="00AD2C47"/>
    <w:rsid w:val="00AD4BD1"/>
    <w:rsid w:val="00AD5C25"/>
    <w:rsid w:val="00AD5F2B"/>
    <w:rsid w:val="00AD6E5A"/>
    <w:rsid w:val="00AD7DB5"/>
    <w:rsid w:val="00AE0D92"/>
    <w:rsid w:val="00AE2EF1"/>
    <w:rsid w:val="00AE4AAF"/>
    <w:rsid w:val="00AE53CF"/>
    <w:rsid w:val="00AE5552"/>
    <w:rsid w:val="00AE61D8"/>
    <w:rsid w:val="00AE66E5"/>
    <w:rsid w:val="00AE6E88"/>
    <w:rsid w:val="00AF0D17"/>
    <w:rsid w:val="00AF12B3"/>
    <w:rsid w:val="00AF15CC"/>
    <w:rsid w:val="00AF2715"/>
    <w:rsid w:val="00AF2F38"/>
    <w:rsid w:val="00AF2FE4"/>
    <w:rsid w:val="00AF3314"/>
    <w:rsid w:val="00AF3693"/>
    <w:rsid w:val="00AF555D"/>
    <w:rsid w:val="00AF605E"/>
    <w:rsid w:val="00AF66DE"/>
    <w:rsid w:val="00B0238B"/>
    <w:rsid w:val="00B0418D"/>
    <w:rsid w:val="00B041AE"/>
    <w:rsid w:val="00B04C37"/>
    <w:rsid w:val="00B058C6"/>
    <w:rsid w:val="00B10C09"/>
    <w:rsid w:val="00B10E8A"/>
    <w:rsid w:val="00B117FA"/>
    <w:rsid w:val="00B12788"/>
    <w:rsid w:val="00B1386B"/>
    <w:rsid w:val="00B173CC"/>
    <w:rsid w:val="00B21CF9"/>
    <w:rsid w:val="00B24D61"/>
    <w:rsid w:val="00B25234"/>
    <w:rsid w:val="00B27511"/>
    <w:rsid w:val="00B31655"/>
    <w:rsid w:val="00B32C2B"/>
    <w:rsid w:val="00B3366E"/>
    <w:rsid w:val="00B34A0B"/>
    <w:rsid w:val="00B37CD3"/>
    <w:rsid w:val="00B414F7"/>
    <w:rsid w:val="00B41B88"/>
    <w:rsid w:val="00B43582"/>
    <w:rsid w:val="00B4479F"/>
    <w:rsid w:val="00B471B5"/>
    <w:rsid w:val="00B50D02"/>
    <w:rsid w:val="00B542D0"/>
    <w:rsid w:val="00B5645C"/>
    <w:rsid w:val="00B57B50"/>
    <w:rsid w:val="00B60072"/>
    <w:rsid w:val="00B6139C"/>
    <w:rsid w:val="00B6267B"/>
    <w:rsid w:val="00B62EBA"/>
    <w:rsid w:val="00B63104"/>
    <w:rsid w:val="00B64AB3"/>
    <w:rsid w:val="00B64FF6"/>
    <w:rsid w:val="00B6531E"/>
    <w:rsid w:val="00B65B30"/>
    <w:rsid w:val="00B65C2B"/>
    <w:rsid w:val="00B66B0E"/>
    <w:rsid w:val="00B67C5C"/>
    <w:rsid w:val="00B70C33"/>
    <w:rsid w:val="00B72CBA"/>
    <w:rsid w:val="00B73AE6"/>
    <w:rsid w:val="00B76056"/>
    <w:rsid w:val="00B77E82"/>
    <w:rsid w:val="00B80BAC"/>
    <w:rsid w:val="00B82925"/>
    <w:rsid w:val="00B8294E"/>
    <w:rsid w:val="00B82C80"/>
    <w:rsid w:val="00B842B5"/>
    <w:rsid w:val="00B84EA3"/>
    <w:rsid w:val="00B85401"/>
    <w:rsid w:val="00B8661A"/>
    <w:rsid w:val="00B867B9"/>
    <w:rsid w:val="00B86E92"/>
    <w:rsid w:val="00B86E95"/>
    <w:rsid w:val="00B91EE4"/>
    <w:rsid w:val="00B928EE"/>
    <w:rsid w:val="00B93595"/>
    <w:rsid w:val="00B93E2B"/>
    <w:rsid w:val="00B94B4F"/>
    <w:rsid w:val="00B962B9"/>
    <w:rsid w:val="00B971E7"/>
    <w:rsid w:val="00BA06E0"/>
    <w:rsid w:val="00BA0ED7"/>
    <w:rsid w:val="00BA31DA"/>
    <w:rsid w:val="00BA3FAE"/>
    <w:rsid w:val="00BA4790"/>
    <w:rsid w:val="00BA4EFF"/>
    <w:rsid w:val="00BA533E"/>
    <w:rsid w:val="00BA5E10"/>
    <w:rsid w:val="00BA6A85"/>
    <w:rsid w:val="00BB217A"/>
    <w:rsid w:val="00BB4345"/>
    <w:rsid w:val="00BB6A57"/>
    <w:rsid w:val="00BB7B9D"/>
    <w:rsid w:val="00BC05BC"/>
    <w:rsid w:val="00BC3615"/>
    <w:rsid w:val="00BC4E23"/>
    <w:rsid w:val="00BC604A"/>
    <w:rsid w:val="00BC66EE"/>
    <w:rsid w:val="00BD354A"/>
    <w:rsid w:val="00BD475A"/>
    <w:rsid w:val="00BD5D10"/>
    <w:rsid w:val="00BD6052"/>
    <w:rsid w:val="00BE0AAC"/>
    <w:rsid w:val="00BE11C5"/>
    <w:rsid w:val="00BE1ECD"/>
    <w:rsid w:val="00BE31DC"/>
    <w:rsid w:val="00BE5714"/>
    <w:rsid w:val="00BE7D8F"/>
    <w:rsid w:val="00BF095C"/>
    <w:rsid w:val="00BF0FCE"/>
    <w:rsid w:val="00BF214F"/>
    <w:rsid w:val="00BF2F60"/>
    <w:rsid w:val="00BF34DA"/>
    <w:rsid w:val="00BF387A"/>
    <w:rsid w:val="00BF613C"/>
    <w:rsid w:val="00BF75FF"/>
    <w:rsid w:val="00C00F20"/>
    <w:rsid w:val="00C00FC9"/>
    <w:rsid w:val="00C019F4"/>
    <w:rsid w:val="00C059AD"/>
    <w:rsid w:val="00C0664C"/>
    <w:rsid w:val="00C0709C"/>
    <w:rsid w:val="00C1138C"/>
    <w:rsid w:val="00C11798"/>
    <w:rsid w:val="00C1235D"/>
    <w:rsid w:val="00C12B71"/>
    <w:rsid w:val="00C13683"/>
    <w:rsid w:val="00C148A6"/>
    <w:rsid w:val="00C15F23"/>
    <w:rsid w:val="00C16A8A"/>
    <w:rsid w:val="00C20C04"/>
    <w:rsid w:val="00C2264C"/>
    <w:rsid w:val="00C227BD"/>
    <w:rsid w:val="00C22D22"/>
    <w:rsid w:val="00C24D78"/>
    <w:rsid w:val="00C24ECF"/>
    <w:rsid w:val="00C26118"/>
    <w:rsid w:val="00C26F4A"/>
    <w:rsid w:val="00C27122"/>
    <w:rsid w:val="00C27784"/>
    <w:rsid w:val="00C30780"/>
    <w:rsid w:val="00C34719"/>
    <w:rsid w:val="00C34FE4"/>
    <w:rsid w:val="00C35CCB"/>
    <w:rsid w:val="00C37B91"/>
    <w:rsid w:val="00C40C70"/>
    <w:rsid w:val="00C411F2"/>
    <w:rsid w:val="00C43899"/>
    <w:rsid w:val="00C44800"/>
    <w:rsid w:val="00C449C5"/>
    <w:rsid w:val="00C45ABC"/>
    <w:rsid w:val="00C47295"/>
    <w:rsid w:val="00C5047E"/>
    <w:rsid w:val="00C525FD"/>
    <w:rsid w:val="00C52F10"/>
    <w:rsid w:val="00C53042"/>
    <w:rsid w:val="00C53842"/>
    <w:rsid w:val="00C548DE"/>
    <w:rsid w:val="00C571E4"/>
    <w:rsid w:val="00C623D8"/>
    <w:rsid w:val="00C64AAE"/>
    <w:rsid w:val="00C657AC"/>
    <w:rsid w:val="00C658EB"/>
    <w:rsid w:val="00C66554"/>
    <w:rsid w:val="00C66CC0"/>
    <w:rsid w:val="00C70F8E"/>
    <w:rsid w:val="00C71395"/>
    <w:rsid w:val="00C718D5"/>
    <w:rsid w:val="00C75B59"/>
    <w:rsid w:val="00C75D96"/>
    <w:rsid w:val="00C75F5C"/>
    <w:rsid w:val="00C81713"/>
    <w:rsid w:val="00C81F16"/>
    <w:rsid w:val="00C82D02"/>
    <w:rsid w:val="00C83763"/>
    <w:rsid w:val="00C849E6"/>
    <w:rsid w:val="00C85319"/>
    <w:rsid w:val="00C856DA"/>
    <w:rsid w:val="00C87B77"/>
    <w:rsid w:val="00C904A4"/>
    <w:rsid w:val="00C91EC0"/>
    <w:rsid w:val="00C92CD1"/>
    <w:rsid w:val="00C948D8"/>
    <w:rsid w:val="00C96187"/>
    <w:rsid w:val="00C965BD"/>
    <w:rsid w:val="00C97154"/>
    <w:rsid w:val="00C971AB"/>
    <w:rsid w:val="00CA45AA"/>
    <w:rsid w:val="00CA4DC3"/>
    <w:rsid w:val="00CA7297"/>
    <w:rsid w:val="00CA737D"/>
    <w:rsid w:val="00CB19DD"/>
    <w:rsid w:val="00CB2B18"/>
    <w:rsid w:val="00CB34C9"/>
    <w:rsid w:val="00CB37EE"/>
    <w:rsid w:val="00CB50EB"/>
    <w:rsid w:val="00CB6A19"/>
    <w:rsid w:val="00CB7C77"/>
    <w:rsid w:val="00CB7D07"/>
    <w:rsid w:val="00CB7DE0"/>
    <w:rsid w:val="00CC07F4"/>
    <w:rsid w:val="00CC09D0"/>
    <w:rsid w:val="00CC10FF"/>
    <w:rsid w:val="00CC1C95"/>
    <w:rsid w:val="00CC2F2B"/>
    <w:rsid w:val="00CC450F"/>
    <w:rsid w:val="00CC5663"/>
    <w:rsid w:val="00CC5C0F"/>
    <w:rsid w:val="00CC66CC"/>
    <w:rsid w:val="00CC6B9E"/>
    <w:rsid w:val="00CC7A46"/>
    <w:rsid w:val="00CD135E"/>
    <w:rsid w:val="00CD1D5C"/>
    <w:rsid w:val="00CD281D"/>
    <w:rsid w:val="00CD3620"/>
    <w:rsid w:val="00CD4A12"/>
    <w:rsid w:val="00CD4A84"/>
    <w:rsid w:val="00CD5415"/>
    <w:rsid w:val="00CE086F"/>
    <w:rsid w:val="00CE0884"/>
    <w:rsid w:val="00CE1198"/>
    <w:rsid w:val="00CE2432"/>
    <w:rsid w:val="00CE2BDB"/>
    <w:rsid w:val="00CE3318"/>
    <w:rsid w:val="00CE6386"/>
    <w:rsid w:val="00CE7275"/>
    <w:rsid w:val="00CE7AD5"/>
    <w:rsid w:val="00CE7D90"/>
    <w:rsid w:val="00CF0815"/>
    <w:rsid w:val="00CF0C14"/>
    <w:rsid w:val="00CF1647"/>
    <w:rsid w:val="00CF1CE4"/>
    <w:rsid w:val="00CF4527"/>
    <w:rsid w:val="00CF558B"/>
    <w:rsid w:val="00CF615E"/>
    <w:rsid w:val="00CF66DA"/>
    <w:rsid w:val="00D01480"/>
    <w:rsid w:val="00D01EA8"/>
    <w:rsid w:val="00D02C53"/>
    <w:rsid w:val="00D077F1"/>
    <w:rsid w:val="00D10B27"/>
    <w:rsid w:val="00D15D3F"/>
    <w:rsid w:val="00D15DF6"/>
    <w:rsid w:val="00D223F0"/>
    <w:rsid w:val="00D26E5E"/>
    <w:rsid w:val="00D26F43"/>
    <w:rsid w:val="00D27A6F"/>
    <w:rsid w:val="00D3211B"/>
    <w:rsid w:val="00D32677"/>
    <w:rsid w:val="00D32C0E"/>
    <w:rsid w:val="00D33D04"/>
    <w:rsid w:val="00D3403A"/>
    <w:rsid w:val="00D34ACC"/>
    <w:rsid w:val="00D40C34"/>
    <w:rsid w:val="00D4299B"/>
    <w:rsid w:val="00D436F2"/>
    <w:rsid w:val="00D44407"/>
    <w:rsid w:val="00D4553C"/>
    <w:rsid w:val="00D45733"/>
    <w:rsid w:val="00D45851"/>
    <w:rsid w:val="00D5050F"/>
    <w:rsid w:val="00D506F0"/>
    <w:rsid w:val="00D518DE"/>
    <w:rsid w:val="00D52C58"/>
    <w:rsid w:val="00D5669B"/>
    <w:rsid w:val="00D571F4"/>
    <w:rsid w:val="00D575BD"/>
    <w:rsid w:val="00D612A5"/>
    <w:rsid w:val="00D672B8"/>
    <w:rsid w:val="00D67803"/>
    <w:rsid w:val="00D72078"/>
    <w:rsid w:val="00D74BF1"/>
    <w:rsid w:val="00D7596F"/>
    <w:rsid w:val="00D769B8"/>
    <w:rsid w:val="00D80FAB"/>
    <w:rsid w:val="00D8348D"/>
    <w:rsid w:val="00D85BBF"/>
    <w:rsid w:val="00D86CCA"/>
    <w:rsid w:val="00D87809"/>
    <w:rsid w:val="00D87AD5"/>
    <w:rsid w:val="00D9027A"/>
    <w:rsid w:val="00D92F45"/>
    <w:rsid w:val="00D930B9"/>
    <w:rsid w:val="00D93753"/>
    <w:rsid w:val="00D9457B"/>
    <w:rsid w:val="00D94722"/>
    <w:rsid w:val="00DA13D0"/>
    <w:rsid w:val="00DA2F48"/>
    <w:rsid w:val="00DA4091"/>
    <w:rsid w:val="00DA4698"/>
    <w:rsid w:val="00DA74B2"/>
    <w:rsid w:val="00DB0334"/>
    <w:rsid w:val="00DB03D1"/>
    <w:rsid w:val="00DB0FB2"/>
    <w:rsid w:val="00DB2863"/>
    <w:rsid w:val="00DB3AA6"/>
    <w:rsid w:val="00DB42DD"/>
    <w:rsid w:val="00DB5B6A"/>
    <w:rsid w:val="00DB5DBF"/>
    <w:rsid w:val="00DB5FFD"/>
    <w:rsid w:val="00DB7B75"/>
    <w:rsid w:val="00DC08FC"/>
    <w:rsid w:val="00DC54AC"/>
    <w:rsid w:val="00DC72E9"/>
    <w:rsid w:val="00DC7729"/>
    <w:rsid w:val="00DD21A6"/>
    <w:rsid w:val="00DD224E"/>
    <w:rsid w:val="00DD2A1D"/>
    <w:rsid w:val="00DD2BD8"/>
    <w:rsid w:val="00DD3A98"/>
    <w:rsid w:val="00DD428B"/>
    <w:rsid w:val="00DD48B6"/>
    <w:rsid w:val="00DD585B"/>
    <w:rsid w:val="00DD5BE1"/>
    <w:rsid w:val="00DD6411"/>
    <w:rsid w:val="00DD66C3"/>
    <w:rsid w:val="00DD6D65"/>
    <w:rsid w:val="00DD6DC7"/>
    <w:rsid w:val="00DD6F16"/>
    <w:rsid w:val="00DD775F"/>
    <w:rsid w:val="00DD7972"/>
    <w:rsid w:val="00DE2AD5"/>
    <w:rsid w:val="00DE4FDE"/>
    <w:rsid w:val="00DE57D8"/>
    <w:rsid w:val="00DE731C"/>
    <w:rsid w:val="00DF1F13"/>
    <w:rsid w:val="00DF326A"/>
    <w:rsid w:val="00DF3552"/>
    <w:rsid w:val="00DF386D"/>
    <w:rsid w:val="00DF4E19"/>
    <w:rsid w:val="00E00448"/>
    <w:rsid w:val="00E00862"/>
    <w:rsid w:val="00E01055"/>
    <w:rsid w:val="00E013CA"/>
    <w:rsid w:val="00E02DBC"/>
    <w:rsid w:val="00E04379"/>
    <w:rsid w:val="00E078B5"/>
    <w:rsid w:val="00E10115"/>
    <w:rsid w:val="00E131DE"/>
    <w:rsid w:val="00E139E5"/>
    <w:rsid w:val="00E14BD8"/>
    <w:rsid w:val="00E14F33"/>
    <w:rsid w:val="00E15969"/>
    <w:rsid w:val="00E165A7"/>
    <w:rsid w:val="00E1675E"/>
    <w:rsid w:val="00E17A60"/>
    <w:rsid w:val="00E20017"/>
    <w:rsid w:val="00E20096"/>
    <w:rsid w:val="00E211F3"/>
    <w:rsid w:val="00E228D5"/>
    <w:rsid w:val="00E24A6C"/>
    <w:rsid w:val="00E26F71"/>
    <w:rsid w:val="00E275D4"/>
    <w:rsid w:val="00E30C3D"/>
    <w:rsid w:val="00E31E18"/>
    <w:rsid w:val="00E32082"/>
    <w:rsid w:val="00E323EA"/>
    <w:rsid w:val="00E35E3C"/>
    <w:rsid w:val="00E373D7"/>
    <w:rsid w:val="00E4157A"/>
    <w:rsid w:val="00E41678"/>
    <w:rsid w:val="00E425FE"/>
    <w:rsid w:val="00E448C3"/>
    <w:rsid w:val="00E4639E"/>
    <w:rsid w:val="00E50BA4"/>
    <w:rsid w:val="00E512D0"/>
    <w:rsid w:val="00E513ED"/>
    <w:rsid w:val="00E51E00"/>
    <w:rsid w:val="00E52CD5"/>
    <w:rsid w:val="00E55403"/>
    <w:rsid w:val="00E574CB"/>
    <w:rsid w:val="00E61C2B"/>
    <w:rsid w:val="00E620FA"/>
    <w:rsid w:val="00E62891"/>
    <w:rsid w:val="00E62E6A"/>
    <w:rsid w:val="00E6324F"/>
    <w:rsid w:val="00E6450C"/>
    <w:rsid w:val="00E653DB"/>
    <w:rsid w:val="00E654D9"/>
    <w:rsid w:val="00E6783A"/>
    <w:rsid w:val="00E712E4"/>
    <w:rsid w:val="00E71B40"/>
    <w:rsid w:val="00E728A3"/>
    <w:rsid w:val="00E74963"/>
    <w:rsid w:val="00E74C3F"/>
    <w:rsid w:val="00E755E5"/>
    <w:rsid w:val="00E75768"/>
    <w:rsid w:val="00E770E0"/>
    <w:rsid w:val="00E773AC"/>
    <w:rsid w:val="00E815E0"/>
    <w:rsid w:val="00E834A4"/>
    <w:rsid w:val="00E83DDB"/>
    <w:rsid w:val="00E854A3"/>
    <w:rsid w:val="00E86CCE"/>
    <w:rsid w:val="00E9017B"/>
    <w:rsid w:val="00E93239"/>
    <w:rsid w:val="00E93B6E"/>
    <w:rsid w:val="00E94401"/>
    <w:rsid w:val="00E948AB"/>
    <w:rsid w:val="00E95492"/>
    <w:rsid w:val="00EA5060"/>
    <w:rsid w:val="00EA604C"/>
    <w:rsid w:val="00EA64CC"/>
    <w:rsid w:val="00EA77E6"/>
    <w:rsid w:val="00EB1FD3"/>
    <w:rsid w:val="00EB40E5"/>
    <w:rsid w:val="00EB5B13"/>
    <w:rsid w:val="00EB5C16"/>
    <w:rsid w:val="00EB6474"/>
    <w:rsid w:val="00EB6D4C"/>
    <w:rsid w:val="00EB73EF"/>
    <w:rsid w:val="00EC0B6E"/>
    <w:rsid w:val="00EC0D28"/>
    <w:rsid w:val="00EC1AE6"/>
    <w:rsid w:val="00EC3DFB"/>
    <w:rsid w:val="00EC4219"/>
    <w:rsid w:val="00EC5508"/>
    <w:rsid w:val="00EC5695"/>
    <w:rsid w:val="00EC5950"/>
    <w:rsid w:val="00ED6C90"/>
    <w:rsid w:val="00EE0B04"/>
    <w:rsid w:val="00EE0C1A"/>
    <w:rsid w:val="00EE19FA"/>
    <w:rsid w:val="00EE21F8"/>
    <w:rsid w:val="00EE2748"/>
    <w:rsid w:val="00EE2C20"/>
    <w:rsid w:val="00EE637F"/>
    <w:rsid w:val="00EE7C0A"/>
    <w:rsid w:val="00EF0B83"/>
    <w:rsid w:val="00EF11D4"/>
    <w:rsid w:val="00EF13C4"/>
    <w:rsid w:val="00EF1433"/>
    <w:rsid w:val="00EF1438"/>
    <w:rsid w:val="00EF1ABC"/>
    <w:rsid w:val="00EF1CF7"/>
    <w:rsid w:val="00EF6F15"/>
    <w:rsid w:val="00EF7FA2"/>
    <w:rsid w:val="00F00024"/>
    <w:rsid w:val="00F00868"/>
    <w:rsid w:val="00F00951"/>
    <w:rsid w:val="00F01832"/>
    <w:rsid w:val="00F04637"/>
    <w:rsid w:val="00F05F6A"/>
    <w:rsid w:val="00F0600D"/>
    <w:rsid w:val="00F06121"/>
    <w:rsid w:val="00F065E1"/>
    <w:rsid w:val="00F10F3B"/>
    <w:rsid w:val="00F11F6C"/>
    <w:rsid w:val="00F14D84"/>
    <w:rsid w:val="00F1734B"/>
    <w:rsid w:val="00F21C54"/>
    <w:rsid w:val="00F21FB6"/>
    <w:rsid w:val="00F22114"/>
    <w:rsid w:val="00F22117"/>
    <w:rsid w:val="00F22622"/>
    <w:rsid w:val="00F25D9B"/>
    <w:rsid w:val="00F263FE"/>
    <w:rsid w:val="00F26409"/>
    <w:rsid w:val="00F26DED"/>
    <w:rsid w:val="00F305DE"/>
    <w:rsid w:val="00F31B8E"/>
    <w:rsid w:val="00F32BE0"/>
    <w:rsid w:val="00F33C27"/>
    <w:rsid w:val="00F35B27"/>
    <w:rsid w:val="00F36DF2"/>
    <w:rsid w:val="00F374AF"/>
    <w:rsid w:val="00F444A3"/>
    <w:rsid w:val="00F44A84"/>
    <w:rsid w:val="00F44BA0"/>
    <w:rsid w:val="00F46182"/>
    <w:rsid w:val="00F4723B"/>
    <w:rsid w:val="00F509CC"/>
    <w:rsid w:val="00F50E47"/>
    <w:rsid w:val="00F53BF6"/>
    <w:rsid w:val="00F54ACC"/>
    <w:rsid w:val="00F564E0"/>
    <w:rsid w:val="00F6028F"/>
    <w:rsid w:val="00F602A3"/>
    <w:rsid w:val="00F607DC"/>
    <w:rsid w:val="00F609F0"/>
    <w:rsid w:val="00F6248C"/>
    <w:rsid w:val="00F6367F"/>
    <w:rsid w:val="00F63BB5"/>
    <w:rsid w:val="00F67C9A"/>
    <w:rsid w:val="00F7104A"/>
    <w:rsid w:val="00F720ED"/>
    <w:rsid w:val="00F740F6"/>
    <w:rsid w:val="00F745DD"/>
    <w:rsid w:val="00F74F68"/>
    <w:rsid w:val="00F75224"/>
    <w:rsid w:val="00F75EC5"/>
    <w:rsid w:val="00F80259"/>
    <w:rsid w:val="00F8110E"/>
    <w:rsid w:val="00F81406"/>
    <w:rsid w:val="00F81B3C"/>
    <w:rsid w:val="00F83C53"/>
    <w:rsid w:val="00F83CF1"/>
    <w:rsid w:val="00F8560B"/>
    <w:rsid w:val="00F85AC1"/>
    <w:rsid w:val="00F8763B"/>
    <w:rsid w:val="00F92651"/>
    <w:rsid w:val="00F941F2"/>
    <w:rsid w:val="00F947AB"/>
    <w:rsid w:val="00F94FDA"/>
    <w:rsid w:val="00F951A5"/>
    <w:rsid w:val="00FA0111"/>
    <w:rsid w:val="00FA1DD9"/>
    <w:rsid w:val="00FA224E"/>
    <w:rsid w:val="00FA448A"/>
    <w:rsid w:val="00FA4894"/>
    <w:rsid w:val="00FA5046"/>
    <w:rsid w:val="00FA5C7C"/>
    <w:rsid w:val="00FA6672"/>
    <w:rsid w:val="00FA7995"/>
    <w:rsid w:val="00FB02DC"/>
    <w:rsid w:val="00FB02FD"/>
    <w:rsid w:val="00FB04C2"/>
    <w:rsid w:val="00FB0ABA"/>
    <w:rsid w:val="00FB11CD"/>
    <w:rsid w:val="00FB155C"/>
    <w:rsid w:val="00FB52C0"/>
    <w:rsid w:val="00FB6FC3"/>
    <w:rsid w:val="00FC09DC"/>
    <w:rsid w:val="00FC22A5"/>
    <w:rsid w:val="00FC33E3"/>
    <w:rsid w:val="00FC3A18"/>
    <w:rsid w:val="00FC3E6B"/>
    <w:rsid w:val="00FC3FC3"/>
    <w:rsid w:val="00FC4E94"/>
    <w:rsid w:val="00FC5043"/>
    <w:rsid w:val="00FC5DF3"/>
    <w:rsid w:val="00FC6F19"/>
    <w:rsid w:val="00FD0225"/>
    <w:rsid w:val="00FD3FE3"/>
    <w:rsid w:val="00FD4748"/>
    <w:rsid w:val="00FD73DD"/>
    <w:rsid w:val="00FE0DFC"/>
    <w:rsid w:val="00FE16A1"/>
    <w:rsid w:val="00FE42A3"/>
    <w:rsid w:val="00FE5262"/>
    <w:rsid w:val="00FE58E6"/>
    <w:rsid w:val="00FE5D7F"/>
    <w:rsid w:val="00FF0834"/>
    <w:rsid w:val="00FF0C48"/>
    <w:rsid w:val="00FF327C"/>
    <w:rsid w:val="00FF5C24"/>
    <w:rsid w:val="00FF70A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ED9A"/>
  <w15:chartTrackingRefBased/>
  <w15:docId w15:val="{0D8937E3-6607-4F23-8909-6C73ECD1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83360"/>
    <w:pPr>
      <w:spacing w:line="256" w:lineRule="auto"/>
    </w:pPr>
    <w:rPr>
      <w:lang w:val="en-GB" w:bidi="si-LK"/>
    </w:rPr>
  </w:style>
  <w:style w:type="paragraph" w:styleId="Nadpis1">
    <w:name w:val="heading 1"/>
    <w:basedOn w:val="Normln"/>
    <w:next w:val="Normln"/>
    <w:link w:val="Nadpis1Char"/>
    <w:uiPriority w:val="9"/>
    <w:qFormat/>
    <w:rsid w:val="006A621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hesisHeading1">
    <w:name w:val="Thesis Heading 1"/>
    <w:basedOn w:val="Normln"/>
    <w:link w:val="ThesisHeading1Char"/>
    <w:qFormat/>
    <w:rsid w:val="00E51E00"/>
    <w:pPr>
      <w:spacing w:line="360" w:lineRule="auto"/>
      <w:jc w:val="both"/>
    </w:pPr>
    <w:rPr>
      <w:rFonts w:ascii="Times New Roman" w:hAnsi="Times New Roman" w:cs="Times New Roman"/>
      <w:b/>
      <w:bCs/>
      <w:sz w:val="32"/>
      <w:szCs w:val="24"/>
      <w:lang w:val="en-US"/>
    </w:rPr>
  </w:style>
  <w:style w:type="paragraph" w:customStyle="1" w:styleId="Thesisheading2">
    <w:name w:val="Thesis heading 2"/>
    <w:basedOn w:val="ThesisHeading1"/>
    <w:link w:val="Thesisheading2Char"/>
    <w:qFormat/>
    <w:rsid w:val="00FE42A3"/>
    <w:rPr>
      <w:sz w:val="28"/>
    </w:rPr>
  </w:style>
  <w:style w:type="character" w:customStyle="1" w:styleId="ThesisHeading1Char">
    <w:name w:val="Thesis Heading 1 Char"/>
    <w:basedOn w:val="Standardnpsmoodstavce"/>
    <w:link w:val="ThesisHeading1"/>
    <w:rsid w:val="00E51E00"/>
    <w:rPr>
      <w:rFonts w:ascii="Times New Roman" w:hAnsi="Times New Roman" w:cs="Times New Roman"/>
      <w:b/>
      <w:bCs/>
      <w:sz w:val="32"/>
      <w:szCs w:val="24"/>
      <w:lang w:bidi="si-LK"/>
    </w:rPr>
  </w:style>
  <w:style w:type="paragraph" w:customStyle="1" w:styleId="Thesisheading3">
    <w:name w:val="Thesis heading 3"/>
    <w:basedOn w:val="Thesisheading2"/>
    <w:link w:val="Thesisheading3Char"/>
    <w:qFormat/>
    <w:rsid w:val="00E51E00"/>
  </w:style>
  <w:style w:type="character" w:customStyle="1" w:styleId="Thesisheading2Char">
    <w:name w:val="Thesis heading 2 Char"/>
    <w:basedOn w:val="ThesisHeading1Char"/>
    <w:link w:val="Thesisheading2"/>
    <w:rsid w:val="00FE42A3"/>
    <w:rPr>
      <w:rFonts w:ascii="Times New Roman" w:hAnsi="Times New Roman" w:cs="Times New Roman"/>
      <w:b/>
      <w:bCs/>
      <w:sz w:val="28"/>
      <w:szCs w:val="24"/>
      <w:lang w:bidi="si-LK"/>
    </w:rPr>
  </w:style>
  <w:style w:type="paragraph" w:customStyle="1" w:styleId="Thesisbody">
    <w:name w:val="Thesis body"/>
    <w:basedOn w:val="Normln"/>
    <w:link w:val="ThesisbodyChar"/>
    <w:qFormat/>
    <w:rsid w:val="00E51E00"/>
    <w:pPr>
      <w:spacing w:line="360" w:lineRule="auto"/>
      <w:jc w:val="both"/>
    </w:pPr>
    <w:rPr>
      <w:rFonts w:ascii="Times New Roman" w:hAnsi="Times New Roman" w:cs="Times New Roman"/>
      <w:bCs/>
      <w:sz w:val="24"/>
      <w:szCs w:val="24"/>
      <w:lang w:val="en-US"/>
    </w:rPr>
  </w:style>
  <w:style w:type="character" w:customStyle="1" w:styleId="Thesisheading3Char">
    <w:name w:val="Thesis heading 3 Char"/>
    <w:basedOn w:val="Thesisheading2Char"/>
    <w:link w:val="Thesisheading3"/>
    <w:rsid w:val="00E51E00"/>
    <w:rPr>
      <w:rFonts w:ascii="Times New Roman" w:hAnsi="Times New Roman" w:cs="Times New Roman"/>
      <w:b/>
      <w:bCs/>
      <w:sz w:val="28"/>
      <w:szCs w:val="24"/>
      <w:lang w:bidi="si-LK"/>
    </w:rPr>
  </w:style>
  <w:style w:type="character" w:customStyle="1" w:styleId="Nadpis1Char">
    <w:name w:val="Nadpis 1 Char"/>
    <w:basedOn w:val="Standardnpsmoodstavce"/>
    <w:link w:val="Nadpis1"/>
    <w:uiPriority w:val="9"/>
    <w:rsid w:val="006A6219"/>
    <w:rPr>
      <w:rFonts w:asciiTheme="majorHAnsi" w:eastAsiaTheme="majorEastAsia" w:hAnsiTheme="majorHAnsi" w:cstheme="majorBidi"/>
      <w:color w:val="2F5496" w:themeColor="accent1" w:themeShade="BF"/>
      <w:sz w:val="32"/>
      <w:szCs w:val="32"/>
    </w:rPr>
  </w:style>
  <w:style w:type="character" w:customStyle="1" w:styleId="ThesisbodyChar">
    <w:name w:val="Thesis body Char"/>
    <w:basedOn w:val="Standardnpsmoodstavce"/>
    <w:link w:val="Thesisbody"/>
    <w:rsid w:val="00E51E00"/>
    <w:rPr>
      <w:rFonts w:ascii="Times New Roman" w:hAnsi="Times New Roman" w:cs="Times New Roman"/>
      <w:bCs/>
      <w:sz w:val="24"/>
      <w:szCs w:val="24"/>
      <w:lang w:bidi="si-LK"/>
    </w:rPr>
  </w:style>
  <w:style w:type="paragraph" w:styleId="Odstavecseseznamem">
    <w:name w:val="List Paragraph"/>
    <w:basedOn w:val="Normln"/>
    <w:uiPriority w:val="34"/>
    <w:qFormat/>
    <w:rsid w:val="006A6219"/>
    <w:pPr>
      <w:spacing w:line="259" w:lineRule="auto"/>
      <w:ind w:left="720"/>
      <w:contextualSpacing/>
    </w:pPr>
  </w:style>
  <w:style w:type="paragraph" w:styleId="Bibliografie">
    <w:name w:val="Bibliography"/>
    <w:basedOn w:val="Normln"/>
    <w:next w:val="Normln"/>
    <w:uiPriority w:val="37"/>
    <w:unhideWhenUsed/>
    <w:rsid w:val="006A6219"/>
    <w:pPr>
      <w:spacing w:after="200" w:line="276" w:lineRule="auto"/>
    </w:pPr>
    <w:rPr>
      <w:lang w:val="en-US" w:bidi="ar-SA"/>
    </w:rPr>
  </w:style>
  <w:style w:type="paragraph" w:styleId="Textpoznpodarou">
    <w:name w:val="footnote text"/>
    <w:basedOn w:val="Normln"/>
    <w:link w:val="TextpoznpodarouChar"/>
    <w:uiPriority w:val="99"/>
    <w:unhideWhenUsed/>
    <w:rsid w:val="006A6219"/>
    <w:pPr>
      <w:spacing w:after="0" w:line="240" w:lineRule="auto"/>
    </w:pPr>
    <w:rPr>
      <w:sz w:val="20"/>
      <w:szCs w:val="20"/>
      <w:lang w:val="en-US" w:bidi="ar-SA"/>
    </w:rPr>
  </w:style>
  <w:style w:type="character" w:customStyle="1" w:styleId="TextpoznpodarouChar">
    <w:name w:val="Text pozn. pod čarou Char"/>
    <w:basedOn w:val="Standardnpsmoodstavce"/>
    <w:link w:val="Textpoznpodarou"/>
    <w:uiPriority w:val="99"/>
    <w:rsid w:val="006A6219"/>
    <w:rPr>
      <w:sz w:val="20"/>
      <w:szCs w:val="20"/>
    </w:rPr>
  </w:style>
  <w:style w:type="character" w:styleId="Znakapoznpodarou">
    <w:name w:val="footnote reference"/>
    <w:basedOn w:val="Standardnpsmoodstavce"/>
    <w:uiPriority w:val="99"/>
    <w:semiHidden/>
    <w:unhideWhenUsed/>
    <w:rsid w:val="006A6219"/>
    <w:rPr>
      <w:vertAlign w:val="superscript"/>
    </w:rPr>
  </w:style>
  <w:style w:type="paragraph" w:styleId="Zhlav">
    <w:name w:val="header"/>
    <w:basedOn w:val="Normln"/>
    <w:link w:val="ZhlavChar"/>
    <w:uiPriority w:val="99"/>
    <w:unhideWhenUsed/>
    <w:rsid w:val="00F81B3C"/>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F81B3C"/>
    <w:rPr>
      <w:lang w:val="en-GB" w:bidi="si-LK"/>
    </w:rPr>
  </w:style>
  <w:style w:type="paragraph" w:styleId="Zpat">
    <w:name w:val="footer"/>
    <w:basedOn w:val="Normln"/>
    <w:link w:val="ZpatChar"/>
    <w:uiPriority w:val="99"/>
    <w:unhideWhenUsed/>
    <w:rsid w:val="00F81B3C"/>
    <w:pPr>
      <w:tabs>
        <w:tab w:val="center" w:pos="4680"/>
        <w:tab w:val="right" w:pos="9360"/>
      </w:tabs>
      <w:spacing w:after="0" w:line="240" w:lineRule="auto"/>
    </w:pPr>
  </w:style>
  <w:style w:type="character" w:customStyle="1" w:styleId="ZpatChar">
    <w:name w:val="Zápatí Char"/>
    <w:basedOn w:val="Standardnpsmoodstavce"/>
    <w:link w:val="Zpat"/>
    <w:uiPriority w:val="99"/>
    <w:rsid w:val="00F81B3C"/>
    <w:rPr>
      <w:lang w:val="en-GB" w:bidi="si-LK"/>
    </w:rPr>
  </w:style>
  <w:style w:type="paragraph" w:styleId="Bezmezer">
    <w:name w:val="No Spacing"/>
    <w:link w:val="BezmezerChar"/>
    <w:uiPriority w:val="1"/>
    <w:qFormat/>
    <w:rsid w:val="00AE61D8"/>
    <w:pPr>
      <w:spacing w:after="0" w:line="240" w:lineRule="auto"/>
    </w:pPr>
    <w:rPr>
      <w:rFonts w:eastAsiaTheme="minorEastAsia"/>
    </w:rPr>
  </w:style>
  <w:style w:type="character" w:customStyle="1" w:styleId="BezmezerChar">
    <w:name w:val="Bez mezer Char"/>
    <w:basedOn w:val="Standardnpsmoodstavce"/>
    <w:link w:val="Bezmezer"/>
    <w:uiPriority w:val="1"/>
    <w:rsid w:val="00AE61D8"/>
    <w:rPr>
      <w:rFonts w:eastAsiaTheme="minorEastAsia"/>
    </w:rPr>
  </w:style>
  <w:style w:type="paragraph" w:styleId="Nadpisobsahu">
    <w:name w:val="TOC Heading"/>
    <w:basedOn w:val="Nadpis1"/>
    <w:next w:val="Normln"/>
    <w:uiPriority w:val="39"/>
    <w:unhideWhenUsed/>
    <w:qFormat/>
    <w:rsid w:val="00CA45AA"/>
    <w:pPr>
      <w:outlineLvl w:val="9"/>
    </w:pPr>
  </w:style>
  <w:style w:type="paragraph" w:styleId="Obsah1">
    <w:name w:val="toc 1"/>
    <w:basedOn w:val="Normln"/>
    <w:next w:val="Normln"/>
    <w:autoRedefine/>
    <w:uiPriority w:val="39"/>
    <w:unhideWhenUsed/>
    <w:rsid w:val="00675667"/>
    <w:pPr>
      <w:spacing w:after="100" w:line="360" w:lineRule="auto"/>
    </w:pPr>
    <w:rPr>
      <w:rFonts w:ascii="Times New Roman" w:hAnsi="Times New Roman" w:cs="Times New Roman"/>
      <w:b/>
      <w:bCs/>
      <w:sz w:val="28"/>
      <w:szCs w:val="28"/>
      <w:lang w:val="en-US"/>
    </w:rPr>
  </w:style>
  <w:style w:type="character" w:styleId="Hypertextovodkaz">
    <w:name w:val="Hyperlink"/>
    <w:basedOn w:val="Standardnpsmoodstavce"/>
    <w:uiPriority w:val="99"/>
    <w:unhideWhenUsed/>
    <w:rsid w:val="00CA45AA"/>
    <w:rPr>
      <w:color w:val="0563C1" w:themeColor="hyperlink"/>
      <w:u w:val="single"/>
    </w:rPr>
  </w:style>
  <w:style w:type="paragraph" w:styleId="Obsah2">
    <w:name w:val="toc 2"/>
    <w:basedOn w:val="Normln"/>
    <w:next w:val="Normln"/>
    <w:autoRedefine/>
    <w:uiPriority w:val="39"/>
    <w:unhideWhenUsed/>
    <w:rsid w:val="00A114AD"/>
    <w:pPr>
      <w:spacing w:after="100" w:line="259" w:lineRule="auto"/>
      <w:ind w:left="220"/>
    </w:pPr>
    <w:rPr>
      <w:rFonts w:eastAsiaTheme="minorEastAsia" w:cs="Times New Roman"/>
      <w:lang w:val="en-US" w:bidi="ar-SA"/>
    </w:rPr>
  </w:style>
  <w:style w:type="paragraph" w:styleId="Obsah3">
    <w:name w:val="toc 3"/>
    <w:basedOn w:val="Normln"/>
    <w:next w:val="Normln"/>
    <w:autoRedefine/>
    <w:uiPriority w:val="39"/>
    <w:unhideWhenUsed/>
    <w:rsid w:val="00A114AD"/>
    <w:pPr>
      <w:spacing w:after="100" w:line="259" w:lineRule="auto"/>
      <w:ind w:left="440"/>
    </w:pPr>
    <w:rPr>
      <w:rFonts w:eastAsiaTheme="minorEastAsia" w:cs="Times New Roman"/>
      <w:lang w:val="en-US" w:bidi="ar-SA"/>
    </w:rPr>
  </w:style>
  <w:style w:type="character" w:customStyle="1" w:styleId="Mentionnonrsolue1">
    <w:name w:val="Mention non résolue1"/>
    <w:basedOn w:val="Standardnpsmoodstavce"/>
    <w:uiPriority w:val="99"/>
    <w:semiHidden/>
    <w:unhideWhenUsed/>
    <w:rsid w:val="00C12B71"/>
    <w:rPr>
      <w:color w:val="605E5C"/>
      <w:shd w:val="clear" w:color="auto" w:fill="E1DFDD"/>
    </w:rPr>
  </w:style>
  <w:style w:type="paragraph" w:styleId="Normlnweb">
    <w:name w:val="Normal (Web)"/>
    <w:basedOn w:val="Normln"/>
    <w:uiPriority w:val="99"/>
    <w:semiHidden/>
    <w:unhideWhenUsed/>
    <w:rsid w:val="007B7137"/>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Zdraznn">
    <w:name w:val="Emphasis"/>
    <w:basedOn w:val="Standardnpsmoodstavce"/>
    <w:uiPriority w:val="20"/>
    <w:qFormat/>
    <w:rsid w:val="00603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2999">
      <w:bodyDiv w:val="1"/>
      <w:marLeft w:val="0"/>
      <w:marRight w:val="0"/>
      <w:marTop w:val="0"/>
      <w:marBottom w:val="0"/>
      <w:divBdr>
        <w:top w:val="none" w:sz="0" w:space="0" w:color="auto"/>
        <w:left w:val="none" w:sz="0" w:space="0" w:color="auto"/>
        <w:bottom w:val="none" w:sz="0" w:space="0" w:color="auto"/>
        <w:right w:val="none" w:sz="0" w:space="0" w:color="auto"/>
      </w:divBdr>
    </w:div>
    <w:div w:id="214706049">
      <w:bodyDiv w:val="1"/>
      <w:marLeft w:val="0"/>
      <w:marRight w:val="0"/>
      <w:marTop w:val="0"/>
      <w:marBottom w:val="0"/>
      <w:divBdr>
        <w:top w:val="none" w:sz="0" w:space="0" w:color="auto"/>
        <w:left w:val="none" w:sz="0" w:space="0" w:color="auto"/>
        <w:bottom w:val="none" w:sz="0" w:space="0" w:color="auto"/>
        <w:right w:val="none" w:sz="0" w:space="0" w:color="auto"/>
      </w:divBdr>
    </w:div>
    <w:div w:id="251478359">
      <w:bodyDiv w:val="1"/>
      <w:marLeft w:val="0"/>
      <w:marRight w:val="0"/>
      <w:marTop w:val="0"/>
      <w:marBottom w:val="0"/>
      <w:divBdr>
        <w:top w:val="none" w:sz="0" w:space="0" w:color="auto"/>
        <w:left w:val="none" w:sz="0" w:space="0" w:color="auto"/>
        <w:bottom w:val="none" w:sz="0" w:space="0" w:color="auto"/>
        <w:right w:val="none" w:sz="0" w:space="0" w:color="auto"/>
      </w:divBdr>
    </w:div>
    <w:div w:id="290552966">
      <w:bodyDiv w:val="1"/>
      <w:marLeft w:val="0"/>
      <w:marRight w:val="0"/>
      <w:marTop w:val="0"/>
      <w:marBottom w:val="0"/>
      <w:divBdr>
        <w:top w:val="none" w:sz="0" w:space="0" w:color="auto"/>
        <w:left w:val="none" w:sz="0" w:space="0" w:color="auto"/>
        <w:bottom w:val="none" w:sz="0" w:space="0" w:color="auto"/>
        <w:right w:val="none" w:sz="0" w:space="0" w:color="auto"/>
      </w:divBdr>
    </w:div>
    <w:div w:id="466512167">
      <w:bodyDiv w:val="1"/>
      <w:marLeft w:val="0"/>
      <w:marRight w:val="0"/>
      <w:marTop w:val="0"/>
      <w:marBottom w:val="0"/>
      <w:divBdr>
        <w:top w:val="none" w:sz="0" w:space="0" w:color="auto"/>
        <w:left w:val="none" w:sz="0" w:space="0" w:color="auto"/>
        <w:bottom w:val="none" w:sz="0" w:space="0" w:color="auto"/>
        <w:right w:val="none" w:sz="0" w:space="0" w:color="auto"/>
      </w:divBdr>
    </w:div>
    <w:div w:id="605773752">
      <w:bodyDiv w:val="1"/>
      <w:marLeft w:val="0"/>
      <w:marRight w:val="0"/>
      <w:marTop w:val="0"/>
      <w:marBottom w:val="0"/>
      <w:divBdr>
        <w:top w:val="none" w:sz="0" w:space="0" w:color="auto"/>
        <w:left w:val="none" w:sz="0" w:space="0" w:color="auto"/>
        <w:bottom w:val="none" w:sz="0" w:space="0" w:color="auto"/>
        <w:right w:val="none" w:sz="0" w:space="0" w:color="auto"/>
      </w:divBdr>
      <w:divsChild>
        <w:div w:id="1686904485">
          <w:marLeft w:val="0"/>
          <w:marRight w:val="0"/>
          <w:marTop w:val="0"/>
          <w:marBottom w:val="0"/>
          <w:divBdr>
            <w:top w:val="none" w:sz="0" w:space="0" w:color="auto"/>
            <w:left w:val="none" w:sz="0" w:space="0" w:color="auto"/>
            <w:bottom w:val="none" w:sz="0" w:space="0" w:color="auto"/>
            <w:right w:val="none" w:sz="0" w:space="0" w:color="auto"/>
          </w:divBdr>
        </w:div>
        <w:div w:id="757822950">
          <w:marLeft w:val="0"/>
          <w:marRight w:val="0"/>
          <w:marTop w:val="0"/>
          <w:marBottom w:val="0"/>
          <w:divBdr>
            <w:top w:val="none" w:sz="0" w:space="0" w:color="auto"/>
            <w:left w:val="none" w:sz="0" w:space="0" w:color="auto"/>
            <w:bottom w:val="none" w:sz="0" w:space="0" w:color="auto"/>
            <w:right w:val="none" w:sz="0" w:space="0" w:color="auto"/>
          </w:divBdr>
        </w:div>
      </w:divsChild>
    </w:div>
    <w:div w:id="655188287">
      <w:bodyDiv w:val="1"/>
      <w:marLeft w:val="0"/>
      <w:marRight w:val="0"/>
      <w:marTop w:val="0"/>
      <w:marBottom w:val="0"/>
      <w:divBdr>
        <w:top w:val="none" w:sz="0" w:space="0" w:color="auto"/>
        <w:left w:val="none" w:sz="0" w:space="0" w:color="auto"/>
        <w:bottom w:val="none" w:sz="0" w:space="0" w:color="auto"/>
        <w:right w:val="none" w:sz="0" w:space="0" w:color="auto"/>
      </w:divBdr>
    </w:div>
    <w:div w:id="801188162">
      <w:bodyDiv w:val="1"/>
      <w:marLeft w:val="0"/>
      <w:marRight w:val="0"/>
      <w:marTop w:val="0"/>
      <w:marBottom w:val="0"/>
      <w:divBdr>
        <w:top w:val="none" w:sz="0" w:space="0" w:color="auto"/>
        <w:left w:val="none" w:sz="0" w:space="0" w:color="auto"/>
        <w:bottom w:val="none" w:sz="0" w:space="0" w:color="auto"/>
        <w:right w:val="none" w:sz="0" w:space="0" w:color="auto"/>
      </w:divBdr>
    </w:div>
    <w:div w:id="813066386">
      <w:bodyDiv w:val="1"/>
      <w:marLeft w:val="0"/>
      <w:marRight w:val="0"/>
      <w:marTop w:val="0"/>
      <w:marBottom w:val="0"/>
      <w:divBdr>
        <w:top w:val="none" w:sz="0" w:space="0" w:color="auto"/>
        <w:left w:val="none" w:sz="0" w:space="0" w:color="auto"/>
        <w:bottom w:val="none" w:sz="0" w:space="0" w:color="auto"/>
        <w:right w:val="none" w:sz="0" w:space="0" w:color="auto"/>
      </w:divBdr>
    </w:div>
    <w:div w:id="839662842">
      <w:bodyDiv w:val="1"/>
      <w:marLeft w:val="0"/>
      <w:marRight w:val="0"/>
      <w:marTop w:val="0"/>
      <w:marBottom w:val="0"/>
      <w:divBdr>
        <w:top w:val="none" w:sz="0" w:space="0" w:color="auto"/>
        <w:left w:val="none" w:sz="0" w:space="0" w:color="auto"/>
        <w:bottom w:val="none" w:sz="0" w:space="0" w:color="auto"/>
        <w:right w:val="none" w:sz="0" w:space="0" w:color="auto"/>
      </w:divBdr>
    </w:div>
    <w:div w:id="988750261">
      <w:bodyDiv w:val="1"/>
      <w:marLeft w:val="0"/>
      <w:marRight w:val="0"/>
      <w:marTop w:val="0"/>
      <w:marBottom w:val="0"/>
      <w:divBdr>
        <w:top w:val="none" w:sz="0" w:space="0" w:color="auto"/>
        <w:left w:val="none" w:sz="0" w:space="0" w:color="auto"/>
        <w:bottom w:val="none" w:sz="0" w:space="0" w:color="auto"/>
        <w:right w:val="none" w:sz="0" w:space="0" w:color="auto"/>
      </w:divBdr>
    </w:div>
    <w:div w:id="1033847564">
      <w:bodyDiv w:val="1"/>
      <w:marLeft w:val="0"/>
      <w:marRight w:val="0"/>
      <w:marTop w:val="0"/>
      <w:marBottom w:val="0"/>
      <w:divBdr>
        <w:top w:val="none" w:sz="0" w:space="0" w:color="auto"/>
        <w:left w:val="none" w:sz="0" w:space="0" w:color="auto"/>
        <w:bottom w:val="none" w:sz="0" w:space="0" w:color="auto"/>
        <w:right w:val="none" w:sz="0" w:space="0" w:color="auto"/>
      </w:divBdr>
    </w:div>
    <w:div w:id="1150367693">
      <w:bodyDiv w:val="1"/>
      <w:marLeft w:val="0"/>
      <w:marRight w:val="0"/>
      <w:marTop w:val="0"/>
      <w:marBottom w:val="0"/>
      <w:divBdr>
        <w:top w:val="none" w:sz="0" w:space="0" w:color="auto"/>
        <w:left w:val="none" w:sz="0" w:space="0" w:color="auto"/>
        <w:bottom w:val="none" w:sz="0" w:space="0" w:color="auto"/>
        <w:right w:val="none" w:sz="0" w:space="0" w:color="auto"/>
      </w:divBdr>
    </w:div>
    <w:div w:id="1201160936">
      <w:bodyDiv w:val="1"/>
      <w:marLeft w:val="0"/>
      <w:marRight w:val="0"/>
      <w:marTop w:val="0"/>
      <w:marBottom w:val="0"/>
      <w:divBdr>
        <w:top w:val="none" w:sz="0" w:space="0" w:color="auto"/>
        <w:left w:val="none" w:sz="0" w:space="0" w:color="auto"/>
        <w:bottom w:val="none" w:sz="0" w:space="0" w:color="auto"/>
        <w:right w:val="none" w:sz="0" w:space="0" w:color="auto"/>
      </w:divBdr>
    </w:div>
    <w:div w:id="1436515268">
      <w:bodyDiv w:val="1"/>
      <w:marLeft w:val="0"/>
      <w:marRight w:val="0"/>
      <w:marTop w:val="0"/>
      <w:marBottom w:val="0"/>
      <w:divBdr>
        <w:top w:val="none" w:sz="0" w:space="0" w:color="auto"/>
        <w:left w:val="none" w:sz="0" w:space="0" w:color="auto"/>
        <w:bottom w:val="none" w:sz="0" w:space="0" w:color="auto"/>
        <w:right w:val="none" w:sz="0" w:space="0" w:color="auto"/>
      </w:divBdr>
      <w:divsChild>
        <w:div w:id="464741312">
          <w:marLeft w:val="0"/>
          <w:marRight w:val="0"/>
          <w:marTop w:val="0"/>
          <w:marBottom w:val="0"/>
          <w:divBdr>
            <w:top w:val="none" w:sz="0" w:space="0" w:color="auto"/>
            <w:left w:val="none" w:sz="0" w:space="0" w:color="auto"/>
            <w:bottom w:val="none" w:sz="0" w:space="0" w:color="auto"/>
            <w:right w:val="none" w:sz="0" w:space="0" w:color="auto"/>
          </w:divBdr>
        </w:div>
        <w:div w:id="1372614207">
          <w:marLeft w:val="0"/>
          <w:marRight w:val="0"/>
          <w:marTop w:val="0"/>
          <w:marBottom w:val="0"/>
          <w:divBdr>
            <w:top w:val="none" w:sz="0" w:space="0" w:color="auto"/>
            <w:left w:val="none" w:sz="0" w:space="0" w:color="auto"/>
            <w:bottom w:val="none" w:sz="0" w:space="0" w:color="auto"/>
            <w:right w:val="none" w:sz="0" w:space="0" w:color="auto"/>
          </w:divBdr>
        </w:div>
        <w:div w:id="386950248">
          <w:marLeft w:val="0"/>
          <w:marRight w:val="0"/>
          <w:marTop w:val="0"/>
          <w:marBottom w:val="0"/>
          <w:divBdr>
            <w:top w:val="none" w:sz="0" w:space="0" w:color="auto"/>
            <w:left w:val="none" w:sz="0" w:space="0" w:color="auto"/>
            <w:bottom w:val="none" w:sz="0" w:space="0" w:color="auto"/>
            <w:right w:val="none" w:sz="0" w:space="0" w:color="auto"/>
          </w:divBdr>
        </w:div>
        <w:div w:id="351881181">
          <w:marLeft w:val="0"/>
          <w:marRight w:val="0"/>
          <w:marTop w:val="0"/>
          <w:marBottom w:val="0"/>
          <w:divBdr>
            <w:top w:val="none" w:sz="0" w:space="0" w:color="auto"/>
            <w:left w:val="none" w:sz="0" w:space="0" w:color="auto"/>
            <w:bottom w:val="none" w:sz="0" w:space="0" w:color="auto"/>
            <w:right w:val="none" w:sz="0" w:space="0" w:color="auto"/>
          </w:divBdr>
        </w:div>
        <w:div w:id="2110391785">
          <w:marLeft w:val="0"/>
          <w:marRight w:val="0"/>
          <w:marTop w:val="0"/>
          <w:marBottom w:val="0"/>
          <w:divBdr>
            <w:top w:val="none" w:sz="0" w:space="0" w:color="auto"/>
            <w:left w:val="none" w:sz="0" w:space="0" w:color="auto"/>
            <w:bottom w:val="none" w:sz="0" w:space="0" w:color="auto"/>
            <w:right w:val="none" w:sz="0" w:space="0" w:color="auto"/>
          </w:divBdr>
        </w:div>
        <w:div w:id="1155334826">
          <w:marLeft w:val="0"/>
          <w:marRight w:val="0"/>
          <w:marTop w:val="0"/>
          <w:marBottom w:val="0"/>
          <w:divBdr>
            <w:top w:val="none" w:sz="0" w:space="0" w:color="auto"/>
            <w:left w:val="none" w:sz="0" w:space="0" w:color="auto"/>
            <w:bottom w:val="none" w:sz="0" w:space="0" w:color="auto"/>
            <w:right w:val="none" w:sz="0" w:space="0" w:color="auto"/>
          </w:divBdr>
        </w:div>
        <w:div w:id="885798531">
          <w:marLeft w:val="0"/>
          <w:marRight w:val="0"/>
          <w:marTop w:val="0"/>
          <w:marBottom w:val="0"/>
          <w:divBdr>
            <w:top w:val="none" w:sz="0" w:space="0" w:color="auto"/>
            <w:left w:val="none" w:sz="0" w:space="0" w:color="auto"/>
            <w:bottom w:val="none" w:sz="0" w:space="0" w:color="auto"/>
            <w:right w:val="none" w:sz="0" w:space="0" w:color="auto"/>
          </w:divBdr>
        </w:div>
        <w:div w:id="1253707649">
          <w:marLeft w:val="0"/>
          <w:marRight w:val="0"/>
          <w:marTop w:val="0"/>
          <w:marBottom w:val="0"/>
          <w:divBdr>
            <w:top w:val="none" w:sz="0" w:space="0" w:color="auto"/>
            <w:left w:val="none" w:sz="0" w:space="0" w:color="auto"/>
            <w:bottom w:val="none" w:sz="0" w:space="0" w:color="auto"/>
            <w:right w:val="none" w:sz="0" w:space="0" w:color="auto"/>
          </w:divBdr>
        </w:div>
      </w:divsChild>
    </w:div>
    <w:div w:id="1470980485">
      <w:bodyDiv w:val="1"/>
      <w:marLeft w:val="0"/>
      <w:marRight w:val="0"/>
      <w:marTop w:val="0"/>
      <w:marBottom w:val="0"/>
      <w:divBdr>
        <w:top w:val="none" w:sz="0" w:space="0" w:color="auto"/>
        <w:left w:val="none" w:sz="0" w:space="0" w:color="auto"/>
        <w:bottom w:val="none" w:sz="0" w:space="0" w:color="auto"/>
        <w:right w:val="none" w:sz="0" w:space="0" w:color="auto"/>
      </w:divBdr>
    </w:div>
    <w:div w:id="1527870856">
      <w:bodyDiv w:val="1"/>
      <w:marLeft w:val="0"/>
      <w:marRight w:val="0"/>
      <w:marTop w:val="0"/>
      <w:marBottom w:val="0"/>
      <w:divBdr>
        <w:top w:val="none" w:sz="0" w:space="0" w:color="auto"/>
        <w:left w:val="none" w:sz="0" w:space="0" w:color="auto"/>
        <w:bottom w:val="none" w:sz="0" w:space="0" w:color="auto"/>
        <w:right w:val="none" w:sz="0" w:space="0" w:color="auto"/>
      </w:divBdr>
    </w:div>
    <w:div w:id="1566454904">
      <w:bodyDiv w:val="1"/>
      <w:marLeft w:val="0"/>
      <w:marRight w:val="0"/>
      <w:marTop w:val="0"/>
      <w:marBottom w:val="0"/>
      <w:divBdr>
        <w:top w:val="none" w:sz="0" w:space="0" w:color="auto"/>
        <w:left w:val="none" w:sz="0" w:space="0" w:color="auto"/>
        <w:bottom w:val="none" w:sz="0" w:space="0" w:color="auto"/>
        <w:right w:val="none" w:sz="0" w:space="0" w:color="auto"/>
      </w:divBdr>
    </w:div>
    <w:div w:id="1610626629">
      <w:bodyDiv w:val="1"/>
      <w:marLeft w:val="0"/>
      <w:marRight w:val="0"/>
      <w:marTop w:val="0"/>
      <w:marBottom w:val="0"/>
      <w:divBdr>
        <w:top w:val="none" w:sz="0" w:space="0" w:color="auto"/>
        <w:left w:val="none" w:sz="0" w:space="0" w:color="auto"/>
        <w:bottom w:val="none" w:sz="0" w:space="0" w:color="auto"/>
        <w:right w:val="none" w:sz="0" w:space="0" w:color="auto"/>
      </w:divBdr>
    </w:div>
    <w:div w:id="2060781724">
      <w:bodyDiv w:val="1"/>
      <w:marLeft w:val="0"/>
      <w:marRight w:val="0"/>
      <w:marTop w:val="0"/>
      <w:marBottom w:val="0"/>
      <w:divBdr>
        <w:top w:val="none" w:sz="0" w:space="0" w:color="auto"/>
        <w:left w:val="none" w:sz="0" w:space="0" w:color="auto"/>
        <w:bottom w:val="none" w:sz="0" w:space="0" w:color="auto"/>
        <w:right w:val="none" w:sz="0" w:space="0" w:color="auto"/>
      </w:divBdr>
    </w:div>
    <w:div w:id="20748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DeL00</b:Tag>
    <b:SourceType>JournalArticle</b:SourceType>
    <b:Guid>{997E9277-948B-4B1C-90A1-987EBF272E1E}</b:Guid>
    <b:Author>
      <b:Author>
        <b:NameList xmlns:msxsl="urn:schemas-microsoft-com:xslt" xmlns:b="http://schemas.openxmlformats.org/officeDocument/2006/bibliography">
          <b:Person>
            <b:Last>DeLong</b:Last>
            <b:First>J.</b:First>
            <b:Middle>Bradford</b:Middle>
          </b:Person>
        </b:NameList>
      </b:Author>
    </b:Author>
    <b:Title>The Shape of Twentieth Century Economic History</b:Title>
    <b:JournalName>National Bureau of Economic Research</b:JournalName>
    <b:City/>
    <b:Year>2000</b:Year>
    <b:Month/>
    <b:Day/>
    <b:Pages/>
    <b:Publisher/>
    <b:Volume/>
    <b:Issue/>
    <b:ShortTitle/>
    <b:StandardNumber/>
    <b:Comments/>
    <b:Medium/>
    <b:YearAccessed>2020</b:YearAccessed>
    <b:MonthAccessed>5</b:MonthAccessed>
    <b:DayAccessed>21</b:DayAccessed>
    <b:URL>https://nber.org/papers/w7569</b:URL>
    <b:DOI/>
    <b:RefOrder>1</b:RefOrder>
  </b:Source>
</b:Sources>
</file>

<file path=customXml/itemProps1.xml><?xml version="1.0" encoding="utf-8"?>
<ds:datastoreItem xmlns:ds="http://schemas.openxmlformats.org/officeDocument/2006/customXml" ds:itemID="{12C6AE9D-64B6-4DA9-99A6-0762741E23E5}">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12702</Words>
  <Characters>73678</Characters>
  <Application>Microsoft Office Word</Application>
  <DocSecurity>0</DocSecurity>
  <Lines>3877</Lines>
  <Paragraphs>2106</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Palacký University in Olomouc</vt:lpstr>
      <vt:lpstr>Palacký University in Olomouc</vt:lpstr>
      <vt:lpstr>Palacký University in Olomouc</vt:lpstr>
    </vt:vector>
  </TitlesOfParts>
  <Company/>
  <LinksUpToDate>false</LinksUpToDate>
  <CharactersWithSpaces>84274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Palacký University in Olomouc</dc:title>
  <dc:subject>Faculty of Law</dc:subject>
  <dc:creator>Dias A. Gunasekara, Ovida</dc:creator>
  <cp:keywords/>
  <dc:description/>
  <cp:lastModifiedBy>Kuncova Radana</cp:lastModifiedBy>
  <cp:revision>2</cp:revision>
  <dcterms:created xsi:type="dcterms:W3CDTF">2022-09-05T05:50:00Z</dcterms:created>
  <dcterms:modified xsi:type="dcterms:W3CDTF">2022-09-05T05:50:00Z</dcterms:modified>
</cp:coreProperties>
</file>