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64E" w:rsidRDefault="0042464E">
      <w:pPr>
        <w:spacing w:after="0"/>
        <w:jc w:val="left"/>
        <w:rPr>
          <w:rFonts w:ascii="Verdana" w:hAnsi="Verdana" w:cs="Verdana"/>
          <w:b/>
          <w:bCs/>
          <w:color w:val="000000"/>
          <w:sz w:val="32"/>
          <w:szCs w:val="32"/>
        </w:rPr>
      </w:pPr>
      <w:r>
        <w:rPr>
          <w:rFonts w:ascii="Verdana" w:hAnsi="Verdana" w:cs="Verdana"/>
          <w:b/>
          <w:bCs/>
          <w:color w:val="000000"/>
          <w:sz w:val="32"/>
          <w:szCs w:val="32"/>
        </w:rPr>
        <w:t>VYSOKÁ ŠKOLA EKONOMIE A MANAGEMENTU</w:t>
      </w: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b/>
          <w:bCs/>
          <w:sz w:val="32"/>
          <w:szCs w:val="32"/>
        </w:rPr>
      </w:pPr>
    </w:p>
    <w:p w:rsidR="0042464E" w:rsidRDefault="0042464E">
      <w:pPr>
        <w:spacing w:after="0"/>
        <w:jc w:val="center"/>
        <w:rPr>
          <w:rFonts w:ascii="Verdana" w:hAnsi="Verdana" w:cs="Verdana"/>
          <w:b/>
          <w:bCs/>
          <w:sz w:val="56"/>
          <w:szCs w:val="56"/>
        </w:rPr>
      </w:pPr>
      <w:r>
        <w:rPr>
          <w:rFonts w:ascii="Verdana" w:hAnsi="Verdana" w:cs="Verdana"/>
          <w:b/>
          <w:bCs/>
          <w:sz w:val="56"/>
          <w:szCs w:val="56"/>
        </w:rPr>
        <w:t>DIPLOMOVÁ PRÁCE</w:t>
      </w:r>
    </w:p>
    <w:p w:rsidR="0042464E" w:rsidRDefault="0042464E">
      <w:pPr>
        <w:rPr>
          <w:sz w:val="32"/>
          <w:szCs w:val="32"/>
        </w:rPr>
      </w:pPr>
    </w:p>
    <w:p w:rsidR="0042464E" w:rsidRDefault="0042464E">
      <w:pPr>
        <w:rPr>
          <w:sz w:val="32"/>
          <w:szCs w:val="32"/>
        </w:rPr>
      </w:pPr>
    </w:p>
    <w:p w:rsidR="0042464E" w:rsidRDefault="0042464E">
      <w:pPr>
        <w:rPr>
          <w:sz w:val="32"/>
          <w:szCs w:val="32"/>
        </w:rPr>
      </w:pPr>
    </w:p>
    <w:p w:rsidR="0042464E" w:rsidRDefault="0042464E">
      <w:pPr>
        <w:rPr>
          <w:sz w:val="32"/>
          <w:szCs w:val="32"/>
        </w:rPr>
      </w:pPr>
    </w:p>
    <w:p w:rsidR="0042464E" w:rsidRDefault="0042464E">
      <w:pPr>
        <w:tabs>
          <w:tab w:val="left" w:pos="3600"/>
        </w:tabs>
        <w:rPr>
          <w:sz w:val="32"/>
          <w:szCs w:val="32"/>
        </w:rPr>
      </w:pPr>
      <w:r>
        <w:rPr>
          <w:sz w:val="32"/>
          <w:szCs w:val="32"/>
        </w:rPr>
        <w:tab/>
      </w:r>
    </w:p>
    <w:p w:rsidR="0042464E" w:rsidRDefault="0042464E">
      <w:pPr>
        <w:tabs>
          <w:tab w:val="left" w:pos="3600"/>
        </w:tabs>
        <w:rPr>
          <w:sz w:val="32"/>
          <w:szCs w:val="32"/>
        </w:rPr>
      </w:pPr>
    </w:p>
    <w:p w:rsidR="0042464E" w:rsidRDefault="003E4C2B">
      <w:pPr>
        <w:tabs>
          <w:tab w:val="left" w:pos="3600"/>
        </w:tabs>
        <w:rPr>
          <w:rFonts w:ascii="Verdana" w:hAnsi="Verdana" w:cs="Verdana"/>
          <w:b/>
          <w:bCs/>
          <w:sz w:val="32"/>
          <w:szCs w:val="32"/>
        </w:rPr>
      </w:pPr>
      <w:r w:rsidRPr="003E4C2B">
        <w:rPr>
          <w:noProof/>
          <w:lang w:eastAsia="sk-SK"/>
        </w:rPr>
        <w:pict>
          <v:shapetype id="_x0000_t202" coordsize="21600,21600" o:spt="202" path="m,l,21600r21600,l21600,xe">
            <v:stroke joinstyle="miter"/>
            <v:path gradientshapeok="t" o:connecttype="rect"/>
          </v:shapetype>
          <v:shape id="_x0000_s1026" type="#_x0000_t202" style="position:absolute;left:0;text-align:left;margin-left:112.35pt;margin-top:32.35pt;width:312.75pt;height:30.75pt;z-index:251655680" strokecolor="white">
            <v:textbox>
              <w:txbxContent>
                <w:p w:rsidR="00B32A81" w:rsidRDefault="00B32A81">
                  <w:pPr>
                    <w:jc w:val="right"/>
                  </w:pPr>
                  <w:r>
                    <w:rPr>
                      <w:rFonts w:ascii="Verdana" w:hAnsi="Verdana" w:cs="Verdana"/>
                      <w:b/>
                      <w:bCs/>
                      <w:caps/>
                      <w:sz w:val="32"/>
                      <w:szCs w:val="32"/>
                    </w:rPr>
                    <w:t>Ing. Martina bérešová  autora</w:t>
                  </w:r>
                </w:p>
              </w:txbxContent>
            </v:textbox>
          </v:shape>
        </w:pict>
      </w:r>
    </w:p>
    <w:p w:rsidR="0042464E" w:rsidRDefault="0042464E">
      <w:pPr>
        <w:tabs>
          <w:tab w:val="left" w:pos="3600"/>
        </w:tabs>
        <w:rPr>
          <w:b/>
          <w:bCs/>
          <w:sz w:val="32"/>
          <w:szCs w:val="32"/>
        </w:rPr>
        <w:sectPr w:rsidR="0042464E">
          <w:footerReference w:type="default" r:id="rId8"/>
          <w:pgSz w:w="11906" w:h="16838" w:code="9"/>
          <w:pgMar w:top="1418" w:right="1134" w:bottom="1418" w:left="2268" w:header="709" w:footer="709" w:gutter="0"/>
          <w:cols w:space="708"/>
          <w:docGrid w:linePitch="326"/>
        </w:sectPr>
      </w:pPr>
      <w:r>
        <w:rPr>
          <w:rFonts w:ascii="Verdana" w:hAnsi="Verdana" w:cs="Verdana"/>
          <w:b/>
          <w:bCs/>
          <w:sz w:val="32"/>
          <w:szCs w:val="32"/>
        </w:rPr>
        <w:t>2012</w:t>
      </w:r>
    </w:p>
    <w:p w:rsidR="0042464E" w:rsidRDefault="0042464E">
      <w:pPr>
        <w:pStyle w:val="Nzev"/>
        <w:rPr>
          <w:rFonts w:ascii="Verdana" w:hAnsi="Verdana" w:cs="Verdana"/>
          <w:b w:val="0"/>
          <w:bCs w:val="0"/>
          <w:sz w:val="28"/>
          <w:szCs w:val="28"/>
        </w:rPr>
      </w:pPr>
    </w:p>
    <w:p w:rsidR="0042464E" w:rsidRDefault="0042464E">
      <w:pPr>
        <w:pStyle w:val="Nzev"/>
        <w:rPr>
          <w:rFonts w:ascii="Verdana" w:hAnsi="Verdana" w:cs="Verdana"/>
          <w:sz w:val="56"/>
          <w:szCs w:val="56"/>
        </w:rPr>
      </w:pPr>
    </w:p>
    <w:p w:rsidR="0042464E" w:rsidRDefault="0042464E">
      <w:pPr>
        <w:pStyle w:val="Nzev"/>
        <w:rPr>
          <w:rFonts w:ascii="Verdana" w:hAnsi="Verdana" w:cs="Verdana"/>
          <w:sz w:val="56"/>
          <w:szCs w:val="56"/>
        </w:rPr>
      </w:pPr>
    </w:p>
    <w:p w:rsidR="0042464E" w:rsidRDefault="0042464E">
      <w:pPr>
        <w:pStyle w:val="Nzev"/>
        <w:rPr>
          <w:rFonts w:ascii="Verdana" w:hAnsi="Verdana" w:cs="Verdana"/>
          <w:sz w:val="56"/>
          <w:szCs w:val="56"/>
        </w:rPr>
      </w:pPr>
    </w:p>
    <w:p w:rsidR="0042464E" w:rsidRDefault="0042464E">
      <w:pPr>
        <w:pStyle w:val="Nzev"/>
        <w:rPr>
          <w:rFonts w:ascii="Verdana" w:hAnsi="Verdana" w:cs="Verdana"/>
          <w:sz w:val="56"/>
          <w:szCs w:val="56"/>
        </w:rPr>
      </w:pPr>
    </w:p>
    <w:p w:rsidR="0042464E" w:rsidRDefault="0042464E">
      <w:pPr>
        <w:spacing w:after="0"/>
        <w:jc w:val="center"/>
        <w:rPr>
          <w:rFonts w:ascii="Verdana" w:hAnsi="Verdana" w:cs="Verdana"/>
          <w:b/>
          <w:bCs/>
          <w:caps/>
          <w:sz w:val="56"/>
          <w:szCs w:val="56"/>
        </w:rPr>
      </w:pPr>
      <w:r>
        <w:rPr>
          <w:rFonts w:ascii="Verdana" w:hAnsi="Verdana" w:cs="Verdana"/>
          <w:b/>
          <w:bCs/>
          <w:caps/>
          <w:sz w:val="56"/>
          <w:szCs w:val="56"/>
        </w:rPr>
        <w:t>DIPLOMOVÁ práce</w:t>
      </w:r>
    </w:p>
    <w:p w:rsidR="0042464E" w:rsidRDefault="0042464E">
      <w:pPr>
        <w:pStyle w:val="Nzev"/>
        <w:rPr>
          <w:rFonts w:ascii="Verdana" w:hAnsi="Verdana" w:cs="Verdana"/>
          <w:sz w:val="28"/>
          <w:szCs w:val="28"/>
        </w:rPr>
      </w:pPr>
    </w:p>
    <w:p w:rsidR="0042464E" w:rsidRDefault="0042464E">
      <w:pPr>
        <w:pStyle w:val="Nzev"/>
        <w:rPr>
          <w:rFonts w:ascii="Verdana" w:hAnsi="Verdana" w:cs="Verdana"/>
          <w:sz w:val="28"/>
          <w:szCs w:val="28"/>
        </w:rPr>
      </w:pPr>
    </w:p>
    <w:p w:rsidR="0042464E" w:rsidRDefault="0042464E">
      <w:pPr>
        <w:pStyle w:val="Nzev"/>
        <w:rPr>
          <w:rFonts w:ascii="Verdana" w:hAnsi="Verdana" w:cs="Verdana"/>
          <w:sz w:val="28"/>
          <w:szCs w:val="28"/>
        </w:rPr>
      </w:pPr>
    </w:p>
    <w:p w:rsidR="0042464E" w:rsidRDefault="0042464E">
      <w:pPr>
        <w:pStyle w:val="Nzev"/>
        <w:rPr>
          <w:rFonts w:ascii="Verdana" w:hAnsi="Verdana" w:cs="Verdana"/>
          <w:sz w:val="28"/>
          <w:szCs w:val="28"/>
        </w:rPr>
      </w:pPr>
    </w:p>
    <w:p w:rsidR="0042464E" w:rsidRDefault="0042464E">
      <w:pPr>
        <w:pStyle w:val="Nzev"/>
        <w:rPr>
          <w:rFonts w:ascii="Verdana" w:hAnsi="Verdana" w:cs="Verdana"/>
          <w:sz w:val="28"/>
          <w:szCs w:val="28"/>
        </w:rPr>
      </w:pPr>
    </w:p>
    <w:p w:rsidR="0042464E" w:rsidRDefault="0042464E">
      <w:pPr>
        <w:pStyle w:val="Nzev"/>
        <w:rPr>
          <w:rFonts w:ascii="Verdana" w:hAnsi="Verdana" w:cs="Verdana"/>
          <w:sz w:val="28"/>
          <w:szCs w:val="28"/>
        </w:rPr>
      </w:pPr>
    </w:p>
    <w:p w:rsidR="0042464E" w:rsidRDefault="0042464E">
      <w:pPr>
        <w:pStyle w:val="Nzev"/>
        <w:rPr>
          <w:rFonts w:ascii="Verdana" w:hAnsi="Verdana" w:cs="Verdana"/>
          <w:sz w:val="28"/>
          <w:szCs w:val="28"/>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p>
    <w:p w:rsidR="0042464E" w:rsidRDefault="0042464E">
      <w:pPr>
        <w:pStyle w:val="Nzev"/>
        <w:rPr>
          <w:rFonts w:ascii="Verdana" w:hAnsi="Verdana" w:cs="Verdana"/>
          <w:sz w:val="36"/>
          <w:szCs w:val="36"/>
        </w:rPr>
      </w:pPr>
      <w:r>
        <w:rPr>
          <w:rFonts w:ascii="Verdana" w:hAnsi="Verdana" w:cs="Verdana"/>
          <w:sz w:val="36"/>
          <w:szCs w:val="36"/>
        </w:rPr>
        <w:t>MASTER OF BUSINESS ADMINISTRATION</w:t>
      </w:r>
    </w:p>
    <w:p w:rsidR="0042464E" w:rsidRDefault="0042464E">
      <w:pPr>
        <w:pStyle w:val="Nzev"/>
        <w:rPr>
          <w:rFonts w:ascii="Verdana" w:hAnsi="Verdana" w:cs="Verdana"/>
          <w:b w:val="0"/>
          <w:bCs w:val="0"/>
          <w:sz w:val="28"/>
          <w:szCs w:val="28"/>
        </w:rPr>
      </w:pPr>
    </w:p>
    <w:p w:rsidR="0042464E" w:rsidRDefault="0042464E">
      <w:pPr>
        <w:pStyle w:val="Nzev"/>
        <w:rPr>
          <w:rFonts w:ascii="Verdana" w:hAnsi="Verdana" w:cs="Verdana"/>
          <w:b w:val="0"/>
          <w:bCs w:val="0"/>
          <w:sz w:val="28"/>
          <w:szCs w:val="28"/>
        </w:rPr>
      </w:pPr>
    </w:p>
    <w:p w:rsidR="0042464E" w:rsidRDefault="0042464E">
      <w:pPr>
        <w:pStyle w:val="Nzev"/>
        <w:rPr>
          <w:rFonts w:ascii="Verdana" w:hAnsi="Verdana" w:cs="Verdana"/>
          <w:b w:val="0"/>
          <w:bCs w:val="0"/>
          <w:sz w:val="28"/>
          <w:szCs w:val="28"/>
        </w:rPr>
      </w:pPr>
    </w:p>
    <w:p w:rsidR="0042464E" w:rsidRDefault="0042464E">
      <w:pPr>
        <w:pStyle w:val="Nzev"/>
        <w:rPr>
          <w:rFonts w:ascii="Verdana" w:hAnsi="Verdana" w:cs="Verdana"/>
          <w:b w:val="0"/>
          <w:bCs w:val="0"/>
          <w:sz w:val="28"/>
          <w:szCs w:val="28"/>
        </w:rPr>
      </w:pPr>
    </w:p>
    <w:p w:rsidR="0042464E" w:rsidRDefault="0042464E">
      <w:pPr>
        <w:pStyle w:val="Nzev"/>
        <w:rPr>
          <w:rFonts w:ascii="Verdana" w:hAnsi="Verdana" w:cs="Verdana"/>
          <w:b w:val="0"/>
          <w:bCs w:val="0"/>
          <w:sz w:val="28"/>
          <w:szCs w:val="28"/>
        </w:rPr>
      </w:pPr>
    </w:p>
    <w:p w:rsidR="0042464E" w:rsidRDefault="0042464E">
      <w:pPr>
        <w:pStyle w:val="Nzev"/>
        <w:rPr>
          <w:rFonts w:ascii="Verdana" w:hAnsi="Verdana" w:cs="Verdana"/>
          <w:b w:val="0"/>
          <w:bCs w:val="0"/>
          <w:sz w:val="28"/>
          <w:szCs w:val="2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42464E" w:rsidRPr="0023218F">
        <w:tc>
          <w:tcPr>
            <w:tcW w:w="9212" w:type="dxa"/>
            <w:shd w:val="clear" w:color="auto" w:fill="F3F3F3"/>
          </w:tcPr>
          <w:p w:rsidR="0042464E" w:rsidRPr="0023218F" w:rsidRDefault="0042464E">
            <w:pPr>
              <w:pStyle w:val="Formul"/>
              <w:rPr>
                <w:rFonts w:ascii="Times New Roman" w:eastAsiaTheme="minorEastAsia" w:hAnsi="Times New Roman" w:cs="Times New Roman"/>
              </w:rPr>
            </w:pPr>
            <w:r w:rsidRPr="0023218F">
              <w:rPr>
                <w:rFonts w:ascii="Times New Roman" w:eastAsiaTheme="minorEastAsia" w:hAnsi="Times New Roman" w:cs="Times New Roman"/>
              </w:rPr>
              <w:lastRenderedPageBreak/>
              <w:t>Název DIPLOMOVÉ práce</w:t>
            </w:r>
          </w:p>
        </w:tc>
      </w:tr>
      <w:tr w:rsidR="0042464E" w:rsidRPr="0023218F">
        <w:tc>
          <w:tcPr>
            <w:tcW w:w="9212" w:type="dxa"/>
          </w:tcPr>
          <w:p w:rsidR="0042464E" w:rsidRPr="0023218F" w:rsidRDefault="0042464E">
            <w:pPr>
              <w:spacing w:after="0" w:line="240" w:lineRule="auto"/>
              <w:jc w:val="left"/>
              <w:rPr>
                <w:rFonts w:ascii="Verdana" w:eastAsiaTheme="minorEastAsia" w:hAnsi="Verdana" w:cs="Verdana"/>
              </w:rPr>
            </w:pPr>
          </w:p>
          <w:p w:rsidR="0042464E" w:rsidRPr="0023218F" w:rsidRDefault="0042464E">
            <w:pPr>
              <w:spacing w:after="0" w:line="240" w:lineRule="auto"/>
              <w:jc w:val="left"/>
              <w:rPr>
                <w:rFonts w:ascii="Verdana" w:eastAsiaTheme="minorEastAsia" w:hAnsi="Verdana" w:cs="Verdana"/>
              </w:rPr>
            </w:pPr>
            <w:r w:rsidRPr="0023218F">
              <w:rPr>
                <w:rStyle w:val="Zstupntext"/>
                <w:rFonts w:eastAsiaTheme="minorEastAsia"/>
              </w:rPr>
              <w:t>Praktické využitie nástrojov k zníženiu platobných rizík.</w:t>
            </w:r>
          </w:p>
          <w:p w:rsidR="0042464E" w:rsidRPr="0023218F" w:rsidRDefault="0042464E">
            <w:pPr>
              <w:spacing w:after="0" w:line="240" w:lineRule="auto"/>
              <w:jc w:val="left"/>
              <w:rPr>
                <w:rFonts w:ascii="Verdana" w:eastAsiaTheme="minorEastAsia" w:hAnsi="Verdana" w:cs="Verdana"/>
              </w:rPr>
            </w:pPr>
          </w:p>
        </w:tc>
      </w:tr>
    </w:tbl>
    <w:p w:rsidR="0042464E" w:rsidRDefault="0042464E">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42464E" w:rsidRPr="0023218F">
        <w:tc>
          <w:tcPr>
            <w:tcW w:w="9212" w:type="dxa"/>
            <w:shd w:val="clear" w:color="auto" w:fill="F3F3F3"/>
          </w:tcPr>
          <w:p w:rsidR="0042464E" w:rsidRPr="0023218F" w:rsidRDefault="0042464E">
            <w:pPr>
              <w:pStyle w:val="Formul"/>
              <w:rPr>
                <w:rFonts w:ascii="Times New Roman" w:eastAsiaTheme="minorEastAsia" w:hAnsi="Times New Roman" w:cs="Times New Roman"/>
              </w:rPr>
            </w:pPr>
            <w:r w:rsidRPr="0023218F">
              <w:rPr>
                <w:rFonts w:ascii="Times New Roman" w:eastAsiaTheme="minorEastAsia" w:hAnsi="Times New Roman" w:cs="Times New Roman"/>
              </w:rPr>
              <w:t>TERMÍN UKONČENÍ STUDIA A OBHAJOBA (MĚSÍC/ROK)</w:t>
            </w:r>
          </w:p>
        </w:tc>
      </w:tr>
      <w:tr w:rsidR="0042464E" w:rsidRPr="0023218F">
        <w:tc>
          <w:tcPr>
            <w:tcW w:w="9212" w:type="dxa"/>
          </w:tcPr>
          <w:p w:rsidR="0042464E" w:rsidRPr="00A86B2F" w:rsidRDefault="0042464E">
            <w:pPr>
              <w:spacing w:after="0" w:line="240" w:lineRule="auto"/>
              <w:jc w:val="left"/>
              <w:rPr>
                <w:rFonts w:ascii="Verdana" w:eastAsiaTheme="minorEastAsia" w:hAnsi="Verdana" w:cs="Verdana"/>
              </w:rPr>
            </w:pPr>
          </w:p>
          <w:p w:rsidR="0042464E" w:rsidRPr="0023218F" w:rsidRDefault="0042464E">
            <w:pPr>
              <w:spacing w:after="0" w:line="240" w:lineRule="auto"/>
              <w:jc w:val="left"/>
              <w:rPr>
                <w:rFonts w:ascii="Verdana" w:eastAsiaTheme="minorEastAsia" w:hAnsi="Verdana" w:cs="Verdana"/>
              </w:rPr>
            </w:pPr>
            <w:r w:rsidRPr="00A86B2F">
              <w:rPr>
                <w:rStyle w:val="Zstupntext"/>
                <w:rFonts w:eastAsiaTheme="minorEastAsia"/>
              </w:rPr>
              <w:t>Jún</w:t>
            </w:r>
            <w:r w:rsidRPr="0023218F">
              <w:rPr>
                <w:rStyle w:val="Zstupntext"/>
                <w:rFonts w:eastAsiaTheme="minorEastAsia"/>
              </w:rPr>
              <w:t>/2012.</w:t>
            </w:r>
          </w:p>
          <w:p w:rsidR="0042464E" w:rsidRPr="0023218F" w:rsidRDefault="0042464E">
            <w:pPr>
              <w:spacing w:after="0" w:line="240" w:lineRule="auto"/>
              <w:jc w:val="left"/>
              <w:rPr>
                <w:rFonts w:ascii="Verdana" w:eastAsiaTheme="minorEastAsia" w:hAnsi="Verdana" w:cs="Verdana"/>
              </w:rPr>
            </w:pPr>
          </w:p>
        </w:tc>
      </w:tr>
    </w:tbl>
    <w:p w:rsidR="0042464E" w:rsidRDefault="0042464E">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42464E" w:rsidRPr="0023218F">
        <w:tc>
          <w:tcPr>
            <w:tcW w:w="9212" w:type="dxa"/>
            <w:shd w:val="clear" w:color="auto" w:fill="F3F3F3"/>
          </w:tcPr>
          <w:p w:rsidR="0042464E" w:rsidRPr="0023218F" w:rsidRDefault="0042464E">
            <w:pPr>
              <w:pStyle w:val="Formul"/>
              <w:rPr>
                <w:rFonts w:ascii="Times New Roman" w:eastAsiaTheme="minorEastAsia" w:hAnsi="Times New Roman" w:cs="Times New Roman"/>
              </w:rPr>
            </w:pPr>
            <w:r w:rsidRPr="0023218F">
              <w:rPr>
                <w:rFonts w:ascii="Times New Roman" w:eastAsiaTheme="minorEastAsia" w:hAnsi="Times New Roman" w:cs="Times New Roman"/>
              </w:rPr>
              <w:t>jméno a příjmení / studijní skupina</w:t>
            </w:r>
          </w:p>
        </w:tc>
      </w:tr>
      <w:tr w:rsidR="0042464E" w:rsidRPr="0023218F">
        <w:tc>
          <w:tcPr>
            <w:tcW w:w="9212" w:type="dxa"/>
          </w:tcPr>
          <w:p w:rsidR="0042464E" w:rsidRPr="0023218F" w:rsidRDefault="0042464E">
            <w:pPr>
              <w:spacing w:after="0" w:line="240" w:lineRule="auto"/>
              <w:jc w:val="left"/>
              <w:rPr>
                <w:rFonts w:ascii="Verdana" w:eastAsiaTheme="minorEastAsia" w:hAnsi="Verdana" w:cs="Verdana"/>
              </w:rPr>
            </w:pPr>
          </w:p>
          <w:p w:rsidR="0042464E" w:rsidRPr="0023218F" w:rsidRDefault="0042464E">
            <w:pPr>
              <w:spacing w:after="0" w:line="240" w:lineRule="auto"/>
              <w:jc w:val="left"/>
              <w:rPr>
                <w:rFonts w:ascii="Verdana" w:eastAsiaTheme="minorEastAsia" w:hAnsi="Verdana" w:cs="Verdana"/>
              </w:rPr>
            </w:pPr>
            <w:r w:rsidRPr="0023218F">
              <w:rPr>
                <w:rStyle w:val="Zstupntext"/>
                <w:rFonts w:eastAsiaTheme="minorEastAsia"/>
              </w:rPr>
              <w:t>Ing. Martina</w:t>
            </w:r>
            <w:r w:rsidRPr="00A86B2F">
              <w:rPr>
                <w:rStyle w:val="Zstupntext"/>
                <w:rFonts w:eastAsiaTheme="minorEastAsia"/>
              </w:rPr>
              <w:t xml:space="preserve"> Bérešová</w:t>
            </w:r>
            <w:r w:rsidRPr="0023218F">
              <w:rPr>
                <w:rStyle w:val="Zstupntext"/>
                <w:rFonts w:eastAsiaTheme="minorEastAsia"/>
              </w:rPr>
              <w:t>/MBA25.</w:t>
            </w:r>
          </w:p>
          <w:p w:rsidR="0042464E" w:rsidRPr="0023218F" w:rsidRDefault="0042464E">
            <w:pPr>
              <w:spacing w:after="0" w:line="240" w:lineRule="auto"/>
              <w:jc w:val="left"/>
              <w:rPr>
                <w:rFonts w:ascii="Verdana" w:eastAsiaTheme="minorEastAsia" w:hAnsi="Verdana" w:cs="Verdana"/>
              </w:rPr>
            </w:pPr>
            <w:r w:rsidRPr="0023218F">
              <w:rPr>
                <w:rFonts w:ascii="Verdana" w:eastAsiaTheme="minorEastAsia" w:hAnsi="Verdana" w:cs="Verdana"/>
              </w:rPr>
              <w:t xml:space="preserve"> </w:t>
            </w:r>
          </w:p>
        </w:tc>
      </w:tr>
    </w:tbl>
    <w:p w:rsidR="0042464E" w:rsidRDefault="0042464E">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42464E" w:rsidRPr="0023218F">
        <w:tc>
          <w:tcPr>
            <w:tcW w:w="9212" w:type="dxa"/>
            <w:shd w:val="clear" w:color="auto" w:fill="F3F3F3"/>
          </w:tcPr>
          <w:p w:rsidR="0042464E" w:rsidRPr="0023218F" w:rsidRDefault="0042464E">
            <w:pPr>
              <w:pStyle w:val="Formul"/>
              <w:rPr>
                <w:rFonts w:ascii="Times New Roman" w:eastAsiaTheme="minorEastAsia" w:hAnsi="Times New Roman" w:cs="Times New Roman"/>
              </w:rPr>
            </w:pPr>
            <w:r w:rsidRPr="0023218F">
              <w:rPr>
                <w:rFonts w:ascii="Times New Roman" w:eastAsiaTheme="minorEastAsia" w:hAnsi="Times New Roman" w:cs="Times New Roman"/>
              </w:rPr>
              <w:t>jméno vedoucího DIPLOMOVÉ PRÁCE</w:t>
            </w:r>
          </w:p>
        </w:tc>
      </w:tr>
      <w:tr w:rsidR="0042464E" w:rsidRPr="0023218F">
        <w:tc>
          <w:tcPr>
            <w:tcW w:w="9212" w:type="dxa"/>
          </w:tcPr>
          <w:p w:rsidR="0042464E" w:rsidRPr="0023218F" w:rsidRDefault="0042464E">
            <w:pPr>
              <w:spacing w:after="0" w:line="240" w:lineRule="auto"/>
              <w:jc w:val="left"/>
              <w:rPr>
                <w:rFonts w:ascii="Verdana" w:eastAsiaTheme="minorEastAsia" w:hAnsi="Verdana" w:cs="Verdana"/>
              </w:rPr>
            </w:pPr>
          </w:p>
          <w:p w:rsidR="0042464E" w:rsidRPr="0023218F" w:rsidRDefault="0042464E">
            <w:pPr>
              <w:spacing w:after="0" w:line="240" w:lineRule="auto"/>
              <w:jc w:val="left"/>
              <w:rPr>
                <w:rFonts w:ascii="Verdana" w:eastAsiaTheme="minorEastAsia" w:hAnsi="Verdana" w:cs="Verdana"/>
              </w:rPr>
            </w:pPr>
            <w:r w:rsidRPr="0023218F">
              <w:rPr>
                <w:rStyle w:val="Zstupntext"/>
                <w:rFonts w:eastAsiaTheme="minorEastAsia"/>
              </w:rPr>
              <w:t>Ing. František</w:t>
            </w:r>
            <w:r w:rsidRPr="00A86B2F">
              <w:rPr>
                <w:rStyle w:val="Zstupntext"/>
                <w:rFonts w:eastAsiaTheme="minorEastAsia"/>
              </w:rPr>
              <w:t xml:space="preserve"> Janatka</w:t>
            </w:r>
            <w:r w:rsidRPr="0023218F">
              <w:rPr>
                <w:rStyle w:val="Zstupntext"/>
                <w:rFonts w:eastAsiaTheme="minorEastAsia"/>
              </w:rPr>
              <w:t>, CSc.</w:t>
            </w:r>
          </w:p>
          <w:p w:rsidR="0042464E" w:rsidRPr="0023218F" w:rsidRDefault="0042464E">
            <w:pPr>
              <w:spacing w:after="0" w:line="240" w:lineRule="auto"/>
              <w:jc w:val="left"/>
              <w:rPr>
                <w:rFonts w:ascii="Verdana" w:eastAsiaTheme="minorEastAsia" w:hAnsi="Verdana" w:cs="Verdana"/>
              </w:rPr>
            </w:pPr>
            <w:r w:rsidRPr="0023218F">
              <w:rPr>
                <w:rFonts w:ascii="Verdana" w:eastAsiaTheme="minorEastAsia" w:hAnsi="Verdana" w:cs="Verdana"/>
              </w:rPr>
              <w:t xml:space="preserve"> </w:t>
            </w:r>
          </w:p>
        </w:tc>
      </w:tr>
    </w:tbl>
    <w:p w:rsidR="0042464E" w:rsidRDefault="0042464E">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42464E" w:rsidRPr="0023218F">
        <w:tc>
          <w:tcPr>
            <w:tcW w:w="9212" w:type="dxa"/>
            <w:shd w:val="clear" w:color="auto" w:fill="F3F3F3"/>
          </w:tcPr>
          <w:p w:rsidR="0042464E" w:rsidRPr="0023218F" w:rsidRDefault="0042464E">
            <w:pPr>
              <w:pStyle w:val="Formul"/>
              <w:rPr>
                <w:rFonts w:ascii="Times New Roman" w:eastAsiaTheme="minorEastAsia" w:hAnsi="Times New Roman" w:cs="Times New Roman"/>
              </w:rPr>
            </w:pPr>
            <w:r w:rsidRPr="0023218F">
              <w:rPr>
                <w:rFonts w:ascii="Times New Roman" w:eastAsiaTheme="minorEastAsia" w:hAnsi="Times New Roman" w:cs="Times New Roman"/>
              </w:rPr>
              <w:t>prohlášení studenta</w:t>
            </w:r>
          </w:p>
        </w:tc>
      </w:tr>
      <w:tr w:rsidR="0042464E" w:rsidRPr="0023218F">
        <w:tc>
          <w:tcPr>
            <w:tcW w:w="9212" w:type="dxa"/>
          </w:tcPr>
          <w:p w:rsidR="0042464E" w:rsidRPr="0023218F" w:rsidRDefault="0042464E">
            <w:pPr>
              <w:spacing w:after="0" w:line="240" w:lineRule="auto"/>
              <w:jc w:val="left"/>
              <w:rPr>
                <w:rFonts w:ascii="Verdana" w:eastAsiaTheme="minorEastAsia" w:hAnsi="Verdana" w:cs="Verdana"/>
                <w:sz w:val="20"/>
                <w:szCs w:val="20"/>
              </w:rPr>
            </w:pPr>
          </w:p>
          <w:p w:rsidR="0042464E" w:rsidRPr="0023218F" w:rsidRDefault="0042464E">
            <w:pPr>
              <w:spacing w:after="0" w:line="240" w:lineRule="auto"/>
              <w:rPr>
                <w:rFonts w:ascii="Verdana" w:eastAsiaTheme="minorEastAsia" w:hAnsi="Verdana" w:cs="Verdana"/>
                <w:sz w:val="20"/>
                <w:szCs w:val="20"/>
              </w:rPr>
            </w:pPr>
            <w:r w:rsidRPr="0023218F">
              <w:rPr>
                <w:rFonts w:ascii="Verdana" w:eastAsiaTheme="minorEastAsia" w:hAnsi="Verdana" w:cs="Verdana"/>
                <w:sz w:val="20"/>
                <w:szCs w:val="20"/>
              </w:rPr>
              <w:t>Prohlašuji tímto, že jsem zadanou diplomovou práci na uvedené téma   vypracoval/a samostatně a že jsem ke zpracování této diplomové práce použil/-a pouze literární prameny v práci uvedené.</w:t>
            </w:r>
          </w:p>
          <w:p w:rsidR="0042464E" w:rsidRPr="0023218F" w:rsidRDefault="0042464E">
            <w:pPr>
              <w:spacing w:after="0" w:line="240" w:lineRule="auto"/>
              <w:jc w:val="left"/>
              <w:rPr>
                <w:rFonts w:ascii="Verdana" w:eastAsiaTheme="minorEastAsia" w:hAnsi="Verdana" w:cs="Verdana"/>
                <w:sz w:val="20"/>
                <w:szCs w:val="20"/>
              </w:rPr>
            </w:pPr>
          </w:p>
          <w:p w:rsidR="0042464E" w:rsidRPr="0023218F" w:rsidRDefault="0042464E">
            <w:pPr>
              <w:spacing w:line="240" w:lineRule="auto"/>
              <w:rPr>
                <w:rFonts w:ascii="Verdana" w:eastAsiaTheme="minorEastAsia" w:hAnsi="Verdana" w:cs="Verdana"/>
                <w:sz w:val="20"/>
                <w:szCs w:val="20"/>
              </w:rPr>
            </w:pPr>
            <w:r w:rsidRPr="0023218F">
              <w:rPr>
                <w:rFonts w:ascii="Verdana" w:eastAsiaTheme="minorEastAsia" w:hAnsi="Verdana" w:cs="Verdana"/>
                <w:sz w:val="20"/>
                <w:szCs w:val="20"/>
              </w:rPr>
              <w:t>Datum a místo:  8. 4. 2012 v Prešove</w:t>
            </w:r>
          </w:p>
          <w:p w:rsidR="0042464E" w:rsidRPr="0023218F" w:rsidRDefault="0042464E">
            <w:pPr>
              <w:spacing w:line="240" w:lineRule="auto"/>
              <w:rPr>
                <w:rFonts w:ascii="Verdana" w:eastAsiaTheme="minorEastAsia" w:hAnsi="Verdana" w:cs="Verdana"/>
              </w:rPr>
            </w:pPr>
            <w:r w:rsidRPr="0023218F">
              <w:rPr>
                <w:rFonts w:ascii="Verdana" w:eastAsiaTheme="minorEastAsia" w:hAnsi="Verdana" w:cs="Verdana"/>
              </w:rPr>
              <w:t xml:space="preserve">                                          _____________________________</w:t>
            </w:r>
          </w:p>
          <w:p w:rsidR="0042464E" w:rsidRPr="0023218F" w:rsidRDefault="0042464E">
            <w:pPr>
              <w:spacing w:line="240" w:lineRule="auto"/>
              <w:rPr>
                <w:rFonts w:ascii="Verdana" w:eastAsiaTheme="minorEastAsia" w:hAnsi="Verdana" w:cs="Verdana"/>
                <w:sz w:val="20"/>
                <w:szCs w:val="20"/>
              </w:rPr>
            </w:pPr>
            <w:r w:rsidRPr="0023218F">
              <w:rPr>
                <w:rFonts w:ascii="Verdana" w:eastAsiaTheme="minorEastAsia" w:hAnsi="Verdana" w:cs="Verdana"/>
                <w:sz w:val="20"/>
                <w:szCs w:val="20"/>
              </w:rPr>
              <w:t xml:space="preserve">                                                                    podpis studenta</w:t>
            </w:r>
          </w:p>
        </w:tc>
      </w:tr>
    </w:tbl>
    <w:p w:rsidR="0042464E" w:rsidRDefault="0042464E">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2"/>
      </w:tblGrid>
      <w:tr w:rsidR="0042464E" w:rsidRPr="0023218F">
        <w:tc>
          <w:tcPr>
            <w:tcW w:w="9212" w:type="dxa"/>
            <w:shd w:val="clear" w:color="auto" w:fill="F3F3F3"/>
          </w:tcPr>
          <w:p w:rsidR="0042464E" w:rsidRPr="0023218F" w:rsidRDefault="0042464E">
            <w:pPr>
              <w:pStyle w:val="Formul"/>
              <w:rPr>
                <w:rFonts w:ascii="Times New Roman" w:eastAsiaTheme="minorEastAsia" w:hAnsi="Times New Roman" w:cs="Times New Roman"/>
              </w:rPr>
            </w:pPr>
            <w:r w:rsidRPr="0023218F">
              <w:rPr>
                <w:rFonts w:ascii="Times New Roman" w:eastAsiaTheme="minorEastAsia" w:hAnsi="Times New Roman" w:cs="Times New Roman"/>
              </w:rPr>
              <w:t>poděkování</w:t>
            </w:r>
          </w:p>
        </w:tc>
      </w:tr>
      <w:tr w:rsidR="0042464E" w:rsidRPr="0023218F">
        <w:tc>
          <w:tcPr>
            <w:tcW w:w="9212" w:type="dxa"/>
          </w:tcPr>
          <w:p w:rsidR="0042464E" w:rsidRPr="0023218F" w:rsidRDefault="0042464E">
            <w:pPr>
              <w:spacing w:after="0" w:line="240" w:lineRule="auto"/>
              <w:jc w:val="left"/>
              <w:rPr>
                <w:rFonts w:ascii="Verdana" w:eastAsiaTheme="minorEastAsia" w:hAnsi="Verdana" w:cs="Verdana"/>
                <w:sz w:val="20"/>
                <w:szCs w:val="20"/>
              </w:rPr>
            </w:pPr>
          </w:p>
          <w:p w:rsidR="0042464E" w:rsidRPr="0023218F" w:rsidRDefault="0042464E">
            <w:pPr>
              <w:spacing w:after="0" w:line="240" w:lineRule="auto"/>
              <w:jc w:val="left"/>
              <w:rPr>
                <w:rFonts w:ascii="Verdana" w:eastAsiaTheme="minorEastAsia" w:hAnsi="Verdana" w:cs="Verdana"/>
              </w:rPr>
            </w:pPr>
            <w:r w:rsidRPr="0023218F">
              <w:rPr>
                <w:rFonts w:ascii="Verdana" w:eastAsiaTheme="minorEastAsia" w:hAnsi="Verdana" w:cs="Verdana"/>
                <w:sz w:val="20"/>
                <w:szCs w:val="20"/>
              </w:rPr>
              <w:t xml:space="preserve">Ráda bych tímto poděkovala vedoucímu diplomové práce, za metodické vedení </w:t>
            </w:r>
            <w:r w:rsidRPr="0023218F">
              <w:rPr>
                <w:rFonts w:ascii="Verdana" w:eastAsiaTheme="minorEastAsia" w:hAnsi="Verdana" w:cs="Verdana"/>
                <w:sz w:val="20"/>
                <w:szCs w:val="20"/>
              </w:rPr>
              <w:br/>
              <w:t>a odborné konzultace, které mi poskytl při zpracování mé diplomové práce.</w:t>
            </w:r>
          </w:p>
          <w:p w:rsidR="0042464E" w:rsidRPr="0023218F" w:rsidRDefault="0042464E">
            <w:pPr>
              <w:spacing w:after="0" w:line="240" w:lineRule="auto"/>
              <w:jc w:val="left"/>
              <w:rPr>
                <w:rFonts w:ascii="Verdana" w:eastAsiaTheme="minorEastAsia" w:hAnsi="Verdana" w:cs="Verdana"/>
              </w:rPr>
            </w:pPr>
          </w:p>
        </w:tc>
      </w:tr>
    </w:tbl>
    <w:p w:rsidR="0042464E" w:rsidRDefault="0042464E">
      <w:pPr>
        <w:spacing w:after="0"/>
        <w:jc w:val="left"/>
        <w:rPr>
          <w:b/>
          <w:bCs/>
          <w:sz w:val="32"/>
          <w:szCs w:val="32"/>
        </w:rPr>
        <w:sectPr w:rsidR="0042464E">
          <w:headerReference w:type="default" r:id="rId9"/>
          <w:footerReference w:type="default" r:id="rId10"/>
          <w:pgSz w:w="11906" w:h="16838" w:code="9"/>
          <w:pgMar w:top="1418" w:right="1134" w:bottom="1418" w:left="2268" w:header="709" w:footer="709" w:gutter="0"/>
          <w:cols w:space="708"/>
          <w:docGrid w:linePitch="326"/>
        </w:sectPr>
      </w:pPr>
    </w:p>
    <w:p w:rsidR="0042464E" w:rsidRDefault="0042464E">
      <w:pPr>
        <w:spacing w:after="0"/>
        <w:jc w:val="left"/>
        <w:rPr>
          <w:rFonts w:ascii="Verdana" w:hAnsi="Verdana" w:cs="Verdana"/>
          <w:b/>
          <w:bCs/>
          <w:color w:val="000000"/>
          <w:sz w:val="32"/>
          <w:szCs w:val="32"/>
        </w:rPr>
      </w:pPr>
      <w:r>
        <w:rPr>
          <w:rFonts w:ascii="Verdana" w:hAnsi="Verdana" w:cs="Verdana"/>
          <w:b/>
          <w:bCs/>
          <w:color w:val="000000"/>
          <w:sz w:val="32"/>
          <w:szCs w:val="32"/>
        </w:rPr>
        <w:lastRenderedPageBreak/>
        <w:t>VYSOKÁ ŠKOLA EKONOMIE A MANAGEMENTU</w:t>
      </w: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rFonts w:ascii="Verdana" w:hAnsi="Verdana" w:cs="Verdana"/>
          <w:b/>
          <w:bCs/>
          <w:color w:val="000000"/>
          <w:sz w:val="32"/>
          <w:szCs w:val="32"/>
        </w:rPr>
      </w:pPr>
    </w:p>
    <w:p w:rsidR="0042464E" w:rsidRDefault="0042464E">
      <w:pPr>
        <w:spacing w:after="0"/>
        <w:jc w:val="left"/>
        <w:rPr>
          <w:b/>
          <w:bCs/>
          <w:sz w:val="32"/>
          <w:szCs w:val="32"/>
        </w:rPr>
      </w:pPr>
    </w:p>
    <w:p w:rsidR="0042464E" w:rsidRDefault="0042464E">
      <w:pPr>
        <w:spacing w:after="0"/>
        <w:jc w:val="center"/>
        <w:rPr>
          <w:b/>
          <w:bCs/>
          <w:sz w:val="32"/>
          <w:szCs w:val="32"/>
        </w:rPr>
      </w:pPr>
      <w:r>
        <w:rPr>
          <w:b/>
          <w:bCs/>
          <w:sz w:val="48"/>
          <w:szCs w:val="48"/>
        </w:rPr>
        <w:t>PRAKTICKÉ VYUŽITIE NÁSTROJOV K ZNÍŽENIU PLATOBNÝCH RIZÍK</w:t>
      </w:r>
    </w:p>
    <w:p w:rsidR="0042464E" w:rsidRDefault="0042464E">
      <w:pPr>
        <w:spacing w:after="0"/>
        <w:jc w:val="center"/>
        <w:rPr>
          <w:sz w:val="28"/>
          <w:szCs w:val="28"/>
        </w:rPr>
      </w:pPr>
      <w:r w:rsidRPr="00A86B2F">
        <w:rPr>
          <w:sz w:val="28"/>
          <w:szCs w:val="28"/>
        </w:rPr>
        <w:t>Practical</w:t>
      </w:r>
      <w:r>
        <w:rPr>
          <w:sz w:val="28"/>
          <w:szCs w:val="28"/>
        </w:rPr>
        <w:t xml:space="preserve"> use instruments to reduce payment risks</w:t>
      </w:r>
    </w:p>
    <w:p w:rsidR="0042464E" w:rsidRDefault="0042464E">
      <w:pPr>
        <w:rPr>
          <w:sz w:val="32"/>
          <w:szCs w:val="32"/>
        </w:rPr>
      </w:pPr>
    </w:p>
    <w:p w:rsidR="0042464E" w:rsidRDefault="0042464E">
      <w:pPr>
        <w:rPr>
          <w:sz w:val="32"/>
          <w:szCs w:val="32"/>
        </w:rPr>
      </w:pPr>
    </w:p>
    <w:p w:rsidR="0042464E" w:rsidRDefault="0042464E">
      <w:pPr>
        <w:rPr>
          <w:sz w:val="32"/>
          <w:szCs w:val="32"/>
        </w:rPr>
      </w:pPr>
    </w:p>
    <w:p w:rsidR="0042464E" w:rsidRDefault="0042464E">
      <w:pPr>
        <w:rPr>
          <w:sz w:val="32"/>
          <w:szCs w:val="32"/>
        </w:rPr>
      </w:pPr>
    </w:p>
    <w:p w:rsidR="0042464E" w:rsidRDefault="0042464E">
      <w:pPr>
        <w:tabs>
          <w:tab w:val="left" w:pos="3600"/>
        </w:tabs>
        <w:rPr>
          <w:sz w:val="32"/>
          <w:szCs w:val="32"/>
        </w:rPr>
      </w:pPr>
      <w:r>
        <w:rPr>
          <w:sz w:val="32"/>
          <w:szCs w:val="32"/>
        </w:rPr>
        <w:tab/>
      </w:r>
    </w:p>
    <w:p w:rsidR="0042464E" w:rsidRDefault="0042464E">
      <w:pPr>
        <w:tabs>
          <w:tab w:val="left" w:pos="3600"/>
        </w:tabs>
        <w:rPr>
          <w:sz w:val="32"/>
          <w:szCs w:val="32"/>
        </w:rPr>
      </w:pPr>
    </w:p>
    <w:p w:rsidR="0042464E" w:rsidRDefault="0042464E">
      <w:pPr>
        <w:tabs>
          <w:tab w:val="left" w:pos="3600"/>
        </w:tabs>
        <w:rPr>
          <w:sz w:val="32"/>
          <w:szCs w:val="32"/>
        </w:rPr>
      </w:pPr>
      <w:r>
        <w:rPr>
          <w:sz w:val="32"/>
          <w:szCs w:val="32"/>
        </w:rPr>
        <w:t>Autor: Ing. Martin</w:t>
      </w:r>
      <w:r w:rsidR="00F3559E">
        <w:rPr>
          <w:sz w:val="32"/>
          <w:szCs w:val="32"/>
        </w:rPr>
        <w:t>a</w:t>
      </w:r>
      <w:r>
        <w:rPr>
          <w:sz w:val="32"/>
          <w:szCs w:val="32"/>
        </w:rPr>
        <w:t xml:space="preserve"> Bérešová.</w:t>
      </w:r>
    </w:p>
    <w:p w:rsidR="0042464E" w:rsidRDefault="0042464E">
      <w:pPr>
        <w:pStyle w:val="AbstractSummary-nadpis"/>
        <w:rPr>
          <w:rFonts w:ascii="Verdana" w:hAnsi="Verdana" w:cs="Verdana"/>
          <w:sz w:val="32"/>
          <w:szCs w:val="32"/>
        </w:rPr>
      </w:pPr>
      <w:r>
        <w:rPr>
          <w:rFonts w:ascii="Verdana" w:hAnsi="Verdana" w:cs="Verdana"/>
          <w:sz w:val="32"/>
          <w:szCs w:val="32"/>
        </w:rPr>
        <w:br w:type="page"/>
      </w:r>
      <w:r>
        <w:lastRenderedPageBreak/>
        <w:t>Souhrn</w:t>
      </w:r>
    </w:p>
    <w:p w:rsidR="0042464E" w:rsidRDefault="0042464E">
      <w:pPr>
        <w:pStyle w:val="AbstractSummary-text"/>
        <w:rPr>
          <w:lang w:val="pt-BR"/>
        </w:rPr>
      </w:pPr>
      <w:r>
        <w:t xml:space="preserve">Lorem ipsum </w:t>
      </w:r>
      <w:proofErr w:type="gramStart"/>
      <w:r>
        <w:t>dolor sit</w:t>
      </w:r>
      <w:proofErr w:type="gramEnd"/>
      <w:r>
        <w:t xml:space="preserve"> amet, consectetur adipiscing elit. Aliquam consequat, libero sit amet ultricies commodo, dui elit aliquam erat, non tincidunt </w:t>
      </w:r>
      <w:proofErr w:type="gramStart"/>
      <w:r>
        <w:t>leo</w:t>
      </w:r>
      <w:proofErr w:type="gramEnd"/>
      <w:r>
        <w:t xml:space="preserve"> est eget eros. Praesent magna velit, congue at porta sit amet, posuere vel enim. </w:t>
      </w:r>
      <w:r>
        <w:rPr>
          <w:lang w:val="pt-BR"/>
        </w:rPr>
        <w:t>Curabitur vel massa mollis quam dapibus mollis. Pellentesque eu lacus id ligula aliquet molestie. Aenean vel nisi id nulla pretium aliquam non nec sem. Duis congue vehicula sapien, quis fermentum diam volutpat sed. Ut ac neque nec tellus placerat blandit a quis nisl. Sed lacus erat, interdum at imperdiet a, eleifend ut neque. Vestibulum vel ipsum rutrum ligula venenatis volutpat id eu elit. Aliquam aliquam ornare felis, congue commodo ligula imperdiet nec. Duis nisi nisl, ultrices sit amet sollicitudin ut, interdum eget velit. Proin eu fermentum lorem. Donec imperdiet scelerisque commodo. Aliquam erat volutpat. Cum sociis natoque penatibus et magnis dis parturient montes, nascetur ridiculus mus. Cras sed mauris vel urna elementum scelerisque. Maecenas bibendum volutpat velit vitae rhoncus. Sed quis nisl mauris. Aliquam non nunc felis. Cras suscipit ultricies odio, quis sollicitudin turpis adipiscing ac. Class aptent taciti sociosqu ad litora torquent per conubia nostra, per inceptos himenaeos.</w:t>
      </w:r>
    </w:p>
    <w:p w:rsidR="0042464E" w:rsidRDefault="0042464E">
      <w:pPr>
        <w:pStyle w:val="AbstractSummary-nadpis"/>
      </w:pPr>
      <w:r>
        <w:t>Summary</w:t>
      </w:r>
    </w:p>
    <w:p w:rsidR="0042464E" w:rsidRDefault="0042464E">
      <w:r>
        <w:t xml:space="preserve">In molestie pretium risus, nec tincidunt massa ultricies in. Morbi condimentum mollis ipsum vel bibendum. Maecenas eget libero in neque auctor luctus a nec felis. In hac habitasse platea dictumst. Nam gravida gravida est sit amet imperdiet. Mauris dictum ultrices mauris id cursus. Mauris fermentum fringilla magna vel vehicula. Praesent quis felis sit amet orci dictum facilisis eget interdum lectus. Donec rhoncus eros erat. Duis auctor adipiscing accumsan. Curabitur aliquam, tellus sed egestas pretium, dui tellus lacinia velit, vitae commodo velit metus at tellus. Vestibulum consectetur, metus eget molestie elementum, purus turpis accumsan dolor, non cursus felis augue vitae massa. Suspendisse neque magna, euismod vitae bibendum et, ultrices rutrum nisl. Etiam dignissim ante ac dui volutpat eu ultricies tellus suscipit. Curabitur orci erat, aliquam non cursus sed, venenatis ac ipsum. Pellentesque habitant morbi tristique senectus et netus et malesuada fames ac turpis egestas. Aliquam molestie porta velit mollis fermentum. Maecenas mollis faucibus cursus. Proin sit amet tortor ut tellus sagittis sollicitudin. Ut nisl nunc, sagittis semper accumsan sed, faucibus ac tortor. </w:t>
      </w:r>
    </w:p>
    <w:p w:rsidR="0042464E" w:rsidRDefault="0042464E">
      <w:pPr>
        <w:pStyle w:val="AbstractSummary-nadpis"/>
        <w:spacing w:before="120" w:after="0"/>
      </w:pPr>
      <w:r>
        <w:lastRenderedPageBreak/>
        <w:t>Klíčová slova:</w:t>
      </w:r>
    </w:p>
    <w:p w:rsidR="0042464E" w:rsidRDefault="00813676">
      <w:pPr>
        <w:pStyle w:val="AbstractSummary-text"/>
        <w:rPr>
          <w:lang w:val="cs-CZ"/>
        </w:rPr>
      </w:pPr>
      <w:r>
        <w:rPr>
          <w:lang w:val="cs-CZ"/>
        </w:rPr>
        <w:t>Platobné nástroje, Hladká platba, Dokumentárny akreditív, Dokumentárne inkaso, Zmenka, Šek, Banková záruka, Faktoring, Forfaiting, Poistenie pohľadávok,  SEPA.</w:t>
      </w:r>
    </w:p>
    <w:p w:rsidR="0042464E" w:rsidRDefault="0042464E">
      <w:pPr>
        <w:pStyle w:val="AbstractSummary-nadpis"/>
      </w:pPr>
    </w:p>
    <w:p w:rsidR="0042464E" w:rsidRDefault="0042464E">
      <w:pPr>
        <w:pStyle w:val="AbstractSummary-nadpis"/>
        <w:spacing w:before="120" w:after="0"/>
      </w:pPr>
      <w:r>
        <w:t>Keywords:</w:t>
      </w:r>
    </w:p>
    <w:p w:rsidR="0042464E" w:rsidRDefault="00813676">
      <w:pPr>
        <w:pStyle w:val="AbstractSummary-text"/>
        <w:rPr>
          <w:lang w:val="cs-CZ"/>
        </w:rPr>
      </w:pPr>
      <w:r>
        <w:rPr>
          <w:lang w:val="cs-CZ"/>
        </w:rPr>
        <w:t xml:space="preserve">Payment Instrumets, </w:t>
      </w:r>
      <w:r w:rsidR="000831E2">
        <w:rPr>
          <w:lang w:val="cs-CZ"/>
        </w:rPr>
        <w:t>Clean International payment,</w:t>
      </w:r>
      <w:r>
        <w:rPr>
          <w:lang w:val="cs-CZ"/>
        </w:rPr>
        <w:t xml:space="preserve"> Letter of Credit, Documents against payment, Bill, </w:t>
      </w:r>
      <w:r w:rsidR="00A964F4">
        <w:rPr>
          <w:lang w:val="cs-CZ"/>
        </w:rPr>
        <w:t>Check, Bank guarantee, Factoring, Forfaiting, Insurance Claims, SEPA.</w:t>
      </w:r>
    </w:p>
    <w:p w:rsidR="00A964F4" w:rsidRDefault="00A964F4">
      <w:pPr>
        <w:pStyle w:val="AbstractSummary-text"/>
        <w:rPr>
          <w:lang w:val="cs-CZ"/>
        </w:rPr>
      </w:pPr>
    </w:p>
    <w:p w:rsidR="0042464E" w:rsidRDefault="0042464E">
      <w:pPr>
        <w:pStyle w:val="AbstractSummary-nadpis"/>
        <w:spacing w:before="120" w:after="0"/>
      </w:pPr>
      <w:r>
        <w:t>JEL Classification:</w:t>
      </w:r>
    </w:p>
    <w:p w:rsidR="00A964F4" w:rsidRDefault="00A964F4" w:rsidP="00A964F4">
      <w:pPr>
        <w:pStyle w:val="AbstractSummary-text"/>
        <w:spacing w:after="0"/>
        <w:rPr>
          <w:lang w:val="cs-CZ"/>
        </w:rPr>
      </w:pPr>
      <w:r>
        <w:rPr>
          <w:lang w:val="cs-CZ"/>
        </w:rPr>
        <w:t xml:space="preserve">P34 – </w:t>
      </w:r>
      <w:r>
        <w:t xml:space="preserve">Financial Economics </w:t>
      </w:r>
    </w:p>
    <w:p w:rsidR="0042464E" w:rsidRDefault="00A964F4">
      <w:pPr>
        <w:pStyle w:val="AbstractSummary-text"/>
        <w:spacing w:after="0"/>
        <w:rPr>
          <w:lang w:val="cs-CZ"/>
        </w:rPr>
      </w:pPr>
      <w:r>
        <w:rPr>
          <w:lang w:val="cs-CZ"/>
        </w:rPr>
        <w:t>G22 – Insurance, Insurance Companies</w:t>
      </w:r>
    </w:p>
    <w:p w:rsidR="0042464E" w:rsidRDefault="00A964F4">
      <w:pPr>
        <w:pStyle w:val="AbstractSummary-text"/>
        <w:spacing w:after="0"/>
        <w:rPr>
          <w:lang w:val="cs-CZ"/>
        </w:rPr>
      </w:pPr>
      <w:r>
        <w:t>F13</w:t>
      </w:r>
      <w:r w:rsidR="0042464E">
        <w:t xml:space="preserve"> </w:t>
      </w:r>
      <w:r w:rsidR="0042464E">
        <w:rPr>
          <w:lang w:val="cs-CZ"/>
        </w:rPr>
        <w:t>–</w:t>
      </w:r>
      <w:r w:rsidR="0042464E">
        <w:t xml:space="preserve"> </w:t>
      </w:r>
      <w:r>
        <w:t>Trade policy, International Trade Organizations</w:t>
      </w:r>
    </w:p>
    <w:p w:rsidR="0042464E" w:rsidRDefault="0042464E">
      <w:pPr>
        <w:pStyle w:val="AbstractSummary-text"/>
        <w:rPr>
          <w:lang w:val="cs-CZ"/>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jc w:val="left"/>
        <w:rPr>
          <w:b/>
          <w:bCs/>
          <w:sz w:val="26"/>
          <w:szCs w:val="26"/>
        </w:rPr>
      </w:pPr>
    </w:p>
    <w:p w:rsidR="0042464E" w:rsidRDefault="0042464E">
      <w:pPr>
        <w:spacing w:after="0" w:line="240" w:lineRule="auto"/>
        <w:jc w:val="left"/>
        <w:rPr>
          <w:rFonts w:ascii="Verdana" w:hAnsi="Verdana" w:cs="Verdana"/>
          <w:b/>
          <w:bCs/>
          <w:sz w:val="32"/>
          <w:szCs w:val="32"/>
        </w:rPr>
      </w:pPr>
    </w:p>
    <w:p w:rsidR="0042464E" w:rsidRDefault="0042464E">
      <w:pPr>
        <w:spacing w:after="0" w:line="240" w:lineRule="auto"/>
        <w:jc w:val="left"/>
        <w:rPr>
          <w:sz w:val="32"/>
          <w:szCs w:val="32"/>
        </w:rPr>
      </w:pPr>
      <w:r>
        <w:rPr>
          <w:b/>
          <w:bCs/>
          <w:sz w:val="32"/>
          <w:szCs w:val="32"/>
        </w:rPr>
        <w:br w:type="page"/>
      </w:r>
      <w:r>
        <w:rPr>
          <w:b/>
          <w:bCs/>
          <w:sz w:val="32"/>
          <w:szCs w:val="32"/>
        </w:rPr>
        <w:lastRenderedPageBreak/>
        <w:t>Obsah</w:t>
      </w:r>
    </w:p>
    <w:p w:rsidR="00B32A81" w:rsidRDefault="003E4C2B">
      <w:pPr>
        <w:pStyle w:val="Obsah1"/>
        <w:rPr>
          <w:rFonts w:asciiTheme="minorHAnsi" w:eastAsiaTheme="minorEastAsia" w:hAnsiTheme="minorHAnsi" w:cstheme="minorBidi"/>
          <w:noProof/>
          <w:sz w:val="22"/>
          <w:szCs w:val="22"/>
          <w:lang w:eastAsia="sk-SK"/>
        </w:rPr>
      </w:pPr>
      <w:r>
        <w:fldChar w:fldCharType="begin"/>
      </w:r>
      <w:r w:rsidR="0042464E">
        <w:instrText xml:space="preserve"> TOC \o "1-3" \h \z \u </w:instrText>
      </w:r>
      <w:r>
        <w:fldChar w:fldCharType="separate"/>
      </w:r>
      <w:hyperlink w:anchor="_Toc321001052" w:history="1">
        <w:r w:rsidR="00B32A81" w:rsidRPr="006857B4">
          <w:rPr>
            <w:rStyle w:val="Hypertextovodkaz"/>
            <w:noProof/>
          </w:rPr>
          <w:t>1</w:t>
        </w:r>
        <w:r w:rsidR="00B32A81">
          <w:rPr>
            <w:rFonts w:asciiTheme="minorHAnsi" w:eastAsiaTheme="minorEastAsia" w:hAnsiTheme="minorHAnsi" w:cstheme="minorBidi"/>
            <w:noProof/>
            <w:sz w:val="22"/>
            <w:szCs w:val="22"/>
            <w:lang w:eastAsia="sk-SK"/>
          </w:rPr>
          <w:tab/>
        </w:r>
        <w:r w:rsidR="00B32A81" w:rsidRPr="006857B4">
          <w:rPr>
            <w:rStyle w:val="Hypertextovodkaz"/>
            <w:noProof/>
          </w:rPr>
          <w:t>Úvod</w:t>
        </w:r>
        <w:r w:rsidR="00B32A81">
          <w:rPr>
            <w:noProof/>
            <w:webHidden/>
          </w:rPr>
          <w:tab/>
        </w:r>
        <w:r w:rsidR="00B32A81">
          <w:rPr>
            <w:noProof/>
            <w:webHidden/>
          </w:rPr>
          <w:fldChar w:fldCharType="begin"/>
        </w:r>
        <w:r w:rsidR="00B32A81">
          <w:rPr>
            <w:noProof/>
            <w:webHidden/>
          </w:rPr>
          <w:instrText xml:space="preserve"> PAGEREF _Toc321001052 \h </w:instrText>
        </w:r>
        <w:r w:rsidR="00B32A81">
          <w:rPr>
            <w:noProof/>
            <w:webHidden/>
          </w:rPr>
        </w:r>
        <w:r w:rsidR="00B32A81">
          <w:rPr>
            <w:noProof/>
            <w:webHidden/>
          </w:rPr>
          <w:fldChar w:fldCharType="separate"/>
        </w:r>
        <w:r w:rsidR="00B32A81">
          <w:rPr>
            <w:noProof/>
            <w:webHidden/>
          </w:rPr>
          <w:t>1</w:t>
        </w:r>
        <w:r w:rsidR="00B32A81">
          <w:rPr>
            <w:noProof/>
            <w:webHidden/>
          </w:rPr>
          <w:fldChar w:fldCharType="end"/>
        </w:r>
      </w:hyperlink>
    </w:p>
    <w:p w:rsidR="00B32A81" w:rsidRDefault="00B32A81">
      <w:pPr>
        <w:pStyle w:val="Obsah1"/>
        <w:rPr>
          <w:rFonts w:asciiTheme="minorHAnsi" w:eastAsiaTheme="minorEastAsia" w:hAnsiTheme="minorHAnsi" w:cstheme="minorBidi"/>
          <w:noProof/>
          <w:sz w:val="22"/>
          <w:szCs w:val="22"/>
          <w:lang w:eastAsia="sk-SK"/>
        </w:rPr>
      </w:pPr>
      <w:hyperlink w:anchor="_Toc321001053" w:history="1">
        <w:r w:rsidRPr="006857B4">
          <w:rPr>
            <w:rStyle w:val="Hypertextovodkaz"/>
            <w:noProof/>
          </w:rPr>
          <w:t>2</w:t>
        </w:r>
        <w:r>
          <w:rPr>
            <w:rFonts w:asciiTheme="minorHAnsi" w:eastAsiaTheme="minorEastAsia" w:hAnsiTheme="minorHAnsi" w:cstheme="minorBidi"/>
            <w:noProof/>
            <w:sz w:val="22"/>
            <w:szCs w:val="22"/>
            <w:lang w:eastAsia="sk-SK"/>
          </w:rPr>
          <w:tab/>
        </w:r>
        <w:r w:rsidRPr="006857B4">
          <w:rPr>
            <w:rStyle w:val="Hypertextovodkaz"/>
            <w:noProof/>
          </w:rPr>
          <w:t>Teoreticko-metodologická časť práce</w:t>
        </w:r>
        <w:r>
          <w:rPr>
            <w:noProof/>
            <w:webHidden/>
          </w:rPr>
          <w:tab/>
        </w:r>
        <w:r>
          <w:rPr>
            <w:noProof/>
            <w:webHidden/>
          </w:rPr>
          <w:fldChar w:fldCharType="begin"/>
        </w:r>
        <w:r>
          <w:rPr>
            <w:noProof/>
            <w:webHidden/>
          </w:rPr>
          <w:instrText xml:space="preserve"> PAGEREF _Toc321001053 \h </w:instrText>
        </w:r>
        <w:r>
          <w:rPr>
            <w:noProof/>
            <w:webHidden/>
          </w:rPr>
        </w:r>
        <w:r>
          <w:rPr>
            <w:noProof/>
            <w:webHidden/>
          </w:rPr>
          <w:fldChar w:fldCharType="separate"/>
        </w:r>
        <w:r>
          <w:rPr>
            <w:noProof/>
            <w:webHidden/>
          </w:rPr>
          <w:t>3</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54" w:history="1">
        <w:r w:rsidRPr="006857B4">
          <w:rPr>
            <w:rStyle w:val="Hypertextovodkaz"/>
          </w:rPr>
          <w:t>2.1</w:t>
        </w:r>
        <w:r>
          <w:rPr>
            <w:rFonts w:asciiTheme="minorHAnsi" w:eastAsiaTheme="minorEastAsia" w:hAnsiTheme="minorHAnsi" w:cstheme="minorBidi"/>
            <w:lang w:eastAsia="sk-SK"/>
          </w:rPr>
          <w:tab/>
        </w:r>
        <w:r w:rsidRPr="006857B4">
          <w:rPr>
            <w:rStyle w:val="Hypertextovodkaz"/>
          </w:rPr>
          <w:t>Hlavné druhy rizík v medzinárodnom obchode</w:t>
        </w:r>
        <w:r>
          <w:rPr>
            <w:webHidden/>
          </w:rPr>
          <w:tab/>
        </w:r>
        <w:r>
          <w:rPr>
            <w:webHidden/>
          </w:rPr>
          <w:fldChar w:fldCharType="begin"/>
        </w:r>
        <w:r>
          <w:rPr>
            <w:webHidden/>
          </w:rPr>
          <w:instrText xml:space="preserve"> PAGEREF _Toc321001054 \h </w:instrText>
        </w:r>
        <w:r>
          <w:rPr>
            <w:webHidden/>
          </w:rPr>
        </w:r>
        <w:r>
          <w:rPr>
            <w:webHidden/>
          </w:rPr>
          <w:fldChar w:fldCharType="separate"/>
        </w:r>
        <w:r>
          <w:rPr>
            <w:webHidden/>
          </w:rPr>
          <w:t>3</w:t>
        </w:r>
        <w:r>
          <w:rPr>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55" w:history="1">
        <w:r w:rsidRPr="006857B4">
          <w:rPr>
            <w:rStyle w:val="Hypertextovodkaz"/>
          </w:rPr>
          <w:t>2.2</w:t>
        </w:r>
        <w:r>
          <w:rPr>
            <w:rFonts w:asciiTheme="minorHAnsi" w:eastAsiaTheme="minorEastAsia" w:hAnsiTheme="minorHAnsi" w:cstheme="minorBidi"/>
            <w:lang w:eastAsia="sk-SK"/>
          </w:rPr>
          <w:tab/>
        </w:r>
        <w:r w:rsidRPr="006857B4">
          <w:rPr>
            <w:rStyle w:val="Hypertextovodkaz"/>
          </w:rPr>
          <w:t>Výber platobných a zabezpečovacích nástrojov v medzinárodnom obchode</w:t>
        </w:r>
        <w:r>
          <w:rPr>
            <w:webHidden/>
          </w:rPr>
          <w:tab/>
        </w:r>
        <w:r>
          <w:rPr>
            <w:webHidden/>
          </w:rPr>
          <w:fldChar w:fldCharType="begin"/>
        </w:r>
        <w:r>
          <w:rPr>
            <w:webHidden/>
          </w:rPr>
          <w:instrText xml:space="preserve"> PAGEREF _Toc321001055 \h </w:instrText>
        </w:r>
        <w:r>
          <w:rPr>
            <w:webHidden/>
          </w:rPr>
        </w:r>
        <w:r>
          <w:rPr>
            <w:webHidden/>
          </w:rPr>
          <w:fldChar w:fldCharType="separate"/>
        </w:r>
        <w:r>
          <w:rPr>
            <w:webHidden/>
          </w:rPr>
          <w:t>5</w:t>
        </w:r>
        <w:r>
          <w:rPr>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56" w:history="1">
        <w:r w:rsidRPr="006857B4">
          <w:rPr>
            <w:rStyle w:val="Hypertextovodkaz"/>
          </w:rPr>
          <w:t>2.3</w:t>
        </w:r>
        <w:r>
          <w:rPr>
            <w:rFonts w:asciiTheme="minorHAnsi" w:eastAsiaTheme="minorEastAsia" w:hAnsiTheme="minorHAnsi" w:cstheme="minorBidi"/>
            <w:lang w:eastAsia="sk-SK"/>
          </w:rPr>
          <w:tab/>
        </w:r>
        <w:r w:rsidRPr="006857B4">
          <w:rPr>
            <w:rStyle w:val="Hypertextovodkaz"/>
          </w:rPr>
          <w:t>Manažment pohľadávok</w:t>
        </w:r>
        <w:r>
          <w:rPr>
            <w:webHidden/>
          </w:rPr>
          <w:tab/>
        </w:r>
        <w:r>
          <w:rPr>
            <w:webHidden/>
          </w:rPr>
          <w:fldChar w:fldCharType="begin"/>
        </w:r>
        <w:r>
          <w:rPr>
            <w:webHidden/>
          </w:rPr>
          <w:instrText xml:space="preserve"> PAGEREF _Toc321001056 \h </w:instrText>
        </w:r>
        <w:r>
          <w:rPr>
            <w:webHidden/>
          </w:rPr>
        </w:r>
        <w:r>
          <w:rPr>
            <w:webHidden/>
          </w:rPr>
          <w:fldChar w:fldCharType="separate"/>
        </w:r>
        <w:r>
          <w:rPr>
            <w:webHidden/>
          </w:rPr>
          <w:t>8</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57" w:history="1">
        <w:r w:rsidRPr="006857B4">
          <w:rPr>
            <w:rStyle w:val="Hypertextovodkaz"/>
            <w:noProof/>
          </w:rPr>
          <w:t>2.3.1</w:t>
        </w:r>
        <w:r>
          <w:rPr>
            <w:rFonts w:asciiTheme="minorHAnsi" w:eastAsiaTheme="minorEastAsia" w:hAnsiTheme="minorHAnsi" w:cstheme="minorBidi"/>
            <w:noProof/>
            <w:lang w:eastAsia="sk-SK"/>
          </w:rPr>
          <w:tab/>
        </w:r>
        <w:r w:rsidRPr="006857B4">
          <w:rPr>
            <w:rStyle w:val="Hypertextovodkaz"/>
            <w:noProof/>
          </w:rPr>
          <w:t>Preverenie bonity odberateľa</w:t>
        </w:r>
        <w:r>
          <w:rPr>
            <w:noProof/>
            <w:webHidden/>
          </w:rPr>
          <w:tab/>
        </w:r>
        <w:r>
          <w:rPr>
            <w:noProof/>
            <w:webHidden/>
          </w:rPr>
          <w:fldChar w:fldCharType="begin"/>
        </w:r>
        <w:r>
          <w:rPr>
            <w:noProof/>
            <w:webHidden/>
          </w:rPr>
          <w:instrText xml:space="preserve"> PAGEREF _Toc321001057 \h </w:instrText>
        </w:r>
        <w:r>
          <w:rPr>
            <w:noProof/>
            <w:webHidden/>
          </w:rPr>
        </w:r>
        <w:r>
          <w:rPr>
            <w:noProof/>
            <w:webHidden/>
          </w:rPr>
          <w:fldChar w:fldCharType="separate"/>
        </w:r>
        <w:r>
          <w:rPr>
            <w:noProof/>
            <w:webHidden/>
          </w:rPr>
          <w:t>9</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58" w:history="1">
        <w:r w:rsidRPr="006857B4">
          <w:rPr>
            <w:rStyle w:val="Hypertextovodkaz"/>
            <w:noProof/>
          </w:rPr>
          <w:t>2.3.2</w:t>
        </w:r>
        <w:r>
          <w:rPr>
            <w:rFonts w:asciiTheme="minorHAnsi" w:eastAsiaTheme="minorEastAsia" w:hAnsiTheme="minorHAnsi" w:cstheme="minorBidi"/>
            <w:noProof/>
            <w:lang w:eastAsia="sk-SK"/>
          </w:rPr>
          <w:tab/>
        </w:r>
        <w:r w:rsidRPr="006857B4">
          <w:rPr>
            <w:rStyle w:val="Hypertextovodkaz"/>
            <w:noProof/>
          </w:rPr>
          <w:t>Bankové informácie</w:t>
        </w:r>
        <w:r>
          <w:rPr>
            <w:noProof/>
            <w:webHidden/>
          </w:rPr>
          <w:tab/>
        </w:r>
        <w:r>
          <w:rPr>
            <w:noProof/>
            <w:webHidden/>
          </w:rPr>
          <w:fldChar w:fldCharType="begin"/>
        </w:r>
        <w:r>
          <w:rPr>
            <w:noProof/>
            <w:webHidden/>
          </w:rPr>
          <w:instrText xml:space="preserve"> PAGEREF _Toc321001058 \h </w:instrText>
        </w:r>
        <w:r>
          <w:rPr>
            <w:noProof/>
            <w:webHidden/>
          </w:rPr>
        </w:r>
        <w:r>
          <w:rPr>
            <w:noProof/>
            <w:webHidden/>
          </w:rPr>
          <w:fldChar w:fldCharType="separate"/>
        </w:r>
        <w:r>
          <w:rPr>
            <w:noProof/>
            <w:webHidden/>
          </w:rPr>
          <w:t>10</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59" w:history="1">
        <w:r w:rsidRPr="006857B4">
          <w:rPr>
            <w:rStyle w:val="Hypertextovodkaz"/>
            <w:noProof/>
          </w:rPr>
          <w:t>2.3.3</w:t>
        </w:r>
        <w:r>
          <w:rPr>
            <w:rFonts w:asciiTheme="minorHAnsi" w:eastAsiaTheme="minorEastAsia" w:hAnsiTheme="minorHAnsi" w:cstheme="minorBidi"/>
            <w:noProof/>
            <w:lang w:eastAsia="sk-SK"/>
          </w:rPr>
          <w:tab/>
        </w:r>
        <w:r w:rsidRPr="006857B4">
          <w:rPr>
            <w:rStyle w:val="Hypertextovodkaz"/>
            <w:noProof/>
          </w:rPr>
          <w:t>Informačné a inkasné kancelárie</w:t>
        </w:r>
        <w:r>
          <w:rPr>
            <w:noProof/>
            <w:webHidden/>
          </w:rPr>
          <w:tab/>
        </w:r>
        <w:r>
          <w:rPr>
            <w:noProof/>
            <w:webHidden/>
          </w:rPr>
          <w:fldChar w:fldCharType="begin"/>
        </w:r>
        <w:r>
          <w:rPr>
            <w:noProof/>
            <w:webHidden/>
          </w:rPr>
          <w:instrText xml:space="preserve"> PAGEREF _Toc321001059 \h </w:instrText>
        </w:r>
        <w:r>
          <w:rPr>
            <w:noProof/>
            <w:webHidden/>
          </w:rPr>
        </w:r>
        <w:r>
          <w:rPr>
            <w:noProof/>
            <w:webHidden/>
          </w:rPr>
          <w:fldChar w:fldCharType="separate"/>
        </w:r>
        <w:r>
          <w:rPr>
            <w:noProof/>
            <w:webHidden/>
          </w:rPr>
          <w:t>10</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60" w:history="1">
        <w:r w:rsidRPr="006857B4">
          <w:rPr>
            <w:rStyle w:val="Hypertextovodkaz"/>
            <w:noProof/>
          </w:rPr>
          <w:t>2.3.4</w:t>
        </w:r>
        <w:r>
          <w:rPr>
            <w:rFonts w:asciiTheme="minorHAnsi" w:eastAsiaTheme="minorEastAsia" w:hAnsiTheme="minorHAnsi" w:cstheme="minorBidi"/>
            <w:noProof/>
            <w:lang w:eastAsia="sk-SK"/>
          </w:rPr>
          <w:tab/>
        </w:r>
        <w:r w:rsidRPr="006857B4">
          <w:rPr>
            <w:rStyle w:val="Hypertextovodkaz"/>
            <w:noProof/>
          </w:rPr>
          <w:t>Poisťovacie spoločnosti</w:t>
        </w:r>
        <w:r>
          <w:rPr>
            <w:noProof/>
            <w:webHidden/>
          </w:rPr>
          <w:tab/>
        </w:r>
        <w:r>
          <w:rPr>
            <w:noProof/>
            <w:webHidden/>
          </w:rPr>
          <w:fldChar w:fldCharType="begin"/>
        </w:r>
        <w:r>
          <w:rPr>
            <w:noProof/>
            <w:webHidden/>
          </w:rPr>
          <w:instrText xml:space="preserve"> PAGEREF _Toc321001060 \h </w:instrText>
        </w:r>
        <w:r>
          <w:rPr>
            <w:noProof/>
            <w:webHidden/>
          </w:rPr>
        </w:r>
        <w:r>
          <w:rPr>
            <w:noProof/>
            <w:webHidden/>
          </w:rPr>
          <w:fldChar w:fldCharType="separate"/>
        </w:r>
        <w:r>
          <w:rPr>
            <w:noProof/>
            <w:webHidden/>
          </w:rPr>
          <w:t>11</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61" w:history="1">
        <w:r w:rsidRPr="006857B4">
          <w:rPr>
            <w:rStyle w:val="Hypertextovodkaz"/>
            <w:noProof/>
          </w:rPr>
          <w:t>2.3.5</w:t>
        </w:r>
        <w:r>
          <w:rPr>
            <w:rFonts w:asciiTheme="minorHAnsi" w:eastAsiaTheme="minorEastAsia" w:hAnsiTheme="minorHAnsi" w:cstheme="minorBidi"/>
            <w:noProof/>
            <w:lang w:eastAsia="sk-SK"/>
          </w:rPr>
          <w:tab/>
        </w:r>
        <w:r w:rsidRPr="006857B4">
          <w:rPr>
            <w:rStyle w:val="Hypertextovodkaz"/>
            <w:noProof/>
          </w:rPr>
          <w:t>Index platobného rizika – SLOVENSKO 2010</w:t>
        </w:r>
        <w:r>
          <w:rPr>
            <w:noProof/>
            <w:webHidden/>
          </w:rPr>
          <w:tab/>
        </w:r>
        <w:r>
          <w:rPr>
            <w:noProof/>
            <w:webHidden/>
          </w:rPr>
          <w:fldChar w:fldCharType="begin"/>
        </w:r>
        <w:r>
          <w:rPr>
            <w:noProof/>
            <w:webHidden/>
          </w:rPr>
          <w:instrText xml:space="preserve"> PAGEREF _Toc321001061 \h </w:instrText>
        </w:r>
        <w:r>
          <w:rPr>
            <w:noProof/>
            <w:webHidden/>
          </w:rPr>
        </w:r>
        <w:r>
          <w:rPr>
            <w:noProof/>
            <w:webHidden/>
          </w:rPr>
          <w:fldChar w:fldCharType="separate"/>
        </w:r>
        <w:r>
          <w:rPr>
            <w:noProof/>
            <w:webHidden/>
          </w:rPr>
          <w:t>12</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62" w:history="1">
        <w:r w:rsidRPr="006857B4">
          <w:rPr>
            <w:rStyle w:val="Hypertextovodkaz"/>
          </w:rPr>
          <w:t>2.4</w:t>
        </w:r>
        <w:r>
          <w:rPr>
            <w:rFonts w:asciiTheme="minorHAnsi" w:eastAsiaTheme="minorEastAsia" w:hAnsiTheme="minorHAnsi" w:cstheme="minorBidi"/>
            <w:lang w:eastAsia="sk-SK"/>
          </w:rPr>
          <w:tab/>
        </w:r>
        <w:r w:rsidRPr="006857B4">
          <w:rPr>
            <w:rStyle w:val="Hypertextovodkaz"/>
          </w:rPr>
          <w:t>Hladká platba</w:t>
        </w:r>
        <w:r>
          <w:rPr>
            <w:webHidden/>
          </w:rPr>
          <w:tab/>
        </w:r>
        <w:r>
          <w:rPr>
            <w:webHidden/>
          </w:rPr>
          <w:fldChar w:fldCharType="begin"/>
        </w:r>
        <w:r>
          <w:rPr>
            <w:webHidden/>
          </w:rPr>
          <w:instrText xml:space="preserve"> PAGEREF _Toc321001062 \h </w:instrText>
        </w:r>
        <w:r>
          <w:rPr>
            <w:webHidden/>
          </w:rPr>
        </w:r>
        <w:r>
          <w:rPr>
            <w:webHidden/>
          </w:rPr>
          <w:fldChar w:fldCharType="separate"/>
        </w:r>
        <w:r>
          <w:rPr>
            <w:webHidden/>
          </w:rPr>
          <w:t>14</w:t>
        </w:r>
        <w:r>
          <w:rPr>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63" w:history="1">
        <w:r w:rsidRPr="006857B4">
          <w:rPr>
            <w:rStyle w:val="Hypertextovodkaz"/>
          </w:rPr>
          <w:t>2.5</w:t>
        </w:r>
        <w:r>
          <w:rPr>
            <w:rFonts w:asciiTheme="minorHAnsi" w:eastAsiaTheme="minorEastAsia" w:hAnsiTheme="minorHAnsi" w:cstheme="minorBidi"/>
            <w:lang w:eastAsia="sk-SK"/>
          </w:rPr>
          <w:tab/>
        </w:r>
        <w:r w:rsidRPr="006857B4">
          <w:rPr>
            <w:rStyle w:val="Hypertextovodkaz"/>
          </w:rPr>
          <w:t>Dokumentárny akreditív</w:t>
        </w:r>
        <w:r>
          <w:rPr>
            <w:webHidden/>
          </w:rPr>
          <w:tab/>
        </w:r>
        <w:r>
          <w:rPr>
            <w:webHidden/>
          </w:rPr>
          <w:fldChar w:fldCharType="begin"/>
        </w:r>
        <w:r>
          <w:rPr>
            <w:webHidden/>
          </w:rPr>
          <w:instrText xml:space="preserve"> PAGEREF _Toc321001063 \h </w:instrText>
        </w:r>
        <w:r>
          <w:rPr>
            <w:webHidden/>
          </w:rPr>
        </w:r>
        <w:r>
          <w:rPr>
            <w:webHidden/>
          </w:rPr>
          <w:fldChar w:fldCharType="separate"/>
        </w:r>
        <w:r>
          <w:rPr>
            <w:webHidden/>
          </w:rPr>
          <w:t>14</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64" w:history="1">
        <w:r w:rsidRPr="006857B4">
          <w:rPr>
            <w:rStyle w:val="Hypertextovodkaz"/>
            <w:noProof/>
          </w:rPr>
          <w:t>2.5.1</w:t>
        </w:r>
        <w:r>
          <w:rPr>
            <w:rFonts w:asciiTheme="minorHAnsi" w:eastAsiaTheme="minorEastAsia" w:hAnsiTheme="minorHAnsi" w:cstheme="minorBidi"/>
            <w:noProof/>
            <w:lang w:eastAsia="sk-SK"/>
          </w:rPr>
          <w:tab/>
        </w:r>
        <w:r w:rsidRPr="006857B4">
          <w:rPr>
            <w:rStyle w:val="Hypertextovodkaz"/>
            <w:noProof/>
          </w:rPr>
          <w:t>Charakteristika dokumentárnych akreditívov</w:t>
        </w:r>
        <w:r>
          <w:rPr>
            <w:noProof/>
            <w:webHidden/>
          </w:rPr>
          <w:tab/>
        </w:r>
        <w:r>
          <w:rPr>
            <w:noProof/>
            <w:webHidden/>
          </w:rPr>
          <w:fldChar w:fldCharType="begin"/>
        </w:r>
        <w:r>
          <w:rPr>
            <w:noProof/>
            <w:webHidden/>
          </w:rPr>
          <w:instrText xml:space="preserve"> PAGEREF _Toc321001064 \h </w:instrText>
        </w:r>
        <w:r>
          <w:rPr>
            <w:noProof/>
            <w:webHidden/>
          </w:rPr>
        </w:r>
        <w:r>
          <w:rPr>
            <w:noProof/>
            <w:webHidden/>
          </w:rPr>
          <w:fldChar w:fldCharType="separate"/>
        </w:r>
        <w:r>
          <w:rPr>
            <w:noProof/>
            <w:webHidden/>
          </w:rPr>
          <w:t>15</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65" w:history="1">
        <w:r w:rsidRPr="006857B4">
          <w:rPr>
            <w:rStyle w:val="Hypertextovodkaz"/>
            <w:noProof/>
          </w:rPr>
          <w:t>2.5.2</w:t>
        </w:r>
        <w:r>
          <w:rPr>
            <w:rFonts w:asciiTheme="minorHAnsi" w:eastAsiaTheme="minorEastAsia" w:hAnsiTheme="minorHAnsi" w:cstheme="minorBidi"/>
            <w:noProof/>
            <w:lang w:eastAsia="sk-SK"/>
          </w:rPr>
          <w:tab/>
        </w:r>
        <w:r w:rsidRPr="006857B4">
          <w:rPr>
            <w:rStyle w:val="Hypertextovodkaz"/>
            <w:noProof/>
          </w:rPr>
          <w:t>Funkcie a znaky dokumentárnych akreditívov</w:t>
        </w:r>
        <w:r>
          <w:rPr>
            <w:noProof/>
            <w:webHidden/>
          </w:rPr>
          <w:tab/>
        </w:r>
        <w:r>
          <w:rPr>
            <w:noProof/>
            <w:webHidden/>
          </w:rPr>
          <w:fldChar w:fldCharType="begin"/>
        </w:r>
        <w:r>
          <w:rPr>
            <w:noProof/>
            <w:webHidden/>
          </w:rPr>
          <w:instrText xml:space="preserve"> PAGEREF _Toc321001065 \h </w:instrText>
        </w:r>
        <w:r>
          <w:rPr>
            <w:noProof/>
            <w:webHidden/>
          </w:rPr>
        </w:r>
        <w:r>
          <w:rPr>
            <w:noProof/>
            <w:webHidden/>
          </w:rPr>
          <w:fldChar w:fldCharType="separate"/>
        </w:r>
        <w:r>
          <w:rPr>
            <w:noProof/>
            <w:webHidden/>
          </w:rPr>
          <w:t>15</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66" w:history="1">
        <w:r w:rsidRPr="006857B4">
          <w:rPr>
            <w:rStyle w:val="Hypertextovodkaz"/>
            <w:noProof/>
          </w:rPr>
          <w:t>2.5.3</w:t>
        </w:r>
        <w:r>
          <w:rPr>
            <w:rFonts w:asciiTheme="minorHAnsi" w:eastAsiaTheme="minorEastAsia" w:hAnsiTheme="minorHAnsi" w:cstheme="minorBidi"/>
            <w:noProof/>
            <w:lang w:eastAsia="sk-SK"/>
          </w:rPr>
          <w:tab/>
        </w:r>
        <w:r w:rsidRPr="006857B4">
          <w:rPr>
            <w:rStyle w:val="Hypertextovodkaz"/>
            <w:noProof/>
          </w:rPr>
          <w:t>Priebeh dokumentárneho akreditívu</w:t>
        </w:r>
        <w:r>
          <w:rPr>
            <w:noProof/>
            <w:webHidden/>
          </w:rPr>
          <w:tab/>
        </w:r>
        <w:r>
          <w:rPr>
            <w:noProof/>
            <w:webHidden/>
          </w:rPr>
          <w:fldChar w:fldCharType="begin"/>
        </w:r>
        <w:r>
          <w:rPr>
            <w:noProof/>
            <w:webHidden/>
          </w:rPr>
          <w:instrText xml:space="preserve"> PAGEREF _Toc321001066 \h </w:instrText>
        </w:r>
        <w:r>
          <w:rPr>
            <w:noProof/>
            <w:webHidden/>
          </w:rPr>
        </w:r>
        <w:r>
          <w:rPr>
            <w:noProof/>
            <w:webHidden/>
          </w:rPr>
          <w:fldChar w:fldCharType="separate"/>
        </w:r>
        <w:r>
          <w:rPr>
            <w:noProof/>
            <w:webHidden/>
          </w:rPr>
          <w:t>17</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67" w:history="1">
        <w:r w:rsidRPr="006857B4">
          <w:rPr>
            <w:rStyle w:val="Hypertextovodkaz"/>
            <w:noProof/>
          </w:rPr>
          <w:t>2.5.4</w:t>
        </w:r>
        <w:r>
          <w:rPr>
            <w:rFonts w:asciiTheme="minorHAnsi" w:eastAsiaTheme="minorEastAsia" w:hAnsiTheme="minorHAnsi" w:cstheme="minorBidi"/>
            <w:noProof/>
            <w:lang w:eastAsia="sk-SK"/>
          </w:rPr>
          <w:tab/>
        </w:r>
        <w:r w:rsidRPr="006857B4">
          <w:rPr>
            <w:rStyle w:val="Hypertextovodkaz"/>
            <w:noProof/>
          </w:rPr>
          <w:t>Druhy dokumentárneho akreditívu</w:t>
        </w:r>
        <w:r>
          <w:rPr>
            <w:noProof/>
            <w:webHidden/>
          </w:rPr>
          <w:tab/>
        </w:r>
        <w:r>
          <w:rPr>
            <w:noProof/>
            <w:webHidden/>
          </w:rPr>
          <w:fldChar w:fldCharType="begin"/>
        </w:r>
        <w:r>
          <w:rPr>
            <w:noProof/>
            <w:webHidden/>
          </w:rPr>
          <w:instrText xml:space="preserve"> PAGEREF _Toc321001067 \h </w:instrText>
        </w:r>
        <w:r>
          <w:rPr>
            <w:noProof/>
            <w:webHidden/>
          </w:rPr>
        </w:r>
        <w:r>
          <w:rPr>
            <w:noProof/>
            <w:webHidden/>
          </w:rPr>
          <w:fldChar w:fldCharType="separate"/>
        </w:r>
        <w:r>
          <w:rPr>
            <w:noProof/>
            <w:webHidden/>
          </w:rPr>
          <w:t>19</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68" w:history="1">
        <w:r w:rsidRPr="006857B4">
          <w:rPr>
            <w:rStyle w:val="Hypertextovodkaz"/>
            <w:noProof/>
          </w:rPr>
          <w:t>2.5.5</w:t>
        </w:r>
        <w:r>
          <w:rPr>
            <w:rFonts w:asciiTheme="minorHAnsi" w:eastAsiaTheme="minorEastAsia" w:hAnsiTheme="minorHAnsi" w:cstheme="minorBidi"/>
            <w:noProof/>
            <w:lang w:eastAsia="sk-SK"/>
          </w:rPr>
          <w:tab/>
        </w:r>
        <w:r w:rsidRPr="006857B4">
          <w:rPr>
            <w:rStyle w:val="Hypertextovodkaz"/>
            <w:noProof/>
          </w:rPr>
          <w:t>Eliminácia platobného rizika z dokumentárneho akreditívu</w:t>
        </w:r>
        <w:r>
          <w:rPr>
            <w:noProof/>
            <w:webHidden/>
          </w:rPr>
          <w:tab/>
        </w:r>
        <w:r>
          <w:rPr>
            <w:noProof/>
            <w:webHidden/>
          </w:rPr>
          <w:fldChar w:fldCharType="begin"/>
        </w:r>
        <w:r>
          <w:rPr>
            <w:noProof/>
            <w:webHidden/>
          </w:rPr>
          <w:instrText xml:space="preserve"> PAGEREF _Toc321001068 \h </w:instrText>
        </w:r>
        <w:r>
          <w:rPr>
            <w:noProof/>
            <w:webHidden/>
          </w:rPr>
        </w:r>
        <w:r>
          <w:rPr>
            <w:noProof/>
            <w:webHidden/>
          </w:rPr>
          <w:fldChar w:fldCharType="separate"/>
        </w:r>
        <w:r>
          <w:rPr>
            <w:noProof/>
            <w:webHidden/>
          </w:rPr>
          <w:t>20</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69" w:history="1">
        <w:r w:rsidRPr="006857B4">
          <w:rPr>
            <w:rStyle w:val="Hypertextovodkaz"/>
          </w:rPr>
          <w:t>2.6</w:t>
        </w:r>
        <w:r>
          <w:rPr>
            <w:rFonts w:asciiTheme="minorHAnsi" w:eastAsiaTheme="minorEastAsia" w:hAnsiTheme="minorHAnsi" w:cstheme="minorBidi"/>
            <w:lang w:eastAsia="sk-SK"/>
          </w:rPr>
          <w:tab/>
        </w:r>
        <w:r w:rsidRPr="006857B4">
          <w:rPr>
            <w:rStyle w:val="Hypertextovodkaz"/>
          </w:rPr>
          <w:t>Dokumentárne inkaso</w:t>
        </w:r>
        <w:r>
          <w:rPr>
            <w:webHidden/>
          </w:rPr>
          <w:tab/>
        </w:r>
        <w:r>
          <w:rPr>
            <w:webHidden/>
          </w:rPr>
          <w:fldChar w:fldCharType="begin"/>
        </w:r>
        <w:r>
          <w:rPr>
            <w:webHidden/>
          </w:rPr>
          <w:instrText xml:space="preserve"> PAGEREF _Toc321001069 \h </w:instrText>
        </w:r>
        <w:r>
          <w:rPr>
            <w:webHidden/>
          </w:rPr>
        </w:r>
        <w:r>
          <w:rPr>
            <w:webHidden/>
          </w:rPr>
          <w:fldChar w:fldCharType="separate"/>
        </w:r>
        <w:r>
          <w:rPr>
            <w:webHidden/>
          </w:rPr>
          <w:t>21</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0" w:history="1">
        <w:r w:rsidRPr="006857B4">
          <w:rPr>
            <w:rStyle w:val="Hypertextovodkaz"/>
            <w:noProof/>
          </w:rPr>
          <w:t>2.6.1</w:t>
        </w:r>
        <w:r>
          <w:rPr>
            <w:rFonts w:asciiTheme="minorHAnsi" w:eastAsiaTheme="minorEastAsia" w:hAnsiTheme="minorHAnsi" w:cstheme="minorBidi"/>
            <w:noProof/>
            <w:lang w:eastAsia="sk-SK"/>
          </w:rPr>
          <w:tab/>
        </w:r>
        <w:r w:rsidRPr="006857B4">
          <w:rPr>
            <w:rStyle w:val="Hypertextovodkaz"/>
            <w:noProof/>
          </w:rPr>
          <w:t>Charakteristika dokumentárneho inkasa</w:t>
        </w:r>
        <w:r>
          <w:rPr>
            <w:noProof/>
            <w:webHidden/>
          </w:rPr>
          <w:tab/>
        </w:r>
        <w:r>
          <w:rPr>
            <w:noProof/>
            <w:webHidden/>
          </w:rPr>
          <w:fldChar w:fldCharType="begin"/>
        </w:r>
        <w:r>
          <w:rPr>
            <w:noProof/>
            <w:webHidden/>
          </w:rPr>
          <w:instrText xml:space="preserve"> PAGEREF _Toc321001070 \h </w:instrText>
        </w:r>
        <w:r>
          <w:rPr>
            <w:noProof/>
            <w:webHidden/>
          </w:rPr>
        </w:r>
        <w:r>
          <w:rPr>
            <w:noProof/>
            <w:webHidden/>
          </w:rPr>
          <w:fldChar w:fldCharType="separate"/>
        </w:r>
        <w:r>
          <w:rPr>
            <w:noProof/>
            <w:webHidden/>
          </w:rPr>
          <w:t>21</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1" w:history="1">
        <w:r w:rsidRPr="006857B4">
          <w:rPr>
            <w:rStyle w:val="Hypertextovodkaz"/>
            <w:noProof/>
          </w:rPr>
          <w:t>2.6.2</w:t>
        </w:r>
        <w:r>
          <w:rPr>
            <w:rFonts w:asciiTheme="minorHAnsi" w:eastAsiaTheme="minorEastAsia" w:hAnsiTheme="minorHAnsi" w:cstheme="minorBidi"/>
            <w:noProof/>
            <w:lang w:eastAsia="sk-SK"/>
          </w:rPr>
          <w:tab/>
        </w:r>
        <w:r w:rsidRPr="006857B4">
          <w:rPr>
            <w:rStyle w:val="Hypertextovodkaz"/>
            <w:noProof/>
          </w:rPr>
          <w:t>Priebeh dokumentárneho inkasa</w:t>
        </w:r>
        <w:r>
          <w:rPr>
            <w:noProof/>
            <w:webHidden/>
          </w:rPr>
          <w:tab/>
        </w:r>
        <w:r>
          <w:rPr>
            <w:noProof/>
            <w:webHidden/>
          </w:rPr>
          <w:fldChar w:fldCharType="begin"/>
        </w:r>
        <w:r>
          <w:rPr>
            <w:noProof/>
            <w:webHidden/>
          </w:rPr>
          <w:instrText xml:space="preserve"> PAGEREF _Toc321001071 \h </w:instrText>
        </w:r>
        <w:r>
          <w:rPr>
            <w:noProof/>
            <w:webHidden/>
          </w:rPr>
        </w:r>
        <w:r>
          <w:rPr>
            <w:noProof/>
            <w:webHidden/>
          </w:rPr>
          <w:fldChar w:fldCharType="separate"/>
        </w:r>
        <w:r>
          <w:rPr>
            <w:noProof/>
            <w:webHidden/>
          </w:rPr>
          <w:t>22</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2" w:history="1">
        <w:r w:rsidRPr="006857B4">
          <w:rPr>
            <w:rStyle w:val="Hypertextovodkaz"/>
            <w:noProof/>
          </w:rPr>
          <w:t>2.6.3</w:t>
        </w:r>
        <w:r>
          <w:rPr>
            <w:rFonts w:asciiTheme="minorHAnsi" w:eastAsiaTheme="minorEastAsia" w:hAnsiTheme="minorHAnsi" w:cstheme="minorBidi"/>
            <w:noProof/>
            <w:lang w:eastAsia="sk-SK"/>
          </w:rPr>
          <w:tab/>
        </w:r>
        <w:r w:rsidRPr="006857B4">
          <w:rPr>
            <w:rStyle w:val="Hypertextovodkaz"/>
            <w:noProof/>
          </w:rPr>
          <w:t>Druhy dokumentárneho inkasa</w:t>
        </w:r>
        <w:r>
          <w:rPr>
            <w:noProof/>
            <w:webHidden/>
          </w:rPr>
          <w:tab/>
        </w:r>
        <w:r>
          <w:rPr>
            <w:noProof/>
            <w:webHidden/>
          </w:rPr>
          <w:fldChar w:fldCharType="begin"/>
        </w:r>
        <w:r>
          <w:rPr>
            <w:noProof/>
            <w:webHidden/>
          </w:rPr>
          <w:instrText xml:space="preserve"> PAGEREF _Toc321001072 \h </w:instrText>
        </w:r>
        <w:r>
          <w:rPr>
            <w:noProof/>
            <w:webHidden/>
          </w:rPr>
        </w:r>
        <w:r>
          <w:rPr>
            <w:noProof/>
            <w:webHidden/>
          </w:rPr>
          <w:fldChar w:fldCharType="separate"/>
        </w:r>
        <w:r>
          <w:rPr>
            <w:noProof/>
            <w:webHidden/>
          </w:rPr>
          <w:t>23</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3" w:history="1">
        <w:r w:rsidRPr="006857B4">
          <w:rPr>
            <w:rStyle w:val="Hypertextovodkaz"/>
            <w:noProof/>
          </w:rPr>
          <w:t>2.6.4</w:t>
        </w:r>
        <w:r>
          <w:rPr>
            <w:rFonts w:asciiTheme="minorHAnsi" w:eastAsiaTheme="minorEastAsia" w:hAnsiTheme="minorHAnsi" w:cstheme="minorBidi"/>
            <w:noProof/>
            <w:lang w:eastAsia="sk-SK"/>
          </w:rPr>
          <w:tab/>
        </w:r>
        <w:r w:rsidRPr="006857B4">
          <w:rPr>
            <w:rStyle w:val="Hypertextovodkaz"/>
            <w:noProof/>
          </w:rPr>
          <w:t>Eliminácia platobného rizika z dokumentárneho inkasa</w:t>
        </w:r>
        <w:r>
          <w:rPr>
            <w:noProof/>
            <w:webHidden/>
          </w:rPr>
          <w:tab/>
        </w:r>
        <w:r>
          <w:rPr>
            <w:noProof/>
            <w:webHidden/>
          </w:rPr>
          <w:fldChar w:fldCharType="begin"/>
        </w:r>
        <w:r>
          <w:rPr>
            <w:noProof/>
            <w:webHidden/>
          </w:rPr>
          <w:instrText xml:space="preserve"> PAGEREF _Toc321001073 \h </w:instrText>
        </w:r>
        <w:r>
          <w:rPr>
            <w:noProof/>
            <w:webHidden/>
          </w:rPr>
        </w:r>
        <w:r>
          <w:rPr>
            <w:noProof/>
            <w:webHidden/>
          </w:rPr>
          <w:fldChar w:fldCharType="separate"/>
        </w:r>
        <w:r>
          <w:rPr>
            <w:noProof/>
            <w:webHidden/>
          </w:rPr>
          <w:t>24</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74" w:history="1">
        <w:r w:rsidRPr="006857B4">
          <w:rPr>
            <w:rStyle w:val="Hypertextovodkaz"/>
          </w:rPr>
          <w:t>2.7</w:t>
        </w:r>
        <w:r>
          <w:rPr>
            <w:rFonts w:asciiTheme="minorHAnsi" w:eastAsiaTheme="minorEastAsia" w:hAnsiTheme="minorHAnsi" w:cstheme="minorBidi"/>
            <w:lang w:eastAsia="sk-SK"/>
          </w:rPr>
          <w:tab/>
        </w:r>
        <w:r w:rsidRPr="006857B4">
          <w:rPr>
            <w:rStyle w:val="Hypertextovodkaz"/>
          </w:rPr>
          <w:t>Zmenky</w:t>
        </w:r>
        <w:r>
          <w:rPr>
            <w:webHidden/>
          </w:rPr>
          <w:tab/>
        </w:r>
        <w:r>
          <w:rPr>
            <w:webHidden/>
          </w:rPr>
          <w:fldChar w:fldCharType="begin"/>
        </w:r>
        <w:r>
          <w:rPr>
            <w:webHidden/>
          </w:rPr>
          <w:instrText xml:space="preserve"> PAGEREF _Toc321001074 \h </w:instrText>
        </w:r>
        <w:r>
          <w:rPr>
            <w:webHidden/>
          </w:rPr>
        </w:r>
        <w:r>
          <w:rPr>
            <w:webHidden/>
          </w:rPr>
          <w:fldChar w:fldCharType="separate"/>
        </w:r>
        <w:r>
          <w:rPr>
            <w:webHidden/>
          </w:rPr>
          <w:t>24</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5" w:history="1">
        <w:r w:rsidRPr="006857B4">
          <w:rPr>
            <w:rStyle w:val="Hypertextovodkaz"/>
            <w:noProof/>
          </w:rPr>
          <w:t>2.7.1</w:t>
        </w:r>
        <w:r>
          <w:rPr>
            <w:rFonts w:asciiTheme="minorHAnsi" w:eastAsiaTheme="minorEastAsia" w:hAnsiTheme="minorHAnsi" w:cstheme="minorBidi"/>
            <w:noProof/>
            <w:lang w:eastAsia="sk-SK"/>
          </w:rPr>
          <w:tab/>
        </w:r>
        <w:r w:rsidRPr="006857B4">
          <w:rPr>
            <w:rStyle w:val="Hypertextovodkaz"/>
            <w:noProof/>
          </w:rPr>
          <w:t>História a vývoj zmenky</w:t>
        </w:r>
        <w:r>
          <w:rPr>
            <w:noProof/>
            <w:webHidden/>
          </w:rPr>
          <w:tab/>
        </w:r>
        <w:r>
          <w:rPr>
            <w:noProof/>
            <w:webHidden/>
          </w:rPr>
          <w:fldChar w:fldCharType="begin"/>
        </w:r>
        <w:r>
          <w:rPr>
            <w:noProof/>
            <w:webHidden/>
          </w:rPr>
          <w:instrText xml:space="preserve"> PAGEREF _Toc321001075 \h </w:instrText>
        </w:r>
        <w:r>
          <w:rPr>
            <w:noProof/>
            <w:webHidden/>
          </w:rPr>
        </w:r>
        <w:r>
          <w:rPr>
            <w:noProof/>
            <w:webHidden/>
          </w:rPr>
          <w:fldChar w:fldCharType="separate"/>
        </w:r>
        <w:r>
          <w:rPr>
            <w:noProof/>
            <w:webHidden/>
          </w:rPr>
          <w:t>25</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6" w:history="1">
        <w:r w:rsidRPr="006857B4">
          <w:rPr>
            <w:rStyle w:val="Hypertextovodkaz"/>
            <w:noProof/>
          </w:rPr>
          <w:t>2.7.2</w:t>
        </w:r>
        <w:r>
          <w:rPr>
            <w:rFonts w:asciiTheme="minorHAnsi" w:eastAsiaTheme="minorEastAsia" w:hAnsiTheme="minorHAnsi" w:cstheme="minorBidi"/>
            <w:noProof/>
            <w:lang w:eastAsia="sk-SK"/>
          </w:rPr>
          <w:tab/>
        </w:r>
        <w:r w:rsidRPr="006857B4">
          <w:rPr>
            <w:rStyle w:val="Hypertextovodkaz"/>
            <w:noProof/>
          </w:rPr>
          <w:t>Druhy zmeniek</w:t>
        </w:r>
        <w:r>
          <w:rPr>
            <w:noProof/>
            <w:webHidden/>
          </w:rPr>
          <w:tab/>
        </w:r>
        <w:r>
          <w:rPr>
            <w:noProof/>
            <w:webHidden/>
          </w:rPr>
          <w:fldChar w:fldCharType="begin"/>
        </w:r>
        <w:r>
          <w:rPr>
            <w:noProof/>
            <w:webHidden/>
          </w:rPr>
          <w:instrText xml:space="preserve"> PAGEREF _Toc321001076 \h </w:instrText>
        </w:r>
        <w:r>
          <w:rPr>
            <w:noProof/>
            <w:webHidden/>
          </w:rPr>
        </w:r>
        <w:r>
          <w:rPr>
            <w:noProof/>
            <w:webHidden/>
          </w:rPr>
          <w:fldChar w:fldCharType="separate"/>
        </w:r>
        <w:r>
          <w:rPr>
            <w:noProof/>
            <w:webHidden/>
          </w:rPr>
          <w:t>26</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7" w:history="1">
        <w:r w:rsidRPr="006857B4">
          <w:rPr>
            <w:rStyle w:val="Hypertextovodkaz"/>
            <w:noProof/>
          </w:rPr>
          <w:t>2.7.3</w:t>
        </w:r>
        <w:r>
          <w:rPr>
            <w:rFonts w:asciiTheme="minorHAnsi" w:eastAsiaTheme="minorEastAsia" w:hAnsiTheme="minorHAnsi" w:cstheme="minorBidi"/>
            <w:noProof/>
            <w:lang w:eastAsia="sk-SK"/>
          </w:rPr>
          <w:tab/>
        </w:r>
        <w:r w:rsidRPr="006857B4">
          <w:rPr>
            <w:rStyle w:val="Hypertextovodkaz"/>
            <w:noProof/>
          </w:rPr>
          <w:t>Zmenkové doložky</w:t>
        </w:r>
        <w:r>
          <w:rPr>
            <w:noProof/>
            <w:webHidden/>
          </w:rPr>
          <w:tab/>
        </w:r>
        <w:r>
          <w:rPr>
            <w:noProof/>
            <w:webHidden/>
          </w:rPr>
          <w:fldChar w:fldCharType="begin"/>
        </w:r>
        <w:r>
          <w:rPr>
            <w:noProof/>
            <w:webHidden/>
          </w:rPr>
          <w:instrText xml:space="preserve"> PAGEREF _Toc321001077 \h </w:instrText>
        </w:r>
        <w:r>
          <w:rPr>
            <w:noProof/>
            <w:webHidden/>
          </w:rPr>
        </w:r>
        <w:r>
          <w:rPr>
            <w:noProof/>
            <w:webHidden/>
          </w:rPr>
          <w:fldChar w:fldCharType="separate"/>
        </w:r>
        <w:r>
          <w:rPr>
            <w:noProof/>
            <w:webHidden/>
          </w:rPr>
          <w:t>29</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8" w:history="1">
        <w:r w:rsidRPr="006857B4">
          <w:rPr>
            <w:rStyle w:val="Hypertextovodkaz"/>
            <w:noProof/>
          </w:rPr>
          <w:t>2.7.4</w:t>
        </w:r>
        <w:r>
          <w:rPr>
            <w:rFonts w:asciiTheme="minorHAnsi" w:eastAsiaTheme="minorEastAsia" w:hAnsiTheme="minorHAnsi" w:cstheme="minorBidi"/>
            <w:noProof/>
            <w:lang w:eastAsia="sk-SK"/>
          </w:rPr>
          <w:tab/>
        </w:r>
        <w:r w:rsidRPr="006857B4">
          <w:rPr>
            <w:rStyle w:val="Hypertextovodkaz"/>
            <w:noProof/>
          </w:rPr>
          <w:t>Funkcie zmenky</w:t>
        </w:r>
        <w:r>
          <w:rPr>
            <w:noProof/>
            <w:webHidden/>
          </w:rPr>
          <w:tab/>
        </w:r>
        <w:r>
          <w:rPr>
            <w:noProof/>
            <w:webHidden/>
          </w:rPr>
          <w:fldChar w:fldCharType="begin"/>
        </w:r>
        <w:r>
          <w:rPr>
            <w:noProof/>
            <w:webHidden/>
          </w:rPr>
          <w:instrText xml:space="preserve"> PAGEREF _Toc321001078 \h </w:instrText>
        </w:r>
        <w:r>
          <w:rPr>
            <w:noProof/>
            <w:webHidden/>
          </w:rPr>
        </w:r>
        <w:r>
          <w:rPr>
            <w:noProof/>
            <w:webHidden/>
          </w:rPr>
          <w:fldChar w:fldCharType="separate"/>
        </w:r>
        <w:r>
          <w:rPr>
            <w:noProof/>
            <w:webHidden/>
          </w:rPr>
          <w:t>30</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79" w:history="1">
        <w:r w:rsidRPr="006857B4">
          <w:rPr>
            <w:rStyle w:val="Hypertextovodkaz"/>
            <w:noProof/>
          </w:rPr>
          <w:t>2.7.5</w:t>
        </w:r>
        <w:r>
          <w:rPr>
            <w:rFonts w:asciiTheme="minorHAnsi" w:eastAsiaTheme="minorEastAsia" w:hAnsiTheme="minorHAnsi" w:cstheme="minorBidi"/>
            <w:noProof/>
            <w:lang w:eastAsia="sk-SK"/>
          </w:rPr>
          <w:tab/>
        </w:r>
        <w:r w:rsidRPr="006857B4">
          <w:rPr>
            <w:rStyle w:val="Hypertextovodkaz"/>
            <w:noProof/>
          </w:rPr>
          <w:t>Elimininácia platobného rizika so zmenkami</w:t>
        </w:r>
        <w:r>
          <w:rPr>
            <w:noProof/>
            <w:webHidden/>
          </w:rPr>
          <w:tab/>
        </w:r>
        <w:r>
          <w:rPr>
            <w:noProof/>
            <w:webHidden/>
          </w:rPr>
          <w:fldChar w:fldCharType="begin"/>
        </w:r>
        <w:r>
          <w:rPr>
            <w:noProof/>
            <w:webHidden/>
          </w:rPr>
          <w:instrText xml:space="preserve"> PAGEREF _Toc321001079 \h </w:instrText>
        </w:r>
        <w:r>
          <w:rPr>
            <w:noProof/>
            <w:webHidden/>
          </w:rPr>
        </w:r>
        <w:r>
          <w:rPr>
            <w:noProof/>
            <w:webHidden/>
          </w:rPr>
          <w:fldChar w:fldCharType="separate"/>
        </w:r>
        <w:r>
          <w:rPr>
            <w:noProof/>
            <w:webHidden/>
          </w:rPr>
          <w:t>31</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80" w:history="1">
        <w:r w:rsidRPr="006857B4">
          <w:rPr>
            <w:rStyle w:val="Hypertextovodkaz"/>
          </w:rPr>
          <w:t>2.8</w:t>
        </w:r>
        <w:r>
          <w:rPr>
            <w:rFonts w:asciiTheme="minorHAnsi" w:eastAsiaTheme="minorEastAsia" w:hAnsiTheme="minorHAnsi" w:cstheme="minorBidi"/>
            <w:lang w:eastAsia="sk-SK"/>
          </w:rPr>
          <w:tab/>
        </w:r>
        <w:r w:rsidRPr="006857B4">
          <w:rPr>
            <w:rStyle w:val="Hypertextovodkaz"/>
          </w:rPr>
          <w:t>Bankové záruky</w:t>
        </w:r>
        <w:r>
          <w:rPr>
            <w:webHidden/>
          </w:rPr>
          <w:tab/>
        </w:r>
        <w:r>
          <w:rPr>
            <w:webHidden/>
          </w:rPr>
          <w:fldChar w:fldCharType="begin"/>
        </w:r>
        <w:r>
          <w:rPr>
            <w:webHidden/>
          </w:rPr>
          <w:instrText xml:space="preserve"> PAGEREF _Toc321001080 \h </w:instrText>
        </w:r>
        <w:r>
          <w:rPr>
            <w:webHidden/>
          </w:rPr>
        </w:r>
        <w:r>
          <w:rPr>
            <w:webHidden/>
          </w:rPr>
          <w:fldChar w:fldCharType="separate"/>
        </w:r>
        <w:r>
          <w:rPr>
            <w:webHidden/>
          </w:rPr>
          <w:t>32</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81" w:history="1">
        <w:r w:rsidRPr="006857B4">
          <w:rPr>
            <w:rStyle w:val="Hypertextovodkaz"/>
            <w:noProof/>
          </w:rPr>
          <w:t>2.8.1</w:t>
        </w:r>
        <w:r>
          <w:rPr>
            <w:rFonts w:asciiTheme="minorHAnsi" w:eastAsiaTheme="minorEastAsia" w:hAnsiTheme="minorHAnsi" w:cstheme="minorBidi"/>
            <w:noProof/>
            <w:lang w:eastAsia="sk-SK"/>
          </w:rPr>
          <w:tab/>
        </w:r>
        <w:r w:rsidRPr="006857B4">
          <w:rPr>
            <w:rStyle w:val="Hypertextovodkaz"/>
            <w:noProof/>
          </w:rPr>
          <w:t>Charakteristika bankových záruk</w:t>
        </w:r>
        <w:r>
          <w:rPr>
            <w:noProof/>
            <w:webHidden/>
          </w:rPr>
          <w:tab/>
        </w:r>
        <w:r>
          <w:rPr>
            <w:noProof/>
            <w:webHidden/>
          </w:rPr>
          <w:fldChar w:fldCharType="begin"/>
        </w:r>
        <w:r>
          <w:rPr>
            <w:noProof/>
            <w:webHidden/>
          </w:rPr>
          <w:instrText xml:space="preserve"> PAGEREF _Toc321001081 \h </w:instrText>
        </w:r>
        <w:r>
          <w:rPr>
            <w:noProof/>
            <w:webHidden/>
          </w:rPr>
        </w:r>
        <w:r>
          <w:rPr>
            <w:noProof/>
            <w:webHidden/>
          </w:rPr>
          <w:fldChar w:fldCharType="separate"/>
        </w:r>
        <w:r>
          <w:rPr>
            <w:noProof/>
            <w:webHidden/>
          </w:rPr>
          <w:t>32</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82" w:history="1">
        <w:r w:rsidRPr="006857B4">
          <w:rPr>
            <w:rStyle w:val="Hypertextovodkaz"/>
            <w:noProof/>
          </w:rPr>
          <w:t>2.8.2</w:t>
        </w:r>
        <w:r>
          <w:rPr>
            <w:rFonts w:asciiTheme="minorHAnsi" w:eastAsiaTheme="minorEastAsia" w:hAnsiTheme="minorHAnsi" w:cstheme="minorBidi"/>
            <w:noProof/>
            <w:lang w:eastAsia="sk-SK"/>
          </w:rPr>
          <w:tab/>
        </w:r>
        <w:r w:rsidRPr="006857B4">
          <w:rPr>
            <w:rStyle w:val="Hypertextovodkaz"/>
            <w:noProof/>
          </w:rPr>
          <w:t>Druhy bankových záruk</w:t>
        </w:r>
        <w:r>
          <w:rPr>
            <w:noProof/>
            <w:webHidden/>
          </w:rPr>
          <w:tab/>
        </w:r>
        <w:r>
          <w:rPr>
            <w:noProof/>
            <w:webHidden/>
          </w:rPr>
          <w:fldChar w:fldCharType="begin"/>
        </w:r>
        <w:r>
          <w:rPr>
            <w:noProof/>
            <w:webHidden/>
          </w:rPr>
          <w:instrText xml:space="preserve"> PAGEREF _Toc321001082 \h </w:instrText>
        </w:r>
        <w:r>
          <w:rPr>
            <w:noProof/>
            <w:webHidden/>
          </w:rPr>
        </w:r>
        <w:r>
          <w:rPr>
            <w:noProof/>
            <w:webHidden/>
          </w:rPr>
          <w:fldChar w:fldCharType="separate"/>
        </w:r>
        <w:r>
          <w:rPr>
            <w:noProof/>
            <w:webHidden/>
          </w:rPr>
          <w:t>32</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83" w:history="1">
        <w:r w:rsidRPr="006857B4">
          <w:rPr>
            <w:rStyle w:val="Hypertextovodkaz"/>
            <w:noProof/>
          </w:rPr>
          <w:t>2.8.3</w:t>
        </w:r>
        <w:r>
          <w:rPr>
            <w:rFonts w:asciiTheme="minorHAnsi" w:eastAsiaTheme="minorEastAsia" w:hAnsiTheme="minorHAnsi" w:cstheme="minorBidi"/>
            <w:noProof/>
            <w:lang w:eastAsia="sk-SK"/>
          </w:rPr>
          <w:tab/>
        </w:r>
        <w:r w:rsidRPr="006857B4">
          <w:rPr>
            <w:rStyle w:val="Hypertextovodkaz"/>
            <w:noProof/>
          </w:rPr>
          <w:t>Medzinárodné normy pre bankové záruky</w:t>
        </w:r>
        <w:r>
          <w:rPr>
            <w:noProof/>
            <w:webHidden/>
          </w:rPr>
          <w:tab/>
        </w:r>
        <w:r>
          <w:rPr>
            <w:noProof/>
            <w:webHidden/>
          </w:rPr>
          <w:fldChar w:fldCharType="begin"/>
        </w:r>
        <w:r>
          <w:rPr>
            <w:noProof/>
            <w:webHidden/>
          </w:rPr>
          <w:instrText xml:space="preserve"> PAGEREF _Toc321001083 \h </w:instrText>
        </w:r>
        <w:r>
          <w:rPr>
            <w:noProof/>
            <w:webHidden/>
          </w:rPr>
        </w:r>
        <w:r>
          <w:rPr>
            <w:noProof/>
            <w:webHidden/>
          </w:rPr>
          <w:fldChar w:fldCharType="separate"/>
        </w:r>
        <w:r>
          <w:rPr>
            <w:noProof/>
            <w:webHidden/>
          </w:rPr>
          <w:t>33</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84" w:history="1">
        <w:r w:rsidRPr="006857B4">
          <w:rPr>
            <w:rStyle w:val="Hypertextovodkaz"/>
          </w:rPr>
          <w:t>2.9</w:t>
        </w:r>
        <w:r>
          <w:rPr>
            <w:rFonts w:asciiTheme="minorHAnsi" w:eastAsiaTheme="minorEastAsia" w:hAnsiTheme="minorHAnsi" w:cstheme="minorBidi"/>
            <w:lang w:eastAsia="sk-SK"/>
          </w:rPr>
          <w:tab/>
        </w:r>
        <w:r w:rsidRPr="006857B4">
          <w:rPr>
            <w:rStyle w:val="Hypertextovodkaz"/>
          </w:rPr>
          <w:t>Faktoring</w:t>
        </w:r>
        <w:r>
          <w:rPr>
            <w:webHidden/>
          </w:rPr>
          <w:tab/>
        </w:r>
        <w:r>
          <w:rPr>
            <w:webHidden/>
          </w:rPr>
          <w:fldChar w:fldCharType="begin"/>
        </w:r>
        <w:r>
          <w:rPr>
            <w:webHidden/>
          </w:rPr>
          <w:instrText xml:space="preserve"> PAGEREF _Toc321001084 \h </w:instrText>
        </w:r>
        <w:r>
          <w:rPr>
            <w:webHidden/>
          </w:rPr>
        </w:r>
        <w:r>
          <w:rPr>
            <w:webHidden/>
          </w:rPr>
          <w:fldChar w:fldCharType="separate"/>
        </w:r>
        <w:r>
          <w:rPr>
            <w:webHidden/>
          </w:rPr>
          <w:t>34</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85" w:history="1">
        <w:r w:rsidRPr="006857B4">
          <w:rPr>
            <w:rStyle w:val="Hypertextovodkaz"/>
            <w:noProof/>
          </w:rPr>
          <w:t>2.9.1</w:t>
        </w:r>
        <w:r>
          <w:rPr>
            <w:rFonts w:asciiTheme="minorHAnsi" w:eastAsiaTheme="minorEastAsia" w:hAnsiTheme="minorHAnsi" w:cstheme="minorBidi"/>
            <w:noProof/>
            <w:lang w:eastAsia="sk-SK"/>
          </w:rPr>
          <w:tab/>
        </w:r>
        <w:r w:rsidRPr="006857B4">
          <w:rPr>
            <w:rStyle w:val="Hypertextovodkaz"/>
            <w:noProof/>
          </w:rPr>
          <w:t>Charakter faktoringovateľných pohľadávok</w:t>
        </w:r>
        <w:r>
          <w:rPr>
            <w:noProof/>
            <w:webHidden/>
          </w:rPr>
          <w:tab/>
        </w:r>
        <w:r>
          <w:rPr>
            <w:noProof/>
            <w:webHidden/>
          </w:rPr>
          <w:fldChar w:fldCharType="begin"/>
        </w:r>
        <w:r>
          <w:rPr>
            <w:noProof/>
            <w:webHidden/>
          </w:rPr>
          <w:instrText xml:space="preserve"> PAGEREF _Toc321001085 \h </w:instrText>
        </w:r>
        <w:r>
          <w:rPr>
            <w:noProof/>
            <w:webHidden/>
          </w:rPr>
        </w:r>
        <w:r>
          <w:rPr>
            <w:noProof/>
            <w:webHidden/>
          </w:rPr>
          <w:fldChar w:fldCharType="separate"/>
        </w:r>
        <w:r>
          <w:rPr>
            <w:noProof/>
            <w:webHidden/>
          </w:rPr>
          <w:t>36</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86" w:history="1">
        <w:r w:rsidRPr="006857B4">
          <w:rPr>
            <w:rStyle w:val="Hypertextovodkaz"/>
            <w:noProof/>
          </w:rPr>
          <w:t>2.9.2</w:t>
        </w:r>
        <w:r>
          <w:rPr>
            <w:rFonts w:asciiTheme="minorHAnsi" w:eastAsiaTheme="minorEastAsia" w:hAnsiTheme="minorHAnsi" w:cstheme="minorBidi"/>
            <w:noProof/>
            <w:lang w:eastAsia="sk-SK"/>
          </w:rPr>
          <w:tab/>
        </w:r>
        <w:r w:rsidRPr="006857B4">
          <w:rPr>
            <w:rStyle w:val="Hypertextovodkaz"/>
            <w:noProof/>
          </w:rPr>
          <w:t>Priebeh faktoringovej operácie</w:t>
        </w:r>
        <w:r>
          <w:rPr>
            <w:noProof/>
            <w:webHidden/>
          </w:rPr>
          <w:tab/>
        </w:r>
        <w:r>
          <w:rPr>
            <w:noProof/>
            <w:webHidden/>
          </w:rPr>
          <w:fldChar w:fldCharType="begin"/>
        </w:r>
        <w:r>
          <w:rPr>
            <w:noProof/>
            <w:webHidden/>
          </w:rPr>
          <w:instrText xml:space="preserve"> PAGEREF _Toc321001086 \h </w:instrText>
        </w:r>
        <w:r>
          <w:rPr>
            <w:noProof/>
            <w:webHidden/>
          </w:rPr>
        </w:r>
        <w:r>
          <w:rPr>
            <w:noProof/>
            <w:webHidden/>
          </w:rPr>
          <w:fldChar w:fldCharType="separate"/>
        </w:r>
        <w:r>
          <w:rPr>
            <w:noProof/>
            <w:webHidden/>
          </w:rPr>
          <w:t>37</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87" w:history="1">
        <w:r w:rsidRPr="006857B4">
          <w:rPr>
            <w:rStyle w:val="Hypertextovodkaz"/>
            <w:noProof/>
          </w:rPr>
          <w:t>2.9.3</w:t>
        </w:r>
        <w:r>
          <w:rPr>
            <w:rFonts w:asciiTheme="minorHAnsi" w:eastAsiaTheme="minorEastAsia" w:hAnsiTheme="minorHAnsi" w:cstheme="minorBidi"/>
            <w:noProof/>
            <w:lang w:eastAsia="sk-SK"/>
          </w:rPr>
          <w:tab/>
        </w:r>
        <w:r w:rsidRPr="006857B4">
          <w:rPr>
            <w:rStyle w:val="Hypertextovodkaz"/>
            <w:noProof/>
          </w:rPr>
          <w:t>Eliminácia platobného rizika z faktoringu</w:t>
        </w:r>
        <w:r>
          <w:rPr>
            <w:noProof/>
            <w:webHidden/>
          </w:rPr>
          <w:tab/>
        </w:r>
        <w:r>
          <w:rPr>
            <w:noProof/>
            <w:webHidden/>
          </w:rPr>
          <w:fldChar w:fldCharType="begin"/>
        </w:r>
        <w:r>
          <w:rPr>
            <w:noProof/>
            <w:webHidden/>
          </w:rPr>
          <w:instrText xml:space="preserve"> PAGEREF _Toc321001087 \h </w:instrText>
        </w:r>
        <w:r>
          <w:rPr>
            <w:noProof/>
            <w:webHidden/>
          </w:rPr>
        </w:r>
        <w:r>
          <w:rPr>
            <w:noProof/>
            <w:webHidden/>
          </w:rPr>
          <w:fldChar w:fldCharType="separate"/>
        </w:r>
        <w:r>
          <w:rPr>
            <w:noProof/>
            <w:webHidden/>
          </w:rPr>
          <w:t>38</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88" w:history="1">
        <w:r w:rsidRPr="006857B4">
          <w:rPr>
            <w:rStyle w:val="Hypertextovodkaz"/>
          </w:rPr>
          <w:t>2.10</w:t>
        </w:r>
        <w:r>
          <w:rPr>
            <w:rFonts w:asciiTheme="minorHAnsi" w:eastAsiaTheme="minorEastAsia" w:hAnsiTheme="minorHAnsi" w:cstheme="minorBidi"/>
            <w:lang w:eastAsia="sk-SK"/>
          </w:rPr>
          <w:tab/>
          <w:t xml:space="preserve"> </w:t>
        </w:r>
        <w:r w:rsidRPr="006857B4">
          <w:rPr>
            <w:rStyle w:val="Hypertextovodkaz"/>
          </w:rPr>
          <w:t>Forfaiting</w:t>
        </w:r>
        <w:r>
          <w:rPr>
            <w:webHidden/>
          </w:rPr>
          <w:tab/>
        </w:r>
        <w:r>
          <w:rPr>
            <w:webHidden/>
          </w:rPr>
          <w:fldChar w:fldCharType="begin"/>
        </w:r>
        <w:r>
          <w:rPr>
            <w:webHidden/>
          </w:rPr>
          <w:instrText xml:space="preserve"> PAGEREF _Toc321001088 \h </w:instrText>
        </w:r>
        <w:r>
          <w:rPr>
            <w:webHidden/>
          </w:rPr>
        </w:r>
        <w:r>
          <w:rPr>
            <w:webHidden/>
          </w:rPr>
          <w:fldChar w:fldCharType="separate"/>
        </w:r>
        <w:r>
          <w:rPr>
            <w:webHidden/>
          </w:rPr>
          <w:t>39</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89" w:history="1">
        <w:r w:rsidRPr="006857B4">
          <w:rPr>
            <w:rStyle w:val="Hypertextovodkaz"/>
            <w:noProof/>
          </w:rPr>
          <w:t>2.10.1</w:t>
        </w:r>
        <w:r>
          <w:rPr>
            <w:rFonts w:asciiTheme="minorHAnsi" w:eastAsiaTheme="minorEastAsia" w:hAnsiTheme="minorHAnsi" w:cstheme="minorBidi"/>
            <w:noProof/>
            <w:lang w:eastAsia="sk-SK"/>
          </w:rPr>
          <w:tab/>
        </w:r>
        <w:r w:rsidRPr="006857B4">
          <w:rPr>
            <w:rStyle w:val="Hypertextovodkaz"/>
            <w:noProof/>
          </w:rPr>
          <w:t>Charakter  forfaitovateľných pohľadávok</w:t>
        </w:r>
        <w:r>
          <w:rPr>
            <w:noProof/>
            <w:webHidden/>
          </w:rPr>
          <w:tab/>
        </w:r>
        <w:r>
          <w:rPr>
            <w:noProof/>
            <w:webHidden/>
          </w:rPr>
          <w:fldChar w:fldCharType="begin"/>
        </w:r>
        <w:r>
          <w:rPr>
            <w:noProof/>
            <w:webHidden/>
          </w:rPr>
          <w:instrText xml:space="preserve"> PAGEREF _Toc321001089 \h </w:instrText>
        </w:r>
        <w:r>
          <w:rPr>
            <w:noProof/>
            <w:webHidden/>
          </w:rPr>
        </w:r>
        <w:r>
          <w:rPr>
            <w:noProof/>
            <w:webHidden/>
          </w:rPr>
          <w:fldChar w:fldCharType="separate"/>
        </w:r>
        <w:r>
          <w:rPr>
            <w:noProof/>
            <w:webHidden/>
          </w:rPr>
          <w:t>40</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0" w:history="1">
        <w:r w:rsidRPr="006857B4">
          <w:rPr>
            <w:rStyle w:val="Hypertextovodkaz"/>
            <w:noProof/>
          </w:rPr>
          <w:t>2.10.2</w:t>
        </w:r>
        <w:r>
          <w:rPr>
            <w:rFonts w:asciiTheme="minorHAnsi" w:eastAsiaTheme="minorEastAsia" w:hAnsiTheme="minorHAnsi" w:cstheme="minorBidi"/>
            <w:noProof/>
            <w:lang w:eastAsia="sk-SK"/>
          </w:rPr>
          <w:tab/>
        </w:r>
        <w:r w:rsidRPr="006857B4">
          <w:rPr>
            <w:rStyle w:val="Hypertextovodkaz"/>
            <w:noProof/>
          </w:rPr>
          <w:t>Priebeh forfaitingovej operácie</w:t>
        </w:r>
        <w:r>
          <w:rPr>
            <w:noProof/>
            <w:webHidden/>
          </w:rPr>
          <w:tab/>
        </w:r>
        <w:r>
          <w:rPr>
            <w:noProof/>
            <w:webHidden/>
          </w:rPr>
          <w:fldChar w:fldCharType="begin"/>
        </w:r>
        <w:r>
          <w:rPr>
            <w:noProof/>
            <w:webHidden/>
          </w:rPr>
          <w:instrText xml:space="preserve"> PAGEREF _Toc321001090 \h </w:instrText>
        </w:r>
        <w:r>
          <w:rPr>
            <w:noProof/>
            <w:webHidden/>
          </w:rPr>
        </w:r>
        <w:r>
          <w:rPr>
            <w:noProof/>
            <w:webHidden/>
          </w:rPr>
          <w:fldChar w:fldCharType="separate"/>
        </w:r>
        <w:r>
          <w:rPr>
            <w:noProof/>
            <w:webHidden/>
          </w:rPr>
          <w:t>40</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1" w:history="1">
        <w:r w:rsidRPr="006857B4">
          <w:rPr>
            <w:rStyle w:val="Hypertextovodkaz"/>
            <w:noProof/>
          </w:rPr>
          <w:t>2.10.3</w:t>
        </w:r>
        <w:r>
          <w:rPr>
            <w:rFonts w:asciiTheme="minorHAnsi" w:eastAsiaTheme="minorEastAsia" w:hAnsiTheme="minorHAnsi" w:cstheme="minorBidi"/>
            <w:noProof/>
            <w:lang w:eastAsia="sk-SK"/>
          </w:rPr>
          <w:tab/>
        </w:r>
        <w:r w:rsidRPr="006857B4">
          <w:rPr>
            <w:rStyle w:val="Hypertextovodkaz"/>
            <w:noProof/>
          </w:rPr>
          <w:t>Eliminácia platobného rizika z forfaitingu</w:t>
        </w:r>
        <w:r>
          <w:rPr>
            <w:noProof/>
            <w:webHidden/>
          </w:rPr>
          <w:tab/>
        </w:r>
        <w:r>
          <w:rPr>
            <w:noProof/>
            <w:webHidden/>
          </w:rPr>
          <w:fldChar w:fldCharType="begin"/>
        </w:r>
        <w:r>
          <w:rPr>
            <w:noProof/>
            <w:webHidden/>
          </w:rPr>
          <w:instrText xml:space="preserve"> PAGEREF _Toc321001091 \h </w:instrText>
        </w:r>
        <w:r>
          <w:rPr>
            <w:noProof/>
            <w:webHidden/>
          </w:rPr>
        </w:r>
        <w:r>
          <w:rPr>
            <w:noProof/>
            <w:webHidden/>
          </w:rPr>
          <w:fldChar w:fldCharType="separate"/>
        </w:r>
        <w:r>
          <w:rPr>
            <w:noProof/>
            <w:webHidden/>
          </w:rPr>
          <w:t>41</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92" w:history="1">
        <w:r w:rsidRPr="006857B4">
          <w:rPr>
            <w:rStyle w:val="Hypertextovodkaz"/>
          </w:rPr>
          <w:t>2.11</w:t>
        </w:r>
        <w:r>
          <w:rPr>
            <w:rFonts w:asciiTheme="minorHAnsi" w:eastAsiaTheme="minorEastAsia" w:hAnsiTheme="minorHAnsi" w:cstheme="minorBidi"/>
            <w:lang w:eastAsia="sk-SK"/>
          </w:rPr>
          <w:tab/>
          <w:t xml:space="preserve"> </w:t>
        </w:r>
        <w:r w:rsidRPr="006857B4">
          <w:rPr>
            <w:rStyle w:val="Hypertextovodkaz"/>
          </w:rPr>
          <w:t>Šeky</w:t>
        </w:r>
        <w:r>
          <w:rPr>
            <w:webHidden/>
          </w:rPr>
          <w:tab/>
        </w:r>
        <w:r>
          <w:rPr>
            <w:webHidden/>
          </w:rPr>
          <w:fldChar w:fldCharType="begin"/>
        </w:r>
        <w:r>
          <w:rPr>
            <w:webHidden/>
          </w:rPr>
          <w:instrText xml:space="preserve"> PAGEREF _Toc321001092 \h </w:instrText>
        </w:r>
        <w:r>
          <w:rPr>
            <w:webHidden/>
          </w:rPr>
        </w:r>
        <w:r>
          <w:rPr>
            <w:webHidden/>
          </w:rPr>
          <w:fldChar w:fldCharType="separate"/>
        </w:r>
        <w:r>
          <w:rPr>
            <w:webHidden/>
          </w:rPr>
          <w:t>42</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3" w:history="1">
        <w:r w:rsidRPr="006857B4">
          <w:rPr>
            <w:rStyle w:val="Hypertextovodkaz"/>
            <w:noProof/>
          </w:rPr>
          <w:t>2.11.1</w:t>
        </w:r>
        <w:r>
          <w:rPr>
            <w:rFonts w:asciiTheme="minorHAnsi" w:eastAsiaTheme="minorEastAsia" w:hAnsiTheme="minorHAnsi" w:cstheme="minorBidi"/>
            <w:noProof/>
            <w:lang w:eastAsia="sk-SK"/>
          </w:rPr>
          <w:tab/>
        </w:r>
        <w:r w:rsidRPr="006857B4">
          <w:rPr>
            <w:rStyle w:val="Hypertextovodkaz"/>
            <w:noProof/>
          </w:rPr>
          <w:t>Charakteristika šeku</w:t>
        </w:r>
        <w:r>
          <w:rPr>
            <w:noProof/>
            <w:webHidden/>
          </w:rPr>
          <w:tab/>
        </w:r>
        <w:r>
          <w:rPr>
            <w:noProof/>
            <w:webHidden/>
          </w:rPr>
          <w:fldChar w:fldCharType="begin"/>
        </w:r>
        <w:r>
          <w:rPr>
            <w:noProof/>
            <w:webHidden/>
          </w:rPr>
          <w:instrText xml:space="preserve"> PAGEREF _Toc321001093 \h </w:instrText>
        </w:r>
        <w:r>
          <w:rPr>
            <w:noProof/>
            <w:webHidden/>
          </w:rPr>
        </w:r>
        <w:r>
          <w:rPr>
            <w:noProof/>
            <w:webHidden/>
          </w:rPr>
          <w:fldChar w:fldCharType="separate"/>
        </w:r>
        <w:r>
          <w:rPr>
            <w:noProof/>
            <w:webHidden/>
          </w:rPr>
          <w:t>42</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4" w:history="1">
        <w:r w:rsidRPr="006857B4">
          <w:rPr>
            <w:rStyle w:val="Hypertextovodkaz"/>
            <w:noProof/>
          </w:rPr>
          <w:t>2.11.2</w:t>
        </w:r>
        <w:r>
          <w:rPr>
            <w:rFonts w:asciiTheme="minorHAnsi" w:eastAsiaTheme="minorEastAsia" w:hAnsiTheme="minorHAnsi" w:cstheme="minorBidi"/>
            <w:noProof/>
            <w:lang w:eastAsia="sk-SK"/>
          </w:rPr>
          <w:tab/>
        </w:r>
        <w:r w:rsidRPr="006857B4">
          <w:rPr>
            <w:rStyle w:val="Hypertextovodkaz"/>
            <w:noProof/>
          </w:rPr>
          <w:t>Druhy šekov</w:t>
        </w:r>
        <w:r>
          <w:rPr>
            <w:noProof/>
            <w:webHidden/>
          </w:rPr>
          <w:tab/>
        </w:r>
        <w:r>
          <w:rPr>
            <w:noProof/>
            <w:webHidden/>
          </w:rPr>
          <w:fldChar w:fldCharType="begin"/>
        </w:r>
        <w:r>
          <w:rPr>
            <w:noProof/>
            <w:webHidden/>
          </w:rPr>
          <w:instrText xml:space="preserve"> PAGEREF _Toc321001094 \h </w:instrText>
        </w:r>
        <w:r>
          <w:rPr>
            <w:noProof/>
            <w:webHidden/>
          </w:rPr>
        </w:r>
        <w:r>
          <w:rPr>
            <w:noProof/>
            <w:webHidden/>
          </w:rPr>
          <w:fldChar w:fldCharType="separate"/>
        </w:r>
        <w:r>
          <w:rPr>
            <w:noProof/>
            <w:webHidden/>
          </w:rPr>
          <w:t>43</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5" w:history="1">
        <w:r w:rsidRPr="006857B4">
          <w:rPr>
            <w:rStyle w:val="Hypertextovodkaz"/>
            <w:noProof/>
          </w:rPr>
          <w:t>2.11.3</w:t>
        </w:r>
        <w:r>
          <w:rPr>
            <w:rFonts w:asciiTheme="minorHAnsi" w:eastAsiaTheme="minorEastAsia" w:hAnsiTheme="minorHAnsi" w:cstheme="minorBidi"/>
            <w:noProof/>
            <w:lang w:eastAsia="sk-SK"/>
          </w:rPr>
          <w:tab/>
        </w:r>
        <w:r w:rsidRPr="006857B4">
          <w:rPr>
            <w:rStyle w:val="Hypertextovodkaz"/>
            <w:noProof/>
          </w:rPr>
          <w:t>Priebeh použitia šeku</w:t>
        </w:r>
        <w:r>
          <w:rPr>
            <w:noProof/>
            <w:webHidden/>
          </w:rPr>
          <w:tab/>
        </w:r>
        <w:r>
          <w:rPr>
            <w:noProof/>
            <w:webHidden/>
          </w:rPr>
          <w:fldChar w:fldCharType="begin"/>
        </w:r>
        <w:r>
          <w:rPr>
            <w:noProof/>
            <w:webHidden/>
          </w:rPr>
          <w:instrText xml:space="preserve"> PAGEREF _Toc321001095 \h </w:instrText>
        </w:r>
        <w:r>
          <w:rPr>
            <w:noProof/>
            <w:webHidden/>
          </w:rPr>
        </w:r>
        <w:r>
          <w:rPr>
            <w:noProof/>
            <w:webHidden/>
          </w:rPr>
          <w:fldChar w:fldCharType="separate"/>
        </w:r>
        <w:r>
          <w:rPr>
            <w:noProof/>
            <w:webHidden/>
          </w:rPr>
          <w:t>44</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6" w:history="1">
        <w:r w:rsidRPr="006857B4">
          <w:rPr>
            <w:rStyle w:val="Hypertextovodkaz"/>
            <w:noProof/>
          </w:rPr>
          <w:t>2.11.4</w:t>
        </w:r>
        <w:r>
          <w:rPr>
            <w:rFonts w:asciiTheme="minorHAnsi" w:eastAsiaTheme="minorEastAsia" w:hAnsiTheme="minorHAnsi" w:cstheme="minorBidi"/>
            <w:noProof/>
            <w:lang w:eastAsia="sk-SK"/>
          </w:rPr>
          <w:tab/>
        </w:r>
        <w:r w:rsidRPr="006857B4">
          <w:rPr>
            <w:rStyle w:val="Hypertextovodkaz"/>
            <w:noProof/>
          </w:rPr>
          <w:t>Eliminácia platobných rizík pri použití šeku</w:t>
        </w:r>
        <w:r>
          <w:rPr>
            <w:noProof/>
            <w:webHidden/>
          </w:rPr>
          <w:tab/>
        </w:r>
        <w:r>
          <w:rPr>
            <w:noProof/>
            <w:webHidden/>
          </w:rPr>
          <w:fldChar w:fldCharType="begin"/>
        </w:r>
        <w:r>
          <w:rPr>
            <w:noProof/>
            <w:webHidden/>
          </w:rPr>
          <w:instrText xml:space="preserve"> PAGEREF _Toc321001096 \h </w:instrText>
        </w:r>
        <w:r>
          <w:rPr>
            <w:noProof/>
            <w:webHidden/>
          </w:rPr>
        </w:r>
        <w:r>
          <w:rPr>
            <w:noProof/>
            <w:webHidden/>
          </w:rPr>
          <w:fldChar w:fldCharType="separate"/>
        </w:r>
        <w:r>
          <w:rPr>
            <w:noProof/>
            <w:webHidden/>
          </w:rPr>
          <w:t>45</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097" w:history="1">
        <w:r w:rsidRPr="006857B4">
          <w:rPr>
            <w:rStyle w:val="Hypertextovodkaz"/>
          </w:rPr>
          <w:t>2.12</w:t>
        </w:r>
        <w:r>
          <w:rPr>
            <w:rFonts w:asciiTheme="minorHAnsi" w:eastAsiaTheme="minorEastAsia" w:hAnsiTheme="minorHAnsi" w:cstheme="minorBidi"/>
            <w:lang w:eastAsia="sk-SK"/>
          </w:rPr>
          <w:tab/>
          <w:t xml:space="preserve"> </w:t>
        </w:r>
        <w:r w:rsidRPr="006857B4">
          <w:rPr>
            <w:rStyle w:val="Hypertextovodkaz"/>
          </w:rPr>
          <w:t>EURO a SEPA v podmienkach EÚ</w:t>
        </w:r>
        <w:r>
          <w:rPr>
            <w:webHidden/>
          </w:rPr>
          <w:tab/>
        </w:r>
        <w:r>
          <w:rPr>
            <w:webHidden/>
          </w:rPr>
          <w:fldChar w:fldCharType="begin"/>
        </w:r>
        <w:r>
          <w:rPr>
            <w:webHidden/>
          </w:rPr>
          <w:instrText xml:space="preserve"> PAGEREF _Toc321001097 \h </w:instrText>
        </w:r>
        <w:r>
          <w:rPr>
            <w:webHidden/>
          </w:rPr>
        </w:r>
        <w:r>
          <w:rPr>
            <w:webHidden/>
          </w:rPr>
          <w:fldChar w:fldCharType="separate"/>
        </w:r>
        <w:r>
          <w:rPr>
            <w:webHidden/>
          </w:rPr>
          <w:t>46</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8" w:history="1">
        <w:r w:rsidRPr="006857B4">
          <w:rPr>
            <w:rStyle w:val="Hypertextovodkaz"/>
            <w:noProof/>
          </w:rPr>
          <w:t>2.12.1</w:t>
        </w:r>
        <w:r>
          <w:rPr>
            <w:rFonts w:asciiTheme="minorHAnsi" w:eastAsiaTheme="minorEastAsia" w:hAnsiTheme="minorHAnsi" w:cstheme="minorBidi"/>
            <w:noProof/>
            <w:lang w:eastAsia="sk-SK"/>
          </w:rPr>
          <w:tab/>
        </w:r>
        <w:r w:rsidRPr="006857B4">
          <w:rPr>
            <w:rStyle w:val="Hypertextovodkaz"/>
            <w:noProof/>
          </w:rPr>
          <w:t>SEPA – Jednotný európsky platobný priestor</w:t>
        </w:r>
        <w:r>
          <w:rPr>
            <w:noProof/>
            <w:webHidden/>
          </w:rPr>
          <w:tab/>
        </w:r>
        <w:r>
          <w:rPr>
            <w:noProof/>
            <w:webHidden/>
          </w:rPr>
          <w:fldChar w:fldCharType="begin"/>
        </w:r>
        <w:r>
          <w:rPr>
            <w:noProof/>
            <w:webHidden/>
          </w:rPr>
          <w:instrText xml:space="preserve"> PAGEREF _Toc321001098 \h </w:instrText>
        </w:r>
        <w:r>
          <w:rPr>
            <w:noProof/>
            <w:webHidden/>
          </w:rPr>
        </w:r>
        <w:r>
          <w:rPr>
            <w:noProof/>
            <w:webHidden/>
          </w:rPr>
          <w:fldChar w:fldCharType="separate"/>
        </w:r>
        <w:r>
          <w:rPr>
            <w:noProof/>
            <w:webHidden/>
          </w:rPr>
          <w:t>46</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099" w:history="1">
        <w:r w:rsidRPr="006857B4">
          <w:rPr>
            <w:rStyle w:val="Hypertextovodkaz"/>
            <w:noProof/>
          </w:rPr>
          <w:t>2.12.2</w:t>
        </w:r>
        <w:r>
          <w:rPr>
            <w:rFonts w:asciiTheme="minorHAnsi" w:eastAsiaTheme="minorEastAsia" w:hAnsiTheme="minorHAnsi" w:cstheme="minorBidi"/>
            <w:noProof/>
            <w:lang w:eastAsia="sk-SK"/>
          </w:rPr>
          <w:tab/>
        </w:r>
        <w:r w:rsidRPr="006857B4">
          <w:rPr>
            <w:rStyle w:val="Hypertextovodkaz"/>
            <w:noProof/>
          </w:rPr>
          <w:t>SEPA Direct Debit – SEPA Inkaso</w:t>
        </w:r>
        <w:r>
          <w:rPr>
            <w:noProof/>
            <w:webHidden/>
          </w:rPr>
          <w:tab/>
        </w:r>
        <w:r>
          <w:rPr>
            <w:noProof/>
            <w:webHidden/>
          </w:rPr>
          <w:fldChar w:fldCharType="begin"/>
        </w:r>
        <w:r>
          <w:rPr>
            <w:noProof/>
            <w:webHidden/>
          </w:rPr>
          <w:instrText xml:space="preserve"> PAGEREF _Toc321001099 \h </w:instrText>
        </w:r>
        <w:r>
          <w:rPr>
            <w:noProof/>
            <w:webHidden/>
          </w:rPr>
        </w:r>
        <w:r>
          <w:rPr>
            <w:noProof/>
            <w:webHidden/>
          </w:rPr>
          <w:fldChar w:fldCharType="separate"/>
        </w:r>
        <w:r>
          <w:rPr>
            <w:noProof/>
            <w:webHidden/>
          </w:rPr>
          <w:t>47</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100" w:history="1">
        <w:r w:rsidRPr="006857B4">
          <w:rPr>
            <w:rStyle w:val="Hypertextovodkaz"/>
          </w:rPr>
          <w:t>2.13</w:t>
        </w:r>
        <w:r>
          <w:rPr>
            <w:rFonts w:asciiTheme="minorHAnsi" w:eastAsiaTheme="minorEastAsia" w:hAnsiTheme="minorHAnsi" w:cstheme="minorBidi"/>
            <w:lang w:eastAsia="sk-SK"/>
          </w:rPr>
          <w:tab/>
          <w:t xml:space="preserve"> </w:t>
        </w:r>
        <w:r w:rsidRPr="006857B4">
          <w:rPr>
            <w:rStyle w:val="Hypertextovodkaz"/>
          </w:rPr>
          <w:t>Metodika práce a metódy skúmania</w:t>
        </w:r>
        <w:r>
          <w:rPr>
            <w:webHidden/>
          </w:rPr>
          <w:tab/>
        </w:r>
        <w:r>
          <w:rPr>
            <w:webHidden/>
          </w:rPr>
          <w:fldChar w:fldCharType="begin"/>
        </w:r>
        <w:r>
          <w:rPr>
            <w:webHidden/>
          </w:rPr>
          <w:instrText xml:space="preserve"> PAGEREF _Toc321001100 \h </w:instrText>
        </w:r>
        <w:r>
          <w:rPr>
            <w:webHidden/>
          </w:rPr>
        </w:r>
        <w:r>
          <w:rPr>
            <w:webHidden/>
          </w:rPr>
          <w:fldChar w:fldCharType="separate"/>
        </w:r>
        <w:r>
          <w:rPr>
            <w:webHidden/>
          </w:rPr>
          <w:t>47</w:t>
        </w:r>
        <w:r>
          <w:rPr>
            <w:webHidden/>
          </w:rPr>
          <w:fldChar w:fldCharType="end"/>
        </w:r>
      </w:hyperlink>
    </w:p>
    <w:p w:rsidR="00B32A81" w:rsidRDefault="00B32A81">
      <w:pPr>
        <w:pStyle w:val="Obsah1"/>
        <w:rPr>
          <w:rFonts w:asciiTheme="minorHAnsi" w:eastAsiaTheme="minorEastAsia" w:hAnsiTheme="minorHAnsi" w:cstheme="minorBidi"/>
          <w:noProof/>
          <w:sz w:val="22"/>
          <w:szCs w:val="22"/>
          <w:lang w:eastAsia="sk-SK"/>
        </w:rPr>
      </w:pPr>
      <w:hyperlink w:anchor="_Toc321001101" w:history="1">
        <w:r w:rsidRPr="006857B4">
          <w:rPr>
            <w:rStyle w:val="Hypertextovodkaz"/>
            <w:noProof/>
          </w:rPr>
          <w:t>3</w:t>
        </w:r>
        <w:r>
          <w:rPr>
            <w:rFonts w:asciiTheme="minorHAnsi" w:eastAsiaTheme="minorEastAsia" w:hAnsiTheme="minorHAnsi" w:cstheme="minorBidi"/>
            <w:noProof/>
            <w:sz w:val="22"/>
            <w:szCs w:val="22"/>
            <w:lang w:eastAsia="sk-SK"/>
          </w:rPr>
          <w:tab/>
        </w:r>
        <w:r w:rsidRPr="006857B4">
          <w:rPr>
            <w:rStyle w:val="Hypertextovodkaz"/>
            <w:noProof/>
          </w:rPr>
          <w:t>Analytická/praktická časť práce</w:t>
        </w:r>
        <w:r>
          <w:rPr>
            <w:noProof/>
            <w:webHidden/>
          </w:rPr>
          <w:tab/>
        </w:r>
        <w:r>
          <w:rPr>
            <w:noProof/>
            <w:webHidden/>
          </w:rPr>
          <w:fldChar w:fldCharType="begin"/>
        </w:r>
        <w:r>
          <w:rPr>
            <w:noProof/>
            <w:webHidden/>
          </w:rPr>
          <w:instrText xml:space="preserve"> PAGEREF _Toc321001101 \h </w:instrText>
        </w:r>
        <w:r>
          <w:rPr>
            <w:noProof/>
            <w:webHidden/>
          </w:rPr>
        </w:r>
        <w:r>
          <w:rPr>
            <w:noProof/>
            <w:webHidden/>
          </w:rPr>
          <w:fldChar w:fldCharType="separate"/>
        </w:r>
        <w:r>
          <w:rPr>
            <w:noProof/>
            <w:webHidden/>
          </w:rPr>
          <w:t>49</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102" w:history="1">
        <w:r w:rsidRPr="006857B4">
          <w:rPr>
            <w:rStyle w:val="Hypertextovodkaz"/>
          </w:rPr>
          <w:t>3.1</w:t>
        </w:r>
        <w:r>
          <w:rPr>
            <w:rFonts w:asciiTheme="minorHAnsi" w:eastAsiaTheme="minorEastAsia" w:hAnsiTheme="minorHAnsi" w:cstheme="minorBidi"/>
            <w:lang w:eastAsia="sk-SK"/>
          </w:rPr>
          <w:tab/>
        </w:r>
        <w:r w:rsidRPr="006857B4">
          <w:rPr>
            <w:rStyle w:val="Hypertextovodkaz"/>
          </w:rPr>
          <w:t>Management pohľadávok v Ideal Standard, Teplice, Česká republika</w:t>
        </w:r>
        <w:r>
          <w:rPr>
            <w:webHidden/>
          </w:rPr>
          <w:tab/>
        </w:r>
        <w:r>
          <w:rPr>
            <w:webHidden/>
          </w:rPr>
          <w:fldChar w:fldCharType="begin"/>
        </w:r>
        <w:r>
          <w:rPr>
            <w:webHidden/>
          </w:rPr>
          <w:instrText xml:space="preserve"> PAGEREF _Toc321001102 \h </w:instrText>
        </w:r>
        <w:r>
          <w:rPr>
            <w:webHidden/>
          </w:rPr>
        </w:r>
        <w:r>
          <w:rPr>
            <w:webHidden/>
          </w:rPr>
          <w:fldChar w:fldCharType="separate"/>
        </w:r>
        <w:r>
          <w:rPr>
            <w:webHidden/>
          </w:rPr>
          <w:t>51</w:t>
        </w:r>
        <w:r>
          <w:rPr>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103" w:history="1">
        <w:r w:rsidRPr="006857B4">
          <w:rPr>
            <w:rStyle w:val="Hypertextovodkaz"/>
          </w:rPr>
          <w:t>3.2</w:t>
        </w:r>
        <w:r>
          <w:rPr>
            <w:rFonts w:asciiTheme="minorHAnsi" w:eastAsiaTheme="minorEastAsia" w:hAnsiTheme="minorHAnsi" w:cstheme="minorBidi"/>
            <w:lang w:eastAsia="sk-SK"/>
          </w:rPr>
          <w:tab/>
        </w:r>
        <w:r w:rsidRPr="006857B4">
          <w:rPr>
            <w:rStyle w:val="Hypertextovodkaz"/>
          </w:rPr>
          <w:t>Medzinárodné zvyklosti používané k eliminácií platobných rizík</w:t>
        </w:r>
        <w:r>
          <w:rPr>
            <w:webHidden/>
          </w:rPr>
          <w:tab/>
        </w:r>
        <w:r>
          <w:rPr>
            <w:webHidden/>
          </w:rPr>
          <w:fldChar w:fldCharType="begin"/>
        </w:r>
        <w:r>
          <w:rPr>
            <w:webHidden/>
          </w:rPr>
          <w:instrText xml:space="preserve"> PAGEREF _Toc321001103 \h </w:instrText>
        </w:r>
        <w:r>
          <w:rPr>
            <w:webHidden/>
          </w:rPr>
        </w:r>
        <w:r>
          <w:rPr>
            <w:webHidden/>
          </w:rPr>
          <w:fldChar w:fldCharType="separate"/>
        </w:r>
        <w:r>
          <w:rPr>
            <w:webHidden/>
          </w:rPr>
          <w:t>52</w:t>
        </w:r>
        <w:r>
          <w:rPr>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104" w:history="1">
        <w:r w:rsidRPr="006857B4">
          <w:rPr>
            <w:rStyle w:val="Hypertextovodkaz"/>
          </w:rPr>
          <w:t>3.3</w:t>
        </w:r>
        <w:r>
          <w:rPr>
            <w:rFonts w:asciiTheme="minorHAnsi" w:eastAsiaTheme="minorEastAsia" w:hAnsiTheme="minorHAnsi" w:cstheme="minorBidi"/>
            <w:lang w:eastAsia="sk-SK"/>
          </w:rPr>
          <w:tab/>
        </w:r>
        <w:r w:rsidRPr="006857B4">
          <w:rPr>
            <w:rStyle w:val="Hypertextovodkaz"/>
          </w:rPr>
          <w:t>Rozbor obchodných prípadov</w:t>
        </w:r>
        <w:r>
          <w:rPr>
            <w:webHidden/>
          </w:rPr>
          <w:tab/>
        </w:r>
        <w:r>
          <w:rPr>
            <w:webHidden/>
          </w:rPr>
          <w:fldChar w:fldCharType="begin"/>
        </w:r>
        <w:r>
          <w:rPr>
            <w:webHidden/>
          </w:rPr>
          <w:instrText xml:space="preserve"> PAGEREF _Toc321001104 \h </w:instrText>
        </w:r>
        <w:r>
          <w:rPr>
            <w:webHidden/>
          </w:rPr>
        </w:r>
        <w:r>
          <w:rPr>
            <w:webHidden/>
          </w:rPr>
          <w:fldChar w:fldCharType="separate"/>
        </w:r>
        <w:r>
          <w:rPr>
            <w:webHidden/>
          </w:rPr>
          <w:t>53</w:t>
        </w:r>
        <w:r>
          <w:rPr>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105" w:history="1">
        <w:r w:rsidRPr="006857B4">
          <w:rPr>
            <w:rStyle w:val="Hypertextovodkaz"/>
            <w:noProof/>
          </w:rPr>
          <w:t>3.3.1</w:t>
        </w:r>
        <w:r>
          <w:rPr>
            <w:rFonts w:asciiTheme="minorHAnsi" w:eastAsiaTheme="minorEastAsia" w:hAnsiTheme="minorHAnsi" w:cstheme="minorBidi"/>
            <w:noProof/>
            <w:lang w:eastAsia="sk-SK"/>
          </w:rPr>
          <w:tab/>
        </w:r>
        <w:r w:rsidRPr="006857B4">
          <w:rPr>
            <w:rStyle w:val="Hypertextovodkaz"/>
            <w:noProof/>
          </w:rPr>
          <w:t>Baldocer, srl,   Španielsko   –   Hladká  platba po dodávke s odloženou  splatnosťou  45  dní,  s poistením pohľadávky, pri dodacej  podmienke EXW, Teplice, ČR</w:t>
        </w:r>
        <w:r>
          <w:rPr>
            <w:noProof/>
            <w:webHidden/>
          </w:rPr>
          <w:tab/>
        </w:r>
        <w:r>
          <w:rPr>
            <w:noProof/>
            <w:webHidden/>
          </w:rPr>
          <w:fldChar w:fldCharType="begin"/>
        </w:r>
        <w:r>
          <w:rPr>
            <w:noProof/>
            <w:webHidden/>
          </w:rPr>
          <w:instrText xml:space="preserve"> PAGEREF _Toc321001105 \h </w:instrText>
        </w:r>
        <w:r>
          <w:rPr>
            <w:noProof/>
            <w:webHidden/>
          </w:rPr>
        </w:r>
        <w:r>
          <w:rPr>
            <w:noProof/>
            <w:webHidden/>
          </w:rPr>
          <w:fldChar w:fldCharType="separate"/>
        </w:r>
        <w:r>
          <w:rPr>
            <w:noProof/>
            <w:webHidden/>
          </w:rPr>
          <w:t>53</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106" w:history="1">
        <w:r w:rsidRPr="006857B4">
          <w:rPr>
            <w:rStyle w:val="Hypertextovodkaz"/>
            <w:noProof/>
          </w:rPr>
          <w:t>3.3.2</w:t>
        </w:r>
        <w:r>
          <w:rPr>
            <w:rFonts w:asciiTheme="minorHAnsi" w:eastAsiaTheme="minorEastAsia" w:hAnsiTheme="minorHAnsi" w:cstheme="minorBidi"/>
            <w:noProof/>
            <w:lang w:eastAsia="sk-SK"/>
          </w:rPr>
          <w:tab/>
        </w:r>
        <w:r w:rsidRPr="006857B4">
          <w:rPr>
            <w:rStyle w:val="Hypertextovodkaz"/>
            <w:noProof/>
          </w:rPr>
          <w:t>LEA, srl,  Alžírsko –  Úverová platobná podmienka krytá, L/C s odloženou splatnosťou 60 dní od dátumu nalodenia tovaru v dohodnutom európskom prístave pri dodacej podmienke CFR prístav ALŽÍR (podľa INCOTERMS 2010)</w:t>
        </w:r>
        <w:r>
          <w:rPr>
            <w:noProof/>
            <w:webHidden/>
          </w:rPr>
          <w:tab/>
        </w:r>
        <w:r>
          <w:rPr>
            <w:noProof/>
            <w:webHidden/>
          </w:rPr>
          <w:fldChar w:fldCharType="begin"/>
        </w:r>
        <w:r>
          <w:rPr>
            <w:noProof/>
            <w:webHidden/>
          </w:rPr>
          <w:instrText xml:space="preserve"> PAGEREF _Toc321001106 \h </w:instrText>
        </w:r>
        <w:r>
          <w:rPr>
            <w:noProof/>
            <w:webHidden/>
          </w:rPr>
        </w:r>
        <w:r>
          <w:rPr>
            <w:noProof/>
            <w:webHidden/>
          </w:rPr>
          <w:fldChar w:fldCharType="separate"/>
        </w:r>
        <w:r>
          <w:rPr>
            <w:noProof/>
            <w:webHidden/>
          </w:rPr>
          <w:t>61</w:t>
        </w:r>
        <w:r>
          <w:rPr>
            <w:noProof/>
            <w:webHidden/>
          </w:rPr>
          <w:fldChar w:fldCharType="end"/>
        </w:r>
      </w:hyperlink>
    </w:p>
    <w:p w:rsidR="00B32A81" w:rsidRDefault="00B32A81">
      <w:pPr>
        <w:pStyle w:val="Obsah3"/>
        <w:rPr>
          <w:rFonts w:asciiTheme="minorHAnsi" w:eastAsiaTheme="minorEastAsia" w:hAnsiTheme="minorHAnsi" w:cstheme="minorBidi"/>
          <w:noProof/>
          <w:lang w:eastAsia="sk-SK"/>
        </w:rPr>
      </w:pPr>
      <w:hyperlink w:anchor="_Toc321001107" w:history="1">
        <w:r w:rsidRPr="006857B4">
          <w:rPr>
            <w:rStyle w:val="Hypertextovodkaz"/>
            <w:noProof/>
          </w:rPr>
          <w:t>3.3.3</w:t>
        </w:r>
        <w:r>
          <w:rPr>
            <w:rFonts w:asciiTheme="minorHAnsi" w:eastAsiaTheme="minorEastAsia" w:hAnsiTheme="minorHAnsi" w:cstheme="minorBidi"/>
            <w:noProof/>
            <w:lang w:eastAsia="sk-SK"/>
          </w:rPr>
          <w:tab/>
        </w:r>
        <w:r w:rsidRPr="006857B4">
          <w:rPr>
            <w:rStyle w:val="Hypertextovodkaz"/>
            <w:noProof/>
          </w:rPr>
          <w:t>TINBYT, Prešov, SLOVENSKO –  Hladká platba pred nakládkou tovaru,  pri dodacej podmienke FCA, dohodnuté miesto nakládky IS, Teplice, Česká Republika, (podľa INCOTERMS 2010)</w:t>
        </w:r>
        <w:r>
          <w:rPr>
            <w:noProof/>
            <w:webHidden/>
          </w:rPr>
          <w:tab/>
        </w:r>
        <w:r>
          <w:rPr>
            <w:noProof/>
            <w:webHidden/>
          </w:rPr>
          <w:fldChar w:fldCharType="begin"/>
        </w:r>
        <w:r>
          <w:rPr>
            <w:noProof/>
            <w:webHidden/>
          </w:rPr>
          <w:instrText xml:space="preserve"> PAGEREF _Toc321001107 \h </w:instrText>
        </w:r>
        <w:r>
          <w:rPr>
            <w:noProof/>
            <w:webHidden/>
          </w:rPr>
        </w:r>
        <w:r>
          <w:rPr>
            <w:noProof/>
            <w:webHidden/>
          </w:rPr>
          <w:fldChar w:fldCharType="separate"/>
        </w:r>
        <w:r>
          <w:rPr>
            <w:noProof/>
            <w:webHidden/>
          </w:rPr>
          <w:t>69</w:t>
        </w:r>
        <w:r>
          <w:rPr>
            <w:noProof/>
            <w:webHidden/>
          </w:rPr>
          <w:fldChar w:fldCharType="end"/>
        </w:r>
      </w:hyperlink>
    </w:p>
    <w:p w:rsidR="00B32A81" w:rsidRDefault="00B32A81">
      <w:pPr>
        <w:pStyle w:val="Obsah2"/>
        <w:rPr>
          <w:rFonts w:asciiTheme="minorHAnsi" w:eastAsiaTheme="minorEastAsia" w:hAnsiTheme="minorHAnsi" w:cstheme="minorBidi"/>
          <w:lang w:eastAsia="sk-SK"/>
        </w:rPr>
      </w:pPr>
      <w:hyperlink w:anchor="_Toc321001108" w:history="1">
        <w:r w:rsidRPr="006857B4">
          <w:rPr>
            <w:rStyle w:val="Hypertextovodkaz"/>
          </w:rPr>
          <w:t>3.4</w:t>
        </w:r>
        <w:r>
          <w:rPr>
            <w:rFonts w:asciiTheme="minorHAnsi" w:eastAsiaTheme="minorEastAsia" w:hAnsiTheme="minorHAnsi" w:cstheme="minorBidi"/>
            <w:lang w:eastAsia="sk-SK"/>
          </w:rPr>
          <w:tab/>
        </w:r>
        <w:r w:rsidRPr="006857B4">
          <w:rPr>
            <w:rStyle w:val="Hypertextovodkaz"/>
          </w:rPr>
          <w:t>Odporúčania pre z efektívnenie eliminácie platobných rizík</w:t>
        </w:r>
        <w:r>
          <w:rPr>
            <w:webHidden/>
          </w:rPr>
          <w:tab/>
        </w:r>
        <w:r>
          <w:rPr>
            <w:webHidden/>
          </w:rPr>
          <w:fldChar w:fldCharType="begin"/>
        </w:r>
        <w:r>
          <w:rPr>
            <w:webHidden/>
          </w:rPr>
          <w:instrText xml:space="preserve"> PAGEREF _Toc321001108 \h </w:instrText>
        </w:r>
        <w:r>
          <w:rPr>
            <w:webHidden/>
          </w:rPr>
        </w:r>
        <w:r>
          <w:rPr>
            <w:webHidden/>
          </w:rPr>
          <w:fldChar w:fldCharType="separate"/>
        </w:r>
        <w:r>
          <w:rPr>
            <w:webHidden/>
          </w:rPr>
          <w:t>77</w:t>
        </w:r>
        <w:r>
          <w:rPr>
            <w:webHidden/>
          </w:rPr>
          <w:fldChar w:fldCharType="end"/>
        </w:r>
      </w:hyperlink>
    </w:p>
    <w:p w:rsidR="00B32A81" w:rsidRDefault="00B32A81">
      <w:pPr>
        <w:pStyle w:val="Obsah1"/>
        <w:rPr>
          <w:rFonts w:asciiTheme="minorHAnsi" w:eastAsiaTheme="minorEastAsia" w:hAnsiTheme="minorHAnsi" w:cstheme="minorBidi"/>
          <w:noProof/>
          <w:sz w:val="22"/>
          <w:szCs w:val="22"/>
          <w:lang w:eastAsia="sk-SK"/>
        </w:rPr>
      </w:pPr>
      <w:hyperlink w:anchor="_Toc321001109" w:history="1">
        <w:r w:rsidRPr="006857B4">
          <w:rPr>
            <w:rStyle w:val="Hypertextovodkaz"/>
            <w:noProof/>
          </w:rPr>
          <w:t>4</w:t>
        </w:r>
        <w:r>
          <w:rPr>
            <w:rFonts w:asciiTheme="minorHAnsi" w:eastAsiaTheme="minorEastAsia" w:hAnsiTheme="minorHAnsi" w:cstheme="minorBidi"/>
            <w:noProof/>
            <w:sz w:val="22"/>
            <w:szCs w:val="22"/>
            <w:lang w:eastAsia="sk-SK"/>
          </w:rPr>
          <w:tab/>
        </w:r>
        <w:r w:rsidRPr="006857B4">
          <w:rPr>
            <w:rStyle w:val="Hypertextovodkaz"/>
            <w:noProof/>
          </w:rPr>
          <w:t>Záver</w:t>
        </w:r>
        <w:r>
          <w:rPr>
            <w:noProof/>
            <w:webHidden/>
          </w:rPr>
          <w:tab/>
        </w:r>
        <w:r>
          <w:rPr>
            <w:noProof/>
            <w:webHidden/>
          </w:rPr>
          <w:fldChar w:fldCharType="begin"/>
        </w:r>
        <w:r>
          <w:rPr>
            <w:noProof/>
            <w:webHidden/>
          </w:rPr>
          <w:instrText xml:space="preserve"> PAGEREF _Toc321001109 \h </w:instrText>
        </w:r>
        <w:r>
          <w:rPr>
            <w:noProof/>
            <w:webHidden/>
          </w:rPr>
        </w:r>
        <w:r>
          <w:rPr>
            <w:noProof/>
            <w:webHidden/>
          </w:rPr>
          <w:fldChar w:fldCharType="separate"/>
        </w:r>
        <w:r>
          <w:rPr>
            <w:noProof/>
            <w:webHidden/>
          </w:rPr>
          <w:t>80</w:t>
        </w:r>
        <w:r>
          <w:rPr>
            <w:noProof/>
            <w:webHidden/>
          </w:rPr>
          <w:fldChar w:fldCharType="end"/>
        </w:r>
      </w:hyperlink>
    </w:p>
    <w:p w:rsidR="00B32A81" w:rsidRDefault="00B32A81">
      <w:pPr>
        <w:pStyle w:val="Obsah1"/>
        <w:rPr>
          <w:rFonts w:asciiTheme="minorHAnsi" w:eastAsiaTheme="minorEastAsia" w:hAnsiTheme="minorHAnsi" w:cstheme="minorBidi"/>
          <w:noProof/>
          <w:sz w:val="22"/>
          <w:szCs w:val="22"/>
          <w:lang w:eastAsia="sk-SK"/>
        </w:rPr>
      </w:pPr>
      <w:hyperlink w:anchor="_Toc321001110" w:history="1">
        <w:r w:rsidRPr="006857B4">
          <w:rPr>
            <w:rStyle w:val="Hypertextovodkaz"/>
            <w:noProof/>
          </w:rPr>
          <w:t>Literatúra</w:t>
        </w:r>
        <w:r>
          <w:rPr>
            <w:noProof/>
            <w:webHidden/>
          </w:rPr>
          <w:tab/>
        </w:r>
        <w:r>
          <w:rPr>
            <w:noProof/>
            <w:webHidden/>
          </w:rPr>
          <w:fldChar w:fldCharType="begin"/>
        </w:r>
        <w:r>
          <w:rPr>
            <w:noProof/>
            <w:webHidden/>
          </w:rPr>
          <w:instrText xml:space="preserve"> PAGEREF _Toc321001110 \h </w:instrText>
        </w:r>
        <w:r>
          <w:rPr>
            <w:noProof/>
            <w:webHidden/>
          </w:rPr>
        </w:r>
        <w:r>
          <w:rPr>
            <w:noProof/>
            <w:webHidden/>
          </w:rPr>
          <w:fldChar w:fldCharType="separate"/>
        </w:r>
        <w:r>
          <w:rPr>
            <w:noProof/>
            <w:webHidden/>
          </w:rPr>
          <w:t>81</w:t>
        </w:r>
        <w:r>
          <w:rPr>
            <w:noProof/>
            <w:webHidden/>
          </w:rPr>
          <w:fldChar w:fldCharType="end"/>
        </w:r>
      </w:hyperlink>
    </w:p>
    <w:p w:rsidR="00B32A81" w:rsidRDefault="00B32A81">
      <w:pPr>
        <w:pStyle w:val="Obsah1"/>
        <w:rPr>
          <w:rFonts w:asciiTheme="minorHAnsi" w:eastAsiaTheme="minorEastAsia" w:hAnsiTheme="minorHAnsi" w:cstheme="minorBidi"/>
          <w:noProof/>
          <w:sz w:val="22"/>
          <w:szCs w:val="22"/>
          <w:lang w:eastAsia="sk-SK"/>
        </w:rPr>
      </w:pPr>
      <w:hyperlink w:anchor="_Toc321001111" w:history="1">
        <w:r w:rsidRPr="006857B4">
          <w:rPr>
            <w:rStyle w:val="Hypertextovodkaz"/>
            <w:noProof/>
          </w:rPr>
          <w:t>Prílohy</w:t>
        </w:r>
        <w:r>
          <w:rPr>
            <w:noProof/>
            <w:webHidden/>
          </w:rPr>
          <w:tab/>
        </w:r>
        <w:r>
          <w:rPr>
            <w:noProof/>
            <w:webHidden/>
          </w:rPr>
          <w:fldChar w:fldCharType="begin"/>
        </w:r>
        <w:r>
          <w:rPr>
            <w:noProof/>
            <w:webHidden/>
          </w:rPr>
          <w:instrText xml:space="preserve"> PAGEREF _Toc321001111 \h </w:instrText>
        </w:r>
        <w:r>
          <w:rPr>
            <w:noProof/>
            <w:webHidden/>
          </w:rPr>
        </w:r>
        <w:r>
          <w:rPr>
            <w:noProof/>
            <w:webHidden/>
          </w:rPr>
          <w:fldChar w:fldCharType="separate"/>
        </w:r>
        <w:r>
          <w:rPr>
            <w:noProof/>
            <w:webHidden/>
          </w:rPr>
          <w:t>1</w:t>
        </w:r>
        <w:r>
          <w:rPr>
            <w:noProof/>
            <w:webHidden/>
          </w:rPr>
          <w:fldChar w:fldCharType="end"/>
        </w:r>
      </w:hyperlink>
    </w:p>
    <w:p w:rsidR="0042464E" w:rsidRDefault="003E4C2B">
      <w:pPr>
        <w:jc w:val="left"/>
      </w:pPr>
      <w:r>
        <w:fldChar w:fldCharType="end"/>
      </w:r>
    </w:p>
    <w:p w:rsidR="0042464E" w:rsidRDefault="0042464E">
      <w:pPr>
        <w:pStyle w:val="Zkladntext"/>
      </w:pPr>
    </w:p>
    <w:p w:rsidR="0042464E" w:rsidRDefault="0042464E">
      <w:pPr>
        <w:spacing w:after="0" w:line="240" w:lineRule="auto"/>
        <w:jc w:val="left"/>
      </w:pPr>
      <w:r>
        <w:br w:type="page"/>
      </w:r>
    </w:p>
    <w:p w:rsidR="0042464E" w:rsidRDefault="001B5405">
      <w:pPr>
        <w:pStyle w:val="AbstractSummary-nadpis"/>
      </w:pPr>
      <w:r>
        <w:lastRenderedPageBreak/>
        <w:t>Zoznam skratiek</w:t>
      </w:r>
    </w:p>
    <w:p w:rsidR="005D4FF0" w:rsidRDefault="005D4FF0">
      <w:pPr>
        <w:tabs>
          <w:tab w:val="left" w:pos="2505"/>
          <w:tab w:val="center" w:leader="dot" w:pos="7938"/>
        </w:tabs>
      </w:pPr>
      <w:r>
        <w:t>D/P</w:t>
      </w:r>
      <w:r>
        <w:tab/>
        <w:t>Dokumentárne Inkaso</w:t>
      </w:r>
    </w:p>
    <w:p w:rsidR="003D62F9" w:rsidRDefault="003D62F9">
      <w:pPr>
        <w:tabs>
          <w:tab w:val="left" w:pos="2505"/>
          <w:tab w:val="center" w:leader="dot" w:pos="7938"/>
        </w:tabs>
      </w:pPr>
      <w:r>
        <w:t>EHS</w:t>
      </w:r>
      <w:r>
        <w:tab/>
        <w:t>Euler Hermes Servis</w:t>
      </w:r>
    </w:p>
    <w:p w:rsidR="005D4FF0" w:rsidRDefault="005D4FF0">
      <w:pPr>
        <w:tabs>
          <w:tab w:val="left" w:pos="2505"/>
          <w:tab w:val="center" w:leader="dot" w:pos="7938"/>
        </w:tabs>
      </w:pPr>
      <w:r>
        <w:t>EHP</w:t>
      </w:r>
      <w:r>
        <w:tab/>
        <w:t>Európsky hospodársky priestor</w:t>
      </w:r>
    </w:p>
    <w:p w:rsidR="003D62F9" w:rsidRDefault="003D62F9">
      <w:pPr>
        <w:tabs>
          <w:tab w:val="left" w:pos="2505"/>
          <w:tab w:val="center" w:leader="dot" w:pos="7938"/>
        </w:tabs>
      </w:pPr>
      <w:r>
        <w:t>EUR</w:t>
      </w:r>
      <w:r>
        <w:tab/>
        <w:t>Mena a menová jednotka Eurozóny</w:t>
      </w:r>
    </w:p>
    <w:p w:rsidR="005D4FF0" w:rsidRDefault="005D4FF0">
      <w:pPr>
        <w:tabs>
          <w:tab w:val="left" w:pos="2505"/>
          <w:tab w:val="center" w:leader="dot" w:pos="7938"/>
        </w:tabs>
      </w:pPr>
      <w:r>
        <w:t>EÚ</w:t>
      </w:r>
      <w:r>
        <w:tab/>
        <w:t>Európska Únia</w:t>
      </w:r>
    </w:p>
    <w:p w:rsidR="003D62F9" w:rsidRDefault="003D62F9">
      <w:pPr>
        <w:tabs>
          <w:tab w:val="left" w:pos="2505"/>
          <w:tab w:val="center" w:leader="dot" w:pos="7938"/>
        </w:tabs>
      </w:pPr>
      <w:r>
        <w:t>ICC</w:t>
      </w:r>
      <w:r>
        <w:tab/>
        <w:t xml:space="preserve">International Chamber of Commerce </w:t>
      </w:r>
    </w:p>
    <w:p w:rsidR="003D62F9" w:rsidRDefault="003D62F9">
      <w:pPr>
        <w:tabs>
          <w:tab w:val="left" w:pos="2505"/>
          <w:tab w:val="center" w:leader="dot" w:pos="7938"/>
        </w:tabs>
      </w:pPr>
      <w:r>
        <w:t>IBAN</w:t>
      </w:r>
      <w:r>
        <w:tab/>
        <w:t>Medzinárodné číslo bankového účtu</w:t>
      </w:r>
    </w:p>
    <w:p w:rsidR="003D62F9" w:rsidRDefault="003D62F9">
      <w:pPr>
        <w:tabs>
          <w:tab w:val="left" w:pos="2505"/>
          <w:tab w:val="center" w:leader="dot" w:pos="7938"/>
        </w:tabs>
      </w:pPr>
      <w:r>
        <w:t>IS</w:t>
      </w:r>
      <w:r>
        <w:tab/>
        <w:t>Ideal Standard</w:t>
      </w:r>
    </w:p>
    <w:p w:rsidR="003D62F9" w:rsidRDefault="003D62F9">
      <w:pPr>
        <w:tabs>
          <w:tab w:val="left" w:pos="2505"/>
          <w:tab w:val="center" w:leader="dot" w:pos="7938"/>
        </w:tabs>
      </w:pPr>
      <w:r>
        <w:t>JCD</w:t>
      </w:r>
      <w:r>
        <w:tab/>
        <w:t>Jednotná colná deklarácia</w:t>
      </w:r>
    </w:p>
    <w:p w:rsidR="005D4FF0" w:rsidRDefault="005D4FF0">
      <w:pPr>
        <w:tabs>
          <w:tab w:val="left" w:pos="2505"/>
          <w:tab w:val="center" w:leader="dot" w:pos="7938"/>
        </w:tabs>
      </w:pPr>
      <w:r>
        <w:t>L/C</w:t>
      </w:r>
      <w:r>
        <w:tab/>
        <w:t>Dokumentárny Akreditív</w:t>
      </w:r>
    </w:p>
    <w:p w:rsidR="003D62F9" w:rsidRDefault="003D62F9">
      <w:pPr>
        <w:tabs>
          <w:tab w:val="left" w:pos="2505"/>
          <w:tab w:val="center" w:leader="dot" w:pos="7938"/>
        </w:tabs>
      </w:pPr>
      <w:r>
        <w:t>MOK</w:t>
      </w:r>
      <w:r>
        <w:tab/>
        <w:t>Medzinárodná obchodná komora</w:t>
      </w:r>
    </w:p>
    <w:p w:rsidR="003D62F9" w:rsidRDefault="003D62F9">
      <w:pPr>
        <w:tabs>
          <w:tab w:val="left" w:pos="2505"/>
          <w:tab w:val="center" w:leader="dot" w:pos="7938"/>
        </w:tabs>
      </w:pPr>
      <w:r>
        <w:t>SEPA</w:t>
      </w:r>
      <w:r>
        <w:tab/>
        <w:t>Jednotný Európsky platobný priestor</w:t>
      </w:r>
    </w:p>
    <w:p w:rsidR="003D62F9" w:rsidRDefault="003D62F9">
      <w:pPr>
        <w:tabs>
          <w:tab w:val="left" w:pos="2505"/>
          <w:tab w:val="center" w:leader="dot" w:pos="7938"/>
        </w:tabs>
      </w:pPr>
      <w:r>
        <w:t>SDD</w:t>
      </w:r>
      <w:r>
        <w:tab/>
        <w:t>SEPA Inkaso</w:t>
      </w:r>
      <w:r w:rsidR="00F31299">
        <w:t>,</w:t>
      </w:r>
      <w:r w:rsidR="00F31299" w:rsidRPr="00F31299">
        <w:t xml:space="preserve"> </w:t>
      </w:r>
      <w:r w:rsidR="00F31299">
        <w:t>(SEPA Direct Debit)</w:t>
      </w:r>
    </w:p>
    <w:p w:rsidR="003D62F9" w:rsidRDefault="003D62F9">
      <w:pPr>
        <w:tabs>
          <w:tab w:val="left" w:pos="2505"/>
          <w:tab w:val="center" w:leader="dot" w:pos="7938"/>
        </w:tabs>
      </w:pPr>
      <w:r>
        <w:t>SWIFT</w:t>
      </w:r>
      <w:r>
        <w:tab/>
        <w:t>Spoločnosť pre celosvetovú bankovú finančnú komunikáciu</w:t>
      </w:r>
    </w:p>
    <w:p w:rsidR="0042464E" w:rsidRDefault="00DB5AFA">
      <w:pPr>
        <w:tabs>
          <w:tab w:val="left" w:pos="2505"/>
          <w:tab w:val="center" w:leader="dot" w:pos="7938"/>
        </w:tabs>
      </w:pPr>
      <w:r>
        <w:t>OECD</w:t>
      </w:r>
      <w:r>
        <w:tab/>
        <w:t>Organizácia</w:t>
      </w:r>
      <w:r w:rsidR="0042464E">
        <w:t xml:space="preserve"> pr</w:t>
      </w:r>
      <w:r>
        <w:t>e</w:t>
      </w:r>
      <w:r w:rsidR="0042464E">
        <w:t xml:space="preserve"> </w:t>
      </w:r>
      <w:r>
        <w:t>hospodársku</w:t>
      </w:r>
      <w:r w:rsidR="0042464E">
        <w:t xml:space="preserve"> spoluprác</w:t>
      </w:r>
      <w:r>
        <w:t>u</w:t>
      </w:r>
      <w:r w:rsidR="0042464E">
        <w:t xml:space="preserve"> a</w:t>
      </w:r>
      <w:r w:rsidR="003D62F9">
        <w:t> </w:t>
      </w:r>
      <w:r w:rsidR="0042464E">
        <w:t>rozvoj</w:t>
      </w:r>
    </w:p>
    <w:p w:rsidR="003D62F9" w:rsidRDefault="003D62F9">
      <w:pPr>
        <w:tabs>
          <w:tab w:val="left" w:pos="2505"/>
          <w:tab w:val="center" w:leader="dot" w:pos="7938"/>
        </w:tabs>
      </w:pPr>
      <w:r>
        <w:t>VAT</w:t>
      </w:r>
      <w:r>
        <w:tab/>
        <w:t>Daň z pridanej hodnoty</w:t>
      </w:r>
      <w:r w:rsidR="00F31299">
        <w:t>, (Value Addend Tax)</w:t>
      </w:r>
    </w:p>
    <w:p w:rsidR="003D62F9" w:rsidRDefault="003D62F9">
      <w:pPr>
        <w:tabs>
          <w:tab w:val="left" w:pos="2505"/>
          <w:tab w:val="center" w:leader="dot" w:pos="7938"/>
        </w:tabs>
      </w:pPr>
      <w:r>
        <w:t>VÚB</w:t>
      </w:r>
      <w:r>
        <w:tab/>
        <w:t>Všeobecná úverová banka</w:t>
      </w:r>
    </w:p>
    <w:p w:rsidR="0042464E" w:rsidRDefault="00F31299">
      <w:pPr>
        <w:tabs>
          <w:tab w:val="left" w:pos="2505"/>
          <w:tab w:val="center" w:leader="dot" w:pos="7938"/>
        </w:tabs>
      </w:pPr>
      <w:r>
        <w:t>WB</w:t>
      </w:r>
      <w:r>
        <w:tab/>
        <w:t>Sve</w:t>
      </w:r>
      <w:r w:rsidR="0042464E">
        <w:t>tová banka (World Bank)</w:t>
      </w:r>
    </w:p>
    <w:p w:rsidR="003D62F9" w:rsidRDefault="003D62F9">
      <w:pPr>
        <w:tabs>
          <w:tab w:val="left" w:pos="2505"/>
          <w:tab w:val="center" w:leader="dot" w:pos="7938"/>
        </w:tabs>
      </w:pPr>
      <w:r>
        <w:t>WTO</w:t>
      </w:r>
      <w:r>
        <w:tab/>
        <w:t>Svetová obchodná organizácia</w:t>
      </w:r>
    </w:p>
    <w:p w:rsidR="005D4FF0" w:rsidRDefault="005D4FF0">
      <w:pPr>
        <w:tabs>
          <w:tab w:val="left" w:pos="2505"/>
          <w:tab w:val="center" w:leader="dot" w:pos="7938"/>
        </w:tabs>
      </w:pPr>
    </w:p>
    <w:p w:rsidR="0042464E" w:rsidRDefault="001B5405">
      <w:pPr>
        <w:pStyle w:val="AbstractSummary-nadpis"/>
      </w:pPr>
      <w:r>
        <w:lastRenderedPageBreak/>
        <w:t>Zoznam tabuliek</w:t>
      </w:r>
    </w:p>
    <w:p w:rsidR="00F21555" w:rsidRDefault="00F21555" w:rsidP="00F21555">
      <w:pPr>
        <w:tabs>
          <w:tab w:val="center" w:leader="dot" w:pos="7938"/>
        </w:tabs>
        <w:ind w:left="7938" w:hanging="7938"/>
      </w:pPr>
      <w:r>
        <w:t>Tabuľka 1  Druhy rizík a nástroje na ich elimináciu.........................................................4</w:t>
      </w:r>
    </w:p>
    <w:p w:rsidR="00F21555" w:rsidRDefault="00F21555" w:rsidP="00F21555">
      <w:pPr>
        <w:pStyle w:val="Tabulka"/>
      </w:pPr>
      <w:r>
        <w:t>Tabuľka 2 Platobné podmienky v medzinárodnom obchode z pohľadu účastníka obchodu.......5</w:t>
      </w:r>
    </w:p>
    <w:p w:rsidR="00F21555" w:rsidRDefault="00F21555" w:rsidP="00F21555">
      <w:pPr>
        <w:pStyle w:val="Tabulka"/>
      </w:pPr>
      <w:r>
        <w:t>Tabuľka 3 Výhodnosť platobných podmienok pre exportéra a importéra...................................7</w:t>
      </w:r>
    </w:p>
    <w:p w:rsidR="00F21555" w:rsidRDefault="00F21555" w:rsidP="00F21555">
      <w:pPr>
        <w:pStyle w:val="Tabulka"/>
      </w:pPr>
      <w:r>
        <w:t>Tabuľka 4 Prehľad vybraných informačných kancelárií a ich služby........................................11</w:t>
      </w:r>
    </w:p>
    <w:p w:rsidR="00F21555" w:rsidRDefault="00F21555" w:rsidP="00F21555">
      <w:pPr>
        <w:pStyle w:val="Tabulka"/>
      </w:pPr>
      <w:r>
        <w:t>Tabuľka 5 Rozdiely medzi cudzou a vlastnou zmenkou............................................................28</w:t>
      </w:r>
    </w:p>
    <w:p w:rsidR="00F21555" w:rsidRDefault="00F21555" w:rsidP="00F21555">
      <w:pPr>
        <w:pStyle w:val="Tabulka"/>
      </w:pPr>
      <w:r>
        <w:t>Tabuľka 6  Porovnanie platobnej bankovej záruky a komerčného poistenia pohľadávok.........57</w:t>
      </w:r>
    </w:p>
    <w:p w:rsidR="00F21555" w:rsidRDefault="00F21555" w:rsidP="00F21555">
      <w:pPr>
        <w:pStyle w:val="Tabulka"/>
      </w:pPr>
      <w:r>
        <w:t>Tabuľka 7  Základné makroekonomické ukazovatele................................................................61</w:t>
      </w: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jc w:val="left"/>
      </w:pPr>
    </w:p>
    <w:p w:rsidR="00F21555" w:rsidRPr="00F21555" w:rsidRDefault="00F21555" w:rsidP="00F21555">
      <w:pPr>
        <w:pStyle w:val="Tabulka-text"/>
        <w:jc w:val="left"/>
      </w:pPr>
    </w:p>
    <w:p w:rsidR="00F21555" w:rsidRDefault="00F21555" w:rsidP="00F21555">
      <w:pPr>
        <w:tabs>
          <w:tab w:val="center" w:leader="dot" w:pos="7938"/>
        </w:tabs>
        <w:ind w:left="7938" w:hanging="7938"/>
      </w:pPr>
    </w:p>
    <w:p w:rsidR="0042464E" w:rsidRDefault="0042464E">
      <w:pPr>
        <w:spacing w:after="0" w:line="240" w:lineRule="auto"/>
        <w:jc w:val="left"/>
      </w:pPr>
      <w:r>
        <w:br w:type="page"/>
      </w:r>
    </w:p>
    <w:p w:rsidR="0042464E" w:rsidRDefault="00BF2F35">
      <w:pPr>
        <w:pStyle w:val="AbstractSummary-nadpis"/>
      </w:pPr>
      <w:r>
        <w:lastRenderedPageBreak/>
        <w:t>Zoznam grafov</w:t>
      </w:r>
    </w:p>
    <w:p w:rsidR="00F21555" w:rsidRDefault="00F21555" w:rsidP="00F21555">
      <w:pPr>
        <w:pStyle w:val="Tabulka"/>
        <w:rPr>
          <w:sz w:val="24"/>
          <w:szCs w:val="24"/>
        </w:rPr>
      </w:pPr>
      <w:r w:rsidRPr="00F21555">
        <w:rPr>
          <w:sz w:val="24"/>
          <w:szCs w:val="24"/>
        </w:rPr>
        <w:t>Graf 1 Krajiny exportu Slovenska s uvedením hodnoty indexu platobného rizika</w:t>
      </w:r>
      <w:r>
        <w:rPr>
          <w:sz w:val="24"/>
          <w:szCs w:val="24"/>
        </w:rPr>
        <w:t>.........13</w:t>
      </w:r>
    </w:p>
    <w:p w:rsidR="00F21555" w:rsidRDefault="00F21555" w:rsidP="00F21555">
      <w:pPr>
        <w:pStyle w:val="Tabulka"/>
        <w:rPr>
          <w:sz w:val="24"/>
          <w:szCs w:val="24"/>
        </w:rPr>
      </w:pPr>
      <w:r w:rsidRPr="00F21555">
        <w:rPr>
          <w:sz w:val="24"/>
          <w:szCs w:val="24"/>
        </w:rPr>
        <w:t>Graf 2 Štruktúra portfólia faktoringových spoločnosti (v%)</w:t>
      </w:r>
      <w:r>
        <w:rPr>
          <w:sz w:val="24"/>
          <w:szCs w:val="24"/>
        </w:rPr>
        <w:t>...........................................35</w:t>
      </w:r>
    </w:p>
    <w:p w:rsidR="00F21555" w:rsidRDefault="00F21555" w:rsidP="00F21555">
      <w:pPr>
        <w:pStyle w:val="Tabulka"/>
        <w:rPr>
          <w:sz w:val="24"/>
          <w:szCs w:val="24"/>
        </w:rPr>
      </w:pPr>
      <w:r w:rsidRPr="00F21555">
        <w:rPr>
          <w:sz w:val="24"/>
          <w:szCs w:val="24"/>
        </w:rPr>
        <w:t>Graf 3 Trhové podiely faktoringových spoločnosti v SR (v%)</w:t>
      </w:r>
      <w:r>
        <w:rPr>
          <w:sz w:val="24"/>
          <w:szCs w:val="24"/>
        </w:rPr>
        <w:t>.......................................36</w:t>
      </w: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Default="00F21555" w:rsidP="00F21555">
      <w:pPr>
        <w:tabs>
          <w:tab w:val="center" w:leader="dot" w:pos="7938"/>
        </w:tabs>
      </w:pPr>
    </w:p>
    <w:p w:rsidR="00F21555" w:rsidRDefault="00F21555">
      <w:pPr>
        <w:tabs>
          <w:tab w:val="center" w:leader="dot" w:pos="7938"/>
        </w:tabs>
      </w:pPr>
    </w:p>
    <w:p w:rsidR="00F21555" w:rsidRDefault="00F21555">
      <w:pPr>
        <w:tabs>
          <w:tab w:val="center" w:leader="dot" w:pos="7938"/>
        </w:tabs>
      </w:pPr>
    </w:p>
    <w:p w:rsidR="00F21555" w:rsidRDefault="00F21555">
      <w:pPr>
        <w:tabs>
          <w:tab w:val="center" w:leader="dot" w:pos="7938"/>
        </w:tabs>
      </w:pPr>
    </w:p>
    <w:p w:rsidR="0042464E" w:rsidRDefault="0042464E">
      <w:pPr>
        <w:tabs>
          <w:tab w:val="center" w:leader="dot" w:pos="7938"/>
        </w:tabs>
      </w:pPr>
    </w:p>
    <w:p w:rsidR="0042464E" w:rsidRDefault="0042464E">
      <w:pPr>
        <w:pStyle w:val="Zkladntext"/>
      </w:pPr>
      <w:r>
        <w:tab/>
      </w:r>
    </w:p>
    <w:p w:rsidR="0042464E" w:rsidRDefault="0042464E">
      <w:pPr>
        <w:spacing w:after="0" w:line="240" w:lineRule="auto"/>
        <w:jc w:val="left"/>
      </w:pPr>
      <w:r>
        <w:br w:type="page"/>
      </w:r>
    </w:p>
    <w:p w:rsidR="0042464E" w:rsidRDefault="00BF2F35">
      <w:pPr>
        <w:pStyle w:val="AbstractSummary-nadpis"/>
      </w:pPr>
      <w:r>
        <w:lastRenderedPageBreak/>
        <w:t>Zoznam obrázkov</w:t>
      </w:r>
    </w:p>
    <w:p w:rsidR="00BD14CF" w:rsidRDefault="00BD14CF" w:rsidP="00F21555">
      <w:pPr>
        <w:pStyle w:val="Tabulka"/>
        <w:rPr>
          <w:sz w:val="24"/>
          <w:szCs w:val="24"/>
        </w:rPr>
      </w:pPr>
    </w:p>
    <w:p w:rsidR="00F21555" w:rsidRDefault="00F21555" w:rsidP="00F21555">
      <w:pPr>
        <w:pStyle w:val="Tabulka"/>
        <w:rPr>
          <w:sz w:val="24"/>
          <w:szCs w:val="24"/>
        </w:rPr>
      </w:pPr>
      <w:r w:rsidRPr="00F21555">
        <w:rPr>
          <w:sz w:val="24"/>
          <w:szCs w:val="24"/>
        </w:rPr>
        <w:t>Obrázok 1 Objasnenie hodnôt indexu platobného rizika</w:t>
      </w:r>
      <w:r>
        <w:rPr>
          <w:sz w:val="24"/>
          <w:szCs w:val="24"/>
        </w:rPr>
        <w:t>.................................................13</w:t>
      </w:r>
    </w:p>
    <w:p w:rsidR="00F21555" w:rsidRDefault="00F21555" w:rsidP="00F21555">
      <w:pPr>
        <w:pStyle w:val="Tabulka"/>
        <w:rPr>
          <w:sz w:val="24"/>
          <w:szCs w:val="24"/>
        </w:rPr>
      </w:pPr>
      <w:r w:rsidRPr="00F21555">
        <w:rPr>
          <w:sz w:val="24"/>
          <w:szCs w:val="24"/>
        </w:rPr>
        <w:t>Obrázok 2 Priebeh dokumentárneho akreditívu</w:t>
      </w:r>
      <w:r>
        <w:rPr>
          <w:sz w:val="24"/>
          <w:szCs w:val="24"/>
        </w:rPr>
        <w:t>..............................................................18</w:t>
      </w:r>
    </w:p>
    <w:p w:rsidR="00F21555" w:rsidRDefault="00F21555" w:rsidP="00F21555">
      <w:pPr>
        <w:pStyle w:val="Tabulka"/>
        <w:rPr>
          <w:sz w:val="24"/>
          <w:szCs w:val="24"/>
        </w:rPr>
      </w:pPr>
      <w:r w:rsidRPr="00F21555">
        <w:rPr>
          <w:sz w:val="24"/>
          <w:szCs w:val="24"/>
        </w:rPr>
        <w:t>Obrázok 3 Priebeh dokumentárneho inkasa</w:t>
      </w:r>
      <w:r>
        <w:rPr>
          <w:sz w:val="24"/>
          <w:szCs w:val="24"/>
        </w:rPr>
        <w:t>....................................................................22</w:t>
      </w:r>
    </w:p>
    <w:p w:rsidR="00F21555" w:rsidRDefault="00F21555" w:rsidP="00F21555">
      <w:pPr>
        <w:pStyle w:val="Tabulka"/>
        <w:rPr>
          <w:sz w:val="24"/>
          <w:szCs w:val="24"/>
        </w:rPr>
      </w:pPr>
      <w:r w:rsidRPr="00F21555">
        <w:rPr>
          <w:sz w:val="24"/>
          <w:szCs w:val="24"/>
        </w:rPr>
        <w:t>Obrázok 4  Priebeh faktoringu</w:t>
      </w:r>
      <w:r>
        <w:rPr>
          <w:sz w:val="24"/>
          <w:szCs w:val="24"/>
        </w:rPr>
        <w:t>........................................................................................37</w:t>
      </w:r>
    </w:p>
    <w:p w:rsidR="00F21555" w:rsidRDefault="00F21555" w:rsidP="00F21555">
      <w:pPr>
        <w:pStyle w:val="Tabulka"/>
        <w:jc w:val="both"/>
        <w:rPr>
          <w:sz w:val="24"/>
          <w:szCs w:val="24"/>
        </w:rPr>
      </w:pPr>
      <w:r w:rsidRPr="00F21555">
        <w:rPr>
          <w:sz w:val="24"/>
          <w:szCs w:val="24"/>
        </w:rPr>
        <w:t>Obrázok 5  Priebeh forfaitingu – odkúpenie pohľadávky zabezpečené dokumentárnym akreditívom s odloženou splatnosťou</w:t>
      </w:r>
      <w:r>
        <w:rPr>
          <w:sz w:val="24"/>
          <w:szCs w:val="24"/>
        </w:rPr>
        <w:t>..............................................................................40</w:t>
      </w:r>
    </w:p>
    <w:p w:rsidR="00F21555" w:rsidRDefault="00F21555" w:rsidP="00F21555">
      <w:pPr>
        <w:pStyle w:val="Tabulka"/>
        <w:rPr>
          <w:sz w:val="24"/>
          <w:szCs w:val="24"/>
        </w:rPr>
      </w:pPr>
      <w:r w:rsidRPr="00F21555">
        <w:rPr>
          <w:sz w:val="24"/>
          <w:szCs w:val="24"/>
        </w:rPr>
        <w:t>Obrázok 6  Priebeh platenia bankovým šekom v medzinárodnom obchode</w:t>
      </w:r>
      <w:r>
        <w:rPr>
          <w:sz w:val="24"/>
          <w:szCs w:val="24"/>
        </w:rPr>
        <w:t>...................45</w:t>
      </w:r>
    </w:p>
    <w:p w:rsidR="00F21555" w:rsidRDefault="00F21555" w:rsidP="00F21555">
      <w:pPr>
        <w:pStyle w:val="Tabulka"/>
        <w:rPr>
          <w:sz w:val="24"/>
          <w:szCs w:val="24"/>
        </w:rPr>
      </w:pPr>
      <w:r w:rsidRPr="00F21555">
        <w:rPr>
          <w:sz w:val="24"/>
          <w:szCs w:val="24"/>
        </w:rPr>
        <w:t>Obrázok 7  Prehľad výrobných závodov vo svete</w:t>
      </w:r>
      <w:r>
        <w:rPr>
          <w:sz w:val="24"/>
          <w:szCs w:val="24"/>
        </w:rPr>
        <w:t>...........................................................49</w:t>
      </w:r>
    </w:p>
    <w:p w:rsidR="00F21555" w:rsidRDefault="00F21555" w:rsidP="00F21555">
      <w:pPr>
        <w:pStyle w:val="Tabulka"/>
        <w:rPr>
          <w:sz w:val="24"/>
          <w:szCs w:val="24"/>
        </w:rPr>
      </w:pPr>
      <w:r w:rsidRPr="00F21555">
        <w:rPr>
          <w:sz w:val="24"/>
          <w:szCs w:val="24"/>
        </w:rPr>
        <w:t>Obrázok 8  Kontrola platnosti IČ DPH</w:t>
      </w:r>
      <w:r w:rsidR="00BD14CF">
        <w:rPr>
          <w:sz w:val="24"/>
          <w:szCs w:val="24"/>
        </w:rPr>
        <w:t xml:space="preserve"> BALDOCER, ŠPANIELSKO.</w:t>
      </w:r>
      <w:r>
        <w:rPr>
          <w:sz w:val="24"/>
          <w:szCs w:val="24"/>
        </w:rPr>
        <w:t>.........................53</w:t>
      </w:r>
    </w:p>
    <w:p w:rsidR="00F21555" w:rsidRPr="00BD14CF" w:rsidRDefault="00BD14CF" w:rsidP="00F21555">
      <w:pPr>
        <w:pStyle w:val="Tabulka"/>
        <w:rPr>
          <w:sz w:val="24"/>
          <w:szCs w:val="24"/>
        </w:rPr>
      </w:pPr>
      <w:r w:rsidRPr="00BD14CF">
        <w:rPr>
          <w:sz w:val="24"/>
          <w:szCs w:val="24"/>
        </w:rPr>
        <w:t>Obrázok 9</w:t>
      </w:r>
      <w:r w:rsidR="00F21555" w:rsidRPr="00BD14CF">
        <w:rPr>
          <w:sz w:val="24"/>
          <w:szCs w:val="24"/>
        </w:rPr>
        <w:t xml:space="preserve">  Kontrola platnosti IČ DPH TINBYT,  SLOVENSKO</w:t>
      </w:r>
      <w:r w:rsidRPr="00BD14CF">
        <w:rPr>
          <w:sz w:val="24"/>
          <w:szCs w:val="24"/>
        </w:rPr>
        <w:t>.................................69</w:t>
      </w:r>
    </w:p>
    <w:p w:rsidR="00BD14CF" w:rsidRPr="00BD14CF" w:rsidRDefault="00BD14CF" w:rsidP="00BD14CF">
      <w:pPr>
        <w:pStyle w:val="Tabulka"/>
        <w:rPr>
          <w:sz w:val="24"/>
          <w:szCs w:val="24"/>
        </w:rPr>
      </w:pPr>
      <w:r w:rsidRPr="00BD14CF">
        <w:rPr>
          <w:sz w:val="24"/>
          <w:szCs w:val="24"/>
        </w:rPr>
        <w:t>Obrázok 10  Kontrola platnosti IČ DPH IDEAL STANDARD, Česká republika</w:t>
      </w:r>
      <w:r>
        <w:rPr>
          <w:sz w:val="24"/>
          <w:szCs w:val="24"/>
        </w:rPr>
        <w:t>..........</w:t>
      </w:r>
      <w:r w:rsidRPr="00BD14CF">
        <w:rPr>
          <w:sz w:val="24"/>
          <w:szCs w:val="24"/>
        </w:rPr>
        <w:t>70</w:t>
      </w: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F21555" w:rsidRPr="00F21555" w:rsidRDefault="00F21555" w:rsidP="00F21555">
      <w:pPr>
        <w:pStyle w:val="Tabulka-text"/>
      </w:pPr>
    </w:p>
    <w:p w:rsidR="0042464E" w:rsidRDefault="0042464E">
      <w:pPr>
        <w:pStyle w:val="Zkladntext"/>
      </w:pPr>
    </w:p>
    <w:p w:rsidR="00F21555" w:rsidRDefault="00F21555">
      <w:pPr>
        <w:pStyle w:val="Zkladntext"/>
        <w:sectPr w:rsidR="00F21555">
          <w:headerReference w:type="default" r:id="rId11"/>
          <w:footerReference w:type="default" r:id="rId12"/>
          <w:pgSz w:w="11906" w:h="16838" w:code="9"/>
          <w:pgMar w:top="1418" w:right="1134" w:bottom="1418" w:left="2268" w:header="709" w:footer="709" w:gutter="0"/>
          <w:cols w:space="708"/>
          <w:docGrid w:linePitch="326"/>
        </w:sectPr>
      </w:pPr>
    </w:p>
    <w:p w:rsidR="0042464E" w:rsidRDefault="0042464E">
      <w:pPr>
        <w:pStyle w:val="Nadpis1"/>
      </w:pPr>
      <w:bookmarkStart w:id="0" w:name="_Toc321001052"/>
      <w:r>
        <w:lastRenderedPageBreak/>
        <w:t>Úvod</w:t>
      </w:r>
      <w:bookmarkEnd w:id="0"/>
    </w:p>
    <w:p w:rsidR="00447D54" w:rsidRDefault="00BD14CF">
      <w:r>
        <w:t>Svetové hospodárstvo sa v 21. storočí vyznačuje výraznou intenzitou globalizácie a pokrokom v oblasti rozvoja informačnej spoločnosti. Globalizácia je založen</w:t>
      </w:r>
      <w:r w:rsidR="00447D54">
        <w:t xml:space="preserve">á </w:t>
      </w:r>
      <w:r w:rsidR="00447D54">
        <w:br/>
        <w:t>na vy</w:t>
      </w:r>
      <w:r>
        <w:t xml:space="preserve">žívaní </w:t>
      </w:r>
      <w:r w:rsidR="00447D54">
        <w:t>komparatívnych</w:t>
      </w:r>
      <w:r>
        <w:t xml:space="preserve"> výhod jednotlivých </w:t>
      </w:r>
      <w:r w:rsidR="00447D54">
        <w:t>ekonomík</w:t>
      </w:r>
      <w:r>
        <w:t xml:space="preserve"> a </w:t>
      </w:r>
      <w:r w:rsidR="00447D54">
        <w:t>pre</w:t>
      </w:r>
      <w:r>
        <w:t>dpokladá maximálnu liberalizáciu pohybu tovaru, služieb, osôb a</w:t>
      </w:r>
      <w:r w:rsidR="00447D54">
        <w:t xml:space="preserve"> kapitálu, ako aj voľného nakladania s rôznymi druhmi cenných papierov a finančných derivátov a pod. Kľúčovú úlohu </w:t>
      </w:r>
      <w:r w:rsidR="00447D54">
        <w:br/>
        <w:t xml:space="preserve">pri  týchto zmenách aktív v stále väčšej miere hrajú rýchlosť, bezpečnosť a náklady spojené s transferom peňažných prostriedkov medzi účastníkmi trhu. </w:t>
      </w:r>
    </w:p>
    <w:p w:rsidR="00447D54" w:rsidRDefault="00447D54">
      <w:r>
        <w:t xml:space="preserve">Svetová ekonomika sa v roku 2008 dostala do obdobia stagnácie a recesie spojenej </w:t>
      </w:r>
      <w:r>
        <w:br/>
        <w:t>so zvýšením rizík súvisiacich s medzinárodným podnikaním a cezhraničnými bankovými službami. Poznanie zásad medzinárodného platobného styku umožňuje účastníkom obchodných transakcií  lepšie predvídať budúce problémy s vymožením zahraničných pohľadávok a dohodnúť platobné podmienky s obchodným partnerom tak, aby jeho platobná neochota alebo neschopnosť neohrozila úspešnosť exportu, resp. podnikania.</w:t>
      </w:r>
    </w:p>
    <w:p w:rsidR="00FA6789" w:rsidRDefault="00447D54">
      <w:r>
        <w:t>Každá podnikateľská činnosť je spojená s rizikom. Čo je riziko? Výraz riziko má historický charakter a bezprostredne sa týka medzinárodného obchodu v </w:t>
      </w:r>
      <w:r w:rsidR="00FA6789">
        <w:t>stredoveku</w:t>
      </w:r>
      <w:r>
        <w:t>. Slovo ,</w:t>
      </w:r>
      <w:r>
        <w:rPr>
          <w:i/>
        </w:rPr>
        <w:t>,ri</w:t>
      </w:r>
      <w:r w:rsidRPr="00447D54">
        <w:rPr>
          <w:i/>
        </w:rPr>
        <w:t>s</w:t>
      </w:r>
      <w:r>
        <w:rPr>
          <w:i/>
        </w:rPr>
        <w:t>ic</w:t>
      </w:r>
      <w:r w:rsidRPr="00447D54">
        <w:rPr>
          <w:i/>
        </w:rPr>
        <w:t>o“</w:t>
      </w:r>
      <w:r>
        <w:t xml:space="preserve">  </w:t>
      </w:r>
      <w:r w:rsidR="00FA6789">
        <w:t>pochád</w:t>
      </w:r>
      <w:r>
        <w:t>za z </w:t>
      </w:r>
      <w:r w:rsidR="00FA6789">
        <w:t>talianskeho</w:t>
      </w:r>
      <w:r>
        <w:t xml:space="preserve"> jazyka a </w:t>
      </w:r>
      <w:r w:rsidR="00FA6789">
        <w:t>predstavuje</w:t>
      </w:r>
      <w:r>
        <w:t xml:space="preserve"> </w:t>
      </w:r>
      <w:r w:rsidR="00FA6789">
        <w:t>úskalie</w:t>
      </w:r>
      <w:r>
        <w:t>, ktorému sa bolo nutné vyhnúť pri ďalekých plavbách. Znamenalo odvahu prekonať určité neb</w:t>
      </w:r>
      <w:r w:rsidR="00FA6789">
        <w:t>ezpeč</w:t>
      </w:r>
      <w:r>
        <w:t>e</w:t>
      </w:r>
      <w:r w:rsidR="00FA6789">
        <w:t>nstvo</w:t>
      </w:r>
      <w:r>
        <w:t>. Obe</w:t>
      </w:r>
      <w:r w:rsidR="00FA6789">
        <w:t>cná definí</w:t>
      </w:r>
      <w:r>
        <w:t>c</w:t>
      </w:r>
      <w:r w:rsidR="00FA6789">
        <w:t>i</w:t>
      </w:r>
      <w:r>
        <w:t>a rizi</w:t>
      </w:r>
      <w:r w:rsidR="00FA6789">
        <w:t>k</w:t>
      </w:r>
      <w:r>
        <w:t xml:space="preserve">a: </w:t>
      </w:r>
      <w:r w:rsidRPr="00FA6789">
        <w:rPr>
          <w:i/>
        </w:rPr>
        <w:t xml:space="preserve">,,Riziko </w:t>
      </w:r>
      <w:r w:rsidR="00FA6789" w:rsidRPr="00FA6789">
        <w:rPr>
          <w:i/>
        </w:rPr>
        <w:t>vyjadruje</w:t>
      </w:r>
      <w:r w:rsidRPr="00FA6789">
        <w:rPr>
          <w:i/>
        </w:rPr>
        <w:t xml:space="preserve"> mieru ohrozeni</w:t>
      </w:r>
      <w:r w:rsidR="00FA6789" w:rsidRPr="00FA6789">
        <w:rPr>
          <w:i/>
        </w:rPr>
        <w:t>a aktíva, t.j. mieru nebezpeč</w:t>
      </w:r>
      <w:r w:rsidR="00FA6789">
        <w:rPr>
          <w:i/>
        </w:rPr>
        <w:t>enstvo</w:t>
      </w:r>
      <w:r w:rsidR="00FA6789" w:rsidRPr="00FA6789">
        <w:rPr>
          <w:i/>
        </w:rPr>
        <w:t>, že sa použije hr</w:t>
      </w:r>
      <w:r w:rsidR="00FA6789">
        <w:rPr>
          <w:i/>
        </w:rPr>
        <w:t>o</w:t>
      </w:r>
      <w:r w:rsidR="00FA6789" w:rsidRPr="00FA6789">
        <w:rPr>
          <w:i/>
        </w:rPr>
        <w:t>z</w:t>
      </w:r>
      <w:r w:rsidR="00FA6789">
        <w:rPr>
          <w:i/>
        </w:rPr>
        <w:t>b</w:t>
      </w:r>
      <w:r w:rsidR="00FA6789" w:rsidRPr="00FA6789">
        <w:rPr>
          <w:i/>
        </w:rPr>
        <w:t>a a dôjde k nežiaducému výsledku v podobe vzniku škody.“</w:t>
      </w:r>
      <w:r w:rsidR="00FA6789">
        <w:t xml:space="preserve"> (Smejkal, 2003).</w:t>
      </w:r>
    </w:p>
    <w:p w:rsidR="00205FEA" w:rsidRDefault="00FA6789">
      <w:r>
        <w:t>Cieľom diplomovej práce je zoznámiť čitateľa so základnými problémami, ktoré musia exportéri a importéri riešiť v medzinárodnom obchode. Ako eliminovať platobné rizika? Ako eli</w:t>
      </w:r>
      <w:r w:rsidR="00205FEA">
        <w:t>minovať možnosti vzniku problémov</w:t>
      </w:r>
      <w:r>
        <w:t xml:space="preserve">? Aké nástroje a metódy použiť </w:t>
      </w:r>
      <w:r w:rsidR="00B32A81">
        <w:br/>
      </w:r>
      <w:r>
        <w:t xml:space="preserve">na elimináciu rizík?  Ako predchádzať problémom?  </w:t>
      </w:r>
      <w:r>
        <w:rPr>
          <w:rFonts w:eastAsia="MyriadPro-Bold"/>
          <w:lang w:eastAsia="sk-SK"/>
        </w:rPr>
        <w:t xml:space="preserve">Tieto otázky sa nám vynárajú </w:t>
      </w:r>
      <w:r w:rsidR="00B32A81">
        <w:rPr>
          <w:rFonts w:eastAsia="MyriadPro-Bold"/>
          <w:lang w:eastAsia="sk-SK"/>
        </w:rPr>
        <w:br/>
      </w:r>
      <w:r>
        <w:rPr>
          <w:rFonts w:eastAsia="MyriadPro-Bold"/>
          <w:lang w:eastAsia="sk-SK"/>
        </w:rPr>
        <w:t>pri úvahách</w:t>
      </w:r>
      <w:r>
        <w:t xml:space="preserve"> v </w:t>
      </w:r>
      <w:r w:rsidR="00205FEA">
        <w:t xml:space="preserve">diplomovej práci </w:t>
      </w:r>
      <w:r>
        <w:t>a pokúsime sa ich</w:t>
      </w:r>
      <w:r w:rsidR="00B32A81">
        <w:t xml:space="preserve"> bližšie</w:t>
      </w:r>
      <w:r>
        <w:t xml:space="preserve"> priblížiť a</w:t>
      </w:r>
      <w:r w:rsidR="00205FEA">
        <w:t> </w:t>
      </w:r>
      <w:r>
        <w:t>vysvetliť</w:t>
      </w:r>
      <w:r w:rsidR="00205FEA">
        <w:t>.</w:t>
      </w:r>
    </w:p>
    <w:p w:rsidR="00205FEA" w:rsidRDefault="00205FEA">
      <w:r>
        <w:t xml:space="preserve">Diplomová práca je rozdelená do dvoch kapitol. Úvod prvej kapitoly Teoreticko-metologická časť práce, je venovaný klasifikácii základných druhov rizík </w:t>
      </w:r>
      <w:r>
        <w:lastRenderedPageBreak/>
        <w:t xml:space="preserve">v medzinárodnom obchode. Vysvetľujeme dôležitosť preverenia bonity nášho obchodného partnera, ešte pred podpísaním Kúpnej zmluvy, resp. pri určení platobnej podmienky, prostredníctvom informačných a poisťovacích spoločnosti. Záver prvej kapitoly je venovaný podrobnému rozboru jednotlivých platobných nástrojov, používaných v medzinárodnom obchode, </w:t>
      </w:r>
      <w:r w:rsidR="00F555F0">
        <w:t xml:space="preserve">na elimináciu platobného rizika. Poznať a rozumieť platobným nástrojom je pridanou hodnotou každej firmy, pretože </w:t>
      </w:r>
      <w:r w:rsidR="00B32A81">
        <w:br/>
      </w:r>
      <w:r w:rsidR="00F555F0">
        <w:t>sa v súčasnosti často stretávame so stále  dokonalejšími formami finančných podvodov s medzinárodným prvkom. Slovenské firmy sa často stávajú obeťami medzinárodných organizovaných skupín, ktoré sa snažia od nich získať buď finančné plnenie alebo vylákať odoslanie tovaru.</w:t>
      </w:r>
    </w:p>
    <w:p w:rsidR="0005179D" w:rsidRDefault="00F555F0">
      <w:r>
        <w:t>Ťažisko diplomovej práce tvorí druhá kapitola Analytická/Praktická časť práce</w:t>
      </w:r>
      <w:r w:rsidR="0005179D">
        <w:t xml:space="preserve">, v ktorej </w:t>
      </w:r>
      <w:r w:rsidR="00205FEA">
        <w:t xml:space="preserve"> </w:t>
      </w:r>
      <w:r w:rsidR="0005179D">
        <w:t xml:space="preserve">predstavíme nadnárodnú spoločnosť IDEAL STANDARD INTERNATIONAL, </w:t>
      </w:r>
      <w:r w:rsidR="00B32A81">
        <w:br/>
      </w:r>
      <w:r w:rsidR="0005179D">
        <w:t xml:space="preserve">jej podnikateľskú a legislatívnu charakteristiku. Aktuálne krízové udalosti a vývoj </w:t>
      </w:r>
      <w:r w:rsidR="00B32A81">
        <w:br/>
      </w:r>
      <w:r w:rsidR="0005179D">
        <w:t xml:space="preserve">na finančnom trhu a v globálnej ekonomike presunuli ťažisko podnikových operácií </w:t>
      </w:r>
      <w:r w:rsidR="00B32A81">
        <w:br/>
      </w:r>
      <w:r w:rsidR="0005179D">
        <w:t xml:space="preserve">do oblastí managementu pohľadávok. V tejto kapitole priblížime aktivity v oblasti Managementu </w:t>
      </w:r>
      <w:r w:rsidR="00B62B4D">
        <w:t xml:space="preserve">pohľadávok </w:t>
      </w:r>
      <w:r w:rsidR="0005179D">
        <w:t>Ideal Standard, kde sa zameriame na konkrétne  činnosti praktického využitia nástrojov k zníženiu, resp. k eliminácií platobných rizík. Dané aktivity budeme analyzovať na tr</w:t>
      </w:r>
      <w:r w:rsidR="00B62B4D">
        <w:t xml:space="preserve">och vybraných odberateľov firmy, kde rozoberáme priebeh obchodných operácií a uzatváranie obchodných zmlúv, so zameraním nielen </w:t>
      </w:r>
      <w:r w:rsidR="00B32A81">
        <w:br/>
      </w:r>
      <w:r w:rsidR="00B62B4D">
        <w:t xml:space="preserve">na platobné podmienky, ale aj na dodacie podmienky INCOTERMS 2010.  </w:t>
      </w:r>
      <w:r w:rsidR="0005179D">
        <w:t xml:space="preserve"> V závere tejto kapitoly sa pokúsime spracovať návrhy a odporúčania v oblasti efektívnejšieho využívania platobných nástrojov k eliminácii platobných neschopnosti v podnikateľskom prostredí v spoločnosti Ideal Standard Internatiol. </w:t>
      </w:r>
    </w:p>
    <w:p w:rsidR="0005179D" w:rsidRDefault="0005179D"/>
    <w:p w:rsidR="0042464E" w:rsidRDefault="0042464E">
      <w:pPr>
        <w:spacing w:after="0" w:line="240" w:lineRule="auto"/>
        <w:jc w:val="left"/>
        <w:rPr>
          <w:b/>
          <w:bCs/>
          <w:sz w:val="32"/>
          <w:szCs w:val="32"/>
        </w:rPr>
      </w:pPr>
      <w:r>
        <w:br w:type="page"/>
      </w:r>
    </w:p>
    <w:p w:rsidR="0042464E" w:rsidRDefault="0042464E">
      <w:pPr>
        <w:pStyle w:val="Nadpis1"/>
      </w:pPr>
      <w:bookmarkStart w:id="1" w:name="_Toc321001053"/>
      <w:r>
        <w:lastRenderedPageBreak/>
        <w:t xml:space="preserve">Teoreticko-metodologická </w:t>
      </w:r>
      <w:r w:rsidR="00A86B2F">
        <w:t>časť</w:t>
      </w:r>
      <w:r>
        <w:t xml:space="preserve"> práce</w:t>
      </w:r>
      <w:bookmarkEnd w:id="1"/>
    </w:p>
    <w:p w:rsidR="0042464E" w:rsidRDefault="0042464E">
      <w:r>
        <w:t xml:space="preserve">Exportéri a importéri musia riešiť základné problémy nielen v obchode s tovarom, </w:t>
      </w:r>
      <w:r>
        <w:br/>
        <w:t xml:space="preserve">ale aj v ostatných formách hospodárskej spolupráce so zahraničím. Slovenská republika je </w:t>
      </w:r>
      <w:r w:rsidR="00A86B2F">
        <w:t>neoddeliteľnou</w:t>
      </w:r>
      <w:r>
        <w:t xml:space="preserve"> súčasťou globálnej svetovej ekonomiky. Globalizácia prináša nielen veľké možnosti zapojenia sa do medzinárodných podnikateľských aktivít, ale je spojená aj s určitými hrozbami, najviac zo stál</w:t>
      </w:r>
      <w:r w:rsidR="00BF2F35">
        <w:t xml:space="preserve">e sa zaostrujúcou konkurenciou </w:t>
      </w:r>
      <w:r w:rsidR="00BF2F35">
        <w:br/>
        <w:t xml:space="preserve">na </w:t>
      </w:r>
      <w:r>
        <w:t xml:space="preserve">medzinárodných trhoch. Zahraničný obchod predstavuje pre Slovenskú </w:t>
      </w:r>
      <w:r w:rsidR="00A86B2F">
        <w:t>republiku</w:t>
      </w:r>
      <w:r>
        <w:t xml:space="preserve"> veľmi dôležitý prostriedok na obnovenie a udržanie </w:t>
      </w:r>
      <w:r w:rsidR="00A86B2F">
        <w:t>ekonomickej</w:t>
      </w:r>
      <w:r w:rsidR="00BF2F35">
        <w:t xml:space="preserve"> rovnováhy </w:t>
      </w:r>
      <w:r w:rsidR="00BF2F35">
        <w:br/>
      </w:r>
      <w:r>
        <w:t xml:space="preserve">a zabezpečenie dynamického hospodárskeho rastu. </w:t>
      </w:r>
    </w:p>
    <w:p w:rsidR="0042464E" w:rsidRDefault="0042464E">
      <w:r>
        <w:t xml:space="preserve">Pokiaľ si Slovenské podniky chcú udržať medzinárodnú konkurencieschopnosť, musia nielen vyrábať kvalitatívne výrobky, ale taktiež ovládať zložitú problematiku medzinárodných obchodných operácií. Kľúčovú úlohu pri  zmenách aktív stále </w:t>
      </w:r>
      <w:r>
        <w:br/>
        <w:t>vo väčšej miere hraje rýchlosť, bezpečnosť a náklady spojené s </w:t>
      </w:r>
      <w:r w:rsidR="00BF2F35">
        <w:t>transferom</w:t>
      </w:r>
      <w:r>
        <w:t xml:space="preserve"> peňažných prostriedkov medzi účastníkmi trhu.   </w:t>
      </w:r>
    </w:p>
    <w:p w:rsidR="0042464E" w:rsidRDefault="0042464E">
      <w:r>
        <w:t>Operáciam</w:t>
      </w:r>
      <w:r w:rsidR="000222ED">
        <w:t xml:space="preserve"> v zahraničnom obchode sa venujú</w:t>
      </w:r>
      <w:r>
        <w:t xml:space="preserve"> Kašťáková, Pullmanová a Svobodová</w:t>
      </w:r>
      <w:r>
        <w:rPr>
          <w:rStyle w:val="Znakapoznpodarou"/>
        </w:rPr>
        <w:footnoteReference w:id="1"/>
      </w:r>
      <w:r>
        <w:t xml:space="preserve"> </w:t>
      </w:r>
      <w:r>
        <w:br/>
        <w:t xml:space="preserve">vo svojej knihe </w:t>
      </w:r>
      <w:r>
        <w:rPr>
          <w:i/>
          <w:iCs/>
        </w:rPr>
        <w:t>,,Operácie v zahraničnom obchode“</w:t>
      </w:r>
      <w:r>
        <w:t xml:space="preserve">, kde vysvetľujú, že platobné podmienky veľmi výhodné pre exportéra, predstavujú pre importéra zvýšené riziko, alebo minimálne finančnú nevýhodu. V záujme oboch zúčastnených na kontrakte, ostáva primárnou </w:t>
      </w:r>
      <w:r w:rsidRPr="00BF2F35">
        <w:t>otázkou bonita zahraničného obchodného partnera, identifikovanie rizík a určenie nástrojov na ich elimináciu.</w:t>
      </w:r>
      <w:r>
        <w:t xml:space="preserve"> </w:t>
      </w:r>
    </w:p>
    <w:p w:rsidR="0042464E" w:rsidRDefault="0042464E">
      <w:pPr>
        <w:pStyle w:val="Nadpis2"/>
      </w:pPr>
      <w:bookmarkStart w:id="2" w:name="_Toc321001054"/>
      <w:r>
        <w:t>Hlavné druhy rizík v medzinárodnom obchode</w:t>
      </w:r>
      <w:bookmarkEnd w:id="2"/>
    </w:p>
    <w:p w:rsidR="0042464E" w:rsidRDefault="0042464E">
      <w:r>
        <w:t>Každá podnikateľská činnosť je spojená s určitým rizikom. Podľa Pavelku,</w:t>
      </w:r>
      <w:r>
        <w:rPr>
          <w:rStyle w:val="Znakapoznpodarou"/>
        </w:rPr>
        <w:footnoteReference w:id="2"/>
      </w:r>
      <w:r>
        <w:t xml:space="preserve"> v medzinárodnom obchode je rozsah a účinok rozšírený o rozdielnosť kultúr, teritoriálnu vzdialenosť, rozdielnosť právnych noriem a politickú nestabilitu. </w:t>
      </w:r>
      <w:r w:rsidR="00BF2F35">
        <w:t>Definície</w:t>
      </w:r>
      <w:r>
        <w:t xml:space="preserve"> týkajúce sa rizika sa rôznia. Môže ísť o nebezpečenstvo vzniku straty alebo finančnej ujmy, nebezpečenstvo chybného rozhodnutia meniaceho očakávaný výsledok </w:t>
      </w:r>
      <w:r>
        <w:br/>
      </w:r>
      <w:r>
        <w:lastRenderedPageBreak/>
        <w:t>a podobne. Podľa Smejkala,</w:t>
      </w:r>
      <w:r>
        <w:rPr>
          <w:rStyle w:val="Znakapoznpodarou"/>
        </w:rPr>
        <w:footnoteReference w:id="3"/>
      </w:r>
      <w:r>
        <w:t xml:space="preserve"> všeobecná definícia rizika znie: </w:t>
      </w:r>
      <w:r>
        <w:rPr>
          <w:i/>
          <w:iCs/>
        </w:rPr>
        <w:t xml:space="preserve">,,Riziko vyjadruje mieru ohrozenia aktíva, t.j. mieru nebezpečenstva, že sa uplatní hrozba a dôjde k nežiaducemu výsledku v podobe vzniku škody.“  </w:t>
      </w:r>
    </w:p>
    <w:p w:rsidR="0042464E" w:rsidRDefault="0042464E">
      <w:pPr>
        <w:pStyle w:val="Tabulka"/>
      </w:pPr>
      <w:r>
        <w:t>Tabuľka 1  Druhy rizík a nástroje na ich elimináciu</w:t>
      </w:r>
    </w:p>
    <w:tbl>
      <w:tblPr>
        <w:tblW w:w="8530" w:type="dxa"/>
        <w:tblInd w:w="2" w:type="dxa"/>
        <w:tblCellMar>
          <w:left w:w="0" w:type="dxa"/>
          <w:right w:w="0" w:type="dxa"/>
        </w:tblCellMar>
        <w:tblLook w:val="0000"/>
      </w:tblPr>
      <w:tblGrid>
        <w:gridCol w:w="4090"/>
        <w:gridCol w:w="4440"/>
      </w:tblGrid>
      <w:tr w:rsidR="0042464E" w:rsidRPr="0023218F" w:rsidTr="00EF74DA">
        <w:trPr>
          <w:trHeight w:val="345"/>
        </w:trPr>
        <w:tc>
          <w:tcPr>
            <w:tcW w:w="4090" w:type="dxa"/>
            <w:tcBorders>
              <w:top w:val="single" w:sz="8" w:space="0" w:color="auto"/>
              <w:left w:val="single" w:sz="8" w:space="0" w:color="auto"/>
              <w:bottom w:val="single" w:sz="8" w:space="0" w:color="auto"/>
              <w:right w:val="nil"/>
            </w:tcBorders>
            <w:shd w:val="clear" w:color="auto" w:fill="F2F2F2" w:themeFill="background1" w:themeFillShade="F2"/>
            <w:noWrap/>
            <w:tcMar>
              <w:top w:w="10" w:type="dxa"/>
              <w:left w:w="10" w:type="dxa"/>
              <w:bottom w:w="0" w:type="dxa"/>
              <w:right w:w="10" w:type="dxa"/>
            </w:tcMar>
            <w:vAlign w:val="bottom"/>
          </w:tcPr>
          <w:p w:rsidR="0042464E" w:rsidRPr="0023218F" w:rsidRDefault="0042464E">
            <w:pPr>
              <w:spacing w:line="240" w:lineRule="auto"/>
              <w:rPr>
                <w:rFonts w:eastAsiaTheme="minorEastAsia"/>
                <w:b/>
                <w:bCs/>
              </w:rPr>
            </w:pPr>
            <w:r w:rsidRPr="0023218F">
              <w:rPr>
                <w:rFonts w:eastAsiaTheme="minorEastAsia"/>
                <w:b/>
                <w:bCs/>
              </w:rPr>
              <w:t>Druh rizika</w:t>
            </w:r>
          </w:p>
        </w:tc>
        <w:tc>
          <w:tcPr>
            <w:tcW w:w="4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tcMar>
              <w:top w:w="10" w:type="dxa"/>
              <w:left w:w="10" w:type="dxa"/>
              <w:bottom w:w="0" w:type="dxa"/>
              <w:right w:w="10" w:type="dxa"/>
            </w:tcMar>
            <w:vAlign w:val="bottom"/>
          </w:tcPr>
          <w:p w:rsidR="0042464E" w:rsidRPr="0023218F" w:rsidRDefault="0042464E">
            <w:pPr>
              <w:spacing w:line="240" w:lineRule="auto"/>
              <w:rPr>
                <w:rFonts w:eastAsiaTheme="minorEastAsia"/>
                <w:b/>
                <w:bCs/>
              </w:rPr>
            </w:pPr>
            <w:r w:rsidRPr="0023218F">
              <w:rPr>
                <w:rFonts w:eastAsiaTheme="minorEastAsia"/>
                <w:b/>
                <w:bCs/>
              </w:rPr>
              <w:t>Eliminácia</w:t>
            </w:r>
          </w:p>
        </w:tc>
      </w:tr>
      <w:tr w:rsidR="0042464E" w:rsidRPr="0023218F" w:rsidTr="00EF74DA">
        <w:trPr>
          <w:cantSplit/>
          <w:trHeight w:val="654"/>
        </w:trPr>
        <w:tc>
          <w:tcPr>
            <w:tcW w:w="4090" w:type="dxa"/>
            <w:vMerge w:val="restart"/>
            <w:tcBorders>
              <w:top w:val="nil"/>
              <w:left w:val="single" w:sz="8" w:space="0" w:color="auto"/>
              <w:bottom w:val="nil"/>
              <w:right w:val="nil"/>
            </w:tcBorders>
            <w:shd w:val="clear" w:color="auto" w:fill="F2F2F2" w:themeFill="background1" w:themeFillShade="F2"/>
            <w:noWrap/>
            <w:tcMar>
              <w:top w:w="10" w:type="dxa"/>
              <w:left w:w="10" w:type="dxa"/>
              <w:bottom w:w="0" w:type="dxa"/>
              <w:right w:w="10" w:type="dxa"/>
            </w:tcMar>
          </w:tcPr>
          <w:p w:rsidR="0042464E" w:rsidRPr="0023218F" w:rsidRDefault="0042464E">
            <w:pPr>
              <w:spacing w:line="240" w:lineRule="auto"/>
              <w:rPr>
                <w:rFonts w:eastAsiaTheme="minorEastAsia"/>
              </w:rPr>
            </w:pPr>
            <w:r w:rsidRPr="0023218F">
              <w:rPr>
                <w:rFonts w:eastAsiaTheme="minorEastAsia"/>
              </w:rPr>
              <w:t>Riziko mentality</w:t>
            </w:r>
          </w:p>
        </w:tc>
        <w:tc>
          <w:tcPr>
            <w:tcW w:w="4440" w:type="dxa"/>
            <w:vMerge w:val="restart"/>
            <w:tcBorders>
              <w:top w:val="nil"/>
              <w:left w:val="single" w:sz="8" w:space="0" w:color="auto"/>
              <w:bottom w:val="single" w:sz="8" w:space="0" w:color="000000"/>
              <w:right w:val="single" w:sz="8" w:space="0" w:color="auto"/>
            </w:tcBorders>
            <w:tcMar>
              <w:top w:w="10" w:type="dxa"/>
              <w:left w:w="10" w:type="dxa"/>
              <w:bottom w:w="0" w:type="dxa"/>
              <w:right w:w="10" w:type="dxa"/>
            </w:tcMar>
          </w:tcPr>
          <w:p w:rsidR="0042464E" w:rsidRPr="0023218F" w:rsidRDefault="0042464E">
            <w:pPr>
              <w:spacing w:line="240" w:lineRule="auto"/>
              <w:rPr>
                <w:rFonts w:eastAsiaTheme="minorEastAsia"/>
              </w:rPr>
            </w:pPr>
            <w:r w:rsidRPr="0023218F">
              <w:rPr>
                <w:rFonts w:eastAsiaTheme="minorEastAsia"/>
              </w:rPr>
              <w:t>Príprava na obchodné rokovanie s aplikáciou poznatkov o kultúre a zvyklostiach v krajine obchodného partnera</w:t>
            </w:r>
          </w:p>
        </w:tc>
      </w:tr>
      <w:tr w:rsidR="0042464E" w:rsidRPr="0023218F" w:rsidTr="00EF74DA">
        <w:trPr>
          <w:cantSplit/>
          <w:trHeight w:val="516"/>
        </w:trPr>
        <w:tc>
          <w:tcPr>
            <w:tcW w:w="4090" w:type="dxa"/>
            <w:vMerge/>
            <w:tcBorders>
              <w:top w:val="nil"/>
              <w:left w:val="single" w:sz="8" w:space="0" w:color="auto"/>
              <w:bottom w:val="nil"/>
              <w:right w:val="nil"/>
            </w:tcBorders>
            <w:shd w:val="clear" w:color="auto" w:fill="F2F2F2" w:themeFill="background1" w:themeFillShade="F2"/>
            <w:vAlign w:val="center"/>
          </w:tcPr>
          <w:p w:rsidR="0042464E" w:rsidRPr="0023218F" w:rsidRDefault="0042464E">
            <w:pPr>
              <w:spacing w:line="240" w:lineRule="auto"/>
              <w:rPr>
                <w:rFonts w:eastAsiaTheme="minorEastAsia"/>
              </w:rPr>
            </w:pPr>
          </w:p>
        </w:tc>
        <w:tc>
          <w:tcPr>
            <w:tcW w:w="4440" w:type="dxa"/>
            <w:vMerge/>
            <w:tcBorders>
              <w:top w:val="nil"/>
              <w:left w:val="single" w:sz="8" w:space="0" w:color="auto"/>
              <w:bottom w:val="single" w:sz="8" w:space="0" w:color="000000"/>
              <w:right w:val="single" w:sz="8" w:space="0" w:color="auto"/>
            </w:tcBorders>
            <w:vAlign w:val="center"/>
          </w:tcPr>
          <w:p w:rsidR="0042464E" w:rsidRPr="0023218F" w:rsidRDefault="0042464E">
            <w:pPr>
              <w:spacing w:line="240" w:lineRule="auto"/>
              <w:rPr>
                <w:rFonts w:eastAsiaTheme="minorEastAsia"/>
              </w:rPr>
            </w:pPr>
          </w:p>
        </w:tc>
      </w:tr>
      <w:tr w:rsidR="0042464E" w:rsidRPr="0023218F" w:rsidTr="00EF74DA">
        <w:trPr>
          <w:trHeight w:val="645"/>
        </w:trPr>
        <w:tc>
          <w:tcPr>
            <w:tcW w:w="4090" w:type="dxa"/>
            <w:tcBorders>
              <w:top w:val="single" w:sz="8" w:space="0" w:color="auto"/>
              <w:left w:val="single" w:sz="8" w:space="0" w:color="auto"/>
              <w:bottom w:val="single" w:sz="8" w:space="0" w:color="auto"/>
              <w:right w:val="nil"/>
            </w:tcBorders>
            <w:shd w:val="clear" w:color="auto" w:fill="F2F2F2" w:themeFill="background1" w:themeFillShade="F2"/>
            <w:noWrap/>
            <w:tcMar>
              <w:top w:w="10" w:type="dxa"/>
              <w:left w:w="10" w:type="dxa"/>
              <w:bottom w:w="0" w:type="dxa"/>
              <w:right w:w="10" w:type="dxa"/>
            </w:tcMar>
          </w:tcPr>
          <w:p w:rsidR="0042464E" w:rsidRPr="0023218F" w:rsidRDefault="0042464E">
            <w:pPr>
              <w:spacing w:line="240" w:lineRule="auto"/>
              <w:rPr>
                <w:rFonts w:eastAsiaTheme="minorEastAsia"/>
              </w:rPr>
            </w:pPr>
            <w:r w:rsidRPr="0023218F">
              <w:rPr>
                <w:rFonts w:eastAsiaTheme="minorEastAsia"/>
              </w:rPr>
              <w:t>Riziko jazyka</w:t>
            </w:r>
          </w:p>
        </w:tc>
        <w:tc>
          <w:tcPr>
            <w:tcW w:w="4440" w:type="dxa"/>
            <w:tcBorders>
              <w:top w:val="nil"/>
              <w:left w:val="single" w:sz="8" w:space="0" w:color="auto"/>
              <w:bottom w:val="single" w:sz="8" w:space="0" w:color="auto"/>
              <w:right w:val="single" w:sz="8" w:space="0" w:color="auto"/>
            </w:tcBorders>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Znalosť jazyka obch</w:t>
            </w:r>
            <w:r w:rsidR="00BF2F35">
              <w:rPr>
                <w:rFonts w:eastAsiaTheme="minorEastAsia"/>
              </w:rPr>
              <w:t>o</w:t>
            </w:r>
            <w:r w:rsidRPr="0023218F">
              <w:rPr>
                <w:rFonts w:eastAsiaTheme="minorEastAsia"/>
              </w:rPr>
              <w:t>dného partnera vrátane odbornej terminológie</w:t>
            </w:r>
          </w:p>
        </w:tc>
      </w:tr>
      <w:tr w:rsidR="0042464E" w:rsidRPr="0023218F" w:rsidTr="00EF74DA">
        <w:trPr>
          <w:cantSplit/>
          <w:trHeight w:val="543"/>
        </w:trPr>
        <w:tc>
          <w:tcPr>
            <w:tcW w:w="4090" w:type="dxa"/>
            <w:vMerge w:val="restart"/>
            <w:tcBorders>
              <w:top w:val="nil"/>
              <w:left w:val="single" w:sz="8" w:space="0" w:color="auto"/>
              <w:bottom w:val="single" w:sz="8" w:space="0" w:color="000000"/>
              <w:right w:val="single" w:sz="8" w:space="0" w:color="auto"/>
            </w:tcBorders>
            <w:shd w:val="clear" w:color="auto" w:fill="F2F2F2" w:themeFill="background1" w:themeFillShade="F2"/>
            <w:noWrap/>
            <w:tcMar>
              <w:top w:w="10" w:type="dxa"/>
              <w:left w:w="10" w:type="dxa"/>
              <w:bottom w:w="0" w:type="dxa"/>
              <w:right w:w="10" w:type="dxa"/>
            </w:tcMar>
          </w:tcPr>
          <w:p w:rsidR="0042464E" w:rsidRPr="0023218F" w:rsidRDefault="0042464E">
            <w:pPr>
              <w:spacing w:line="240" w:lineRule="auto"/>
              <w:rPr>
                <w:rFonts w:eastAsiaTheme="minorEastAsia"/>
              </w:rPr>
            </w:pPr>
            <w:r w:rsidRPr="0023218F">
              <w:rPr>
                <w:rFonts w:eastAsiaTheme="minorEastAsia"/>
              </w:rPr>
              <w:t>Právne riziko</w:t>
            </w:r>
          </w:p>
        </w:tc>
        <w:tc>
          <w:tcPr>
            <w:tcW w:w="4440" w:type="dxa"/>
            <w:tcBorders>
              <w:top w:val="nil"/>
              <w:left w:val="nil"/>
              <w:bottom w:val="nil"/>
              <w:right w:val="single" w:sz="8" w:space="0" w:color="auto"/>
            </w:tcBorders>
            <w:tcMar>
              <w:top w:w="10" w:type="dxa"/>
              <w:left w:w="10" w:type="dxa"/>
              <w:bottom w:w="0" w:type="dxa"/>
              <w:right w:w="10" w:type="dxa"/>
            </w:tcMar>
          </w:tcPr>
          <w:p w:rsidR="0042464E" w:rsidRPr="0023218F" w:rsidRDefault="0042464E">
            <w:pPr>
              <w:spacing w:line="240" w:lineRule="auto"/>
              <w:rPr>
                <w:rFonts w:eastAsiaTheme="minorEastAsia"/>
              </w:rPr>
            </w:pPr>
            <w:r w:rsidRPr="0023218F">
              <w:rPr>
                <w:rFonts w:eastAsiaTheme="minorEastAsia"/>
              </w:rPr>
              <w:t>Dohoda o použiteľnom práve a miestnej príslušnosti súdu pre prípad sporu</w:t>
            </w:r>
          </w:p>
        </w:tc>
      </w:tr>
      <w:tr w:rsidR="0042464E" w:rsidRPr="0023218F" w:rsidTr="00EF74DA">
        <w:trPr>
          <w:cantSplit/>
          <w:trHeight w:val="630"/>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pPr>
              <w:spacing w:line="240" w:lineRule="auto"/>
              <w:rPr>
                <w:rFonts w:eastAsiaTheme="minorEastAsia"/>
              </w:rPr>
            </w:pPr>
          </w:p>
        </w:tc>
        <w:tc>
          <w:tcPr>
            <w:tcW w:w="4440" w:type="dxa"/>
            <w:tcBorders>
              <w:top w:val="nil"/>
              <w:left w:val="nil"/>
              <w:bottom w:val="nil"/>
              <w:right w:val="single" w:sz="8" w:space="0" w:color="auto"/>
            </w:tcBorders>
            <w:tcMar>
              <w:top w:w="10" w:type="dxa"/>
              <w:left w:w="10" w:type="dxa"/>
              <w:bottom w:w="0" w:type="dxa"/>
              <w:right w:w="10" w:type="dxa"/>
            </w:tcMar>
          </w:tcPr>
          <w:p w:rsidR="0042464E" w:rsidRPr="0023218F" w:rsidRDefault="0042464E" w:rsidP="00EF74DA">
            <w:pPr>
              <w:spacing w:line="240" w:lineRule="auto"/>
              <w:jc w:val="left"/>
              <w:rPr>
                <w:rFonts w:eastAsiaTheme="minorEastAsia"/>
              </w:rPr>
            </w:pPr>
            <w:r w:rsidRPr="0023218F">
              <w:rPr>
                <w:rFonts w:eastAsiaTheme="minorEastAsia"/>
              </w:rPr>
              <w:t>Rozhodcovské doložky v kontrakte na riešenia sporov</w:t>
            </w:r>
          </w:p>
        </w:tc>
      </w:tr>
      <w:tr w:rsidR="0042464E" w:rsidRPr="0023218F" w:rsidTr="00EF74DA">
        <w:trPr>
          <w:cantSplit/>
          <w:trHeight w:val="330"/>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pPr>
              <w:spacing w:line="240" w:lineRule="auto"/>
              <w:rPr>
                <w:rFonts w:eastAsiaTheme="minorEastAsia"/>
              </w:rPr>
            </w:pPr>
          </w:p>
        </w:tc>
        <w:tc>
          <w:tcPr>
            <w:tcW w:w="4440" w:type="dxa"/>
            <w:tcBorders>
              <w:top w:val="nil"/>
              <w:left w:val="nil"/>
              <w:bottom w:val="single" w:sz="8" w:space="0" w:color="auto"/>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Znalosť právnych pomerov v krajine</w:t>
            </w:r>
          </w:p>
        </w:tc>
      </w:tr>
      <w:tr w:rsidR="0042464E" w:rsidRPr="0023218F" w:rsidTr="00EF74DA">
        <w:trPr>
          <w:cantSplit/>
          <w:trHeight w:val="315"/>
        </w:trPr>
        <w:tc>
          <w:tcPr>
            <w:tcW w:w="4090" w:type="dxa"/>
            <w:vMerge w:val="restart"/>
            <w:tcBorders>
              <w:top w:val="nil"/>
              <w:left w:val="single" w:sz="8" w:space="0" w:color="auto"/>
              <w:bottom w:val="single" w:sz="8" w:space="0" w:color="000000"/>
              <w:right w:val="single" w:sz="8" w:space="0" w:color="auto"/>
            </w:tcBorders>
            <w:shd w:val="clear" w:color="auto" w:fill="F2F2F2" w:themeFill="background1" w:themeFillShade="F2"/>
            <w:noWrap/>
            <w:tcMar>
              <w:top w:w="10" w:type="dxa"/>
              <w:left w:w="10" w:type="dxa"/>
              <w:bottom w:w="0" w:type="dxa"/>
              <w:right w:w="10" w:type="dxa"/>
            </w:tcMar>
          </w:tcPr>
          <w:p w:rsidR="0042464E" w:rsidRPr="0023218F" w:rsidRDefault="0042464E" w:rsidP="00EF74DA">
            <w:pPr>
              <w:spacing w:line="240" w:lineRule="auto"/>
              <w:rPr>
                <w:rFonts w:eastAsiaTheme="minorEastAsia"/>
              </w:rPr>
            </w:pPr>
            <w:r w:rsidRPr="0023218F">
              <w:rPr>
                <w:rFonts w:eastAsiaTheme="minorEastAsia"/>
              </w:rPr>
              <w:t>Politické a hospodárske riziko</w:t>
            </w: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rsidP="00EF74DA">
            <w:pPr>
              <w:spacing w:line="240" w:lineRule="auto"/>
              <w:rPr>
                <w:rFonts w:eastAsiaTheme="minorEastAsia"/>
              </w:rPr>
            </w:pPr>
            <w:r w:rsidRPr="0023218F">
              <w:rPr>
                <w:rFonts w:eastAsiaTheme="minorEastAsia"/>
              </w:rPr>
              <w:t xml:space="preserve">Informácie o krajine </w:t>
            </w:r>
            <w:r w:rsidR="00BF2F35" w:rsidRPr="0023218F">
              <w:rPr>
                <w:rFonts w:eastAsiaTheme="minorEastAsia"/>
              </w:rPr>
              <w:t>odberateľa</w:t>
            </w:r>
          </w:p>
        </w:tc>
      </w:tr>
      <w:tr w:rsidR="0042464E" w:rsidRPr="0023218F" w:rsidTr="00EF74DA">
        <w:trPr>
          <w:cantSplit/>
          <w:trHeight w:val="315"/>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rsidP="00EF74DA">
            <w:pPr>
              <w:spacing w:line="240" w:lineRule="auto"/>
              <w:rPr>
                <w:rFonts w:eastAsiaTheme="minorEastAsia"/>
              </w:rPr>
            </w:pP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rsidP="00EF74DA">
            <w:pPr>
              <w:spacing w:line="240" w:lineRule="auto"/>
              <w:rPr>
                <w:rFonts w:eastAsiaTheme="minorEastAsia"/>
              </w:rPr>
            </w:pPr>
            <w:r w:rsidRPr="0023218F">
              <w:rPr>
                <w:rFonts w:eastAsiaTheme="minorEastAsia"/>
              </w:rPr>
              <w:t>Potvrdenie dokumentárneho akreditívu</w:t>
            </w:r>
          </w:p>
        </w:tc>
      </w:tr>
      <w:tr w:rsidR="0042464E" w:rsidRPr="0023218F" w:rsidTr="00EF74DA">
        <w:trPr>
          <w:cantSplit/>
          <w:trHeight w:val="330"/>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rsidP="00EF74DA">
            <w:pPr>
              <w:spacing w:line="240" w:lineRule="auto"/>
              <w:rPr>
                <w:rFonts w:eastAsiaTheme="minorEastAsia"/>
              </w:rPr>
            </w:pPr>
          </w:p>
        </w:tc>
        <w:tc>
          <w:tcPr>
            <w:tcW w:w="4440" w:type="dxa"/>
            <w:tcBorders>
              <w:top w:val="nil"/>
              <w:left w:val="nil"/>
              <w:bottom w:val="single" w:sz="8" w:space="0" w:color="auto"/>
              <w:right w:val="single" w:sz="8" w:space="0" w:color="auto"/>
            </w:tcBorders>
            <w:noWrap/>
            <w:tcMar>
              <w:top w:w="10" w:type="dxa"/>
              <w:left w:w="10" w:type="dxa"/>
              <w:bottom w:w="0" w:type="dxa"/>
              <w:right w:w="10" w:type="dxa"/>
            </w:tcMar>
            <w:vAlign w:val="bottom"/>
          </w:tcPr>
          <w:p w:rsidR="0042464E" w:rsidRPr="0023218F" w:rsidRDefault="0042464E" w:rsidP="00EF74DA">
            <w:pPr>
              <w:spacing w:line="240" w:lineRule="auto"/>
              <w:rPr>
                <w:rFonts w:eastAsiaTheme="minorEastAsia"/>
              </w:rPr>
            </w:pPr>
            <w:r w:rsidRPr="0023218F">
              <w:rPr>
                <w:rFonts w:eastAsiaTheme="minorEastAsia"/>
              </w:rPr>
              <w:t>Poistenie pohľadávok</w:t>
            </w:r>
          </w:p>
        </w:tc>
      </w:tr>
      <w:tr w:rsidR="0042464E" w:rsidRPr="0023218F" w:rsidTr="00EF74DA">
        <w:trPr>
          <w:cantSplit/>
          <w:trHeight w:val="315"/>
        </w:trPr>
        <w:tc>
          <w:tcPr>
            <w:tcW w:w="4090" w:type="dxa"/>
            <w:vMerge w:val="restart"/>
            <w:tcBorders>
              <w:top w:val="nil"/>
              <w:left w:val="single" w:sz="8" w:space="0" w:color="auto"/>
              <w:bottom w:val="single" w:sz="8" w:space="0" w:color="000000"/>
              <w:right w:val="single" w:sz="8" w:space="0" w:color="auto"/>
            </w:tcBorders>
            <w:shd w:val="clear" w:color="auto" w:fill="F2F2F2" w:themeFill="background1" w:themeFillShade="F2"/>
            <w:noWrap/>
            <w:tcMar>
              <w:top w:w="10" w:type="dxa"/>
              <w:left w:w="10" w:type="dxa"/>
              <w:bottom w:w="0" w:type="dxa"/>
              <w:right w:w="10" w:type="dxa"/>
            </w:tcMar>
          </w:tcPr>
          <w:p w:rsidR="0042464E" w:rsidRPr="0023218F" w:rsidRDefault="0042464E" w:rsidP="00EF74DA">
            <w:pPr>
              <w:spacing w:line="240" w:lineRule="auto"/>
              <w:rPr>
                <w:rFonts w:eastAsiaTheme="minorEastAsia"/>
              </w:rPr>
            </w:pPr>
            <w:r w:rsidRPr="0023218F">
              <w:rPr>
                <w:rFonts w:eastAsiaTheme="minorEastAsia"/>
              </w:rPr>
              <w:t>Platobné riziko</w:t>
            </w: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rsidP="00EF74DA">
            <w:pPr>
              <w:spacing w:line="240" w:lineRule="auto"/>
              <w:rPr>
                <w:rFonts w:eastAsiaTheme="minorEastAsia"/>
              </w:rPr>
            </w:pPr>
            <w:r w:rsidRPr="0023218F">
              <w:rPr>
                <w:rFonts w:eastAsiaTheme="minorEastAsia"/>
              </w:rPr>
              <w:t>Preverenie bonity odberateľa</w:t>
            </w:r>
          </w:p>
        </w:tc>
      </w:tr>
      <w:tr w:rsidR="0042464E" w:rsidRPr="0023218F" w:rsidTr="00EF74DA">
        <w:trPr>
          <w:cantSplit/>
          <w:trHeight w:val="315"/>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pPr>
              <w:spacing w:line="240" w:lineRule="auto"/>
              <w:rPr>
                <w:rFonts w:eastAsiaTheme="minorEastAsia"/>
              </w:rPr>
            </w:pP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Vyžiadanie abstraktnej bankovej záruky</w:t>
            </w:r>
          </w:p>
        </w:tc>
      </w:tr>
      <w:tr w:rsidR="0042464E" w:rsidRPr="0023218F" w:rsidTr="00EF74DA">
        <w:trPr>
          <w:cantSplit/>
          <w:trHeight w:val="315"/>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pPr>
              <w:spacing w:line="240" w:lineRule="auto"/>
              <w:rPr>
                <w:rFonts w:eastAsiaTheme="minorEastAsia"/>
              </w:rPr>
            </w:pP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Platba dokumentárnym akreditívom</w:t>
            </w:r>
          </w:p>
        </w:tc>
      </w:tr>
      <w:tr w:rsidR="0042464E" w:rsidRPr="0023218F" w:rsidTr="00EF74DA">
        <w:trPr>
          <w:cantSplit/>
          <w:trHeight w:val="330"/>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pPr>
              <w:spacing w:line="240" w:lineRule="auto"/>
              <w:rPr>
                <w:rFonts w:eastAsiaTheme="minorEastAsia"/>
              </w:rPr>
            </w:pPr>
          </w:p>
        </w:tc>
        <w:tc>
          <w:tcPr>
            <w:tcW w:w="4440" w:type="dxa"/>
            <w:tcBorders>
              <w:top w:val="nil"/>
              <w:left w:val="nil"/>
              <w:bottom w:val="single" w:sz="8" w:space="0" w:color="auto"/>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Poistenie pohľadávok</w:t>
            </w:r>
          </w:p>
        </w:tc>
      </w:tr>
      <w:tr w:rsidR="0042464E" w:rsidRPr="0023218F" w:rsidTr="00EF74DA">
        <w:trPr>
          <w:trHeight w:val="645"/>
        </w:trPr>
        <w:tc>
          <w:tcPr>
            <w:tcW w:w="4090" w:type="dxa"/>
            <w:tcBorders>
              <w:top w:val="nil"/>
              <w:left w:val="single" w:sz="8" w:space="0" w:color="auto"/>
              <w:bottom w:val="single" w:sz="4" w:space="0" w:color="auto"/>
              <w:right w:val="nil"/>
            </w:tcBorders>
            <w:shd w:val="clear" w:color="auto" w:fill="F2F2F2" w:themeFill="background1" w:themeFillShade="F2"/>
            <w:noWrap/>
            <w:tcMar>
              <w:top w:w="10" w:type="dxa"/>
              <w:left w:w="10" w:type="dxa"/>
              <w:bottom w:w="0" w:type="dxa"/>
              <w:right w:w="10" w:type="dxa"/>
            </w:tcMar>
          </w:tcPr>
          <w:p w:rsidR="0042464E" w:rsidRPr="0023218F" w:rsidRDefault="0042464E">
            <w:pPr>
              <w:spacing w:line="240" w:lineRule="auto"/>
              <w:rPr>
                <w:rFonts w:eastAsiaTheme="minorEastAsia"/>
              </w:rPr>
            </w:pPr>
            <w:r w:rsidRPr="0023218F">
              <w:rPr>
                <w:rFonts w:eastAsiaTheme="minorEastAsia"/>
              </w:rPr>
              <w:t>Tovarové riziko - neprevzatie tovaru</w:t>
            </w:r>
          </w:p>
        </w:tc>
        <w:tc>
          <w:tcPr>
            <w:tcW w:w="4440" w:type="dxa"/>
            <w:tcBorders>
              <w:top w:val="nil"/>
              <w:left w:val="single" w:sz="8" w:space="0" w:color="auto"/>
              <w:bottom w:val="single" w:sz="4" w:space="0" w:color="auto"/>
              <w:right w:val="single" w:sz="8" w:space="0" w:color="auto"/>
            </w:tcBorders>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Začatie výroby exportnej dodávky až po prevzatí akontačnej platby</w:t>
            </w:r>
          </w:p>
        </w:tc>
      </w:tr>
      <w:tr w:rsidR="0042464E" w:rsidRPr="0023218F" w:rsidTr="00EF74DA">
        <w:trPr>
          <w:cantSplit/>
          <w:trHeight w:val="315"/>
        </w:trPr>
        <w:tc>
          <w:tcPr>
            <w:tcW w:w="4090" w:type="dxa"/>
            <w:vMerge w:val="restart"/>
            <w:tcBorders>
              <w:top w:val="single" w:sz="4" w:space="0" w:color="auto"/>
              <w:left w:val="single" w:sz="8" w:space="0" w:color="auto"/>
              <w:bottom w:val="single" w:sz="8" w:space="0" w:color="000000"/>
              <w:right w:val="single" w:sz="8" w:space="0" w:color="auto"/>
            </w:tcBorders>
            <w:shd w:val="clear" w:color="auto" w:fill="F2F2F2" w:themeFill="background1" w:themeFillShade="F2"/>
            <w:noWrap/>
            <w:tcMar>
              <w:top w:w="10" w:type="dxa"/>
              <w:left w:w="10" w:type="dxa"/>
              <w:bottom w:w="0" w:type="dxa"/>
              <w:right w:w="10" w:type="dxa"/>
            </w:tcMar>
          </w:tcPr>
          <w:p w:rsidR="0042464E" w:rsidRPr="0023218F" w:rsidRDefault="0042464E">
            <w:pPr>
              <w:spacing w:line="240" w:lineRule="auto"/>
              <w:rPr>
                <w:rFonts w:eastAsiaTheme="minorEastAsia"/>
              </w:rPr>
            </w:pPr>
            <w:r w:rsidRPr="0023218F">
              <w:rPr>
                <w:rFonts w:eastAsiaTheme="minorEastAsia"/>
              </w:rPr>
              <w:t>Tovarové riziko - technické normy</w:t>
            </w:r>
          </w:p>
        </w:tc>
        <w:tc>
          <w:tcPr>
            <w:tcW w:w="4440" w:type="dxa"/>
            <w:tcBorders>
              <w:top w:val="single" w:sz="4" w:space="0" w:color="auto"/>
              <w:left w:val="nil"/>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Certifikát o kvalite tovaru</w:t>
            </w:r>
          </w:p>
        </w:tc>
      </w:tr>
      <w:tr w:rsidR="0042464E" w:rsidRPr="0023218F" w:rsidTr="00EF74DA">
        <w:trPr>
          <w:cantSplit/>
          <w:trHeight w:val="645"/>
        </w:trPr>
        <w:tc>
          <w:tcPr>
            <w:tcW w:w="4090" w:type="dxa"/>
            <w:vMerge/>
            <w:tcBorders>
              <w:top w:val="nil"/>
              <w:left w:val="single" w:sz="8" w:space="0" w:color="auto"/>
              <w:bottom w:val="single" w:sz="4" w:space="0" w:color="auto"/>
              <w:right w:val="single" w:sz="8" w:space="0" w:color="auto"/>
            </w:tcBorders>
            <w:shd w:val="clear" w:color="auto" w:fill="F2F2F2" w:themeFill="background1" w:themeFillShade="F2"/>
            <w:vAlign w:val="center"/>
          </w:tcPr>
          <w:p w:rsidR="0042464E" w:rsidRPr="0023218F" w:rsidRDefault="0042464E">
            <w:pPr>
              <w:spacing w:line="240" w:lineRule="auto"/>
              <w:rPr>
                <w:rFonts w:eastAsiaTheme="minorEastAsia"/>
              </w:rPr>
            </w:pPr>
          </w:p>
        </w:tc>
        <w:tc>
          <w:tcPr>
            <w:tcW w:w="4440" w:type="dxa"/>
            <w:tcBorders>
              <w:top w:val="nil"/>
              <w:left w:val="nil"/>
              <w:bottom w:val="single" w:sz="4" w:space="0" w:color="auto"/>
              <w:right w:val="single" w:sz="8" w:space="0" w:color="auto"/>
            </w:tcBorders>
            <w:tcMar>
              <w:top w:w="10" w:type="dxa"/>
              <w:left w:w="10" w:type="dxa"/>
              <w:bottom w:w="0" w:type="dxa"/>
              <w:right w:w="10" w:type="dxa"/>
            </w:tcMar>
            <w:vAlign w:val="bottom"/>
          </w:tcPr>
          <w:p w:rsidR="0042464E" w:rsidRPr="0023218F" w:rsidRDefault="0042464E">
            <w:pPr>
              <w:pStyle w:val="Textodstavce"/>
              <w:spacing w:line="240" w:lineRule="auto"/>
              <w:rPr>
                <w:rFonts w:eastAsiaTheme="minorEastAsia"/>
              </w:rPr>
            </w:pPr>
            <w:r w:rsidRPr="0023218F">
              <w:rPr>
                <w:rFonts w:eastAsiaTheme="minorEastAsia"/>
              </w:rPr>
              <w:t>Preverenie parametrov technických noriem    krajine importéra pred začatím výroby</w:t>
            </w:r>
          </w:p>
        </w:tc>
      </w:tr>
      <w:tr w:rsidR="0042464E" w:rsidRPr="0023218F" w:rsidTr="00EF74DA">
        <w:trPr>
          <w:trHeight w:val="645"/>
        </w:trPr>
        <w:tc>
          <w:tcPr>
            <w:tcW w:w="4090" w:type="dxa"/>
            <w:tcBorders>
              <w:top w:val="single" w:sz="4" w:space="0" w:color="auto"/>
              <w:left w:val="single" w:sz="8" w:space="0" w:color="auto"/>
              <w:bottom w:val="single" w:sz="8" w:space="0" w:color="auto"/>
              <w:right w:val="nil"/>
            </w:tcBorders>
            <w:shd w:val="clear" w:color="auto" w:fill="F2F2F2" w:themeFill="background1" w:themeFillShade="F2"/>
            <w:noWrap/>
            <w:tcMar>
              <w:top w:w="10" w:type="dxa"/>
              <w:left w:w="10" w:type="dxa"/>
              <w:bottom w:w="0" w:type="dxa"/>
              <w:right w:w="10" w:type="dxa"/>
            </w:tcMar>
          </w:tcPr>
          <w:p w:rsidR="0042464E" w:rsidRPr="0023218F" w:rsidRDefault="003E4C2B" w:rsidP="00DC6AB0">
            <w:pPr>
              <w:spacing w:line="240" w:lineRule="auto"/>
              <w:rPr>
                <w:rFonts w:eastAsiaTheme="minorEastAsia"/>
              </w:rPr>
            </w:pPr>
            <w:r>
              <w:rPr>
                <w:rFonts w:eastAsiaTheme="minorEastAsia"/>
                <w:noProof/>
                <w:lang w:eastAsia="sk-SK"/>
              </w:rPr>
              <w:lastRenderedPageBreak/>
              <w:pict>
                <v:shape id="_x0000_s1027" type="#_x0000_t202" style="position:absolute;left:0;text-align:left;margin-left:-6.5pt;margin-top:-28pt;width:426pt;height:27pt;z-index:251656704;mso-position-horizontal-relative:text;mso-position-vertical-relative:text" stroked="f">
                  <v:textbox inset="2mm">
                    <w:txbxContent>
                      <w:p w:rsidR="00B32A81" w:rsidRDefault="00B32A81">
                        <w:r>
                          <w:t>Pokračovanie tabuľky – Tabuľka 1 Druhy rizík a nástroje na ich elimináciu</w:t>
                        </w:r>
                      </w:p>
                    </w:txbxContent>
                  </v:textbox>
                </v:shape>
              </w:pict>
            </w:r>
            <w:r w:rsidR="0042464E" w:rsidRPr="0023218F">
              <w:rPr>
                <w:rFonts w:eastAsiaTheme="minorEastAsia"/>
              </w:rPr>
              <w:t>Riziko zneužitia akontácie exportérom</w:t>
            </w:r>
          </w:p>
        </w:tc>
        <w:tc>
          <w:tcPr>
            <w:tcW w:w="4440" w:type="dxa"/>
            <w:tcBorders>
              <w:top w:val="single" w:sz="4" w:space="0" w:color="auto"/>
              <w:left w:val="single" w:sz="8" w:space="0" w:color="auto"/>
              <w:bottom w:val="single" w:sz="8" w:space="0" w:color="auto"/>
              <w:right w:val="single" w:sz="8" w:space="0" w:color="auto"/>
            </w:tcBorders>
            <w:tcMar>
              <w:top w:w="10" w:type="dxa"/>
              <w:left w:w="10" w:type="dxa"/>
              <w:bottom w:w="0" w:type="dxa"/>
              <w:right w:w="10" w:type="dxa"/>
            </w:tcMar>
          </w:tcPr>
          <w:p w:rsidR="0042464E" w:rsidRPr="0023218F" w:rsidRDefault="0042464E" w:rsidP="00DC6AB0">
            <w:pPr>
              <w:spacing w:line="240" w:lineRule="auto"/>
              <w:rPr>
                <w:rFonts w:eastAsiaTheme="minorEastAsia"/>
              </w:rPr>
            </w:pPr>
            <w:r w:rsidRPr="0023218F">
              <w:rPr>
                <w:rFonts w:eastAsiaTheme="minorEastAsia"/>
              </w:rPr>
              <w:t>Importér zaplatí akontáciu až po prijatí akontačnej záruky</w:t>
            </w:r>
          </w:p>
        </w:tc>
      </w:tr>
      <w:tr w:rsidR="0042464E" w:rsidRPr="0023218F" w:rsidTr="00EF74DA">
        <w:trPr>
          <w:cantSplit/>
          <w:trHeight w:val="315"/>
        </w:trPr>
        <w:tc>
          <w:tcPr>
            <w:tcW w:w="4090" w:type="dxa"/>
            <w:vMerge w:val="restart"/>
            <w:tcBorders>
              <w:top w:val="nil"/>
              <w:left w:val="single" w:sz="8" w:space="0" w:color="auto"/>
              <w:bottom w:val="single" w:sz="8" w:space="0" w:color="000000"/>
              <w:right w:val="single" w:sz="8" w:space="0" w:color="auto"/>
            </w:tcBorders>
            <w:shd w:val="clear" w:color="auto" w:fill="F2F2F2" w:themeFill="background1" w:themeFillShade="F2"/>
            <w:noWrap/>
            <w:tcMar>
              <w:top w:w="10" w:type="dxa"/>
              <w:left w:w="10" w:type="dxa"/>
              <w:bottom w:w="0" w:type="dxa"/>
              <w:right w:w="10" w:type="dxa"/>
            </w:tcMar>
          </w:tcPr>
          <w:p w:rsidR="0042464E" w:rsidRPr="0023218F" w:rsidRDefault="0042464E" w:rsidP="00DC6AB0">
            <w:pPr>
              <w:spacing w:line="240" w:lineRule="auto"/>
              <w:rPr>
                <w:rFonts w:eastAsiaTheme="minorEastAsia"/>
              </w:rPr>
            </w:pPr>
            <w:r w:rsidRPr="0023218F">
              <w:rPr>
                <w:rFonts w:eastAsiaTheme="minorEastAsia"/>
              </w:rPr>
              <w:t>Menové riziko exportéra</w:t>
            </w: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rsidP="00DC6AB0">
            <w:pPr>
              <w:spacing w:line="240" w:lineRule="auto"/>
              <w:rPr>
                <w:rFonts w:eastAsiaTheme="minorEastAsia"/>
              </w:rPr>
            </w:pPr>
            <w:r w:rsidRPr="0023218F">
              <w:rPr>
                <w:rFonts w:eastAsiaTheme="minorEastAsia"/>
              </w:rPr>
              <w:t>Vyriešenie kurzových rizík derivátmi</w:t>
            </w:r>
          </w:p>
        </w:tc>
      </w:tr>
      <w:tr w:rsidR="0042464E" w:rsidRPr="0023218F" w:rsidTr="00EF74DA">
        <w:trPr>
          <w:cantSplit/>
          <w:trHeight w:val="315"/>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rsidP="00DC6AB0">
            <w:pPr>
              <w:spacing w:line="240" w:lineRule="auto"/>
              <w:rPr>
                <w:rFonts w:eastAsiaTheme="minorEastAsia"/>
              </w:rPr>
            </w:pP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rsidP="00DC6AB0">
            <w:pPr>
              <w:spacing w:line="240" w:lineRule="auto"/>
              <w:rPr>
                <w:rFonts w:eastAsiaTheme="minorEastAsia"/>
              </w:rPr>
            </w:pPr>
            <w:r w:rsidRPr="0023218F">
              <w:rPr>
                <w:rFonts w:eastAsiaTheme="minorEastAsia"/>
              </w:rPr>
              <w:t xml:space="preserve">Čerpanie úveru v cudzej </w:t>
            </w:r>
            <w:r w:rsidR="00BF2F35" w:rsidRPr="0023218F">
              <w:rPr>
                <w:rFonts w:eastAsiaTheme="minorEastAsia"/>
              </w:rPr>
              <w:t>mene</w:t>
            </w:r>
          </w:p>
        </w:tc>
      </w:tr>
      <w:tr w:rsidR="0042464E" w:rsidRPr="0023218F" w:rsidTr="00EF74DA">
        <w:trPr>
          <w:cantSplit/>
          <w:trHeight w:val="315"/>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rsidP="00DC6AB0">
            <w:pPr>
              <w:spacing w:line="240" w:lineRule="auto"/>
              <w:rPr>
                <w:rFonts w:eastAsiaTheme="minorEastAsia"/>
              </w:rPr>
            </w:pPr>
          </w:p>
        </w:tc>
        <w:tc>
          <w:tcPr>
            <w:tcW w:w="4440" w:type="dxa"/>
            <w:tcBorders>
              <w:top w:val="nil"/>
              <w:left w:val="nil"/>
              <w:bottom w:val="nil"/>
              <w:right w:val="single" w:sz="8" w:space="0" w:color="auto"/>
            </w:tcBorders>
            <w:noWrap/>
            <w:tcMar>
              <w:top w:w="10" w:type="dxa"/>
              <w:left w:w="10" w:type="dxa"/>
              <w:bottom w:w="0" w:type="dxa"/>
              <w:right w:w="10" w:type="dxa"/>
            </w:tcMar>
            <w:vAlign w:val="bottom"/>
          </w:tcPr>
          <w:p w:rsidR="0042464E" w:rsidRPr="0023218F" w:rsidRDefault="0042464E" w:rsidP="00DC6AB0">
            <w:pPr>
              <w:spacing w:line="240" w:lineRule="auto"/>
              <w:rPr>
                <w:rFonts w:eastAsiaTheme="minorEastAsia"/>
              </w:rPr>
            </w:pPr>
            <w:r w:rsidRPr="0023218F">
              <w:rPr>
                <w:rFonts w:eastAsiaTheme="minorEastAsia"/>
              </w:rPr>
              <w:t>Exportný faktoring pohľadávky</w:t>
            </w:r>
          </w:p>
        </w:tc>
      </w:tr>
      <w:tr w:rsidR="0042464E" w:rsidRPr="0023218F" w:rsidTr="00EF74DA">
        <w:trPr>
          <w:cantSplit/>
          <w:trHeight w:val="330"/>
        </w:trPr>
        <w:tc>
          <w:tcPr>
            <w:tcW w:w="4090" w:type="dxa"/>
            <w:vMerge/>
            <w:tcBorders>
              <w:top w:val="nil"/>
              <w:left w:val="single" w:sz="8" w:space="0" w:color="auto"/>
              <w:bottom w:val="single" w:sz="8" w:space="0" w:color="000000"/>
              <w:right w:val="single" w:sz="8" w:space="0" w:color="auto"/>
            </w:tcBorders>
            <w:shd w:val="clear" w:color="auto" w:fill="F2F2F2" w:themeFill="background1" w:themeFillShade="F2"/>
            <w:vAlign w:val="center"/>
          </w:tcPr>
          <w:p w:rsidR="0042464E" w:rsidRPr="0023218F" w:rsidRDefault="0042464E" w:rsidP="00DC6AB0">
            <w:pPr>
              <w:spacing w:line="240" w:lineRule="auto"/>
              <w:rPr>
                <w:rFonts w:eastAsiaTheme="minorEastAsia"/>
              </w:rPr>
            </w:pPr>
          </w:p>
        </w:tc>
        <w:tc>
          <w:tcPr>
            <w:tcW w:w="4440" w:type="dxa"/>
            <w:tcBorders>
              <w:top w:val="nil"/>
              <w:left w:val="nil"/>
              <w:bottom w:val="single" w:sz="8" w:space="0" w:color="auto"/>
              <w:right w:val="single" w:sz="8" w:space="0" w:color="auto"/>
            </w:tcBorders>
            <w:noWrap/>
            <w:tcMar>
              <w:top w:w="10" w:type="dxa"/>
              <w:left w:w="10" w:type="dxa"/>
              <w:bottom w:w="0" w:type="dxa"/>
              <w:right w:w="10" w:type="dxa"/>
            </w:tcMar>
            <w:vAlign w:val="bottom"/>
          </w:tcPr>
          <w:p w:rsidR="0042464E" w:rsidRPr="0023218F" w:rsidRDefault="0042464E" w:rsidP="00DC6AB0">
            <w:pPr>
              <w:spacing w:line="240" w:lineRule="auto"/>
              <w:rPr>
                <w:rFonts w:eastAsiaTheme="minorEastAsia"/>
              </w:rPr>
            </w:pPr>
            <w:r w:rsidRPr="0023218F">
              <w:rPr>
                <w:rFonts w:eastAsiaTheme="minorEastAsia"/>
              </w:rPr>
              <w:t>Exportný forfaiting pohľadávky</w:t>
            </w:r>
          </w:p>
        </w:tc>
      </w:tr>
    </w:tbl>
    <w:p w:rsidR="0042464E" w:rsidRDefault="0042464E">
      <w:pPr>
        <w:pStyle w:val="Tabulka-pramen"/>
        <w:jc w:val="both"/>
      </w:pPr>
      <w:r>
        <w:t xml:space="preserve">Zdroj: PAVELKA, Ľ.: (2008). </w:t>
      </w:r>
      <w:r>
        <w:rPr>
          <w:i/>
          <w:iCs/>
        </w:rPr>
        <w:t>Medzinárodný platobný styk v podmienkach EÚ.</w:t>
      </w:r>
      <w:r>
        <w:t xml:space="preserve"> Bratislava: EKONÓM, str.13. Vlastné spracovanie.</w:t>
      </w:r>
    </w:p>
    <w:p w:rsidR="0042464E" w:rsidRDefault="0042464E">
      <w:pPr>
        <w:pStyle w:val="Nadpis2"/>
      </w:pPr>
      <w:bookmarkStart w:id="3" w:name="_Toc321001055"/>
      <w:r>
        <w:t>Výber platobných a zabezpečovacích nástrojov v medzinárodnom obchode</w:t>
      </w:r>
      <w:bookmarkEnd w:id="3"/>
    </w:p>
    <w:p w:rsidR="0042464E" w:rsidRDefault="0042464E">
      <w:r>
        <w:t>Podľa Pavelku,</w:t>
      </w:r>
      <w:r>
        <w:rPr>
          <w:rStyle w:val="Znakapoznpodarou"/>
        </w:rPr>
        <w:footnoteReference w:id="4"/>
      </w:r>
      <w:r>
        <w:t xml:space="preserve"> medzinárodná zmluva z hľadiska platobných podmienok predstavuje výsledný prejav vôle dvoch alebo viacerých subjektov, ktorých záujmy a ciele </w:t>
      </w:r>
      <w:r w:rsidR="00BF2F35">
        <w:br/>
        <w:t xml:space="preserve">sú </w:t>
      </w:r>
      <w:r>
        <w:t>v protiklade (antagonistické)</w:t>
      </w:r>
      <w:r>
        <w:rPr>
          <w:rStyle w:val="Znakapoznpodarou"/>
        </w:rPr>
        <w:footnoteReference w:id="5"/>
      </w:r>
      <w:r>
        <w:t xml:space="preserve">. Platobné podmienky veľmi výhodné pre exportéra predstavujú pre importéra buď zvýšené riziko, alebo minimálne finančnú nevýhodu. </w:t>
      </w:r>
    </w:p>
    <w:p w:rsidR="0042464E" w:rsidRDefault="0042464E">
      <w:pPr>
        <w:pStyle w:val="Tabulka"/>
      </w:pPr>
      <w:r>
        <w:t>Tabuľka 2 Platobné podmienky v medzinárodnom obchode z pohľadu účastníka obchodu</w:t>
      </w:r>
    </w:p>
    <w:tbl>
      <w:tblPr>
        <w:tblW w:w="8410" w:type="dxa"/>
        <w:tblInd w:w="2" w:type="dxa"/>
        <w:tblCellMar>
          <w:left w:w="0" w:type="dxa"/>
          <w:right w:w="0" w:type="dxa"/>
        </w:tblCellMar>
        <w:tblLook w:val="0000"/>
      </w:tblPr>
      <w:tblGrid>
        <w:gridCol w:w="3970"/>
        <w:gridCol w:w="4440"/>
      </w:tblGrid>
      <w:tr w:rsidR="0042464E" w:rsidRPr="0023218F">
        <w:trPr>
          <w:trHeight w:val="270"/>
        </w:trPr>
        <w:tc>
          <w:tcPr>
            <w:tcW w:w="3970" w:type="dxa"/>
            <w:tcBorders>
              <w:top w:val="single" w:sz="8" w:space="0" w:color="auto"/>
              <w:left w:val="single" w:sz="8" w:space="0" w:color="auto"/>
              <w:bottom w:val="single" w:sz="8" w:space="0" w:color="auto"/>
              <w:right w:val="nil"/>
            </w:tcBorders>
            <w:noWrap/>
            <w:tcMar>
              <w:top w:w="10" w:type="dxa"/>
              <w:left w:w="10" w:type="dxa"/>
              <w:bottom w:w="0" w:type="dxa"/>
              <w:right w:w="10" w:type="dxa"/>
            </w:tcMar>
            <w:vAlign w:val="bottom"/>
          </w:tcPr>
          <w:p w:rsidR="0042464E" w:rsidRPr="0023218F" w:rsidRDefault="0042464E">
            <w:pPr>
              <w:spacing w:line="240" w:lineRule="auto"/>
              <w:rPr>
                <w:rFonts w:eastAsiaTheme="minorEastAsia"/>
                <w:b/>
                <w:bCs/>
              </w:rPr>
            </w:pPr>
            <w:r w:rsidRPr="0023218F">
              <w:rPr>
                <w:rFonts w:eastAsiaTheme="minorEastAsia"/>
                <w:b/>
                <w:bCs/>
              </w:rPr>
              <w:t>Druh platobnej podmienky</w:t>
            </w:r>
          </w:p>
        </w:tc>
        <w:tc>
          <w:tcPr>
            <w:tcW w:w="4440" w:type="dxa"/>
            <w:tcBorders>
              <w:top w:val="single" w:sz="8" w:space="0" w:color="auto"/>
              <w:left w:val="single" w:sz="8" w:space="0" w:color="auto"/>
              <w:bottom w:val="single" w:sz="8" w:space="0" w:color="auto"/>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b/>
                <w:bCs/>
              </w:rPr>
            </w:pPr>
            <w:r w:rsidRPr="0023218F">
              <w:rPr>
                <w:rFonts w:eastAsiaTheme="minorEastAsia"/>
                <w:b/>
                <w:bCs/>
              </w:rPr>
              <w:t>Forma realizácie</w:t>
            </w:r>
          </w:p>
        </w:tc>
      </w:tr>
      <w:tr w:rsidR="0042464E" w:rsidRPr="0023218F">
        <w:trPr>
          <w:trHeight w:val="255"/>
        </w:trPr>
        <w:tc>
          <w:tcPr>
            <w:tcW w:w="3970" w:type="dxa"/>
            <w:tcBorders>
              <w:top w:val="nil"/>
              <w:left w:val="single" w:sz="8" w:space="0" w:color="auto"/>
              <w:bottom w:val="nil"/>
              <w:right w:val="nil"/>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Platba vopred</w:t>
            </w:r>
          </w:p>
        </w:tc>
        <w:tc>
          <w:tcPr>
            <w:tcW w:w="4440" w:type="dxa"/>
            <w:tcBorders>
              <w:top w:val="nil"/>
              <w:left w:val="single" w:sz="8" w:space="0" w:color="auto"/>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Hladká platba</w:t>
            </w:r>
          </w:p>
        </w:tc>
      </w:tr>
      <w:tr w:rsidR="0042464E" w:rsidRPr="0023218F">
        <w:trPr>
          <w:trHeight w:val="270"/>
        </w:trPr>
        <w:tc>
          <w:tcPr>
            <w:tcW w:w="3970" w:type="dxa"/>
            <w:tcBorders>
              <w:top w:val="nil"/>
              <w:left w:val="single" w:sz="8" w:space="0" w:color="auto"/>
              <w:bottom w:val="single" w:sz="8" w:space="0" w:color="auto"/>
              <w:right w:val="nil"/>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 </w:t>
            </w:r>
          </w:p>
        </w:tc>
        <w:tc>
          <w:tcPr>
            <w:tcW w:w="4440" w:type="dxa"/>
            <w:tcBorders>
              <w:top w:val="nil"/>
              <w:left w:val="single" w:sz="8" w:space="0" w:color="auto"/>
              <w:bottom w:val="single" w:sz="8" w:space="0" w:color="auto"/>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Bankový alebo súkromný šek</w:t>
            </w:r>
          </w:p>
        </w:tc>
      </w:tr>
      <w:tr w:rsidR="0042464E" w:rsidRPr="0023218F">
        <w:trPr>
          <w:trHeight w:val="255"/>
        </w:trPr>
        <w:tc>
          <w:tcPr>
            <w:tcW w:w="3970" w:type="dxa"/>
            <w:tcBorders>
              <w:top w:val="single" w:sz="8" w:space="0" w:color="auto"/>
              <w:left w:val="single" w:sz="8" w:space="0" w:color="auto"/>
              <w:bottom w:val="nil"/>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Platba pri dodávke</w:t>
            </w:r>
          </w:p>
        </w:tc>
        <w:tc>
          <w:tcPr>
            <w:tcW w:w="4440" w:type="dxa"/>
            <w:tcBorders>
              <w:top w:val="single" w:sz="8" w:space="0" w:color="auto"/>
              <w:left w:val="single" w:sz="4" w:space="0" w:color="auto"/>
              <w:bottom w:val="nil"/>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Hladká platba, SEPA inkaso</w:t>
            </w:r>
          </w:p>
        </w:tc>
      </w:tr>
      <w:tr w:rsidR="0042464E" w:rsidRPr="0023218F">
        <w:trPr>
          <w:trHeight w:val="255"/>
        </w:trPr>
        <w:tc>
          <w:tcPr>
            <w:tcW w:w="3970" w:type="dxa"/>
            <w:tcBorders>
              <w:top w:val="nil"/>
              <w:left w:val="single" w:sz="8" w:space="0" w:color="auto"/>
              <w:bottom w:val="nil"/>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 </w:t>
            </w:r>
          </w:p>
        </w:tc>
        <w:tc>
          <w:tcPr>
            <w:tcW w:w="4440" w:type="dxa"/>
            <w:tcBorders>
              <w:top w:val="nil"/>
              <w:left w:val="single" w:sz="4" w:space="0" w:color="auto"/>
              <w:bottom w:val="nil"/>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Bankový alebo súkromný šek</w:t>
            </w:r>
          </w:p>
        </w:tc>
      </w:tr>
      <w:tr w:rsidR="0042464E" w:rsidRPr="0023218F">
        <w:trPr>
          <w:trHeight w:val="255"/>
        </w:trPr>
        <w:tc>
          <w:tcPr>
            <w:tcW w:w="3970" w:type="dxa"/>
            <w:tcBorders>
              <w:top w:val="nil"/>
              <w:left w:val="single" w:sz="8" w:space="0" w:color="auto"/>
              <w:bottom w:val="nil"/>
              <w:right w:val="single" w:sz="4" w:space="0" w:color="auto"/>
            </w:tcBorders>
            <w:noWrap/>
            <w:tcMar>
              <w:top w:w="10" w:type="dxa"/>
              <w:left w:w="10" w:type="dxa"/>
              <w:bottom w:w="0" w:type="dxa"/>
              <w:right w:w="10" w:type="dxa"/>
            </w:tcMar>
            <w:vAlign w:val="bottom"/>
          </w:tcPr>
          <w:p w:rsidR="0042464E" w:rsidRPr="0023218F" w:rsidRDefault="0042464E">
            <w:pPr>
              <w:pStyle w:val="Odstavecprograf"/>
              <w:spacing w:line="240" w:lineRule="auto"/>
              <w:rPr>
                <w:rFonts w:eastAsiaTheme="minorEastAsia"/>
                <w:sz w:val="24"/>
                <w:szCs w:val="24"/>
              </w:rPr>
            </w:pPr>
            <w:r w:rsidRPr="0023218F">
              <w:rPr>
                <w:rFonts w:eastAsiaTheme="minorEastAsia"/>
                <w:sz w:val="24"/>
                <w:szCs w:val="24"/>
              </w:rPr>
              <w:t> </w:t>
            </w:r>
          </w:p>
        </w:tc>
        <w:tc>
          <w:tcPr>
            <w:tcW w:w="4440" w:type="dxa"/>
            <w:tcBorders>
              <w:top w:val="nil"/>
              <w:left w:val="single" w:sz="4" w:space="0" w:color="auto"/>
              <w:bottom w:val="nil"/>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Dokumentárne inkaso (D/P)</w:t>
            </w:r>
          </w:p>
        </w:tc>
      </w:tr>
      <w:tr w:rsidR="0042464E" w:rsidRPr="0023218F" w:rsidTr="00BF2F35">
        <w:trPr>
          <w:trHeight w:val="255"/>
        </w:trPr>
        <w:tc>
          <w:tcPr>
            <w:tcW w:w="3970" w:type="dxa"/>
            <w:tcBorders>
              <w:top w:val="nil"/>
              <w:left w:val="single" w:sz="4" w:space="0" w:color="auto"/>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 </w:t>
            </w:r>
          </w:p>
        </w:tc>
        <w:tc>
          <w:tcPr>
            <w:tcW w:w="4440" w:type="dxa"/>
            <w:tcBorders>
              <w:top w:val="nil"/>
              <w:left w:val="single" w:sz="4" w:space="0" w:color="auto"/>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Cudzia zmenka akceptovaná importérom</w:t>
            </w:r>
          </w:p>
        </w:tc>
      </w:tr>
      <w:tr w:rsidR="0042464E" w:rsidRPr="0023218F" w:rsidTr="00BF2F35">
        <w:trPr>
          <w:trHeight w:val="255"/>
        </w:trPr>
        <w:tc>
          <w:tcPr>
            <w:tcW w:w="3970" w:type="dxa"/>
            <w:tcBorders>
              <w:top w:val="nil"/>
              <w:left w:val="single" w:sz="4" w:space="0" w:color="auto"/>
              <w:bottom w:val="single" w:sz="4" w:space="0" w:color="auto"/>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 </w:t>
            </w:r>
          </w:p>
        </w:tc>
        <w:tc>
          <w:tcPr>
            <w:tcW w:w="4440" w:type="dxa"/>
            <w:tcBorders>
              <w:top w:val="nil"/>
              <w:left w:val="single" w:sz="4" w:space="0" w:color="auto"/>
              <w:bottom w:val="single" w:sz="4" w:space="0" w:color="auto"/>
              <w:right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Vlastná zmenka vystavená importérom</w:t>
            </w:r>
          </w:p>
        </w:tc>
      </w:tr>
      <w:tr w:rsidR="0042464E" w:rsidRPr="0023218F" w:rsidTr="00BF2F35">
        <w:trPr>
          <w:trHeight w:val="270"/>
        </w:trPr>
        <w:tc>
          <w:tcPr>
            <w:tcW w:w="3970" w:type="dxa"/>
            <w:tcBorders>
              <w:top w:val="single" w:sz="4" w:space="0" w:color="auto"/>
              <w:bottom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lastRenderedPageBreak/>
              <w:t> </w:t>
            </w:r>
          </w:p>
        </w:tc>
        <w:tc>
          <w:tcPr>
            <w:tcW w:w="4440" w:type="dxa"/>
            <w:tcBorders>
              <w:top w:val="single" w:sz="4" w:space="0" w:color="auto"/>
              <w:bottom w:val="single" w:sz="4"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Dokumentárny akreditív (L/C)</w:t>
            </w:r>
          </w:p>
        </w:tc>
      </w:tr>
      <w:tr w:rsidR="0042464E" w:rsidRPr="0023218F" w:rsidTr="00BF2F35">
        <w:trPr>
          <w:trHeight w:val="255"/>
        </w:trPr>
        <w:tc>
          <w:tcPr>
            <w:tcW w:w="3970" w:type="dxa"/>
            <w:tcBorders>
              <w:top w:val="single" w:sz="4" w:space="0" w:color="auto"/>
              <w:left w:val="single" w:sz="8" w:space="0" w:color="auto"/>
              <w:bottom w:val="nil"/>
              <w:right w:val="nil"/>
            </w:tcBorders>
            <w:noWrap/>
            <w:tcMar>
              <w:top w:w="10" w:type="dxa"/>
              <w:left w:w="10" w:type="dxa"/>
              <w:bottom w:w="0" w:type="dxa"/>
              <w:right w:w="10" w:type="dxa"/>
            </w:tcMar>
            <w:vAlign w:val="bottom"/>
          </w:tcPr>
          <w:p w:rsidR="0042464E" w:rsidRPr="0023218F" w:rsidRDefault="003E4C2B">
            <w:pPr>
              <w:spacing w:line="240" w:lineRule="auto"/>
              <w:rPr>
                <w:rFonts w:eastAsiaTheme="minorEastAsia"/>
              </w:rPr>
            </w:pPr>
            <w:r>
              <w:rPr>
                <w:rFonts w:eastAsiaTheme="minorEastAsia"/>
                <w:noProof/>
                <w:lang w:eastAsia="sk-SK"/>
              </w:rPr>
              <w:pict>
                <v:shape id="_x0000_s1028" type="#_x0000_t202" style="position:absolute;left:0;text-align:left;margin-left:-6.5pt;margin-top:-28pt;width:420pt;height:27pt;z-index:251657728;mso-position-horizontal-relative:text;mso-position-vertical-relative:text" stroked="f">
                  <v:textbox inset="2mm">
                    <w:txbxContent>
                      <w:p w:rsidR="00B32A81" w:rsidRDefault="00B32A81">
                        <w:r>
                          <w:t>Pokračovanie tabuľky - Tabuľka 2 Platobné podmienky v medzinárodnom obchode z pohľadu účastníka obchodu</w:t>
                        </w:r>
                      </w:p>
                    </w:txbxContent>
                  </v:textbox>
                </v:shape>
              </w:pict>
            </w:r>
            <w:r w:rsidR="0042464E" w:rsidRPr="0023218F">
              <w:rPr>
                <w:rFonts w:eastAsiaTheme="minorEastAsia"/>
              </w:rPr>
              <w:t>Platba po dodávke</w:t>
            </w:r>
          </w:p>
        </w:tc>
        <w:tc>
          <w:tcPr>
            <w:tcW w:w="4440" w:type="dxa"/>
            <w:tcBorders>
              <w:top w:val="single" w:sz="4" w:space="0" w:color="auto"/>
              <w:left w:val="single" w:sz="8" w:space="0" w:color="auto"/>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Hladká platba</w:t>
            </w:r>
          </w:p>
        </w:tc>
      </w:tr>
      <w:tr w:rsidR="0042464E" w:rsidRPr="0023218F">
        <w:trPr>
          <w:trHeight w:val="354"/>
        </w:trPr>
        <w:tc>
          <w:tcPr>
            <w:tcW w:w="3970" w:type="dxa"/>
            <w:tcBorders>
              <w:top w:val="nil"/>
              <w:left w:val="single" w:sz="8" w:space="0" w:color="auto"/>
              <w:bottom w:val="nil"/>
              <w:right w:val="nil"/>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 </w:t>
            </w:r>
          </w:p>
        </w:tc>
        <w:tc>
          <w:tcPr>
            <w:tcW w:w="4440" w:type="dxa"/>
            <w:tcBorders>
              <w:top w:val="nil"/>
              <w:left w:val="single" w:sz="8" w:space="0" w:color="auto"/>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Dokumentárne inkaso (D/P)</w:t>
            </w:r>
          </w:p>
        </w:tc>
      </w:tr>
      <w:tr w:rsidR="0042464E" w:rsidRPr="0023218F">
        <w:trPr>
          <w:trHeight w:val="255"/>
        </w:trPr>
        <w:tc>
          <w:tcPr>
            <w:tcW w:w="3970" w:type="dxa"/>
            <w:tcBorders>
              <w:top w:val="nil"/>
              <w:left w:val="single" w:sz="8" w:space="0" w:color="auto"/>
              <w:bottom w:val="nil"/>
              <w:right w:val="nil"/>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 </w:t>
            </w:r>
          </w:p>
        </w:tc>
        <w:tc>
          <w:tcPr>
            <w:tcW w:w="4440" w:type="dxa"/>
            <w:tcBorders>
              <w:top w:val="nil"/>
              <w:left w:val="single" w:sz="8" w:space="0" w:color="auto"/>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Cudzia zmenka akceptovaná importérom</w:t>
            </w:r>
          </w:p>
        </w:tc>
      </w:tr>
      <w:tr w:rsidR="0042464E" w:rsidRPr="0023218F">
        <w:trPr>
          <w:trHeight w:val="255"/>
        </w:trPr>
        <w:tc>
          <w:tcPr>
            <w:tcW w:w="3970" w:type="dxa"/>
            <w:tcBorders>
              <w:top w:val="nil"/>
              <w:left w:val="single" w:sz="8" w:space="0" w:color="auto"/>
              <w:bottom w:val="nil"/>
              <w:right w:val="nil"/>
            </w:tcBorders>
            <w:noWrap/>
            <w:tcMar>
              <w:top w:w="10" w:type="dxa"/>
              <w:left w:w="10" w:type="dxa"/>
              <w:bottom w:w="0" w:type="dxa"/>
              <w:right w:w="10" w:type="dxa"/>
            </w:tcMar>
            <w:vAlign w:val="bottom"/>
          </w:tcPr>
          <w:p w:rsidR="0042464E" w:rsidRPr="0023218F" w:rsidRDefault="0042464E">
            <w:pPr>
              <w:pStyle w:val="Textodstavce"/>
              <w:spacing w:line="240" w:lineRule="auto"/>
              <w:rPr>
                <w:rFonts w:eastAsiaTheme="minorEastAsia"/>
              </w:rPr>
            </w:pPr>
            <w:r w:rsidRPr="0023218F">
              <w:rPr>
                <w:rFonts w:eastAsiaTheme="minorEastAsia"/>
              </w:rPr>
              <w:t> </w:t>
            </w:r>
          </w:p>
        </w:tc>
        <w:tc>
          <w:tcPr>
            <w:tcW w:w="4440" w:type="dxa"/>
            <w:tcBorders>
              <w:top w:val="nil"/>
              <w:left w:val="single" w:sz="8" w:space="0" w:color="auto"/>
              <w:bottom w:val="nil"/>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Vlastná zmenka vystavená importérom</w:t>
            </w:r>
          </w:p>
        </w:tc>
      </w:tr>
      <w:tr w:rsidR="0042464E" w:rsidRPr="0023218F">
        <w:trPr>
          <w:trHeight w:val="270"/>
        </w:trPr>
        <w:tc>
          <w:tcPr>
            <w:tcW w:w="3970" w:type="dxa"/>
            <w:tcBorders>
              <w:top w:val="nil"/>
              <w:left w:val="single" w:sz="8" w:space="0" w:color="auto"/>
              <w:bottom w:val="single" w:sz="8" w:space="0" w:color="auto"/>
              <w:right w:val="nil"/>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 </w:t>
            </w:r>
          </w:p>
        </w:tc>
        <w:tc>
          <w:tcPr>
            <w:tcW w:w="4440" w:type="dxa"/>
            <w:tcBorders>
              <w:top w:val="nil"/>
              <w:left w:val="single" w:sz="8" w:space="0" w:color="auto"/>
              <w:bottom w:val="single" w:sz="8" w:space="0" w:color="auto"/>
              <w:right w:val="single" w:sz="8" w:space="0" w:color="auto"/>
            </w:tcBorders>
            <w:noWrap/>
            <w:tcMar>
              <w:top w:w="10" w:type="dxa"/>
              <w:left w:w="10" w:type="dxa"/>
              <w:bottom w:w="0" w:type="dxa"/>
              <w:right w:w="10" w:type="dxa"/>
            </w:tcMar>
            <w:vAlign w:val="bottom"/>
          </w:tcPr>
          <w:p w:rsidR="0042464E" w:rsidRPr="0023218F" w:rsidRDefault="0042464E">
            <w:pPr>
              <w:spacing w:line="240" w:lineRule="auto"/>
              <w:rPr>
                <w:rFonts w:eastAsiaTheme="minorEastAsia"/>
              </w:rPr>
            </w:pPr>
            <w:r w:rsidRPr="0023218F">
              <w:rPr>
                <w:rFonts w:eastAsiaTheme="minorEastAsia"/>
              </w:rPr>
              <w:t>Dokumentárny akreditív (L/C)</w:t>
            </w:r>
          </w:p>
        </w:tc>
      </w:tr>
    </w:tbl>
    <w:p w:rsidR="0042464E" w:rsidRDefault="0042464E">
      <w:pPr>
        <w:pStyle w:val="Tabulka-pramen"/>
        <w:jc w:val="both"/>
      </w:pPr>
      <w:r>
        <w:t xml:space="preserve">Zdroj: PAVELKA, Ľ.: (2008). </w:t>
      </w:r>
      <w:r>
        <w:rPr>
          <w:i/>
          <w:iCs/>
        </w:rPr>
        <w:t>Medzinárodný platobný styk v podmienkach EÚ.</w:t>
      </w:r>
      <w:r>
        <w:t xml:space="preserve"> Bratislava: EKONÓM, str.19. Vlastné spracovanie.</w:t>
      </w:r>
    </w:p>
    <w:p w:rsidR="0042464E" w:rsidRDefault="00BF2F35">
      <w:r>
        <w:rPr>
          <w:b/>
          <w:bCs/>
        </w:rPr>
        <w:t>Bez záväzkové</w:t>
      </w:r>
      <w:r w:rsidR="0042464E">
        <w:rPr>
          <w:b/>
          <w:bCs/>
        </w:rPr>
        <w:t xml:space="preserve"> platobné podmienky –</w:t>
      </w:r>
      <w:r w:rsidR="0042464E">
        <w:t xml:space="preserve"> </w:t>
      </w:r>
      <w:r w:rsidR="0042464E">
        <w:rPr>
          <w:i/>
          <w:iCs/>
        </w:rPr>
        <w:t>,,Pre banky to znamená iba vykonanie služby zákazníkovi za odplatu. Banky ich poskytnutím nevstupujú voči klientom ani tretím osobám do existujúcich alebo budúcich záväzkov.“</w:t>
      </w:r>
      <w:r w:rsidR="0042464E">
        <w:rPr>
          <w:rStyle w:val="Znakapoznpodarou"/>
        </w:rPr>
        <w:t xml:space="preserve"> </w:t>
      </w:r>
      <w:r w:rsidR="0042464E">
        <w:rPr>
          <w:rStyle w:val="Znakapoznpodarou"/>
        </w:rPr>
        <w:footnoteReference w:id="6"/>
      </w:r>
      <w:r w:rsidR="0042464E">
        <w:t xml:space="preserve"> Ako uvádza Československá obchodná banka: ,, </w:t>
      </w:r>
      <w:r w:rsidR="0042464E">
        <w:rPr>
          <w:i/>
          <w:iCs/>
        </w:rPr>
        <w:t xml:space="preserve">Pri </w:t>
      </w:r>
      <w:r>
        <w:rPr>
          <w:i/>
          <w:iCs/>
        </w:rPr>
        <w:t>bez záväzkovom</w:t>
      </w:r>
      <w:r w:rsidR="0042464E">
        <w:rPr>
          <w:i/>
          <w:iCs/>
        </w:rPr>
        <w:t xml:space="preserve"> platobnom nástroji banka nevstupuje </w:t>
      </w:r>
      <w:r>
        <w:rPr>
          <w:i/>
          <w:iCs/>
        </w:rPr>
        <w:br/>
      </w:r>
      <w:r w:rsidR="0042464E">
        <w:rPr>
          <w:i/>
          <w:iCs/>
        </w:rPr>
        <w:t>do záväzku za kupujúceho, avšak plne zodpovedá za zverené dokumenty a za dodržanie inkasných podmienok.“</w:t>
      </w:r>
      <w:r w:rsidR="0042464E">
        <w:rPr>
          <w:rStyle w:val="Znakapoznpodarou"/>
        </w:rPr>
        <w:t xml:space="preserve"> </w:t>
      </w:r>
      <w:r w:rsidR="0042464E">
        <w:rPr>
          <w:rStyle w:val="Znakapoznpodarou"/>
        </w:rPr>
        <w:footnoteReference w:id="7"/>
      </w:r>
    </w:p>
    <w:p w:rsidR="0042464E" w:rsidRDefault="0042464E">
      <w:pPr>
        <w:rPr>
          <w:i/>
          <w:iCs/>
        </w:rPr>
      </w:pPr>
      <w:r>
        <w:rPr>
          <w:b/>
          <w:bCs/>
        </w:rPr>
        <w:t>Záväzkové platobné podmienky –</w:t>
      </w:r>
      <w:r>
        <w:t xml:space="preserve"> </w:t>
      </w:r>
      <w:r>
        <w:rPr>
          <w:i/>
          <w:iCs/>
        </w:rPr>
        <w:t>,,Banka pri nich preberá riziko spočívajúce v povinnosti poskytnúť finančné plnenie voči druhej strane, ak si tieto povinnosti nesplní samotný klient, za ktorého do záväzkového vzťahu vstúpila.“</w:t>
      </w:r>
      <w:r>
        <w:rPr>
          <w:rStyle w:val="Znakapoznpodarou"/>
        </w:rPr>
        <w:t xml:space="preserve"> </w:t>
      </w:r>
      <w:r>
        <w:rPr>
          <w:rStyle w:val="Znakapoznpodarou"/>
          <w:i/>
          <w:iCs/>
        </w:rPr>
        <w:footnoteReference w:id="8"/>
      </w:r>
      <w:r>
        <w:rPr>
          <w:i/>
          <w:iCs/>
        </w:rPr>
        <w:t xml:space="preserve"> Delíme ich na:</w:t>
      </w:r>
    </w:p>
    <w:p w:rsidR="0042464E" w:rsidRDefault="0042464E">
      <w:pPr>
        <w:pStyle w:val="Odrka1stupn"/>
      </w:pPr>
      <w:r>
        <w:t xml:space="preserve">Abstraktné – </w:t>
      </w:r>
      <w:r w:rsidR="00AB0479">
        <w:t>podmienkou plnenia je splnenie určeného dokumentu, napr. vyhlásenie beneficienta bankovej záruky, že mu odberateľ za faktúru nezaplatil</w:t>
      </w:r>
      <w:r>
        <w:t>;</w:t>
      </w:r>
      <w:r>
        <w:rPr>
          <w:rStyle w:val="Znakapoznpodarou"/>
        </w:rPr>
        <w:t xml:space="preserve"> </w:t>
      </w:r>
      <w:r>
        <w:rPr>
          <w:rStyle w:val="Znakapoznpodarou"/>
        </w:rPr>
        <w:footnoteReference w:id="9"/>
      </w:r>
      <w:r>
        <w:t xml:space="preserve"> </w:t>
      </w:r>
    </w:p>
    <w:p w:rsidR="0042464E" w:rsidRDefault="0042464E">
      <w:pPr>
        <w:pStyle w:val="Odrka1stupn"/>
      </w:pPr>
      <w:r>
        <w:t xml:space="preserve">Akcesorické – </w:t>
      </w:r>
      <w:r w:rsidR="00AB0479">
        <w:t xml:space="preserve">ručiteľ môže uplatniť všetky námietky hlavného dlžníka, napr. tovar bol nekvalitný, nebol dodaný načas. Podmienkou býva rozsudok súdu alebo arbitráže, ktorý </w:t>
      </w:r>
      <w:r w:rsidR="00D31FA9">
        <w:t>preukazuje</w:t>
      </w:r>
      <w:r w:rsidR="00AB0479">
        <w:t xml:space="preserve"> existenciu finančného nároku beneficienta zo záruky.</w:t>
      </w:r>
      <w:r>
        <w:rPr>
          <w:rStyle w:val="Znakapoznpodarou"/>
        </w:rPr>
        <w:footnoteReference w:id="10"/>
      </w:r>
    </w:p>
    <w:p w:rsidR="0042464E" w:rsidRDefault="0042464E">
      <w:pPr>
        <w:pStyle w:val="Tabulka"/>
      </w:pPr>
      <w:r>
        <w:lastRenderedPageBreak/>
        <w:t>Tabuľka 3 Výhodnosť platobných podmienok pre exportéra a importéra</w:t>
      </w:r>
    </w:p>
    <w:tbl>
      <w:tblPr>
        <w:tblW w:w="8583" w:type="dxa"/>
        <w:tblInd w:w="2" w:type="dxa"/>
        <w:tblCellMar>
          <w:left w:w="0" w:type="dxa"/>
          <w:right w:w="0" w:type="dxa"/>
        </w:tblCellMar>
        <w:tblLook w:val="0000"/>
      </w:tblPr>
      <w:tblGrid>
        <w:gridCol w:w="3517"/>
        <w:gridCol w:w="3498"/>
        <w:gridCol w:w="1568"/>
      </w:tblGrid>
      <w:tr w:rsidR="0042464E" w:rsidRPr="0023218F">
        <w:trPr>
          <w:trHeight w:val="859"/>
        </w:trPr>
        <w:tc>
          <w:tcPr>
            <w:tcW w:w="3517" w:type="dxa"/>
            <w:tcBorders>
              <w:top w:val="single" w:sz="8" w:space="0" w:color="auto"/>
              <w:left w:val="single" w:sz="8" w:space="0" w:color="auto"/>
              <w:bottom w:val="nil"/>
              <w:right w:val="nil"/>
            </w:tcBorders>
            <w:noWrap/>
            <w:tcMar>
              <w:top w:w="19" w:type="dxa"/>
              <w:left w:w="19" w:type="dxa"/>
              <w:bottom w:w="0" w:type="dxa"/>
              <w:right w:w="19" w:type="dxa"/>
            </w:tcMar>
          </w:tcPr>
          <w:p w:rsidR="0042464E" w:rsidRPr="0023218F" w:rsidRDefault="0042464E">
            <w:pPr>
              <w:rPr>
                <w:rFonts w:eastAsiaTheme="minorEastAsia"/>
                <w:b/>
                <w:bCs/>
              </w:rPr>
            </w:pPr>
            <w:r w:rsidRPr="0023218F">
              <w:rPr>
                <w:rFonts w:eastAsiaTheme="minorEastAsia"/>
                <w:b/>
                <w:bCs/>
              </w:rPr>
              <w:t>Platobná podmienka</w:t>
            </w:r>
          </w:p>
        </w:tc>
        <w:tc>
          <w:tcPr>
            <w:tcW w:w="3498" w:type="dxa"/>
            <w:tcBorders>
              <w:top w:val="single" w:sz="8" w:space="0" w:color="auto"/>
              <w:left w:val="single" w:sz="8" w:space="0" w:color="auto"/>
              <w:bottom w:val="single" w:sz="8" w:space="0" w:color="auto"/>
              <w:right w:val="single" w:sz="8" w:space="0" w:color="auto"/>
            </w:tcBorders>
            <w:noWrap/>
            <w:tcMar>
              <w:top w:w="19" w:type="dxa"/>
              <w:left w:w="19" w:type="dxa"/>
              <w:bottom w:w="0" w:type="dxa"/>
              <w:right w:w="19" w:type="dxa"/>
            </w:tcMar>
          </w:tcPr>
          <w:p w:rsidR="0042464E" w:rsidRPr="0023218F" w:rsidRDefault="0042464E">
            <w:pPr>
              <w:rPr>
                <w:rFonts w:eastAsiaTheme="minorEastAsia"/>
                <w:b/>
                <w:bCs/>
              </w:rPr>
            </w:pPr>
            <w:r w:rsidRPr="0023218F">
              <w:rPr>
                <w:rFonts w:eastAsiaTheme="minorEastAsia"/>
                <w:b/>
                <w:bCs/>
              </w:rPr>
              <w:t>Úloha banky</w:t>
            </w:r>
          </w:p>
        </w:tc>
        <w:tc>
          <w:tcPr>
            <w:tcW w:w="1568" w:type="dxa"/>
            <w:tcBorders>
              <w:top w:val="single" w:sz="8" w:space="0" w:color="auto"/>
              <w:left w:val="nil"/>
              <w:bottom w:val="single" w:sz="8" w:space="0" w:color="auto"/>
              <w:right w:val="single" w:sz="8" w:space="0" w:color="auto"/>
            </w:tcBorders>
            <w:tcMar>
              <w:top w:w="19" w:type="dxa"/>
              <w:left w:w="19" w:type="dxa"/>
              <w:bottom w:w="0" w:type="dxa"/>
              <w:right w:w="19" w:type="dxa"/>
            </w:tcMar>
          </w:tcPr>
          <w:p w:rsidR="0042464E" w:rsidRPr="0023218F" w:rsidRDefault="003E4C2B">
            <w:pPr>
              <w:pStyle w:val="AbstractSummary-nadpis"/>
              <w:tabs>
                <w:tab w:val="clear" w:pos="0"/>
              </w:tabs>
              <w:spacing w:before="0"/>
              <w:rPr>
                <w:rFonts w:eastAsiaTheme="minorEastAsia"/>
              </w:rPr>
            </w:pPr>
            <w:r>
              <w:rPr>
                <w:rFonts w:eastAsiaTheme="minorEastAsia"/>
                <w:noProof/>
                <w:lang w:eastAsia="sk-SK"/>
              </w:rPr>
              <w:pict>
                <v:line id="_x0000_s1029" style="position:absolute;flip:y;z-index:251658752;mso-position-horizontal-relative:text;mso-position-vertical-relative:text" from="22.1pt,52.1pt" to="77.05pt,564.4pt"/>
              </w:pict>
            </w:r>
            <w:r w:rsidR="0042464E" w:rsidRPr="0023218F">
              <w:rPr>
                <w:rFonts w:eastAsiaTheme="minorEastAsia"/>
              </w:rPr>
              <w:t>Výhodné pre exportéra</w:t>
            </w:r>
          </w:p>
        </w:tc>
      </w:tr>
      <w:tr w:rsidR="0042464E" w:rsidRPr="0023218F">
        <w:trPr>
          <w:trHeight w:val="948"/>
        </w:trPr>
        <w:tc>
          <w:tcPr>
            <w:tcW w:w="3517" w:type="dxa"/>
            <w:tcBorders>
              <w:top w:val="single" w:sz="8" w:space="0" w:color="auto"/>
              <w:left w:val="single" w:sz="8" w:space="0" w:color="auto"/>
              <w:bottom w:val="single" w:sz="8" w:space="0" w:color="auto"/>
              <w:right w:val="single" w:sz="8" w:space="0" w:color="auto"/>
            </w:tcBorders>
            <w:noWrap/>
            <w:tcMar>
              <w:top w:w="19" w:type="dxa"/>
              <w:left w:w="19" w:type="dxa"/>
              <w:bottom w:w="0" w:type="dxa"/>
              <w:right w:w="19" w:type="dxa"/>
            </w:tcMar>
          </w:tcPr>
          <w:p w:rsidR="0042464E" w:rsidRPr="0023218F" w:rsidRDefault="0042464E">
            <w:pPr>
              <w:rPr>
                <w:rFonts w:eastAsiaTheme="minorEastAsia"/>
              </w:rPr>
            </w:pPr>
            <w:r w:rsidRPr="0023218F">
              <w:rPr>
                <w:rFonts w:eastAsiaTheme="minorEastAsia"/>
              </w:rPr>
              <w:t>Platba vopred</w:t>
            </w:r>
          </w:p>
        </w:tc>
        <w:tc>
          <w:tcPr>
            <w:tcW w:w="3498" w:type="dxa"/>
            <w:tcBorders>
              <w:top w:val="single" w:sz="8" w:space="0" w:color="auto"/>
              <w:left w:val="nil"/>
              <w:bottom w:val="single" w:sz="8" w:space="0" w:color="auto"/>
              <w:right w:val="single" w:sz="8" w:space="0" w:color="auto"/>
            </w:tcBorders>
            <w:tcMar>
              <w:top w:w="19" w:type="dxa"/>
              <w:left w:w="19" w:type="dxa"/>
              <w:bottom w:w="0" w:type="dxa"/>
              <w:right w:w="19" w:type="dxa"/>
            </w:tcMar>
            <w:vAlign w:val="bottom"/>
          </w:tcPr>
          <w:p w:rsidR="0042464E" w:rsidRPr="0023218F" w:rsidRDefault="0042464E">
            <w:pPr>
              <w:pStyle w:val="Normlnweb"/>
              <w:spacing w:before="0" w:beforeAutospacing="0" w:after="240" w:afterAutospacing="0"/>
              <w:rPr>
                <w:rFonts w:eastAsiaTheme="minorEastAsia"/>
              </w:rPr>
            </w:pPr>
            <w:r w:rsidRPr="0023218F">
              <w:rPr>
                <w:rFonts w:eastAsiaTheme="minorEastAsia"/>
              </w:rPr>
              <w:t>Realizácia hladkej platby  Poskytnutie akontačnej záruky exportérovi</w:t>
            </w:r>
          </w:p>
        </w:tc>
        <w:tc>
          <w:tcPr>
            <w:tcW w:w="1568" w:type="dxa"/>
            <w:tcBorders>
              <w:top w:val="single" w:sz="8" w:space="0" w:color="auto"/>
              <w:left w:val="single" w:sz="8" w:space="0" w:color="auto"/>
              <w:bottom w:val="nil"/>
              <w:right w:val="single" w:sz="8" w:space="0" w:color="auto"/>
            </w:tcBorders>
            <w:noWrap/>
            <w:tcMar>
              <w:top w:w="19" w:type="dxa"/>
              <w:left w:w="19" w:type="dxa"/>
              <w:bottom w:w="0" w:type="dxa"/>
              <w:right w:w="19" w:type="dxa"/>
            </w:tcMar>
            <w:vAlign w:val="bottom"/>
          </w:tcPr>
          <w:p w:rsidR="0042464E" w:rsidRPr="0023218F" w:rsidRDefault="0042464E">
            <w:pPr>
              <w:rPr>
                <w:rFonts w:eastAsiaTheme="minorEastAsia"/>
              </w:rPr>
            </w:pPr>
            <w:r w:rsidRPr="0023218F">
              <w:rPr>
                <w:rFonts w:eastAsiaTheme="minorEastAsia"/>
              </w:rPr>
              <w:t> </w:t>
            </w:r>
          </w:p>
        </w:tc>
      </w:tr>
      <w:tr w:rsidR="0042464E" w:rsidRPr="0023218F">
        <w:trPr>
          <w:trHeight w:val="948"/>
        </w:trPr>
        <w:tc>
          <w:tcPr>
            <w:tcW w:w="3517" w:type="dxa"/>
            <w:tcBorders>
              <w:top w:val="nil"/>
              <w:left w:val="single" w:sz="8" w:space="0" w:color="auto"/>
              <w:bottom w:val="single" w:sz="8" w:space="0" w:color="auto"/>
              <w:right w:val="single" w:sz="8" w:space="0" w:color="auto"/>
            </w:tcBorders>
            <w:tcMar>
              <w:top w:w="19" w:type="dxa"/>
              <w:left w:w="19" w:type="dxa"/>
              <w:bottom w:w="0" w:type="dxa"/>
              <w:right w:w="19" w:type="dxa"/>
            </w:tcMar>
          </w:tcPr>
          <w:p w:rsidR="0042464E" w:rsidRPr="0023218F" w:rsidRDefault="0042464E">
            <w:pPr>
              <w:pStyle w:val="Normlnweb"/>
              <w:spacing w:before="0" w:beforeAutospacing="0" w:after="240" w:afterAutospacing="0" w:line="240" w:lineRule="auto"/>
              <w:rPr>
                <w:rFonts w:eastAsiaTheme="minorEastAsia"/>
              </w:rPr>
            </w:pPr>
            <w:r w:rsidRPr="0023218F">
              <w:rPr>
                <w:rFonts w:eastAsiaTheme="minorEastAsia"/>
              </w:rPr>
              <w:t xml:space="preserve">Potvrdený dokumentárny akreditív </w:t>
            </w:r>
          </w:p>
          <w:p w:rsidR="0042464E" w:rsidRPr="0023218F" w:rsidRDefault="0042464E">
            <w:pPr>
              <w:pStyle w:val="Normlnweb"/>
              <w:spacing w:before="0" w:beforeAutospacing="0" w:after="240" w:afterAutospacing="0" w:line="240" w:lineRule="auto"/>
              <w:rPr>
                <w:rFonts w:eastAsiaTheme="minorEastAsia"/>
              </w:rPr>
            </w:pPr>
            <w:r w:rsidRPr="0023218F">
              <w:rPr>
                <w:rFonts w:eastAsiaTheme="minorEastAsia"/>
              </w:rPr>
              <w:t>(na videnie alebo s odloženou splatnosťou)</w:t>
            </w:r>
          </w:p>
        </w:tc>
        <w:tc>
          <w:tcPr>
            <w:tcW w:w="3498" w:type="dxa"/>
            <w:tcBorders>
              <w:top w:val="single" w:sz="8" w:space="0" w:color="auto"/>
              <w:left w:val="nil"/>
              <w:bottom w:val="single" w:sz="8" w:space="0" w:color="auto"/>
              <w:right w:val="single" w:sz="8" w:space="0" w:color="auto"/>
            </w:tcBorders>
            <w:tcMar>
              <w:top w:w="19" w:type="dxa"/>
              <w:left w:w="19" w:type="dxa"/>
              <w:bottom w:w="0" w:type="dxa"/>
              <w:right w:w="19" w:type="dxa"/>
            </w:tcMar>
            <w:vAlign w:val="bottom"/>
          </w:tcPr>
          <w:p w:rsidR="0042464E" w:rsidRPr="0023218F" w:rsidRDefault="0042464E">
            <w:pPr>
              <w:pStyle w:val="Zkladntext2"/>
              <w:rPr>
                <w:rFonts w:eastAsiaTheme="minorEastAsia"/>
              </w:rPr>
            </w:pPr>
            <w:r w:rsidRPr="0023218F">
              <w:rPr>
                <w:rFonts w:eastAsiaTheme="minorEastAsia"/>
              </w:rPr>
              <w:t xml:space="preserve">Otvorenie a potvrdenie akreditívu  </w:t>
            </w:r>
          </w:p>
          <w:p w:rsidR="0042464E" w:rsidRPr="0023218F" w:rsidRDefault="0042464E">
            <w:pPr>
              <w:pStyle w:val="Zkladntext2"/>
              <w:rPr>
                <w:rFonts w:eastAsiaTheme="minorEastAsia"/>
              </w:rPr>
            </w:pPr>
            <w:r w:rsidRPr="0023218F">
              <w:rPr>
                <w:rFonts w:eastAsiaTheme="minorEastAsia"/>
              </w:rPr>
              <w:t xml:space="preserve">Avizovanie akreditívu  </w:t>
            </w:r>
          </w:p>
          <w:p w:rsidR="0042464E" w:rsidRPr="0023218F" w:rsidRDefault="0042464E">
            <w:pPr>
              <w:pStyle w:val="Zkladntext2"/>
              <w:rPr>
                <w:rFonts w:eastAsiaTheme="minorEastAsia"/>
              </w:rPr>
            </w:pPr>
            <w:r w:rsidRPr="0023218F">
              <w:rPr>
                <w:rFonts w:eastAsiaTheme="minorEastAsia"/>
              </w:rPr>
              <w:t>Výplata exportéra  Platba akreditívu z úveru</w:t>
            </w:r>
          </w:p>
        </w:tc>
        <w:tc>
          <w:tcPr>
            <w:tcW w:w="1568" w:type="dxa"/>
            <w:tcBorders>
              <w:top w:val="nil"/>
              <w:left w:val="single" w:sz="8" w:space="0" w:color="auto"/>
              <w:bottom w:val="nil"/>
              <w:right w:val="single" w:sz="8" w:space="0" w:color="auto"/>
            </w:tcBorders>
            <w:noWrap/>
            <w:tcMar>
              <w:top w:w="19" w:type="dxa"/>
              <w:left w:w="19" w:type="dxa"/>
              <w:bottom w:w="0" w:type="dxa"/>
              <w:right w:w="19" w:type="dxa"/>
            </w:tcMar>
            <w:vAlign w:val="bottom"/>
          </w:tcPr>
          <w:p w:rsidR="0042464E" w:rsidRPr="0023218F" w:rsidRDefault="0042464E">
            <w:pPr>
              <w:pStyle w:val="Textodstavce"/>
              <w:rPr>
                <w:rFonts w:eastAsiaTheme="minorEastAsia"/>
              </w:rPr>
            </w:pPr>
            <w:r w:rsidRPr="0023218F">
              <w:rPr>
                <w:rFonts w:eastAsiaTheme="minorEastAsia"/>
              </w:rPr>
              <w:t> </w:t>
            </w:r>
          </w:p>
        </w:tc>
      </w:tr>
      <w:tr w:rsidR="0042464E" w:rsidRPr="0023218F">
        <w:trPr>
          <w:trHeight w:val="1259"/>
        </w:trPr>
        <w:tc>
          <w:tcPr>
            <w:tcW w:w="3517" w:type="dxa"/>
            <w:tcBorders>
              <w:top w:val="nil"/>
              <w:left w:val="single" w:sz="8" w:space="0" w:color="auto"/>
              <w:bottom w:val="single" w:sz="8" w:space="0" w:color="auto"/>
              <w:right w:val="single" w:sz="8" w:space="0" w:color="auto"/>
            </w:tcBorders>
            <w:tcMar>
              <w:top w:w="19" w:type="dxa"/>
              <w:left w:w="19" w:type="dxa"/>
              <w:bottom w:w="0" w:type="dxa"/>
              <w:right w:w="19" w:type="dxa"/>
            </w:tcMar>
          </w:tcPr>
          <w:p w:rsidR="0042464E" w:rsidRPr="0023218F" w:rsidRDefault="0042464E">
            <w:pPr>
              <w:pStyle w:val="Zkladntext2"/>
              <w:rPr>
                <w:rFonts w:eastAsiaTheme="minorEastAsia"/>
              </w:rPr>
            </w:pPr>
            <w:r w:rsidRPr="0023218F">
              <w:rPr>
                <w:rFonts w:eastAsiaTheme="minorEastAsia"/>
              </w:rPr>
              <w:t xml:space="preserve">Nepotvrdený dokumentárny akreditív  </w:t>
            </w:r>
          </w:p>
          <w:p w:rsidR="0042464E" w:rsidRPr="0023218F" w:rsidRDefault="0042464E">
            <w:pPr>
              <w:spacing w:line="240" w:lineRule="auto"/>
              <w:jc w:val="left"/>
              <w:rPr>
                <w:rFonts w:eastAsiaTheme="minorEastAsia"/>
              </w:rPr>
            </w:pPr>
            <w:r w:rsidRPr="0023218F">
              <w:rPr>
                <w:rFonts w:eastAsiaTheme="minorEastAsia"/>
              </w:rPr>
              <w:t>(na videnie alebo s odloženou splatnosťou)</w:t>
            </w:r>
          </w:p>
        </w:tc>
        <w:tc>
          <w:tcPr>
            <w:tcW w:w="3498" w:type="dxa"/>
            <w:tcBorders>
              <w:top w:val="nil"/>
              <w:left w:val="nil"/>
              <w:bottom w:val="single" w:sz="8" w:space="0" w:color="auto"/>
              <w:right w:val="single" w:sz="8" w:space="0" w:color="auto"/>
            </w:tcBorders>
            <w:tcMar>
              <w:top w:w="19" w:type="dxa"/>
              <w:left w:w="19" w:type="dxa"/>
              <w:bottom w:w="0" w:type="dxa"/>
              <w:right w:w="19" w:type="dxa"/>
            </w:tcMar>
            <w:vAlign w:val="bottom"/>
          </w:tcPr>
          <w:p w:rsidR="0042464E" w:rsidRPr="0023218F" w:rsidRDefault="0042464E">
            <w:pPr>
              <w:pStyle w:val="Textodstavce"/>
              <w:spacing w:line="240" w:lineRule="auto"/>
              <w:rPr>
                <w:rFonts w:eastAsiaTheme="minorEastAsia"/>
              </w:rPr>
            </w:pPr>
            <w:r w:rsidRPr="0023218F">
              <w:rPr>
                <w:rFonts w:eastAsiaTheme="minorEastAsia"/>
              </w:rPr>
              <w:t xml:space="preserve">Otvorenie akreditívu  </w:t>
            </w:r>
          </w:p>
          <w:p w:rsidR="0042464E" w:rsidRPr="0023218F" w:rsidRDefault="0042464E">
            <w:pPr>
              <w:spacing w:line="240" w:lineRule="auto"/>
              <w:rPr>
                <w:rFonts w:eastAsiaTheme="minorEastAsia"/>
              </w:rPr>
            </w:pPr>
            <w:r w:rsidRPr="0023218F">
              <w:rPr>
                <w:rFonts w:eastAsiaTheme="minorEastAsia"/>
              </w:rPr>
              <w:t xml:space="preserve">Avizovanie akreditívu  </w:t>
            </w:r>
          </w:p>
          <w:p w:rsidR="0042464E" w:rsidRPr="0023218F" w:rsidRDefault="0042464E">
            <w:pPr>
              <w:spacing w:line="240" w:lineRule="auto"/>
              <w:rPr>
                <w:rFonts w:eastAsiaTheme="minorEastAsia"/>
              </w:rPr>
            </w:pPr>
            <w:r w:rsidRPr="0023218F">
              <w:rPr>
                <w:rFonts w:eastAsiaTheme="minorEastAsia"/>
              </w:rPr>
              <w:t xml:space="preserve">Výplata exportéra po kontrole dokumentov  </w:t>
            </w:r>
          </w:p>
          <w:p w:rsidR="0042464E" w:rsidRPr="0023218F" w:rsidRDefault="0042464E">
            <w:pPr>
              <w:spacing w:line="240" w:lineRule="auto"/>
              <w:rPr>
                <w:rFonts w:eastAsiaTheme="minorEastAsia"/>
              </w:rPr>
            </w:pPr>
            <w:r w:rsidRPr="0023218F">
              <w:rPr>
                <w:rFonts w:eastAsiaTheme="minorEastAsia"/>
              </w:rPr>
              <w:t>Platba akreditívu z úveru</w:t>
            </w:r>
          </w:p>
        </w:tc>
        <w:tc>
          <w:tcPr>
            <w:tcW w:w="1568" w:type="dxa"/>
            <w:tcBorders>
              <w:top w:val="nil"/>
              <w:left w:val="nil"/>
              <w:bottom w:val="nil"/>
              <w:right w:val="single" w:sz="8" w:space="0" w:color="auto"/>
            </w:tcBorders>
            <w:noWrap/>
            <w:tcMar>
              <w:top w:w="19" w:type="dxa"/>
              <w:left w:w="19" w:type="dxa"/>
              <w:bottom w:w="0" w:type="dxa"/>
              <w:right w:w="19" w:type="dxa"/>
            </w:tcMar>
            <w:vAlign w:val="bottom"/>
          </w:tcPr>
          <w:p w:rsidR="0042464E" w:rsidRPr="0023218F" w:rsidRDefault="0042464E">
            <w:pPr>
              <w:rPr>
                <w:rFonts w:eastAsiaTheme="minorEastAsia"/>
              </w:rPr>
            </w:pPr>
            <w:r w:rsidRPr="0023218F">
              <w:rPr>
                <w:rFonts w:eastAsiaTheme="minorEastAsia"/>
              </w:rPr>
              <w:t> </w:t>
            </w:r>
          </w:p>
        </w:tc>
      </w:tr>
      <w:tr w:rsidR="0042464E" w:rsidRPr="0023218F">
        <w:trPr>
          <w:trHeight w:val="1259"/>
        </w:trPr>
        <w:tc>
          <w:tcPr>
            <w:tcW w:w="3517" w:type="dxa"/>
            <w:tcBorders>
              <w:top w:val="nil"/>
              <w:left w:val="single" w:sz="8" w:space="0" w:color="auto"/>
              <w:bottom w:val="single" w:sz="8" w:space="0" w:color="auto"/>
              <w:right w:val="single" w:sz="8" w:space="0" w:color="auto"/>
            </w:tcBorders>
            <w:tcMar>
              <w:top w:w="19" w:type="dxa"/>
              <w:left w:w="19" w:type="dxa"/>
              <w:bottom w:w="0" w:type="dxa"/>
              <w:right w:w="19" w:type="dxa"/>
            </w:tcMar>
          </w:tcPr>
          <w:p w:rsidR="0042464E" w:rsidRPr="0023218F" w:rsidRDefault="0042464E">
            <w:pPr>
              <w:spacing w:line="240" w:lineRule="auto"/>
              <w:rPr>
                <w:rFonts w:eastAsiaTheme="minorEastAsia"/>
              </w:rPr>
            </w:pPr>
            <w:r w:rsidRPr="0023218F">
              <w:rPr>
                <w:rFonts w:eastAsiaTheme="minorEastAsia"/>
              </w:rPr>
              <w:t xml:space="preserve">Dokumentárne inkaso  </w:t>
            </w:r>
          </w:p>
          <w:p w:rsidR="0042464E" w:rsidRPr="0023218F" w:rsidRDefault="0042464E">
            <w:pPr>
              <w:pStyle w:val="Textodstavce"/>
              <w:spacing w:line="240" w:lineRule="auto"/>
              <w:rPr>
                <w:rFonts w:eastAsiaTheme="minorEastAsia"/>
              </w:rPr>
            </w:pPr>
            <w:r w:rsidRPr="0023218F">
              <w:rPr>
                <w:rFonts w:eastAsiaTheme="minorEastAsia"/>
              </w:rPr>
              <w:t>(dokumenty proti platbe)</w:t>
            </w:r>
          </w:p>
        </w:tc>
        <w:tc>
          <w:tcPr>
            <w:tcW w:w="3498" w:type="dxa"/>
            <w:tcBorders>
              <w:top w:val="nil"/>
              <w:left w:val="nil"/>
              <w:bottom w:val="single" w:sz="8" w:space="0" w:color="auto"/>
              <w:right w:val="single" w:sz="8" w:space="0" w:color="auto"/>
            </w:tcBorders>
            <w:tcMar>
              <w:top w:w="19" w:type="dxa"/>
              <w:left w:w="19" w:type="dxa"/>
              <w:bottom w:w="0" w:type="dxa"/>
              <w:right w:w="19" w:type="dxa"/>
            </w:tcMar>
            <w:vAlign w:val="bottom"/>
          </w:tcPr>
          <w:p w:rsidR="0042464E" w:rsidRPr="0023218F" w:rsidRDefault="0042464E">
            <w:pPr>
              <w:spacing w:line="240" w:lineRule="auto"/>
              <w:jc w:val="left"/>
              <w:rPr>
                <w:rFonts w:eastAsiaTheme="minorEastAsia"/>
              </w:rPr>
            </w:pPr>
            <w:r w:rsidRPr="0023218F">
              <w:rPr>
                <w:rFonts w:eastAsiaTheme="minorEastAsia"/>
              </w:rPr>
              <w:t xml:space="preserve">Zaslanie inkasných dokumentov  </w:t>
            </w:r>
          </w:p>
          <w:p w:rsidR="0042464E" w:rsidRPr="0023218F" w:rsidRDefault="0042464E">
            <w:pPr>
              <w:spacing w:line="240" w:lineRule="auto"/>
              <w:jc w:val="left"/>
              <w:rPr>
                <w:rFonts w:eastAsiaTheme="minorEastAsia"/>
              </w:rPr>
            </w:pPr>
            <w:r w:rsidRPr="0023218F">
              <w:rPr>
                <w:rFonts w:eastAsiaTheme="minorEastAsia"/>
              </w:rPr>
              <w:t xml:space="preserve">Výplata exportéra po kontrole dokumentov  </w:t>
            </w:r>
          </w:p>
          <w:p w:rsidR="0042464E" w:rsidRPr="0023218F" w:rsidRDefault="0042464E">
            <w:pPr>
              <w:spacing w:line="240" w:lineRule="auto"/>
              <w:jc w:val="left"/>
              <w:rPr>
                <w:rFonts w:eastAsiaTheme="minorEastAsia"/>
              </w:rPr>
            </w:pPr>
            <w:r w:rsidRPr="0023218F">
              <w:rPr>
                <w:rFonts w:eastAsiaTheme="minorEastAsia"/>
              </w:rPr>
              <w:t>Čerpanie úveru na zaplatenie tovaru</w:t>
            </w:r>
          </w:p>
        </w:tc>
        <w:tc>
          <w:tcPr>
            <w:tcW w:w="1568" w:type="dxa"/>
            <w:tcBorders>
              <w:top w:val="nil"/>
              <w:left w:val="nil"/>
              <w:bottom w:val="nil"/>
              <w:right w:val="single" w:sz="8" w:space="0" w:color="auto"/>
            </w:tcBorders>
            <w:noWrap/>
            <w:tcMar>
              <w:top w:w="19" w:type="dxa"/>
              <w:left w:w="19" w:type="dxa"/>
              <w:bottom w:w="0" w:type="dxa"/>
              <w:right w:w="19" w:type="dxa"/>
            </w:tcMar>
            <w:vAlign w:val="bottom"/>
          </w:tcPr>
          <w:p w:rsidR="0042464E" w:rsidRPr="0023218F" w:rsidRDefault="0042464E">
            <w:pPr>
              <w:rPr>
                <w:rFonts w:eastAsiaTheme="minorEastAsia"/>
              </w:rPr>
            </w:pPr>
            <w:r w:rsidRPr="0023218F">
              <w:rPr>
                <w:rFonts w:eastAsiaTheme="minorEastAsia"/>
              </w:rPr>
              <w:t> </w:t>
            </w:r>
          </w:p>
        </w:tc>
      </w:tr>
      <w:tr w:rsidR="0042464E" w:rsidRPr="0023218F" w:rsidTr="00BF2F35">
        <w:trPr>
          <w:cantSplit/>
          <w:trHeight w:val="1259"/>
        </w:trPr>
        <w:tc>
          <w:tcPr>
            <w:tcW w:w="3517" w:type="dxa"/>
            <w:tcBorders>
              <w:top w:val="nil"/>
              <w:left w:val="single" w:sz="8" w:space="0" w:color="auto"/>
              <w:bottom w:val="single" w:sz="4" w:space="0" w:color="auto"/>
              <w:right w:val="single" w:sz="8" w:space="0" w:color="auto"/>
            </w:tcBorders>
            <w:tcMar>
              <w:top w:w="19" w:type="dxa"/>
              <w:left w:w="19" w:type="dxa"/>
              <w:bottom w:w="0" w:type="dxa"/>
              <w:right w:w="19" w:type="dxa"/>
            </w:tcMar>
          </w:tcPr>
          <w:p w:rsidR="0042464E" w:rsidRPr="0023218F" w:rsidRDefault="0042464E">
            <w:pPr>
              <w:pStyle w:val="Textodstavce"/>
              <w:spacing w:line="240" w:lineRule="auto"/>
              <w:jc w:val="left"/>
              <w:rPr>
                <w:rFonts w:eastAsiaTheme="minorEastAsia"/>
              </w:rPr>
            </w:pPr>
            <w:r w:rsidRPr="0023218F">
              <w:rPr>
                <w:rFonts w:eastAsiaTheme="minorEastAsia"/>
              </w:rPr>
              <w:t xml:space="preserve">Dokumentárne inkaso  </w:t>
            </w:r>
          </w:p>
          <w:p w:rsidR="0042464E" w:rsidRPr="0023218F" w:rsidRDefault="0042464E">
            <w:pPr>
              <w:spacing w:line="240" w:lineRule="auto"/>
              <w:jc w:val="left"/>
              <w:rPr>
                <w:rFonts w:eastAsiaTheme="minorEastAsia"/>
              </w:rPr>
            </w:pPr>
            <w:r w:rsidRPr="0023218F">
              <w:rPr>
                <w:rFonts w:eastAsiaTheme="minorEastAsia"/>
              </w:rPr>
              <w:t>(dokumenty proti akceptácii zmenky)</w:t>
            </w:r>
          </w:p>
        </w:tc>
        <w:tc>
          <w:tcPr>
            <w:tcW w:w="3498" w:type="dxa"/>
            <w:tcBorders>
              <w:top w:val="nil"/>
              <w:left w:val="nil"/>
              <w:bottom w:val="single" w:sz="4" w:space="0" w:color="auto"/>
              <w:right w:val="single" w:sz="8" w:space="0" w:color="auto"/>
            </w:tcBorders>
            <w:tcMar>
              <w:top w:w="19" w:type="dxa"/>
              <w:left w:w="19" w:type="dxa"/>
              <w:bottom w:w="0" w:type="dxa"/>
              <w:right w:w="19" w:type="dxa"/>
            </w:tcMar>
            <w:vAlign w:val="bottom"/>
          </w:tcPr>
          <w:p w:rsidR="0042464E" w:rsidRPr="0023218F" w:rsidRDefault="0042464E">
            <w:pPr>
              <w:pStyle w:val="Zkladntext2"/>
              <w:rPr>
                <w:rFonts w:eastAsiaTheme="minorEastAsia"/>
              </w:rPr>
            </w:pPr>
            <w:r w:rsidRPr="0023218F">
              <w:rPr>
                <w:rFonts w:eastAsiaTheme="minorEastAsia"/>
              </w:rPr>
              <w:t xml:space="preserve">Zaslanie inkasných dokumentov  Akcept zmenky dĺžnikom </w:t>
            </w:r>
          </w:p>
          <w:p w:rsidR="0042464E" w:rsidRPr="0023218F" w:rsidRDefault="0042464E">
            <w:pPr>
              <w:spacing w:line="240" w:lineRule="auto"/>
              <w:jc w:val="left"/>
              <w:rPr>
                <w:rFonts w:eastAsiaTheme="minorEastAsia"/>
              </w:rPr>
            </w:pPr>
            <w:r w:rsidRPr="0023218F">
              <w:rPr>
                <w:rFonts w:eastAsiaTheme="minorEastAsia"/>
              </w:rPr>
              <w:t xml:space="preserve">Eskont zmenky bankou </w:t>
            </w:r>
          </w:p>
          <w:p w:rsidR="0042464E" w:rsidRPr="0023218F" w:rsidRDefault="0042464E">
            <w:pPr>
              <w:spacing w:line="240" w:lineRule="auto"/>
              <w:jc w:val="left"/>
              <w:rPr>
                <w:rFonts w:eastAsiaTheme="minorEastAsia"/>
              </w:rPr>
            </w:pPr>
            <w:r w:rsidRPr="0023218F">
              <w:rPr>
                <w:rFonts w:eastAsiaTheme="minorEastAsia"/>
              </w:rPr>
              <w:t xml:space="preserve">Inkaso zmenky  </w:t>
            </w:r>
          </w:p>
          <w:p w:rsidR="0042464E" w:rsidRPr="0023218F" w:rsidRDefault="0042464E">
            <w:pPr>
              <w:pStyle w:val="Normlnweb"/>
              <w:spacing w:before="0" w:beforeAutospacing="0" w:after="240" w:afterAutospacing="0" w:line="240" w:lineRule="auto"/>
              <w:rPr>
                <w:rFonts w:eastAsiaTheme="minorEastAsia"/>
              </w:rPr>
            </w:pPr>
            <w:r w:rsidRPr="0023218F">
              <w:rPr>
                <w:rFonts w:eastAsiaTheme="minorEastAsia"/>
              </w:rPr>
              <w:t>Výnimočne platobná záruka</w:t>
            </w:r>
          </w:p>
        </w:tc>
        <w:tc>
          <w:tcPr>
            <w:tcW w:w="1568" w:type="dxa"/>
            <w:tcBorders>
              <w:top w:val="nil"/>
              <w:left w:val="nil"/>
              <w:bottom w:val="single" w:sz="4" w:space="0" w:color="auto"/>
              <w:right w:val="single" w:sz="8" w:space="0" w:color="auto"/>
            </w:tcBorders>
            <w:noWrap/>
            <w:tcMar>
              <w:top w:w="19" w:type="dxa"/>
              <w:left w:w="19" w:type="dxa"/>
              <w:bottom w:w="0" w:type="dxa"/>
              <w:right w:w="19" w:type="dxa"/>
            </w:tcMar>
            <w:vAlign w:val="bottom"/>
          </w:tcPr>
          <w:p w:rsidR="0042464E" w:rsidRPr="0023218F" w:rsidRDefault="0042464E">
            <w:pPr>
              <w:rPr>
                <w:rFonts w:eastAsiaTheme="minorEastAsia"/>
                <w:b/>
                <w:bCs/>
              </w:rPr>
            </w:pPr>
            <w:r w:rsidRPr="0023218F">
              <w:rPr>
                <w:rFonts w:eastAsiaTheme="minorEastAsia"/>
                <w:b/>
                <w:bCs/>
              </w:rPr>
              <w:t> </w:t>
            </w:r>
          </w:p>
        </w:tc>
      </w:tr>
      <w:tr w:rsidR="0042464E" w:rsidRPr="0023218F" w:rsidTr="00BF2F35">
        <w:trPr>
          <w:trHeight w:val="637"/>
        </w:trPr>
        <w:tc>
          <w:tcPr>
            <w:tcW w:w="3517" w:type="dxa"/>
            <w:tcBorders>
              <w:top w:val="single" w:sz="4" w:space="0" w:color="auto"/>
              <w:left w:val="single" w:sz="8" w:space="0" w:color="auto"/>
              <w:bottom w:val="single" w:sz="4" w:space="0" w:color="auto"/>
              <w:right w:val="single" w:sz="8" w:space="0" w:color="auto"/>
            </w:tcBorders>
            <w:noWrap/>
            <w:tcMar>
              <w:top w:w="19" w:type="dxa"/>
              <w:left w:w="19" w:type="dxa"/>
              <w:bottom w:w="0" w:type="dxa"/>
              <w:right w:w="19" w:type="dxa"/>
            </w:tcMar>
          </w:tcPr>
          <w:p w:rsidR="0042464E" w:rsidRPr="0023218F" w:rsidRDefault="0042464E">
            <w:pPr>
              <w:rPr>
                <w:rFonts w:eastAsiaTheme="minorEastAsia"/>
              </w:rPr>
            </w:pPr>
            <w:r w:rsidRPr="0023218F">
              <w:rPr>
                <w:rFonts w:eastAsiaTheme="minorEastAsia"/>
              </w:rPr>
              <w:t>Platba po dodávke tovaru</w:t>
            </w:r>
          </w:p>
        </w:tc>
        <w:tc>
          <w:tcPr>
            <w:tcW w:w="3498" w:type="dxa"/>
            <w:tcBorders>
              <w:top w:val="single" w:sz="4" w:space="0" w:color="auto"/>
              <w:left w:val="nil"/>
              <w:bottom w:val="single" w:sz="4" w:space="0" w:color="auto"/>
              <w:right w:val="single" w:sz="8" w:space="0" w:color="auto"/>
            </w:tcBorders>
            <w:tcMar>
              <w:top w:w="19" w:type="dxa"/>
              <w:left w:w="19" w:type="dxa"/>
              <w:bottom w:w="0" w:type="dxa"/>
              <w:right w:w="19" w:type="dxa"/>
            </w:tcMar>
            <w:vAlign w:val="bottom"/>
          </w:tcPr>
          <w:p w:rsidR="0042464E" w:rsidRPr="0023218F" w:rsidRDefault="0042464E">
            <w:pPr>
              <w:pStyle w:val="Textodstavce"/>
              <w:spacing w:line="240" w:lineRule="auto"/>
              <w:rPr>
                <w:rFonts w:eastAsiaTheme="minorEastAsia"/>
              </w:rPr>
            </w:pPr>
            <w:r w:rsidRPr="0023218F">
              <w:rPr>
                <w:rFonts w:eastAsiaTheme="minorEastAsia"/>
              </w:rPr>
              <w:t xml:space="preserve">Hladká platba   </w:t>
            </w:r>
          </w:p>
          <w:p w:rsidR="0042464E" w:rsidRPr="0023218F" w:rsidRDefault="0042464E">
            <w:pPr>
              <w:spacing w:line="240" w:lineRule="auto"/>
              <w:rPr>
                <w:rFonts w:eastAsiaTheme="minorEastAsia"/>
              </w:rPr>
            </w:pPr>
            <w:r w:rsidRPr="0023218F">
              <w:rPr>
                <w:rFonts w:eastAsiaTheme="minorEastAsia"/>
              </w:rPr>
              <w:t xml:space="preserve">Obvykle platobná záruka  </w:t>
            </w:r>
          </w:p>
          <w:p w:rsidR="0042464E" w:rsidRPr="0023218F" w:rsidRDefault="0042464E">
            <w:pPr>
              <w:spacing w:line="240" w:lineRule="auto"/>
              <w:rPr>
                <w:rFonts w:eastAsiaTheme="minorEastAsia"/>
              </w:rPr>
            </w:pPr>
            <w:r w:rsidRPr="0023218F">
              <w:rPr>
                <w:rFonts w:eastAsiaTheme="minorEastAsia"/>
              </w:rPr>
              <w:t>Čerpanie úveru v banke</w:t>
            </w:r>
          </w:p>
        </w:tc>
        <w:tc>
          <w:tcPr>
            <w:tcW w:w="1568" w:type="dxa"/>
            <w:tcBorders>
              <w:top w:val="single" w:sz="4" w:space="0" w:color="auto"/>
              <w:left w:val="nil"/>
              <w:bottom w:val="single" w:sz="4" w:space="0" w:color="auto"/>
              <w:right w:val="single" w:sz="8" w:space="0" w:color="auto"/>
            </w:tcBorders>
            <w:noWrap/>
            <w:tcMar>
              <w:top w:w="19" w:type="dxa"/>
              <w:left w:w="19" w:type="dxa"/>
              <w:bottom w:w="0" w:type="dxa"/>
              <w:right w:w="19" w:type="dxa"/>
            </w:tcMar>
            <w:vAlign w:val="bottom"/>
          </w:tcPr>
          <w:p w:rsidR="0042464E" w:rsidRPr="0023218F" w:rsidRDefault="003E4C2B">
            <w:pPr>
              <w:rPr>
                <w:rFonts w:eastAsiaTheme="minorEastAsia"/>
              </w:rPr>
            </w:pPr>
            <w:r>
              <w:rPr>
                <w:rFonts w:eastAsiaTheme="minorEastAsia"/>
                <w:noProof/>
                <w:lang w:eastAsia="sk-SK"/>
              </w:rPr>
              <w:pict>
                <v:line id="_x0000_s1031" style="position:absolute;left:0;text-align:left;flip:y;z-index:251659776;mso-position-horizontal-relative:text;mso-position-vertical-relative:text" from="9.8pt,-44.35pt" to="21.65pt,34.1pt"/>
              </w:pict>
            </w:r>
            <w:r w:rsidR="0042464E" w:rsidRPr="0023218F">
              <w:rPr>
                <w:rFonts w:eastAsiaTheme="minorEastAsia"/>
              </w:rPr>
              <w:t> </w:t>
            </w:r>
          </w:p>
        </w:tc>
      </w:tr>
      <w:tr w:rsidR="0042464E" w:rsidRPr="0023218F" w:rsidTr="00BF2F35">
        <w:trPr>
          <w:trHeight w:val="948"/>
        </w:trPr>
        <w:tc>
          <w:tcPr>
            <w:tcW w:w="3517" w:type="dxa"/>
            <w:tcBorders>
              <w:top w:val="single" w:sz="4" w:space="0" w:color="auto"/>
              <w:left w:val="single" w:sz="8" w:space="0" w:color="auto"/>
              <w:bottom w:val="single" w:sz="8" w:space="0" w:color="auto"/>
              <w:right w:val="single" w:sz="8" w:space="0" w:color="auto"/>
            </w:tcBorders>
            <w:noWrap/>
            <w:tcMar>
              <w:top w:w="19" w:type="dxa"/>
              <w:left w:w="19" w:type="dxa"/>
              <w:bottom w:w="0" w:type="dxa"/>
              <w:right w:w="19" w:type="dxa"/>
            </w:tcMar>
          </w:tcPr>
          <w:p w:rsidR="0042464E" w:rsidRPr="0023218F" w:rsidRDefault="0042464E">
            <w:pPr>
              <w:pStyle w:val="Textodstavce"/>
              <w:spacing w:line="240" w:lineRule="auto"/>
              <w:rPr>
                <w:rFonts w:eastAsiaTheme="minorEastAsia"/>
              </w:rPr>
            </w:pPr>
            <w:r w:rsidRPr="0023218F">
              <w:rPr>
                <w:rFonts w:eastAsiaTheme="minorEastAsia"/>
              </w:rPr>
              <w:lastRenderedPageBreak/>
              <w:t xml:space="preserve">Odklad splatnosti  </w:t>
            </w:r>
          </w:p>
          <w:p w:rsidR="0042464E" w:rsidRPr="0023218F" w:rsidRDefault="0042464E">
            <w:pPr>
              <w:spacing w:line="240" w:lineRule="auto"/>
              <w:rPr>
                <w:rFonts w:eastAsiaTheme="minorEastAsia"/>
              </w:rPr>
            </w:pPr>
            <w:r w:rsidRPr="0023218F">
              <w:rPr>
                <w:rFonts w:eastAsiaTheme="minorEastAsia"/>
              </w:rPr>
              <w:t>(dodávateľský úver)</w:t>
            </w:r>
          </w:p>
        </w:tc>
        <w:tc>
          <w:tcPr>
            <w:tcW w:w="3498" w:type="dxa"/>
            <w:tcBorders>
              <w:top w:val="single" w:sz="4" w:space="0" w:color="auto"/>
              <w:left w:val="nil"/>
              <w:bottom w:val="single" w:sz="8" w:space="0" w:color="auto"/>
              <w:right w:val="single" w:sz="8" w:space="0" w:color="auto"/>
            </w:tcBorders>
            <w:tcMar>
              <w:top w:w="19" w:type="dxa"/>
              <w:left w:w="19" w:type="dxa"/>
              <w:bottom w:w="0" w:type="dxa"/>
              <w:right w:w="19" w:type="dxa"/>
            </w:tcMar>
            <w:vAlign w:val="bottom"/>
          </w:tcPr>
          <w:p w:rsidR="0042464E" w:rsidRPr="0023218F" w:rsidRDefault="0042464E">
            <w:pPr>
              <w:pStyle w:val="Textodstavce"/>
              <w:spacing w:line="240" w:lineRule="auto"/>
              <w:rPr>
                <w:rFonts w:eastAsiaTheme="minorEastAsia"/>
              </w:rPr>
            </w:pPr>
            <w:r w:rsidRPr="0023218F">
              <w:rPr>
                <w:rFonts w:eastAsiaTheme="minorEastAsia"/>
              </w:rPr>
              <w:t xml:space="preserve">Realizácia hladkej platby  </w:t>
            </w:r>
          </w:p>
          <w:p w:rsidR="0042464E" w:rsidRPr="0023218F" w:rsidRDefault="0042464E">
            <w:pPr>
              <w:spacing w:line="240" w:lineRule="auto"/>
              <w:rPr>
                <w:rFonts w:eastAsiaTheme="minorEastAsia"/>
              </w:rPr>
            </w:pPr>
            <w:r w:rsidRPr="0023218F">
              <w:rPr>
                <w:rFonts w:eastAsiaTheme="minorEastAsia"/>
              </w:rPr>
              <w:t xml:space="preserve">Obvykle banková záruka  </w:t>
            </w:r>
          </w:p>
          <w:p w:rsidR="0042464E" w:rsidRPr="0023218F" w:rsidRDefault="0042464E">
            <w:pPr>
              <w:spacing w:line="240" w:lineRule="auto"/>
              <w:rPr>
                <w:rFonts w:eastAsiaTheme="minorEastAsia"/>
              </w:rPr>
            </w:pPr>
            <w:r w:rsidRPr="0023218F">
              <w:rPr>
                <w:rFonts w:eastAsiaTheme="minorEastAsia"/>
              </w:rPr>
              <w:t>Exportný faktoring</w:t>
            </w:r>
          </w:p>
        </w:tc>
        <w:tc>
          <w:tcPr>
            <w:tcW w:w="1568" w:type="dxa"/>
            <w:tcBorders>
              <w:top w:val="single" w:sz="4" w:space="0" w:color="auto"/>
              <w:left w:val="nil"/>
              <w:bottom w:val="single" w:sz="8" w:space="0" w:color="auto"/>
              <w:right w:val="single" w:sz="8" w:space="0" w:color="auto"/>
            </w:tcBorders>
            <w:noWrap/>
            <w:tcMar>
              <w:top w:w="19" w:type="dxa"/>
              <w:left w:w="19" w:type="dxa"/>
              <w:bottom w:w="0" w:type="dxa"/>
              <w:right w:w="19" w:type="dxa"/>
            </w:tcMar>
            <w:vAlign w:val="bottom"/>
          </w:tcPr>
          <w:p w:rsidR="0042464E" w:rsidRPr="0023218F" w:rsidRDefault="0042464E">
            <w:pPr>
              <w:rPr>
                <w:rFonts w:eastAsiaTheme="minorEastAsia"/>
              </w:rPr>
            </w:pPr>
            <w:r w:rsidRPr="0023218F">
              <w:rPr>
                <w:rFonts w:eastAsiaTheme="minorEastAsia"/>
              </w:rPr>
              <w:t> </w:t>
            </w:r>
          </w:p>
        </w:tc>
      </w:tr>
      <w:tr w:rsidR="0042464E" w:rsidRPr="0023218F">
        <w:trPr>
          <w:trHeight w:val="326"/>
        </w:trPr>
        <w:tc>
          <w:tcPr>
            <w:tcW w:w="3517" w:type="dxa"/>
            <w:tcBorders>
              <w:top w:val="nil"/>
              <w:left w:val="single" w:sz="8" w:space="0" w:color="auto"/>
              <w:bottom w:val="single" w:sz="8" w:space="0" w:color="auto"/>
              <w:right w:val="single" w:sz="8" w:space="0" w:color="auto"/>
            </w:tcBorders>
            <w:noWrap/>
            <w:tcMar>
              <w:top w:w="19" w:type="dxa"/>
              <w:left w:w="19" w:type="dxa"/>
              <w:bottom w:w="0" w:type="dxa"/>
              <w:right w:w="19" w:type="dxa"/>
            </w:tcMar>
            <w:vAlign w:val="bottom"/>
          </w:tcPr>
          <w:p w:rsidR="0042464E" w:rsidRPr="0023218F" w:rsidRDefault="0042464E">
            <w:pPr>
              <w:rPr>
                <w:rFonts w:eastAsiaTheme="minorEastAsia"/>
                <w:b/>
                <w:bCs/>
              </w:rPr>
            </w:pPr>
            <w:r w:rsidRPr="0023218F">
              <w:rPr>
                <w:rFonts w:eastAsiaTheme="minorEastAsia"/>
                <w:b/>
                <w:bCs/>
              </w:rPr>
              <w:t> </w:t>
            </w:r>
          </w:p>
        </w:tc>
        <w:tc>
          <w:tcPr>
            <w:tcW w:w="3498" w:type="dxa"/>
            <w:tcBorders>
              <w:top w:val="nil"/>
              <w:left w:val="nil"/>
              <w:bottom w:val="single" w:sz="8" w:space="0" w:color="auto"/>
              <w:right w:val="single" w:sz="8" w:space="0" w:color="auto"/>
            </w:tcBorders>
            <w:noWrap/>
            <w:tcMar>
              <w:top w:w="19" w:type="dxa"/>
              <w:left w:w="19" w:type="dxa"/>
              <w:bottom w:w="0" w:type="dxa"/>
              <w:right w:w="19" w:type="dxa"/>
            </w:tcMar>
            <w:vAlign w:val="bottom"/>
          </w:tcPr>
          <w:p w:rsidR="0042464E" w:rsidRPr="0023218F" w:rsidRDefault="0042464E">
            <w:pPr>
              <w:rPr>
                <w:rFonts w:eastAsiaTheme="minorEastAsia"/>
                <w:b/>
                <w:bCs/>
              </w:rPr>
            </w:pPr>
            <w:r w:rsidRPr="0023218F">
              <w:rPr>
                <w:rFonts w:eastAsiaTheme="minorEastAsia"/>
                <w:b/>
                <w:bCs/>
              </w:rPr>
              <w:t> </w:t>
            </w:r>
          </w:p>
        </w:tc>
        <w:tc>
          <w:tcPr>
            <w:tcW w:w="1568" w:type="dxa"/>
            <w:tcBorders>
              <w:top w:val="nil"/>
              <w:left w:val="nil"/>
              <w:bottom w:val="single" w:sz="8" w:space="0" w:color="auto"/>
              <w:right w:val="single" w:sz="8" w:space="0" w:color="auto"/>
            </w:tcBorders>
            <w:tcMar>
              <w:top w:w="19" w:type="dxa"/>
              <w:left w:w="19" w:type="dxa"/>
              <w:bottom w:w="0" w:type="dxa"/>
              <w:right w:w="19" w:type="dxa"/>
            </w:tcMar>
          </w:tcPr>
          <w:p w:rsidR="0042464E" w:rsidRPr="0023218F" w:rsidRDefault="0042464E">
            <w:pPr>
              <w:pStyle w:val="AbstractSummary-nadpis"/>
              <w:tabs>
                <w:tab w:val="clear" w:pos="0"/>
              </w:tabs>
              <w:spacing w:before="0"/>
              <w:rPr>
                <w:rFonts w:eastAsiaTheme="minorEastAsia"/>
              </w:rPr>
            </w:pPr>
            <w:r w:rsidRPr="0023218F">
              <w:rPr>
                <w:rFonts w:eastAsiaTheme="minorEastAsia"/>
              </w:rPr>
              <w:t>Výhodné pre importéra</w:t>
            </w:r>
          </w:p>
        </w:tc>
      </w:tr>
    </w:tbl>
    <w:p w:rsidR="0042464E" w:rsidRDefault="0042464E">
      <w:pPr>
        <w:pStyle w:val="Odrka1stupn"/>
        <w:numPr>
          <w:ilvl w:val="0"/>
          <w:numId w:val="0"/>
        </w:numPr>
        <w:spacing w:line="240" w:lineRule="auto"/>
      </w:pPr>
    </w:p>
    <w:p w:rsidR="0042464E" w:rsidRDefault="0042464E">
      <w:pPr>
        <w:pStyle w:val="Tabulka-pramen"/>
        <w:spacing w:before="0" w:line="240" w:lineRule="auto"/>
        <w:jc w:val="both"/>
      </w:pPr>
      <w:r>
        <w:t xml:space="preserve">Zdroj: PAVELKA, Ľ.: (2008). </w:t>
      </w:r>
      <w:r>
        <w:rPr>
          <w:i/>
          <w:iCs/>
        </w:rPr>
        <w:t>Medzinárodný platobný styk v podmienkach EÚ.</w:t>
      </w:r>
      <w:r>
        <w:t xml:space="preserve"> Bratislava: EKONÓM, str. 21.</w:t>
      </w:r>
    </w:p>
    <w:p w:rsidR="0042464E" w:rsidRDefault="0042464E">
      <w:pPr>
        <w:pStyle w:val="Nadpis2"/>
      </w:pPr>
      <w:bookmarkStart w:id="4" w:name="_Toc321001056"/>
      <w:r>
        <w:t>Manažment pohľadávok</w:t>
      </w:r>
      <w:bookmarkEnd w:id="4"/>
      <w:r>
        <w:t xml:space="preserve"> </w:t>
      </w:r>
    </w:p>
    <w:p w:rsidR="0042464E" w:rsidRDefault="0042464E">
      <w:r>
        <w:t>Krištofík,</w:t>
      </w:r>
      <w:r>
        <w:rPr>
          <w:rStyle w:val="Znakapoznpodarou0"/>
        </w:rPr>
        <w:footnoteReference w:id="11"/>
      </w:r>
      <w:r>
        <w:t xml:space="preserve"> vo svojom príspevku na internetovom </w:t>
      </w:r>
      <w:r w:rsidR="00BF2F35">
        <w:t>portály</w:t>
      </w:r>
      <w:r>
        <w:t xml:space="preserve"> finančný manažment.sk uvádza, že aktuálne krízové udalosti postavili podnikových finančníkov  do stredobodu pozornosti a požiadavka efektívneho manažmentu likvidity pohľadávok  sa stala životne dôležitou. Vývoj na finančnom trhu a v globálnej ekonomike presunul ťažisko podnikových operácií do oblasti manažmentu pohľadávok. To, že likvidita </w:t>
      </w:r>
      <w:r w:rsidR="00BF2F35">
        <w:br/>
      </w:r>
      <w:r>
        <w:t xml:space="preserve">je integrálnym prvkom funkcie financovania podniku, čo nie je ničím novým </w:t>
      </w:r>
      <w:r w:rsidR="00BF2F35">
        <w:br/>
      </w:r>
      <w:r>
        <w:t>ani prekvapujúcim.</w:t>
      </w:r>
      <w:r w:rsidRPr="007B550D">
        <w:t xml:space="preserve"> Manažment</w:t>
      </w:r>
      <w:r>
        <w:t xml:space="preserve"> likvidity</w:t>
      </w:r>
      <w:r w:rsidRPr="007B550D">
        <w:t xml:space="preserve"> pohľadávok</w:t>
      </w:r>
      <w:r>
        <w:t xml:space="preserve"> už</w:t>
      </w:r>
      <w:r w:rsidRPr="007B550D">
        <w:t xml:space="preserve"> nie</w:t>
      </w:r>
      <w:r>
        <w:t xml:space="preserve"> je</w:t>
      </w:r>
      <w:r w:rsidRPr="007B550D">
        <w:t xml:space="preserve"> iba</w:t>
      </w:r>
      <w:r>
        <w:t xml:space="preserve"> o „precizovaní“</w:t>
      </w:r>
      <w:r w:rsidR="00BF2F35" w:rsidRPr="00BF2F35">
        <w:rPr>
          <w:rStyle w:val="Znakapoznpodarou0"/>
        </w:rPr>
        <w:t xml:space="preserve"> </w:t>
      </w:r>
      <w:r w:rsidR="00BF2F35">
        <w:rPr>
          <w:rStyle w:val="Znakapoznpodarou0"/>
        </w:rPr>
        <w:footnoteReference w:id="12"/>
      </w:r>
      <w:r w:rsidRPr="007B550D">
        <w:t xml:space="preserve"> plánov</w:t>
      </w:r>
      <w:r>
        <w:t xml:space="preserve"> a</w:t>
      </w:r>
      <w:r w:rsidRPr="007B550D">
        <w:t> predikcií</w:t>
      </w:r>
      <w:r>
        <w:t xml:space="preserve"> cash flow, ale aj o zaistení zdrojov od zákazníkov a zabezpečení, </w:t>
      </w:r>
      <w:r w:rsidR="00BF2F35">
        <w:br/>
      </w:r>
      <w:r>
        <w:t>že kľúčoví dodávatelia budú naďalej bez problémov realizovať dodávky.</w:t>
      </w:r>
      <w:r>
        <w:rPr>
          <w:rStyle w:val="Znakapoznpodarou0"/>
        </w:rPr>
        <w:t xml:space="preserve">  </w:t>
      </w:r>
      <w:r>
        <w:t xml:space="preserve">Definičné pojatie manažmentu pohľadávok sa v publikácii </w:t>
      </w:r>
      <w:r>
        <w:rPr>
          <w:i/>
          <w:iCs/>
        </w:rPr>
        <w:t>,,Manažerské finance“</w:t>
      </w:r>
      <w:r>
        <w:t xml:space="preserve">  </w:t>
      </w:r>
      <w:r w:rsidR="00BF2F35">
        <w:br/>
      </w:r>
      <w:r>
        <w:t>od Kislingerovej uvádza,</w:t>
      </w:r>
      <w:r>
        <w:rPr>
          <w:rStyle w:val="Znakapoznpodarou"/>
        </w:rPr>
        <w:t xml:space="preserve"> </w:t>
      </w:r>
      <w:r>
        <w:t xml:space="preserve">že zmyslom manažmentu pohľadávok je: </w:t>
      </w:r>
    </w:p>
    <w:p w:rsidR="0042464E" w:rsidRDefault="0042464E">
      <w:pPr>
        <w:pStyle w:val="Odrka1stupn"/>
        <w:rPr>
          <w:i/>
          <w:iCs/>
        </w:rPr>
      </w:pPr>
      <w:r>
        <w:rPr>
          <w:i/>
          <w:iCs/>
        </w:rPr>
        <w:t>,,Ochrániť spoločnosť pred vysokým podielom faktúr, ktoré zákazníci platia s omeškaním“</w:t>
      </w:r>
      <w:r>
        <w:t>;</w:t>
      </w:r>
    </w:p>
    <w:p w:rsidR="0042464E" w:rsidRDefault="0042464E">
      <w:pPr>
        <w:pStyle w:val="Odrka1stupn"/>
      </w:pPr>
      <w:r>
        <w:rPr>
          <w:i/>
          <w:iCs/>
        </w:rPr>
        <w:t>,,Minimalizovať podiel nedobytných pohľadávok, ktoré nie sú vôbec vymožiteľné alebo sú inkasované s vynaložením relatívne vysokých nákladov“.</w:t>
      </w:r>
      <w:r>
        <w:rPr>
          <w:rStyle w:val="Znakapoznpodarou"/>
        </w:rPr>
        <w:t xml:space="preserve"> </w:t>
      </w:r>
      <w:r>
        <w:rPr>
          <w:rStyle w:val="Znakapoznpodarou"/>
        </w:rPr>
        <w:footnoteReference w:id="13"/>
      </w:r>
    </w:p>
    <w:p w:rsidR="0042464E" w:rsidRDefault="0042464E">
      <w:r>
        <w:t xml:space="preserve">V záujme oboch zúčastnených strán na kontrakte je primárnou otázkou </w:t>
      </w:r>
      <w:r>
        <w:rPr>
          <w:b/>
          <w:bCs/>
        </w:rPr>
        <w:t>bonita zahraničného obchodného partnera</w:t>
      </w:r>
      <w:r>
        <w:rPr>
          <w:i/>
          <w:iCs/>
        </w:rPr>
        <w:t>.</w:t>
      </w:r>
      <w:r>
        <w:t xml:space="preserve"> </w:t>
      </w:r>
    </w:p>
    <w:p w:rsidR="0042464E" w:rsidRDefault="0042464E">
      <w:pPr>
        <w:pStyle w:val="Nadpis3"/>
      </w:pPr>
      <w:bookmarkStart w:id="5" w:name="_Toc321001057"/>
      <w:r>
        <w:lastRenderedPageBreak/>
        <w:t>Preverenie bonity odberateľa</w:t>
      </w:r>
      <w:bookmarkEnd w:id="5"/>
      <w:r>
        <w:t xml:space="preserve">  </w:t>
      </w:r>
    </w:p>
    <w:p w:rsidR="0042464E" w:rsidRDefault="0042464E">
      <w:pPr>
        <w:spacing w:after="120"/>
      </w:pPr>
      <w:r>
        <w:t xml:space="preserve">Preverenie bonity (dôveryhodnosti) budúceho zákazníka a obchodného partnera </w:t>
      </w:r>
      <w:r>
        <w:br/>
        <w:t xml:space="preserve">je nevyhnutý prvok prípravy každej kúpnej zmluvy, zmluvy o dielo alebo iného kontraktu. Bonita odberateľa výrazne ovplyvňuje stupeň rizika obchodnej spolupráce. Preverovanie bonity obchodných partnerov by malo patriť k neodmysliteľnej súčasti práce každej firmy, ktorej záleží na dlhodobom rozvoji a chce obstáť na konkurenčnom trhu. </w:t>
      </w:r>
    </w:p>
    <w:p w:rsidR="0042464E" w:rsidRDefault="0042464E">
      <w:pPr>
        <w:spacing w:after="120"/>
      </w:pPr>
      <w:r>
        <w:t>Ako uvádza Pavelka,</w:t>
      </w:r>
      <w:r>
        <w:rPr>
          <w:rStyle w:val="Znakapoznpodarou"/>
        </w:rPr>
        <w:footnoteReference w:id="14"/>
      </w:r>
      <w:r>
        <w:t xml:space="preserve"> predchádzanie defaultom obchodných pohľadávok predpokladá neustále sledovanie konkurenčného postavenia, správania sa odberateľov  v tuzemsku a v zahraničí vrátane firiem personálne a kapitálovo prepojených s firmou odberateľa. Tieto prepojenia a s tým súvisiace tzv. krížové riziká často u nás podceňujú nielen malé podniky, ale aj veľké nadnárodné spoločnosti. </w:t>
      </w:r>
    </w:p>
    <w:p w:rsidR="0042464E" w:rsidRDefault="0042464E">
      <w:pPr>
        <w:spacing w:after="120"/>
      </w:pPr>
      <w:r>
        <w:t xml:space="preserve">Na Slovensku pôsobí viacero spoločností zaoberajúcimi sa obstarávaním informácií o bonite tuzemských a zahraničných obchodných partnerov. Služby takéhoto druhu v minulosti poskytovali najmä banky, dnes je ale situácia na trhu úplne odlišná.  Získať jednoduché alebo rozsiahle údaje o solventnosti nových obchodných partnerov </w:t>
      </w:r>
      <w:r>
        <w:br/>
        <w:t xml:space="preserve">je možné prostredníctvom medzinárodne pôsobiacich špecializovaných spoločností. Rýchlosť, aktuálnosť a rozsah nimi poskytovaných informácií o firmách závisí </w:t>
      </w:r>
      <w:r>
        <w:br/>
        <w:t>od kvality databáz, ktorými disponujú ako aj od  partnerských organizácií v jednotlivých krajinách sveta.</w:t>
      </w:r>
      <w:r>
        <w:rPr>
          <w:rStyle w:val="Znakyprepoznmkupodiarou"/>
        </w:rPr>
        <w:footnoteReference w:id="15"/>
      </w:r>
      <w:r>
        <w:t xml:space="preserve"> Tieto spoločnosti svojim klientom ponúkajú komplexný outsourcing</w:t>
      </w:r>
      <w:r w:rsidR="00385F39">
        <w:rPr>
          <w:rStyle w:val="Znakyprepoznmkupodiarou"/>
        </w:rPr>
        <w:footnoteReference w:id="16"/>
      </w:r>
      <w:r w:rsidR="00385F39">
        <w:t xml:space="preserve"> </w:t>
      </w:r>
      <w:r>
        <w:t xml:space="preserve"> v oblasti správy pohľadávok, ich uplatňovania u dlžníkov a tiež mimosúdne alebo súdne vymáhanie. Dlžníci pritom nemusia byť len firmy </w:t>
      </w:r>
      <w:r w:rsidR="00385F39">
        <w:br/>
      </w:r>
      <w:r>
        <w:t xml:space="preserve">so sídlom v SR, ale zahraničné podnikateľské subjekty. </w:t>
      </w:r>
    </w:p>
    <w:p w:rsidR="0042464E" w:rsidRDefault="0042464E">
      <w:pPr>
        <w:spacing w:after="120"/>
      </w:pPr>
      <w:r>
        <w:t xml:space="preserve">Najväčší význam poskytovaných informácií predstavuje možnosť dodávateľov (veriteľov) okamžite reagovať na prípadné riziká, ktoré súvisia s podnikaním dlžníka (neschopnosť uhrádzať záväzky v lehote splatnosti, zrušenie veľkých zákaziek </w:t>
      </w:r>
      <w:r>
        <w:br/>
        <w:t xml:space="preserve">od zákazníkov, úradné opatrenia voči firmám dlžníka, atď.) Na základe rýchlosti </w:t>
      </w:r>
      <w:r>
        <w:lastRenderedPageBreak/>
        <w:t xml:space="preserve">získania týchto negatívnych informácií je potom dodávateľ schopný nedôveryhodnému odberateľovi okamžite pozastaviť ďalšie dodávky tovarov alebo služieb, prípadne </w:t>
      </w:r>
      <w:r>
        <w:br/>
        <w:t>od neho požadovať zmenu platobných podmienok</w:t>
      </w:r>
      <w:r>
        <w:rPr>
          <w:rStyle w:val="Znakyprepoznmkupodiarou"/>
        </w:rPr>
        <w:footnoteReference w:id="17"/>
      </w:r>
      <w:r>
        <w:t xml:space="preserve"> (napr. platbu vopred).  </w:t>
      </w:r>
    </w:p>
    <w:p w:rsidR="0042464E" w:rsidRDefault="0042464E">
      <w:pPr>
        <w:pStyle w:val="Nadpis3"/>
      </w:pPr>
      <w:bookmarkStart w:id="6" w:name="_Toc321001058"/>
      <w:r>
        <w:t>Bankové informácie</w:t>
      </w:r>
      <w:bookmarkEnd w:id="6"/>
      <w:r>
        <w:t xml:space="preserve"> </w:t>
      </w:r>
    </w:p>
    <w:p w:rsidR="0042464E" w:rsidRDefault="0042464E">
      <w:r>
        <w:t>Banková informácia predstavuje informáciu o klientovi, ktorú poskytla banka klienta na základe žiadosti jeho zahraničného obchodného partnera. Ako uvádza Pavelka,</w:t>
      </w:r>
      <w:r>
        <w:rPr>
          <w:rStyle w:val="Znakapoznpodarou"/>
        </w:rPr>
        <w:t xml:space="preserve"> </w:t>
      </w:r>
      <w:r>
        <w:rPr>
          <w:rStyle w:val="Znakapoznpodarou"/>
        </w:rPr>
        <w:footnoteReference w:id="18"/>
      </w:r>
      <w:r>
        <w:t xml:space="preserve">  podmienkou poskytnutia bankových informácií je súhlas zahraničného zákazníka udelený zahraničnej banke, aby tá mohla zverejniť a poskytnúť slovenskej banke podrobnejšie a detailnejšie informácie o zahraničnom podnikateľovi, resp. zahraničnej firme. Údaje obsiahnuté v bankovej informácii sa týkajú:</w:t>
      </w:r>
      <w:r>
        <w:rPr>
          <w:rStyle w:val="Znakapoznpodarou"/>
        </w:rPr>
        <w:t xml:space="preserve"> </w:t>
      </w:r>
    </w:p>
    <w:p w:rsidR="0042464E" w:rsidRDefault="0042464E">
      <w:pPr>
        <w:pStyle w:val="Odrka1stupn"/>
        <w:rPr>
          <w:i/>
          <w:iCs/>
        </w:rPr>
      </w:pPr>
      <w:r>
        <w:rPr>
          <w:i/>
          <w:iCs/>
        </w:rPr>
        <w:t>,,Bonity, solventnosti a spoľahlivosti klienta;</w:t>
      </w:r>
    </w:p>
    <w:p w:rsidR="0042464E" w:rsidRDefault="0042464E">
      <w:pPr>
        <w:pStyle w:val="Odrka1stupn"/>
        <w:rPr>
          <w:i/>
          <w:iCs/>
        </w:rPr>
      </w:pPr>
      <w:r>
        <w:rPr>
          <w:i/>
          <w:iCs/>
        </w:rPr>
        <w:t>výšky poskytnutých úverov – často iba informácia o bezproblémovom plnení záväzkov bez zverejnenia výšky bankového úveru;</w:t>
      </w:r>
    </w:p>
    <w:p w:rsidR="0042464E" w:rsidRDefault="0042464E">
      <w:pPr>
        <w:pStyle w:val="Odrka1stupn"/>
        <w:rPr>
          <w:i/>
          <w:iCs/>
        </w:rPr>
      </w:pPr>
      <w:r>
        <w:rPr>
          <w:i/>
          <w:iCs/>
        </w:rPr>
        <w:t>obratom na účte – výnimočne poskytovaný údaj vzhľadom na bankové tajomstvo, žiadateľ musí na tento údaj dať jednoznačnú požiadavku“.</w:t>
      </w:r>
      <w:r>
        <w:rPr>
          <w:rStyle w:val="Znakapoznpodarou"/>
        </w:rPr>
        <w:t xml:space="preserve"> </w:t>
      </w:r>
      <w:r>
        <w:rPr>
          <w:rStyle w:val="Znakapoznpodarou"/>
        </w:rPr>
        <w:footnoteReference w:id="19"/>
      </w:r>
    </w:p>
    <w:p w:rsidR="0042464E" w:rsidRDefault="0042464E">
      <w:pPr>
        <w:pStyle w:val="Odrka1stupn"/>
        <w:numPr>
          <w:ilvl w:val="0"/>
          <w:numId w:val="0"/>
        </w:numPr>
        <w:ind w:left="709"/>
      </w:pPr>
    </w:p>
    <w:p w:rsidR="0042464E" w:rsidRDefault="0042464E">
      <w:pPr>
        <w:pStyle w:val="Nadpis3"/>
      </w:pPr>
      <w:bookmarkStart w:id="7" w:name="_Toc321001059"/>
      <w:r>
        <w:t>Informačné a inkasné kancelárie</w:t>
      </w:r>
      <w:bookmarkEnd w:id="7"/>
    </w:p>
    <w:p w:rsidR="0042464E" w:rsidRDefault="0042464E">
      <w:r>
        <w:t xml:space="preserve">Šebejová, vo svojom príspevku </w:t>
      </w:r>
      <w:r>
        <w:rPr>
          <w:i/>
          <w:iCs/>
        </w:rPr>
        <w:t>,,Kde a ako preveriť obchodného partnera“</w:t>
      </w:r>
      <w:r>
        <w:t xml:space="preserve"> </w:t>
      </w:r>
      <w:r>
        <w:rPr>
          <w:rStyle w:val="Znakapoznpodarou"/>
        </w:rPr>
        <w:footnoteReference w:id="20"/>
      </w:r>
      <w:r>
        <w:t xml:space="preserve"> uvádza, že informačné a inkasné kancelárie poskytujú overené informácie a hodnotenie preverovanej firmy podľa vlastných postupov v komplexnej správe. Od poskytovateľov informácii sa viac posúvajú k sprostredkovateľom a zvyšujú pre užívateľa pridanú hodnotu. Ako doplnkovú službu ponúkajú spravidla aj ročný monitoring zmien </w:t>
      </w:r>
      <w:r>
        <w:br/>
        <w:t xml:space="preserve">vo firme, ktorú preverili, a tak je obchodný partner v podstate pod nepretržitým drobnohľadom. Všetky tieto spoločnosti budujú vlastné, prevažne jednotné databázy, </w:t>
      </w:r>
      <w:r>
        <w:br/>
        <w:t>do ktorých má klient prístup cez internet. Za</w:t>
      </w:r>
      <w:r w:rsidRPr="00525960">
        <w:t xml:space="preserve"> ich</w:t>
      </w:r>
      <w:r>
        <w:t xml:space="preserve"> služby sa platí buď formou </w:t>
      </w:r>
      <w:r w:rsidR="00385F39">
        <w:t>predplatného</w:t>
      </w:r>
      <w:r>
        <w:t xml:space="preserve"> kreditu alebo jednorázovo podľa druhu a rozsahu poskytnutej informácie. </w:t>
      </w:r>
      <w:r>
        <w:lastRenderedPageBreak/>
        <w:t>Prehľadné rozlíšenie  služieb jednotlivých vy</w:t>
      </w:r>
      <w:r w:rsidR="00385F39">
        <w:t xml:space="preserve">braných informačných kancelárii </w:t>
      </w:r>
      <w:r>
        <w:t xml:space="preserve">prezentuje nasledujúca Tabuľka 4. </w:t>
      </w:r>
    </w:p>
    <w:p w:rsidR="0042464E" w:rsidRDefault="0042464E">
      <w:pPr>
        <w:pStyle w:val="Tabulka"/>
      </w:pPr>
      <w:r>
        <w:t>Tabuľka 4 Prehľad vybraných informačných kancelárií a ich služby</w:t>
      </w:r>
    </w:p>
    <w:p w:rsidR="0015318C" w:rsidRDefault="00F03713" w:rsidP="0015318C">
      <w:pPr>
        <w:spacing w:before="240" w:line="240" w:lineRule="auto"/>
      </w:pPr>
      <w:r>
        <w:rPr>
          <w:noProof/>
          <w:lang w:eastAsia="sk-SK"/>
        </w:rPr>
        <w:drawing>
          <wp:inline distT="0" distB="0" distL="0" distR="0">
            <wp:extent cx="5429250" cy="448627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33832" cy="4490061"/>
                    </a:xfrm>
                    <a:prstGeom prst="rect">
                      <a:avLst/>
                    </a:prstGeom>
                    <a:noFill/>
                    <a:ln w="9525">
                      <a:noFill/>
                      <a:miter lim="800000"/>
                      <a:headEnd/>
                      <a:tailEnd/>
                    </a:ln>
                  </pic:spPr>
                </pic:pic>
              </a:graphicData>
            </a:graphic>
          </wp:inline>
        </w:drawing>
      </w:r>
    </w:p>
    <w:p w:rsidR="0042464E" w:rsidRDefault="0042464E" w:rsidP="0015318C">
      <w:pPr>
        <w:spacing w:before="240" w:line="240" w:lineRule="auto"/>
      </w:pPr>
      <w:r>
        <w:t xml:space="preserve">Zdroj: ŠEBEJOVÁ, K.: (2008). </w:t>
      </w:r>
      <w:r>
        <w:rPr>
          <w:i/>
          <w:iCs/>
        </w:rPr>
        <w:t xml:space="preserve">Kde a ako preveriť obchodného partnera. </w:t>
      </w:r>
      <w:r>
        <w:t>Bratislava: TREND, str.4. Vlastné spracovanie.</w:t>
      </w:r>
    </w:p>
    <w:p w:rsidR="0015318C" w:rsidRDefault="0015318C" w:rsidP="0015318C">
      <w:pPr>
        <w:spacing w:after="0" w:line="240" w:lineRule="auto"/>
        <w:jc w:val="center"/>
      </w:pPr>
    </w:p>
    <w:p w:rsidR="0042464E" w:rsidRDefault="0042464E">
      <w:pPr>
        <w:pStyle w:val="Nadpis3"/>
      </w:pPr>
      <w:bookmarkStart w:id="8" w:name="_Toc321001060"/>
      <w:r>
        <w:t>Poisťovacie spoločnosti</w:t>
      </w:r>
      <w:bookmarkEnd w:id="8"/>
    </w:p>
    <w:p w:rsidR="0042464E" w:rsidRDefault="0042464E">
      <w:r>
        <w:t>Poisťovacie spoločnosti poisťujú pohľadávky dodávateľov voči odberateľom.  Ako uvádza Pavelka,</w:t>
      </w:r>
      <w:r>
        <w:rPr>
          <w:rStyle w:val="Znakapoznpodarou"/>
        </w:rPr>
        <w:t xml:space="preserve"> </w:t>
      </w:r>
      <w:r>
        <w:rPr>
          <w:rStyle w:val="Znakapoznpodarou"/>
        </w:rPr>
        <w:footnoteReference w:id="21"/>
      </w:r>
      <w:r>
        <w:t xml:space="preserve"> základom rozhodnutia poisťovne o prevzatí rizika platobnej neschopnosti alebo platobnej nevôle odberateľa je </w:t>
      </w:r>
      <w:r>
        <w:rPr>
          <w:b/>
          <w:bCs/>
        </w:rPr>
        <w:t xml:space="preserve">vyhodnotenie bonity a platobnej </w:t>
      </w:r>
      <w:r>
        <w:rPr>
          <w:b/>
          <w:bCs/>
        </w:rPr>
        <w:lastRenderedPageBreak/>
        <w:t>schopnosti dlžníka</w:t>
      </w:r>
      <w:r>
        <w:t xml:space="preserve">, ktorého záväzky sú predmetom poistenia. Najznámejšími subjektmi  na poistnom trhu sú tri súkromné poisťovne: </w:t>
      </w:r>
    </w:p>
    <w:p w:rsidR="0042464E" w:rsidRDefault="0042464E">
      <w:pPr>
        <w:pStyle w:val="Odrka1stupn"/>
      </w:pPr>
      <w:r>
        <w:t>Eulerhermes;</w:t>
      </w:r>
      <w:r>
        <w:rPr>
          <w:rStyle w:val="Znakapoznpodarou"/>
        </w:rPr>
        <w:t xml:space="preserve"> </w:t>
      </w:r>
      <w:r>
        <w:rPr>
          <w:rStyle w:val="Znakapoznpodarou"/>
        </w:rPr>
        <w:footnoteReference w:id="22"/>
      </w:r>
    </w:p>
    <w:p w:rsidR="0042464E" w:rsidRDefault="0042464E">
      <w:pPr>
        <w:pStyle w:val="Odrka1stupn"/>
      </w:pPr>
      <w:r>
        <w:t>Atradius;</w:t>
      </w:r>
      <w:r>
        <w:rPr>
          <w:rStyle w:val="Znakapoznpodarou"/>
        </w:rPr>
        <w:t xml:space="preserve"> </w:t>
      </w:r>
      <w:r>
        <w:rPr>
          <w:rStyle w:val="Znakapoznpodarou"/>
        </w:rPr>
        <w:footnoteReference w:id="23"/>
      </w:r>
    </w:p>
    <w:p w:rsidR="0042464E" w:rsidRDefault="0042464E">
      <w:pPr>
        <w:pStyle w:val="Odrka1stupn"/>
      </w:pPr>
      <w:r>
        <w:t>Cofaceintercredit.</w:t>
      </w:r>
      <w:r>
        <w:rPr>
          <w:rStyle w:val="Znakapoznpodarou"/>
        </w:rPr>
        <w:t xml:space="preserve"> </w:t>
      </w:r>
      <w:r>
        <w:rPr>
          <w:rStyle w:val="Znakapoznpodarou"/>
        </w:rPr>
        <w:footnoteReference w:id="24"/>
      </w:r>
    </w:p>
    <w:p w:rsidR="0042464E" w:rsidRDefault="0042464E" w:rsidP="0015318C">
      <w:pPr>
        <w:pStyle w:val="Nadpis3"/>
        <w:spacing w:before="240"/>
      </w:pPr>
      <w:bookmarkStart w:id="9" w:name="_Toc321001061"/>
      <w:r>
        <w:t>Index platobného rizika – SLOVENSKO 2010</w:t>
      </w:r>
      <w:bookmarkEnd w:id="9"/>
    </w:p>
    <w:p w:rsidR="0042464E" w:rsidRDefault="0042464E">
      <w:r>
        <w:t>Prieskum platobného rizika vykonaného v roku  2010 spoločnosťou Intrum Justitia</w:t>
      </w:r>
      <w:r>
        <w:rPr>
          <w:rStyle w:val="Znakapoznpodarou"/>
        </w:rPr>
        <w:footnoteReference w:id="25"/>
      </w:r>
      <w:r>
        <w:t xml:space="preserve"> preukázal, že schopnosť platiť včas sa u zákazníkov, podnikov a verejných inštitúcií v danom roku znížila. Podľa tejto spoločnosti je potrebné očakávať ďalšie zhoršenie situácie. V súčasnej situácii, keď svet zápasí s najhorším ekonomickým poklesom </w:t>
      </w:r>
      <w:r>
        <w:br/>
        <w:t xml:space="preserve">za niekoľko dekád, dospievajú k triezvemu záveru, že dosahovanie včasných platieb bude čím ďalej, tým náročnejšie. Predložená správa potvrdzuje: </w:t>
      </w:r>
    </w:p>
    <w:p w:rsidR="0042464E" w:rsidRDefault="0042464E">
      <w:r>
        <w:rPr>
          <w:i/>
          <w:iCs/>
        </w:rPr>
        <w:t xml:space="preserve">,,Nejestvuje veľa dôvodov na optimistický pohľad na stav slovenskej ekonomiky v roku 2012. Napriek tomu, že slovenské banky sa do veľkej miery vyhli finančným problémom, ktoré sa prejavili naprieč celou Európou, malá a otvorená ekonomika krajiny zažína mať ťažkosti, pretože dopyt po jej tovaroch, od áut až po televízne prijímače </w:t>
      </w:r>
      <w:r w:rsidR="0015318C">
        <w:rPr>
          <w:i/>
          <w:iCs/>
        </w:rPr>
        <w:br/>
      </w:r>
      <w:r>
        <w:rPr>
          <w:i/>
          <w:iCs/>
        </w:rPr>
        <w:t xml:space="preserve">na kľúčových exportných trhoch klesá. Spolu s narastajúcou mierou nezamestnanosti klesá v krajine s 5,4 milióna obyvateľov tiež dôvera spotrebiteľov. V roku 2012 </w:t>
      </w:r>
      <w:r w:rsidR="0015318C">
        <w:rPr>
          <w:i/>
          <w:iCs/>
        </w:rPr>
        <w:br/>
      </w:r>
      <w:r>
        <w:rPr>
          <w:i/>
          <w:iCs/>
        </w:rPr>
        <w:t>sa očakáva ďalšie spomalenie rastu.“</w:t>
      </w:r>
      <w:r>
        <w:rPr>
          <w:rStyle w:val="Znakapoznpodarou"/>
          <w:i/>
          <w:iCs/>
        </w:rPr>
        <w:t xml:space="preserve"> </w:t>
      </w:r>
      <w:r>
        <w:rPr>
          <w:rStyle w:val="Znakapoznpodarou"/>
        </w:rPr>
        <w:footnoteReference w:id="26"/>
      </w:r>
      <w:r>
        <w:t xml:space="preserve">   </w:t>
      </w:r>
    </w:p>
    <w:p w:rsidR="0042464E" w:rsidRDefault="0042464E">
      <w:r>
        <w:t xml:space="preserve">V obrázku 1 objasňujeme hodnotu indexu platobného rizika, ktorý bol vyvinutý spoločnosťou  Intrum Justitia, prostredníctvom ktorého, vieme rozumne zhodnotiť potencionálnych zákazníkov a ktorý napomáha rozvoju </w:t>
      </w:r>
      <w:r w:rsidR="00385F39">
        <w:t>perspektívy</w:t>
      </w:r>
      <w:r>
        <w:t xml:space="preserve"> zdravého podnikového modelu, ktorého výsledkom bude neuskutočnenie predaja takému </w:t>
      </w:r>
      <w:r>
        <w:lastRenderedPageBreak/>
        <w:t xml:space="preserve">zákazníkovi, u ktorého je vysoká pravdepodobnosť neskorej platby alebo platobnej neschopnosti.  </w:t>
      </w:r>
    </w:p>
    <w:p w:rsidR="0042464E" w:rsidRDefault="0042464E">
      <w:pPr>
        <w:pStyle w:val="Tabulka"/>
      </w:pPr>
      <w:r>
        <w:t>Obrázok 1 Objasnenie hodnôt indexu platobného rizika</w:t>
      </w:r>
    </w:p>
    <w:p w:rsidR="0042464E" w:rsidRDefault="00F03713">
      <w:pPr>
        <w:pStyle w:val="Tabulka-text"/>
      </w:pPr>
      <w:r>
        <w:rPr>
          <w:noProof/>
          <w:lang w:eastAsia="sk-SK"/>
        </w:rPr>
        <w:drawing>
          <wp:inline distT="0" distB="0" distL="0" distR="0">
            <wp:extent cx="5343525" cy="314325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343525" cy="3143250"/>
                    </a:xfrm>
                    <a:prstGeom prst="rect">
                      <a:avLst/>
                    </a:prstGeom>
                    <a:noFill/>
                    <a:ln w="9525">
                      <a:noFill/>
                      <a:miter lim="800000"/>
                      <a:headEnd/>
                      <a:tailEnd/>
                    </a:ln>
                  </pic:spPr>
                </pic:pic>
              </a:graphicData>
            </a:graphic>
          </wp:inline>
        </w:drawing>
      </w:r>
    </w:p>
    <w:p w:rsidR="0042464E" w:rsidRDefault="0042464E">
      <w:pPr>
        <w:pStyle w:val="Tabulka-pramen"/>
      </w:pPr>
      <w:r>
        <w:t>Z</w:t>
      </w:r>
      <w:r>
        <w:rPr>
          <w:noProof/>
        </w:rPr>
        <w:t xml:space="preserve">droj: </w:t>
      </w:r>
      <w:r>
        <w:rPr>
          <w:caps/>
        </w:rPr>
        <w:t xml:space="preserve">iNTURM JUSTITIA, </w:t>
      </w:r>
      <w:r>
        <w:t xml:space="preserve">(2010). </w:t>
      </w:r>
      <w:r>
        <w:rPr>
          <w:i/>
          <w:iCs/>
        </w:rPr>
        <w:t>Rizikový index – Index rizika Slovensko 2010.</w:t>
      </w:r>
      <w:r>
        <w:t xml:space="preserve"> str. 6.</w:t>
      </w:r>
    </w:p>
    <w:p w:rsidR="0042464E" w:rsidRDefault="0042464E">
      <w:r>
        <w:t>V sp</w:t>
      </w:r>
      <w:r w:rsidR="00385F39">
        <w:t>r</w:t>
      </w:r>
      <w:r>
        <w:t xml:space="preserve">áve o Platobnom indexe z roku 2010 môžeme nájsť podrobné informácie </w:t>
      </w:r>
      <w:r>
        <w:br/>
        <w:t xml:space="preserve">o hlavných exportných </w:t>
      </w:r>
      <w:r w:rsidR="00385F39">
        <w:t>krajinách</w:t>
      </w:r>
      <w:r>
        <w:t xml:space="preserve"> Slovenska, s uvedením hodnoty indexu platobného rizika. </w:t>
      </w:r>
    </w:p>
    <w:p w:rsidR="0042464E" w:rsidRDefault="0042464E">
      <w:pPr>
        <w:pStyle w:val="Tabulka"/>
      </w:pPr>
      <w:r>
        <w:t>Graf 1 Krajiny exportu Slovenska s uvedením hodnoty indexu platobného rizika</w:t>
      </w:r>
    </w:p>
    <w:p w:rsidR="0042464E" w:rsidRDefault="00F03713">
      <w:pPr>
        <w:pStyle w:val="Tabulka-pramen"/>
      </w:pPr>
      <w:r>
        <w:rPr>
          <w:noProof/>
          <w:lang w:eastAsia="sk-SK"/>
        </w:rPr>
        <w:drawing>
          <wp:inline distT="0" distB="0" distL="0" distR="0">
            <wp:extent cx="5314950" cy="228600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314950" cy="2286000"/>
                    </a:xfrm>
                    <a:prstGeom prst="rect">
                      <a:avLst/>
                    </a:prstGeom>
                    <a:noFill/>
                    <a:ln w="9525">
                      <a:noFill/>
                      <a:miter lim="800000"/>
                      <a:headEnd/>
                      <a:tailEnd/>
                    </a:ln>
                  </pic:spPr>
                </pic:pic>
              </a:graphicData>
            </a:graphic>
          </wp:inline>
        </w:drawing>
      </w:r>
      <w:r w:rsidR="0042464E">
        <w:t xml:space="preserve"> Z</w:t>
      </w:r>
      <w:r w:rsidR="0042464E">
        <w:rPr>
          <w:noProof/>
        </w:rPr>
        <w:t xml:space="preserve">droj: </w:t>
      </w:r>
      <w:r w:rsidR="0042464E">
        <w:rPr>
          <w:caps/>
        </w:rPr>
        <w:t xml:space="preserve">iNTRUM JUSTITIA, </w:t>
      </w:r>
      <w:r w:rsidR="0042464E">
        <w:t xml:space="preserve">(2010). </w:t>
      </w:r>
      <w:r w:rsidR="0042464E">
        <w:rPr>
          <w:i/>
          <w:iCs/>
        </w:rPr>
        <w:t>Rizikový index – Index rizika Slovensko 2010.</w:t>
      </w:r>
      <w:r w:rsidR="0042464E">
        <w:t xml:space="preserve"> str. 6.</w:t>
      </w:r>
    </w:p>
    <w:p w:rsidR="0042464E" w:rsidRDefault="0042464E">
      <w:pPr>
        <w:pStyle w:val="Nadpis2"/>
      </w:pPr>
      <w:bookmarkStart w:id="10" w:name="_Toc321001062"/>
      <w:r>
        <w:lastRenderedPageBreak/>
        <w:t>Hladká platba</w:t>
      </w:r>
      <w:bookmarkEnd w:id="10"/>
    </w:p>
    <w:p w:rsidR="0042464E" w:rsidRDefault="0042464E">
      <w:r>
        <w:t xml:space="preserve">Hladké platby sú relatívne najlacnejším platobným </w:t>
      </w:r>
      <w:r w:rsidR="009055F8">
        <w:t>prostriedkom</w:t>
      </w:r>
      <w:r>
        <w:t>. Podľa Rozehnalovej, ich obvykle delíme na:</w:t>
      </w:r>
      <w:r>
        <w:rPr>
          <w:rStyle w:val="Znakapoznpodarou"/>
        </w:rPr>
        <w:t xml:space="preserve"> </w:t>
      </w:r>
    </w:p>
    <w:p w:rsidR="0042464E" w:rsidRDefault="0042464E">
      <w:pPr>
        <w:pStyle w:val="Odrka1stupn"/>
        <w:rPr>
          <w:i/>
          <w:iCs/>
        </w:rPr>
      </w:pPr>
      <w:r>
        <w:rPr>
          <w:i/>
          <w:iCs/>
        </w:rPr>
        <w:t>hladká platba predom – akontácia, ktorá môže byť úplná alebo čiastočná;</w:t>
      </w:r>
    </w:p>
    <w:p w:rsidR="0042464E" w:rsidRDefault="0042464E">
      <w:pPr>
        <w:pStyle w:val="Odrka1stupn"/>
      </w:pPr>
      <w:r>
        <w:rPr>
          <w:i/>
          <w:iCs/>
        </w:rPr>
        <w:t>hladká platba po dodaní tovaru, tzn. úverový obchod.</w:t>
      </w:r>
      <w:r>
        <w:rPr>
          <w:rStyle w:val="Znakapoznpodarou"/>
        </w:rPr>
        <w:t xml:space="preserve"> </w:t>
      </w:r>
      <w:r>
        <w:rPr>
          <w:rStyle w:val="Znakapoznpodarou"/>
        </w:rPr>
        <w:footnoteReference w:id="27"/>
      </w:r>
    </w:p>
    <w:p w:rsidR="0042464E" w:rsidRDefault="0042464E">
      <w:pPr>
        <w:pStyle w:val="Odrka1stupn"/>
        <w:numPr>
          <w:ilvl w:val="0"/>
          <w:numId w:val="0"/>
        </w:numPr>
      </w:pPr>
    </w:p>
    <w:p w:rsidR="0042464E" w:rsidRDefault="0042464E">
      <w:pPr>
        <w:pStyle w:val="Odrka1stupn"/>
        <w:numPr>
          <w:ilvl w:val="0"/>
          <w:numId w:val="0"/>
        </w:numPr>
      </w:pPr>
      <w:r>
        <w:t xml:space="preserve">Použitie hladkej platby vyžaduje vysokú dôveru zmluvných partnerov, a pokiaľ </w:t>
      </w:r>
      <w:r>
        <w:br/>
        <w:t xml:space="preserve">sa nepodarí </w:t>
      </w:r>
      <w:r w:rsidR="009055F8">
        <w:t>dosiahnuť</w:t>
      </w:r>
      <w:r>
        <w:t xml:space="preserve"> akontáciu,</w:t>
      </w:r>
      <w:r>
        <w:rPr>
          <w:rStyle w:val="Znakapoznpodarou"/>
        </w:rPr>
        <w:footnoteReference w:id="28"/>
      </w:r>
      <w:r>
        <w:t xml:space="preserve"> ide v prípade úverovania o vysoký rizikový spôsob platenia pre veriteľa.  Vývozca by mal využiť tento spôsob iba tam, kde dôveruje ako samotnému obchodnému partnerovi, tak i stabilným podmienkam v jeho krajine. </w:t>
      </w:r>
      <w:r>
        <w:br/>
        <w:t xml:space="preserve">Vo väčšine prípadov sú práve tieto typy úverových obchodov zaistené využitím výhrady </w:t>
      </w:r>
      <w:r w:rsidR="00A96123">
        <w:t>vlastníckeho</w:t>
      </w:r>
      <w:r>
        <w:t xml:space="preserve"> práva.</w:t>
      </w:r>
      <w:r>
        <w:rPr>
          <w:rStyle w:val="Znakapoznpodarou"/>
        </w:rPr>
        <w:footnoteReference w:id="29"/>
      </w:r>
      <w:r>
        <w:t xml:space="preserve"> </w:t>
      </w:r>
      <w:r w:rsidR="00A96123">
        <w:t xml:space="preserve">(viď. Rozbor obchodného prípadu </w:t>
      </w:r>
      <w:r w:rsidR="00F3559E">
        <w:t xml:space="preserve">Kapitola </w:t>
      </w:r>
      <w:r w:rsidR="00A96123">
        <w:t>3.3.1 Hladká platba s poistením pohľadávky</w:t>
      </w:r>
      <w:r w:rsidR="00F3559E">
        <w:t xml:space="preserve"> a Kapitola 3.3.3 Hladká platba pred nákladkou tovaru</w:t>
      </w:r>
      <w:r w:rsidR="00A96123">
        <w:t>).</w:t>
      </w:r>
    </w:p>
    <w:p w:rsidR="0015318C" w:rsidRDefault="0015318C">
      <w:pPr>
        <w:pStyle w:val="Odrka1stupn"/>
        <w:numPr>
          <w:ilvl w:val="0"/>
          <w:numId w:val="0"/>
        </w:numPr>
      </w:pPr>
    </w:p>
    <w:p w:rsidR="0042464E" w:rsidRDefault="0042464E">
      <w:r>
        <w:rPr>
          <w:b/>
          <w:bCs/>
        </w:rPr>
        <w:t xml:space="preserve">Realizácia hladkej platby. </w:t>
      </w:r>
      <w:r>
        <w:t>Rozehnalová uvádza,</w:t>
      </w:r>
      <w:r>
        <w:rPr>
          <w:rStyle w:val="Znakapoznpodarou"/>
        </w:rPr>
        <w:footnoteReference w:id="30"/>
      </w:r>
      <w:r>
        <w:t xml:space="preserve"> že klient, ktorý má v určitej banke finančné prostriedky, dá tejto banke príkaz k prevedeniu hladkej platby. Táto následne požiada zahraničnú banku, u ktorej má vedený svoj účet, aby na vrub jej účtu uhradila  príslušnú čiastku.  </w:t>
      </w:r>
    </w:p>
    <w:p w:rsidR="0042464E" w:rsidRDefault="0042464E">
      <w:pPr>
        <w:pStyle w:val="Nadpis2"/>
      </w:pPr>
      <w:bookmarkStart w:id="11" w:name="_Toc321001063"/>
      <w:r>
        <w:t>Dokumentárny akreditív</w:t>
      </w:r>
      <w:bookmarkEnd w:id="11"/>
    </w:p>
    <w:p w:rsidR="0042464E" w:rsidRDefault="0042464E">
      <w:r>
        <w:t>Pavelka</w:t>
      </w:r>
      <w:r>
        <w:rPr>
          <w:rStyle w:val="Znakapoznpodarou"/>
        </w:rPr>
        <w:footnoteReference w:id="31"/>
      </w:r>
      <w:r>
        <w:t xml:space="preserve"> definuje dokumentárny akreditív (Letter of credit – L/C) ako osvedčený </w:t>
      </w:r>
      <w:r>
        <w:br/>
        <w:t xml:space="preserve">a tradičný platobný a zabezpečovací nástroj používaný v medzinárodnom obchode medzi obchodnými  partnermi, ktorí preferujú bezpečnosť a istotu prijatia platby, ako </w:t>
      </w:r>
      <w:r w:rsidR="00385F39">
        <w:br/>
      </w:r>
      <w:r>
        <w:t xml:space="preserve">aj medzi tými, ktorí si navzájom nedôverujú natoľko, aby použili miernejší </w:t>
      </w:r>
      <w:r w:rsidR="00385F39">
        <w:br/>
      </w:r>
      <w:r>
        <w:t xml:space="preserve">a jednoduchší spôsob na zabezpečenie obchodných záväzkov. </w:t>
      </w:r>
      <w:r w:rsidR="00691BEA">
        <w:t xml:space="preserve">Obdobne široké pojatie </w:t>
      </w:r>
      <w:r w:rsidR="00A96123">
        <w:lastRenderedPageBreak/>
        <w:t>dokumentárneho</w:t>
      </w:r>
      <w:r w:rsidR="00691BEA">
        <w:t xml:space="preserve"> akreditívu vidí aj autor Janatka</w:t>
      </w:r>
      <w:r w:rsidR="00691BEA">
        <w:rPr>
          <w:rStyle w:val="Znakapoznpodarou"/>
        </w:rPr>
        <w:footnoteReference w:id="32"/>
      </w:r>
      <w:r w:rsidR="00691BEA" w:rsidRPr="00691BEA">
        <w:rPr>
          <w:i/>
        </w:rPr>
        <w:t xml:space="preserve">,,Dokumentárny </w:t>
      </w:r>
      <w:r w:rsidR="00A96123" w:rsidRPr="00691BEA">
        <w:rPr>
          <w:i/>
        </w:rPr>
        <w:t>akreditív</w:t>
      </w:r>
      <w:r w:rsidR="00385F39">
        <w:rPr>
          <w:i/>
        </w:rPr>
        <w:br/>
      </w:r>
      <w:r w:rsidR="00691BEA" w:rsidRPr="00691BEA">
        <w:rPr>
          <w:i/>
        </w:rPr>
        <w:t xml:space="preserve"> je záväzkový, dokumentárny platobný </w:t>
      </w:r>
      <w:r w:rsidR="00691BEA">
        <w:rPr>
          <w:i/>
        </w:rPr>
        <w:t>inštrument. Ide o d</w:t>
      </w:r>
      <w:r w:rsidR="00691BEA" w:rsidRPr="00691BEA">
        <w:rPr>
          <w:i/>
        </w:rPr>
        <w:t>lhodob</w:t>
      </w:r>
      <w:r w:rsidR="00691BEA">
        <w:rPr>
          <w:i/>
        </w:rPr>
        <w:t>o</w:t>
      </w:r>
      <w:r w:rsidR="00691BEA" w:rsidRPr="00691BEA">
        <w:rPr>
          <w:i/>
        </w:rPr>
        <w:t xml:space="preserve"> užívaný, obľúbený</w:t>
      </w:r>
      <w:r w:rsidR="00691BEA">
        <w:rPr>
          <w:i/>
        </w:rPr>
        <w:t>,</w:t>
      </w:r>
      <w:r w:rsidR="00691BEA" w:rsidRPr="00691BEA">
        <w:rPr>
          <w:i/>
        </w:rPr>
        <w:t xml:space="preserve"> dokonale prepracovaný, ale aj drahý </w:t>
      </w:r>
      <w:r w:rsidR="00A96123" w:rsidRPr="00691BEA">
        <w:rPr>
          <w:i/>
        </w:rPr>
        <w:t>inštrument</w:t>
      </w:r>
      <w:r w:rsidR="00691BEA" w:rsidRPr="00691BEA">
        <w:rPr>
          <w:i/>
        </w:rPr>
        <w:t xml:space="preserve">.“ </w:t>
      </w:r>
      <w:r w:rsidR="00691BEA">
        <w:t>L</w:t>
      </w:r>
      <w:r>
        <w:t>/C umožňuje exportérovi mať kontrolu nad exportovaným tovarom až do jeho zaplatenia. Kontrolnú funkciu pritom zohrávajú najmä  dispozičné dokumenty</w:t>
      </w:r>
      <w:r w:rsidR="00A96123">
        <w:t>,</w:t>
      </w:r>
      <w:r>
        <w:rPr>
          <w:rStyle w:val="Znakapoznpodarou"/>
        </w:rPr>
        <w:footnoteReference w:id="33"/>
      </w:r>
      <w:r w:rsidR="00A96123">
        <w:t xml:space="preserve"> (viď. Rozbor obchodného prípadu</w:t>
      </w:r>
      <w:r w:rsidR="00F3559E">
        <w:t xml:space="preserve"> Kapitola</w:t>
      </w:r>
      <w:r w:rsidR="00A96123">
        <w:t xml:space="preserve"> 3.3.2 Dokumentárny akreditív s odloženou splatnosťou 60 dní)</w:t>
      </w:r>
      <w:r>
        <w:t xml:space="preserve">, ktoré sú obvykle vystavené na meno a prevádzané </w:t>
      </w:r>
      <w:r w:rsidR="00385F39">
        <w:t>cesiou</w:t>
      </w:r>
      <w:r>
        <w:t xml:space="preserve"> (</w:t>
      </w:r>
      <w:r w:rsidR="00A96123">
        <w:t>postúpení</w:t>
      </w:r>
      <w:r>
        <w:t xml:space="preserve"> práv) na nového majiteľa. V prípade dokumentov vystavených na doručiteľa je možný prevod vlastníckych práv prostredníctvom indosamentu (rubopisu). </w:t>
      </w:r>
    </w:p>
    <w:p w:rsidR="0042464E" w:rsidRDefault="0042464E">
      <w:pPr>
        <w:pStyle w:val="Nadpis3"/>
      </w:pPr>
      <w:bookmarkStart w:id="12" w:name="_Toc321001064"/>
      <w:r>
        <w:t>Charakteristika dokumentárnych akreditívov</w:t>
      </w:r>
      <w:bookmarkEnd w:id="12"/>
    </w:p>
    <w:p w:rsidR="0042464E" w:rsidRDefault="0042464E">
      <w:r>
        <w:t xml:space="preserve">Vymedzenie dokumentárnych akreditívov v slovenskom práve legislatívne upravuje Obchodný zákonník Slovenskej republiky v  § 682 – § 691. No v praxi sa široko ujali </w:t>
      </w:r>
      <w:r>
        <w:rPr>
          <w:b/>
          <w:bCs/>
        </w:rPr>
        <w:t>Jednotné pravidlá pre dokumentárne akreditívy</w:t>
      </w:r>
      <w:r>
        <w:t xml:space="preserve">, vydané Medzinárodnou obchodnou komorou (MOK) v Paríži v roku 1929 a naposledy revidované v roku 1994. Ich význam je </w:t>
      </w:r>
      <w:r w:rsidR="00A96123">
        <w:t>mimoriadny</w:t>
      </w:r>
      <w:r>
        <w:t xml:space="preserve">, pretože sú aplikované bankami vo viac ako 170 krajín sveta.  </w:t>
      </w:r>
      <w:r>
        <w:rPr>
          <w:i/>
          <w:iCs/>
        </w:rPr>
        <w:t>Skladajú sa zo 7 častí:</w:t>
      </w:r>
      <w:r>
        <w:t xml:space="preserve"> </w:t>
      </w:r>
    </w:p>
    <w:p w:rsidR="0042464E" w:rsidRDefault="0042464E">
      <w:pPr>
        <w:pStyle w:val="Odrka1stupn"/>
        <w:rPr>
          <w:i/>
          <w:iCs/>
        </w:rPr>
      </w:pPr>
      <w:r>
        <w:rPr>
          <w:i/>
          <w:iCs/>
        </w:rPr>
        <w:t>,,Obecné ustanovenia a definície;</w:t>
      </w:r>
    </w:p>
    <w:p w:rsidR="0042464E" w:rsidRDefault="0042464E">
      <w:pPr>
        <w:pStyle w:val="Odrka1stupn"/>
        <w:rPr>
          <w:i/>
          <w:iCs/>
        </w:rPr>
      </w:pPr>
      <w:r>
        <w:rPr>
          <w:i/>
          <w:iCs/>
        </w:rPr>
        <w:t>časti obsahujúce vymedzenie jednotlivých druhov, foriem a oznámení;</w:t>
      </w:r>
    </w:p>
    <w:p w:rsidR="0042464E" w:rsidRDefault="0042464E">
      <w:pPr>
        <w:pStyle w:val="Odrka1stupn"/>
        <w:rPr>
          <w:i/>
          <w:iCs/>
        </w:rPr>
      </w:pPr>
      <w:r>
        <w:rPr>
          <w:i/>
          <w:iCs/>
        </w:rPr>
        <w:t>časti vymedzujúce zodpovednosť a problematiku vyššej moci;</w:t>
      </w:r>
    </w:p>
    <w:p w:rsidR="0042464E" w:rsidRDefault="0042464E">
      <w:pPr>
        <w:pStyle w:val="Odrka1stupn"/>
        <w:rPr>
          <w:i/>
          <w:iCs/>
        </w:rPr>
      </w:pPr>
      <w:r>
        <w:rPr>
          <w:i/>
          <w:iCs/>
        </w:rPr>
        <w:t>časti venované vymedzeniu dokumentov;</w:t>
      </w:r>
    </w:p>
    <w:p w:rsidR="0042464E" w:rsidRDefault="0042464E">
      <w:pPr>
        <w:pStyle w:val="Odrka1stupn"/>
        <w:rPr>
          <w:i/>
          <w:iCs/>
        </w:rPr>
      </w:pPr>
      <w:r>
        <w:rPr>
          <w:i/>
          <w:iCs/>
        </w:rPr>
        <w:t>časti venované dielčím ustanoveniam;</w:t>
      </w:r>
    </w:p>
    <w:p w:rsidR="0042464E" w:rsidRDefault="0042464E">
      <w:pPr>
        <w:pStyle w:val="Odrka1stupn"/>
        <w:rPr>
          <w:i/>
          <w:iCs/>
        </w:rPr>
      </w:pPr>
      <w:r>
        <w:rPr>
          <w:i/>
          <w:iCs/>
        </w:rPr>
        <w:t>časti tykajúce sa prevoditeľného akreditívu;</w:t>
      </w:r>
    </w:p>
    <w:p w:rsidR="0042464E" w:rsidRDefault="0042464E">
      <w:pPr>
        <w:pStyle w:val="Odrka1stupn"/>
        <w:rPr>
          <w:i/>
          <w:iCs/>
        </w:rPr>
      </w:pPr>
      <w:r>
        <w:rPr>
          <w:i/>
          <w:iCs/>
        </w:rPr>
        <w:t>časti regulujúce postup neoznačeného akreditívu“</w:t>
      </w:r>
      <w:r>
        <w:rPr>
          <w:rStyle w:val="Znakapoznpodarou"/>
        </w:rPr>
        <w:t xml:space="preserve"> </w:t>
      </w:r>
      <w:r>
        <w:rPr>
          <w:rStyle w:val="Znakapoznpodarou"/>
        </w:rPr>
        <w:footnoteReference w:id="34"/>
      </w:r>
    </w:p>
    <w:p w:rsidR="0042464E" w:rsidRDefault="0042464E">
      <w:pPr>
        <w:pStyle w:val="Nadpis3"/>
        <w:spacing w:before="240"/>
      </w:pPr>
      <w:bookmarkStart w:id="13" w:name="_Toc321001065"/>
      <w:r>
        <w:t>Funkcie a znaky dokumentárnych akreditívov</w:t>
      </w:r>
      <w:bookmarkEnd w:id="13"/>
    </w:p>
    <w:p w:rsidR="0042464E" w:rsidRDefault="0042464E">
      <w:r>
        <w:t>Pavelka</w:t>
      </w:r>
      <w:r>
        <w:rPr>
          <w:rStyle w:val="Znakapoznpodarou"/>
        </w:rPr>
        <w:footnoteReference w:id="35"/>
      </w:r>
      <w:r>
        <w:t xml:space="preserve"> publikuje a uvádza tieto funkcie dokumentárnych akreditívov: </w:t>
      </w:r>
    </w:p>
    <w:p w:rsidR="0042464E" w:rsidRDefault="0042464E">
      <w:r>
        <w:rPr>
          <w:b/>
          <w:bCs/>
        </w:rPr>
        <w:lastRenderedPageBreak/>
        <w:t>Funkcia platobná –</w:t>
      </w:r>
      <w:r>
        <w:t xml:space="preserve"> realizácia bezhotovostného platobného </w:t>
      </w:r>
      <w:r w:rsidR="00385F39">
        <w:t>styku</w:t>
      </w:r>
      <w:r>
        <w:t xml:space="preserve"> medzi exportérom </w:t>
      </w:r>
      <w:r>
        <w:br/>
        <w:t xml:space="preserve">a importérom. </w:t>
      </w:r>
    </w:p>
    <w:p w:rsidR="0042464E" w:rsidRDefault="0042464E">
      <w:r>
        <w:rPr>
          <w:b/>
          <w:bCs/>
        </w:rPr>
        <w:t xml:space="preserve">Funkcia zabezpečovacieho prostriedku – </w:t>
      </w:r>
      <w:r>
        <w:t xml:space="preserve">Importér dostáva v podobe L/C istotu, </w:t>
      </w:r>
      <w:r>
        <w:br/>
        <w:t xml:space="preserve">že nebude zaplatené skôr, ako exportér predloží také dokumenty, ktoré budú deklarovať, že tovar bol odoslaný k rukám importéra  a exportér dostáva v podobe L/C istotu, </w:t>
      </w:r>
      <w:r>
        <w:br/>
        <w:t xml:space="preserve">že ak tovar odošle importérovi a splní všetky akreditívne podmienky, dostane zaplatené bez rizika. L/C umožňuje prostredníctvom dokumentov prevod </w:t>
      </w:r>
      <w:r w:rsidR="00385F39">
        <w:t>vlastníckeho</w:t>
      </w:r>
      <w:r>
        <w:t xml:space="preserve"> práva </w:t>
      </w:r>
      <w:r>
        <w:br/>
        <w:t>na tovar.</w:t>
      </w:r>
    </w:p>
    <w:p w:rsidR="0042464E" w:rsidRDefault="0042464E">
      <w:r>
        <w:rPr>
          <w:b/>
          <w:bCs/>
        </w:rPr>
        <w:t>Funkcia úverová -</w:t>
      </w:r>
      <w:r>
        <w:t xml:space="preserve">   prostredníctvom L/C môže exportér na požiadanie importéra poskytnúť odklad splatnosti úhrady, čo predstavuje dodávateľský úver. Poskytnutie odkladu </w:t>
      </w:r>
      <w:r w:rsidR="00385F39">
        <w:t>splatnosti</w:t>
      </w:r>
      <w:r>
        <w:t xml:space="preserve"> do nie</w:t>
      </w:r>
      <w:r w:rsidR="00385F39">
        <w:t>kt</w:t>
      </w:r>
      <w:r>
        <w:t>o</w:t>
      </w:r>
      <w:r w:rsidR="00385F39">
        <w:t>r</w:t>
      </w:r>
      <w:r>
        <w:t xml:space="preserve">ých krajín môže byť dokonca nevyhnutým predpokladom, aby exportér mohol byť úspešný v danom teritóriu odberateľa. </w:t>
      </w:r>
    </w:p>
    <w:p w:rsidR="0042464E" w:rsidRDefault="0042464E">
      <w:r>
        <w:rPr>
          <w:b/>
          <w:bCs/>
        </w:rPr>
        <w:t xml:space="preserve">Funkcia dodacia – </w:t>
      </w:r>
      <w:r>
        <w:t xml:space="preserve">importér pri otvorení L/C určí také podmienky, ktoré vylučujú nevhodné správanie exportéra, týkajúce sa predmetu dodávky tovaru, napr. importér nemusí mať záujem o čiastkové dodávky tovaru, ale iba o určité väčšie množstvo daných výrobkov alebo surovín. </w:t>
      </w:r>
    </w:p>
    <w:p w:rsidR="0042464E" w:rsidRDefault="0042464E">
      <w:r>
        <w:t xml:space="preserve">V knihe </w:t>
      </w:r>
      <w:r>
        <w:rPr>
          <w:i/>
          <w:iCs/>
        </w:rPr>
        <w:t>,,Medzi</w:t>
      </w:r>
      <w:r w:rsidR="00385F39">
        <w:rPr>
          <w:i/>
          <w:iCs/>
        </w:rPr>
        <w:t>národný platobný styk v podmieka</w:t>
      </w:r>
      <w:r>
        <w:rPr>
          <w:i/>
          <w:iCs/>
        </w:rPr>
        <w:t>ch EÚ“</w:t>
      </w:r>
      <w:r>
        <w:t xml:space="preserve">  Pavelka</w:t>
      </w:r>
      <w:r>
        <w:rPr>
          <w:rStyle w:val="Znakapoznpodarou"/>
        </w:rPr>
        <w:footnoteReference w:id="36"/>
      </w:r>
      <w:r>
        <w:t xml:space="preserve"> publikuje </w:t>
      </w:r>
      <w:r>
        <w:br/>
        <w:t xml:space="preserve">a prezentuje 4 hlavné znaky dokumentárnych akreditívov: </w:t>
      </w:r>
    </w:p>
    <w:p w:rsidR="0042464E" w:rsidRDefault="0042464E">
      <w:r>
        <w:rPr>
          <w:b/>
          <w:bCs/>
        </w:rPr>
        <w:t>Nezávislosť –</w:t>
      </w:r>
      <w:r>
        <w:t xml:space="preserve"> (abstraktnosť) L/C od kúpnych, prepravných a poistných </w:t>
      </w:r>
      <w:r w:rsidR="00385F39">
        <w:t>zmlúv</w:t>
      </w:r>
      <w:r>
        <w:t>, ktoré obsahujú povinnosť importéra otvoriť v prospech exportéra L/C.</w:t>
      </w:r>
    </w:p>
    <w:p w:rsidR="0042464E" w:rsidRDefault="0042464E">
      <w:r>
        <w:rPr>
          <w:b/>
          <w:bCs/>
        </w:rPr>
        <w:t xml:space="preserve">Neodvolateľnosť – </w:t>
      </w:r>
      <w:r>
        <w:t xml:space="preserve">aj keď ich teória uvádza, v  praxi sa nevyskytujú odvolateľné L/C. Neodvolateľnosťou sa rozumie nemožnosť zrušiť záväzok vystavujúcej banky, </w:t>
      </w:r>
      <w:r w:rsidR="00385F39">
        <w:br/>
      </w:r>
      <w:r>
        <w:t xml:space="preserve">od okamihu avizovania alebo potvrdenia L/C. Neodvolateľnosť je v zásade nevyhnutným predpokladom, aby exportér mal záujem o obchod so zákazníkom. </w:t>
      </w:r>
    </w:p>
    <w:p w:rsidR="0042464E" w:rsidRDefault="0042464E">
      <w:r>
        <w:rPr>
          <w:b/>
          <w:bCs/>
        </w:rPr>
        <w:lastRenderedPageBreak/>
        <w:t xml:space="preserve">Formálna prísnosť pri kontrole dokumentov – </w:t>
      </w:r>
      <w:r>
        <w:t xml:space="preserve">banky sa zaoberajú výlučne dôkladnou kontrolou dokumentov, a nie zmluvami, či dokonca kontrolou tovaru. Kontrola dokumentov a úhrada akreditívnej sumy exportérovi sú jedinou povinnosťou bánk. </w:t>
      </w:r>
    </w:p>
    <w:p w:rsidR="0042464E" w:rsidRDefault="0042464E">
      <w:r>
        <w:rPr>
          <w:b/>
          <w:bCs/>
        </w:rPr>
        <w:t xml:space="preserve">Vylúčenie zodpovednosti - </w:t>
      </w:r>
      <w:r>
        <w:t xml:space="preserve"> banky nezodpovedajú za stratu, poškodenie dokumentov ani za chyby prepravcov, poisťovateľov, nenesú zodpovednosť za meškanie dodávok tovaru, omyly v správach telekomunikačných prostriedkov, prípadne z dôvodu vyššej moc (Vis Major).</w:t>
      </w:r>
      <w:r>
        <w:rPr>
          <w:rStyle w:val="Znakapoznpodarou"/>
        </w:rPr>
        <w:t xml:space="preserve"> </w:t>
      </w:r>
      <w:r>
        <w:rPr>
          <w:rStyle w:val="Znakapoznpodarou"/>
        </w:rPr>
        <w:footnoteReference w:id="37"/>
      </w:r>
      <w:r>
        <w:t xml:space="preserve">   </w:t>
      </w:r>
    </w:p>
    <w:p w:rsidR="0042464E" w:rsidRDefault="0042464E">
      <w:pPr>
        <w:pStyle w:val="Nadpis3"/>
      </w:pPr>
      <w:bookmarkStart w:id="14" w:name="_Toc321001066"/>
      <w:r>
        <w:t>Priebeh dokumentárneho akreditívu</w:t>
      </w:r>
      <w:bookmarkEnd w:id="14"/>
    </w:p>
    <w:p w:rsidR="0042464E" w:rsidRDefault="0042464E">
      <w:pPr>
        <w:rPr>
          <w:i/>
          <w:iCs/>
        </w:rPr>
      </w:pPr>
      <w:r>
        <w:t xml:space="preserve">Dokumentárny akreditív otvára importér vo svojej banke tým, že vyplní žiadosť </w:t>
      </w:r>
      <w:r w:rsidR="00385F39">
        <w:br/>
      </w:r>
      <w:r>
        <w:t xml:space="preserve">na predpísanom tlačive banky. </w:t>
      </w:r>
      <w:r>
        <w:rPr>
          <w:i/>
          <w:iCs/>
        </w:rPr>
        <w:t xml:space="preserve">Formulár banky – </w:t>
      </w:r>
      <w:r w:rsidRPr="000B6D96">
        <w:rPr>
          <w:i/>
          <w:iCs/>
        </w:rPr>
        <w:t>žiadosť</w:t>
      </w:r>
      <w:r w:rsidR="00385F39">
        <w:rPr>
          <w:i/>
          <w:iCs/>
        </w:rPr>
        <w:t xml:space="preserve"> </w:t>
      </w:r>
      <w:r w:rsidRPr="000B6D96">
        <w:rPr>
          <w:i/>
          <w:iCs/>
        </w:rPr>
        <w:t>(Príloha 1)</w:t>
      </w:r>
      <w:r>
        <w:rPr>
          <w:i/>
          <w:iCs/>
        </w:rPr>
        <w:t xml:space="preserve"> obsahuje nasledujúce údaje:</w:t>
      </w:r>
      <w:r>
        <w:rPr>
          <w:rStyle w:val="Znakapoznpodarou"/>
          <w:i/>
          <w:iCs/>
        </w:rPr>
        <w:t xml:space="preserve"> </w:t>
      </w:r>
    </w:p>
    <w:p w:rsidR="0042464E" w:rsidRDefault="0042464E">
      <w:pPr>
        <w:pStyle w:val="Odrka1stupn"/>
        <w:rPr>
          <w:i/>
          <w:iCs/>
        </w:rPr>
      </w:pPr>
      <w:r>
        <w:rPr>
          <w:i/>
          <w:iCs/>
        </w:rPr>
        <w:t>meno a adresu príkazcu (importéra);</w:t>
      </w:r>
    </w:p>
    <w:p w:rsidR="0042464E" w:rsidRDefault="0042464E">
      <w:pPr>
        <w:pStyle w:val="Odrka1stupn"/>
        <w:rPr>
          <w:i/>
          <w:iCs/>
        </w:rPr>
      </w:pPr>
      <w:r>
        <w:rPr>
          <w:i/>
          <w:iCs/>
        </w:rPr>
        <w:t>meno a adresu beneficienta a exportéra;</w:t>
      </w:r>
    </w:p>
    <w:p w:rsidR="0042464E" w:rsidRDefault="0042464E">
      <w:pPr>
        <w:pStyle w:val="Odrka1stupn"/>
        <w:rPr>
          <w:i/>
          <w:iCs/>
        </w:rPr>
      </w:pPr>
      <w:r>
        <w:rPr>
          <w:i/>
          <w:iCs/>
        </w:rPr>
        <w:t>názov banky predávajúceho vrátane adresy;</w:t>
      </w:r>
    </w:p>
    <w:p w:rsidR="0042464E" w:rsidRDefault="0042464E">
      <w:pPr>
        <w:pStyle w:val="Odrka1stupn"/>
        <w:rPr>
          <w:i/>
          <w:iCs/>
        </w:rPr>
      </w:pPr>
      <w:r>
        <w:rPr>
          <w:i/>
          <w:iCs/>
        </w:rPr>
        <w:t>číslo účtu, na ktorého ťarchu bude akreditív otvorený;</w:t>
      </w:r>
    </w:p>
    <w:p w:rsidR="0042464E" w:rsidRDefault="0042464E">
      <w:pPr>
        <w:pStyle w:val="Odrka1stupn"/>
        <w:rPr>
          <w:i/>
          <w:iCs/>
        </w:rPr>
      </w:pPr>
      <w:r>
        <w:rPr>
          <w:i/>
          <w:iCs/>
        </w:rPr>
        <w:t>čiastku a menu akreditívu;</w:t>
      </w:r>
    </w:p>
    <w:p w:rsidR="0042464E" w:rsidRDefault="0042464E">
      <w:pPr>
        <w:pStyle w:val="Odrka1stupn"/>
        <w:rPr>
          <w:i/>
          <w:iCs/>
        </w:rPr>
      </w:pPr>
      <w:r>
        <w:rPr>
          <w:i/>
          <w:iCs/>
        </w:rPr>
        <w:t>údaje, kde a dokedy bude zaplatené;</w:t>
      </w:r>
    </w:p>
    <w:p w:rsidR="0042464E" w:rsidRDefault="0042464E">
      <w:pPr>
        <w:pStyle w:val="Odrka1stupn"/>
        <w:rPr>
          <w:i/>
          <w:iCs/>
        </w:rPr>
      </w:pPr>
      <w:r>
        <w:rPr>
          <w:i/>
          <w:iCs/>
        </w:rPr>
        <w:t>uvedenie druhu akreditívu a banky, kde je použiteľný (na výplatu, na videnie, odložená splatnosť, negociácia alebo akceptácia zmenky);</w:t>
      </w:r>
    </w:p>
    <w:p w:rsidR="0042464E" w:rsidRDefault="0042464E">
      <w:pPr>
        <w:pStyle w:val="Odrka1stupn"/>
        <w:rPr>
          <w:i/>
          <w:iCs/>
        </w:rPr>
      </w:pPr>
      <w:r>
        <w:rPr>
          <w:i/>
          <w:iCs/>
        </w:rPr>
        <w:t>údaje o dodacej parite podľa INCOTERMS;</w:t>
      </w:r>
    </w:p>
    <w:p w:rsidR="0042464E" w:rsidRDefault="0042464E">
      <w:pPr>
        <w:pStyle w:val="Odrka1stupn"/>
        <w:rPr>
          <w:i/>
          <w:iCs/>
        </w:rPr>
      </w:pPr>
      <w:r>
        <w:rPr>
          <w:i/>
          <w:iCs/>
        </w:rPr>
        <w:t>poistná hodnota tovaru;</w:t>
      </w:r>
    </w:p>
    <w:p w:rsidR="0042464E" w:rsidRDefault="0042464E">
      <w:pPr>
        <w:pStyle w:val="Odrka1stupn"/>
        <w:rPr>
          <w:i/>
          <w:iCs/>
        </w:rPr>
      </w:pPr>
      <w:r>
        <w:rPr>
          <w:i/>
          <w:iCs/>
        </w:rPr>
        <w:t>najneskorší termín zaslania tovaru;</w:t>
      </w:r>
    </w:p>
    <w:p w:rsidR="0042464E" w:rsidRDefault="0042464E">
      <w:pPr>
        <w:pStyle w:val="Odrka1stupn"/>
        <w:rPr>
          <w:i/>
          <w:iCs/>
        </w:rPr>
      </w:pPr>
      <w:r>
        <w:rPr>
          <w:i/>
          <w:iCs/>
        </w:rPr>
        <w:t xml:space="preserve">opis tovaru, množstva a ceny, údaje o tom, či sa môžu </w:t>
      </w:r>
      <w:r w:rsidR="00385F39">
        <w:rPr>
          <w:i/>
          <w:iCs/>
        </w:rPr>
        <w:t>realizovať</w:t>
      </w:r>
      <w:r>
        <w:rPr>
          <w:i/>
          <w:iCs/>
        </w:rPr>
        <w:t xml:space="preserve"> aj čiastkové dodávky;</w:t>
      </w:r>
    </w:p>
    <w:p w:rsidR="0042464E" w:rsidRDefault="0042464E">
      <w:pPr>
        <w:pStyle w:val="Odrka1stupn"/>
        <w:rPr>
          <w:i/>
          <w:iCs/>
        </w:rPr>
      </w:pPr>
      <w:r>
        <w:rPr>
          <w:i/>
          <w:iCs/>
        </w:rPr>
        <w:t>údaje o prípadnej nutnosti potvrdiť akreditív alebo iba údaje o avizovaní;</w:t>
      </w:r>
    </w:p>
    <w:p w:rsidR="0042464E" w:rsidRDefault="0042464E">
      <w:pPr>
        <w:pStyle w:val="Odrka1stupn"/>
        <w:rPr>
          <w:i/>
          <w:iCs/>
        </w:rPr>
      </w:pPr>
      <w:r>
        <w:rPr>
          <w:i/>
          <w:iCs/>
        </w:rPr>
        <w:t xml:space="preserve">zvláštne pokyny, napr. zákaz tranzitu cez niektoré územia, zákaz využitia služieb lodných </w:t>
      </w:r>
      <w:r w:rsidR="00385F39">
        <w:rPr>
          <w:i/>
          <w:iCs/>
        </w:rPr>
        <w:t>spoločnosti</w:t>
      </w:r>
      <w:r>
        <w:rPr>
          <w:i/>
          <w:iCs/>
        </w:rPr>
        <w:t xml:space="preserve"> plávajúcich pod vlajkami určitých krajín;</w:t>
      </w:r>
    </w:p>
    <w:p w:rsidR="0042464E" w:rsidRDefault="0042464E">
      <w:pPr>
        <w:pStyle w:val="Odrka1stupn"/>
      </w:pPr>
      <w:r>
        <w:rPr>
          <w:i/>
          <w:iCs/>
        </w:rPr>
        <w:lastRenderedPageBreak/>
        <w:t>kto a aké výhody znáša v súvislosti s použitím dokumentárneho akreditívu</w:t>
      </w:r>
      <w:r w:rsidR="0015318C">
        <w:rPr>
          <w:i/>
          <w:iCs/>
        </w:rPr>
        <w:t>.</w:t>
      </w:r>
      <w:r>
        <w:rPr>
          <w:i/>
          <w:iCs/>
        </w:rPr>
        <w:t>“</w:t>
      </w:r>
      <w:r>
        <w:rPr>
          <w:rStyle w:val="Znakapoznpodarou"/>
          <w:i/>
          <w:iCs/>
        </w:rPr>
        <w:footnoteReference w:id="38"/>
      </w:r>
    </w:p>
    <w:p w:rsidR="0042464E" w:rsidRDefault="0042464E">
      <w:pPr>
        <w:pStyle w:val="Tabulka"/>
      </w:pPr>
      <w:r>
        <w:t>Obrázok 2 Priebeh dokumentárneho akreditívu</w:t>
      </w:r>
    </w:p>
    <w:p w:rsidR="0042464E" w:rsidRDefault="00F03713">
      <w:pPr>
        <w:pStyle w:val="Tabulka-text"/>
      </w:pPr>
      <w:r>
        <w:rPr>
          <w:noProof/>
          <w:lang w:eastAsia="sk-SK"/>
        </w:rPr>
        <w:drawing>
          <wp:inline distT="0" distB="0" distL="0" distR="0">
            <wp:extent cx="4572000" cy="242887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572000" cy="2428875"/>
                    </a:xfrm>
                    <a:prstGeom prst="rect">
                      <a:avLst/>
                    </a:prstGeom>
                    <a:noFill/>
                    <a:ln w="9525">
                      <a:noFill/>
                      <a:miter lim="800000"/>
                      <a:headEnd/>
                      <a:tailEnd/>
                    </a:ln>
                  </pic:spPr>
                </pic:pic>
              </a:graphicData>
            </a:graphic>
          </wp:inline>
        </w:drawing>
      </w:r>
    </w:p>
    <w:p w:rsidR="0042464E" w:rsidRDefault="0042464E">
      <w:pPr>
        <w:pStyle w:val="Tabulka-pramen"/>
        <w:jc w:val="both"/>
      </w:pPr>
      <w:r>
        <w:t xml:space="preserve">Zdroj: PAVELKA, Ľ.: (2008). </w:t>
      </w:r>
      <w:r>
        <w:rPr>
          <w:i/>
          <w:iCs/>
        </w:rPr>
        <w:t>Medzinárodný platobný styk v podmienkach EÚ.</w:t>
      </w:r>
      <w:r>
        <w:t xml:space="preserve"> Bratislava: EKONÓM, str.154. Vlastné spracovanie.</w:t>
      </w:r>
    </w:p>
    <w:p w:rsidR="0042464E" w:rsidRDefault="0042464E">
      <w:pPr>
        <w:rPr>
          <w:b/>
          <w:bCs/>
        </w:rPr>
      </w:pPr>
      <w:r>
        <w:rPr>
          <w:b/>
          <w:bCs/>
        </w:rPr>
        <w:t xml:space="preserve">Legenda: </w:t>
      </w:r>
    </w:p>
    <w:p w:rsidR="0042464E" w:rsidRDefault="0042464E" w:rsidP="0023218F">
      <w:pPr>
        <w:numPr>
          <w:ilvl w:val="0"/>
          <w:numId w:val="5"/>
        </w:numPr>
      </w:pPr>
      <w:r>
        <w:t>Podpis kontraktu s platobnou podmienkou obsahujúcou platbu prostredníctvom L/C. Kontrakt v tejto časti obsahuje druh akreditívu, druhy a množstvo exemplárov akreditívnych dokumentov, prípadne aj iné akreditívne podmienky.</w:t>
      </w:r>
    </w:p>
    <w:p w:rsidR="0042464E" w:rsidRDefault="0042464E" w:rsidP="0023218F">
      <w:pPr>
        <w:numPr>
          <w:ilvl w:val="0"/>
          <w:numId w:val="5"/>
        </w:numPr>
      </w:pPr>
      <w:r>
        <w:t>Žiadosť (príkaz) odberateľa svojej banke na otvorenie L/C s uvedením spôsobu zabezpečenia, ktoré poskytne vystavujúcej banke (vinkulácia peňažný prostriedkov, záložné právo na majetok alebo pohľadávky). V prípade osvedčených klientov môže byť akreditív otvorený aj v rámci limitu úverovej angažovanosti importéra v materskej banke (úverová linka).</w:t>
      </w:r>
    </w:p>
    <w:p w:rsidR="0042464E" w:rsidRDefault="00385F39" w:rsidP="0023218F">
      <w:pPr>
        <w:numPr>
          <w:ilvl w:val="0"/>
          <w:numId w:val="5"/>
        </w:numPr>
      </w:pPr>
      <w:r>
        <w:t>Avizovanie</w:t>
      </w:r>
      <w:r w:rsidR="0042464E">
        <w:t xml:space="preserve"> otvoreného akreditívu vystavujúcou bankou banke exportéra.</w:t>
      </w:r>
    </w:p>
    <w:p w:rsidR="0042464E" w:rsidRDefault="0042464E" w:rsidP="0023218F">
      <w:pPr>
        <w:numPr>
          <w:ilvl w:val="0"/>
          <w:numId w:val="5"/>
        </w:numPr>
      </w:pPr>
      <w:r>
        <w:t>Overenie pravosti L/C bankou exportéra  a písomné oznámenie otvorenia akreditívu exportérovi.</w:t>
      </w:r>
    </w:p>
    <w:p w:rsidR="0042464E" w:rsidRDefault="0042464E" w:rsidP="0023218F">
      <w:pPr>
        <w:numPr>
          <w:ilvl w:val="0"/>
          <w:numId w:val="5"/>
        </w:numPr>
      </w:pPr>
      <w:r>
        <w:lastRenderedPageBreak/>
        <w:t xml:space="preserve">Realizácia kontraktu, export tovaru, získanie </w:t>
      </w:r>
      <w:r w:rsidR="00385F39">
        <w:t>akreditívnych</w:t>
      </w:r>
      <w:r>
        <w:t xml:space="preserve"> dokumentov.</w:t>
      </w:r>
    </w:p>
    <w:p w:rsidR="0042464E" w:rsidRDefault="0042464E" w:rsidP="0023218F">
      <w:pPr>
        <w:numPr>
          <w:ilvl w:val="0"/>
          <w:numId w:val="5"/>
        </w:numPr>
      </w:pPr>
      <w:r>
        <w:t>Predloženie akreditívnych dokumentov banke exportéra.</w:t>
      </w:r>
    </w:p>
    <w:p w:rsidR="0042464E" w:rsidRDefault="0042464E" w:rsidP="00385F39">
      <w:pPr>
        <w:numPr>
          <w:ilvl w:val="0"/>
          <w:numId w:val="5"/>
        </w:numPr>
      </w:pPr>
      <w:r>
        <w:t xml:space="preserve">Kontrola akreditívnych dokumentov bankou exportéra. Predložením bezchybných dokumentov vzniká exportérovi  nárok na prijatie akreditívnej sumy. Pokiaľ je avizujúca banka zároveň poverenou bankou, môže exportér bez ďalšieho čakania disponovať finančnými prostriedkami. </w:t>
      </w:r>
    </w:p>
    <w:p w:rsidR="0042464E" w:rsidRDefault="0042464E" w:rsidP="0023218F">
      <w:pPr>
        <w:numPr>
          <w:ilvl w:val="0"/>
          <w:numId w:val="5"/>
        </w:numPr>
      </w:pPr>
      <w:r>
        <w:t>Pokiaľ avizujúca banka nemala funkciu ani poverenej banky, ani potvrdzujúcej banky, zašle dokumenty vystavujúcej banke na kontrolu.</w:t>
      </w:r>
    </w:p>
    <w:p w:rsidR="0042464E" w:rsidRPr="00691BEA" w:rsidRDefault="0042464E" w:rsidP="0023218F">
      <w:pPr>
        <w:numPr>
          <w:ilvl w:val="0"/>
          <w:numId w:val="5"/>
        </w:numPr>
      </w:pPr>
      <w:r>
        <w:t>Vystavujúca banka vykoná kontrolu splnenia akreditívnych podmienok exportérom. Pokiaľ dokumenty uvedené pri otvorení akreditívu sú bezchybné, vyplatí exportéra prostredníctvom avizujúcej banky.</w:t>
      </w:r>
    </w:p>
    <w:p w:rsidR="0042464E" w:rsidRDefault="0042464E">
      <w:r w:rsidRPr="00691BEA">
        <w:t>Vystavujúca</w:t>
      </w:r>
      <w:r>
        <w:t>,</w:t>
      </w:r>
      <w:r w:rsidRPr="00691BEA">
        <w:t xml:space="preserve"> menovaná alebo potvrdzujúca</w:t>
      </w:r>
      <w:r>
        <w:t xml:space="preserve"> banka majú tzv. rozumnú lehotu v rozsahu maximálne 7 bankových dní na rozhodnutie, či predložené dokumenty prijmú, alebo odmietnu. </w:t>
      </w:r>
    </w:p>
    <w:p w:rsidR="0042464E" w:rsidRDefault="0042464E">
      <w:pPr>
        <w:pStyle w:val="Nadpis3"/>
      </w:pPr>
      <w:bookmarkStart w:id="15" w:name="_Toc321001067"/>
      <w:r>
        <w:t>Druhy dokumentárneho akreditívu</w:t>
      </w:r>
      <w:bookmarkEnd w:id="15"/>
    </w:p>
    <w:p w:rsidR="0042464E" w:rsidRDefault="0042464E">
      <w:r>
        <w:t xml:space="preserve">Akreditívy je možné deliť z pohľadu </w:t>
      </w:r>
      <w:r w:rsidR="00385F39">
        <w:t>rôznych</w:t>
      </w:r>
      <w:r>
        <w:t xml:space="preserve"> kritérií. Rozehnálová</w:t>
      </w:r>
      <w:r>
        <w:rPr>
          <w:rStyle w:val="Znakapoznpodarou"/>
        </w:rPr>
        <w:footnoteReference w:id="39"/>
      </w:r>
      <w:r>
        <w:t xml:space="preserve"> uvádza </w:t>
      </w:r>
      <w:r w:rsidR="00385F39">
        <w:br/>
      </w:r>
      <w:r>
        <w:t>6 základných a najviac používaných akreditívov:</w:t>
      </w:r>
      <w:r>
        <w:rPr>
          <w:rStyle w:val="Znakapoznpodarou"/>
        </w:rPr>
        <w:t xml:space="preserve"> </w:t>
      </w:r>
    </w:p>
    <w:p w:rsidR="0042464E" w:rsidRDefault="0042464E">
      <w:r>
        <w:rPr>
          <w:b/>
          <w:bCs/>
        </w:rPr>
        <w:t xml:space="preserve">Neodvolateľný akreditív – </w:t>
      </w:r>
      <w:r>
        <w:t xml:space="preserve">tento typ akreditívu môže byť zrušený alebo zmenený len v prípade súhlasu všetkých </w:t>
      </w:r>
      <w:r w:rsidR="00657A77">
        <w:t>zainteresovaných</w:t>
      </w:r>
      <w:r>
        <w:t xml:space="preserve"> strán. Podľa poslednej verzie pravidiel platí, že pokiaľ nie je výslov</w:t>
      </w:r>
      <w:r w:rsidR="00657A77">
        <w:t>ne uvedené v akreditíve, že je od</w:t>
      </w:r>
      <w:r>
        <w:t xml:space="preserve">volateľný, </w:t>
      </w:r>
      <w:r w:rsidR="00385F39">
        <w:br/>
      </w:r>
      <w:r>
        <w:t>tak je neodvolateľný.</w:t>
      </w:r>
    </w:p>
    <w:p w:rsidR="0042464E" w:rsidRDefault="0042464E">
      <w:r>
        <w:rPr>
          <w:b/>
          <w:bCs/>
        </w:rPr>
        <w:t xml:space="preserve">Odvolateľný akreditív – </w:t>
      </w:r>
      <w:r>
        <w:t xml:space="preserve">tento typ sa využíva minimálne, lebo neposkytuje dostatočné záruky o tom, že nebude v priebehu plnenia </w:t>
      </w:r>
      <w:r w:rsidR="00385F39">
        <w:t>predávajúceho</w:t>
      </w:r>
      <w:r>
        <w:t xml:space="preserve"> kupujúcim odvolaný.</w:t>
      </w:r>
    </w:p>
    <w:p w:rsidR="0042464E" w:rsidRDefault="0042464E">
      <w:r>
        <w:rPr>
          <w:b/>
          <w:bCs/>
        </w:rPr>
        <w:lastRenderedPageBreak/>
        <w:t xml:space="preserve">Potvrdený akreditív - </w:t>
      </w:r>
      <w:r>
        <w:t xml:space="preserve"> podstatou </w:t>
      </w:r>
      <w:r w:rsidR="00385F39">
        <w:t>tohto</w:t>
      </w:r>
      <w:r>
        <w:t xml:space="preserve"> akreditívu je, že banka (potvrdzujúca, korešpondenčná) pripojí svoj neodvolateľný záväzok k </w:t>
      </w:r>
      <w:r w:rsidR="00385F39">
        <w:t>záväzku</w:t>
      </w:r>
      <w:r>
        <w:t xml:space="preserve">, ktorý dala vystavujúca banka. Táto banka sa potom neodvolateľne </w:t>
      </w:r>
      <w:r w:rsidR="00385F39">
        <w:t>zaväzuje</w:t>
      </w:r>
      <w:r>
        <w:t xml:space="preserve">, že zaplatí predajcovi oproti predloženiu príslušných dokumentov. </w:t>
      </w:r>
    </w:p>
    <w:p w:rsidR="0042464E" w:rsidRDefault="0042464E">
      <w:r>
        <w:rPr>
          <w:b/>
          <w:bCs/>
        </w:rPr>
        <w:t xml:space="preserve">Akreditív na videnie - </w:t>
      </w:r>
      <w:r>
        <w:t xml:space="preserve"> tento akreditív musí byť zaplatený okamžite (na videnie) </w:t>
      </w:r>
      <w:r w:rsidR="00385F39">
        <w:br/>
      </w:r>
      <w:r>
        <w:t xml:space="preserve">na rozdiel od ostatných akreditívov, ktoré sú zaplatené v určený čas po predložení dokumentov. </w:t>
      </w:r>
    </w:p>
    <w:p w:rsidR="0042464E" w:rsidRDefault="0042464E">
      <w:r>
        <w:rPr>
          <w:b/>
          <w:bCs/>
        </w:rPr>
        <w:t>Akreditív s červenou doložkou –</w:t>
      </w:r>
      <w:r>
        <w:t xml:space="preserve"> v tomto prípade je možná čiastočná platba predom </w:t>
      </w:r>
      <w:r w:rsidR="00385F39">
        <w:br/>
      </w:r>
      <w:r>
        <w:t xml:space="preserve">na žiadosť predajcu pred odoslaním tovaru. Výplata je realizovaná oproti predloženiu určitých predbežných dokumentov. </w:t>
      </w:r>
    </w:p>
    <w:p w:rsidR="0042464E" w:rsidRDefault="0042464E">
      <w:r>
        <w:rPr>
          <w:b/>
          <w:bCs/>
        </w:rPr>
        <w:t xml:space="preserve">Akreditív so zelenou doložkou - </w:t>
      </w:r>
      <w:r>
        <w:t xml:space="preserve"> vyžaduje, aby bol tovar skladovaný na meno vystavujúcej banky do doby, kým bude tovar zaplatený a touto bankou postúpený. </w:t>
      </w:r>
    </w:p>
    <w:p w:rsidR="0042464E" w:rsidRDefault="0042464E">
      <w:pPr>
        <w:pStyle w:val="Nadpis3"/>
      </w:pPr>
      <w:bookmarkStart w:id="16" w:name="_Toc321001068"/>
      <w:r>
        <w:t>Eliminácia platobného rizika z dokumentárneho akreditívu</w:t>
      </w:r>
      <w:bookmarkEnd w:id="16"/>
    </w:p>
    <w:p w:rsidR="0042464E" w:rsidRDefault="0042464E">
      <w:r>
        <w:t>Pavelka,</w:t>
      </w:r>
      <w:r>
        <w:rPr>
          <w:rStyle w:val="Znakapoznpodarou"/>
        </w:rPr>
        <w:footnoteReference w:id="40"/>
      </w:r>
      <w:r>
        <w:t xml:space="preserve"> podobne aj ďalší menovaní autori, vo svojej knihe </w:t>
      </w:r>
      <w:r>
        <w:rPr>
          <w:i/>
          <w:iCs/>
        </w:rPr>
        <w:t>,,Medzinárodný plato</w:t>
      </w:r>
      <w:r w:rsidR="00385F39">
        <w:rPr>
          <w:i/>
          <w:iCs/>
        </w:rPr>
        <w:t>bný styk v podmienka</w:t>
      </w:r>
      <w:r>
        <w:rPr>
          <w:i/>
          <w:iCs/>
        </w:rPr>
        <w:t>ch EÚ“</w:t>
      </w:r>
      <w:r>
        <w:t xml:space="preserve"> dochádza k záveru, že aj napriek tomu, že  L/C je ako osvedčený, tradičný, platobný a zabezpečovací nástroj používaný v medzinárodnom obchode medzi obchodnými  partnermi, treba dbať na elimináciu platobného rizika pri používaní L/C. Pri nepotvrdených akreditívoch je akreditív zaviazaná zaplatiť výlučne otvárajúca banka. Dokonca ani v prípadoch, keď sa exportér s importérom dohodnú, aby platobným miestom bola banka exportéra, nemá exportér istotu prijatia platby. </w:t>
      </w:r>
      <w:r w:rsidR="00385F39">
        <w:br/>
      </w:r>
      <w:r>
        <w:t xml:space="preserve">Ak avizujúca banka nezíska po splnení akreditívnych podmienok exportérom </w:t>
      </w:r>
      <w:r w:rsidR="00385F39">
        <w:br/>
      </w:r>
      <w:r>
        <w:t xml:space="preserve">a predložení všetkých požadovaných dokumentov finančné krytie od otvárajúcej banky, bude mať exportér problém. Za zrealizovaný vývoz nedostane zaplatené a v prípade, </w:t>
      </w:r>
      <w:r w:rsidR="00385F39">
        <w:br/>
      </w:r>
      <w:r>
        <w:t xml:space="preserve">že exportnú </w:t>
      </w:r>
      <w:r w:rsidR="00385F39">
        <w:t>pohľadávku</w:t>
      </w:r>
      <w:r>
        <w:t xml:space="preserve"> nemal poistenú v Eximbanke alebo v komerčnej poisťovni, môže utrpieť značnú finančnú stratu. Najlepšou elimináciou rizík z akreditívov splatných na videnie, ako aj akreditívov s odloženou splatnosťou otvorených v bankách </w:t>
      </w:r>
      <w:r>
        <w:lastRenderedPageBreak/>
        <w:t xml:space="preserve">s nízkym ratingom pri súčasnom politickom riziku krajiny importéra je z týchto dôvodov požiadavka exportéra na </w:t>
      </w:r>
      <w:r>
        <w:rPr>
          <w:b/>
          <w:bCs/>
        </w:rPr>
        <w:t>potvrdený akreditív.</w:t>
      </w:r>
      <w:r>
        <w:t xml:space="preserve"> </w:t>
      </w:r>
    </w:p>
    <w:p w:rsidR="0042464E" w:rsidRDefault="0042464E">
      <w:pPr>
        <w:pStyle w:val="Nadpis2"/>
      </w:pPr>
      <w:bookmarkStart w:id="17" w:name="_Toc321001069"/>
      <w:r>
        <w:t>Dokumentárne inkaso</w:t>
      </w:r>
      <w:bookmarkEnd w:id="17"/>
      <w:r>
        <w:t xml:space="preserve"> </w:t>
      </w:r>
    </w:p>
    <w:p w:rsidR="0042464E" w:rsidRDefault="0042464E">
      <w:r>
        <w:t xml:space="preserve">Dokumentárne inkaso patrí spolu s dokumentárnym akreditívom medzi tie platobné nástroje, ktoré nesú spoločný názov dokumentárne platby. Tieto platobné nástroje popri platobnej funkcii zabezpečujú aj to, aby sa predávajúci dostal k peniazom minimálne vtedy, keď budú dohodnuté podmienky. </w:t>
      </w:r>
    </w:p>
    <w:p w:rsidR="0042464E" w:rsidRDefault="0042464E">
      <w:pPr>
        <w:pStyle w:val="Nadpis3"/>
      </w:pPr>
      <w:bookmarkStart w:id="18" w:name="_Toc321001070"/>
      <w:r>
        <w:t>Charakteristika dokumentárneho inkasa</w:t>
      </w:r>
      <w:bookmarkEnd w:id="18"/>
    </w:p>
    <w:p w:rsidR="0042464E" w:rsidRDefault="0042464E">
      <w:r>
        <w:t xml:space="preserve">Vymedzenie dokumentárneho inkasa v slovenskom práve legislatívne upravuje Obchodný zákonník Slovenskej republiky v  § 692 – § 699. No v praxi sa široko ujali </w:t>
      </w:r>
      <w:r>
        <w:rPr>
          <w:b/>
          <w:bCs/>
        </w:rPr>
        <w:t>Jednotné pravidlá pre dokumentárne inkasá ICC</w:t>
      </w:r>
      <w:r>
        <w:rPr>
          <w:rStyle w:val="Znakapoznpodarou"/>
        </w:rPr>
        <w:footnoteReference w:id="41"/>
      </w:r>
      <w:r>
        <w:rPr>
          <w:b/>
          <w:bCs/>
        </w:rPr>
        <w:t xml:space="preserve"> č. 522</w:t>
      </w:r>
      <w:r>
        <w:t xml:space="preserve">, vydané Medzinárodnou obchodnou komorou (MOK) v Paríži v roku 1929 a naposledy revidované v roku 1996. Ich význam je </w:t>
      </w:r>
      <w:r w:rsidR="00385F39">
        <w:t>mimoriadny</w:t>
      </w:r>
      <w:r>
        <w:t xml:space="preserve">, pretože sú aplikované bankami vo viac ako 170 krajín sveta.  ICC č. 522 definujú obsah inkasnej inštrukcie takto: </w:t>
      </w:r>
      <w:r>
        <w:rPr>
          <w:rStyle w:val="Znakapoznpodarou"/>
        </w:rPr>
        <w:footnoteReference w:id="42"/>
      </w:r>
    </w:p>
    <w:p w:rsidR="0042464E" w:rsidRDefault="0042464E">
      <w:pPr>
        <w:pStyle w:val="Odrka1stupn"/>
        <w:rPr>
          <w:i/>
          <w:iCs/>
        </w:rPr>
      </w:pPr>
      <w:r>
        <w:rPr>
          <w:i/>
          <w:iCs/>
        </w:rPr>
        <w:t>,,Podrobnosti o banke exportéra (meno, swiftová adresa,</w:t>
      </w:r>
      <w:r>
        <w:rPr>
          <w:rStyle w:val="Znakapoznpodarou"/>
          <w:i/>
          <w:iCs/>
        </w:rPr>
        <w:t xml:space="preserve"> </w:t>
      </w:r>
      <w:r>
        <w:rPr>
          <w:rStyle w:val="Znakapoznpodarou"/>
          <w:i/>
          <w:iCs/>
        </w:rPr>
        <w:footnoteReference w:id="43"/>
      </w:r>
      <w:r>
        <w:rPr>
          <w:i/>
          <w:iCs/>
        </w:rPr>
        <w:t xml:space="preserve"> referencia);</w:t>
      </w:r>
    </w:p>
    <w:p w:rsidR="0042464E" w:rsidRDefault="0042464E">
      <w:pPr>
        <w:pStyle w:val="Odrka1stupn"/>
        <w:rPr>
          <w:i/>
          <w:iCs/>
        </w:rPr>
      </w:pPr>
      <w:r>
        <w:rPr>
          <w:i/>
          <w:iCs/>
        </w:rPr>
        <w:t>podrobnosti o beneficientovi</w:t>
      </w:r>
      <w:r>
        <w:rPr>
          <w:rStyle w:val="Znakapoznpodarou"/>
          <w:i/>
          <w:iCs/>
        </w:rPr>
        <w:footnoteReference w:id="44"/>
      </w:r>
      <w:r>
        <w:rPr>
          <w:i/>
          <w:iCs/>
        </w:rPr>
        <w:t xml:space="preserve"> (meno, poštová adresa, referencia);</w:t>
      </w:r>
    </w:p>
    <w:p w:rsidR="0042464E" w:rsidRDefault="0042464E">
      <w:pPr>
        <w:pStyle w:val="Odrka1stupn"/>
        <w:rPr>
          <w:i/>
          <w:iCs/>
        </w:rPr>
      </w:pPr>
      <w:r>
        <w:rPr>
          <w:i/>
          <w:iCs/>
        </w:rPr>
        <w:t>podrobnosti o príkazcovi;</w:t>
      </w:r>
    </w:p>
    <w:p w:rsidR="0042464E" w:rsidRDefault="0042464E">
      <w:pPr>
        <w:pStyle w:val="Odrka1stupn"/>
        <w:rPr>
          <w:i/>
          <w:iCs/>
        </w:rPr>
      </w:pPr>
      <w:r>
        <w:rPr>
          <w:i/>
          <w:iCs/>
        </w:rPr>
        <w:t>podrobnosti o predkladajúcej banke;</w:t>
      </w:r>
    </w:p>
    <w:p w:rsidR="0042464E" w:rsidRDefault="0042464E">
      <w:pPr>
        <w:pStyle w:val="Odrka1stupn"/>
        <w:rPr>
          <w:i/>
          <w:iCs/>
        </w:rPr>
      </w:pPr>
      <w:r>
        <w:rPr>
          <w:i/>
          <w:iCs/>
        </w:rPr>
        <w:t>suma  a mena inkasa;</w:t>
      </w:r>
    </w:p>
    <w:p w:rsidR="0042464E" w:rsidRDefault="0042464E">
      <w:pPr>
        <w:pStyle w:val="Odrka1stupn"/>
        <w:rPr>
          <w:i/>
          <w:iCs/>
        </w:rPr>
      </w:pPr>
      <w:r>
        <w:rPr>
          <w:i/>
          <w:iCs/>
        </w:rPr>
        <w:t>zoznam a počet dokumentov, ktoré sú súčasťou inštrukcie;</w:t>
      </w:r>
    </w:p>
    <w:p w:rsidR="0042464E" w:rsidRDefault="0042464E">
      <w:pPr>
        <w:pStyle w:val="Odrka1stupn"/>
        <w:rPr>
          <w:i/>
          <w:iCs/>
        </w:rPr>
      </w:pPr>
      <w:r>
        <w:rPr>
          <w:i/>
          <w:iCs/>
        </w:rPr>
        <w:t>podmienky vydania dokumentov;</w:t>
      </w:r>
    </w:p>
    <w:p w:rsidR="0042464E" w:rsidRDefault="0042464E">
      <w:pPr>
        <w:pStyle w:val="Odrka1stupn"/>
        <w:rPr>
          <w:i/>
          <w:iCs/>
        </w:rPr>
      </w:pPr>
      <w:r>
        <w:rPr>
          <w:i/>
          <w:iCs/>
        </w:rPr>
        <w:t>podmienky získania platby;</w:t>
      </w:r>
    </w:p>
    <w:p w:rsidR="0042464E" w:rsidRDefault="0042464E">
      <w:pPr>
        <w:pStyle w:val="Odrka1stupn"/>
        <w:rPr>
          <w:i/>
          <w:iCs/>
        </w:rPr>
      </w:pPr>
      <w:r>
        <w:rPr>
          <w:i/>
          <w:iCs/>
        </w:rPr>
        <w:t>úroky, ktoré sa majú inkasovať;</w:t>
      </w:r>
    </w:p>
    <w:p w:rsidR="0042464E" w:rsidRDefault="0042464E">
      <w:pPr>
        <w:pStyle w:val="Odrka1stupn"/>
        <w:rPr>
          <w:i/>
          <w:iCs/>
        </w:rPr>
      </w:pPr>
      <w:r>
        <w:rPr>
          <w:i/>
          <w:iCs/>
        </w:rPr>
        <w:lastRenderedPageBreak/>
        <w:t>spôsob platby a forma jej avizovania;</w:t>
      </w:r>
    </w:p>
    <w:p w:rsidR="0042464E" w:rsidRDefault="0042464E">
      <w:pPr>
        <w:pStyle w:val="Odrka1stupn"/>
      </w:pPr>
      <w:r>
        <w:rPr>
          <w:i/>
          <w:iCs/>
        </w:rPr>
        <w:t>inštrukcie pre prípad neúspešného inkasa“</w:t>
      </w:r>
      <w:r>
        <w:t xml:space="preserve">. </w:t>
      </w:r>
      <w:r>
        <w:rPr>
          <w:rStyle w:val="Znakapoznpodarou"/>
        </w:rPr>
        <w:footnoteReference w:id="45"/>
      </w:r>
    </w:p>
    <w:p w:rsidR="0042464E" w:rsidRDefault="0042464E" w:rsidP="0015318C">
      <w:pPr>
        <w:pStyle w:val="Nadpis3"/>
        <w:spacing w:before="240"/>
      </w:pPr>
      <w:bookmarkStart w:id="19" w:name="_Toc321001071"/>
      <w:r>
        <w:t>Priebeh dokumentárneho inkasa</w:t>
      </w:r>
      <w:bookmarkEnd w:id="19"/>
    </w:p>
    <w:p w:rsidR="0042464E" w:rsidRDefault="0042464E">
      <w:r>
        <w:t>Podľa Rozehnalovej,</w:t>
      </w:r>
      <w:r>
        <w:rPr>
          <w:rStyle w:val="Znakapoznpodarou"/>
        </w:rPr>
        <w:t xml:space="preserve"> </w:t>
      </w:r>
      <w:r>
        <w:rPr>
          <w:rStyle w:val="Znakapoznpodarou"/>
        </w:rPr>
        <w:footnoteReference w:id="46"/>
      </w:r>
      <w:r>
        <w:t xml:space="preserve"> podstata dokumentárneho inkasa spočíva v tom, že vývozca zasiela tovar špeditérovi k dispozícii zahraničnej banky. Vysielajúcou bankou </w:t>
      </w:r>
      <w:r>
        <w:br/>
        <w:t xml:space="preserve">sú predávané dokumenty (napr. faktúra, prepravný doklad, poistka, osvedčenie </w:t>
      </w:r>
      <w:r>
        <w:br/>
        <w:t xml:space="preserve">o pôvode tovaru) spoločne s inkasným príkazom. Táto banka zašle dokumenty </w:t>
      </w:r>
      <w:r>
        <w:br/>
        <w:t xml:space="preserve">i inštrukciami zahraničnej inkasnej banke. Táto následne informuje kupujúceho </w:t>
      </w:r>
      <w:r>
        <w:br/>
        <w:t xml:space="preserve">o </w:t>
      </w:r>
      <w:r w:rsidR="00385F39">
        <w:t>podmienkach</w:t>
      </w:r>
      <w:r>
        <w:t xml:space="preserve"> vydania. Po zaplatení či akceptácii zmenky obdrží kupujúci dokumenty. Inkasná banka poukáže príslušnú čiastku vysielajúcej banke, ktorá ju pripíše na účet vývozcu. Tovar je následne vydaný kupujúcemu proti predloženiu dokumentov. </w:t>
      </w:r>
    </w:p>
    <w:p w:rsidR="0042464E" w:rsidRDefault="0042464E">
      <w:pPr>
        <w:pStyle w:val="Tabulka"/>
      </w:pPr>
      <w:r>
        <w:t>Obrázok 3 Priebeh dokumentárneho inkasa</w:t>
      </w:r>
    </w:p>
    <w:p w:rsidR="0042464E" w:rsidRDefault="00F03713" w:rsidP="00385F39">
      <w:pPr>
        <w:pStyle w:val="Tabulka-pramen"/>
        <w:jc w:val="both"/>
      </w:pPr>
      <w:r>
        <w:rPr>
          <w:noProof/>
          <w:lang w:eastAsia="sk-SK"/>
        </w:rPr>
        <w:drawing>
          <wp:inline distT="0" distB="0" distL="0" distR="0">
            <wp:extent cx="5334000" cy="2628900"/>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334000" cy="2628900"/>
                    </a:xfrm>
                    <a:prstGeom prst="rect">
                      <a:avLst/>
                    </a:prstGeom>
                    <a:noFill/>
                    <a:ln w="9525">
                      <a:noFill/>
                      <a:miter lim="800000"/>
                      <a:headEnd/>
                      <a:tailEnd/>
                    </a:ln>
                  </pic:spPr>
                </pic:pic>
              </a:graphicData>
            </a:graphic>
          </wp:inline>
        </w:drawing>
      </w:r>
      <w:r w:rsidR="0042464E">
        <w:t xml:space="preserve"> </w:t>
      </w:r>
      <w:bookmarkStart w:id="20" w:name="OLE_LINK2"/>
      <w:r w:rsidR="0042464E">
        <w:t xml:space="preserve">Zdroj: PAVELKA, Ľ.: (2008). </w:t>
      </w:r>
      <w:r w:rsidR="0042464E">
        <w:rPr>
          <w:i/>
          <w:iCs/>
        </w:rPr>
        <w:t xml:space="preserve">Medinárodný platobný styk v podmienkach EÚ. </w:t>
      </w:r>
      <w:r w:rsidR="0042464E">
        <w:t>Bratislava: EKONÓM, str. 161. Vlastné spracovanie.</w:t>
      </w:r>
    </w:p>
    <w:bookmarkEnd w:id="20"/>
    <w:p w:rsidR="0042464E" w:rsidRDefault="0042464E">
      <w:pPr>
        <w:rPr>
          <w:b/>
          <w:bCs/>
        </w:rPr>
      </w:pPr>
      <w:r>
        <w:rPr>
          <w:b/>
          <w:bCs/>
        </w:rPr>
        <w:t>Legenda:</w:t>
      </w:r>
    </w:p>
    <w:p w:rsidR="0042464E" w:rsidRDefault="0042464E" w:rsidP="0023218F">
      <w:pPr>
        <w:numPr>
          <w:ilvl w:val="3"/>
          <w:numId w:val="5"/>
        </w:numPr>
        <w:tabs>
          <w:tab w:val="clear" w:pos="2880"/>
        </w:tabs>
        <w:spacing w:line="240" w:lineRule="auto"/>
        <w:ind w:left="714" w:hanging="357"/>
      </w:pPr>
      <w:r>
        <w:t xml:space="preserve">Medzinárodný </w:t>
      </w:r>
      <w:r w:rsidR="00385F39">
        <w:t>kontrakt</w:t>
      </w:r>
      <w:r>
        <w:t xml:space="preserve"> medzi exportérom a importérom.</w:t>
      </w:r>
    </w:p>
    <w:p w:rsidR="0042464E" w:rsidRDefault="0042464E" w:rsidP="0023218F">
      <w:pPr>
        <w:numPr>
          <w:ilvl w:val="3"/>
          <w:numId w:val="5"/>
        </w:numPr>
        <w:tabs>
          <w:tab w:val="clear" w:pos="2880"/>
        </w:tabs>
        <w:spacing w:line="240" w:lineRule="auto"/>
        <w:ind w:left="714" w:hanging="357"/>
      </w:pPr>
      <w:r>
        <w:lastRenderedPageBreak/>
        <w:t>Inkasná inštrukcia od exportéra pre banku exportéra.</w:t>
      </w:r>
    </w:p>
    <w:p w:rsidR="0042464E" w:rsidRDefault="0042464E" w:rsidP="0023218F">
      <w:pPr>
        <w:numPr>
          <w:ilvl w:val="3"/>
          <w:numId w:val="5"/>
        </w:numPr>
        <w:tabs>
          <w:tab w:val="clear" w:pos="2880"/>
        </w:tabs>
        <w:spacing w:line="240" w:lineRule="auto"/>
        <w:ind w:left="714" w:hanging="357"/>
      </w:pPr>
      <w:r>
        <w:t>Zaslanie dokumentov banke importéra.</w:t>
      </w:r>
    </w:p>
    <w:p w:rsidR="0042464E" w:rsidRDefault="0042464E" w:rsidP="0023218F">
      <w:pPr>
        <w:numPr>
          <w:ilvl w:val="3"/>
          <w:numId w:val="5"/>
        </w:numPr>
        <w:tabs>
          <w:tab w:val="clear" w:pos="2880"/>
        </w:tabs>
        <w:spacing w:line="240" w:lineRule="auto"/>
        <w:ind w:left="714" w:hanging="357"/>
      </w:pPr>
      <w:r>
        <w:t>Výzva banky importéra na zaplatenie inkasnej sumy.</w:t>
      </w:r>
    </w:p>
    <w:p w:rsidR="0042464E" w:rsidRDefault="0042464E" w:rsidP="0023218F">
      <w:pPr>
        <w:numPr>
          <w:ilvl w:val="3"/>
          <w:numId w:val="5"/>
        </w:numPr>
        <w:tabs>
          <w:tab w:val="clear" w:pos="2880"/>
        </w:tabs>
        <w:spacing w:line="240" w:lineRule="auto"/>
        <w:ind w:left="714" w:hanging="357"/>
      </w:pPr>
      <w:r>
        <w:t>Predloženie platobného príkazu na zaplatenie inkasnej sumy  a zaťaženie účtu importéra.</w:t>
      </w:r>
    </w:p>
    <w:p w:rsidR="0042464E" w:rsidRDefault="0042464E" w:rsidP="0023218F">
      <w:pPr>
        <w:numPr>
          <w:ilvl w:val="3"/>
          <w:numId w:val="5"/>
        </w:numPr>
        <w:tabs>
          <w:tab w:val="clear" w:pos="2880"/>
        </w:tabs>
        <w:spacing w:line="240" w:lineRule="auto"/>
        <w:ind w:left="714" w:hanging="357"/>
      </w:pPr>
      <w:r>
        <w:t>Vydanie dokumentov k tovaru.</w:t>
      </w:r>
    </w:p>
    <w:p w:rsidR="0042464E" w:rsidRDefault="0042464E" w:rsidP="0023218F">
      <w:pPr>
        <w:numPr>
          <w:ilvl w:val="3"/>
          <w:numId w:val="5"/>
        </w:numPr>
        <w:tabs>
          <w:tab w:val="clear" w:pos="2880"/>
        </w:tabs>
        <w:spacing w:line="240" w:lineRule="auto"/>
        <w:ind w:left="714" w:hanging="357"/>
      </w:pPr>
      <w:r>
        <w:t>Úhrada inkasnej sumy v prospech účtu exportéra.</w:t>
      </w:r>
    </w:p>
    <w:p w:rsidR="0042464E" w:rsidRDefault="0042464E">
      <w:pPr>
        <w:spacing w:line="240" w:lineRule="auto"/>
        <w:ind w:left="357"/>
      </w:pPr>
    </w:p>
    <w:p w:rsidR="0042464E" w:rsidRDefault="0042464E">
      <w:pPr>
        <w:pStyle w:val="Nadpis3"/>
      </w:pPr>
      <w:bookmarkStart w:id="21" w:name="_Toc321001072"/>
      <w:r>
        <w:t>Druhy dokumentárneho inkasa</w:t>
      </w:r>
      <w:bookmarkEnd w:id="21"/>
    </w:p>
    <w:p w:rsidR="0042464E" w:rsidRDefault="0042464E">
      <w:r>
        <w:t>Podľa Pavelku,</w:t>
      </w:r>
      <w:r>
        <w:rPr>
          <w:rStyle w:val="Znakapoznpodarou"/>
        </w:rPr>
        <w:t xml:space="preserve"> </w:t>
      </w:r>
      <w:r>
        <w:rPr>
          <w:rStyle w:val="Znakapoznpodarou"/>
        </w:rPr>
        <w:footnoteReference w:id="47"/>
      </w:r>
      <w:r>
        <w:t xml:space="preserve"> sa dokumentárne inkaso v praxi objavuje v dvoch formách:</w:t>
      </w:r>
    </w:p>
    <w:p w:rsidR="0042464E" w:rsidRDefault="0042464E">
      <w:r>
        <w:rPr>
          <w:b/>
          <w:bCs/>
        </w:rPr>
        <w:t>Dokumenty proti platbe</w:t>
      </w:r>
      <w:r>
        <w:t xml:space="preserve"> – D/P – Documents against payment – exportér </w:t>
      </w:r>
      <w:r>
        <w:br/>
        <w:t xml:space="preserve">má </w:t>
      </w:r>
      <w:r w:rsidR="009D26F0">
        <w:t>predovšetkým</w:t>
      </w:r>
      <w:r>
        <w:t xml:space="preserve"> záujem, aby po prevzatí dokumentov k tovaru, čo najskôr </w:t>
      </w:r>
      <w:r>
        <w:br/>
        <w:t xml:space="preserve">a bez zadržiavania platieb importérom dostal zaplatené. D/P predstavuje najčastejšie používaný druh inkasa, kde realizácia platby je podmienená ochotou importéra prevziať dokumenty k tovaru a zároveň jeho platobnou ochotou a solventnosťou uhradiť záväzok. Bankou uvoľňujúcou dokumenty je spravidla banka importéra. Dokumenty oprávňujúce disponovať tovarom dostane importér proti platbe za dovážaný tovar. </w:t>
      </w:r>
    </w:p>
    <w:p w:rsidR="0042464E" w:rsidRDefault="0042464E">
      <w:r>
        <w:rPr>
          <w:b/>
          <w:bCs/>
        </w:rPr>
        <w:t>Dokumenty proti akceptácii zmenky</w:t>
      </w:r>
      <w:r>
        <w:t xml:space="preserve"> – D/A – Documents against acceptance -  v prípade, ak si exportér dohovoril pri podpise zmluvy s importérom, že mu poskytne odklad splatnosti, je bežným riešením použitie akceptácie zmenky. Zmenka, ktorá zhmotňuje odklad splatnosti, je cudzou zmenkou (Bills of exchange) vystavenou exportérom na jeho vlastný rad. Takáto zmenka je predložená prostredníctvom banky importéra na akceptáciu kupujúcemu. Pokiaľ zmenka ešte neobsahuje akcept, hovorím trate (draft). Splatnosť zmenky býva najčastejšie v určitý deň po videní alebo v dohodnutý kalendárny deň.  </w:t>
      </w:r>
    </w:p>
    <w:p w:rsidR="0042464E" w:rsidRDefault="0042464E">
      <w:pPr>
        <w:pStyle w:val="Nadpis3"/>
      </w:pPr>
      <w:bookmarkStart w:id="22" w:name="_Toc321001073"/>
      <w:r>
        <w:lastRenderedPageBreak/>
        <w:t>Eliminácia platobného rizika z dokumentárneho inkasa</w:t>
      </w:r>
      <w:bookmarkEnd w:id="22"/>
    </w:p>
    <w:p w:rsidR="0042464E" w:rsidRDefault="0042464E">
      <w:r>
        <w:t>Rozehnalová publikuje,</w:t>
      </w:r>
      <w:r>
        <w:rPr>
          <w:rStyle w:val="Znakapoznpodarou"/>
        </w:rPr>
        <w:footnoteReference w:id="48"/>
      </w:r>
      <w:r>
        <w:t xml:space="preserve"> že v prípade použitia dokumentárneho inkasa existuje riziko neprevzatia tovaru. Na elimináciu </w:t>
      </w:r>
      <w:r w:rsidR="009D26F0">
        <w:t>tohto</w:t>
      </w:r>
      <w:r>
        <w:t xml:space="preserve"> rizika sa v praxi používa banková záruka alebo poistenie rizika z neprevzatia tovaru. Výhodou pre exportéra sú nižšie náklady oproti dokumentárnemu akreditívu. </w:t>
      </w:r>
    </w:p>
    <w:p w:rsidR="0042464E" w:rsidRDefault="0042464E">
      <w:pPr>
        <w:pStyle w:val="Nadpis2"/>
      </w:pPr>
      <w:bookmarkStart w:id="23" w:name="_Toc321001074"/>
      <w:r>
        <w:t>Zmenky</w:t>
      </w:r>
      <w:bookmarkEnd w:id="23"/>
      <w:r>
        <w:t xml:space="preserve"> </w:t>
      </w:r>
    </w:p>
    <w:p w:rsidR="0042464E" w:rsidRDefault="0042464E">
      <w:r>
        <w:t>Podľa Machkovej a kol.,</w:t>
      </w:r>
      <w:r>
        <w:rPr>
          <w:rStyle w:val="Znakapoznpodarou"/>
        </w:rPr>
        <w:footnoteReference w:id="49"/>
      </w:r>
      <w:r>
        <w:t xml:space="preserve"> zmenka je dlžnícky cenný papier, ktorý má zákonom predpísanú formu. V Slovenskej republike platí Zákon zmenkový a šekový č. 191/1950 Zb. (nadobudol účinnosť 1.1.1950), ktorý vychádza z tzv. </w:t>
      </w:r>
      <w:r>
        <w:rPr>
          <w:i/>
          <w:iCs/>
        </w:rPr>
        <w:t xml:space="preserve">Ženevských konvencií </w:t>
      </w:r>
      <w:r w:rsidR="009D26F0">
        <w:rPr>
          <w:i/>
          <w:iCs/>
        </w:rPr>
        <w:br/>
      </w:r>
      <w:r>
        <w:rPr>
          <w:i/>
          <w:iCs/>
        </w:rPr>
        <w:t>o zmenke a šeku</w:t>
      </w:r>
      <w:r>
        <w:rPr>
          <w:rStyle w:val="Znakapoznpodarou"/>
        </w:rPr>
        <w:footnoteReference w:id="50"/>
      </w:r>
      <w:r>
        <w:rPr>
          <w:i/>
          <w:iCs/>
        </w:rPr>
        <w:t xml:space="preserve"> </w:t>
      </w:r>
      <w:r>
        <w:t xml:space="preserve">z roku 1930 a 1931. Pri zmenkových vzťahoch založených medzi podnikateľmi je potrebné, ako všeobecný právny predpis, aplikovať aj Obchodný zákonník, ktorý sa o zmenke zmieňuje v ustanovení § 334 a § 683 ods. 5 Obchodného zákonníka. </w:t>
      </w:r>
    </w:p>
    <w:p w:rsidR="0042464E" w:rsidRDefault="0042464E">
      <w:r>
        <w:t>Zákon o zmenkách a šekoch</w:t>
      </w:r>
      <w:r>
        <w:rPr>
          <w:rStyle w:val="Znakapoznpodarou"/>
        </w:rPr>
        <w:footnoteReference w:id="51"/>
      </w:r>
      <w:r>
        <w:t xml:space="preserve"> v úvode definuje, podstatu cenného papiera ako záväzok určitej osoby, poskytnúť majiteľovi cenného papiera určité plnenie. Cenné papiere </w:t>
      </w:r>
      <w:r w:rsidR="009D26F0">
        <w:br/>
      </w:r>
      <w:r>
        <w:t>sú vydávané v určitej forme stanovenej zákonom. Dlžník, ktorý cenný papier vydáva, včlení svoj záväzok do tohto cenného papiera a vzniká tak väzba medzi nárokom a cenným papierom. Cenný papier je dôkazom o nároku určitej osoby voči vystaviteľovi cenného papiera. Oprávnený majiteľ cenného papiera sa týmto papierom zároveň preukazuje pri výkone svojich práv. Bez predloženia cenného papiera nenastáva dlžníkovi z tohto cenného papiera povinnosť poskytnúť plnenie. Veriteľom z cenného papiera je ten, kto je jeho vlastníkom. Prevodom vlastníctva dochádza k zmene veriteľa. Zmeny veriteľov z cenného papiera sa môžu uskutočňovať takto:</w:t>
      </w:r>
    </w:p>
    <w:p w:rsidR="0042464E" w:rsidRDefault="0042464E">
      <w:pPr>
        <w:pStyle w:val="Odrka1stupn"/>
      </w:pPr>
      <w:r>
        <w:rPr>
          <w:b/>
          <w:bCs/>
        </w:rPr>
        <w:lastRenderedPageBreak/>
        <w:t>cenné papiere na majiteľa (na doručiteľa)</w:t>
      </w:r>
      <w:r>
        <w:t xml:space="preserve"> sa nazývajú tiež auporteur papiere. Na týchto cenných papieroch spravidla nebýva uvedený veriteľ a výkon práv z takéhoto cenného papiera má každý, kto tento dlžníkovi predloží;</w:t>
      </w:r>
    </w:p>
    <w:p w:rsidR="0042464E" w:rsidRDefault="0042464E">
      <w:pPr>
        <w:pStyle w:val="Odrka1stupn"/>
      </w:pPr>
      <w:r>
        <w:rPr>
          <w:b/>
          <w:bCs/>
        </w:rPr>
        <w:t>cenné papiere na rad</w:t>
      </w:r>
      <w:r>
        <w:t xml:space="preserve"> sa nazývajú bežne orderpapiere. Na tomto cennom papieri musí byť uvedená osoba, v prospech ktorej je cenný papier vystavený, ako osoba oprávnená. K prevodu práv z cenného papiera dochádza na základe prehlásenia doterajšieho majiteľa zmenky, ktorým písomne prevádza svoje oprávnenia na inú osobu. O cenných papieroch </w:t>
      </w:r>
      <w:r>
        <w:br/>
        <w:t>na rad hovoríme preto, lebo všetky osoby, ktoré boli majiteľmi cenného papiera sú na ňom zachytené v rade;</w:t>
      </w:r>
    </w:p>
    <w:p w:rsidR="0042464E" w:rsidRDefault="0042464E">
      <w:pPr>
        <w:pStyle w:val="Odrka1stupn"/>
      </w:pPr>
      <w:r>
        <w:rPr>
          <w:b/>
          <w:bCs/>
        </w:rPr>
        <w:t>cenné papiere na meno</w:t>
      </w:r>
      <w:r>
        <w:t xml:space="preserve"> sa často nazývajú rekta</w:t>
      </w:r>
      <w:r w:rsidR="009D26F0">
        <w:t xml:space="preserve"> </w:t>
      </w:r>
      <w:r>
        <w:t>papiere. U cenného papiera na meno je veriteľ, voči ktorému je dlžník emisiou cenného papiera na ňom vyznačený. U týchto cenných papierov je možné vykoná</w:t>
      </w:r>
      <w:r w:rsidR="009D26F0">
        <w:t>vať práva z cenného papiera – ce</w:t>
      </w:r>
      <w:r>
        <w:t>siou. Ide o dohodu doterajšieho veriteľa a nového veriteľa spolu s odovzdaním cenného papiera.</w:t>
      </w:r>
    </w:p>
    <w:p w:rsidR="0042464E" w:rsidRDefault="0042464E">
      <w:pPr>
        <w:pStyle w:val="Odrka1stupn"/>
        <w:numPr>
          <w:ilvl w:val="0"/>
          <w:numId w:val="0"/>
        </w:numPr>
        <w:ind w:left="709"/>
      </w:pPr>
    </w:p>
    <w:p w:rsidR="0042464E" w:rsidRDefault="0042464E">
      <w:pPr>
        <w:pStyle w:val="Nadpis3"/>
      </w:pPr>
      <w:bookmarkStart w:id="24" w:name="_Toc321001075"/>
      <w:r>
        <w:t>História a vývoj zmenky</w:t>
      </w:r>
      <w:bookmarkEnd w:id="24"/>
    </w:p>
    <w:p w:rsidR="0042464E" w:rsidRDefault="0042464E">
      <w:r>
        <w:t xml:space="preserve">Z hľadiska historického vývoja, zmenky začali vznikať v 12. a 13. storočí na území dnešného Talianska. Neskôr sa používali v rôznych obmenách vo Francúzsku, Anglicku, Španielsku a severnej Európe. Neexistencia bánk vyžadovala </w:t>
      </w:r>
      <w:r>
        <w:br/>
        <w:t xml:space="preserve">za obchodovateľné tovary fyzické platby. Úradný zákaz transportu peňazí z jednotlivých krajín a riziko prepadnutia a ukradnutia </w:t>
      </w:r>
      <w:r w:rsidR="009D26F0">
        <w:t>hotovosti</w:t>
      </w:r>
      <w:r>
        <w:t xml:space="preserve"> lupičmi vyžadovali riešiť situáciu. Obchodníci na trhových miestach spomedzi seba vybrali tých, ktorým najviac </w:t>
      </w:r>
      <w:r w:rsidR="009D26F0">
        <w:t>dôverovali</w:t>
      </w:r>
      <w:r>
        <w:t xml:space="preserve">. Týmto ľuďom zverili peniaze oproti listine oprávňujúcej majiteľa vyzdvihnúť hotovosť na dohodnutom mieste a v dohodnutom čase. Prví zmenárnici nahrádzali zatiaľ neexistujúce banky. Zmenka už vtedy mohla svojím významom presiahnuť hranice európskeho kontinentu. Skutočný obchod so zmenkami nastal </w:t>
      </w:r>
      <w:r>
        <w:br/>
        <w:t>až posilnením ich postavenia po zavedení avalu</w:t>
      </w:r>
      <w:r>
        <w:rPr>
          <w:rStyle w:val="Znakapoznpodarou"/>
        </w:rPr>
        <w:footnoteReference w:id="52"/>
      </w:r>
      <w:r>
        <w:t xml:space="preserve"> (ručenia) na zmenkovej listine. </w:t>
      </w:r>
    </w:p>
    <w:p w:rsidR="0042464E" w:rsidRDefault="0042464E">
      <w:pPr>
        <w:pStyle w:val="Nadpis3"/>
      </w:pPr>
      <w:bookmarkStart w:id="25" w:name="_Toc321001076"/>
      <w:r>
        <w:lastRenderedPageBreak/>
        <w:t>Druhy zmeniek</w:t>
      </w:r>
      <w:bookmarkEnd w:id="25"/>
    </w:p>
    <w:p w:rsidR="0042464E" w:rsidRDefault="0042464E">
      <w:r>
        <w:t>Zmenkový zákon upravuje dva druhy zmeniek:</w:t>
      </w:r>
      <w:r>
        <w:rPr>
          <w:rStyle w:val="Znakapoznpodarou"/>
        </w:rPr>
        <w:t xml:space="preserve"> </w:t>
      </w:r>
      <w:r>
        <w:rPr>
          <w:rStyle w:val="Znakapoznpodarou"/>
        </w:rPr>
        <w:footnoteReference w:id="53"/>
      </w:r>
    </w:p>
    <w:p w:rsidR="0042464E" w:rsidRDefault="0042464E">
      <w:r>
        <w:rPr>
          <w:b/>
          <w:bCs/>
        </w:rPr>
        <w:t>Cudzia zmenka</w:t>
      </w:r>
      <w:r>
        <w:t xml:space="preserve"> – je definovaná v prvej časti - Zákon zmenkový a šekový.</w:t>
      </w:r>
      <w:r>
        <w:rPr>
          <w:rStyle w:val="Znakapoznpodarou"/>
        </w:rPr>
        <w:t xml:space="preserve"> </w:t>
      </w:r>
      <w:r>
        <w:rPr>
          <w:rStyle w:val="Znakapoznpodarou"/>
        </w:rPr>
        <w:footnoteReference w:id="54"/>
      </w:r>
      <w:r>
        <w:t xml:space="preserve"> Vzťah k cudzej zmenke je spravidla trojstranným vzťahom. Cudzia zmenka nie je priamym záväzkom vystaviteľa, ale je príkazom vystaviteľa, aby tretia osoba zaplatila majiteľovi zmenky zmenkovú sumu v mieste na zmenke určenom. Vystaviteľ sám nie je priamym dlžníkom. </w:t>
      </w:r>
    </w:p>
    <w:p w:rsidR="0042464E" w:rsidRDefault="0042464E">
      <w:pPr>
        <w:rPr>
          <w:i/>
          <w:iCs/>
        </w:rPr>
      </w:pPr>
      <w:r>
        <w:rPr>
          <w:i/>
          <w:iCs/>
        </w:rPr>
        <w:t xml:space="preserve">,,Podľa § 1 zákona č. 191/1950 Zb. Zákon zmenkový a šekový, nevyhnutné náležitosti </w:t>
      </w:r>
      <w:r w:rsidR="009D26F0">
        <w:rPr>
          <w:i/>
          <w:iCs/>
        </w:rPr>
        <w:t>cudzej</w:t>
      </w:r>
      <w:r>
        <w:rPr>
          <w:i/>
          <w:iCs/>
        </w:rPr>
        <w:t xml:space="preserve"> zmenky sú: </w:t>
      </w:r>
    </w:p>
    <w:p w:rsidR="0042464E" w:rsidRDefault="0042464E">
      <w:pPr>
        <w:pStyle w:val="Odrka1stupn"/>
        <w:rPr>
          <w:i/>
          <w:iCs/>
        </w:rPr>
      </w:pPr>
      <w:r>
        <w:rPr>
          <w:i/>
          <w:iCs/>
        </w:rPr>
        <w:t>označenie, že ide o zmenku, pojaté do vlastného textu listiny a vyjadrené v jazyku, v ktorom je táto listina spísaná;</w:t>
      </w:r>
    </w:p>
    <w:p w:rsidR="0042464E" w:rsidRDefault="0042464E">
      <w:pPr>
        <w:pStyle w:val="Odrka1stupn"/>
        <w:rPr>
          <w:i/>
          <w:iCs/>
        </w:rPr>
      </w:pPr>
      <w:r>
        <w:rPr>
          <w:i/>
          <w:iCs/>
        </w:rPr>
        <w:t>bezpodmienečný príkaz zaplatiť určitú peňažnú sumu;</w:t>
      </w:r>
    </w:p>
    <w:p w:rsidR="0042464E" w:rsidRDefault="0042464E">
      <w:pPr>
        <w:pStyle w:val="Odrka1stupn"/>
        <w:rPr>
          <w:i/>
          <w:iCs/>
        </w:rPr>
      </w:pPr>
      <w:r>
        <w:rPr>
          <w:i/>
          <w:iCs/>
        </w:rPr>
        <w:t>meno toho, kto má platiť (zmenečníka);</w:t>
      </w:r>
    </w:p>
    <w:p w:rsidR="0042464E" w:rsidRDefault="0042464E">
      <w:pPr>
        <w:pStyle w:val="Odrka1stupn"/>
        <w:rPr>
          <w:i/>
          <w:iCs/>
        </w:rPr>
      </w:pPr>
      <w:r>
        <w:rPr>
          <w:i/>
          <w:iCs/>
        </w:rPr>
        <w:t>údaj sročnosti (dátum splatnosti);</w:t>
      </w:r>
    </w:p>
    <w:p w:rsidR="0042464E" w:rsidRDefault="0042464E">
      <w:pPr>
        <w:pStyle w:val="Odrka1stupn"/>
        <w:rPr>
          <w:i/>
          <w:iCs/>
        </w:rPr>
      </w:pPr>
      <w:r>
        <w:rPr>
          <w:i/>
          <w:iCs/>
        </w:rPr>
        <w:t>údaj miesta, kde sa má platiť;</w:t>
      </w:r>
    </w:p>
    <w:p w:rsidR="0042464E" w:rsidRDefault="0042464E">
      <w:pPr>
        <w:pStyle w:val="Odrka1stupn"/>
        <w:rPr>
          <w:i/>
          <w:iCs/>
        </w:rPr>
      </w:pPr>
      <w:r>
        <w:rPr>
          <w:i/>
          <w:iCs/>
        </w:rPr>
        <w:t>meno toho, komu alebo na rad koho sa má platiť;</w:t>
      </w:r>
    </w:p>
    <w:p w:rsidR="0042464E" w:rsidRDefault="0042464E">
      <w:pPr>
        <w:pStyle w:val="Odrka1stupn"/>
        <w:rPr>
          <w:i/>
          <w:iCs/>
        </w:rPr>
      </w:pPr>
      <w:r>
        <w:rPr>
          <w:i/>
          <w:iCs/>
        </w:rPr>
        <w:t>dátum a miesto vystavenia zmenky;</w:t>
      </w:r>
    </w:p>
    <w:p w:rsidR="0042464E" w:rsidRDefault="0042464E">
      <w:pPr>
        <w:pStyle w:val="Odrka1stupn"/>
      </w:pPr>
      <w:r>
        <w:rPr>
          <w:i/>
          <w:iCs/>
        </w:rPr>
        <w:t>podpis vystaviteľa“.</w:t>
      </w:r>
      <w:r>
        <w:rPr>
          <w:rStyle w:val="Znakapoznpodarou"/>
        </w:rPr>
        <w:t xml:space="preserve"> </w:t>
      </w:r>
      <w:r>
        <w:rPr>
          <w:rStyle w:val="Znakapoznpodarou"/>
        </w:rPr>
        <w:footnoteReference w:id="55"/>
      </w:r>
    </w:p>
    <w:p w:rsidR="0042464E" w:rsidRDefault="0042464E"/>
    <w:p w:rsidR="0042464E" w:rsidRDefault="0042464E">
      <w:r>
        <w:t>Pavelka uvádza,</w:t>
      </w:r>
      <w:r>
        <w:rPr>
          <w:rStyle w:val="Znakapoznpodarou"/>
        </w:rPr>
        <w:t xml:space="preserve"> </w:t>
      </w:r>
      <w:r>
        <w:rPr>
          <w:rStyle w:val="Znakapoznpodarou"/>
        </w:rPr>
        <w:footnoteReference w:id="56"/>
      </w:r>
      <w:r>
        <w:t xml:space="preserve">  že listina, v ktorej chýba niektorá náležitosť uvedená v § 1, </w:t>
      </w:r>
      <w:r>
        <w:br/>
        <w:t>nie je platná ako cudzia zmenka, s výhradou prípadov uvedených v nasledujúcich odsekoch:</w:t>
      </w:r>
    </w:p>
    <w:p w:rsidR="0042464E" w:rsidRDefault="0042464E">
      <w:pPr>
        <w:pStyle w:val="Odrka1stupn"/>
      </w:pPr>
      <w:r>
        <w:t>keď ide zmenku, v ktorej nie je uvedený dátum splatnosti, platí, že je sročná (splatná) na videnie;</w:t>
      </w:r>
    </w:p>
    <w:p w:rsidR="0042464E" w:rsidRDefault="0042464E">
      <w:pPr>
        <w:pStyle w:val="Odrka1stupn"/>
      </w:pPr>
      <w:r>
        <w:lastRenderedPageBreak/>
        <w:t xml:space="preserve">ak niet osobitného údaja, platí, že miesto uvedené pri mene zmenečníka </w:t>
      </w:r>
      <w:r w:rsidR="009D26F0">
        <w:br/>
      </w:r>
      <w:r>
        <w:t>je platobným miestom a zároveň miestom bydliska zmenečníka;</w:t>
      </w:r>
    </w:p>
    <w:p w:rsidR="0042464E" w:rsidRDefault="0042464E">
      <w:pPr>
        <w:pStyle w:val="Odrka1stupn"/>
      </w:pPr>
      <w:r>
        <w:t>ak sa v zmenke neudáva miesto vystavenia, platí, že bola vystavená v mieste uvedenom pri mene vystaviteľa.</w:t>
      </w:r>
    </w:p>
    <w:p w:rsidR="0042464E" w:rsidRDefault="0042464E" w:rsidP="0015318C">
      <w:pPr>
        <w:spacing w:before="240"/>
      </w:pPr>
      <w:r>
        <w:rPr>
          <w:b/>
          <w:bCs/>
        </w:rPr>
        <w:t>Vlastná zmenka -</w:t>
      </w:r>
      <w:r>
        <w:t xml:space="preserve"> je definovaná v druhej časti - Zákon zmenkový a šekový. Vlastná zmenka predstavuje záväzok vystaviteľa zmenky vyplatiť popri splatnosti zmenky, v zmenke určenom mieste, zmenkovú sumu riadnemu majiteľovi zmenky. Tento zmenkový vzťah musí zahŕňať aspoň dve osoby. Vlastné  zmenky v medzinárodnom obchode sa používajú najčastejšie opatrené avalom banky importéra, ktorý takouto  zmenkou zaplatil svojmu zahraničnému dodávateľovi. Poskytnutie odkladu splatnosti </w:t>
      </w:r>
      <w:r>
        <w:br/>
        <w:t xml:space="preserve">za exportovaný tovar býva obvykle nevyhnutným predpokladom úspešného obchodu – vývozu do krajín, v ktorých sú ťažšie dostupné úvery pre podnikateľov alebo relatívne vysoké sadzby na kapitálových a finančných trhoch. </w:t>
      </w:r>
    </w:p>
    <w:p w:rsidR="0042464E" w:rsidRDefault="0042464E">
      <w:pPr>
        <w:rPr>
          <w:i/>
          <w:iCs/>
        </w:rPr>
      </w:pPr>
      <w:r>
        <w:rPr>
          <w:i/>
          <w:iCs/>
        </w:rPr>
        <w:t xml:space="preserve">,,Podľa § 75 zákona č. 191/1950 Zb. Zákon zmenkový a </w:t>
      </w:r>
      <w:r w:rsidR="009D26F0">
        <w:rPr>
          <w:i/>
          <w:iCs/>
        </w:rPr>
        <w:t>šekový</w:t>
      </w:r>
      <w:r>
        <w:rPr>
          <w:i/>
          <w:iCs/>
        </w:rPr>
        <w:t xml:space="preserve">, nevyhnutné náležitosti vlastnej zmenky sú: </w:t>
      </w:r>
    </w:p>
    <w:p w:rsidR="0042464E" w:rsidRDefault="0042464E">
      <w:pPr>
        <w:pStyle w:val="Odrka1stupn"/>
        <w:rPr>
          <w:i/>
          <w:iCs/>
        </w:rPr>
      </w:pPr>
      <w:r>
        <w:rPr>
          <w:i/>
          <w:iCs/>
        </w:rPr>
        <w:t>označenie, že ide o zmenku, pojaté do vlastného textu listiny a vyjadrené v jazyku, v ktorom je táto listina spísaná;</w:t>
      </w:r>
    </w:p>
    <w:p w:rsidR="0042464E" w:rsidRDefault="0042464E">
      <w:pPr>
        <w:pStyle w:val="Odrka1stupn"/>
        <w:rPr>
          <w:i/>
          <w:iCs/>
        </w:rPr>
      </w:pPr>
      <w:r>
        <w:rPr>
          <w:i/>
          <w:iCs/>
        </w:rPr>
        <w:t>bezpodmienečný sľub zaplatiť určitú peňažnú sumu;</w:t>
      </w:r>
    </w:p>
    <w:p w:rsidR="0042464E" w:rsidRDefault="0042464E">
      <w:pPr>
        <w:pStyle w:val="Odrka1stupn"/>
        <w:rPr>
          <w:i/>
          <w:iCs/>
        </w:rPr>
      </w:pPr>
      <w:r>
        <w:rPr>
          <w:i/>
          <w:iCs/>
        </w:rPr>
        <w:t>údaj sročnosti (dátum splatnosti);</w:t>
      </w:r>
    </w:p>
    <w:p w:rsidR="0042464E" w:rsidRDefault="0042464E">
      <w:pPr>
        <w:pStyle w:val="Odrka1stupn"/>
        <w:rPr>
          <w:i/>
          <w:iCs/>
        </w:rPr>
      </w:pPr>
      <w:r>
        <w:rPr>
          <w:i/>
          <w:iCs/>
        </w:rPr>
        <w:t>údaj miesta, kde sa má platiť;</w:t>
      </w:r>
    </w:p>
    <w:p w:rsidR="0042464E" w:rsidRDefault="0042464E">
      <w:pPr>
        <w:pStyle w:val="Odrka1stupn"/>
        <w:rPr>
          <w:i/>
          <w:iCs/>
        </w:rPr>
      </w:pPr>
      <w:r>
        <w:rPr>
          <w:i/>
          <w:iCs/>
        </w:rPr>
        <w:t>meno toho, komu alebo na rad koho sa má platiť;</w:t>
      </w:r>
    </w:p>
    <w:p w:rsidR="0042464E" w:rsidRDefault="0042464E">
      <w:pPr>
        <w:pStyle w:val="Odrka1stupn"/>
        <w:rPr>
          <w:i/>
          <w:iCs/>
        </w:rPr>
      </w:pPr>
      <w:r>
        <w:rPr>
          <w:i/>
          <w:iCs/>
        </w:rPr>
        <w:t>dátum a miesto vystavenia zmenky;</w:t>
      </w:r>
    </w:p>
    <w:p w:rsidR="0042464E" w:rsidRDefault="0042464E">
      <w:pPr>
        <w:pStyle w:val="Odrka1stupn"/>
      </w:pPr>
      <w:r>
        <w:rPr>
          <w:i/>
          <w:iCs/>
        </w:rPr>
        <w:t>podpis vystaviteľa“</w:t>
      </w:r>
      <w:r>
        <w:t>.</w:t>
      </w:r>
      <w:r>
        <w:rPr>
          <w:rStyle w:val="Znakapoznpodarou"/>
        </w:rPr>
        <w:t xml:space="preserve"> </w:t>
      </w:r>
      <w:r>
        <w:rPr>
          <w:rStyle w:val="Znakapoznpodarou"/>
        </w:rPr>
        <w:footnoteReference w:id="57"/>
      </w:r>
    </w:p>
    <w:p w:rsidR="0042464E" w:rsidRDefault="0042464E"/>
    <w:p w:rsidR="0042464E" w:rsidRDefault="0042464E">
      <w:r>
        <w:t xml:space="preserve">Pavelka </w:t>
      </w:r>
      <w:r>
        <w:rPr>
          <w:rStyle w:val="Znakapoznpodarou"/>
        </w:rPr>
        <w:footnoteReference w:id="58"/>
      </w:r>
      <w:r>
        <w:t xml:space="preserve"> uvádza spoločné charakteristiky cudzích a vlastných zmeniek: </w:t>
      </w:r>
    </w:p>
    <w:p w:rsidR="0042464E" w:rsidRDefault="0042464E">
      <w:r>
        <w:rPr>
          <w:b/>
          <w:bCs/>
        </w:rPr>
        <w:t xml:space="preserve">Určitosť peňažnej sumy – </w:t>
      </w:r>
      <w:r>
        <w:t xml:space="preserve">ak je zmenka vystavená na neexistujúcu menu (napr. </w:t>
      </w:r>
      <w:r>
        <w:br/>
        <w:t xml:space="preserve">ak zmenkovník uvedie ČK namiesto Kč alebo CZK) je neplatná. Neurčitosť záväzku </w:t>
      </w:r>
      <w:r>
        <w:lastRenderedPageBreak/>
        <w:t xml:space="preserve">spočíva v nevedomosti, na akú menu vlastne znie. V takomto prípade </w:t>
      </w:r>
      <w:r>
        <w:br/>
        <w:t>ide o tzv. absolútnu neplatnosť zmenky. V medzinárodnom obchode by bola neplatná zmenka vystavená v DEM po dni, keď zákonným platobným prostriedkom v NSR bolo už iba EUR (1.1.2002).</w:t>
      </w:r>
    </w:p>
    <w:p w:rsidR="0042464E" w:rsidRDefault="0042464E">
      <w:r>
        <w:rPr>
          <w:b/>
          <w:bCs/>
        </w:rPr>
        <w:t xml:space="preserve">Pluralita údajov - </w:t>
      </w:r>
      <w:r>
        <w:t xml:space="preserve"> negatívne dôsledky na platnosť zmenky majú iba tie plurality údajov, ktoré obsahujú rozpor negatívne ovplyvňujúci určitosť obsahu zmenky. Napríklad akákoľvek pluralita v údajoch platobného miesta spôsobuje neplatnosť zmenky. </w:t>
      </w:r>
    </w:p>
    <w:p w:rsidR="0042464E" w:rsidRDefault="0042464E">
      <w:r>
        <w:rPr>
          <w:b/>
          <w:bCs/>
        </w:rPr>
        <w:t xml:space="preserve">Jazyková identita – </w:t>
      </w:r>
      <w:r>
        <w:t xml:space="preserve">označenie listiny musí byť vyjadrené v jazyku, v ktorom je listina napísaná. Celý text zmenky musí byť napísaný v jednom identickom jazyku. V opačnom prípade je zmenka neplatná.  Napr. ak slovenský exportér získa od českého odberateľa zmenku napísanú v českom jazyku, ale na slovenskom tlačive zmenky, </w:t>
      </w:r>
      <w:r w:rsidR="009D26F0">
        <w:br/>
        <w:t xml:space="preserve">ide </w:t>
      </w:r>
      <w:r>
        <w:t xml:space="preserve">o neplatnú zmenku, z ktorej nie je možné žiadať zmenkové plnenie zo strany dlžníka. Rozdiely medzi cudzou a vlastnou zmenkou uvádzame v Tabuľke 5. </w:t>
      </w:r>
    </w:p>
    <w:p w:rsidR="0042464E" w:rsidRDefault="0042464E">
      <w:pPr>
        <w:pStyle w:val="Tabulka"/>
      </w:pPr>
      <w:r>
        <w:t>Tabuľka 5 Rozdiely medzi cudzou a vlastnou zmenkou</w:t>
      </w:r>
    </w:p>
    <w:tbl>
      <w:tblPr>
        <w:tblW w:w="8530" w:type="dxa"/>
        <w:tblInd w:w="2" w:type="dxa"/>
        <w:tblLayout w:type="fixed"/>
        <w:tblCellMar>
          <w:left w:w="0" w:type="dxa"/>
          <w:right w:w="0" w:type="dxa"/>
        </w:tblCellMar>
        <w:tblLook w:val="0000"/>
      </w:tblPr>
      <w:tblGrid>
        <w:gridCol w:w="2970"/>
        <w:gridCol w:w="2660"/>
        <w:gridCol w:w="2900"/>
      </w:tblGrid>
      <w:tr w:rsidR="0042464E" w:rsidRPr="0023218F">
        <w:trPr>
          <w:trHeight w:val="330"/>
        </w:trPr>
        <w:tc>
          <w:tcPr>
            <w:tcW w:w="2970" w:type="dxa"/>
            <w:tcBorders>
              <w:top w:val="single" w:sz="8" w:space="0" w:color="auto"/>
              <w:left w:val="single" w:sz="8" w:space="0" w:color="auto"/>
              <w:bottom w:val="single" w:sz="8" w:space="0" w:color="auto"/>
              <w:right w:val="nil"/>
            </w:tcBorders>
            <w:noWrap/>
            <w:vAlign w:val="bottom"/>
          </w:tcPr>
          <w:p w:rsidR="0042464E" w:rsidRPr="0023218F" w:rsidRDefault="0042464E">
            <w:pPr>
              <w:spacing w:line="240" w:lineRule="auto"/>
              <w:rPr>
                <w:rFonts w:eastAsiaTheme="minorEastAsia"/>
                <w:b/>
                <w:bCs/>
              </w:rPr>
            </w:pPr>
            <w:r w:rsidRPr="0023218F">
              <w:rPr>
                <w:rFonts w:eastAsiaTheme="minorEastAsia"/>
                <w:b/>
                <w:bCs/>
              </w:rPr>
              <w:t> </w:t>
            </w:r>
          </w:p>
        </w:tc>
        <w:tc>
          <w:tcPr>
            <w:tcW w:w="2660" w:type="dxa"/>
            <w:tcBorders>
              <w:top w:val="single" w:sz="8" w:space="0" w:color="auto"/>
              <w:left w:val="single" w:sz="8" w:space="0" w:color="auto"/>
              <w:bottom w:val="single" w:sz="8" w:space="0" w:color="auto"/>
              <w:right w:val="single" w:sz="8" w:space="0" w:color="auto"/>
            </w:tcBorders>
            <w:noWrap/>
            <w:vAlign w:val="bottom"/>
          </w:tcPr>
          <w:p w:rsidR="0042464E" w:rsidRPr="0023218F" w:rsidRDefault="0042464E">
            <w:pPr>
              <w:spacing w:line="240" w:lineRule="auto"/>
              <w:rPr>
                <w:rFonts w:eastAsiaTheme="minorEastAsia"/>
                <w:b/>
                <w:bCs/>
              </w:rPr>
            </w:pPr>
            <w:r w:rsidRPr="0023218F">
              <w:rPr>
                <w:rFonts w:eastAsiaTheme="minorEastAsia"/>
                <w:b/>
                <w:bCs/>
              </w:rPr>
              <w:t>Vlastná zmenka</w:t>
            </w:r>
          </w:p>
        </w:tc>
        <w:tc>
          <w:tcPr>
            <w:tcW w:w="2900" w:type="dxa"/>
            <w:tcBorders>
              <w:top w:val="single" w:sz="8" w:space="0" w:color="auto"/>
              <w:left w:val="nil"/>
              <w:bottom w:val="single" w:sz="8" w:space="0" w:color="auto"/>
              <w:right w:val="single" w:sz="8" w:space="0" w:color="auto"/>
            </w:tcBorders>
            <w:noWrap/>
            <w:vAlign w:val="bottom"/>
          </w:tcPr>
          <w:p w:rsidR="0042464E" w:rsidRPr="0023218F" w:rsidRDefault="0042464E">
            <w:pPr>
              <w:spacing w:line="240" w:lineRule="auto"/>
              <w:rPr>
                <w:rFonts w:eastAsiaTheme="minorEastAsia"/>
                <w:b/>
                <w:bCs/>
              </w:rPr>
            </w:pPr>
            <w:r w:rsidRPr="0023218F">
              <w:rPr>
                <w:rFonts w:eastAsiaTheme="minorEastAsia"/>
                <w:b/>
                <w:bCs/>
              </w:rPr>
              <w:t>Cudzia zmenka</w:t>
            </w:r>
          </w:p>
        </w:tc>
      </w:tr>
      <w:tr w:rsidR="0042464E" w:rsidRPr="0023218F">
        <w:trPr>
          <w:trHeight w:val="330"/>
        </w:trPr>
        <w:tc>
          <w:tcPr>
            <w:tcW w:w="2970" w:type="dxa"/>
            <w:tcBorders>
              <w:top w:val="nil"/>
              <w:left w:val="single" w:sz="8" w:space="0" w:color="auto"/>
              <w:bottom w:val="nil"/>
              <w:right w:val="nil"/>
            </w:tcBorders>
            <w:noWrap/>
          </w:tcPr>
          <w:p w:rsidR="0042464E" w:rsidRPr="0023218F" w:rsidRDefault="0042464E">
            <w:pPr>
              <w:pStyle w:val="AbstractSummary-nadpis"/>
              <w:tabs>
                <w:tab w:val="clear" w:pos="0"/>
              </w:tabs>
              <w:spacing w:before="0" w:line="240" w:lineRule="auto"/>
              <w:rPr>
                <w:rFonts w:eastAsiaTheme="minorEastAsia"/>
              </w:rPr>
            </w:pPr>
            <w:r w:rsidRPr="0023218F">
              <w:rPr>
                <w:rFonts w:eastAsiaTheme="minorEastAsia"/>
              </w:rPr>
              <w:t>Vystavovateľ zmenky</w:t>
            </w:r>
          </w:p>
        </w:tc>
        <w:tc>
          <w:tcPr>
            <w:tcW w:w="2660" w:type="dxa"/>
            <w:tcBorders>
              <w:top w:val="nil"/>
              <w:left w:val="single" w:sz="8" w:space="0" w:color="auto"/>
              <w:bottom w:val="nil"/>
              <w:right w:val="single" w:sz="8" w:space="0" w:color="auto"/>
            </w:tcBorders>
            <w:noWrap/>
            <w:vAlign w:val="bottom"/>
          </w:tcPr>
          <w:p w:rsidR="0042464E" w:rsidRPr="0023218F" w:rsidRDefault="0042464E">
            <w:pPr>
              <w:spacing w:line="240" w:lineRule="auto"/>
              <w:rPr>
                <w:rFonts w:eastAsiaTheme="minorEastAsia"/>
              </w:rPr>
            </w:pPr>
            <w:r w:rsidRPr="0023218F">
              <w:rPr>
                <w:rFonts w:eastAsiaTheme="minorEastAsia"/>
              </w:rPr>
              <w:t xml:space="preserve">Dlžník (priamy zmenkový </w:t>
            </w:r>
            <w:r w:rsidR="009D26F0" w:rsidRPr="0023218F">
              <w:rPr>
                <w:rFonts w:eastAsiaTheme="minorEastAsia"/>
              </w:rPr>
              <w:t>dlžník</w:t>
            </w:r>
            <w:r w:rsidRPr="0023218F">
              <w:rPr>
                <w:rFonts w:eastAsiaTheme="minorEastAsia"/>
              </w:rPr>
              <w:t>)</w:t>
            </w:r>
          </w:p>
        </w:tc>
        <w:tc>
          <w:tcPr>
            <w:tcW w:w="2900" w:type="dxa"/>
            <w:tcBorders>
              <w:top w:val="nil"/>
              <w:left w:val="nil"/>
              <w:bottom w:val="nil"/>
              <w:right w:val="single" w:sz="8" w:space="0" w:color="auto"/>
            </w:tcBorders>
            <w:noWrap/>
          </w:tcPr>
          <w:p w:rsidR="0042464E" w:rsidRPr="0023218F" w:rsidRDefault="0042464E">
            <w:pPr>
              <w:pStyle w:val="Normlnweb"/>
              <w:spacing w:before="0" w:beforeAutospacing="0" w:after="240" w:afterAutospacing="0" w:line="240" w:lineRule="auto"/>
              <w:rPr>
                <w:rFonts w:eastAsiaTheme="minorEastAsia"/>
              </w:rPr>
            </w:pPr>
            <w:r w:rsidRPr="0023218F">
              <w:rPr>
                <w:rFonts w:eastAsiaTheme="minorEastAsia"/>
              </w:rPr>
              <w:t>Dodávateľ (exportér)</w:t>
            </w:r>
          </w:p>
        </w:tc>
      </w:tr>
      <w:tr w:rsidR="0042464E" w:rsidRPr="0023218F">
        <w:trPr>
          <w:trHeight w:val="2220"/>
        </w:trPr>
        <w:tc>
          <w:tcPr>
            <w:tcW w:w="2970" w:type="dxa"/>
            <w:tcBorders>
              <w:top w:val="single" w:sz="8" w:space="0" w:color="auto"/>
              <w:left w:val="single" w:sz="8" w:space="0" w:color="auto"/>
              <w:bottom w:val="single" w:sz="8" w:space="0" w:color="auto"/>
              <w:right w:val="nil"/>
            </w:tcBorders>
            <w:noWrap/>
          </w:tcPr>
          <w:p w:rsidR="0042464E" w:rsidRPr="0023218F" w:rsidRDefault="0042464E">
            <w:pPr>
              <w:spacing w:line="240" w:lineRule="auto"/>
              <w:rPr>
                <w:rFonts w:eastAsiaTheme="minorEastAsia"/>
                <w:b/>
                <w:bCs/>
              </w:rPr>
            </w:pPr>
            <w:r w:rsidRPr="0023218F">
              <w:rPr>
                <w:rFonts w:eastAsiaTheme="minorEastAsia"/>
                <w:b/>
                <w:bCs/>
              </w:rPr>
              <w:t>Veriteľ zmenky</w:t>
            </w:r>
          </w:p>
        </w:tc>
        <w:tc>
          <w:tcPr>
            <w:tcW w:w="2660" w:type="dxa"/>
            <w:tcBorders>
              <w:top w:val="single" w:sz="8" w:space="0" w:color="auto"/>
              <w:left w:val="single" w:sz="8" w:space="0" w:color="auto"/>
              <w:bottom w:val="single" w:sz="8" w:space="0" w:color="auto"/>
              <w:right w:val="single" w:sz="8" w:space="0" w:color="auto"/>
            </w:tcBorders>
          </w:tcPr>
          <w:p w:rsidR="0042464E" w:rsidRPr="0023218F" w:rsidRDefault="0042464E">
            <w:pPr>
              <w:pStyle w:val="Normlnweb"/>
              <w:spacing w:before="0" w:beforeAutospacing="0" w:after="240" w:afterAutospacing="0" w:line="240" w:lineRule="auto"/>
              <w:rPr>
                <w:rFonts w:eastAsiaTheme="minorEastAsia"/>
              </w:rPr>
            </w:pPr>
            <w:r w:rsidRPr="0023218F">
              <w:rPr>
                <w:rFonts w:eastAsiaTheme="minorEastAsia"/>
              </w:rPr>
              <w:t xml:space="preserve">Osoba, na ktorej rad bola zmenka vystavená alebo ten, kto od prvého </w:t>
            </w:r>
            <w:r w:rsidR="009D26F0" w:rsidRPr="0023218F">
              <w:rPr>
                <w:rFonts w:eastAsiaTheme="minorEastAsia"/>
              </w:rPr>
              <w:t>majiteľa</w:t>
            </w:r>
            <w:r w:rsidRPr="0023218F">
              <w:rPr>
                <w:rFonts w:eastAsiaTheme="minorEastAsia"/>
              </w:rPr>
              <w:t xml:space="preserve"> zmenku nadobudol</w:t>
            </w:r>
          </w:p>
        </w:tc>
        <w:tc>
          <w:tcPr>
            <w:tcW w:w="2900" w:type="dxa"/>
            <w:tcBorders>
              <w:top w:val="single" w:sz="8" w:space="0" w:color="auto"/>
              <w:left w:val="nil"/>
              <w:bottom w:val="single" w:sz="8" w:space="0" w:color="auto"/>
              <w:right w:val="single" w:sz="8" w:space="0" w:color="auto"/>
            </w:tcBorders>
          </w:tcPr>
          <w:p w:rsidR="0042464E" w:rsidRPr="0023218F" w:rsidRDefault="0042464E">
            <w:pPr>
              <w:pStyle w:val="Textodstavce"/>
              <w:spacing w:line="240" w:lineRule="auto"/>
              <w:jc w:val="left"/>
              <w:rPr>
                <w:rFonts w:eastAsiaTheme="minorEastAsia"/>
              </w:rPr>
            </w:pPr>
            <w:r w:rsidRPr="0023218F">
              <w:rPr>
                <w:rFonts w:eastAsiaTheme="minorEastAsia"/>
              </w:rPr>
              <w:t xml:space="preserve">Vystavovateľ (ak ide </w:t>
            </w:r>
            <w:r w:rsidRPr="0023218F">
              <w:rPr>
                <w:rFonts w:eastAsiaTheme="minorEastAsia"/>
              </w:rPr>
              <w:br/>
              <w:t>o cudziu zmenku na vlastný rad) alebo je to tretia osoba, na ktorej rad bola zmenka vystavená, alebo osoba, ktorá zmenku prevodom získala</w:t>
            </w:r>
          </w:p>
        </w:tc>
      </w:tr>
      <w:tr w:rsidR="0042464E" w:rsidRPr="0023218F">
        <w:trPr>
          <w:trHeight w:val="645"/>
        </w:trPr>
        <w:tc>
          <w:tcPr>
            <w:tcW w:w="2970" w:type="dxa"/>
            <w:tcBorders>
              <w:top w:val="nil"/>
              <w:left w:val="single" w:sz="8" w:space="0" w:color="auto"/>
              <w:bottom w:val="nil"/>
              <w:right w:val="nil"/>
            </w:tcBorders>
            <w:noWrap/>
          </w:tcPr>
          <w:p w:rsidR="0042464E" w:rsidRPr="0023218F" w:rsidRDefault="0042464E">
            <w:pPr>
              <w:spacing w:line="240" w:lineRule="auto"/>
              <w:rPr>
                <w:rFonts w:eastAsiaTheme="minorEastAsia"/>
                <w:b/>
                <w:bCs/>
              </w:rPr>
            </w:pPr>
            <w:r w:rsidRPr="0023218F">
              <w:rPr>
                <w:rFonts w:eastAsiaTheme="minorEastAsia"/>
                <w:b/>
                <w:bCs/>
              </w:rPr>
              <w:t>Spôsob vzniku zmenkového záväzku</w:t>
            </w:r>
          </w:p>
        </w:tc>
        <w:tc>
          <w:tcPr>
            <w:tcW w:w="2660" w:type="dxa"/>
            <w:tcBorders>
              <w:top w:val="nil"/>
              <w:left w:val="single" w:sz="8" w:space="0" w:color="auto"/>
              <w:bottom w:val="nil"/>
              <w:right w:val="single" w:sz="8" w:space="0" w:color="auto"/>
            </w:tcBorders>
            <w:noWrap/>
          </w:tcPr>
          <w:p w:rsidR="0042464E" w:rsidRPr="0023218F" w:rsidRDefault="0042464E">
            <w:pPr>
              <w:pStyle w:val="Normlnweb"/>
              <w:spacing w:before="0" w:beforeAutospacing="0" w:after="240" w:afterAutospacing="0" w:line="240" w:lineRule="auto"/>
              <w:rPr>
                <w:rFonts w:eastAsiaTheme="minorEastAsia"/>
              </w:rPr>
            </w:pPr>
            <w:r w:rsidRPr="0023218F">
              <w:rPr>
                <w:rFonts w:eastAsiaTheme="minorEastAsia"/>
              </w:rPr>
              <w:t>Vystavením (podpisom zmenky)</w:t>
            </w:r>
          </w:p>
        </w:tc>
        <w:tc>
          <w:tcPr>
            <w:tcW w:w="2900" w:type="dxa"/>
            <w:tcBorders>
              <w:top w:val="nil"/>
              <w:left w:val="nil"/>
              <w:bottom w:val="nil"/>
              <w:right w:val="single" w:sz="8" w:space="0" w:color="auto"/>
            </w:tcBorders>
          </w:tcPr>
          <w:p w:rsidR="0042464E" w:rsidRPr="0023218F" w:rsidRDefault="0042464E">
            <w:pPr>
              <w:pStyle w:val="Normlnweb"/>
              <w:spacing w:before="0" w:beforeAutospacing="0" w:after="240" w:afterAutospacing="0" w:line="240" w:lineRule="auto"/>
              <w:rPr>
                <w:rFonts w:eastAsiaTheme="minorEastAsia"/>
              </w:rPr>
            </w:pPr>
            <w:r w:rsidRPr="0023218F">
              <w:rPr>
                <w:rFonts w:eastAsiaTheme="minorEastAsia"/>
              </w:rPr>
              <w:t>Akceptom (uznaním zmenkového záväzku)</w:t>
            </w:r>
          </w:p>
        </w:tc>
      </w:tr>
      <w:tr w:rsidR="0042464E" w:rsidRPr="0023218F">
        <w:trPr>
          <w:trHeight w:val="330"/>
        </w:trPr>
        <w:tc>
          <w:tcPr>
            <w:tcW w:w="2970" w:type="dxa"/>
            <w:tcBorders>
              <w:top w:val="single" w:sz="8" w:space="0" w:color="auto"/>
              <w:left w:val="single" w:sz="8" w:space="0" w:color="auto"/>
              <w:bottom w:val="single" w:sz="8" w:space="0" w:color="auto"/>
              <w:right w:val="nil"/>
            </w:tcBorders>
            <w:noWrap/>
            <w:vAlign w:val="bottom"/>
          </w:tcPr>
          <w:p w:rsidR="0042464E" w:rsidRPr="0023218F" w:rsidRDefault="0042464E">
            <w:pPr>
              <w:spacing w:line="240" w:lineRule="auto"/>
              <w:rPr>
                <w:rFonts w:eastAsiaTheme="minorEastAsia"/>
                <w:b/>
                <w:bCs/>
              </w:rPr>
            </w:pPr>
            <w:r w:rsidRPr="0023218F">
              <w:rPr>
                <w:rFonts w:eastAsiaTheme="minorEastAsia"/>
                <w:b/>
                <w:bCs/>
              </w:rPr>
              <w:t>Formulácia textu zmenkovej listiny</w:t>
            </w:r>
          </w:p>
        </w:tc>
        <w:tc>
          <w:tcPr>
            <w:tcW w:w="2660" w:type="dxa"/>
            <w:tcBorders>
              <w:top w:val="single" w:sz="8" w:space="0" w:color="auto"/>
              <w:left w:val="single" w:sz="8" w:space="0" w:color="auto"/>
              <w:bottom w:val="single" w:sz="8" w:space="0" w:color="auto"/>
              <w:right w:val="single" w:sz="8" w:space="0" w:color="auto"/>
            </w:tcBorders>
            <w:noWrap/>
            <w:vAlign w:val="bottom"/>
          </w:tcPr>
          <w:p w:rsidR="0042464E" w:rsidRPr="0023218F" w:rsidRDefault="0042464E">
            <w:pPr>
              <w:spacing w:line="240" w:lineRule="auto"/>
              <w:rPr>
                <w:rFonts w:eastAsiaTheme="minorEastAsia"/>
              </w:rPr>
            </w:pPr>
            <w:r w:rsidRPr="0023218F">
              <w:rPr>
                <w:rFonts w:eastAsiaTheme="minorEastAsia"/>
              </w:rPr>
              <w:t>,,Zaplatím za túto zmenku"</w:t>
            </w:r>
          </w:p>
        </w:tc>
        <w:tc>
          <w:tcPr>
            <w:tcW w:w="2900" w:type="dxa"/>
            <w:tcBorders>
              <w:top w:val="single" w:sz="8" w:space="0" w:color="auto"/>
              <w:left w:val="nil"/>
              <w:bottom w:val="single" w:sz="8" w:space="0" w:color="auto"/>
              <w:right w:val="single" w:sz="8" w:space="0" w:color="auto"/>
            </w:tcBorders>
            <w:noWrap/>
            <w:vAlign w:val="bottom"/>
          </w:tcPr>
          <w:p w:rsidR="0042464E" w:rsidRPr="0023218F" w:rsidRDefault="0042464E">
            <w:pPr>
              <w:spacing w:line="240" w:lineRule="auto"/>
              <w:rPr>
                <w:rFonts w:eastAsiaTheme="minorEastAsia"/>
              </w:rPr>
            </w:pPr>
            <w:r w:rsidRPr="0023218F">
              <w:rPr>
                <w:rFonts w:eastAsiaTheme="minorEastAsia"/>
              </w:rPr>
              <w:t>,,Zaplaťte za túto zmenku"</w:t>
            </w:r>
          </w:p>
        </w:tc>
      </w:tr>
    </w:tbl>
    <w:p w:rsidR="0042464E" w:rsidRDefault="0042464E">
      <w:pPr>
        <w:pStyle w:val="Tabulka-pramen"/>
        <w:jc w:val="both"/>
      </w:pPr>
      <w:r>
        <w:t xml:space="preserve">Zdroj: PAVELKA, Ľ.: (2008). </w:t>
      </w:r>
      <w:r w:rsidR="009D26F0">
        <w:rPr>
          <w:i/>
          <w:iCs/>
        </w:rPr>
        <w:t>Medzinárodný</w:t>
      </w:r>
      <w:r>
        <w:rPr>
          <w:i/>
          <w:iCs/>
        </w:rPr>
        <w:t xml:space="preserve"> platobný styk v podmienkach EÚ. </w:t>
      </w:r>
      <w:r>
        <w:t>Bratislava: EKONÓM, str. 86. Vlastné spracovanie.</w:t>
      </w:r>
    </w:p>
    <w:p w:rsidR="0042464E" w:rsidRDefault="0042464E">
      <w:pPr>
        <w:pStyle w:val="Nadpis3"/>
      </w:pPr>
      <w:bookmarkStart w:id="26" w:name="_Toc321001077"/>
      <w:r>
        <w:lastRenderedPageBreak/>
        <w:t>Zmenkové doložky</w:t>
      </w:r>
      <w:bookmarkEnd w:id="26"/>
    </w:p>
    <w:p w:rsidR="0042464E" w:rsidRDefault="0042464E">
      <w:r>
        <w:t>Ako uvádza Pavelka,</w:t>
      </w:r>
      <w:r>
        <w:rPr>
          <w:rStyle w:val="Znakapoznpodarou"/>
        </w:rPr>
        <w:t xml:space="preserve"> </w:t>
      </w:r>
      <w:r>
        <w:rPr>
          <w:rStyle w:val="Znakapoznpodarou"/>
        </w:rPr>
        <w:footnoteReference w:id="59"/>
      </w:r>
      <w:r>
        <w:t xml:space="preserve"> zmenkové doložky predstavujú tzv. nepodstatné náležitosti </w:t>
      </w:r>
      <w:r>
        <w:br/>
        <w:t xml:space="preserve">na zmenke. Ide o také doplnkové texty na zmenke, pri ktorých je dôležité sledovať, </w:t>
      </w:r>
      <w:r w:rsidR="009D26F0">
        <w:br/>
      </w:r>
      <w:r>
        <w:t xml:space="preserve">kto príslušnú doložku na zmenke napísal. </w:t>
      </w:r>
    </w:p>
    <w:p w:rsidR="0042464E" w:rsidRDefault="0042464E">
      <w:r>
        <w:t>Najčastejšie používané doložky na zmenkách:</w:t>
      </w:r>
      <w:r>
        <w:rPr>
          <w:rStyle w:val="Znakapoznpodarou"/>
        </w:rPr>
        <w:t xml:space="preserve"> </w:t>
      </w:r>
      <w:r>
        <w:rPr>
          <w:rStyle w:val="Znakapoznpodarou"/>
        </w:rPr>
        <w:footnoteReference w:id="60"/>
      </w:r>
      <w:r>
        <w:t xml:space="preserve"> </w:t>
      </w:r>
    </w:p>
    <w:p w:rsidR="0042464E" w:rsidRDefault="0042464E">
      <w:r>
        <w:rPr>
          <w:b/>
          <w:bCs/>
        </w:rPr>
        <w:t>Doložka bez postihu</w:t>
      </w:r>
      <w:r>
        <w:t xml:space="preserve"> – Without Recourse – Sine Obligo (anglicky) – niekedy </w:t>
      </w:r>
      <w:r w:rsidR="009D26F0">
        <w:t>nazývaná</w:t>
      </w:r>
      <w:r>
        <w:t xml:space="preserve"> bez regresu chráni bývalého majiteľa zmenky pred zodpovednosťou za jej zaplatenie poslednému majiteľovi. Ide o najčastejšie používanú doložku v medzinárodnom obchode, keď sa chce zbaviť rizika v tých prípadoch, keď zmenku získanú </w:t>
      </w:r>
      <w:r>
        <w:br/>
        <w:t xml:space="preserve">za realizovaný vývoz exportér ďalej predá svojej banke alebo forfaitérovi. Doložka </w:t>
      </w:r>
      <w:r>
        <w:br/>
        <w:t xml:space="preserve">sa uvádza priamo v texte indosament na rube zmenky a týka sa len toho, kto práva previedol na iný subjekt.  </w:t>
      </w:r>
    </w:p>
    <w:p w:rsidR="0042464E" w:rsidRDefault="0042464E">
      <w:r>
        <w:rPr>
          <w:b/>
          <w:bCs/>
        </w:rPr>
        <w:t>Doložka efektívnej platby</w:t>
      </w:r>
      <w:r>
        <w:t xml:space="preserve"> – Effektive payment (anglicky) – bráni tomu, </w:t>
      </w:r>
      <w:r>
        <w:br/>
        <w:t xml:space="preserve">aby zmenkový dlžník pri platení zmenky zaplatil plnením v domácej mene. Doložka </w:t>
      </w:r>
      <w:r>
        <w:br/>
        <w:t xml:space="preserve">sa využíva predovšetkým v medzinárodnom obchode s krajinami s nekonvertibilnou menou, kde hrozí riziko, že dlžník sa rozhodne platiť zmenkový záväzok v mene, ktorú majiteľ zmenky nechce alebo podľa devízových predpisov krajiny zmenkového dlžníka ani nemôže transportovať do zahraničia. Uvádza sa na lícnej strane zmenky </w:t>
      </w:r>
      <w:r>
        <w:br/>
        <w:t xml:space="preserve">pri zmenkovej sume. </w:t>
      </w:r>
    </w:p>
    <w:p w:rsidR="0042464E" w:rsidRDefault="0042464E">
      <w:r>
        <w:rPr>
          <w:b/>
          <w:bCs/>
        </w:rPr>
        <w:t>Doložka zmocňovacia</w:t>
      </w:r>
      <w:r>
        <w:t xml:space="preserve"> – Value for collection (anglicky) -  má za následok neprevedenie zmenkových práv na indosatára, má iba zmocnenie tejto osoby inkasovať zmenkovú sumu od dlžníka. Najčastejšie prípady sú, ak </w:t>
      </w:r>
      <w:r w:rsidR="009D26F0">
        <w:t>majiteľ</w:t>
      </w:r>
      <w:r>
        <w:t xml:space="preserve"> zmenky zmocní </w:t>
      </w:r>
      <w:r w:rsidR="009D26F0">
        <w:t>svoju</w:t>
      </w:r>
      <w:r>
        <w:t xml:space="preserve"> banku, </w:t>
      </w:r>
      <w:r w:rsidR="009D26F0">
        <w:br/>
      </w:r>
      <w:r>
        <w:t xml:space="preserve">aby v jeho </w:t>
      </w:r>
      <w:r w:rsidR="009D26F0">
        <w:t>mene</w:t>
      </w:r>
      <w:r>
        <w:t xml:space="preserve"> zabezpečila úhradu zmenky od dlžníka.  </w:t>
      </w:r>
    </w:p>
    <w:p w:rsidR="0042464E" w:rsidRDefault="0042464E">
      <w:r>
        <w:rPr>
          <w:b/>
          <w:bCs/>
        </w:rPr>
        <w:t>Doložka rekta</w:t>
      </w:r>
      <w:r>
        <w:t xml:space="preserve"> -  zabraňuje tomu, aby sa zmenka stala abstraktnou. Zmenka v tomto prípade zostane akcesorická, t</w:t>
      </w:r>
      <w:r w:rsidR="009D26F0">
        <w:t>.</w:t>
      </w:r>
      <w:r>
        <w:t xml:space="preserve">j. </w:t>
      </w:r>
      <w:r w:rsidR="009D26F0">
        <w:t>dlžníkove</w:t>
      </w:r>
      <w:r>
        <w:t xml:space="preserve"> kauzálne námietky</w:t>
      </w:r>
      <w:r>
        <w:rPr>
          <w:rStyle w:val="Znakapoznpodarou"/>
        </w:rPr>
        <w:footnoteReference w:id="61"/>
      </w:r>
      <w:r>
        <w:t xml:space="preserve">  zostávajú zachované </w:t>
      </w:r>
      <w:r>
        <w:br/>
      </w:r>
      <w:r>
        <w:lastRenderedPageBreak/>
        <w:t xml:space="preserve">aj pri ďalších prevodoch. V praxi sa tento druh doložky využíva veľmi málo, pretože </w:t>
      </w:r>
      <w:r>
        <w:br/>
        <w:t>je ťažšia možnosť odpredaja akcesorických zmeniek tretím osobám.</w:t>
      </w:r>
    </w:p>
    <w:p w:rsidR="0042464E" w:rsidRDefault="0042464E">
      <w:r>
        <w:rPr>
          <w:b/>
          <w:bCs/>
        </w:rPr>
        <w:t xml:space="preserve">Doložka bez protestu </w:t>
      </w:r>
      <w:r>
        <w:t>-   Without Protest (anglicky) – zbavuje majiteľa zmenky povinnosti podať protes</w:t>
      </w:r>
      <w:r w:rsidR="009D26F0">
        <w:t>t</w:t>
      </w:r>
      <w:r>
        <w:t xml:space="preserve">, ktorý by bol inak potrebný na založenie práv proti nepriamym regresným dlžníkom. </w:t>
      </w:r>
    </w:p>
    <w:p w:rsidR="0042464E" w:rsidRDefault="0042464E">
      <w:r>
        <w:rPr>
          <w:b/>
          <w:bCs/>
        </w:rPr>
        <w:t>Doložka úroková</w:t>
      </w:r>
      <w:r>
        <w:t xml:space="preserve"> – v zmenkách splatných na videnie alebo určitý čas po videní môže vystavovateľ cudzej zmenky stanoviť zúročenie zmenkovej sumy. </w:t>
      </w:r>
      <w:r w:rsidR="009D26F0">
        <w:t>Úroková</w:t>
      </w:r>
      <w:r>
        <w:t xml:space="preserve"> doložka </w:t>
      </w:r>
      <w:r>
        <w:br/>
        <w:t>sa vyznačuje na lícnu stranu zmenky a v praxi môže nahrádzať bianko</w:t>
      </w:r>
      <w:r w:rsidR="009D26F0">
        <w:t xml:space="preserve"> </w:t>
      </w:r>
      <w:r>
        <w:t xml:space="preserve">zmenky, ktorým chýba zmenková suma, prípadne dátum splatnosti. </w:t>
      </w:r>
    </w:p>
    <w:p w:rsidR="0042464E" w:rsidRDefault="0042464E">
      <w:pPr>
        <w:pStyle w:val="Nadpis3"/>
      </w:pPr>
      <w:bookmarkStart w:id="27" w:name="_Toc321001078"/>
      <w:r>
        <w:t>Funkcie zmenky</w:t>
      </w:r>
      <w:bookmarkEnd w:id="27"/>
    </w:p>
    <w:p w:rsidR="0042464E" w:rsidRDefault="0042464E">
      <w:r>
        <w:t>Pavelka</w:t>
      </w:r>
      <w:r>
        <w:rPr>
          <w:rStyle w:val="Znakapoznpodarou"/>
        </w:rPr>
        <w:footnoteReference w:id="62"/>
      </w:r>
      <w:r>
        <w:t xml:space="preserve"> vo svojej knihe rozoberá a definuje tri základné funkcie zmenky:</w:t>
      </w:r>
    </w:p>
    <w:p w:rsidR="0042464E" w:rsidRDefault="0042464E">
      <w:r>
        <w:rPr>
          <w:b/>
          <w:bCs/>
        </w:rPr>
        <w:t>Úverová funkcia</w:t>
      </w:r>
      <w:r>
        <w:t xml:space="preserve"> – predstavuje odloženie splatnosti úhrady záväzku za nakúpený tovar alebo služby importérovi od exportéra. Obvykle sa pritom používajú zmenky s pevným dátumom splatnosti. Zmenky splatné určitý čas po videní (prípadne 30, 60, 90 dní) </w:t>
      </w:r>
      <w:r>
        <w:br/>
        <w:t xml:space="preserve">sa často využívajú pri riešení odkladu splatnosti v rámci </w:t>
      </w:r>
      <w:r w:rsidR="009D26F0">
        <w:t>dokumentárnych</w:t>
      </w:r>
      <w:r>
        <w:t xml:space="preserve"> inkás </w:t>
      </w:r>
      <w:r>
        <w:br/>
        <w:t xml:space="preserve">a dokumentárnych akreditívov. </w:t>
      </w:r>
    </w:p>
    <w:p w:rsidR="0042464E" w:rsidRDefault="0042464E">
      <w:r>
        <w:rPr>
          <w:b/>
          <w:bCs/>
        </w:rPr>
        <w:t>Platobná funkcia</w:t>
      </w:r>
      <w:r>
        <w:t xml:space="preserve"> – </w:t>
      </w:r>
      <w:r>
        <w:rPr>
          <w:i/>
          <w:iCs/>
        </w:rPr>
        <w:t>z pozície importéra</w:t>
      </w:r>
      <w:r>
        <w:t xml:space="preserve"> – predstavuje najmä zmenka splatná na videnie. Takýmto cenným papierom zmenkový dlžník uhradil svoj záväzok zaplatiť </w:t>
      </w:r>
      <w:r w:rsidR="009D26F0">
        <w:t>faktúru</w:t>
      </w:r>
      <w:r>
        <w:t xml:space="preserve"> </w:t>
      </w:r>
      <w:r>
        <w:br/>
        <w:t xml:space="preserve">za nakúpený tovar alebo služby. </w:t>
      </w:r>
    </w:p>
    <w:p w:rsidR="0042464E" w:rsidRDefault="0042464E">
      <w:r>
        <w:rPr>
          <w:b/>
          <w:bCs/>
        </w:rPr>
        <w:t>Platobná funkcia</w:t>
      </w:r>
      <w:r>
        <w:t xml:space="preserve"> – </w:t>
      </w:r>
      <w:r>
        <w:rPr>
          <w:i/>
          <w:iCs/>
        </w:rPr>
        <w:t>z pozície exportéra</w:t>
      </w:r>
      <w:r>
        <w:t xml:space="preserve"> – zohráva taká zmenka, ktorú exportér získa </w:t>
      </w:r>
      <w:r>
        <w:br/>
        <w:t xml:space="preserve">od svojho odberateľa a ktorú neskôr predá tretej osobe, najmä banke, ešte pred lehotou splatnosti tejto zmenky.  Zmenku môže dať exportér aj ako zábezpeku obchodným partnerom alebo bankám, ktorí od neho žiadajú zabezpečovancie prostriedky. </w:t>
      </w:r>
    </w:p>
    <w:p w:rsidR="0042464E" w:rsidRDefault="009D26F0">
      <w:r>
        <w:rPr>
          <w:b/>
          <w:bCs/>
        </w:rPr>
        <w:t>Zabezpečovacia</w:t>
      </w:r>
      <w:r w:rsidR="0042464E">
        <w:rPr>
          <w:b/>
          <w:bCs/>
        </w:rPr>
        <w:t xml:space="preserve"> funkcia</w:t>
      </w:r>
      <w:r w:rsidR="0042464E">
        <w:t xml:space="preserve"> – majiteľovi môže cenný papier v podobe zmenky slúžiť </w:t>
      </w:r>
      <w:r>
        <w:br/>
      </w:r>
      <w:r w:rsidR="0042464E">
        <w:t xml:space="preserve">ako zábezpeka na krytie poskytnutého úveru pre prípad, že by tento nebol riadne, </w:t>
      </w:r>
      <w:r w:rsidR="0042464E">
        <w:lastRenderedPageBreak/>
        <w:t>v plnom rozsahu a včas uhradený. Vo vzťahu k bankovému úveru majú charakter vlastnej zmenky vystavenej ručiteľom konajúcim v</w:t>
      </w:r>
      <w:r>
        <w:t> </w:t>
      </w:r>
      <w:r w:rsidR="0042464E">
        <w:t>zhode</w:t>
      </w:r>
      <w:r>
        <w:t xml:space="preserve"> </w:t>
      </w:r>
      <w:r w:rsidR="0042464E">
        <w:t xml:space="preserve">so žiadateľom úveru. </w:t>
      </w:r>
    </w:p>
    <w:p w:rsidR="0042464E" w:rsidRDefault="0042464E">
      <w:pPr>
        <w:pStyle w:val="Nadpis3"/>
      </w:pPr>
      <w:bookmarkStart w:id="28" w:name="_Toc321001079"/>
      <w:r>
        <w:t>Elimininácia platobného rizika so zmenkami</w:t>
      </w:r>
      <w:bookmarkEnd w:id="28"/>
    </w:p>
    <w:p w:rsidR="0042464E" w:rsidRDefault="0042464E">
      <w:r>
        <w:t xml:space="preserve">Zmenky sa začiatkom 90. rokov 20. storočia stali predmetom mnohých podvodov nielen v slovenskom podnikateľskom prostredí, ale i v medzinárodnom obchode. </w:t>
      </w:r>
    </w:p>
    <w:p w:rsidR="0042464E" w:rsidRDefault="0042464E">
      <w:pPr>
        <w:rPr>
          <w:i/>
          <w:iCs/>
        </w:rPr>
      </w:pPr>
      <w:r>
        <w:t xml:space="preserve">Podľa § 17 zákona č. 191/1950 Zb. Zákon zmenkový a šekový: </w:t>
      </w:r>
      <w:r>
        <w:rPr>
          <w:i/>
          <w:iCs/>
        </w:rPr>
        <w:t>,,Kto je žalovaným dlžníkom zo zmenky, nemôže robiť majiteľovi námietky, ktoré sa zakladajú na  jeho vlastných vzťahoch k vystavovateľovi, alebo predchádzajúcim majiteľom, okrem prípadu, ak majiteľ pri nadobúdaní zmenky konal vedome na škodu dlžníka.“</w:t>
      </w:r>
    </w:p>
    <w:p w:rsidR="0042464E" w:rsidRDefault="0042464E">
      <w:r>
        <w:t>Ako uvádza Machková a kol.</w:t>
      </w:r>
      <w:r>
        <w:rPr>
          <w:rStyle w:val="Znakapoznpodarou"/>
        </w:rPr>
        <w:footnoteReference w:id="63"/>
      </w:r>
      <w:r>
        <w:t xml:space="preserve">, zabezpečovanie veriteľa prostredníctvom zmenky </w:t>
      </w:r>
      <w:r>
        <w:br/>
        <w:t xml:space="preserve">je lepšie vymáhateľné, pretože zmenková pohľadávka je majiteľom zmenky vymáhaná s väčšou istotou ako iné úverové pohľadávky.  Nebezpečenstvo pre dlžníka spočíva  v odovzdaní zmeniek skôr, ako dostane od svojho veriteľa peňažné alebo tovarové plnenie.  Zmenky posilňujú platobnú disciplínu objednávateľov tovaru alebo služieb. Dlžník zo zmenky sa vystavuje riziku pri zabezpečovacej zmenke, ktorú by mal veriteľ uplatniť, len ak dlžník včas a riadne nezaplatil faktúru. Niektorí veritelia prevedú zmenku na inú firmu, hoci dlžník faktúru uhradil. Nový majiteľ si uplatní práva </w:t>
      </w:r>
      <w:r>
        <w:br/>
        <w:t>zo zmenky a dlžník často zaplatí predmetnú sumu dvakrát.  Biankozmenka</w:t>
      </w:r>
      <w:r>
        <w:rPr>
          <w:rStyle w:val="Znakapoznpodarou"/>
        </w:rPr>
        <w:footnoteReference w:id="64"/>
      </w:r>
      <w:r>
        <w:t xml:space="preserve"> </w:t>
      </w:r>
      <w:r>
        <w:br/>
      </w:r>
      <w:r w:rsidR="009D26F0">
        <w:rPr>
          <w:highlight w:val="yellow"/>
        </w:rPr>
        <w:t>(viď. Prí</w:t>
      </w:r>
      <w:r>
        <w:rPr>
          <w:highlight w:val="yellow"/>
        </w:rPr>
        <w:t>loha)</w:t>
      </w:r>
      <w:r>
        <w:t xml:space="preserve"> v rukách veriteľa predstavuje najväčšie riziko. Majiteľ má právo dopísať na zmenku chýbajúce údaje. Obvykle je nimi dátum splatnosti a zmenková suma. Pokiaľ majiteľ zmenky doplní v rozpore s dohodou sumu radovo vyššiu, napr. o jednu nulu a zmenku indosuje</w:t>
      </w:r>
      <w:r>
        <w:rPr>
          <w:rStyle w:val="Znakapoznpodarou"/>
        </w:rPr>
        <w:footnoteReference w:id="65"/>
      </w:r>
      <w:r>
        <w:t xml:space="preserve"> na inú osobu, bude musieť novému majiteľovi zmenky dlžník zaplatiť celú sumu. </w:t>
      </w:r>
    </w:p>
    <w:p w:rsidR="0042464E" w:rsidRDefault="0042464E">
      <w:pPr>
        <w:pStyle w:val="Nadpis2"/>
      </w:pPr>
      <w:bookmarkStart w:id="29" w:name="_Toc321001080"/>
      <w:r>
        <w:lastRenderedPageBreak/>
        <w:t>Bankové záruky</w:t>
      </w:r>
      <w:bookmarkEnd w:id="29"/>
      <w:r>
        <w:t xml:space="preserve"> </w:t>
      </w:r>
    </w:p>
    <w:p w:rsidR="0042464E" w:rsidRDefault="0042464E">
      <w:r>
        <w:t xml:space="preserve">Banková záruka prestavuje neodvolateľné písomné vyhlásenie banky v záručnej listine, že uspokojí požiadavku veriteľa z bankovej záruky peňažným plnením v prípade, </w:t>
      </w:r>
      <w:r>
        <w:br/>
        <w:t xml:space="preserve">ak dlžník (tretia osoba na vystavenie bankovej záruky) nesplní záväzok uvedený </w:t>
      </w:r>
      <w:r>
        <w:br/>
        <w:t>v záručnej listine alebo budú splnené iné podmienky určené v záručnej listine. Banková záruka musí byť vystavená v písomnej forme. Takúto podmienku spĺňa aj správa banky zaslaná swiftom.</w:t>
      </w:r>
      <w:r>
        <w:rPr>
          <w:rStyle w:val="Znakapoznpodarou"/>
        </w:rPr>
        <w:footnoteReference w:id="66"/>
      </w:r>
      <w:r>
        <w:t xml:space="preserve"> </w:t>
      </w:r>
      <w:r w:rsidR="00D31FA9">
        <w:t>Rozdiel medzi bankovou zárukou a poistením pohľadávok vysvetľujeme v </w:t>
      </w:r>
      <w:r w:rsidR="00D31FA9" w:rsidRPr="00D31FA9">
        <w:rPr>
          <w:highlight w:val="yellow"/>
        </w:rPr>
        <w:t>Kapitole 3.3.1 – Tabuľka 6.</w:t>
      </w:r>
    </w:p>
    <w:p w:rsidR="0042464E" w:rsidRDefault="0042464E"/>
    <w:p w:rsidR="0042464E" w:rsidRDefault="0042464E">
      <w:pPr>
        <w:pStyle w:val="Nadpis3"/>
      </w:pPr>
      <w:bookmarkStart w:id="30" w:name="_Toc321001081"/>
      <w:r>
        <w:t>Charakteristika bankových záruk</w:t>
      </w:r>
      <w:bookmarkEnd w:id="30"/>
    </w:p>
    <w:p w:rsidR="0042464E" w:rsidRDefault="0042464E">
      <w:r>
        <w:t>Ako prezentuje Pavelka,</w:t>
      </w:r>
      <w:r>
        <w:rPr>
          <w:rStyle w:val="Znakapoznpodarou"/>
        </w:rPr>
        <w:t xml:space="preserve"> </w:t>
      </w:r>
      <w:r>
        <w:rPr>
          <w:rStyle w:val="Znakapoznpodarou"/>
        </w:rPr>
        <w:footnoteReference w:id="67"/>
      </w:r>
      <w:r>
        <w:t xml:space="preserve"> </w:t>
      </w:r>
      <w:r>
        <w:rPr>
          <w:i/>
          <w:iCs/>
        </w:rPr>
        <w:t xml:space="preserve">určitosť, </w:t>
      </w:r>
      <w:r w:rsidR="009D26F0">
        <w:rPr>
          <w:i/>
          <w:iCs/>
        </w:rPr>
        <w:t>zrozumiteľnosť</w:t>
      </w:r>
      <w:r>
        <w:rPr>
          <w:i/>
          <w:iCs/>
        </w:rPr>
        <w:t>, kauzálnosť</w:t>
      </w:r>
      <w:r>
        <w:t xml:space="preserve"> – text bankovej záruky musí obsahovať dôvody, na základe ktorých peňažný ústav bankovú záruku vystavuje. Kauzálnosť znamená, že nie je možné vystaviť bankovú záruku bez toho, </w:t>
      </w:r>
      <w:r>
        <w:br/>
        <w:t xml:space="preserve">aby obsahovala odvolávku na </w:t>
      </w:r>
      <w:r w:rsidR="009D26F0">
        <w:t>zmluvu</w:t>
      </w:r>
      <w:r>
        <w:t xml:space="preserve"> (kúpno-predajnú zmluvu, zmluvu o dielo, úverovú zmluvu).Záväzky z týchto zmlúv garantuje banka. </w:t>
      </w:r>
      <w:r w:rsidR="009D26F0">
        <w:t xml:space="preserve">Bankovú záruku je možné previesť </w:t>
      </w:r>
      <w:r>
        <w:t>na ďalšie osoby len spolu s pohľadávkou, ktorú z</w:t>
      </w:r>
      <w:r w:rsidR="009D26F0">
        <w:t>áruka kryje, v opačnom prípade t</w:t>
      </w:r>
      <w:r>
        <w:t xml:space="preserve">o nemá zmysel. V praxi sa vyskytujú výlučné neodvolateľné bankové záruky. </w:t>
      </w:r>
    </w:p>
    <w:p w:rsidR="0042464E" w:rsidRDefault="0042464E">
      <w:pPr>
        <w:pStyle w:val="Nadpis3"/>
      </w:pPr>
      <w:bookmarkStart w:id="31" w:name="_Toc321001082"/>
      <w:r>
        <w:t>Druhy bankových záruk</w:t>
      </w:r>
      <w:bookmarkEnd w:id="31"/>
    </w:p>
    <w:p w:rsidR="0042464E" w:rsidRDefault="0042464E">
      <w:r>
        <w:rPr>
          <w:b/>
          <w:bCs/>
        </w:rPr>
        <w:t>Potvrdená banková záruka</w:t>
      </w:r>
      <w:r>
        <w:t xml:space="preserve"> – pokiaľ banka, ktorá vystavuje bankovú záruku nemá dostatočnú bonitu, alebo pokiaľ sídli v krajine, ktorá sa vyznačuje vysokým politickým rizikom, môžu zahraniční obchodní partneri požadovať potvrdenú bankovú záruku.  </w:t>
      </w:r>
    </w:p>
    <w:p w:rsidR="0042464E" w:rsidRDefault="0042464E">
      <w:r>
        <w:rPr>
          <w:b/>
          <w:bCs/>
        </w:rPr>
        <w:t>Záruka za ponuku do verejnej súťaže</w:t>
      </w:r>
      <w:r>
        <w:t xml:space="preserve"> – danú záruku predkladá uchádzač v medzinárodnej súťaži vyhlasovanej štátnymi, prípadne inými organizáciami najmä verejného sektora pri výberových konaniach týkajúcich sa investičných celkov </w:t>
      </w:r>
      <w:r>
        <w:lastRenderedPageBreak/>
        <w:t>významných stavebných diel a pod. Záruka musí byť súčasťou prihlášky. Obvyklá požadovaná výška záruky býva 2 % až 10 % hodnoty kontraktu.</w:t>
      </w:r>
    </w:p>
    <w:p w:rsidR="0042464E" w:rsidRDefault="0042464E">
      <w:r>
        <w:rPr>
          <w:b/>
          <w:bCs/>
        </w:rPr>
        <w:t>Akontačná záruka</w:t>
      </w:r>
      <w:r>
        <w:t xml:space="preserve"> – </w:t>
      </w:r>
      <w:r>
        <w:rPr>
          <w:b/>
          <w:bCs/>
        </w:rPr>
        <w:t xml:space="preserve">záruka za vrátenie </w:t>
      </w:r>
      <w:r w:rsidR="009D26F0">
        <w:rPr>
          <w:b/>
          <w:bCs/>
        </w:rPr>
        <w:t>pred platby</w:t>
      </w:r>
      <w:r>
        <w:t xml:space="preserve"> -  záruku vyžaduje importér, </w:t>
      </w:r>
      <w:r>
        <w:br/>
        <w:t>od ktorého exportér vyžaduj</w:t>
      </w:r>
      <w:r w:rsidR="009D26F0">
        <w:t>e</w:t>
      </w:r>
      <w:r>
        <w:t xml:space="preserve"> platbu vopred. </w:t>
      </w:r>
      <w:r w:rsidR="009D26F0">
        <w:t>Obvykle id</w:t>
      </w:r>
      <w:r>
        <w:t xml:space="preserve">e o sumu do 30 % ceny tovaru, </w:t>
      </w:r>
      <w:r>
        <w:br/>
        <w:t>pri investičných celkoch obvykle 5 % ceny zariadenia na minimálne 15 % hodnoty kontraktu. Ak exportér odmietne poskytnutie takejto bankovej záruky, môže to byť pre importéra varovný signál, že jeho obchodnému partnerovi už domáca banka nedôveruje, má v</w:t>
      </w:r>
      <w:r w:rsidR="0015318C">
        <w:t xml:space="preserve"> </w:t>
      </w:r>
      <w:r>
        <w:t xml:space="preserve">nej </w:t>
      </w:r>
      <w:r w:rsidR="009D26F0">
        <w:t>prekročený</w:t>
      </w:r>
      <w:r>
        <w:t xml:space="preserve"> úverový limit alebo je v omeškaní v splácaní záväzkov voči svojim bankovým a nebankovým veriteľom. </w:t>
      </w:r>
    </w:p>
    <w:p w:rsidR="0042464E" w:rsidRDefault="0042464E">
      <w:r>
        <w:rPr>
          <w:b/>
          <w:bCs/>
        </w:rPr>
        <w:t>Záruka za zádržné</w:t>
      </w:r>
      <w:r>
        <w:t xml:space="preserve"> – pri dodávkach veľkých investičných celkov sa môžu použiť záruky za zádržné. V priebehu výstavby dodávateľ fakturovaných platieb dostane síce plnú hodnotu </w:t>
      </w:r>
      <w:r w:rsidR="009D26F0">
        <w:t>jednotlivých</w:t>
      </w:r>
      <w:r>
        <w:t xml:space="preserve"> fakturovaných platieb, ale podmienkou býva vystavenie bankovej záruky sa zádržné. Zárukou za zádržné si odberateľ kompenzuje </w:t>
      </w:r>
      <w:r w:rsidR="009D26F0">
        <w:t>nesplnenie</w:t>
      </w:r>
      <w:r>
        <w:t xml:space="preserve"> zmluvných podmienok dodávateľa pri dokončovaní investičného celku. Objemovo predstavuje 5 % - 10 % celkovej výšky platieb investora. </w:t>
      </w:r>
    </w:p>
    <w:p w:rsidR="0042464E" w:rsidRDefault="0042464E">
      <w:pPr>
        <w:pStyle w:val="Nadpis3"/>
      </w:pPr>
      <w:bookmarkStart w:id="32" w:name="_Toc321001083"/>
      <w:r>
        <w:t>Medzinárodné normy pre bankové záruky</w:t>
      </w:r>
      <w:bookmarkEnd w:id="32"/>
      <w:r>
        <w:t xml:space="preserve"> </w:t>
      </w:r>
    </w:p>
    <w:p w:rsidR="0042464E" w:rsidRDefault="0042464E">
      <w:r>
        <w:rPr>
          <w:b/>
          <w:bCs/>
        </w:rPr>
        <w:t>Medzinárodné normy pre oblasť akcesorických záruk</w:t>
      </w:r>
      <w:r>
        <w:rPr>
          <w:rStyle w:val="Znakapoznpodarou"/>
        </w:rPr>
        <w:footnoteReference w:id="68"/>
      </w:r>
      <w:r>
        <w:t xml:space="preserve"> – MOK</w:t>
      </w:r>
      <w:r>
        <w:rPr>
          <w:rStyle w:val="Znakapoznpodarou"/>
        </w:rPr>
        <w:footnoteReference w:id="69"/>
      </w:r>
      <w:r>
        <w:t xml:space="preserve">, definuje </w:t>
      </w:r>
      <w:r>
        <w:br/>
        <w:t>za najvýznamnejší článok pre oblasť akcerosických zár</w:t>
      </w:r>
      <w:r w:rsidR="009D26F0">
        <w:t>uk Jednotných pravidiel MOK, Publikácia</w:t>
      </w:r>
      <w:r>
        <w:t xml:space="preserve"> č</w:t>
      </w:r>
      <w:r w:rsidR="009D26F0">
        <w:t>íslo</w:t>
      </w:r>
      <w:r>
        <w:t xml:space="preserve"> ICC 325 článok 9, Paríž 1992, ktorý obsahuje súbor dokumentov, ktoré musí beneficient</w:t>
      </w:r>
      <w:r>
        <w:rPr>
          <w:rStyle w:val="Znakapoznpodarou"/>
        </w:rPr>
        <w:footnoteReference w:id="70"/>
      </w:r>
      <w:r>
        <w:t xml:space="preserve"> bankovej záruky predložiť pri uplatnení svojich nárokov ručiteľskej banke. Cieľom je zabezpečiť ochranu príkazcu proti zneužitiu</w:t>
      </w:r>
      <w:r w:rsidR="009D26F0">
        <w:t xml:space="preserve"> bankovej záruky beneficientom </w:t>
      </w:r>
      <w:r>
        <w:t xml:space="preserve">a obmedziť výplatu predovšetkým vtedy, ak takto rozhodne súd. </w:t>
      </w:r>
    </w:p>
    <w:p w:rsidR="0042464E" w:rsidRDefault="0042464E">
      <w:r>
        <w:rPr>
          <w:b/>
          <w:bCs/>
        </w:rPr>
        <w:lastRenderedPageBreak/>
        <w:t>Medzinárodné normy pre oblasť abstraktných záruk</w:t>
      </w:r>
      <w:r>
        <w:rPr>
          <w:rStyle w:val="Znakapoznpodarou"/>
        </w:rPr>
        <w:footnoteReference w:id="71"/>
      </w:r>
      <w:r>
        <w:t xml:space="preserve"> - MOK, definuje </w:t>
      </w:r>
      <w:r>
        <w:br/>
        <w:t>za najvýznamnejší článok pre oblasť abstraktných záruk Jednotných pravidiel MOK</w:t>
      </w:r>
      <w:r w:rsidR="009D26F0">
        <w:t>, Publikácia číslo</w:t>
      </w:r>
      <w:r>
        <w:t xml:space="preserve"> ICC 458, Paríž 1992. Beneficient v zmysle ICC 458 musí iba predložiť vyhlásenie, že príkazca nesplnil zmluvné povinnosti z kontraktu.  Pokiaľ v texte záručnej listiny je uvedené, že beneficient musí predložiť v prípade záruky za dodávku dokum</w:t>
      </w:r>
      <w:r w:rsidR="00D31FA9">
        <w:t xml:space="preserve">enty deklarujúce realizáciu a </w:t>
      </w:r>
      <w:r>
        <w:t xml:space="preserve">dodanie tovaru, je táto skutočnosť nadštandardnou </w:t>
      </w:r>
      <w:r w:rsidR="00D31FA9">
        <w:t>ochranou</w:t>
      </w:r>
      <w:r>
        <w:t xml:space="preserve"> príkazcu.</w:t>
      </w:r>
    </w:p>
    <w:p w:rsidR="0042464E" w:rsidRDefault="0042464E">
      <w:pPr>
        <w:pStyle w:val="Nadpis2"/>
      </w:pPr>
      <w:bookmarkStart w:id="33" w:name="_Toc321001084"/>
      <w:r>
        <w:t>Faktoring</w:t>
      </w:r>
      <w:bookmarkEnd w:id="33"/>
    </w:p>
    <w:p w:rsidR="0042464E" w:rsidRDefault="0042464E">
      <w:r>
        <w:t xml:space="preserve">Definičné pojatie faktoringu v publikácii </w:t>
      </w:r>
      <w:r>
        <w:rPr>
          <w:i/>
          <w:iCs/>
        </w:rPr>
        <w:t>,,Medzinárodný platobný styk v </w:t>
      </w:r>
      <w:r w:rsidR="00D31FA9">
        <w:rPr>
          <w:i/>
          <w:iCs/>
        </w:rPr>
        <w:t>podmienkach</w:t>
      </w:r>
      <w:r>
        <w:rPr>
          <w:i/>
          <w:iCs/>
        </w:rPr>
        <w:t xml:space="preserve"> EÚ“</w:t>
      </w:r>
      <w:r>
        <w:t xml:space="preserve"> od Pavelku,</w:t>
      </w:r>
      <w:r>
        <w:rPr>
          <w:rStyle w:val="Znakapoznpodarou"/>
        </w:rPr>
        <w:footnoteReference w:id="72"/>
      </w:r>
      <w:r>
        <w:t xml:space="preserve"> predstavuje faktoring ako odkupovanie účtovných pohľadávok dodávateľa voči odberateľom, s ktorými má </w:t>
      </w:r>
      <w:r w:rsidR="00D31FA9">
        <w:t>uzavreté</w:t>
      </w:r>
      <w:r>
        <w:t xml:space="preserve"> minimálne 6 - 12 mesačné kontrakty. Faktoring sa vyvinul pôvodne z eskontu zmeniek a césie pohľadávok.</w:t>
      </w:r>
      <w:r>
        <w:rPr>
          <w:rStyle w:val="Znakapoznpodarou"/>
        </w:rPr>
        <w:footnoteReference w:id="73"/>
      </w:r>
      <w:r>
        <w:t xml:space="preserve"> Dodávateľ podpíše kontrakt s odberateľmi na príslušné obdobie a s dohodnutou lehotou splatnosti čiastkových dodávok. Faktoringová spoločnosť, ktorú osloví dodávateľ (môže byť aj banka), preverí bonitu dodávateľa a odberateľov. Na základe vlastnej analýzy dohodne s dodávateľom podmienky odkúpenia pohľadávok, ako aj druh faktoringu </w:t>
      </w:r>
      <w:r>
        <w:rPr>
          <w:b/>
          <w:bCs/>
        </w:rPr>
        <w:t>postihový (regresný)</w:t>
      </w:r>
      <w:r>
        <w:rPr>
          <w:i/>
          <w:iCs/>
        </w:rPr>
        <w:t xml:space="preserve"> </w:t>
      </w:r>
      <w:r>
        <w:t xml:space="preserve">alebo </w:t>
      </w:r>
      <w:r>
        <w:rPr>
          <w:b/>
          <w:bCs/>
        </w:rPr>
        <w:t>bezpostihový (bezregresný).</w:t>
      </w:r>
      <w:r>
        <w:t xml:space="preserve"> Po uzatvorení zmluvy s dodávateľom faktoringová spoločnosť môže vykonávať okrem odkúpenia pohľadávok aj kompletný servis spojený s vymáhaním, evidenciou a správou pohľadávok. </w:t>
      </w:r>
    </w:p>
    <w:p w:rsidR="0042464E" w:rsidRDefault="0042464E">
      <w:r>
        <w:t xml:space="preserve">Problémom medzinárodného podnikania sa venuje Ferenčíková vo svojej knihe </w:t>
      </w:r>
      <w:r>
        <w:rPr>
          <w:i/>
          <w:iCs/>
        </w:rPr>
        <w:t>,,Aktuálne problé</w:t>
      </w:r>
      <w:r w:rsidR="00D31FA9">
        <w:rPr>
          <w:i/>
          <w:iCs/>
        </w:rPr>
        <w:t>my medzinárodného po</w:t>
      </w:r>
      <w:r>
        <w:rPr>
          <w:i/>
          <w:iCs/>
        </w:rPr>
        <w:t>d</w:t>
      </w:r>
      <w:r w:rsidR="00D31FA9">
        <w:rPr>
          <w:i/>
          <w:iCs/>
        </w:rPr>
        <w:t>ni</w:t>
      </w:r>
      <w:r>
        <w:rPr>
          <w:i/>
          <w:iCs/>
        </w:rPr>
        <w:t>kania“.</w:t>
      </w:r>
      <w:r>
        <w:rPr>
          <w:rStyle w:val="Znakapoznpodarou"/>
        </w:rPr>
        <w:t xml:space="preserve"> </w:t>
      </w:r>
      <w:r>
        <w:rPr>
          <w:rStyle w:val="Znakapoznpodarou"/>
        </w:rPr>
        <w:footnoteReference w:id="74"/>
      </w:r>
      <w:r>
        <w:t xml:space="preserve"> Kniha vysvetľuje, že pohľadávky, ktoré sú predmetom odkupu, musia obvykle spĺňať </w:t>
      </w:r>
      <w:r w:rsidR="00D31FA9">
        <w:t>nasledujúce</w:t>
      </w:r>
      <w:r>
        <w:t xml:space="preserve"> podmienky:</w:t>
      </w:r>
    </w:p>
    <w:p w:rsidR="0042464E" w:rsidRDefault="0042464E">
      <w:pPr>
        <w:pStyle w:val="Odrka1stupn"/>
        <w:rPr>
          <w:i/>
          <w:iCs/>
        </w:rPr>
      </w:pPr>
      <w:r>
        <w:rPr>
          <w:i/>
          <w:iCs/>
        </w:rPr>
        <w:t xml:space="preserve">,,Existencia možnosti postúpenia pohľadávky; </w:t>
      </w:r>
    </w:p>
    <w:p w:rsidR="0042464E" w:rsidRDefault="0042464E">
      <w:pPr>
        <w:pStyle w:val="Odrka1stupn"/>
        <w:rPr>
          <w:i/>
          <w:iCs/>
        </w:rPr>
      </w:pPr>
      <w:r>
        <w:rPr>
          <w:i/>
          <w:iCs/>
        </w:rPr>
        <w:t>splatnosť pohľadávky nesmie prekročiť 180 dní;</w:t>
      </w:r>
    </w:p>
    <w:p w:rsidR="0042464E" w:rsidRDefault="0042464E">
      <w:pPr>
        <w:pStyle w:val="Odrka1stupn"/>
        <w:rPr>
          <w:i/>
          <w:iCs/>
        </w:rPr>
      </w:pPr>
      <w:r>
        <w:rPr>
          <w:i/>
          <w:iCs/>
        </w:rPr>
        <w:t>nesmie byť s pohľadávkou spojené právo tretích osôb;</w:t>
      </w:r>
    </w:p>
    <w:p w:rsidR="0042464E" w:rsidRDefault="0042464E">
      <w:pPr>
        <w:pStyle w:val="Odrka1stupn"/>
      </w:pPr>
      <w:r>
        <w:rPr>
          <w:i/>
          <w:iCs/>
        </w:rPr>
        <w:lastRenderedPageBreak/>
        <w:t>pohľadávka musí byť pre faktoringovú spoločnosť akceptovateľná“.</w:t>
      </w:r>
      <w:r>
        <w:rPr>
          <w:rStyle w:val="Znakapoznpodarou"/>
        </w:rPr>
        <w:t xml:space="preserve"> </w:t>
      </w:r>
      <w:r>
        <w:rPr>
          <w:rStyle w:val="Znakapoznpodarou"/>
        </w:rPr>
        <w:footnoteReference w:id="75"/>
      </w:r>
    </w:p>
    <w:p w:rsidR="0042464E" w:rsidRDefault="0042464E">
      <w:pPr>
        <w:pStyle w:val="Odrka1stupn"/>
        <w:numPr>
          <w:ilvl w:val="0"/>
          <w:numId w:val="0"/>
        </w:numPr>
      </w:pPr>
    </w:p>
    <w:p w:rsidR="0042464E" w:rsidRDefault="0042464E">
      <w:r>
        <w:rPr>
          <w:rStyle w:val="bbtext"/>
        </w:rPr>
        <w:t>Faktoring na Slovensku využívajú všetky druhy spoločností a nedá sa presne vymedziť oblasť, v ktorej by bol záujem o faktoringové služby dlhodobo vyšší. Podľa Asociácie faktoringových spoločností</w:t>
      </w:r>
      <w:r>
        <w:rPr>
          <w:rStyle w:val="Znakapoznpodarou"/>
        </w:rPr>
        <w:footnoteReference w:id="76"/>
      </w:r>
      <w:r>
        <w:rPr>
          <w:rStyle w:val="bbtext"/>
        </w:rPr>
        <w:t xml:space="preserve"> je podiel využívania týchto služieb zo strany malých </w:t>
      </w:r>
      <w:r>
        <w:rPr>
          <w:rStyle w:val="bbtext"/>
        </w:rPr>
        <w:br/>
        <w:t>a stredných podnikateľov až 64 percent (Graf 1), hlavne v oblastiach ako je logistika, distribúcia, potravinárstvo a stavebníctvo.</w:t>
      </w:r>
      <w:r>
        <w:rPr>
          <w:rStyle w:val="Znakapoznpodarou"/>
        </w:rPr>
        <w:t xml:space="preserve"> </w:t>
      </w:r>
    </w:p>
    <w:p w:rsidR="0042464E" w:rsidRDefault="0042464E">
      <w:pPr>
        <w:pStyle w:val="Tabulka"/>
      </w:pPr>
      <w:r>
        <w:t>Graf 2 Štruktúra portfólia faktoringových spoločnosti (v%)</w:t>
      </w:r>
    </w:p>
    <w:p w:rsidR="0015318C" w:rsidRPr="0015318C" w:rsidRDefault="0015318C" w:rsidP="0015318C">
      <w:pPr>
        <w:pStyle w:val="Tabulka-text"/>
      </w:pPr>
    </w:p>
    <w:p w:rsidR="0042464E" w:rsidRDefault="00F03713">
      <w:pPr>
        <w:pStyle w:val="Tabulka-text"/>
      </w:pPr>
      <w:r>
        <w:rPr>
          <w:noProof/>
          <w:lang w:eastAsia="sk-SK"/>
        </w:rPr>
        <w:drawing>
          <wp:inline distT="0" distB="0" distL="0" distR="0">
            <wp:extent cx="4858451" cy="2838450"/>
            <wp:effectExtent l="171450" t="133350" r="361249" b="30480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858451" cy="2838450"/>
                    </a:xfrm>
                    <a:prstGeom prst="rect">
                      <a:avLst/>
                    </a:prstGeom>
                    <a:ln>
                      <a:noFill/>
                    </a:ln>
                    <a:effectLst>
                      <a:outerShdw blurRad="292100" dist="139700" dir="2700000" algn="tl" rotWithShape="0">
                        <a:srgbClr val="333333">
                          <a:alpha val="65000"/>
                        </a:srgbClr>
                      </a:outerShdw>
                    </a:effectLst>
                  </pic:spPr>
                </pic:pic>
              </a:graphicData>
            </a:graphic>
          </wp:inline>
        </w:drawing>
      </w:r>
    </w:p>
    <w:p w:rsidR="0042464E" w:rsidRDefault="0042464E" w:rsidP="009D26F0">
      <w:pPr>
        <w:pStyle w:val="Tabulka-pramen"/>
        <w:jc w:val="both"/>
      </w:pPr>
      <w:r>
        <w:t xml:space="preserve">Zdroj: Asociácia faktoringových spoločností. </w:t>
      </w:r>
      <w:r>
        <w:rPr>
          <w:i/>
          <w:iCs/>
        </w:rPr>
        <w:t xml:space="preserve">Faktoring zlepšuje tok peňazí  2011 [online]. </w:t>
      </w:r>
      <w:r>
        <w:t>Dostupné z WWW:</w:t>
      </w:r>
      <w:r>
        <w:rPr>
          <w:lang w:val="en-US"/>
        </w:rPr>
        <w:t>&lt;</w:t>
      </w:r>
      <w:r>
        <w:t>http://hnonline.sk/ekonomika/c1-20634630-faktoring-zlepsuje-tok-penazi.htm</w:t>
      </w:r>
      <w:r>
        <w:rPr>
          <w:lang w:val="en-US"/>
        </w:rPr>
        <w:t>&gt;, (dáta k 15.12.2011).</w:t>
      </w:r>
    </w:p>
    <w:p w:rsidR="0042464E" w:rsidRDefault="0042464E">
      <w:pPr>
        <w:pStyle w:val="Zkladntext"/>
      </w:pPr>
      <w:r>
        <w:t>V Slovenskej republike v </w:t>
      </w:r>
      <w:r w:rsidR="009D26F0">
        <w:t>súčasnej</w:t>
      </w:r>
      <w:r>
        <w:t xml:space="preserve"> dobe funguje hneď niekoľko faktoringových </w:t>
      </w:r>
      <w:r w:rsidR="009D26F0">
        <w:t>spoločností</w:t>
      </w:r>
      <w:r>
        <w:t xml:space="preserve">, ktoré sú združené v Asociácii faktoringových spoločnosti Slovenskej republiky. Prehľad </w:t>
      </w:r>
      <w:r w:rsidR="009D26F0">
        <w:t>najvýznamnejších</w:t>
      </w:r>
      <w:r>
        <w:t xml:space="preserve"> faktoringových </w:t>
      </w:r>
      <w:r w:rsidR="009D26F0">
        <w:t>spoločností</w:t>
      </w:r>
      <w:r>
        <w:t xml:space="preserve"> na základe trhových podielov ukazuje Graf 3. </w:t>
      </w:r>
    </w:p>
    <w:p w:rsidR="0042464E" w:rsidRDefault="0042464E">
      <w:pPr>
        <w:pStyle w:val="Tabulka"/>
      </w:pPr>
      <w:r>
        <w:lastRenderedPageBreak/>
        <w:t xml:space="preserve">Graf 3 </w:t>
      </w:r>
      <w:r w:rsidR="00F21555">
        <w:t xml:space="preserve">Trhové podiely faktoringových spoločnosti v SR </w:t>
      </w:r>
      <w:r>
        <w:t>(v%)</w:t>
      </w:r>
    </w:p>
    <w:p w:rsidR="0042464E" w:rsidRDefault="00F03713">
      <w:pPr>
        <w:pStyle w:val="Tabulka-text"/>
      </w:pPr>
      <w:r>
        <w:rPr>
          <w:noProof/>
          <w:lang w:eastAsia="sk-SK"/>
        </w:rPr>
        <w:drawing>
          <wp:inline distT="0" distB="0" distL="0" distR="0">
            <wp:extent cx="4814128" cy="3048000"/>
            <wp:effectExtent l="171450" t="133350" r="367472" b="30480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816955" cy="3049790"/>
                    </a:xfrm>
                    <a:prstGeom prst="rect">
                      <a:avLst/>
                    </a:prstGeom>
                    <a:ln>
                      <a:noFill/>
                    </a:ln>
                    <a:effectLst>
                      <a:outerShdw blurRad="292100" dist="139700" dir="2700000" algn="tl" rotWithShape="0">
                        <a:srgbClr val="333333">
                          <a:alpha val="65000"/>
                        </a:srgbClr>
                      </a:outerShdw>
                    </a:effectLst>
                  </pic:spPr>
                </pic:pic>
              </a:graphicData>
            </a:graphic>
          </wp:inline>
        </w:drawing>
      </w:r>
    </w:p>
    <w:p w:rsidR="0042464E" w:rsidRDefault="0042464E">
      <w:pPr>
        <w:pStyle w:val="Tabulka-pramen"/>
        <w:jc w:val="both"/>
      </w:pPr>
      <w:r>
        <w:t xml:space="preserve">Zdroj: Asociácia faktoringových spoločností. </w:t>
      </w:r>
      <w:r>
        <w:rPr>
          <w:i/>
          <w:iCs/>
        </w:rPr>
        <w:t>Faktoring po ďalšom zosune verí v čerstvý vánok.2011 [online].</w:t>
      </w:r>
      <w:r>
        <w:t>Dostupné z WWW:</w:t>
      </w:r>
      <w:r>
        <w:rPr>
          <w:lang w:val="en-US"/>
        </w:rPr>
        <w:t>&lt;</w:t>
      </w:r>
      <w:r>
        <w:t xml:space="preserve"> http://www.etrend.sk/trend-archiv/rok-/cislo-/faktoring-po-dalsom-zosune-veri-v-cerstvy-vanok.html</w:t>
      </w:r>
      <w:r>
        <w:rPr>
          <w:lang w:val="en-US"/>
        </w:rPr>
        <w:t>&gt;, (</w:t>
      </w:r>
      <w:r w:rsidR="009D26F0">
        <w:rPr>
          <w:lang w:val="en-US"/>
        </w:rPr>
        <w:t>data</w:t>
      </w:r>
      <w:r>
        <w:rPr>
          <w:lang w:val="en-US"/>
        </w:rPr>
        <w:t xml:space="preserve"> k 13.1.2012).</w:t>
      </w:r>
    </w:p>
    <w:p w:rsidR="0042464E" w:rsidRDefault="0042464E">
      <w:pPr>
        <w:pStyle w:val="Tabulka-text"/>
      </w:pPr>
    </w:p>
    <w:p w:rsidR="0042464E" w:rsidRDefault="0042464E">
      <w:pPr>
        <w:pStyle w:val="Nadpis3"/>
      </w:pPr>
      <w:bookmarkStart w:id="34" w:name="_Toc321001085"/>
      <w:r>
        <w:t>Charakter faktoringovateľných pohľadávok</w:t>
      </w:r>
      <w:bookmarkEnd w:id="34"/>
    </w:p>
    <w:p w:rsidR="0042464E" w:rsidRDefault="0042464E">
      <w:pPr>
        <w:pStyle w:val="Odrka1stupn"/>
        <w:numPr>
          <w:ilvl w:val="0"/>
          <w:numId w:val="0"/>
        </w:numPr>
      </w:pPr>
      <w:r>
        <w:t xml:space="preserve">Pohľadávky, ktoré vstupujú do faktoringu musia mať charakter opakovanej účtovnej pohľadávky, voči odberateľom, s ktorými uzavrel dodávateľ rámcovú zmluvu bez finančného obmedzenia najmenšieho obchodu. Faktoringová spoločnosť nakupuje pohľadávku za nominálnu hodnotu a  diskontnú sadzbu si vyúčtuje faktoringová spoločnosť pri splatnosti pohľadávky a jej uhradení dlžníkom. Faktoringová spoločnosť </w:t>
      </w:r>
      <w:r w:rsidR="009D26F0">
        <w:t>akceptuje</w:t>
      </w:r>
      <w:r>
        <w:t xml:space="preserve"> splatnosť u tuzemských pohľadávok 30 až 120 dní, u zahraničných 30 až 180 dní. Ak pohľadávka nie je zhodná s menou danej krajiny, dochádza k vyrovnaniu  v domácej mene.  Dlžník (importér) vždy vie o tom, že exportér pohľadávku </w:t>
      </w:r>
      <w:r w:rsidR="009D26F0">
        <w:t>postupuje</w:t>
      </w:r>
      <w:r>
        <w:t xml:space="preserve"> na faktoringovú </w:t>
      </w:r>
      <w:r w:rsidR="009D26F0">
        <w:t>spoločnosť</w:t>
      </w:r>
      <w:r>
        <w:t xml:space="preserve">, ktorá vedie účtovníctvo spojené s inkasom pohľadávok.  </w:t>
      </w:r>
    </w:p>
    <w:p w:rsidR="0042464E" w:rsidRDefault="0042464E">
      <w:pPr>
        <w:pStyle w:val="Odrka1stupn"/>
        <w:numPr>
          <w:ilvl w:val="0"/>
          <w:numId w:val="0"/>
        </w:numPr>
      </w:pPr>
    </w:p>
    <w:p w:rsidR="0042464E" w:rsidRDefault="0042464E">
      <w:pPr>
        <w:pStyle w:val="Nadpis3"/>
      </w:pPr>
      <w:bookmarkStart w:id="35" w:name="_Toc321001086"/>
      <w:r>
        <w:lastRenderedPageBreak/>
        <w:t>Priebeh faktoringovej operácie</w:t>
      </w:r>
      <w:bookmarkEnd w:id="35"/>
    </w:p>
    <w:p w:rsidR="0042464E" w:rsidRDefault="0042464E">
      <w:pPr>
        <w:pStyle w:val="Odrka1stupn"/>
        <w:numPr>
          <w:ilvl w:val="0"/>
          <w:numId w:val="0"/>
        </w:numPr>
      </w:pPr>
      <w:r>
        <w:t xml:space="preserve">O priebehu faktorigovej operácie píše taktiež Kislingerová, </w:t>
      </w:r>
      <w:r>
        <w:rPr>
          <w:rStyle w:val="Znakapoznpodarou"/>
        </w:rPr>
        <w:footnoteReference w:id="77"/>
      </w:r>
      <w:r>
        <w:t xml:space="preserve"> ktorá poukazuje </w:t>
      </w:r>
      <w:r>
        <w:br/>
        <w:t xml:space="preserve">na  významnú úlohu pri vzniku faktoringového obchodu  aj na bonitu exportéra </w:t>
      </w:r>
      <w:r>
        <w:br/>
        <w:t xml:space="preserve">aj importéra. </w:t>
      </w:r>
    </w:p>
    <w:p w:rsidR="0042464E" w:rsidRDefault="0042464E">
      <w:pPr>
        <w:pStyle w:val="Tabulka"/>
      </w:pPr>
      <w:r>
        <w:t>Obrázok 4  Priebeh faktoringu</w:t>
      </w:r>
    </w:p>
    <w:p w:rsidR="0042464E" w:rsidRDefault="00F03713">
      <w:pPr>
        <w:pStyle w:val="Tabulka-text"/>
      </w:pPr>
      <w:r>
        <w:rPr>
          <w:noProof/>
          <w:lang w:eastAsia="sk-SK"/>
        </w:rPr>
        <w:drawing>
          <wp:inline distT="0" distB="0" distL="0" distR="0">
            <wp:extent cx="4314825" cy="2962275"/>
            <wp:effectExtent l="171450" t="133350" r="371475" b="3143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314825" cy="2962275"/>
                    </a:xfrm>
                    <a:prstGeom prst="rect">
                      <a:avLst/>
                    </a:prstGeom>
                    <a:ln>
                      <a:noFill/>
                    </a:ln>
                    <a:effectLst>
                      <a:outerShdw blurRad="292100" dist="139700" dir="2700000" algn="tl" rotWithShape="0">
                        <a:srgbClr val="333333">
                          <a:alpha val="65000"/>
                        </a:srgbClr>
                      </a:outerShdw>
                    </a:effectLst>
                  </pic:spPr>
                </pic:pic>
              </a:graphicData>
            </a:graphic>
          </wp:inline>
        </w:drawing>
      </w:r>
    </w:p>
    <w:p w:rsidR="0042464E" w:rsidRDefault="0042464E" w:rsidP="00376951">
      <w:pPr>
        <w:pStyle w:val="Tabulka-pramen"/>
        <w:jc w:val="both"/>
      </w:pPr>
      <w:r>
        <w:t xml:space="preserve">Zdroj: TREND. </w:t>
      </w:r>
      <w:r>
        <w:rPr>
          <w:i/>
          <w:iCs/>
        </w:rPr>
        <w:t xml:space="preserve">Je pre Vás vhodnejší kontokorent alebo faktoring? 2011 [online]. </w:t>
      </w:r>
      <w:r>
        <w:t xml:space="preserve">Dostupné </w:t>
      </w:r>
      <w:r>
        <w:br/>
        <w:t>z WWW :</w:t>
      </w:r>
      <w:r>
        <w:rPr>
          <w:lang w:val="en-US"/>
        </w:rPr>
        <w:t xml:space="preserve"> &lt;</w:t>
      </w:r>
      <w:r>
        <w:t>http://ekonomika.etrend.sk/ekonomika-slovensko/neplatia-vam-partneri-ziskajte-peniaze-inak.html</w:t>
      </w:r>
      <w:r>
        <w:rPr>
          <w:lang w:val="en-US"/>
        </w:rPr>
        <w:t>&gt;</w:t>
      </w:r>
      <w:r>
        <w:t>. Vlastné spracovanie.</w:t>
      </w:r>
    </w:p>
    <w:p w:rsidR="0042464E" w:rsidRDefault="0042464E">
      <w:r>
        <w:t xml:space="preserve">Legenda: </w:t>
      </w:r>
    </w:p>
    <w:p w:rsidR="0042464E" w:rsidRDefault="0042464E" w:rsidP="0023218F">
      <w:pPr>
        <w:numPr>
          <w:ilvl w:val="0"/>
          <w:numId w:val="6"/>
        </w:numPr>
        <w:spacing w:after="0"/>
        <w:ind w:left="714" w:hanging="357"/>
        <w:rPr>
          <w:lang w:val="en-US"/>
        </w:rPr>
      </w:pPr>
      <w:r>
        <w:t>kontrakt (rámcová zmluva) medzi dodávateľom a odberateľom a fakturácia dodaného tovaru, dodanie tovaru alebo služby</w:t>
      </w:r>
      <w:r>
        <w:rPr>
          <w:lang w:val="en-US"/>
        </w:rPr>
        <w:t>;</w:t>
      </w:r>
    </w:p>
    <w:p w:rsidR="0042464E" w:rsidRDefault="0042464E" w:rsidP="0023218F">
      <w:pPr>
        <w:numPr>
          <w:ilvl w:val="0"/>
          <w:numId w:val="6"/>
        </w:numPr>
        <w:spacing w:after="0"/>
        <w:ind w:left="714" w:hanging="357"/>
      </w:pPr>
      <w:r w:rsidRPr="00376951">
        <w:t>postúpenie</w:t>
      </w:r>
      <w:r>
        <w:rPr>
          <w:lang w:val="en-US"/>
        </w:rPr>
        <w:t xml:space="preserve"> (</w:t>
      </w:r>
      <w:r w:rsidRPr="00376951">
        <w:t>césia</w:t>
      </w:r>
      <w:r>
        <w:rPr>
          <w:lang w:val="en-US"/>
        </w:rPr>
        <w:t>) pohľadávky;</w:t>
      </w:r>
    </w:p>
    <w:p w:rsidR="0042464E" w:rsidRDefault="0042464E">
      <w:pPr>
        <w:spacing w:after="0"/>
        <w:ind w:left="357"/>
      </w:pPr>
      <w:r>
        <w:rPr>
          <w:lang w:val="en-US"/>
        </w:rPr>
        <w:t xml:space="preserve">2a. výplata dodávateľa vo </w:t>
      </w:r>
      <w:proofErr w:type="gramStart"/>
      <w:r>
        <w:rPr>
          <w:lang w:val="en-US"/>
        </w:rPr>
        <w:t>výške  80</w:t>
      </w:r>
      <w:proofErr w:type="gramEnd"/>
      <w:r>
        <w:rPr>
          <w:lang w:val="en-US"/>
        </w:rPr>
        <w:t xml:space="preserve"> % hodnoty konkrétnej pohľadávky;</w:t>
      </w:r>
    </w:p>
    <w:p w:rsidR="0042464E" w:rsidRDefault="0042464E" w:rsidP="0023218F">
      <w:pPr>
        <w:numPr>
          <w:ilvl w:val="0"/>
          <w:numId w:val="6"/>
        </w:numPr>
        <w:spacing w:after="0"/>
        <w:ind w:left="714" w:hanging="357"/>
      </w:pPr>
      <w:r>
        <w:rPr>
          <w:lang w:val="en-US"/>
        </w:rPr>
        <w:t>inkaso pohľadávok v banke dĺžníka, prípadne súdne vymáhanie pohľadávok;</w:t>
      </w:r>
    </w:p>
    <w:p w:rsidR="0042464E" w:rsidRDefault="0042464E" w:rsidP="00376951">
      <w:pPr>
        <w:spacing w:after="0"/>
        <w:ind w:firstLine="357"/>
        <w:rPr>
          <w:lang w:val="en-US"/>
        </w:rPr>
      </w:pPr>
      <w:r>
        <w:rPr>
          <w:lang w:val="en-US"/>
        </w:rPr>
        <w:t>3a. výplata</w:t>
      </w:r>
      <w:r w:rsidR="00376951">
        <w:rPr>
          <w:lang w:val="en-US"/>
        </w:rPr>
        <w:t xml:space="preserve">  </w:t>
      </w:r>
      <w:r>
        <w:rPr>
          <w:lang w:val="en-US"/>
        </w:rPr>
        <w:t xml:space="preserve"> zvyšku </w:t>
      </w:r>
      <w:r w:rsidR="00376951">
        <w:rPr>
          <w:lang w:val="en-US"/>
        </w:rPr>
        <w:t xml:space="preserve">  </w:t>
      </w:r>
      <w:r>
        <w:rPr>
          <w:lang w:val="en-US"/>
        </w:rPr>
        <w:t>pohľadávok</w:t>
      </w:r>
      <w:r w:rsidR="00376951">
        <w:rPr>
          <w:lang w:val="en-US"/>
        </w:rPr>
        <w:t xml:space="preserve">  </w:t>
      </w:r>
      <w:r>
        <w:rPr>
          <w:lang w:val="en-US"/>
        </w:rPr>
        <w:t xml:space="preserve"> (100 % - 80 %</w:t>
      </w:r>
      <w:proofErr w:type="gramStart"/>
      <w:r>
        <w:rPr>
          <w:lang w:val="en-US"/>
        </w:rPr>
        <w:t xml:space="preserve">) </w:t>
      </w:r>
      <w:r w:rsidR="00376951">
        <w:rPr>
          <w:lang w:val="en-US"/>
        </w:rPr>
        <w:t xml:space="preserve"> </w:t>
      </w:r>
      <w:r>
        <w:rPr>
          <w:lang w:val="en-US"/>
        </w:rPr>
        <w:t>=</w:t>
      </w:r>
      <w:proofErr w:type="gramEnd"/>
      <w:r>
        <w:rPr>
          <w:lang w:val="en-US"/>
        </w:rPr>
        <w:t xml:space="preserve"> 20 % </w:t>
      </w:r>
      <w:r w:rsidR="00376951">
        <w:rPr>
          <w:lang w:val="en-US"/>
        </w:rPr>
        <w:t xml:space="preserve"> </w:t>
      </w:r>
      <w:r>
        <w:rPr>
          <w:lang w:val="en-US"/>
        </w:rPr>
        <w:t xml:space="preserve">hodnoty pohľadávky po    </w:t>
      </w:r>
    </w:p>
    <w:p w:rsidR="0042464E" w:rsidRDefault="0042464E">
      <w:pPr>
        <w:spacing w:after="0"/>
        <w:ind w:firstLine="357"/>
      </w:pPr>
      <w:r>
        <w:rPr>
          <w:lang w:val="en-US"/>
        </w:rPr>
        <w:lastRenderedPageBreak/>
        <w:t xml:space="preserve">      </w:t>
      </w:r>
      <w:proofErr w:type="gramStart"/>
      <w:r>
        <w:rPr>
          <w:lang w:val="en-US"/>
        </w:rPr>
        <w:t>odpočítaní</w:t>
      </w:r>
      <w:proofErr w:type="gramEnd"/>
      <w:r>
        <w:rPr>
          <w:lang w:val="en-US"/>
        </w:rPr>
        <w:t xml:space="preserve"> úrokov z financovania faktoringového poplatku (0,20  až 4 % </w:t>
      </w:r>
      <w:r>
        <w:rPr>
          <w:lang w:val="en-US"/>
        </w:rPr>
        <w:br/>
        <w:t xml:space="preserve">            z hodnoty každej faktúry).</w:t>
      </w:r>
    </w:p>
    <w:p w:rsidR="0042464E" w:rsidRDefault="0042464E">
      <w:pPr>
        <w:spacing w:after="0"/>
        <w:ind w:left="357"/>
        <w:rPr>
          <w:lang w:val="en-US"/>
        </w:rPr>
      </w:pPr>
    </w:p>
    <w:p w:rsidR="0042464E" w:rsidRDefault="0042464E">
      <w:r>
        <w:rPr>
          <w:b/>
          <w:bCs/>
        </w:rPr>
        <w:t>R</w:t>
      </w:r>
      <w:r>
        <w:rPr>
          <w:rStyle w:val="Siln"/>
        </w:rPr>
        <w:t>egresný faktoring</w:t>
      </w:r>
      <w:r>
        <w:t xml:space="preserve"> - v tomto prípade ručí dodávateľ za inkaso pohľadávky </w:t>
      </w:r>
      <w:r>
        <w:br/>
        <w:t xml:space="preserve">od odberateľa. Pokiaľ odberateľ nezaplatí, má faktoringová spoločnosť právo vrátiť pohľadávku dodávateľovi formou spätného postúpenia. Dodávateľ následne musí bezodkladne vrátiť zálohové finančné prostriedky (80 – 85 %) z ceny faktúry, ktoré prijal od faktoringovej  spoločnosti pri postúpení pohľadávky. </w:t>
      </w:r>
    </w:p>
    <w:p w:rsidR="0042464E" w:rsidRDefault="00376951">
      <w:r>
        <w:rPr>
          <w:rStyle w:val="Siln"/>
        </w:rPr>
        <w:t>Bez regresný</w:t>
      </w:r>
      <w:r w:rsidR="0042464E">
        <w:rPr>
          <w:rStyle w:val="Siln"/>
        </w:rPr>
        <w:t xml:space="preserve"> faktoring </w:t>
      </w:r>
      <w:r>
        <w:t xml:space="preserve"> – niekedy označovaný taktiež </w:t>
      </w:r>
      <w:r w:rsidR="0042464E">
        <w:t xml:space="preserve">ako tuzemský faktoring </w:t>
      </w:r>
      <w:r w:rsidR="0042464E">
        <w:br/>
        <w:t>s poistením.</w:t>
      </w:r>
      <w:r w:rsidR="0042464E">
        <w:rPr>
          <w:rStyle w:val="Znakapoznpodarou0"/>
        </w:rPr>
        <w:footnoteReference w:id="78"/>
      </w:r>
      <w:r w:rsidR="0042464E">
        <w:t xml:space="preserve"> Faktor v tomto prípade preberá okrem štandardných služieb aj riziko, </w:t>
      </w:r>
      <w:r w:rsidR="0042464E">
        <w:br/>
        <w:t xml:space="preserve">že odberateľ nezaplatí. Táto služba je drahšia. </w:t>
      </w:r>
    </w:p>
    <w:p w:rsidR="0042464E" w:rsidRDefault="0042464E">
      <w:pPr>
        <w:pStyle w:val="Nadpis3"/>
      </w:pPr>
      <w:bookmarkStart w:id="36" w:name="_Toc321001087"/>
      <w:r>
        <w:t>Eliminácia platobného rizika z faktoringu</w:t>
      </w:r>
      <w:bookmarkEnd w:id="36"/>
    </w:p>
    <w:p w:rsidR="0042464E" w:rsidRDefault="0042464E">
      <w:r>
        <w:rPr>
          <w:b/>
          <w:bCs/>
        </w:rPr>
        <w:t>Faktoring</w:t>
      </w:r>
      <w:r>
        <w:t xml:space="preserve"> utužuje platobnú disciplínu odberateľov, pretože väčšina firiem si nemôže dovoliť stratu svojho dobrého mena tým, že bude zaradená na čiernu listinu platobne neochotných, alebo platobne neschopných firiem. Informačné kancelárie alebo poisťovne pôsobia v zásade na medzinárodnej úrovni a negatívne informácie sú tak okamžite dostupné aj pre iné firmy, banky a najmä prípadných budúcich obchodných partnerov po celom svete. Tieto skutočnosti nútia  obchodných partnerov, aby načas uhrádzali svoje záväzky nielen voči nadnárodným spoločnostiam, ale aj voči malým a stredným podnikateľom. </w:t>
      </w:r>
    </w:p>
    <w:p w:rsidR="0042464E" w:rsidRDefault="0042464E">
      <w:r>
        <w:t>Ako argumentuje Pavelka,</w:t>
      </w:r>
      <w:r>
        <w:rPr>
          <w:rStyle w:val="Znakapoznpodarou"/>
        </w:rPr>
        <w:footnoteReference w:id="79"/>
      </w:r>
      <w:r>
        <w:t xml:space="preserve"> faktoringové financovanie  umožňuje exportérovi preklenúť problémy spojené s absenciou informácií o právnych a devízových predpisoch krajiny importu, eliminovať riziká jazykovej bariéry ako aj nedostatok </w:t>
      </w:r>
      <w:r w:rsidR="00376951">
        <w:t>informácií</w:t>
      </w:r>
      <w:r>
        <w:t xml:space="preserve"> o bonite budúceho zákazníka. Pokiaľ sa exportérovi nepodarí zabezpečiť faktoringové financovanie vývozu, znamená to, že nový zákazník sa zdá finančnej inštitúcii (banke, faktoringovej spoločnosti) príliš rizikový na to, aby na jeho realizáciu </w:t>
      </w:r>
      <w:r>
        <w:lastRenderedPageBreak/>
        <w:t xml:space="preserve">poskytla úverové zdroje. </w:t>
      </w:r>
      <w:r w:rsidR="00376951">
        <w:t>Exportér</w:t>
      </w:r>
      <w:r>
        <w:t xml:space="preserve">, ktorý nechce riskovať vznik problémových phľadávok v budúcnosti, musí prehodnotiť svoje  rozhodnutie pre voľbu platobnej podmienky. Pokiaľ nový zákazník odmietne poskytnúť klasický bankový nástroj (bankovú záruku, dokumentárny akreditív  a pod.) môže nastať </w:t>
      </w:r>
      <w:r w:rsidR="00376951">
        <w:t xml:space="preserve">prípad, že k podpisu kontraktu </w:t>
      </w:r>
      <w:r>
        <w:t xml:space="preserve">so zákazníkom vôbec nedôjde a exportér obchod  radšej neuskutoční. </w:t>
      </w:r>
    </w:p>
    <w:p w:rsidR="0042464E" w:rsidRDefault="0042464E">
      <w:pPr>
        <w:pStyle w:val="Nadpis2"/>
      </w:pPr>
      <w:bookmarkStart w:id="37" w:name="_Toc321001088"/>
      <w:r>
        <w:t>Forfaiting</w:t>
      </w:r>
      <w:bookmarkEnd w:id="37"/>
    </w:p>
    <w:p w:rsidR="0042464E" w:rsidRDefault="0042464E">
      <w:pPr>
        <w:pStyle w:val="Normlnweb"/>
        <w:jc w:val="both"/>
      </w:pPr>
      <w:r>
        <w:t xml:space="preserve">Forfaiting sa vyvinul v krajinách západnej Európy v priebehu 50. </w:t>
      </w:r>
      <w:r w:rsidR="00376951">
        <w:t>rokov</w:t>
      </w:r>
      <w:r>
        <w:t xml:space="preserve"> 20. storočia. ako reakcia na potreby exportérov financovať transakcie medzi východným a západným blokom štátov. </w:t>
      </w:r>
      <w:r w:rsidR="00376951">
        <w:t>Východné</w:t>
      </w:r>
      <w:r>
        <w:t xml:space="preserve"> krajiny nedisponovali dostatočnými disponibilnými zdrojmi vo voľne vymeniteľných  menách a obvykle požadovali od západných dodávateľov niekoľkomesačný odklad splatnosti. Západní exportéri v snahe </w:t>
      </w:r>
      <w:r w:rsidR="00376951">
        <w:t>zrealizovať</w:t>
      </w:r>
      <w:r>
        <w:t xml:space="preserve"> obchod našli riešenie prostredníctvom bánk. Jednoznačná def</w:t>
      </w:r>
      <w:r w:rsidR="00376951">
        <w:t>iní</w:t>
      </w:r>
      <w:r>
        <w:t>c</w:t>
      </w:r>
      <w:r w:rsidR="00376951">
        <w:t>i</w:t>
      </w:r>
      <w:r>
        <w:t xml:space="preserve">a: </w:t>
      </w:r>
    </w:p>
    <w:p w:rsidR="0042464E" w:rsidRDefault="0042464E">
      <w:pPr>
        <w:pStyle w:val="Normlnweb"/>
        <w:jc w:val="both"/>
      </w:pPr>
      <w:r>
        <w:rPr>
          <w:i/>
          <w:iCs/>
        </w:rPr>
        <w:t xml:space="preserve">,, Forfaiting je </w:t>
      </w:r>
      <w:r w:rsidR="00376951">
        <w:rPr>
          <w:i/>
          <w:iCs/>
        </w:rPr>
        <w:t>odkúp</w:t>
      </w:r>
      <w:r>
        <w:rPr>
          <w:i/>
          <w:iCs/>
        </w:rPr>
        <w:t xml:space="preserve"> (</w:t>
      </w:r>
      <w:hyperlink r:id="rId21" w:tooltip="Diskontovanie (stránka neexistuje)" w:history="1">
        <w:r>
          <w:rPr>
            <w:rStyle w:val="Hypertextovodkaz"/>
            <w:i/>
            <w:iCs/>
            <w:color w:val="auto"/>
            <w:u w:val="none"/>
          </w:rPr>
          <w:t>diskontovanie</w:t>
        </w:r>
      </w:hyperlink>
      <w:r>
        <w:rPr>
          <w:i/>
          <w:iCs/>
        </w:rPr>
        <w:t xml:space="preserve">) pohľadávok splatných v budúcom termíne bankou alebo inou finančnou inštitúciou (t.j. tzv. forfaiterom či forfaitingovou spoločnosťou). Spravidla ide len o odkup špeciálnych, t.j. len stredno- alebo dlhodobých pohľadávok, </w:t>
      </w:r>
      <w:r>
        <w:rPr>
          <w:i/>
          <w:iCs/>
        </w:rPr>
        <w:br/>
        <w:t xml:space="preserve">a spravidla (t.j. pri tzv. pravom forfaitingu) je odkup bez možnosti </w:t>
      </w:r>
      <w:hyperlink r:id="rId22" w:tooltip="Regres" w:history="1">
        <w:r>
          <w:rPr>
            <w:rStyle w:val="Hypertextovodkaz"/>
            <w:i/>
            <w:iCs/>
            <w:color w:val="auto"/>
            <w:u w:val="none"/>
          </w:rPr>
          <w:t>regresu</w:t>
        </w:r>
      </w:hyperlink>
      <w:r>
        <w:rPr>
          <w:i/>
          <w:iCs/>
        </w:rPr>
        <w:t xml:space="preserve">. Ten, od koho sa pohľadávka odkupuje, sa volá forfaitista. Forfaiting sa vyskytuje najmä </w:t>
      </w:r>
      <w:r w:rsidR="00376951">
        <w:rPr>
          <w:i/>
          <w:iCs/>
        </w:rPr>
        <w:br/>
      </w:r>
      <w:r>
        <w:rPr>
          <w:i/>
          <w:iCs/>
        </w:rPr>
        <w:t>pri pohľadávkach súvisiacich s exportom alebo s lízingom. Forfaiter v rámci odkupu pohľadávky vyplatí vývozcovi čiastku pohľadávky (zmenka, faktúra a pod.) po zrážke diskontu a poplatkov, pričom riziko inkasa plne preberá na seba.“</w:t>
      </w:r>
      <w:r>
        <w:rPr>
          <w:rStyle w:val="Znakapoznpodarou"/>
        </w:rPr>
        <w:t xml:space="preserve"> </w:t>
      </w:r>
      <w:r>
        <w:rPr>
          <w:rStyle w:val="Znakapoznpodarou"/>
        </w:rPr>
        <w:footnoteReference w:id="80"/>
      </w:r>
    </w:p>
    <w:p w:rsidR="0042464E" w:rsidRDefault="0042464E">
      <w:r>
        <w:t xml:space="preserve">Z podstaty  definície je zrejmé, že forfaiting sa </w:t>
      </w:r>
      <w:r w:rsidR="00376951">
        <w:t>uskutočňuje</w:t>
      </w:r>
      <w:r>
        <w:t xml:space="preserve"> na základe zmluvy medzi vývozcom a forfaiterom.  Zmluva sa uzatvára pre jednotlivé obchodné prípady</w:t>
      </w:r>
      <w:r>
        <w:rPr>
          <w:rStyle w:val="Znakapoznpodarou"/>
        </w:rPr>
        <w:footnoteReference w:id="81"/>
      </w:r>
      <w:r>
        <w:t xml:space="preserve"> samostatne. Po realizácii dodávky vývozca odpredá pohľadávku a okamžite získa finančné prostriedky, znížené o diskont a ďalšie náklady spojené s forfaitingom. </w:t>
      </w:r>
    </w:p>
    <w:p w:rsidR="0042464E" w:rsidRDefault="0042464E">
      <w:pPr>
        <w:pStyle w:val="Nadpis3"/>
      </w:pPr>
      <w:bookmarkStart w:id="38" w:name="_Toc321001089"/>
      <w:r>
        <w:lastRenderedPageBreak/>
        <w:t xml:space="preserve">Charakter </w:t>
      </w:r>
      <w:r w:rsidR="005D4FF0">
        <w:t xml:space="preserve"> </w:t>
      </w:r>
      <w:r>
        <w:t>forfaitovateľných pohľadávok</w:t>
      </w:r>
      <w:bookmarkEnd w:id="38"/>
    </w:p>
    <w:p w:rsidR="006C5DE7" w:rsidRDefault="0042464E">
      <w:r>
        <w:t xml:space="preserve">Charakteru forfaitovateľných pohľadávok v podmienkach slovenskej legislatívy </w:t>
      </w:r>
      <w:r>
        <w:br/>
        <w:t>sa venuje Pavelka</w:t>
      </w:r>
      <w:r>
        <w:rPr>
          <w:rStyle w:val="Znakapoznpodarou"/>
        </w:rPr>
        <w:footnoteReference w:id="82"/>
      </w:r>
      <w:r>
        <w:t xml:space="preserve"> vo svoje publikácii </w:t>
      </w:r>
      <w:r>
        <w:rPr>
          <w:i/>
          <w:iCs/>
        </w:rPr>
        <w:t>,,Medzinárodný platobný styk v podmienk</w:t>
      </w:r>
      <w:r w:rsidR="00376951">
        <w:rPr>
          <w:i/>
          <w:iCs/>
        </w:rPr>
        <w:t>a</w:t>
      </w:r>
      <w:r>
        <w:rPr>
          <w:i/>
          <w:iCs/>
        </w:rPr>
        <w:t>ch EÚ“</w:t>
      </w:r>
      <w:r>
        <w:t xml:space="preserve"> Machková so svojím kolektívom</w:t>
      </w:r>
      <w:r>
        <w:rPr>
          <w:rStyle w:val="Znakapoznpodarou"/>
        </w:rPr>
        <w:footnoteReference w:id="83"/>
      </w:r>
      <w:r>
        <w:t xml:space="preserve"> v knihe: </w:t>
      </w:r>
      <w:r w:rsidR="00376951">
        <w:rPr>
          <w:i/>
          <w:iCs/>
        </w:rPr>
        <w:t>,,Medzinárodní obchodní operac</w:t>
      </w:r>
      <w:r>
        <w:rPr>
          <w:i/>
          <w:iCs/>
        </w:rPr>
        <w:t>e“</w:t>
      </w:r>
      <w:r>
        <w:t xml:space="preserve">. Títo autori vysvetľujú, že pohľadávky, ktoré vstupujú do forfaitingu musia byť zabezpečené zmenkou s bankovým avalom, dokumentárnym akreditívom s odloženou splatnosťou alebo pohľadávky kryté abstraktnou bankovou zárukou. </w:t>
      </w:r>
    </w:p>
    <w:p w:rsidR="006C5DE7" w:rsidRDefault="006C5DE7">
      <w:r>
        <w:t xml:space="preserve">Na rozdiel </w:t>
      </w:r>
      <w:r w:rsidR="0042464E">
        <w:t xml:space="preserve">od faktoringu ide o samostatné, </w:t>
      </w:r>
      <w:r w:rsidR="00376951">
        <w:t>jednorazové</w:t>
      </w:r>
      <w:r w:rsidR="0042464E">
        <w:t xml:space="preserve"> obchody väčšieho rozsahu v rozmedzí najmenej od 100 000 €, až v niektorých prípadoch do 500 000 €. Forfaitér nakupuje pohľadávku za cenu zníženú o úroky do splatnosti. Diskontnú zrážku forfaitér okamžite odpočíta z nominálnej hodnoty pohľadávky. Exportér nezodpovedá za úhradu pohľadávky, preto blokácia (ako pri faktoringu) nemá opodstatnenie. Splatnosť pohľadávky sa pohybuje od 3 mesiacov do 7 rokov.  </w:t>
      </w:r>
    </w:p>
    <w:p w:rsidR="0042464E" w:rsidRDefault="006C5DE7">
      <w:r>
        <w:t xml:space="preserve">V prípade investičných celkov </w:t>
      </w:r>
      <w:r w:rsidR="0042464E">
        <w:t>je možnosť splácať podľa splátkového kalendára – obvykle ide o rovnomerné polročné splátky. Odkúpenie</w:t>
      </w:r>
      <w:r w:rsidR="00376951">
        <w:t xml:space="preserve"> pohľadávky sa realizuje v konkr</w:t>
      </w:r>
      <w:r w:rsidR="0042464E">
        <w:t>é</w:t>
      </w:r>
      <w:r w:rsidR="00376951">
        <w:t>t</w:t>
      </w:r>
      <w:r w:rsidR="0042464E">
        <w:t xml:space="preserve">nej konvertibilnej mene.  Importér nemá informáciu, že došlo k postúpeniu pohľadávky. Forfaitigové spoločnosti neposkytujú servis (tj. vedenie účtovníctva) v súvislosti s pohľadávkami a nezaujímajú sa o bonitu klienta. </w:t>
      </w:r>
    </w:p>
    <w:p w:rsidR="0042464E" w:rsidRDefault="0042464E">
      <w:pPr>
        <w:pStyle w:val="Nadpis3"/>
      </w:pPr>
      <w:bookmarkStart w:id="39" w:name="_Toc321001090"/>
      <w:r>
        <w:t>Priebeh forfaitingovej operácie</w:t>
      </w:r>
      <w:bookmarkEnd w:id="39"/>
    </w:p>
    <w:p w:rsidR="0042464E" w:rsidRDefault="0042464E">
      <w:r>
        <w:t>Fungovanie a priebeh forfaitingu môžme porozumieť z na</w:t>
      </w:r>
      <w:r w:rsidR="00376951">
        <w:t>sledujúceho O</w:t>
      </w:r>
      <w:r>
        <w:t xml:space="preserve">brázku 5, kde vysvetľujeme príklad odkupu pohľadávky zabezpečenú dokumentárnym akreditívom s odloženou splatnosťou. </w:t>
      </w:r>
    </w:p>
    <w:p w:rsidR="0042464E" w:rsidRDefault="0042464E" w:rsidP="00376951">
      <w:pPr>
        <w:pStyle w:val="Tabulka"/>
        <w:jc w:val="both"/>
      </w:pPr>
      <w:r>
        <w:t>Obrázok 5  Priebeh forfaitingu – odkúpenie pohľadávky zabezpečené dokumentárnym akreditívom s odloženou splatnosťou</w:t>
      </w:r>
    </w:p>
    <w:p w:rsidR="0042464E" w:rsidRDefault="0042464E">
      <w:pPr>
        <w:pStyle w:val="Tabulka-text"/>
      </w:pPr>
    </w:p>
    <w:p w:rsidR="0042464E" w:rsidRDefault="00F03713">
      <w:pPr>
        <w:pStyle w:val="Tabulka-text"/>
      </w:pPr>
      <w:r>
        <w:rPr>
          <w:noProof/>
          <w:lang w:eastAsia="sk-SK"/>
        </w:rPr>
        <w:lastRenderedPageBreak/>
        <w:drawing>
          <wp:inline distT="0" distB="0" distL="0" distR="0">
            <wp:extent cx="4456846" cy="2466975"/>
            <wp:effectExtent l="171450" t="133350" r="362804" b="3143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456846" cy="2466975"/>
                    </a:xfrm>
                    <a:prstGeom prst="rect">
                      <a:avLst/>
                    </a:prstGeom>
                    <a:ln>
                      <a:noFill/>
                    </a:ln>
                    <a:effectLst>
                      <a:outerShdw blurRad="292100" dist="139700" dir="2700000" algn="tl" rotWithShape="0">
                        <a:srgbClr val="333333">
                          <a:alpha val="65000"/>
                        </a:srgbClr>
                      </a:outerShdw>
                    </a:effectLst>
                  </pic:spPr>
                </pic:pic>
              </a:graphicData>
            </a:graphic>
          </wp:inline>
        </w:drawing>
      </w:r>
    </w:p>
    <w:p w:rsidR="0042464E" w:rsidRDefault="0042464E" w:rsidP="00376951">
      <w:pPr>
        <w:pStyle w:val="Tabulka-pramen"/>
        <w:jc w:val="both"/>
      </w:pPr>
      <w:r>
        <w:t xml:space="preserve">Zdroj: VÚB. </w:t>
      </w:r>
      <w:r>
        <w:rPr>
          <w:i/>
          <w:iCs/>
        </w:rPr>
        <w:t xml:space="preserve">Forfaiting. 2012 [online]. </w:t>
      </w:r>
      <w:r>
        <w:t>Dostupné z WWW :</w:t>
      </w:r>
      <w:r>
        <w:rPr>
          <w:lang w:val="en-US"/>
        </w:rPr>
        <w:t xml:space="preserve"> &lt;</w:t>
      </w:r>
      <w:r>
        <w:t xml:space="preserve"> http://www.vub.sk/pre-firmy/uvery-financovanie/financovanie-obchodu/forfaiting/</w:t>
      </w:r>
      <w:r>
        <w:rPr>
          <w:lang w:val="en-US"/>
        </w:rPr>
        <w:t>&gt;, (dáta k 17.1.2012)</w:t>
      </w:r>
      <w:r>
        <w:t>.</w:t>
      </w:r>
    </w:p>
    <w:p w:rsidR="0042464E" w:rsidRDefault="0042464E">
      <w:r>
        <w:t xml:space="preserve">Vyššie zobrazená schéma zahrňuje priebeh forfaitingu, ktorú  autor diplomovej práce  opisuje: krok č. 1 začína uzatvorením zmluvy medzi </w:t>
      </w:r>
      <w:r w:rsidR="00376951">
        <w:t>predávajúcim</w:t>
      </w:r>
      <w:r>
        <w:t xml:space="preserve"> a kupujúcim s písomným prísľubom exportéra poskytnúť odklad splatnosti. Keďže exportér uvažuje danú pohľadávku predať forfaitérovi, musí byť daná pohľadávka zabezpečená. Kupujúci žiada o vystavenie akreditívu svojo banku (krok 2), tá vystaví resp. otvorí akreditív a informuje o tom forfaitéra (v našom prípade VÚB banka – krok 3). Forfaitér postupuje túto informáciu predávajúcemu (krok 4) a uzatvorí Zmluvu o forfaitingu (krok 5) s uvedením výšky úrokovej sadzby, poplatkov a doby splatnosti.  Na základe  kúpnej zmluvy exportér realizuje vývoz a odovzdáva všetky dokumenty forfaitérovi (krok 6) a ten mu vyplatí dohodnutá sumu, tj. hodnotu nominálnej pohľadávky zníženú o úroky do doby splatnosti (krok 7).  Vystavujúca banka v deň splatnosti pohľadávky prevedie finančné prostriedky forfaitérovi (krok 8). </w:t>
      </w:r>
    </w:p>
    <w:p w:rsidR="0042464E" w:rsidRDefault="0042464E">
      <w:pPr>
        <w:pStyle w:val="Nadpis3"/>
      </w:pPr>
      <w:bookmarkStart w:id="40" w:name="_Toc321001091"/>
      <w:r>
        <w:t>Eliminácia platobného rizika z forfaitingu</w:t>
      </w:r>
      <w:bookmarkEnd w:id="40"/>
    </w:p>
    <w:p w:rsidR="0042464E" w:rsidRDefault="0042464E">
      <w:r>
        <w:t>O eliminácii platobného rizika z forfaitingu popri Pavelkovi alebo Kislingerovej, hovorí i Machková s kol.</w:t>
      </w:r>
      <w:r>
        <w:rPr>
          <w:rStyle w:val="Znakapoznpodarou"/>
        </w:rPr>
        <w:t xml:space="preserve"> </w:t>
      </w:r>
      <w:r>
        <w:rPr>
          <w:rStyle w:val="Znakapoznpodarou"/>
        </w:rPr>
        <w:footnoteReference w:id="84"/>
      </w:r>
      <w:r>
        <w:t xml:space="preserve"> v knihe </w:t>
      </w:r>
      <w:r>
        <w:rPr>
          <w:i/>
          <w:iCs/>
        </w:rPr>
        <w:t xml:space="preserve">,,Medzinárodní obchodní operace“, </w:t>
      </w:r>
      <w:r>
        <w:t xml:space="preserve">ktorá taktiež definuje </w:t>
      </w:r>
      <w:r>
        <w:lastRenderedPageBreak/>
        <w:t xml:space="preserve">výhody a nevýhody forfaitingových obchodov. Vo svojej publikácii uvádza </w:t>
      </w:r>
      <w:r>
        <w:rPr>
          <w:b/>
          <w:bCs/>
        </w:rPr>
        <w:t>základné výhody pre exportéra</w:t>
      </w:r>
      <w:r>
        <w:t xml:space="preserve"> ako poskytnutie dodávateľského úveru </w:t>
      </w:r>
      <w:r w:rsidR="00376951">
        <w:t>importérovi</w:t>
      </w:r>
      <w:r>
        <w:t xml:space="preserve">, čím </w:t>
      </w:r>
      <w:r>
        <w:br/>
        <w:t xml:space="preserve">si posilňuje konkurencieschopnosť presadiť sa na zahraničných trhoch, eliminácia kurzových rizík, jednoduchá dokumentácia vrátane nenáročných zmluvných dokumentov, eliminácia rizika z platobnej neschopnosti svojho odberateľa, </w:t>
      </w:r>
      <w:r w:rsidR="00376951">
        <w:t>financovanie</w:t>
      </w:r>
      <w:r>
        <w:t xml:space="preserve"> bez regresu (bez postihu – t.j. forfaitér berie na seba riziko bonity pohľadávky), zlepšenie finančnej likvidity expo</w:t>
      </w:r>
      <w:r w:rsidR="00405F9F">
        <w:t>F</w:t>
      </w:r>
      <w:r>
        <w:t xml:space="preserve">rtéra a daná operácia nevstupuje </w:t>
      </w:r>
      <w:r w:rsidR="00376951">
        <w:br/>
      </w:r>
      <w:r>
        <w:t xml:space="preserve">do úverovej angažovanosti banky. Za </w:t>
      </w:r>
      <w:r>
        <w:rPr>
          <w:b/>
          <w:bCs/>
        </w:rPr>
        <w:t>základné výhody pre importéra</w:t>
      </w:r>
      <w:r>
        <w:t xml:space="preserve"> Machková uvázda, operatívnosť a pružnosť financovania importu, financovať import bez nutnosti akontácie,</w:t>
      </w:r>
      <w:r>
        <w:rPr>
          <w:rStyle w:val="Znakapoznpodarou"/>
        </w:rPr>
        <w:t xml:space="preserve"> </w:t>
      </w:r>
      <w:r>
        <w:rPr>
          <w:rStyle w:val="Znakapoznpodarou"/>
        </w:rPr>
        <w:footnoteReference w:id="85"/>
      </w:r>
      <w:r>
        <w:t xml:space="preserve"> získava  financovanie s pevnou a výhodnejšou úrokovou sadzbou oproti úveru. </w:t>
      </w:r>
      <w:r>
        <w:tab/>
      </w:r>
    </w:p>
    <w:p w:rsidR="0042464E" w:rsidRDefault="0042464E">
      <w:pPr>
        <w:pStyle w:val="Nadpis2"/>
      </w:pPr>
      <w:bookmarkStart w:id="41" w:name="_Toc321001092"/>
      <w:r>
        <w:t>Šeky</w:t>
      </w:r>
      <w:bookmarkEnd w:id="41"/>
      <w:r>
        <w:t xml:space="preserve"> </w:t>
      </w:r>
    </w:p>
    <w:p w:rsidR="0042464E" w:rsidRDefault="0042464E">
      <w:r>
        <w:t>Machková a kol.</w:t>
      </w:r>
      <w:r>
        <w:rPr>
          <w:rStyle w:val="Znakapoznpodarou"/>
        </w:rPr>
        <w:t xml:space="preserve"> </w:t>
      </w:r>
      <w:r>
        <w:rPr>
          <w:rStyle w:val="Znakapoznpodarou"/>
        </w:rPr>
        <w:footnoteReference w:id="86"/>
      </w:r>
      <w:r>
        <w:t xml:space="preserve"> definovali šek ako: </w:t>
      </w:r>
    </w:p>
    <w:p w:rsidR="0042464E" w:rsidRPr="00376951" w:rsidRDefault="0042464E">
      <w:pPr>
        <w:rPr>
          <w:i/>
          <w:iCs/>
        </w:rPr>
      </w:pPr>
      <w:r>
        <w:rPr>
          <w:i/>
          <w:iCs/>
        </w:rPr>
        <w:t xml:space="preserve">,,Šek je cenný papier, ktorý plní funkciu platobného nástroja. </w:t>
      </w:r>
      <w:r w:rsidR="00376951">
        <w:rPr>
          <w:i/>
          <w:iCs/>
        </w:rPr>
        <w:t>Môžeme</w:t>
      </w:r>
      <w:r>
        <w:rPr>
          <w:i/>
          <w:iCs/>
        </w:rPr>
        <w:t xml:space="preserve"> </w:t>
      </w:r>
      <w:r w:rsidR="00376951">
        <w:rPr>
          <w:i/>
          <w:iCs/>
        </w:rPr>
        <w:br/>
      </w:r>
      <w:r>
        <w:rPr>
          <w:i/>
          <w:iCs/>
        </w:rPr>
        <w:t>ho charakterizovať ako bezpodmienečný platobný príkaz, ktorý v</w:t>
      </w:r>
      <w:r w:rsidR="00376951">
        <w:rPr>
          <w:i/>
          <w:iCs/>
        </w:rPr>
        <w:t>y</w:t>
      </w:r>
      <w:r>
        <w:rPr>
          <w:i/>
          <w:iCs/>
        </w:rPr>
        <w:t>stavca dáva svojej banke (šekovníkovi), aby z jeho účtu uhradila majiteľovi šeku určitú peňažnú hodnotu. V Slovenskej republike upravuje šeky po právnej stránke Zákon zmenkový a šekový</w:t>
      </w:r>
      <w:r>
        <w:rPr>
          <w:i/>
          <w:iCs/>
        </w:rPr>
        <w:br/>
        <w:t>č. 191/1950 Zb. (nadobudol účinnosť 1.1.1950), ktorý vychádza z tzv. Ženevských konvencií o zmenke a šeku z roku 1930 a 1931.“</w:t>
      </w:r>
    </w:p>
    <w:p w:rsidR="0042464E" w:rsidRDefault="00376951">
      <w:pPr>
        <w:pStyle w:val="Nadpis3"/>
      </w:pPr>
      <w:r>
        <w:t xml:space="preserve"> </w:t>
      </w:r>
      <w:bookmarkStart w:id="42" w:name="_Toc321001093"/>
      <w:r w:rsidR="0042464E">
        <w:t>Charakteristika šeku</w:t>
      </w:r>
      <w:bookmarkEnd w:id="42"/>
    </w:p>
    <w:p w:rsidR="0042464E" w:rsidRDefault="0042464E">
      <w:r>
        <w:t>Základ každého šeku vidí ďalší autor Pavelka</w:t>
      </w:r>
      <w:r>
        <w:rPr>
          <w:rStyle w:val="Znakapoznpodarou"/>
        </w:rPr>
        <w:footnoteReference w:id="87"/>
      </w:r>
      <w:r>
        <w:t>, skrz obsahovej náležitosti šeku,  ktoré bude autor diplomovej práce definovať neskôr, pri ktorej absencia jednej z podstatných náležitostí spôsobuje neplatnosť šeku. Šek je vždy vystavený na banku, v ktorej vystavovateľ šeku disponuje finančnými prostriedkami. Alternatívnym riešením zaplatenia šeku je jeho výplata na ťarchu dohodnutého úverového rámca na účte vystavovateľa. Podstatné obsahové náležitosti šeku:</w:t>
      </w:r>
    </w:p>
    <w:p w:rsidR="0042464E" w:rsidRDefault="0042464E">
      <w:pPr>
        <w:pStyle w:val="Odrka1stupn"/>
        <w:rPr>
          <w:i/>
          <w:iCs/>
        </w:rPr>
      </w:pPr>
      <w:r>
        <w:rPr>
          <w:i/>
          <w:iCs/>
        </w:rPr>
        <w:lastRenderedPageBreak/>
        <w:t>označenie, že ide o šek vyjadrený v jazyku, v ktorom je šek napísaný;</w:t>
      </w:r>
    </w:p>
    <w:p w:rsidR="0042464E" w:rsidRDefault="0042464E">
      <w:pPr>
        <w:pStyle w:val="Odrka1stupn"/>
        <w:rPr>
          <w:i/>
          <w:iCs/>
        </w:rPr>
      </w:pPr>
      <w:r>
        <w:rPr>
          <w:i/>
          <w:iCs/>
        </w:rPr>
        <w:t>bezpodmienečný príkaz zaplatiť určenú sumu peňazí;</w:t>
      </w:r>
    </w:p>
    <w:p w:rsidR="0042464E" w:rsidRDefault="0042464E">
      <w:pPr>
        <w:pStyle w:val="Odrka1stupn"/>
        <w:rPr>
          <w:i/>
          <w:iCs/>
        </w:rPr>
      </w:pPr>
      <w:r>
        <w:rPr>
          <w:i/>
          <w:iCs/>
        </w:rPr>
        <w:t>meno šekovníka, ktorým je peňažný ústav;</w:t>
      </w:r>
    </w:p>
    <w:p w:rsidR="0042464E" w:rsidRDefault="0042464E">
      <w:pPr>
        <w:pStyle w:val="Odrka1stupn"/>
        <w:rPr>
          <w:i/>
          <w:iCs/>
        </w:rPr>
      </w:pPr>
      <w:r>
        <w:rPr>
          <w:i/>
          <w:iCs/>
        </w:rPr>
        <w:t>údaj o platobnom mieste;</w:t>
      </w:r>
    </w:p>
    <w:p w:rsidR="0042464E" w:rsidRDefault="0042464E">
      <w:pPr>
        <w:pStyle w:val="Odrka1stupn"/>
        <w:rPr>
          <w:i/>
          <w:iCs/>
        </w:rPr>
      </w:pPr>
      <w:r>
        <w:rPr>
          <w:i/>
          <w:iCs/>
        </w:rPr>
        <w:t>dátum a miesto vystavenia šeku;</w:t>
      </w:r>
    </w:p>
    <w:p w:rsidR="0042464E" w:rsidRDefault="0042464E">
      <w:pPr>
        <w:pStyle w:val="Odrka1stupn"/>
      </w:pPr>
      <w:r>
        <w:rPr>
          <w:i/>
          <w:iCs/>
        </w:rPr>
        <w:t>podpis vystavovateľa.</w:t>
      </w:r>
      <w:r>
        <w:rPr>
          <w:rStyle w:val="Znakapoznpodarou"/>
          <w:i/>
          <w:iCs/>
        </w:rPr>
        <w:t xml:space="preserve"> </w:t>
      </w:r>
      <w:r>
        <w:rPr>
          <w:rStyle w:val="Znakapoznpodarou"/>
          <w:i/>
          <w:iCs/>
        </w:rPr>
        <w:footnoteReference w:id="88"/>
      </w:r>
    </w:p>
    <w:p w:rsidR="00DC242D" w:rsidRDefault="00DC242D" w:rsidP="00DC242D">
      <w:pPr>
        <w:spacing w:after="0"/>
      </w:pPr>
    </w:p>
    <w:p w:rsidR="0042464E" w:rsidRDefault="0042464E" w:rsidP="00DC242D">
      <w:pPr>
        <w:spacing w:after="120"/>
      </w:pPr>
      <w:r>
        <w:t xml:space="preserve">Nižšie sú uvedené nepodstatné náležitosti šeku podľa Pavelku: </w:t>
      </w:r>
    </w:p>
    <w:p w:rsidR="0042464E" w:rsidRDefault="0042464E">
      <w:pPr>
        <w:pStyle w:val="Odrka1stupn"/>
        <w:rPr>
          <w:i/>
          <w:iCs/>
        </w:rPr>
      </w:pPr>
      <w:r>
        <w:rPr>
          <w:i/>
          <w:iCs/>
        </w:rPr>
        <w:t>číslo šeku;</w:t>
      </w:r>
    </w:p>
    <w:p w:rsidR="0042464E" w:rsidRDefault="0042464E">
      <w:pPr>
        <w:pStyle w:val="Odrka1stupn"/>
        <w:rPr>
          <w:i/>
          <w:iCs/>
        </w:rPr>
      </w:pPr>
      <w:r>
        <w:rPr>
          <w:i/>
          <w:iCs/>
        </w:rPr>
        <w:t>osoba, ktorej má byť šek vyplatený;</w:t>
      </w:r>
    </w:p>
    <w:p w:rsidR="0042464E" w:rsidRDefault="0042464E">
      <w:pPr>
        <w:pStyle w:val="Odrka1stupn"/>
        <w:rPr>
          <w:i/>
          <w:iCs/>
        </w:rPr>
      </w:pPr>
      <w:r>
        <w:rPr>
          <w:i/>
          <w:iCs/>
        </w:rPr>
        <w:t>duálny údaj šekovej sumy (napr. slovom a druhýkrát číslicami);</w:t>
      </w:r>
    </w:p>
    <w:p w:rsidR="0042464E" w:rsidRDefault="0042464E">
      <w:pPr>
        <w:pStyle w:val="Odrka1stupn"/>
        <w:rPr>
          <w:i/>
          <w:iCs/>
        </w:rPr>
      </w:pPr>
      <w:r>
        <w:rPr>
          <w:i/>
          <w:iCs/>
        </w:rPr>
        <w:t>číslo účtu vystavovateľa šeku.</w:t>
      </w:r>
      <w:r>
        <w:rPr>
          <w:rStyle w:val="Znakapoznpodarou"/>
          <w:i/>
          <w:iCs/>
        </w:rPr>
        <w:t xml:space="preserve"> </w:t>
      </w:r>
      <w:r>
        <w:rPr>
          <w:rStyle w:val="Znakapoznpodarou"/>
          <w:i/>
          <w:iCs/>
        </w:rPr>
        <w:footnoteReference w:id="89"/>
      </w:r>
    </w:p>
    <w:p w:rsidR="0042464E" w:rsidRDefault="0042464E"/>
    <w:p w:rsidR="0042464E" w:rsidRDefault="00376951">
      <w:pPr>
        <w:pStyle w:val="Nadpis3"/>
      </w:pPr>
      <w:r>
        <w:t xml:space="preserve"> </w:t>
      </w:r>
      <w:bookmarkStart w:id="43" w:name="_Toc321001094"/>
      <w:r w:rsidR="0042464E">
        <w:t>Druhy šekov</w:t>
      </w:r>
      <w:bookmarkEnd w:id="43"/>
    </w:p>
    <w:p w:rsidR="0042464E" w:rsidRDefault="0042464E">
      <w:r>
        <w:t xml:space="preserve">Šek musí byť vystavený na rad, na </w:t>
      </w:r>
      <w:r w:rsidR="00376951">
        <w:t>meno</w:t>
      </w:r>
      <w:r>
        <w:t xml:space="preserve"> alebo na majiteľa. Pre potreby diplomovej práce postačí </w:t>
      </w:r>
      <w:r w:rsidR="00376951">
        <w:t>nasledujúce</w:t>
      </w:r>
      <w:r>
        <w:t xml:space="preserve"> základné členenie šekov, pri ktorom vychádzame z publikácie od autora Pavelka, </w:t>
      </w:r>
      <w:r>
        <w:rPr>
          <w:i/>
          <w:iCs/>
        </w:rPr>
        <w:t>,,Medzinárodný platobný styk v </w:t>
      </w:r>
      <w:r w:rsidR="00376951">
        <w:rPr>
          <w:i/>
          <w:iCs/>
        </w:rPr>
        <w:t>podmienkach</w:t>
      </w:r>
      <w:r>
        <w:rPr>
          <w:i/>
          <w:iCs/>
        </w:rPr>
        <w:t xml:space="preserve"> EÚ“.</w:t>
      </w:r>
      <w:r>
        <w:rPr>
          <w:rStyle w:val="Znakapoznpodarou"/>
        </w:rPr>
        <w:t xml:space="preserve"> </w:t>
      </w:r>
      <w:r>
        <w:rPr>
          <w:rStyle w:val="Znakapoznpodarou"/>
        </w:rPr>
        <w:footnoteReference w:id="90"/>
      </w:r>
      <w:r>
        <w:t xml:space="preserve"> </w:t>
      </w:r>
    </w:p>
    <w:p w:rsidR="0042464E" w:rsidRDefault="0042464E">
      <w:r>
        <w:rPr>
          <w:b/>
          <w:bCs/>
        </w:rPr>
        <w:t>Šek súkromný</w:t>
      </w:r>
      <w:r>
        <w:t xml:space="preserve"> – vystavovateľ je importér a prvým majiteľom exportér, pričom zaplatenie šeku bankou importéra nie je zaručené. Ide o šek zo šekovej knižky, ktorý majiteľ dostal k svojmu účtu. </w:t>
      </w:r>
      <w:r w:rsidR="00376951">
        <w:t>Vyššou</w:t>
      </w:r>
      <w:r>
        <w:t xml:space="preserve"> formou </w:t>
      </w:r>
      <w:r w:rsidR="00376951">
        <w:t>šeku</w:t>
      </w:r>
      <w:r>
        <w:t xml:space="preserve"> je </w:t>
      </w:r>
      <w:r w:rsidR="00376951">
        <w:t>euro šek</w:t>
      </w:r>
      <w:r>
        <w:t xml:space="preserve">. Pre majiteľa predstavuje zaručenú </w:t>
      </w:r>
      <w:r w:rsidR="00376951">
        <w:t>výplatu</w:t>
      </w:r>
      <w:r>
        <w:t xml:space="preserve"> šekovej sumy v medzinárodne dohodnutej výške (v Slovenskej republike je to 200 €)</w:t>
      </w:r>
      <w:r w:rsidR="00376951">
        <w:t>.</w:t>
      </w:r>
      <w:r>
        <w:rPr>
          <w:rStyle w:val="Znakapoznpodarou"/>
        </w:rPr>
        <w:footnoteReference w:id="91"/>
      </w:r>
      <w:r>
        <w:t xml:space="preserve"> </w:t>
      </w:r>
    </w:p>
    <w:p w:rsidR="0042464E" w:rsidRDefault="0042464E">
      <w:r>
        <w:rPr>
          <w:b/>
          <w:bCs/>
        </w:rPr>
        <w:lastRenderedPageBreak/>
        <w:t>Šek bankový</w:t>
      </w:r>
      <w:r>
        <w:t xml:space="preserve"> -  ide o bezpečnejší šek, ktorý nahrádza hotovosť. Predávajúci má bankou kupujúceho zaručené vyplatenie šeku. Po vytavení šeku banka vinkuluje</w:t>
      </w:r>
      <w:r>
        <w:rPr>
          <w:rStyle w:val="Znakapoznpodarou"/>
        </w:rPr>
        <w:footnoteReference w:id="92"/>
      </w:r>
      <w:r w:rsidR="00376951">
        <w:t xml:space="preserve">  šekovú sumu na bankovom</w:t>
      </w:r>
      <w:r>
        <w:t xml:space="preserve"> účte a šek zasiela banke </w:t>
      </w:r>
      <w:r w:rsidR="00376951">
        <w:t>predávajúceho</w:t>
      </w:r>
      <w:r>
        <w:t xml:space="preserve">, alebo ho </w:t>
      </w:r>
      <w:r w:rsidR="00376951">
        <w:t>odovzdá</w:t>
      </w:r>
      <w:r>
        <w:t xml:space="preserve"> kupujúcemu, ktorý po prevzatí tovaru, šek odovzdá predávajúcemu. </w:t>
      </w:r>
    </w:p>
    <w:p w:rsidR="0042464E" w:rsidRDefault="0042464E">
      <w:r>
        <w:rPr>
          <w:b/>
          <w:bCs/>
        </w:rPr>
        <w:t>Šek cestovný</w:t>
      </w:r>
      <w:r>
        <w:t xml:space="preserve"> – tieto šeky nemajú veľký význam. Slúžia iba na úhradu režijných nákladov spojených so služobnými cestami do zahraničia (ubytovanie, letenky a pod.). Výplatu šekov garantujú banky, ktoré ich vystavili. </w:t>
      </w:r>
    </w:p>
    <w:p w:rsidR="0042464E" w:rsidRDefault="0042464E">
      <w:pPr>
        <w:pStyle w:val="Nadpis3"/>
      </w:pPr>
      <w:bookmarkStart w:id="44" w:name="_Toc321001095"/>
      <w:r>
        <w:t>Priebeh použitia šeku</w:t>
      </w:r>
      <w:bookmarkEnd w:id="44"/>
    </w:p>
    <w:p w:rsidR="00DC242D" w:rsidRDefault="0042464E">
      <w:r>
        <w:t>O technikách použitia šeku pojednáva Musa</w:t>
      </w:r>
      <w:r>
        <w:rPr>
          <w:rStyle w:val="Znakapoznpodarou"/>
        </w:rPr>
        <w:footnoteReference w:id="93"/>
      </w:r>
      <w:r>
        <w:t xml:space="preserve"> vo svojej publikácii </w:t>
      </w:r>
      <w:r>
        <w:rPr>
          <w:i/>
          <w:iCs/>
        </w:rPr>
        <w:t>,,Šek“</w:t>
      </w:r>
      <w:r>
        <w:t>, kde venuje pozornosť technike platenia bankového šeku v </w:t>
      </w:r>
      <w:r w:rsidR="00376951">
        <w:t>medzinárodnom</w:t>
      </w:r>
      <w:r>
        <w:t xml:space="preserve"> obchode, kde nosnú konštrukciu platenia bankovým šekom prezentuje v obrázku 6.  Musa, celú techniku platenia šekom zhrnul do 8 krokov, kde ako prvý krok je venovaný medzinárodnému kontraktu na dovoz tovaru a fyzické dodanie tovaru. Krok 2 popisuje vystavenie šeku  importérom alebo bankou importéra, a odovzdanie exportérovi. Exportér predloží šek svojej banke (krok 3), tá ho doručí banke importéra (krok 4), ktorá zaťaží účet importéra (krok 5). Banka importéra kredituje účet banky exportéra (krok 6), ktorá pripíše šekovú čiastku svojmu klientovi (krok 7). V krok 8 sa používa v prípade tretej meny, kde </w:t>
      </w:r>
      <w:r>
        <w:br/>
        <w:t xml:space="preserve">do techniky platby vstupuje korešpondenčná banka. </w:t>
      </w:r>
    </w:p>
    <w:p w:rsidR="0042464E" w:rsidRDefault="0042464E">
      <w:r>
        <w:t xml:space="preserve">Tento odsek je nevyhnutné doplniť o lehoty na predloženie a preplatenie  šeku, </w:t>
      </w:r>
      <w:r>
        <w:br/>
        <w:t>kde čerpáme z publikácie Pavelku,</w:t>
      </w:r>
      <w:r>
        <w:rPr>
          <w:rStyle w:val="Znakapoznpodarou"/>
        </w:rPr>
        <w:t xml:space="preserve"> </w:t>
      </w:r>
      <w:r>
        <w:rPr>
          <w:rStyle w:val="Znakapoznpodarou"/>
        </w:rPr>
        <w:footnoteReference w:id="94"/>
      </w:r>
      <w:r>
        <w:t xml:space="preserve"> a orientujeme sa na  ženevskú oblasť</w:t>
      </w:r>
      <w:r w:rsidR="005263B7">
        <w:t>,</w:t>
      </w:r>
      <w:r>
        <w:rPr>
          <w:rStyle w:val="Znakapoznpodarou"/>
        </w:rPr>
        <w:footnoteReference w:id="95"/>
      </w:r>
      <w:r>
        <w:t xml:space="preserve"> kde lehota na preplatenie šeku je do 8 dní od vystavenia šeku, ktorý je splatný v tom istom štáte. Ak miesto vystavenia a súčasne miesto plnenia sú na tom istom svetadiely, lehota splasnosti sa predĺžuje na 20 dní.  Ak sa jedná o vystavenie a splatnosť šeku v dvoch rôznych svetadieloch, lehota na preplatenie šeku je stanovená na 70 deň. </w:t>
      </w:r>
    </w:p>
    <w:p w:rsidR="0042464E" w:rsidRDefault="0042464E">
      <w:pPr>
        <w:pStyle w:val="Tabulka"/>
      </w:pPr>
      <w:r>
        <w:lastRenderedPageBreak/>
        <w:t>Obrázok 6  Priebeh platenia bankovým šekom v medzinárodnom obchode</w:t>
      </w:r>
    </w:p>
    <w:p w:rsidR="0042464E" w:rsidRDefault="00F03713" w:rsidP="00DC242D">
      <w:pPr>
        <w:spacing w:after="0"/>
        <w:jc w:val="center"/>
      </w:pPr>
      <w:r>
        <w:rPr>
          <w:noProof/>
          <w:lang w:eastAsia="sk-SK"/>
        </w:rPr>
        <w:drawing>
          <wp:inline distT="0" distB="0" distL="0" distR="0">
            <wp:extent cx="4644195" cy="3057525"/>
            <wp:effectExtent l="171450" t="133350" r="365955" b="3143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644195" cy="3057525"/>
                    </a:xfrm>
                    <a:prstGeom prst="rect">
                      <a:avLst/>
                    </a:prstGeom>
                    <a:ln>
                      <a:noFill/>
                    </a:ln>
                    <a:effectLst>
                      <a:outerShdw blurRad="292100" dist="139700" dir="2700000" algn="tl" rotWithShape="0">
                        <a:srgbClr val="333333">
                          <a:alpha val="65000"/>
                        </a:srgbClr>
                      </a:outerShdw>
                    </a:effectLst>
                  </pic:spPr>
                </pic:pic>
              </a:graphicData>
            </a:graphic>
          </wp:inline>
        </w:drawing>
      </w:r>
    </w:p>
    <w:p w:rsidR="0042464E" w:rsidRDefault="0042464E">
      <w:pPr>
        <w:pStyle w:val="Tabulka-pramen"/>
      </w:pPr>
      <w:r>
        <w:t xml:space="preserve">Zdroj: MUSA, H: </w:t>
      </w:r>
      <w:r>
        <w:rPr>
          <w:i/>
          <w:iCs/>
        </w:rPr>
        <w:t xml:space="preserve">ŠEK. 2011 [online]. </w:t>
      </w:r>
      <w:r>
        <w:t>Dostupné z WWW :</w:t>
      </w:r>
      <w:r>
        <w:rPr>
          <w:lang w:val="en-US"/>
        </w:rPr>
        <w:t xml:space="preserve"> &lt;</w:t>
      </w:r>
      <w:r>
        <w:t xml:space="preserve">http:// </w:t>
      </w:r>
      <w:hyperlink r:id="rId25" w:history="1">
        <w:r>
          <w:rPr>
            <w:rStyle w:val="Hypertextovodkaz"/>
            <w:color w:val="auto"/>
            <w:u w:val="none"/>
          </w:rPr>
          <w:t>http://www.ef.umb.sk/</w:t>
        </w:r>
      </w:hyperlink>
      <w:r>
        <w:t xml:space="preserve"> upload/predmet/1144/PS-P9.pdf</w:t>
      </w:r>
      <w:r>
        <w:rPr>
          <w:lang w:val="en-US"/>
        </w:rPr>
        <w:t>&gt;,</w:t>
      </w:r>
      <w:r>
        <w:t xml:space="preserve"> (data k 2012-01-20). Vlastné spracovanie.</w:t>
      </w:r>
    </w:p>
    <w:p w:rsidR="0042464E" w:rsidRDefault="005D4FF0">
      <w:pPr>
        <w:pStyle w:val="Nadpis3"/>
      </w:pPr>
      <w:r>
        <w:t xml:space="preserve"> </w:t>
      </w:r>
      <w:bookmarkStart w:id="45" w:name="_Toc321001096"/>
      <w:r w:rsidR="0042464E">
        <w:t>Eliminácia platobných rizík pri použití šeku</w:t>
      </w:r>
      <w:bookmarkEnd w:id="45"/>
    </w:p>
    <w:p w:rsidR="0042464E" w:rsidRDefault="0042464E">
      <w:pPr>
        <w:rPr>
          <w:i/>
          <w:iCs/>
        </w:rPr>
      </w:pPr>
      <w:r>
        <w:t xml:space="preserve">Ak chceme eliminovať platobné riziko pri použití šeku, musíme veľký dôraz venovať nižšie uvedeným bodom, ktoré Pavelka považujú za veľmi dôležité. </w:t>
      </w:r>
      <w:r>
        <w:rPr>
          <w:i/>
          <w:iCs/>
        </w:rPr>
        <w:t>,,Pri biankošeku  vystavovateľ riskuje doplnenie údajov (najmä šekovej sumy) v oveľa vyššej hodnote, ako v skutočnosti obsahovala dohoda účastníkov. Při prípadnom súdnom spore musí vystavovateľ šeku počíťať s tým, že bude v dôkazvoej núdzi. Ako vystaviteľ musí súdu preukázať, že majiteľ šeku vedome konal na škodu  vystavovateľa tým, že doplnil údaje v rozpore s dohodou. Vystavovateľ šeku by si mal toto riziko uvedomiť ešte pred odovzdaním biankošeku jeho majiteľovi.“</w:t>
      </w:r>
      <w:r>
        <w:rPr>
          <w:rStyle w:val="Znakapoznpodarou"/>
        </w:rPr>
        <w:t xml:space="preserve"> </w:t>
      </w:r>
      <w:r>
        <w:rPr>
          <w:rStyle w:val="Znakapoznpodarou"/>
        </w:rPr>
        <w:footnoteReference w:id="96"/>
      </w:r>
      <w:r>
        <w:t xml:space="preserve"> Ďalej uvádza, že súkromný šek je nevhodný platobný nástroj: </w:t>
      </w:r>
      <w:r>
        <w:rPr>
          <w:i/>
          <w:iCs/>
        </w:rPr>
        <w:t xml:space="preserve">,,Keď zahraničný odberateľ odovzdá svoj súkromný šek exportérovi </w:t>
      </w:r>
      <w:r>
        <w:rPr>
          <w:i/>
          <w:iCs/>
        </w:rPr>
        <w:lastRenderedPageBreak/>
        <w:t>pri prevzatí tovaru v závode alebo v sklade exportéra, pričom ten nepozná bonitu zahraničného obchodného partnera, ktorý šek vystavil“</w:t>
      </w:r>
      <w:r>
        <w:rPr>
          <w:rStyle w:val="Znakapoznpodarou"/>
        </w:rPr>
        <w:t xml:space="preserve"> </w:t>
      </w:r>
      <w:r>
        <w:rPr>
          <w:rStyle w:val="Znakapoznpodarou"/>
        </w:rPr>
        <w:footnoteReference w:id="97"/>
      </w:r>
    </w:p>
    <w:p w:rsidR="0042464E" w:rsidRDefault="00DC242D" w:rsidP="00DC242D">
      <w:pPr>
        <w:pStyle w:val="Nadpis2"/>
      </w:pPr>
      <w:bookmarkStart w:id="46" w:name="_Toc321001097"/>
      <w:r>
        <w:t>EURO a SEPA v podmienkach EÚ</w:t>
      </w:r>
      <w:bookmarkEnd w:id="46"/>
    </w:p>
    <w:p w:rsidR="00F959ED" w:rsidRDefault="000222ED">
      <w:pPr>
        <w:rPr>
          <w:i/>
        </w:rPr>
      </w:pPr>
      <w:r>
        <w:t>Globalizované ekonomiky</w:t>
      </w:r>
      <w:r w:rsidRPr="000222ED">
        <w:rPr>
          <w:lang w:val="de-CH"/>
        </w:rPr>
        <w:t xml:space="preserve"> potrebujú</w:t>
      </w:r>
      <w:r>
        <w:t xml:space="preserve"> na</w:t>
      </w:r>
      <w:r w:rsidRPr="000222ED">
        <w:t xml:space="preserve"> svoj</w:t>
      </w:r>
      <w:r>
        <w:t xml:space="preserve"> intenzívny rozvoj nadnárodné meny, ktoré napomáhajú </w:t>
      </w:r>
      <w:r w:rsidR="00FE65E0">
        <w:t>rý</w:t>
      </w:r>
      <w:r>
        <w:t>chlejší</w:t>
      </w:r>
      <w:r w:rsidR="00FE65E0">
        <w:t xml:space="preserve">, lačnejší a jednoduchší transfér kapitálu medzi jednotlivými štátmi. Ekonomická integrácia v rámci Hospodárskej a menovej únie (HMÚ) </w:t>
      </w:r>
      <w:r w:rsidR="00F959ED">
        <w:br/>
      </w:r>
      <w:r w:rsidR="00FE65E0">
        <w:t>je založená na používaní eura</w:t>
      </w:r>
      <w:r w:rsidR="00F959ED">
        <w:rPr>
          <w:rStyle w:val="Znakapoznpodarou"/>
        </w:rPr>
        <w:footnoteReference w:id="98"/>
      </w:r>
      <w:r w:rsidR="00FE65E0">
        <w:t xml:space="preserve"> v jednotlivých ekonomikách eurozóny.</w:t>
      </w:r>
      <w:r w:rsidR="00F959ED" w:rsidRPr="00F959ED">
        <w:rPr>
          <w:rStyle w:val="Znakapoznpodarou"/>
        </w:rPr>
        <w:t xml:space="preserve"> </w:t>
      </w:r>
      <w:r w:rsidR="00F959ED">
        <w:rPr>
          <w:rStyle w:val="Znakapoznpodarou"/>
        </w:rPr>
        <w:footnoteReference w:id="99"/>
      </w:r>
      <w:r w:rsidR="00FE65E0">
        <w:t xml:space="preserve"> Ako uvádza Pavelka</w:t>
      </w:r>
      <w:r w:rsidR="00F959ED">
        <w:rPr>
          <w:rStyle w:val="Znakapoznpodarou"/>
        </w:rPr>
        <w:footnoteReference w:id="100"/>
      </w:r>
      <w:r w:rsidR="00FE65E0">
        <w:t xml:space="preserve"> </w:t>
      </w:r>
      <w:r w:rsidR="00FE65E0" w:rsidRPr="00FE65E0">
        <w:rPr>
          <w:i/>
        </w:rPr>
        <w:t xml:space="preserve">,,Single Euro Paymdent Area (SEPA) predstavuje európsky integrovaný trh služieb platobného styku, kde neexistuje žiadny rozdiel medzi cehraničnými </w:t>
      </w:r>
      <w:r w:rsidR="00F959ED">
        <w:rPr>
          <w:i/>
        </w:rPr>
        <w:br/>
      </w:r>
      <w:r w:rsidR="00FE65E0" w:rsidRPr="00FE65E0">
        <w:rPr>
          <w:i/>
        </w:rPr>
        <w:t xml:space="preserve">a vnútroštatnými platbami. SEPA je oblasť, v ktorej budú mocť spotrebitelia, podniky </w:t>
      </w:r>
      <w:r w:rsidR="00F959ED">
        <w:rPr>
          <w:i/>
        </w:rPr>
        <w:br/>
      </w:r>
      <w:r w:rsidR="00FE65E0" w:rsidRPr="00FE65E0">
        <w:rPr>
          <w:i/>
        </w:rPr>
        <w:t xml:space="preserve">a ďalšie hospodárske subjekty realizovať a prijímať platby v eurách, či už v rámci jednej krajiny, alebo medzi jednotlivými krajinami, za rovnakých podmienok, práv </w:t>
      </w:r>
      <w:r w:rsidR="00F959ED">
        <w:rPr>
          <w:i/>
        </w:rPr>
        <w:br/>
      </w:r>
      <w:r w:rsidR="00FE65E0" w:rsidRPr="00FE65E0">
        <w:rPr>
          <w:i/>
        </w:rPr>
        <w:t>a povinností a bez ohľadu, kde sa nachádajú.“</w:t>
      </w:r>
      <w:r w:rsidR="00FE65E0" w:rsidRPr="00FE65E0">
        <w:rPr>
          <w:rStyle w:val="Znakapoznpodarou"/>
        </w:rPr>
        <w:t xml:space="preserve"> </w:t>
      </w:r>
    </w:p>
    <w:p w:rsidR="00DA75A3" w:rsidRDefault="00DA75A3" w:rsidP="00DA75A3">
      <w:pPr>
        <w:pStyle w:val="Nadpis3"/>
      </w:pPr>
      <w:bookmarkStart w:id="47" w:name="_Toc321001098"/>
      <w:r>
        <w:t>SEPA – Jednotný európsky platobný priestor</w:t>
      </w:r>
      <w:bookmarkEnd w:id="47"/>
    </w:p>
    <w:p w:rsidR="00EF4EE0" w:rsidRDefault="001219C2">
      <w:r>
        <w:t xml:space="preserve">Šmejkal v knihe </w:t>
      </w:r>
      <w:r w:rsidRPr="001219C2">
        <w:rPr>
          <w:i/>
        </w:rPr>
        <w:t>,,Riziká v komerční prax</w:t>
      </w:r>
      <w:r>
        <w:rPr>
          <w:i/>
        </w:rPr>
        <w:t>i</w:t>
      </w:r>
      <w:r w:rsidRPr="001219C2">
        <w:rPr>
          <w:i/>
        </w:rPr>
        <w:t>“</w:t>
      </w:r>
      <w:r w:rsidRPr="001219C2">
        <w:rPr>
          <w:rStyle w:val="Znakapoznpodarou"/>
        </w:rPr>
        <w:t xml:space="preserve"> </w:t>
      </w:r>
      <w:r>
        <w:rPr>
          <w:rStyle w:val="Znakapoznpodarou"/>
        </w:rPr>
        <w:footnoteReference w:id="101"/>
      </w:r>
      <w:r>
        <w:t xml:space="preserve"> v kapitole 7.9 </w:t>
      </w:r>
      <w:r w:rsidR="00B71D86">
        <w:t xml:space="preserve">- </w:t>
      </w:r>
      <w:r>
        <w:t xml:space="preserve">Platobné riziká a právo EÚ definuje hlavný cieľ projektu SEPA unifikovať platby v jednotnej </w:t>
      </w:r>
      <w:r w:rsidR="00EC55E6">
        <w:t>mene</w:t>
      </w:r>
      <w:r>
        <w:t xml:space="preserve"> v rámci </w:t>
      </w:r>
      <w:r w:rsidR="00EC55E6">
        <w:t>Európskeho</w:t>
      </w:r>
      <w:r>
        <w:t xml:space="preserve"> </w:t>
      </w:r>
      <w:r w:rsidR="00EC55E6">
        <w:t>hospodárskeho</w:t>
      </w:r>
      <w:r>
        <w:t xml:space="preserve"> </w:t>
      </w:r>
      <w:r w:rsidR="00EF4EE0">
        <w:t>prie</w:t>
      </w:r>
      <w:r>
        <w:t>storu (EHP)</w:t>
      </w:r>
      <w:r w:rsidR="00EF4EE0" w:rsidRPr="00EF4EE0">
        <w:rPr>
          <w:rStyle w:val="Znakapoznpodarou"/>
        </w:rPr>
        <w:t xml:space="preserve"> </w:t>
      </w:r>
      <w:r w:rsidR="00EF4EE0">
        <w:rPr>
          <w:rStyle w:val="Znakapoznpodarou"/>
        </w:rPr>
        <w:footnoteReference w:id="102"/>
      </w:r>
      <w:r>
        <w:t xml:space="preserve"> tak, aby </w:t>
      </w:r>
      <w:r w:rsidR="00EC55E6">
        <w:t>odosielatelia</w:t>
      </w:r>
      <w:r>
        <w:t xml:space="preserve"> a adresáti platieb nemuseli rozlišovať, či sa jedná o platbu </w:t>
      </w:r>
      <w:r w:rsidR="00EC55E6">
        <w:t>vnútroštátnu</w:t>
      </w:r>
      <w:r>
        <w:t xml:space="preserve"> alebo cezhraničnú. Postupná implementácia inštrumentov </w:t>
      </w:r>
      <w:r w:rsidR="00EF4EE0">
        <w:t>SEPA Credit Transfer, SEPA Direct Debit</w:t>
      </w:r>
      <w:r w:rsidR="00081131">
        <w:t>, SEPA Cash Pooling</w:t>
      </w:r>
      <w:r w:rsidR="00EF4EE0">
        <w:t xml:space="preserve"> a SEPA Cards Framework v praxi prebieha už od roku 2008 s očakávanou plnou funkčnosťou od 1. .12. 2012. Prvým základom je smernica 2007/64/ES </w:t>
      </w:r>
      <w:r w:rsidR="00EF4EE0">
        <w:lastRenderedPageBreak/>
        <w:t>z 13.11.2007. Štandardizácia platového styku upravuje užívanie formátu IBAN</w:t>
      </w:r>
      <w:r w:rsidR="00134F29">
        <w:rPr>
          <w:rStyle w:val="Znakapoznpodarou"/>
        </w:rPr>
        <w:footnoteReference w:id="103"/>
      </w:r>
      <w:r w:rsidR="00134F29">
        <w:t xml:space="preserve"> </w:t>
      </w:r>
      <w:r w:rsidR="00376951">
        <w:br/>
      </w:r>
      <w:r w:rsidR="00134F29">
        <w:t>pre čísla účtu a uvádzanie kó</w:t>
      </w:r>
      <w:r w:rsidR="00EF4EE0">
        <w:t>du banky v</w:t>
      </w:r>
      <w:r w:rsidR="00134F29">
        <w:t> </w:t>
      </w:r>
      <w:r w:rsidR="00EF4EE0">
        <w:t>tvar</w:t>
      </w:r>
      <w:r w:rsidR="00134F29">
        <w:t xml:space="preserve">e </w:t>
      </w:r>
      <w:r w:rsidR="00EF4EE0">
        <w:t>BIC.</w:t>
      </w:r>
      <w:r w:rsidR="00134F29" w:rsidRPr="00134F29">
        <w:rPr>
          <w:rStyle w:val="Znakapoznpodarou"/>
        </w:rPr>
        <w:t xml:space="preserve"> </w:t>
      </w:r>
      <w:r w:rsidR="00134F29">
        <w:rPr>
          <w:rStyle w:val="Znakapoznpodarou"/>
        </w:rPr>
        <w:footnoteReference w:id="104"/>
      </w:r>
      <w:r w:rsidR="00EF4EE0">
        <w:t xml:space="preserve"> SEPA znamená úsporu nákladov,</w:t>
      </w:r>
      <w:r w:rsidR="00134F29" w:rsidRPr="00134F29">
        <w:rPr>
          <w:rStyle w:val="Znakapoznpodarou"/>
        </w:rPr>
        <w:t xml:space="preserve"> </w:t>
      </w:r>
      <w:r w:rsidR="00134F29">
        <w:rPr>
          <w:rStyle w:val="Znakapoznpodarou"/>
        </w:rPr>
        <w:footnoteReference w:id="105"/>
      </w:r>
      <w:r w:rsidR="00EF4EE0">
        <w:t xml:space="preserve"> odpadá neistota, či platba dôjde včas adresátovi a či vinou bankových poplatkov </w:t>
      </w:r>
      <w:r w:rsidR="00376951">
        <w:br/>
      </w:r>
      <w:r w:rsidR="00EF4EE0">
        <w:t xml:space="preserve">za prevod nebude znížená pod čiastku, ktorá má byť prevedená. </w:t>
      </w:r>
    </w:p>
    <w:p w:rsidR="00EF4EE0" w:rsidRDefault="0095711B" w:rsidP="0095711B">
      <w:pPr>
        <w:pStyle w:val="Nadpis3"/>
      </w:pPr>
      <w:bookmarkStart w:id="48" w:name="_Toc321001099"/>
      <w:r>
        <w:t>SEPA Direct Debit – SEPA Inkaso</w:t>
      </w:r>
      <w:bookmarkEnd w:id="48"/>
    </w:p>
    <w:p w:rsidR="0095711B" w:rsidRDefault="0095711B">
      <w:r>
        <w:rPr>
          <w:rStyle w:val="bbtext"/>
        </w:rPr>
        <w:t xml:space="preserve">Novým  spôsobom ako si plánovať likviditu pracovného kapitálu v podniku je SEPA Direct Debit (SDD). Je to cezhraničné </w:t>
      </w:r>
      <w:r>
        <w:t xml:space="preserve">inkasovanie finančných prostriedkov v mene EUR medzi dvomi </w:t>
      </w:r>
      <w:r w:rsidR="00EC55E6">
        <w:t>subjektmi</w:t>
      </w:r>
      <w:r>
        <w:t xml:space="preserve">, ktoré majú otvorené účty v bankách sídliacich na území SEPA krajín (27 krajín Európskej únie, Island, Lichtenštajnsko, Nórsko a Švajčiarsko). Aby sa inkasná platba mohla uskutočniť, príjemca a platiteľ SEPA inkasa sa musia </w:t>
      </w:r>
      <w:r w:rsidR="00376951">
        <w:br/>
      </w:r>
      <w:r>
        <w:t>na využití tohto spôsobu platenia dohodnúť</w:t>
      </w:r>
      <w:r w:rsidR="001B111C">
        <w:t>, (viď</w:t>
      </w:r>
      <w:r>
        <w:t>.</w:t>
      </w:r>
      <w:r w:rsidR="001B111C">
        <w:t xml:space="preserve"> bližšie Kapitola 3.4).</w:t>
      </w:r>
      <w:r>
        <w:t xml:space="preserve"> Ak klient využije túto službu, inkasovaná suma bude bankou odpísaná z účtu platiteľa na základe inkasného príkazu príjemcu sumy, ktorý zašle jeho banka. Poplatok za vykonanie tohto typu platby je 0,15 €. </w:t>
      </w:r>
    </w:p>
    <w:p w:rsidR="00B62B4D" w:rsidRDefault="00B62B4D" w:rsidP="00B62B4D">
      <w:pPr>
        <w:pStyle w:val="Nadpis2"/>
      </w:pPr>
      <w:bookmarkStart w:id="49" w:name="_Toc321001100"/>
      <w:r>
        <w:t>Metodika práce a metódy skúmania</w:t>
      </w:r>
      <w:bookmarkEnd w:id="49"/>
    </w:p>
    <w:p w:rsidR="00BF344B" w:rsidRDefault="00BF344B" w:rsidP="00BF344B">
      <w:pPr>
        <w:spacing w:before="120" w:after="0"/>
      </w:pPr>
      <w:r>
        <w:t xml:space="preserve">V čase spracovania diplomovej práce budeme realizovať procesy, ktoré súvisia </w:t>
      </w:r>
      <w:r>
        <w:br/>
        <w:t xml:space="preserve">s analýzou sekundárnych dát praktického využitia nástrojov ku zníženiu platobných rizík a to prostredníctvom štúdia najaktuálnejšej literatúry, odborných článkov (Hospodárske noviny, časopis TREND) a blogov,  ktoré sa zaoberajú elimináciou platobných rizík pri dovoznej a vývoznej transakcii. Preto bude vhodné spracovať tému spôsobom analýzy. Využívať budeme aj  primárne informácie, ktoré budú v čase spracovania práce aktuálne z pohľadu realizácie a publikovania nadnárodnej spoločnosti Ideal Standard International (výskumné správy, normy, štatistiky, záznamy, podnikové publikácie) a nadnárodných inštitúcií (Európska únia, Svetová banka, WTO). Aktuálne informačné zdroje nám budú prispievať  k celkovému vnímaniu problematiky, ktoré </w:t>
      </w:r>
      <w:r>
        <w:lastRenderedPageBreak/>
        <w:t xml:space="preserve">v práci budeme citovať podľa normy SSN ISO 690 (Bibliografická citácia, obsah, forma a štruktúra) a SSN ISO 690-2 (Bibliografická citácia, elektronické dokumenty alebo ich časti). Analýza status quo sa bude týkať reálnej situácie a  rozboru procesov, ktorými budeme sledovať jediný, vopred stanovený cieľ. Pri analyzovaní údajov a poznatkov, pri ich zoraďovaní a zjednocovaní budeme používať metódu syntetickej a analytickej klasifikácie. Výsledky spracovania údajov budeme  v diplomovej  práci prezentovať prostredníctvom tabuliek a grafov, teda prostredníctvom  metódy tabuľkového a grafického znázornenia.  </w:t>
      </w:r>
    </w:p>
    <w:p w:rsidR="00B62B4D" w:rsidRDefault="00B62B4D"/>
    <w:p w:rsidR="0095711B" w:rsidRDefault="0095711B"/>
    <w:p w:rsidR="0074270F" w:rsidRDefault="0074270F">
      <w:pPr>
        <w:spacing w:after="0" w:line="240" w:lineRule="auto"/>
        <w:jc w:val="left"/>
      </w:pPr>
      <w:r>
        <w:br w:type="page"/>
      </w:r>
    </w:p>
    <w:p w:rsidR="0042464E" w:rsidRDefault="0042464E">
      <w:pPr>
        <w:pStyle w:val="Nadpis1"/>
      </w:pPr>
      <w:bookmarkStart w:id="50" w:name="_Toc321001101"/>
      <w:r>
        <w:lastRenderedPageBreak/>
        <w:t xml:space="preserve">Analytická/praktická </w:t>
      </w:r>
      <w:r w:rsidR="00A1350A">
        <w:t>časť</w:t>
      </w:r>
      <w:r>
        <w:t xml:space="preserve"> práce</w:t>
      </w:r>
      <w:bookmarkEnd w:id="50"/>
      <w:r>
        <w:t xml:space="preserve"> </w:t>
      </w:r>
    </w:p>
    <w:p w:rsidR="00FD6CB2" w:rsidRPr="00260831" w:rsidRDefault="00FD6CB2" w:rsidP="00FD6CB2">
      <w:pPr>
        <w:autoSpaceDE w:val="0"/>
        <w:autoSpaceDN w:val="0"/>
        <w:adjustRightInd w:val="0"/>
        <w:spacing w:after="0"/>
        <w:rPr>
          <w:vertAlign w:val="superscript"/>
        </w:rPr>
      </w:pPr>
      <w:r>
        <w:t>Aplikácia teórie na podmienky vybranej firmy IDEAL STANDARD INTERNATIONAL</w:t>
      </w:r>
      <w:r w:rsidR="00260831">
        <w:t xml:space="preserve"> (IS)</w:t>
      </w:r>
      <w:r>
        <w:t xml:space="preserve">, ktorá je riadená správnou radou. Hlavným akcionárom spoločnosti </w:t>
      </w:r>
      <w:r>
        <w:rPr>
          <w:lang w:eastAsia="sk-SK"/>
        </w:rPr>
        <w:t>je medzinárodná súkromná spoločnosť patriaca do skupiny BAIN CAPITAL.</w:t>
      </w:r>
      <w:r w:rsidRPr="00FD6CB2">
        <w:rPr>
          <w:rStyle w:val="Znakapoznpodarou"/>
        </w:rPr>
        <w:t xml:space="preserve"> </w:t>
      </w:r>
      <w:r>
        <w:rPr>
          <w:rStyle w:val="Znakapoznpodarou"/>
        </w:rPr>
        <w:footnoteReference w:id="106"/>
      </w:r>
      <w:r w:rsidR="00260831">
        <w:rPr>
          <w:rStyle w:val="Znakapoznpodarou"/>
        </w:rPr>
        <w:t xml:space="preserve"> </w:t>
      </w:r>
      <w:r w:rsidR="00260831">
        <w:rPr>
          <w:lang w:eastAsia="sk-SK"/>
        </w:rPr>
        <w:t>H</w:t>
      </w:r>
      <w:r>
        <w:rPr>
          <w:lang w:eastAsia="sk-SK"/>
        </w:rPr>
        <w:t xml:space="preserve">lavné sídlo </w:t>
      </w:r>
      <w:r w:rsidR="00260831">
        <w:rPr>
          <w:lang w:eastAsia="sk-SK"/>
        </w:rPr>
        <w:t xml:space="preserve">IS </w:t>
      </w:r>
      <w:r>
        <w:rPr>
          <w:lang w:eastAsia="sk-SK"/>
        </w:rPr>
        <w:t xml:space="preserve">je v Bruseli - Belgicko. Firma operuje nezávisle </w:t>
      </w:r>
      <w:r w:rsidR="00260831">
        <w:rPr>
          <w:lang w:eastAsia="sk-SK"/>
        </w:rPr>
        <w:br/>
      </w:r>
      <w:r>
        <w:rPr>
          <w:lang w:eastAsia="sk-SK"/>
        </w:rPr>
        <w:t xml:space="preserve">v Európe, na Strednom východe, Afrike. </w:t>
      </w:r>
    </w:p>
    <w:p w:rsidR="00260831" w:rsidRDefault="00260831" w:rsidP="00A1350A">
      <w:pPr>
        <w:pStyle w:val="Keywords"/>
        <w:spacing w:before="240" w:after="120"/>
        <w:ind w:left="0" w:firstLine="0"/>
        <w:rPr>
          <w:b/>
          <w:bCs/>
        </w:rPr>
      </w:pPr>
      <w:r>
        <w:rPr>
          <w:b/>
          <w:bCs/>
        </w:rPr>
        <w:t>Predstavenie</w:t>
      </w:r>
      <w:r w:rsidR="00A1350A">
        <w:rPr>
          <w:b/>
          <w:bCs/>
        </w:rPr>
        <w:t xml:space="preserve"> </w:t>
      </w:r>
      <w:r>
        <w:rPr>
          <w:b/>
          <w:bCs/>
        </w:rPr>
        <w:t>spoločnosti:</w:t>
      </w:r>
    </w:p>
    <w:p w:rsidR="00260831" w:rsidRDefault="00260831" w:rsidP="00260831">
      <w:pPr>
        <w:pStyle w:val="Textodstavce"/>
        <w:spacing w:after="0"/>
      </w:pPr>
      <w:r>
        <w:t>Centrála spoločnosti IS: Brusel</w:t>
      </w:r>
    </w:p>
    <w:p w:rsidR="00260831" w:rsidRDefault="00260831" w:rsidP="00260831">
      <w:pPr>
        <w:spacing w:after="0"/>
      </w:pPr>
      <w:r>
        <w:t>Počet závodov: 38 výrobných závodov vo viac ako 30 krajín sveta</w:t>
      </w:r>
    </w:p>
    <w:p w:rsidR="00260831" w:rsidRDefault="00260831" w:rsidP="00260831">
      <w:pPr>
        <w:spacing w:after="0"/>
      </w:pPr>
      <w:r>
        <w:t xml:space="preserve">Počet </w:t>
      </w:r>
      <w:r w:rsidR="00D6483D">
        <w:t>zamestnancov</w:t>
      </w:r>
      <w:r>
        <w:t>: 18 tisíc zamestnancov</w:t>
      </w:r>
    </w:p>
    <w:p w:rsidR="00260831" w:rsidRDefault="00260831" w:rsidP="00A1350A">
      <w:pPr>
        <w:spacing w:before="240" w:after="120"/>
        <w:rPr>
          <w:b/>
          <w:bCs/>
        </w:rPr>
      </w:pPr>
      <w:r>
        <w:rPr>
          <w:b/>
          <w:bCs/>
        </w:rPr>
        <w:t>Základné údaje:</w:t>
      </w:r>
    </w:p>
    <w:p w:rsidR="00260831" w:rsidRDefault="00260831" w:rsidP="00260831">
      <w:pPr>
        <w:numPr>
          <w:ilvl w:val="0"/>
          <w:numId w:val="7"/>
        </w:numPr>
        <w:spacing w:after="0"/>
      </w:pPr>
      <w:r>
        <w:t>výroba a predaj sanitárnej keramiky, kúpeľňových a kuchynských arma</w:t>
      </w:r>
      <w:r w:rsidR="00D6483D">
        <w:t>túr, akrylátových vani</w:t>
      </w:r>
      <w:r>
        <w:t>,  vírivých systémov, sprchovacích zásten a kútov</w:t>
      </w:r>
      <w:r>
        <w:rPr>
          <w:lang w:val="en-US"/>
        </w:rPr>
        <w:t>;</w:t>
      </w:r>
    </w:p>
    <w:p w:rsidR="00260831" w:rsidRDefault="00260831" w:rsidP="00260831">
      <w:pPr>
        <w:numPr>
          <w:ilvl w:val="0"/>
          <w:numId w:val="7"/>
        </w:numPr>
        <w:spacing w:after="120"/>
      </w:pPr>
      <w:r>
        <w:t>výrobná kapacita 990 tisíc kusov sanitárnej keramiky.</w:t>
      </w:r>
    </w:p>
    <w:p w:rsidR="00A33192" w:rsidRDefault="00260831" w:rsidP="00A1350A">
      <w:pPr>
        <w:autoSpaceDE w:val="0"/>
        <w:autoSpaceDN w:val="0"/>
        <w:adjustRightInd w:val="0"/>
        <w:spacing w:before="240" w:after="0"/>
        <w:rPr>
          <w:lang w:eastAsia="sk-SK"/>
        </w:rPr>
      </w:pPr>
      <w:r>
        <w:rPr>
          <w:b/>
          <w:bCs/>
        </w:rPr>
        <w:t>Široké portfólio globálnych značiek</w:t>
      </w:r>
      <w:r>
        <w:t xml:space="preserve"> – napr. American Standard®, Ideal Standard®, Ceramica Dolomite®, Porcher®, Borma®, Sottini®, Jado®, Absolute®. S vyčerpavajúcou ponukou produktov všetkých cenových skupín od Super Luxusných ku ekonomickým seriám – určuje Ideal Standard International nový štandard.</w:t>
      </w:r>
      <w:r>
        <w:rPr>
          <w:rFonts w:ascii="Tahoma" w:hAnsi="Tahoma" w:cs="Tahoma"/>
          <w:color w:val="FFFFFF"/>
          <w:sz w:val="28"/>
          <w:szCs w:val="28"/>
          <w:lang w:eastAsia="sk-SK"/>
        </w:rPr>
        <w:t>AA</w:t>
      </w:r>
      <w:r w:rsidR="00A33192" w:rsidRPr="00A33192">
        <w:rPr>
          <w:lang w:eastAsia="sk-SK"/>
        </w:rPr>
        <w:t xml:space="preserve"> </w:t>
      </w:r>
    </w:p>
    <w:p w:rsidR="00A33192" w:rsidRDefault="00A33192" w:rsidP="00A33192">
      <w:pPr>
        <w:autoSpaceDE w:val="0"/>
        <w:autoSpaceDN w:val="0"/>
        <w:adjustRightInd w:val="0"/>
        <w:spacing w:before="120" w:after="0"/>
        <w:rPr>
          <w:b/>
          <w:bCs/>
        </w:rPr>
      </w:pPr>
      <w:r>
        <w:rPr>
          <w:lang w:eastAsia="sk-SK"/>
        </w:rPr>
        <w:t xml:space="preserve">Každý výrobok je už pri zrode navrhovaný svetovými designérmi tak, aby dizajn keramiky, armatúr, vaní, sprchovacích kútov, nábytkov a doplnkov pôsobil elegantne </w:t>
      </w:r>
      <w:r>
        <w:rPr>
          <w:lang w:eastAsia="sk-SK"/>
        </w:rPr>
        <w:br/>
        <w:t xml:space="preserve">a štýlovo ako jeden celok. Zárukou toho sú mená známych designerov: Gio Ponti, Paolo Tilche, Achile Castiglioni, Mario Bellini, Enzo Mari, Renzo &amp; Matteo Piano (Taliansko), David Chipperfield, John Beauchamp (Anglicko), Masajuki Kurokava (Japonsko), Axel Enthoven (Belgicko), ID - Design Studio, Indigo Design, Fabian </w:t>
      </w:r>
      <w:r w:rsidR="00B71D86">
        <w:rPr>
          <w:lang w:eastAsia="sk-SK"/>
        </w:rPr>
        <w:br/>
      </w:r>
      <w:r>
        <w:rPr>
          <w:lang w:eastAsia="sk-SK"/>
        </w:rPr>
        <w:t>&amp; Studio Müller Design of Germany, Artefakt (Nemecko), Marc Sadler, Marc Newson (Austrália).</w:t>
      </w:r>
      <w:r>
        <w:t xml:space="preserve"> </w:t>
      </w:r>
    </w:p>
    <w:p w:rsidR="00260831" w:rsidRDefault="00260831" w:rsidP="00A33192">
      <w:pPr>
        <w:spacing w:before="120" w:after="120"/>
        <w:rPr>
          <w:b/>
          <w:bCs/>
        </w:rPr>
      </w:pPr>
      <w:r>
        <w:rPr>
          <w:b/>
          <w:bCs/>
        </w:rPr>
        <w:lastRenderedPageBreak/>
        <w:t xml:space="preserve">Základné informácie  </w:t>
      </w:r>
    </w:p>
    <w:p w:rsidR="00260831" w:rsidRDefault="00260831" w:rsidP="00260831">
      <w:pPr>
        <w:spacing w:after="0"/>
      </w:pPr>
      <w:r>
        <w:t xml:space="preserve">S objemom predaja dosiahol Ideal Standard Interantional nasledujúce pozície v oblasti </w:t>
      </w:r>
      <w:r w:rsidR="00A1350A">
        <w:t>Kúpeľne</w:t>
      </w:r>
      <w:r>
        <w:t xml:space="preserve"> a kuchyne (Bath&amp;Kitchen)</w:t>
      </w:r>
    </w:p>
    <w:p w:rsidR="00260831" w:rsidRDefault="00260831" w:rsidP="00260831">
      <w:pPr>
        <w:spacing w:after="0"/>
        <w:ind w:firstLine="360"/>
      </w:pPr>
      <w:r>
        <w:t>-    Svetový výrobca  č. 1 v zariaďovacich predmetoch Bath&amp;Kitchen;</w:t>
      </w:r>
    </w:p>
    <w:p w:rsidR="00260831" w:rsidRDefault="00260831" w:rsidP="00260831">
      <w:pPr>
        <w:numPr>
          <w:ilvl w:val="0"/>
          <w:numId w:val="8"/>
        </w:numPr>
        <w:spacing w:after="0"/>
      </w:pPr>
      <w:r>
        <w:t xml:space="preserve">Vedúce postavenie na </w:t>
      </w:r>
      <w:r w:rsidR="00A1350A">
        <w:t>Európskom</w:t>
      </w:r>
      <w:r>
        <w:t xml:space="preserve"> trhu;</w:t>
      </w:r>
    </w:p>
    <w:p w:rsidR="00260831" w:rsidRDefault="00260831" w:rsidP="00260831">
      <w:pPr>
        <w:numPr>
          <w:ilvl w:val="0"/>
          <w:numId w:val="8"/>
        </w:numPr>
        <w:spacing w:after="0"/>
      </w:pPr>
      <w:r>
        <w:t>Vedúce postavenie na trhu USA v oblasti Commercial;</w:t>
      </w:r>
    </w:p>
    <w:p w:rsidR="00260831" w:rsidRDefault="00260831" w:rsidP="00260831">
      <w:pPr>
        <w:numPr>
          <w:ilvl w:val="0"/>
          <w:numId w:val="8"/>
        </w:numPr>
        <w:spacing w:after="0"/>
      </w:pPr>
      <w:r>
        <w:t>Popredné postavenie (č.2) na trhu USA  v sanitárnej keramike.</w:t>
      </w:r>
    </w:p>
    <w:p w:rsidR="00260831" w:rsidRDefault="00260831" w:rsidP="00A33192">
      <w:pPr>
        <w:pStyle w:val="Textodstavce"/>
        <w:spacing w:before="120" w:after="120"/>
      </w:pPr>
      <w:r>
        <w:t>Jediný svetový výrobca schopný konkurencie v </w:t>
      </w:r>
      <w:r w:rsidR="00A1350A">
        <w:t>rôznych</w:t>
      </w:r>
      <w:r>
        <w:t xml:space="preserve"> segmentoch (sanitárna keramika, armatúry, akrylátové vane, sprchové programy) – NAJŠIRŠÍ VÝROBNÝ PROGRAM. </w:t>
      </w:r>
    </w:p>
    <w:p w:rsidR="00260831" w:rsidRDefault="00260831" w:rsidP="00A33192">
      <w:pPr>
        <w:pStyle w:val="Textodstavce"/>
        <w:spacing w:before="120" w:after="120"/>
        <w:rPr>
          <w:b/>
          <w:bCs/>
        </w:rPr>
      </w:pPr>
      <w:r>
        <w:rPr>
          <w:b/>
          <w:bCs/>
        </w:rPr>
        <w:t>Nadštandardná garancia kvality -</w:t>
      </w:r>
    </w:p>
    <w:p w:rsidR="00260831" w:rsidRDefault="00260831" w:rsidP="00260831">
      <w:pPr>
        <w:numPr>
          <w:ilvl w:val="0"/>
          <w:numId w:val="8"/>
        </w:numPr>
        <w:spacing w:after="0"/>
      </w:pPr>
      <w:r>
        <w:t>doživotná záruka na výrobky z keramiky;</w:t>
      </w:r>
    </w:p>
    <w:p w:rsidR="00260831" w:rsidRDefault="00260831" w:rsidP="00260831">
      <w:pPr>
        <w:numPr>
          <w:ilvl w:val="0"/>
          <w:numId w:val="8"/>
        </w:numPr>
        <w:spacing w:after="0"/>
      </w:pPr>
      <w:r>
        <w:t>25 rokov záruka na akrylátové vany a sprchovacie vaničky;</w:t>
      </w:r>
    </w:p>
    <w:p w:rsidR="00260831" w:rsidRDefault="00260831" w:rsidP="00260831">
      <w:pPr>
        <w:numPr>
          <w:ilvl w:val="0"/>
          <w:numId w:val="8"/>
        </w:numPr>
        <w:spacing w:after="0"/>
      </w:pPr>
      <w:r>
        <w:t>10 rokov na podomietkové splachovače;</w:t>
      </w:r>
    </w:p>
    <w:p w:rsidR="00260831" w:rsidRDefault="00260831" w:rsidP="00260831">
      <w:pPr>
        <w:numPr>
          <w:ilvl w:val="0"/>
          <w:numId w:val="8"/>
        </w:numPr>
        <w:spacing w:after="0"/>
      </w:pPr>
      <w:r>
        <w:t>5 rokov záruka na armatúry.</w:t>
      </w:r>
    </w:p>
    <w:p w:rsidR="00260831" w:rsidRDefault="00260831" w:rsidP="00A1350A">
      <w:pPr>
        <w:pStyle w:val="Tabulka"/>
        <w:spacing w:before="120"/>
      </w:pPr>
      <w:r>
        <w:t>Obrázok 7  Prehľad výrobných závodov vo svete</w:t>
      </w:r>
    </w:p>
    <w:p w:rsidR="00260831" w:rsidRPr="00260831" w:rsidRDefault="00F03713" w:rsidP="00A1350A">
      <w:pPr>
        <w:pStyle w:val="Tabulka-text"/>
      </w:pPr>
      <w:r>
        <w:rPr>
          <w:noProof/>
          <w:lang w:eastAsia="sk-SK"/>
        </w:rPr>
        <w:drawing>
          <wp:inline distT="0" distB="0" distL="0" distR="0">
            <wp:extent cx="5467350" cy="3651816"/>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467350" cy="3651816"/>
                    </a:xfrm>
                    <a:prstGeom prst="rect">
                      <a:avLst/>
                    </a:prstGeom>
                    <a:noFill/>
                    <a:ln w="9525">
                      <a:noFill/>
                      <a:miter lim="800000"/>
                      <a:headEnd/>
                      <a:tailEnd/>
                    </a:ln>
                  </pic:spPr>
                </pic:pic>
              </a:graphicData>
            </a:graphic>
          </wp:inline>
        </w:drawing>
      </w:r>
    </w:p>
    <w:p w:rsidR="00260831" w:rsidRPr="00260831" w:rsidRDefault="00260831" w:rsidP="00260831">
      <w:pPr>
        <w:rPr>
          <w:sz w:val="22"/>
          <w:szCs w:val="22"/>
        </w:rPr>
      </w:pPr>
      <w:r w:rsidRPr="00260831">
        <w:rPr>
          <w:sz w:val="22"/>
          <w:szCs w:val="22"/>
        </w:rPr>
        <w:t xml:space="preserve">Zdroj: Ideal Standard. </w:t>
      </w:r>
    </w:p>
    <w:p w:rsidR="00081131" w:rsidRDefault="00081131" w:rsidP="00081131">
      <w:pPr>
        <w:pStyle w:val="Nadpis2"/>
        <w:jc w:val="both"/>
      </w:pPr>
      <w:bookmarkStart w:id="51" w:name="_Toc321001102"/>
      <w:r>
        <w:lastRenderedPageBreak/>
        <w:t>Management pohľadávok v Ideal Standard, Teplice, Česká republika</w:t>
      </w:r>
      <w:bookmarkEnd w:id="51"/>
    </w:p>
    <w:p w:rsidR="00081131" w:rsidRDefault="00081131" w:rsidP="00081131">
      <w:pPr>
        <w:spacing w:before="240"/>
      </w:pPr>
      <w:r>
        <w:t xml:space="preserve">Aktuálne krízové udalosti postavili podnikových finančníkov spoločnosti Ideal Standard do stredobodu pozornosti a požiadavka efektívneho manažmentu likvidity sa stala životne dôležitou. Vývoj na finančnom trhu a v globálnej ekonomike presunul ťažisko podnikových operácií do oblasti </w:t>
      </w:r>
      <w:r w:rsidR="009E0467">
        <w:t>CASH</w:t>
      </w:r>
      <w:r>
        <w:t xml:space="preserve"> manažmentu. To, že likvidita je integrálnym prvkom funkcie financovania podniku, nie je ničím novým ani prekvapujúcim. Manažment likvidity už nie je iba o „precizovaní“ plánov a predikcií </w:t>
      </w:r>
      <w:r w:rsidR="00A1350A">
        <w:t>CASH FLOW</w:t>
      </w:r>
      <w:r>
        <w:t>,</w:t>
      </w:r>
      <w:r w:rsidR="00A1350A" w:rsidRPr="00A1350A">
        <w:rPr>
          <w:rStyle w:val="Znakapoznpodarou0"/>
        </w:rPr>
        <w:t xml:space="preserve"> </w:t>
      </w:r>
      <w:r w:rsidR="00A1350A">
        <w:rPr>
          <w:rStyle w:val="Znakapoznpodarou0"/>
        </w:rPr>
        <w:footnoteReference w:id="107"/>
      </w:r>
      <w:r>
        <w:t xml:space="preserve"> ale aj o zaistení zdrojov od zákazníkov a zabezpečení, že kľúčoví dodávatelia budú naďalej bez problémov realizovať dodávky.</w:t>
      </w:r>
      <w:r>
        <w:rPr>
          <w:rStyle w:val="Znakapoznpodarou0"/>
        </w:rPr>
        <w:t xml:space="preserve"> </w:t>
      </w:r>
      <w:r>
        <w:rPr>
          <w:rStyle w:val="Znakapoznpodarou0"/>
        </w:rPr>
        <w:footnoteReference w:id="108"/>
      </w:r>
      <w:r>
        <w:t xml:space="preserve"> </w:t>
      </w:r>
    </w:p>
    <w:p w:rsidR="00A1350A" w:rsidRDefault="00081131" w:rsidP="00A1350A">
      <w:pPr>
        <w:pStyle w:val="Tabulka-text"/>
        <w:spacing w:line="360" w:lineRule="auto"/>
        <w:jc w:val="both"/>
        <w:rPr>
          <w:sz w:val="24"/>
        </w:rPr>
      </w:pPr>
      <w:r>
        <w:rPr>
          <w:sz w:val="24"/>
        </w:rPr>
        <w:t xml:space="preserve">Podnikoví finančníci Ideal Standard stále intenzívnejšie odhaľujú potrebu zefektívňovania procesov a kapitálu, na tvorbu a riadenie pracovného kapitálu </w:t>
      </w:r>
      <w:r>
        <w:rPr>
          <w:sz w:val="24"/>
        </w:rPr>
        <w:br/>
        <w:t>a redukciu rizika likvidity. Hlavné súčasné problémy a nedostatky v oblasti likvidity ako aj námety na ich riešenie zhrnuli  do dvoch oblastí: centralizácia hotovosti a kontrola finančného dodávateľského reťazca.</w:t>
      </w:r>
    </w:p>
    <w:p w:rsidR="00081131" w:rsidRPr="00A1350A" w:rsidRDefault="00081131" w:rsidP="00EF74DA">
      <w:pPr>
        <w:pStyle w:val="Tabulka-text"/>
        <w:spacing w:before="100" w:beforeAutospacing="1" w:line="360" w:lineRule="auto"/>
        <w:jc w:val="both"/>
      </w:pPr>
      <w:r w:rsidRPr="00A1350A">
        <w:rPr>
          <w:b/>
        </w:rPr>
        <w:t>Centralizácia hotovosti</w:t>
      </w:r>
      <w:r w:rsidRPr="00A1350A">
        <w:t xml:space="preserve"> - ako hlavnú techniku centralizácie hotovosti a zároveň riadenia likvidity považujú finančníci v  Ideal Standard </w:t>
      </w:r>
      <w:r w:rsidRPr="00A1350A">
        <w:rPr>
          <w:bCs/>
        </w:rPr>
        <w:t>reálnu koncentráciu hotovosti</w:t>
      </w:r>
      <w:r w:rsidRPr="00A1350A">
        <w:t xml:space="preserve"> </w:t>
      </w:r>
      <w:r w:rsidR="009E0467">
        <w:rPr>
          <w:i/>
          <w:iCs/>
        </w:rPr>
        <w:t>(C</w:t>
      </w:r>
      <w:r w:rsidRPr="00A1350A">
        <w:rPr>
          <w:i/>
          <w:iCs/>
        </w:rPr>
        <w:t>ash concentration)</w:t>
      </w:r>
      <w:r w:rsidRPr="00A1350A">
        <w:t xml:space="preserve"> a </w:t>
      </w:r>
      <w:r w:rsidRPr="00A1350A">
        <w:rPr>
          <w:bCs/>
        </w:rPr>
        <w:t xml:space="preserve">fiktívny, </w:t>
      </w:r>
      <w:r w:rsidRPr="00A1350A">
        <w:t>resp.</w:t>
      </w:r>
      <w:r w:rsidRPr="00A1350A">
        <w:rPr>
          <w:bCs/>
        </w:rPr>
        <w:t xml:space="preserve"> nocionálny pooling</w:t>
      </w:r>
      <w:r w:rsidRPr="00A1350A">
        <w:t xml:space="preserve"> </w:t>
      </w:r>
      <w:r w:rsidRPr="00A1350A">
        <w:rPr>
          <w:i/>
          <w:iCs/>
        </w:rPr>
        <w:t>(SEPA</w:t>
      </w:r>
      <w:r w:rsidRPr="00A1350A">
        <w:rPr>
          <w:rStyle w:val="Znakapoznpodarou0"/>
        </w:rPr>
        <w:footnoteReference w:id="109"/>
      </w:r>
      <w:r w:rsidR="00A33192" w:rsidRPr="00A1350A">
        <w:rPr>
          <w:i/>
          <w:iCs/>
        </w:rPr>
        <w:t xml:space="preserve"> - CASH pooling) - </w:t>
      </w:r>
      <w:r w:rsidRPr="00A1350A">
        <w:rPr>
          <w:i/>
          <w:iCs/>
        </w:rPr>
        <w:t xml:space="preserve"> </w:t>
      </w:r>
      <w:r w:rsidR="00A33192" w:rsidRPr="00A1350A">
        <w:t>r</w:t>
      </w:r>
      <w:r w:rsidRPr="00A1350A">
        <w:t xml:space="preserve">eálna koncentrácia hotovosti znamená fyzický presun peňažných prostriedkov na jeden hlavný účet z dôvodu vytvorenia jednotnej likviditnej pozície v rámci viacerých (bankových) účtov. </w:t>
      </w:r>
      <w:r w:rsidR="009E0467">
        <w:br/>
      </w:r>
      <w:r w:rsidRPr="00A1350A">
        <w:t>Pri fiktívnom poolingu sa kreditné a debetné zostatky na účtoch započítavajú iba „virtuálne“ a nedochádza k presunu reálnych peňazí. V danom období sa vyrovnávajú iba úrokové platby.</w:t>
      </w:r>
      <w:r w:rsidRPr="00A1350A">
        <w:rPr>
          <w:rStyle w:val="Znakapoznpodarou0"/>
        </w:rPr>
        <w:t xml:space="preserve"> </w:t>
      </w:r>
      <w:r w:rsidRPr="00A1350A">
        <w:rPr>
          <w:rStyle w:val="Znakapoznpodarou0"/>
        </w:rPr>
        <w:footnoteReference w:id="110"/>
      </w:r>
    </w:p>
    <w:p w:rsidR="00081131" w:rsidRDefault="00081131" w:rsidP="00081131">
      <w:pPr>
        <w:spacing w:before="120"/>
      </w:pPr>
      <w:r>
        <w:t>V Európe Ideal Standard využíva reálnu koncentráciu hotovosti. Hlavný účet je vedený v ABN AMRO BANK NV, Brusel, Belgicko.</w:t>
      </w:r>
    </w:p>
    <w:p w:rsidR="00A33192" w:rsidRDefault="00A33192" w:rsidP="00A33192">
      <w:pPr>
        <w:spacing w:after="0"/>
      </w:pPr>
      <w:r>
        <w:lastRenderedPageBreak/>
        <w:t>Jednotlivé súčasti vo finančnom dodávateľskom reťazci sú v </w:t>
      </w:r>
      <w:r w:rsidR="00A1350A">
        <w:t>spoločnosti</w:t>
      </w:r>
      <w:r>
        <w:t xml:space="preserve"> chápané </w:t>
      </w:r>
      <w:r w:rsidR="009E0467">
        <w:br/>
      </w:r>
      <w:r>
        <w:t xml:space="preserve">ako aktíva, ktoré môžu slúžiť ako prostriedok na získavanie zdrojov financovania prevádzkového cyklu a tým zvyšovaniu likvidity. Tomuto procesu hovoria </w:t>
      </w:r>
      <w:r w:rsidRPr="00B71D86">
        <w:rPr>
          <w:b/>
        </w:rPr>
        <w:t>„financovanie zabezpečené aktívami“</w:t>
      </w:r>
      <w:r>
        <w:t xml:space="preserve"> (</w:t>
      </w:r>
      <w:r>
        <w:rPr>
          <w:i/>
          <w:iCs/>
        </w:rPr>
        <w:t>asset based financing)</w:t>
      </w:r>
      <w:r>
        <w:rPr>
          <w:rStyle w:val="Znakapoznpodarou0"/>
        </w:rPr>
        <w:footnoteReference w:id="111"/>
      </w:r>
      <w:r>
        <w:t xml:space="preserve"> a charakterizujú </w:t>
      </w:r>
      <w:r w:rsidR="00796D29">
        <w:br/>
      </w:r>
      <w:r>
        <w:t xml:space="preserve">ho ako proces používajúci aktíva vytvorené vo finančnom dodávateľskom reťazci (napr. zásoby, pohľadávky) na uvoľnenie pracovného kapitálu. Využívajú viacero foriem tohto financovania – odpredaj pohľadávok, </w:t>
      </w:r>
      <w:r w:rsidRPr="00A33192">
        <w:rPr>
          <w:bCs/>
        </w:rPr>
        <w:t>faktoring</w:t>
      </w:r>
      <w:r w:rsidRPr="00A33192">
        <w:t>,</w:t>
      </w:r>
      <w:r>
        <w:t xml:space="preserve"> eskont zmeniek, využívanie zásob </w:t>
      </w:r>
      <w:r w:rsidR="009E0467">
        <w:br/>
      </w:r>
      <w:r>
        <w:t>ako zabezpečovacieho nástroja (kontokorentný úver).</w:t>
      </w:r>
    </w:p>
    <w:p w:rsidR="00A33192" w:rsidRDefault="00A33192" w:rsidP="00A33192">
      <w:pPr>
        <w:spacing w:after="0"/>
      </w:pPr>
    </w:p>
    <w:p w:rsidR="00A33192" w:rsidRDefault="00A33192" w:rsidP="00081131">
      <w:pPr>
        <w:pStyle w:val="Nadpis2"/>
        <w:jc w:val="both"/>
      </w:pPr>
      <w:bookmarkStart w:id="52" w:name="_Toc321001103"/>
      <w:r>
        <w:t xml:space="preserve">Medzinárodné </w:t>
      </w:r>
      <w:r w:rsidR="00AC1702">
        <w:t>zvyklosti</w:t>
      </w:r>
      <w:r>
        <w:t xml:space="preserve"> používané k eliminácií platobných rizík</w:t>
      </w:r>
      <w:bookmarkEnd w:id="52"/>
    </w:p>
    <w:p w:rsidR="0042464E" w:rsidRDefault="00B26DD1" w:rsidP="00081131">
      <w:r>
        <w:t xml:space="preserve">Vzhľadom k širokému rozsahu komerčných rizík neexituje univerzálne </w:t>
      </w:r>
      <w:r w:rsidR="00A1350A">
        <w:t>odporučenie</w:t>
      </w:r>
      <w:r>
        <w:t xml:space="preserve"> k ochrane p</w:t>
      </w:r>
      <w:r w:rsidR="0028152F">
        <w:t>r</w:t>
      </w:r>
      <w:r>
        <w:t xml:space="preserve">ed </w:t>
      </w:r>
      <w:r w:rsidR="00A1350A">
        <w:t>týmito</w:t>
      </w:r>
      <w:r>
        <w:t xml:space="preserve"> rizikami.</w:t>
      </w:r>
      <w:r w:rsidR="0028152F">
        <w:t xml:space="preserve"> Predchádzať riziku </w:t>
      </w:r>
      <w:r w:rsidR="00A1350A">
        <w:t>môžeme</w:t>
      </w:r>
      <w:r w:rsidR="0028152F">
        <w:t xml:space="preserve"> hlavne riadnym </w:t>
      </w:r>
      <w:r w:rsidR="00EF74DA">
        <w:br/>
      </w:r>
      <w:r w:rsidR="0028152F">
        <w:t>a starostlivým vypracovaním kúpnej  zmluvy</w:t>
      </w:r>
      <w:r w:rsidR="0042464E">
        <w:t xml:space="preserve">. </w:t>
      </w:r>
      <w:r w:rsidR="00EC44B7">
        <w:t>Ako základné a najdôležitejšie pravidlá v medzinárodnom platobnom styku Janatka</w:t>
      </w:r>
      <w:r w:rsidR="00EC44B7">
        <w:rPr>
          <w:rStyle w:val="Znakapoznpodarou"/>
        </w:rPr>
        <w:footnoteReference w:id="112"/>
      </w:r>
      <w:r w:rsidR="00EC44B7">
        <w:rPr>
          <w:sz w:val="22"/>
          <w:szCs w:val="22"/>
        </w:rPr>
        <w:t xml:space="preserve"> </w:t>
      </w:r>
      <w:r w:rsidR="00EC44B7">
        <w:t xml:space="preserve"> uvádza: </w:t>
      </w:r>
    </w:p>
    <w:p w:rsidR="00EC44B7" w:rsidRDefault="00EC44B7" w:rsidP="00EC44B7">
      <w:pPr>
        <w:pStyle w:val="Odrka1stupn"/>
        <w:rPr>
          <w:iCs/>
        </w:rPr>
      </w:pPr>
      <w:r>
        <w:rPr>
          <w:iCs/>
        </w:rPr>
        <w:t xml:space="preserve">Pravidlá pre </w:t>
      </w:r>
      <w:r w:rsidR="00796D29">
        <w:rPr>
          <w:iCs/>
        </w:rPr>
        <w:t xml:space="preserve">Dokumentárne </w:t>
      </w:r>
      <w:r>
        <w:rPr>
          <w:iCs/>
        </w:rPr>
        <w:t xml:space="preserve">Akreditívy - ICC </w:t>
      </w:r>
      <w:r w:rsidR="00796D29">
        <w:rPr>
          <w:iCs/>
        </w:rPr>
        <w:t>Jednotné</w:t>
      </w:r>
      <w:r>
        <w:rPr>
          <w:iCs/>
        </w:rPr>
        <w:t xml:space="preserve"> zvyklosti a pravidlá pre dokumentárne akreditívy (UCP 500)</w:t>
      </w:r>
      <w:r w:rsidRPr="00807E9B">
        <w:rPr>
          <w:iCs/>
        </w:rPr>
        <w:t>;</w:t>
      </w:r>
    </w:p>
    <w:p w:rsidR="00EC44B7" w:rsidRDefault="00EC44B7" w:rsidP="00EC44B7">
      <w:pPr>
        <w:pStyle w:val="Odrka1stupn"/>
        <w:rPr>
          <w:iCs/>
        </w:rPr>
      </w:pPr>
      <w:r>
        <w:rPr>
          <w:iCs/>
        </w:rPr>
        <w:t>Pravidlá pre Dokumentárne Inkasá – ICC 522 – posledná revízia v roku 1995</w:t>
      </w:r>
      <w:r w:rsidRPr="00807E9B">
        <w:rPr>
          <w:iCs/>
        </w:rPr>
        <w:t>;</w:t>
      </w:r>
    </w:p>
    <w:p w:rsidR="00EC44B7" w:rsidRDefault="00EC44B7" w:rsidP="00EC44B7">
      <w:pPr>
        <w:pStyle w:val="Odrka1stupn"/>
        <w:rPr>
          <w:iCs/>
        </w:rPr>
      </w:pPr>
      <w:r>
        <w:rPr>
          <w:iCs/>
        </w:rPr>
        <w:t>Pravidlá pre zmenky a šeky – v Slovenskej republike zákon zmenečný a šekový č.191/1950 Zb.</w:t>
      </w:r>
      <w:r w:rsidRPr="00807E9B">
        <w:rPr>
          <w:iCs/>
        </w:rPr>
        <w:t>;</w:t>
      </w:r>
    </w:p>
    <w:p w:rsidR="00EC44B7" w:rsidRDefault="00EC44B7" w:rsidP="00EC44B7">
      <w:pPr>
        <w:pStyle w:val="Odrka1stupn"/>
        <w:rPr>
          <w:iCs/>
        </w:rPr>
      </w:pPr>
      <w:r>
        <w:rPr>
          <w:iCs/>
        </w:rPr>
        <w:t>Pravidlá pre záruky –</w:t>
      </w:r>
      <w:r w:rsidR="00796D29">
        <w:rPr>
          <w:iCs/>
        </w:rPr>
        <w:t xml:space="preserve"> publikácia</w:t>
      </w:r>
      <w:r>
        <w:rPr>
          <w:iCs/>
        </w:rPr>
        <w:t xml:space="preserve"> ICC 325, revidovaná v roku </w:t>
      </w:r>
      <w:r w:rsidR="00796D29">
        <w:rPr>
          <w:iCs/>
        </w:rPr>
        <w:t>2010, obsahuje aj vzory záruk</w:t>
      </w:r>
      <w:r w:rsidR="00796D29" w:rsidRPr="00807E9B">
        <w:rPr>
          <w:iCs/>
        </w:rPr>
        <w:t>;</w:t>
      </w:r>
    </w:p>
    <w:p w:rsidR="00796D29" w:rsidRDefault="00796D29" w:rsidP="00EC44B7">
      <w:pPr>
        <w:pStyle w:val="Odrka1stupn"/>
        <w:rPr>
          <w:iCs/>
        </w:rPr>
      </w:pPr>
      <w:r>
        <w:rPr>
          <w:iCs/>
        </w:rPr>
        <w:t>Zásady medzinárodných obchodných zmlúv UNIDROIT so sídlom v Ríme – zjednotenie súkromného práva – obsahuje súbor zásad medzinárodných zmlúv</w:t>
      </w:r>
      <w:r w:rsidRPr="00807E9B">
        <w:rPr>
          <w:iCs/>
        </w:rPr>
        <w:t>;</w:t>
      </w:r>
    </w:p>
    <w:p w:rsidR="00796D29" w:rsidRDefault="00796D29" w:rsidP="00EC44B7">
      <w:pPr>
        <w:pStyle w:val="Odrka1stupn"/>
        <w:rPr>
          <w:iCs/>
        </w:rPr>
      </w:pPr>
      <w:r>
        <w:rPr>
          <w:iCs/>
        </w:rPr>
        <w:t>Predpisy a zvyklosti v colnej oblasti – Všeobecná dohoda o cle a obchode GATT z roku 1947, ktorú nahradila Svetová obchodná organizácia WTO v roku 1994.</w:t>
      </w:r>
    </w:p>
    <w:p w:rsidR="00AC76EE" w:rsidRDefault="00AC76EE" w:rsidP="00AC76EE">
      <w:pPr>
        <w:pStyle w:val="Nadpis2"/>
        <w:jc w:val="both"/>
      </w:pPr>
      <w:bookmarkStart w:id="53" w:name="_Toc321001104"/>
      <w:r>
        <w:lastRenderedPageBreak/>
        <w:t>Rozbor obchodných prípadov</w:t>
      </w:r>
      <w:bookmarkEnd w:id="53"/>
    </w:p>
    <w:p w:rsidR="00B26DD1" w:rsidRDefault="00B71D86">
      <w:r>
        <w:t xml:space="preserve">Po vzájomnej komunikácii s obchodným riaditeľom pre Českú a Slovenskú republiku Ing. Jiří Tourkom sme urobili rozbor troch najbežnejších obchodný prípadov používaných </w:t>
      </w:r>
      <w:r w:rsidR="00B26DD1">
        <w:t>pri predaji tovaru</w:t>
      </w:r>
      <w:r w:rsidR="0028152F">
        <w:t xml:space="preserve"> v rámci </w:t>
      </w:r>
      <w:r w:rsidR="00A1350A">
        <w:t>spoločnosti</w:t>
      </w:r>
      <w:r w:rsidR="0028152F">
        <w:t xml:space="preserve"> Ideal Standard</w:t>
      </w:r>
      <w:r>
        <w:t xml:space="preserve">. </w:t>
      </w:r>
      <w:r w:rsidR="0028152F">
        <w:t xml:space="preserve">Pre zníženie rizík, spojených s uzatvorením a realizáciou vývozných a dovozných </w:t>
      </w:r>
      <w:r w:rsidR="00F3337E">
        <w:t>operácií</w:t>
      </w:r>
      <w:r w:rsidR="0028152F">
        <w:t xml:space="preserve"> v zahraničnom obchode, mal by výrobca alebo exportér venovať veľkú pozornosť získavaniu </w:t>
      </w:r>
      <w:r w:rsidR="00F3337E">
        <w:t>objektívnych</w:t>
      </w:r>
      <w:r w:rsidR="0028152F">
        <w:t xml:space="preserve"> informácií o svojich obchodných partneroch.  </w:t>
      </w:r>
    </w:p>
    <w:p w:rsidR="0028152F" w:rsidRDefault="00B95A3C" w:rsidP="0028152F">
      <w:pPr>
        <w:pStyle w:val="Nadpis3"/>
      </w:pPr>
      <w:bookmarkStart w:id="54" w:name="_Toc321001105"/>
      <w:r>
        <w:t>Baldocer,</w:t>
      </w:r>
      <w:r w:rsidR="008A233C">
        <w:t xml:space="preserve"> srl, </w:t>
      </w:r>
      <w:r w:rsidR="00D31FA9">
        <w:t xml:space="preserve"> </w:t>
      </w:r>
      <w:r>
        <w:t xml:space="preserve"> Španielsko</w:t>
      </w:r>
      <w:r w:rsidR="00D31FA9">
        <w:t xml:space="preserve">  </w:t>
      </w:r>
      <w:r>
        <w:t xml:space="preserve"> – </w:t>
      </w:r>
      <w:r w:rsidR="00D31FA9">
        <w:t xml:space="preserve"> </w:t>
      </w:r>
      <w:r w:rsidR="008A233C">
        <w:t xml:space="preserve"> Hladká</w:t>
      </w:r>
      <w:r w:rsidR="00D31FA9">
        <w:t xml:space="preserve"> </w:t>
      </w:r>
      <w:r w:rsidR="008A233C">
        <w:t xml:space="preserve"> platba </w:t>
      </w:r>
      <w:r w:rsidR="00FA5187">
        <w:t xml:space="preserve">po dodávke </w:t>
      </w:r>
      <w:r w:rsidR="00D31FA9">
        <w:t xml:space="preserve">s odloženou  splatnosťou  45  dní,  </w:t>
      </w:r>
      <w:r w:rsidR="008A233C">
        <w:t xml:space="preserve">s poistením </w:t>
      </w:r>
      <w:r>
        <w:t>pohľadávky</w:t>
      </w:r>
      <w:r w:rsidR="00D31FA9">
        <w:t>, pri dodacej  podmienke EXW, Teplice, ČR</w:t>
      </w:r>
      <w:bookmarkEnd w:id="54"/>
    </w:p>
    <w:p w:rsidR="00B95A3C" w:rsidRDefault="00B95A3C" w:rsidP="00B95A3C">
      <w:pPr>
        <w:spacing w:after="120"/>
      </w:pPr>
      <w:r>
        <w:t xml:space="preserve">Preverenie bonity (dôveryhodnosti) budúceho zákazníka a obchodného partnera </w:t>
      </w:r>
      <w:r>
        <w:br/>
        <w:t xml:space="preserve">je nevyhnutý prvok prípravy každej kúpnej zmluvy v IS. Bonita odberateľa výrazne ovplyvňuje stupeň rizika obchodnej spolupráce. Preverovanie bonity obchodných partnerov patrí k neodmysliteľnej súčasti práce v IS, ktorej záleží na dlhodobom rozvoji a chce obstáť na konkurenčnom trhu. </w:t>
      </w:r>
      <w:r w:rsidR="007C7FF6">
        <w:t>Základné informácie o firme</w:t>
      </w:r>
      <w:r w:rsidR="005E29CE">
        <w:t>, resp. n</w:t>
      </w:r>
      <w:r w:rsidR="00482693">
        <w:t>ového obchodného partnera</w:t>
      </w:r>
      <w:r w:rsidR="007C7FF6">
        <w:t xml:space="preserve">: </w:t>
      </w:r>
    </w:p>
    <w:p w:rsidR="007C7FF6" w:rsidRPr="003E120B" w:rsidRDefault="007C7FF6" w:rsidP="009E0467">
      <w:pPr>
        <w:spacing w:before="240" w:after="0"/>
        <w:rPr>
          <w:rFonts w:ascii="MBBGBL+TimesNewRoman,BoldItalic" w:hAnsi="MBBGBL+TimesNewRoman,BoldItalic"/>
          <w:color w:val="000000"/>
          <w:sz w:val="23"/>
          <w:szCs w:val="23"/>
        </w:rPr>
      </w:pPr>
      <w:r>
        <w:rPr>
          <w:color w:val="000000"/>
          <w:sz w:val="23"/>
          <w:szCs w:val="23"/>
        </w:rPr>
        <w:t xml:space="preserve">Obchodné meno firmy: </w:t>
      </w:r>
      <w:r>
        <w:rPr>
          <w:color w:val="000000"/>
          <w:sz w:val="23"/>
          <w:szCs w:val="23"/>
        </w:rPr>
        <w:tab/>
      </w:r>
      <w:r w:rsidRPr="003E120B">
        <w:rPr>
          <w:rFonts w:ascii="MBBGBL+TimesNewRoman,BoldItalic" w:hAnsi="MBBGBL+TimesNewRoman,BoldItalic"/>
          <w:bCs/>
          <w:color w:val="000000"/>
          <w:sz w:val="23"/>
          <w:szCs w:val="23"/>
        </w:rPr>
        <w:t>BALDOCER, srl, Španielsko</w:t>
      </w:r>
    </w:p>
    <w:p w:rsidR="007C7FF6" w:rsidRPr="003E120B" w:rsidRDefault="007C7FF6" w:rsidP="007C7FF6">
      <w:pPr>
        <w:spacing w:after="0"/>
        <w:rPr>
          <w:rFonts w:ascii="MBBGBL+TimesNewRoman,BoldItalic" w:hAnsi="MBBGBL+TimesNewRoman,BoldItalic"/>
          <w:color w:val="000000"/>
          <w:sz w:val="23"/>
          <w:szCs w:val="23"/>
        </w:rPr>
      </w:pPr>
      <w:r w:rsidRPr="003E120B">
        <w:rPr>
          <w:color w:val="000000"/>
          <w:sz w:val="23"/>
          <w:szCs w:val="23"/>
        </w:rPr>
        <w:t xml:space="preserve">Právna forma: </w:t>
      </w:r>
      <w:r w:rsidRPr="003E120B">
        <w:rPr>
          <w:color w:val="000000"/>
          <w:sz w:val="23"/>
          <w:szCs w:val="23"/>
        </w:rPr>
        <w:tab/>
      </w:r>
      <w:r w:rsidRPr="003E120B">
        <w:rPr>
          <w:color w:val="000000"/>
          <w:sz w:val="23"/>
          <w:szCs w:val="23"/>
        </w:rPr>
        <w:tab/>
      </w:r>
      <w:r w:rsidRPr="003E120B">
        <w:rPr>
          <w:color w:val="000000"/>
          <w:sz w:val="23"/>
          <w:szCs w:val="23"/>
        </w:rPr>
        <w:tab/>
      </w:r>
      <w:r w:rsidRPr="003E120B">
        <w:rPr>
          <w:bCs/>
          <w:i/>
          <w:iCs/>
        </w:rPr>
        <w:t>Sociedad de Responsabilidad Limitada</w:t>
      </w:r>
    </w:p>
    <w:p w:rsidR="007C7FF6" w:rsidRPr="003E120B" w:rsidRDefault="007C7FF6" w:rsidP="007C7FF6">
      <w:pPr>
        <w:spacing w:after="0"/>
        <w:ind w:left="2832" w:hanging="2832"/>
        <w:rPr>
          <w:rFonts w:ascii="MBBGBL+TimesNewRoman,BoldItalic" w:hAnsi="MBBGBL+TimesNewRoman,BoldItalic"/>
          <w:color w:val="000000"/>
          <w:sz w:val="23"/>
          <w:szCs w:val="23"/>
        </w:rPr>
      </w:pPr>
      <w:r w:rsidRPr="003E120B">
        <w:rPr>
          <w:color w:val="000000"/>
          <w:sz w:val="23"/>
          <w:szCs w:val="23"/>
        </w:rPr>
        <w:t xml:space="preserve">Sídlo firmy: </w:t>
      </w:r>
      <w:r w:rsidRPr="003E120B">
        <w:rPr>
          <w:color w:val="000000"/>
          <w:sz w:val="23"/>
          <w:szCs w:val="23"/>
        </w:rPr>
        <w:tab/>
      </w:r>
      <w:r w:rsidRPr="003E120B">
        <w:rPr>
          <w:rFonts w:ascii="MBBGBL+TimesNewRoman,BoldItalic" w:hAnsi="MBBGBL+TimesNewRoman,BoldItalic"/>
          <w:bCs/>
          <w:color w:val="000000"/>
          <w:sz w:val="23"/>
          <w:szCs w:val="23"/>
        </w:rPr>
        <w:t xml:space="preserve">Ctra. Pobla Tornesa – Vall d´Alba KM4, 12192 VILLAFAMES – CASTELLON- SPAIN </w:t>
      </w:r>
    </w:p>
    <w:p w:rsidR="007C7FF6" w:rsidRPr="003E120B" w:rsidRDefault="007C7FF6" w:rsidP="007C7FF6">
      <w:pPr>
        <w:spacing w:after="0"/>
        <w:ind w:left="2832" w:hanging="2832"/>
        <w:rPr>
          <w:rFonts w:ascii="MBBGBL+TimesNewRoman,BoldItalic" w:hAnsi="MBBGBL+TimesNewRoman,BoldItalic"/>
          <w:color w:val="000000"/>
          <w:sz w:val="23"/>
          <w:szCs w:val="23"/>
        </w:rPr>
      </w:pPr>
      <w:r w:rsidRPr="003E120B">
        <w:rPr>
          <w:color w:val="000000"/>
          <w:sz w:val="23"/>
          <w:szCs w:val="23"/>
        </w:rPr>
        <w:t xml:space="preserve">IČO: </w:t>
      </w:r>
      <w:r w:rsidRPr="003E120B">
        <w:rPr>
          <w:color w:val="000000"/>
          <w:sz w:val="23"/>
          <w:szCs w:val="23"/>
        </w:rPr>
        <w:tab/>
      </w:r>
      <w:r w:rsidRPr="003E120B">
        <w:rPr>
          <w:rFonts w:ascii="MBBGBL+TimesNewRoman,BoldItalic" w:hAnsi="MBBGBL+TimesNewRoman,BoldItalic"/>
          <w:bCs/>
          <w:color w:val="000000"/>
          <w:sz w:val="23"/>
          <w:szCs w:val="23"/>
        </w:rPr>
        <w:t>insc.Reg.Merc.de Castellón,T.718, Gral. De Sdades.L285, Sec.G,F 72, Hoja CS-7816, inscrip.1 de 25-04-94</w:t>
      </w:r>
    </w:p>
    <w:p w:rsidR="007C7FF6" w:rsidRPr="003E120B" w:rsidRDefault="007C7FF6" w:rsidP="007C7FF6">
      <w:pPr>
        <w:spacing w:after="0"/>
        <w:rPr>
          <w:bCs/>
          <w:color w:val="000000"/>
          <w:sz w:val="23"/>
          <w:szCs w:val="23"/>
        </w:rPr>
      </w:pPr>
      <w:r w:rsidRPr="003E120B">
        <w:rPr>
          <w:color w:val="000000"/>
          <w:sz w:val="23"/>
          <w:szCs w:val="23"/>
        </w:rPr>
        <w:t xml:space="preserve">VAT CEE: </w:t>
      </w:r>
      <w:r w:rsidRPr="003E120B">
        <w:rPr>
          <w:color w:val="000000"/>
          <w:sz w:val="23"/>
          <w:szCs w:val="23"/>
        </w:rPr>
        <w:tab/>
      </w:r>
      <w:r w:rsidRPr="003E120B">
        <w:rPr>
          <w:color w:val="000000"/>
          <w:sz w:val="23"/>
          <w:szCs w:val="23"/>
        </w:rPr>
        <w:tab/>
      </w:r>
      <w:r w:rsidRPr="003E120B">
        <w:rPr>
          <w:color w:val="000000"/>
          <w:sz w:val="23"/>
          <w:szCs w:val="23"/>
        </w:rPr>
        <w:tab/>
      </w:r>
      <w:r w:rsidRPr="003E120B">
        <w:rPr>
          <w:bCs/>
          <w:color w:val="000000"/>
          <w:sz w:val="23"/>
          <w:szCs w:val="23"/>
        </w:rPr>
        <w:t>ES A12370821</w:t>
      </w:r>
    </w:p>
    <w:p w:rsidR="007C7FF6" w:rsidRPr="003E120B" w:rsidRDefault="007C7FF6" w:rsidP="007C7FF6">
      <w:pPr>
        <w:spacing w:after="0"/>
        <w:rPr>
          <w:bCs/>
          <w:color w:val="000000"/>
          <w:sz w:val="23"/>
          <w:szCs w:val="23"/>
        </w:rPr>
      </w:pPr>
      <w:r w:rsidRPr="003E120B">
        <w:rPr>
          <w:color w:val="000000"/>
          <w:sz w:val="23"/>
          <w:szCs w:val="23"/>
        </w:rPr>
        <w:t>Banka:</w:t>
      </w:r>
      <w:r w:rsidRPr="003E120B">
        <w:rPr>
          <w:color w:val="000000"/>
          <w:sz w:val="23"/>
          <w:szCs w:val="23"/>
        </w:rPr>
        <w:tab/>
      </w:r>
      <w:r w:rsidRPr="003E120B">
        <w:rPr>
          <w:color w:val="000000"/>
          <w:sz w:val="23"/>
          <w:szCs w:val="23"/>
        </w:rPr>
        <w:tab/>
      </w:r>
      <w:r w:rsidRPr="003E120B">
        <w:rPr>
          <w:color w:val="000000"/>
          <w:sz w:val="23"/>
          <w:szCs w:val="23"/>
        </w:rPr>
        <w:tab/>
      </w:r>
      <w:r w:rsidRPr="003E120B">
        <w:rPr>
          <w:color w:val="000000"/>
          <w:sz w:val="23"/>
          <w:szCs w:val="23"/>
        </w:rPr>
        <w:tab/>
      </w:r>
      <w:r w:rsidRPr="003E120B">
        <w:rPr>
          <w:bCs/>
          <w:color w:val="000000"/>
          <w:sz w:val="23"/>
          <w:szCs w:val="23"/>
        </w:rPr>
        <w:t>LA CAIXA</w:t>
      </w:r>
    </w:p>
    <w:p w:rsidR="007C7FF6" w:rsidRPr="003E120B" w:rsidRDefault="007C7FF6" w:rsidP="007C7FF6">
      <w:pPr>
        <w:spacing w:after="0"/>
        <w:rPr>
          <w:color w:val="000000"/>
          <w:sz w:val="23"/>
          <w:szCs w:val="23"/>
        </w:rPr>
      </w:pPr>
      <w:r w:rsidRPr="003E120B">
        <w:rPr>
          <w:color w:val="000000"/>
          <w:sz w:val="23"/>
          <w:szCs w:val="23"/>
        </w:rPr>
        <w:t>IBAN:</w:t>
      </w:r>
      <w:r w:rsidRPr="003E120B">
        <w:rPr>
          <w:color w:val="000000"/>
          <w:sz w:val="23"/>
          <w:szCs w:val="23"/>
        </w:rPr>
        <w:tab/>
      </w:r>
      <w:r w:rsidRPr="003E120B">
        <w:rPr>
          <w:color w:val="000000"/>
          <w:sz w:val="23"/>
          <w:szCs w:val="23"/>
        </w:rPr>
        <w:tab/>
      </w:r>
      <w:r w:rsidRPr="003E120B">
        <w:rPr>
          <w:color w:val="000000"/>
          <w:sz w:val="23"/>
          <w:szCs w:val="23"/>
        </w:rPr>
        <w:tab/>
      </w:r>
      <w:r w:rsidRPr="003E120B">
        <w:rPr>
          <w:color w:val="000000"/>
          <w:sz w:val="23"/>
          <w:szCs w:val="23"/>
        </w:rPr>
        <w:tab/>
      </w:r>
      <w:r w:rsidRPr="003E120B">
        <w:rPr>
          <w:bCs/>
          <w:color w:val="000000"/>
          <w:sz w:val="23"/>
          <w:szCs w:val="23"/>
        </w:rPr>
        <w:t>ES95 2100 1794 7502 0002 9296</w:t>
      </w:r>
    </w:p>
    <w:p w:rsidR="007C7FF6" w:rsidRPr="003E120B" w:rsidRDefault="007C7FF6" w:rsidP="007C7FF6">
      <w:pPr>
        <w:spacing w:after="0"/>
        <w:rPr>
          <w:color w:val="000000"/>
          <w:sz w:val="23"/>
          <w:szCs w:val="23"/>
        </w:rPr>
      </w:pPr>
      <w:r w:rsidRPr="003E120B">
        <w:rPr>
          <w:color w:val="000000"/>
          <w:sz w:val="23"/>
          <w:szCs w:val="23"/>
        </w:rPr>
        <w:t>SWIFT:</w:t>
      </w:r>
      <w:r w:rsidRPr="003E120B">
        <w:rPr>
          <w:color w:val="000000"/>
          <w:sz w:val="23"/>
          <w:szCs w:val="23"/>
        </w:rPr>
        <w:tab/>
      </w:r>
      <w:r w:rsidRPr="003E120B">
        <w:rPr>
          <w:color w:val="000000"/>
          <w:sz w:val="23"/>
          <w:szCs w:val="23"/>
        </w:rPr>
        <w:tab/>
      </w:r>
      <w:r w:rsidRPr="003E120B">
        <w:rPr>
          <w:color w:val="000000"/>
          <w:sz w:val="23"/>
          <w:szCs w:val="23"/>
        </w:rPr>
        <w:tab/>
      </w:r>
      <w:r w:rsidRPr="003E120B">
        <w:rPr>
          <w:bCs/>
          <w:color w:val="000000"/>
          <w:sz w:val="23"/>
          <w:szCs w:val="23"/>
        </w:rPr>
        <w:t xml:space="preserve">CAIX ES BB </w:t>
      </w:r>
      <w:r w:rsidR="00822B70">
        <w:rPr>
          <w:bCs/>
          <w:color w:val="000000"/>
          <w:sz w:val="23"/>
          <w:szCs w:val="23"/>
        </w:rPr>
        <w:t>XXX</w:t>
      </w:r>
    </w:p>
    <w:p w:rsidR="00482693" w:rsidRDefault="007C7FF6" w:rsidP="009E0467">
      <w:pPr>
        <w:spacing w:before="360"/>
      </w:pPr>
      <w:r>
        <w:t xml:space="preserve">Veľmi dôležitým bodom je preverenie  daňového čísla Value Addend Tax (VAT) </w:t>
      </w:r>
      <w:r w:rsidR="00AC1702">
        <w:t>obchodného partnera z hľ</w:t>
      </w:r>
      <w:r w:rsidR="00482693">
        <w:t>adiska vývozu. V </w:t>
      </w:r>
      <w:r w:rsidR="00CA1FBD">
        <w:t>prípade</w:t>
      </w:r>
      <w:r w:rsidR="00482693">
        <w:t xml:space="preserve">, ak by náš budúci obchodný partner </w:t>
      </w:r>
      <w:r w:rsidR="00482693">
        <w:lastRenderedPageBreak/>
        <w:t xml:space="preserve">uviedol nepravdivé daňové číslo VAT a urobili by </w:t>
      </w:r>
      <w:r w:rsidR="00CA1FBD">
        <w:t>s</w:t>
      </w:r>
      <w:r w:rsidR="00482693">
        <w:t xml:space="preserve">me vývoz bez DPH, museli by sme tento vývoz dodatočne zdaniť, </w:t>
      </w:r>
      <w:r w:rsidR="00822B70">
        <w:t>č</w:t>
      </w:r>
      <w:r w:rsidR="00482693">
        <w:t>o by boli ďalšie náklady.  VAT číslo</w:t>
      </w:r>
      <w:r w:rsidR="00822B70">
        <w:t xml:space="preserve"> si </w:t>
      </w:r>
      <w:r w:rsidR="00CA1FBD">
        <w:t>môžeme</w:t>
      </w:r>
      <w:r w:rsidR="00822B70">
        <w:t xml:space="preserve"> overiť </w:t>
      </w:r>
      <w:r w:rsidR="00482693">
        <w:t xml:space="preserve"> prostredníctvom  internetového portálu Európskej komisie – Sekcia daňová a colná.  </w:t>
      </w:r>
    </w:p>
    <w:p w:rsidR="00482693" w:rsidRDefault="00482693" w:rsidP="00482693">
      <w:pPr>
        <w:pStyle w:val="Tabulka"/>
      </w:pPr>
      <w:r>
        <w:t>Obrázok 8  Kontrola platnosti IČ DPH</w:t>
      </w:r>
      <w:r w:rsidR="00BD14CF">
        <w:t>, BALDOCER, ŠPANIELSKO</w:t>
      </w:r>
    </w:p>
    <w:p w:rsidR="00482693" w:rsidRPr="00482693" w:rsidRDefault="00F03713" w:rsidP="00482693">
      <w:pPr>
        <w:pStyle w:val="Tabulka-text"/>
      </w:pPr>
      <w:r>
        <w:rPr>
          <w:noProof/>
          <w:lang w:eastAsia="sk-SK"/>
        </w:rPr>
        <w:drawing>
          <wp:inline distT="0" distB="0" distL="0" distR="0">
            <wp:extent cx="4191000" cy="3543300"/>
            <wp:effectExtent l="171450" t="133350" r="361950" b="30480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4191000" cy="3543300"/>
                    </a:xfrm>
                    <a:prstGeom prst="rect">
                      <a:avLst/>
                    </a:prstGeom>
                    <a:ln>
                      <a:noFill/>
                    </a:ln>
                    <a:effectLst>
                      <a:outerShdw blurRad="292100" dist="139700" dir="2700000" algn="tl" rotWithShape="0">
                        <a:srgbClr val="333333">
                          <a:alpha val="65000"/>
                        </a:srgbClr>
                      </a:outerShdw>
                    </a:effectLst>
                  </pic:spPr>
                </pic:pic>
              </a:graphicData>
            </a:graphic>
          </wp:inline>
        </w:drawing>
      </w:r>
    </w:p>
    <w:p w:rsidR="00822B70" w:rsidRPr="00260831" w:rsidRDefault="00822B70" w:rsidP="00822B70">
      <w:pPr>
        <w:rPr>
          <w:sz w:val="22"/>
          <w:szCs w:val="22"/>
        </w:rPr>
      </w:pPr>
      <w:r w:rsidRPr="00260831">
        <w:rPr>
          <w:sz w:val="22"/>
          <w:szCs w:val="22"/>
        </w:rPr>
        <w:t xml:space="preserve">Zdroj: </w:t>
      </w:r>
      <w:r>
        <w:rPr>
          <w:sz w:val="22"/>
          <w:szCs w:val="22"/>
        </w:rPr>
        <w:t>Európska komisia. Sekcia daňová a colná. Dostupné z WWW</w:t>
      </w:r>
      <w:r w:rsidRPr="00822B70">
        <w:rPr>
          <w:sz w:val="22"/>
          <w:szCs w:val="22"/>
        </w:rPr>
        <w:t>: &lt;</w:t>
      </w:r>
      <w:r>
        <w:rPr>
          <w:sz w:val="22"/>
          <w:szCs w:val="22"/>
        </w:rPr>
        <w:t xml:space="preserve"> </w:t>
      </w:r>
      <w:r w:rsidRPr="00822B70">
        <w:rPr>
          <w:sz w:val="22"/>
          <w:szCs w:val="22"/>
        </w:rPr>
        <w:t>http://ec.europa.eu/</w:t>
      </w:r>
      <w:r>
        <w:rPr>
          <w:sz w:val="22"/>
          <w:szCs w:val="22"/>
        </w:rPr>
        <w:t xml:space="preserve"> </w:t>
      </w:r>
      <w:r w:rsidRPr="00822B70">
        <w:rPr>
          <w:sz w:val="22"/>
          <w:szCs w:val="22"/>
        </w:rPr>
        <w:t>taxation_</w:t>
      </w:r>
      <w:r>
        <w:rPr>
          <w:sz w:val="22"/>
          <w:szCs w:val="22"/>
        </w:rPr>
        <w:t xml:space="preserve"> </w:t>
      </w:r>
      <w:r w:rsidRPr="00822B70">
        <w:rPr>
          <w:sz w:val="22"/>
          <w:szCs w:val="22"/>
        </w:rPr>
        <w:t>customs/vies/vatResponse.html &gt;.</w:t>
      </w:r>
      <w:r>
        <w:t xml:space="preserve"> (data k 20.3. 2012).</w:t>
      </w:r>
    </w:p>
    <w:p w:rsidR="00822B70" w:rsidRDefault="00822B70" w:rsidP="00822B70">
      <w:r>
        <w:t>Španielsko je členom WTO, čiže je  vymožiteľnosť práva, pretože</w:t>
      </w:r>
      <w:r>
        <w:rPr>
          <w:b/>
          <w:bCs/>
        </w:rPr>
        <w:t xml:space="preserve"> WTO - </w:t>
      </w:r>
      <w:r>
        <w:t xml:space="preserve"> </w:t>
      </w:r>
      <w:r>
        <w:rPr>
          <w:b/>
          <w:bCs/>
        </w:rPr>
        <w:t>Svetová obchodná organizácia</w:t>
      </w:r>
      <w:r>
        <w:t xml:space="preserve"> alebo </w:t>
      </w:r>
      <w:r>
        <w:rPr>
          <w:b/>
          <w:bCs/>
        </w:rPr>
        <w:t>WTO</w:t>
      </w:r>
      <w:r>
        <w:t xml:space="preserve"> (z angl. </w:t>
      </w:r>
      <w:r>
        <w:rPr>
          <w:i/>
          <w:iCs/>
        </w:rPr>
        <w:t>World Trade Organization</w:t>
      </w:r>
      <w:r>
        <w:t xml:space="preserve">) </w:t>
      </w:r>
      <w:r w:rsidR="00796D29">
        <w:br/>
      </w:r>
      <w:r>
        <w:t xml:space="preserve">je medzinárodná organizácia zaoberajúca sa pravidlami obchodu medzi členskými krajinami za účelom odstraňovania tarifných a netarifných prekážok v obchode. Vytvára pravidlá pre medzinárodný obchod a rieši spory medzi jednotlivými členskými štátmi, </w:t>
      </w:r>
      <w:r w:rsidR="00796D29">
        <w:br/>
      </w:r>
      <w:r>
        <w:t>z ktorých všetky podpísali približne 30 dohôd.</w:t>
      </w:r>
    </w:p>
    <w:p w:rsidR="00807E9B" w:rsidRDefault="002038B1" w:rsidP="00807E9B">
      <w:pPr>
        <w:spacing w:before="120"/>
      </w:pPr>
      <w:r>
        <w:t xml:space="preserve">Výsledkom dobrej prípravy na vývoznú operáciu je uzatvorenie kúpnej zmluvy </w:t>
      </w:r>
      <w:r w:rsidR="00796D29">
        <w:br/>
      </w:r>
      <w:r>
        <w:t xml:space="preserve">na dohodnutý predmet obchodu, ktorá vyjadruje vôľu jednej </w:t>
      </w:r>
      <w:r w:rsidR="00807E9B">
        <w:t>zmluvnej</w:t>
      </w:r>
      <w:r>
        <w:t xml:space="preserve"> </w:t>
      </w:r>
      <w:r w:rsidR="00807E9B">
        <w:t>s</w:t>
      </w:r>
      <w:r>
        <w:t xml:space="preserve">trany predať a druhej zmluvnej strany kúpiť určitú vec a zodpovedá </w:t>
      </w:r>
      <w:r w:rsidR="00807E9B">
        <w:t xml:space="preserve">zhodnému záujmu zmluvných </w:t>
      </w:r>
      <w:r w:rsidR="00807E9B">
        <w:lastRenderedPageBreak/>
        <w:t xml:space="preserve">strán, </w:t>
      </w:r>
      <w:r>
        <w:t>preto je dôležitá dohoda o celom jej obsahu.</w:t>
      </w:r>
      <w:r w:rsidR="00807E9B">
        <w:t xml:space="preserve"> Kúpnu zmluvu resp. jej návrh vypracováva a predkladá vývozca. IS pre zjednodušenie procesu uzatvárania obchodných transakcií má vytvorené formulárové zmluvy, ktoré obsahujú štandardné zmluvné ustanovenia tzv. ,,Všeobecné obchodné a dodacie podmienky“ a formulár, </w:t>
      </w:r>
      <w:r w:rsidR="00796D29">
        <w:br/>
      </w:r>
      <w:r w:rsidR="00807E9B">
        <w:t xml:space="preserve">na ktorom sa dopĺňajú potrebné údaje, ktoré sa líšia od prípadu k prípadu.  </w:t>
      </w:r>
      <w:r>
        <w:t xml:space="preserve"> </w:t>
      </w:r>
    </w:p>
    <w:p w:rsidR="00807E9B" w:rsidRDefault="00807E9B" w:rsidP="00807E9B">
      <w:pPr>
        <w:spacing w:before="120"/>
        <w:rPr>
          <w:sz w:val="22"/>
          <w:szCs w:val="22"/>
        </w:rPr>
      </w:pPr>
      <w:r>
        <w:rPr>
          <w:sz w:val="22"/>
          <w:szCs w:val="22"/>
        </w:rPr>
        <w:t>Aj Janatka</w:t>
      </w:r>
      <w:r>
        <w:rPr>
          <w:rStyle w:val="Znakapoznpodarou"/>
        </w:rPr>
        <w:footnoteReference w:id="113"/>
      </w:r>
      <w:r>
        <w:rPr>
          <w:sz w:val="22"/>
          <w:szCs w:val="22"/>
        </w:rPr>
        <w:t xml:space="preserve"> vo svojej publikácii, uvádza, že okrem výberu platobnej podmienky a nástroja </w:t>
      </w:r>
      <w:r w:rsidR="00796D29">
        <w:rPr>
          <w:sz w:val="22"/>
          <w:szCs w:val="22"/>
        </w:rPr>
        <w:br/>
      </w:r>
      <w:r>
        <w:rPr>
          <w:sz w:val="22"/>
          <w:szCs w:val="22"/>
        </w:rPr>
        <w:t>na elimináciu platobného rizika je veľmi dôležité starostlivo vypracovať</w:t>
      </w:r>
      <w:r w:rsidR="00F3337E">
        <w:rPr>
          <w:sz w:val="22"/>
          <w:szCs w:val="22"/>
        </w:rPr>
        <w:t xml:space="preserve"> </w:t>
      </w:r>
      <w:r>
        <w:rPr>
          <w:sz w:val="22"/>
          <w:szCs w:val="22"/>
        </w:rPr>
        <w:t xml:space="preserve"> Kúpnu zmluvu. Keďže Česká Republika a Španielsko sú členmi EÚ bude sa zmluva odvolávať na Viedenský dohovor, ktorý bol založený na pôde UNCITRAL, so sídlom vo Viedni. </w:t>
      </w:r>
      <w:r w:rsidR="00F3337E">
        <w:rPr>
          <w:sz w:val="22"/>
          <w:szCs w:val="22"/>
        </w:rPr>
        <w:t xml:space="preserve">Ideal Standard </w:t>
      </w:r>
      <w:r>
        <w:rPr>
          <w:sz w:val="22"/>
          <w:szCs w:val="22"/>
        </w:rPr>
        <w:t>pri vypracovaní obchodných zmlúv využíva pomocné pramene práva</w:t>
      </w:r>
      <w:r>
        <w:rPr>
          <w:rStyle w:val="Znakapoznpodarou"/>
        </w:rPr>
        <w:footnoteReference w:id="114"/>
      </w:r>
      <w:r>
        <w:t xml:space="preserve"> </w:t>
      </w:r>
      <w:r w:rsidR="00796D29">
        <w:rPr>
          <w:sz w:val="22"/>
          <w:szCs w:val="22"/>
        </w:rPr>
        <w:t xml:space="preserve"> ako sú:</w:t>
      </w:r>
    </w:p>
    <w:p w:rsidR="00807E9B" w:rsidRDefault="00807E9B" w:rsidP="00807E9B">
      <w:pPr>
        <w:spacing w:before="120"/>
        <w:ind w:firstLine="709"/>
        <w:rPr>
          <w:sz w:val="22"/>
          <w:szCs w:val="22"/>
        </w:rPr>
      </w:pPr>
      <w:r>
        <w:rPr>
          <w:sz w:val="22"/>
          <w:szCs w:val="22"/>
        </w:rPr>
        <w:t xml:space="preserve"> a) </w:t>
      </w:r>
      <w:r w:rsidRPr="00796D29">
        <w:rPr>
          <w:b/>
          <w:sz w:val="22"/>
          <w:szCs w:val="22"/>
        </w:rPr>
        <w:t>INCOTERMS</w:t>
      </w:r>
      <w:r>
        <w:rPr>
          <w:sz w:val="22"/>
          <w:szCs w:val="22"/>
        </w:rPr>
        <w:t xml:space="preserve"> – medzinárodné vykladacie  pravidlá, ktoré vypracovala Medzinárodná obchodná komora – ICC, prvý krát už v roku 1936 a posledné vydanie je z roku 2010, ktoré vstúpilo do platnosti 1.1.2011. Incoterms 2010, resp. dodacie parity riešia povinnosti zmluvných strán v súvislosti s dodávkou a prevzatím tovaru:</w:t>
      </w:r>
    </w:p>
    <w:p w:rsidR="00807E9B" w:rsidRDefault="00807E9B" w:rsidP="00807E9B">
      <w:pPr>
        <w:pStyle w:val="Odrka1stupn"/>
        <w:rPr>
          <w:iCs/>
        </w:rPr>
      </w:pPr>
      <w:r>
        <w:rPr>
          <w:iCs/>
        </w:rPr>
        <w:t>spôsob a miesto dodania tovaru</w:t>
      </w:r>
      <w:r w:rsidRPr="00807E9B">
        <w:rPr>
          <w:iCs/>
        </w:rPr>
        <w:t>;</w:t>
      </w:r>
    </w:p>
    <w:p w:rsidR="00807E9B" w:rsidRPr="00807E9B" w:rsidRDefault="00807E9B" w:rsidP="00807E9B">
      <w:pPr>
        <w:pStyle w:val="Odrka1stupn"/>
        <w:rPr>
          <w:iCs/>
        </w:rPr>
      </w:pPr>
      <w:r w:rsidRPr="00807E9B">
        <w:rPr>
          <w:sz w:val="22"/>
          <w:szCs w:val="22"/>
        </w:rPr>
        <w:t>miesto a okamih prechodu úhrady nákladov spojených s dodaním tovaru</w:t>
      </w:r>
      <w:r>
        <w:t>;</w:t>
      </w:r>
    </w:p>
    <w:p w:rsidR="00807E9B" w:rsidRPr="00807E9B" w:rsidRDefault="00807E9B" w:rsidP="00807E9B">
      <w:pPr>
        <w:pStyle w:val="Odrka1stupn"/>
        <w:rPr>
          <w:iCs/>
        </w:rPr>
      </w:pPr>
      <w:r w:rsidRPr="00807E9B">
        <w:rPr>
          <w:sz w:val="22"/>
          <w:szCs w:val="22"/>
        </w:rPr>
        <w:t>miesto a okamih prechodu rizík</w:t>
      </w:r>
      <w:r>
        <w:t>;</w:t>
      </w:r>
    </w:p>
    <w:p w:rsidR="00807E9B" w:rsidRPr="00807E9B" w:rsidRDefault="00807E9B" w:rsidP="00807E9B">
      <w:pPr>
        <w:pStyle w:val="Odrka1stupn"/>
        <w:rPr>
          <w:iCs/>
        </w:rPr>
      </w:pPr>
      <w:r w:rsidRPr="00807E9B">
        <w:rPr>
          <w:sz w:val="22"/>
          <w:szCs w:val="22"/>
        </w:rPr>
        <w:t>povinnosti zmluvných strán pri zabezpečení dopravy, obstaranie sprievodných</w:t>
      </w:r>
      <w:r>
        <w:t>;</w:t>
      </w:r>
      <w:r w:rsidRPr="00807E9B">
        <w:rPr>
          <w:sz w:val="22"/>
          <w:szCs w:val="22"/>
        </w:rPr>
        <w:t xml:space="preserve">             </w:t>
      </w:r>
    </w:p>
    <w:p w:rsidR="00807E9B" w:rsidRPr="00807E9B" w:rsidRDefault="00807E9B" w:rsidP="00807E9B">
      <w:pPr>
        <w:pStyle w:val="Odrka1stupn"/>
        <w:numPr>
          <w:ilvl w:val="0"/>
          <w:numId w:val="0"/>
        </w:numPr>
        <w:ind w:left="1066"/>
        <w:rPr>
          <w:iCs/>
        </w:rPr>
      </w:pPr>
      <w:r w:rsidRPr="00807E9B">
        <w:rPr>
          <w:sz w:val="22"/>
          <w:szCs w:val="22"/>
        </w:rPr>
        <w:t>dokladov, zabezpečenie poistenia, kontroly a colného odbavenia.</w:t>
      </w:r>
    </w:p>
    <w:p w:rsidR="00807E9B" w:rsidRDefault="00807E9B" w:rsidP="00807E9B">
      <w:pPr>
        <w:spacing w:before="240" w:after="0"/>
        <w:rPr>
          <w:sz w:val="22"/>
          <w:szCs w:val="22"/>
        </w:rPr>
      </w:pPr>
      <w:r>
        <w:rPr>
          <w:sz w:val="22"/>
          <w:szCs w:val="22"/>
        </w:rPr>
        <w:t>Kašťáková</w:t>
      </w:r>
      <w:r>
        <w:rPr>
          <w:rStyle w:val="Znakapoznpodarou"/>
        </w:rPr>
        <w:footnoteReference w:id="115"/>
      </w:r>
      <w:r>
        <w:rPr>
          <w:sz w:val="22"/>
          <w:szCs w:val="22"/>
        </w:rPr>
        <w:t xml:space="preserve"> uvádza konkrétne body, ktorými sa Incoterms 2010 nezaoberajú: </w:t>
      </w:r>
    </w:p>
    <w:p w:rsidR="00807E9B" w:rsidRDefault="00807E9B" w:rsidP="00807E9B">
      <w:pPr>
        <w:pStyle w:val="Odrka1stupn"/>
        <w:rPr>
          <w:iCs/>
        </w:rPr>
      </w:pPr>
      <w:r>
        <w:rPr>
          <w:iCs/>
        </w:rPr>
        <w:t>prevodom vlastníckych práv na tovar</w:t>
      </w:r>
      <w:r w:rsidRPr="00807E9B">
        <w:rPr>
          <w:iCs/>
        </w:rPr>
        <w:t>;</w:t>
      </w:r>
    </w:p>
    <w:p w:rsidR="00807E9B" w:rsidRPr="00807E9B" w:rsidRDefault="00807E9B" w:rsidP="00807E9B">
      <w:pPr>
        <w:pStyle w:val="Odrka1stupn"/>
        <w:rPr>
          <w:iCs/>
        </w:rPr>
      </w:pPr>
      <w:r w:rsidRPr="00807E9B">
        <w:rPr>
          <w:sz w:val="22"/>
          <w:szCs w:val="22"/>
        </w:rPr>
        <w:t xml:space="preserve">zrušením povinností a záväzkov v prípadoch neočakávaných alebo nepredvídaných </w:t>
      </w:r>
    </w:p>
    <w:p w:rsidR="00807E9B" w:rsidRDefault="00807E9B" w:rsidP="00807E9B">
      <w:pPr>
        <w:pStyle w:val="Odrka1stupn"/>
        <w:numPr>
          <w:ilvl w:val="0"/>
          <w:numId w:val="0"/>
        </w:numPr>
        <w:ind w:left="1066"/>
      </w:pPr>
      <w:r w:rsidRPr="00807E9B">
        <w:rPr>
          <w:sz w:val="22"/>
          <w:szCs w:val="22"/>
        </w:rPr>
        <w:t>udalosti</w:t>
      </w:r>
      <w:r>
        <w:t>;</w:t>
      </w:r>
      <w:r w:rsidR="00540B4E" w:rsidRPr="00540B4E">
        <w:rPr>
          <w:rStyle w:val="Znakapoznpodarou"/>
        </w:rPr>
        <w:t xml:space="preserve"> </w:t>
      </w:r>
      <w:r w:rsidR="00540B4E">
        <w:rPr>
          <w:rStyle w:val="Znakapoznpodarou"/>
        </w:rPr>
        <w:footnoteReference w:id="116"/>
      </w:r>
    </w:p>
    <w:p w:rsidR="00807E9B" w:rsidRPr="00807E9B" w:rsidRDefault="00807E9B" w:rsidP="00807E9B">
      <w:pPr>
        <w:pStyle w:val="Odrka1stupn"/>
        <w:rPr>
          <w:i/>
          <w:iCs/>
        </w:rPr>
      </w:pPr>
      <w:r w:rsidRPr="00807E9B">
        <w:rPr>
          <w:sz w:val="22"/>
          <w:szCs w:val="22"/>
        </w:rPr>
        <w:t xml:space="preserve">následkami   rôznych    porušení   zmlúv,   okrem   tých, ktoré sa týkajú prechodu </w:t>
      </w:r>
    </w:p>
    <w:p w:rsidR="00807E9B" w:rsidRPr="00807E9B" w:rsidRDefault="00807E9B" w:rsidP="00807E9B">
      <w:pPr>
        <w:pStyle w:val="Odrka1stupn"/>
        <w:numPr>
          <w:ilvl w:val="0"/>
          <w:numId w:val="0"/>
        </w:numPr>
        <w:ind w:left="1066"/>
        <w:rPr>
          <w:i/>
          <w:iCs/>
        </w:rPr>
      </w:pPr>
      <w:r w:rsidRPr="00807E9B">
        <w:rPr>
          <w:sz w:val="22"/>
          <w:szCs w:val="22"/>
        </w:rPr>
        <w:t xml:space="preserve">nebezpečenstiev a nákladov, keď kupujúci nesplnil svoju  povinnosť prijať tovar alebo </w:t>
      </w:r>
      <w:r>
        <w:rPr>
          <w:sz w:val="22"/>
          <w:szCs w:val="22"/>
        </w:rPr>
        <w:t xml:space="preserve"> menovať dopravcu podľa niektorej doložky. </w:t>
      </w:r>
    </w:p>
    <w:p w:rsidR="00807E9B" w:rsidRDefault="00807E9B" w:rsidP="00807E9B">
      <w:pPr>
        <w:spacing w:before="240"/>
        <w:ind w:firstLine="709"/>
        <w:rPr>
          <w:sz w:val="22"/>
          <w:szCs w:val="22"/>
        </w:rPr>
      </w:pPr>
      <w:r>
        <w:rPr>
          <w:sz w:val="22"/>
          <w:szCs w:val="22"/>
        </w:rPr>
        <w:lastRenderedPageBreak/>
        <w:t xml:space="preserve">b) </w:t>
      </w:r>
      <w:r w:rsidRPr="00796D29">
        <w:rPr>
          <w:b/>
          <w:sz w:val="22"/>
          <w:szCs w:val="22"/>
        </w:rPr>
        <w:t>Zásady medzinárodných obchodných zmlúv -</w:t>
      </w:r>
      <w:r>
        <w:rPr>
          <w:sz w:val="22"/>
          <w:szCs w:val="22"/>
        </w:rPr>
        <w:t xml:space="preserve">  UNIDROIT – medzinárodný ústav pre zjednotenie skromného práva so sídlom v Ríme, ktorý mal za cieľ vytvoriť jednotné pravidlá platné pre medzinárodné obchodné zmluvy bez ohľadu na spoločenské zriadenie</w:t>
      </w:r>
      <w:r w:rsidR="00796D29">
        <w:rPr>
          <w:sz w:val="22"/>
          <w:szCs w:val="22"/>
        </w:rPr>
        <w:br/>
      </w:r>
      <w:r>
        <w:rPr>
          <w:sz w:val="22"/>
          <w:szCs w:val="22"/>
        </w:rPr>
        <w:t>a právny systém, ktorý v tom danom štáte platí. Vytvárala ho 3-členná komisia</w:t>
      </w:r>
      <w:r>
        <w:rPr>
          <w:rStyle w:val="Znakapoznpodarou"/>
        </w:rPr>
        <w:footnoteReference w:id="117"/>
      </w:r>
      <w:r>
        <w:rPr>
          <w:sz w:val="22"/>
          <w:szCs w:val="22"/>
        </w:rPr>
        <w:t xml:space="preserve"> a v roku 1994 bolo schválené definitívne znenie. Zmluvy sú záväzné  pokiaľ sa obe strany na ne priamo odvolajú. Boli vydané aj v slovenskom jazyku v roku 1996 v IURA Edition.</w:t>
      </w:r>
    </w:p>
    <w:p w:rsidR="00FA5187" w:rsidRPr="00807E9B" w:rsidRDefault="00267C2B" w:rsidP="00807E9B">
      <w:pPr>
        <w:spacing w:before="240"/>
        <w:rPr>
          <w:sz w:val="22"/>
          <w:szCs w:val="22"/>
        </w:rPr>
      </w:pPr>
      <w:r>
        <w:t>V</w:t>
      </w:r>
      <w:r w:rsidR="00807E9B">
        <w:t> </w:t>
      </w:r>
      <w:r>
        <w:t>tomto</w:t>
      </w:r>
      <w:r w:rsidR="00807E9B">
        <w:t xml:space="preserve"> vývoznom</w:t>
      </w:r>
      <w:r>
        <w:t xml:space="preserve"> prípade pri vzájomnej obchodnej komunikácii je zo str</w:t>
      </w:r>
      <w:r w:rsidR="00BE3E52">
        <w:t>any BALDOCER neochota platiť pre</w:t>
      </w:r>
      <w:r>
        <w:t xml:space="preserve">dom. </w:t>
      </w:r>
      <w:r w:rsidR="00EF74DA">
        <w:t xml:space="preserve">V súčasnej  dobe recesie čí kríze nie je totiž jednoduché nájsť pre daný tovar odbyt, preto IS </w:t>
      </w:r>
      <w:r w:rsidR="008A233C">
        <w:t xml:space="preserve">s cieľom rozšíriť svoje obchodné aktivity pristupuje k iným </w:t>
      </w:r>
      <w:r w:rsidR="00BE3E52">
        <w:t>alternatívam</w:t>
      </w:r>
      <w:r w:rsidR="008A233C">
        <w:t xml:space="preserve"> platby.</w:t>
      </w:r>
      <w:r w:rsidR="00431921">
        <w:t xml:space="preserve"> Pokiaľ ide o dodávky v rámci EÚ, môže dodávateľ pristúpiť </w:t>
      </w:r>
      <w:r w:rsidR="008A233C">
        <w:t xml:space="preserve"> </w:t>
      </w:r>
      <w:r w:rsidR="00431921">
        <w:t xml:space="preserve"> aj na platbu prostredníctvom dokumentárneho inkasa</w:t>
      </w:r>
      <w:r w:rsidR="00FA5187">
        <w:t xml:space="preserve"> (D/P)</w:t>
      </w:r>
      <w:r w:rsidR="00431921">
        <w:t xml:space="preserve">. Túto možnosť prezentoval svojmu budúcemu odberateľovi, </w:t>
      </w:r>
      <w:r w:rsidR="00BE3E52">
        <w:t>pretože</w:t>
      </w:r>
      <w:r w:rsidR="00431921">
        <w:t xml:space="preserve"> pri tejto podmienke nemá odberateľ viazané finančné prostriedky</w:t>
      </w:r>
      <w:r w:rsidR="00FA5187">
        <w:t xml:space="preserve"> v banke a na zaplatenie tovaru potrebuje peniaze </w:t>
      </w:r>
      <w:r w:rsidR="00CA1FBD">
        <w:t>až</w:t>
      </w:r>
      <w:r w:rsidR="00FA5187">
        <w:t xml:space="preserve"> v momente preberania dokladov k tovaru vo svojej banke. IS však riskuje, </w:t>
      </w:r>
      <w:r w:rsidR="00796D29">
        <w:br/>
      </w:r>
      <w:r w:rsidR="00FA5187">
        <w:t xml:space="preserve">že Baldocer neprevezme tovar, čím IS vzniknú nepredvídateľné mimoriadne náklady. </w:t>
      </w:r>
      <w:r w:rsidR="00CA1FBD">
        <w:t>Odporučením je kombináci</w:t>
      </w:r>
      <w:r w:rsidR="00FA5187">
        <w:t xml:space="preserve">a D/P s určitou </w:t>
      </w:r>
      <w:r w:rsidR="00CA1FBD">
        <w:t>pred platbou</w:t>
      </w:r>
      <w:r w:rsidR="00FA5187">
        <w:t xml:space="preserve"> (napr. 15% z hodnoty kontraktu). Nevýhodou D/P zo strany dodávateľa je, že nerieši neochotu odberateľa prevziať tovar, no výhodou je nemožnosť prevziať tovar bez zaplatenia odberateľom.  </w:t>
      </w:r>
      <w:r w:rsidR="008A233C">
        <w:t xml:space="preserve">Zo strany dodávateľa je najbezpečnejší nástroj na elimináciu platobných rizík Dokumentárny </w:t>
      </w:r>
      <w:r w:rsidR="00CA1FBD">
        <w:t>akreditív</w:t>
      </w:r>
      <w:r w:rsidR="008A233C">
        <w:t>, Bankový šek alebo Banková záruka, inak vstupuje do určitého rizika. To je závislé od charakteru obchodu, rizika krajiny a bonity odberateľa. Janatka</w:t>
      </w:r>
      <w:r w:rsidR="008A233C">
        <w:rPr>
          <w:rStyle w:val="Znakapoznpodarou"/>
        </w:rPr>
        <w:footnoteReference w:id="118"/>
      </w:r>
      <w:r w:rsidR="008A233C">
        <w:t xml:space="preserve"> uvádza, že každý podnikateľ alebo </w:t>
      </w:r>
      <w:r w:rsidR="00431921">
        <w:t>manažé</w:t>
      </w:r>
      <w:r w:rsidR="008A233C">
        <w:t>r sa musí naučiť riziko spoznať, riadiť a eliminovať ho na najnižšiu možnú úroveň. B</w:t>
      </w:r>
      <w:r w:rsidR="009E0467">
        <w:t>ALDOCER</w:t>
      </w:r>
      <w:r w:rsidR="00431921">
        <w:t xml:space="preserve"> pri ďalšom rokovaní odmietol poskytnúť vyššie uvedené platobné nástroje, čo je odrazom neochoty odberateľa viazať svoje finančné prostriedky formou blokácie na účte.</w:t>
      </w:r>
      <w:r w:rsidR="00FA5187">
        <w:t xml:space="preserve"> </w:t>
      </w:r>
    </w:p>
    <w:p w:rsidR="00796D29" w:rsidRDefault="00FA5187" w:rsidP="005251FE">
      <w:pPr>
        <w:autoSpaceDE w:val="0"/>
        <w:autoSpaceDN w:val="0"/>
        <w:adjustRightInd w:val="0"/>
      </w:pPr>
      <w:r w:rsidRPr="00F3337E">
        <w:rPr>
          <w:b/>
        </w:rPr>
        <w:t xml:space="preserve">Ako teda postupovať v prípade odmietnutia </w:t>
      </w:r>
      <w:r w:rsidR="00CA1FBD" w:rsidRPr="00F3337E">
        <w:rPr>
          <w:b/>
        </w:rPr>
        <w:t>dokumentárnych</w:t>
      </w:r>
      <w:r w:rsidRPr="00F3337E">
        <w:rPr>
          <w:b/>
        </w:rPr>
        <w:t xml:space="preserve"> platieb zo strany odberateľa?</w:t>
      </w:r>
      <w:r>
        <w:t xml:space="preserve">  </w:t>
      </w:r>
      <w:r w:rsidR="00431921">
        <w:t xml:space="preserve"> </w:t>
      </w:r>
    </w:p>
    <w:p w:rsidR="00AA3402" w:rsidRDefault="00FA5187" w:rsidP="005251FE">
      <w:pPr>
        <w:autoSpaceDE w:val="0"/>
        <w:autoSpaceDN w:val="0"/>
        <w:adjustRightInd w:val="0"/>
      </w:pPr>
      <w:r>
        <w:t>IS v tomto prípade súhlasil s požiadavkou na odklad splatnosti</w:t>
      </w:r>
      <w:r w:rsidR="006A18D9">
        <w:t xml:space="preserve"> 45 dní s platobnou podmienkou H</w:t>
      </w:r>
      <w:r>
        <w:t>ladká platba</w:t>
      </w:r>
      <w:r w:rsidR="00540B4E">
        <w:t xml:space="preserve"> (Kapitola 2.4 Hladká platba)</w:t>
      </w:r>
      <w:r>
        <w:t xml:space="preserve"> po dodávke, kde podstupuje </w:t>
      </w:r>
      <w:r>
        <w:lastRenderedPageBreak/>
        <w:t>veľmi vysoké riziko nezaplatenia tovaru a vznik problémovej pohľadávky. V takomto prípade</w:t>
      </w:r>
      <w:r w:rsidR="001B216C">
        <w:t>,</w:t>
      </w:r>
      <w:r>
        <w:t xml:space="preserve"> </w:t>
      </w:r>
      <w:r w:rsidR="001B216C">
        <w:t xml:space="preserve">IS eliminuje platobné riziko po preverení  bonity zákazníka,  poistením pohľadávky. </w:t>
      </w:r>
      <w:r w:rsidR="00434BF2">
        <w:t xml:space="preserve">Veľké nadnárodné spoločnosti tento typ eliminácie platobného rizika využívajú vo veľkej miere na rozdiel od slovenských firiem. No predikcia v tejto sfére do budúcnosti znie: </w:t>
      </w:r>
      <w:r w:rsidR="00434BF2" w:rsidRPr="00A5660C">
        <w:rPr>
          <w:i/>
        </w:rPr>
        <w:t xml:space="preserve">,,Na Slovensku bolo postenie pohľadávok ojedinelé. Po vypuknutí hlavnej úverovej krízy sa však situácia začína meniť </w:t>
      </w:r>
      <w:r w:rsidR="00A5660C" w:rsidRPr="00A5660C">
        <w:rPr>
          <w:i/>
        </w:rPr>
        <w:t>a aj klienti sa k svojmu majetku začínajú stavať zodpovednejšie.“</w:t>
      </w:r>
      <w:r w:rsidR="00A5660C" w:rsidRPr="00A5660C">
        <w:rPr>
          <w:rStyle w:val="Znakapoznpodarou"/>
        </w:rPr>
        <w:t xml:space="preserve"> </w:t>
      </w:r>
      <w:r w:rsidR="00A5660C">
        <w:rPr>
          <w:rStyle w:val="Znakapoznpodarou"/>
        </w:rPr>
        <w:footnoteReference w:id="119"/>
      </w:r>
      <w:r w:rsidR="00A5660C">
        <w:t xml:space="preserve"> </w:t>
      </w:r>
      <w:r w:rsidR="00434BF2">
        <w:t xml:space="preserve"> </w:t>
      </w:r>
    </w:p>
    <w:p w:rsidR="00AA3402" w:rsidRDefault="001B216C" w:rsidP="005251FE">
      <w:pPr>
        <w:autoSpaceDE w:val="0"/>
        <w:autoSpaceDN w:val="0"/>
        <w:adjustRightInd w:val="0"/>
        <w:rPr>
          <w:color w:val="000000"/>
        </w:rPr>
      </w:pPr>
      <w:r>
        <w:t>Keďže ide o nadnárodnú spoločnosť so sídlom v Bruseli, všetky pohľadávky globálne v rámci celej Európy im poisťuje spoločnosť EULER HERMES</w:t>
      </w:r>
      <w:r w:rsidR="005251FE">
        <w:t xml:space="preserve"> SERVIS</w:t>
      </w:r>
      <w:r>
        <w:t xml:space="preserve"> (EH</w:t>
      </w:r>
      <w:r w:rsidR="005251FE">
        <w:t>S)</w:t>
      </w:r>
      <w:r>
        <w:t>,</w:t>
      </w:r>
      <w:r w:rsidRPr="001B216C">
        <w:rPr>
          <w:rStyle w:val="Znakapoznpodarou"/>
        </w:rPr>
        <w:t xml:space="preserve"> </w:t>
      </w:r>
      <w:r>
        <w:rPr>
          <w:rStyle w:val="Znakapoznpodarou"/>
        </w:rPr>
        <w:footnoteReference w:id="120"/>
      </w:r>
      <w:r>
        <w:t xml:space="preserve"> </w:t>
      </w:r>
      <w:r w:rsidR="000B6D96" w:rsidRPr="000B6D96">
        <w:t>(viď. Príloha 2</w:t>
      </w:r>
      <w:r w:rsidR="008C4CBA" w:rsidRPr="000B6D96">
        <w:t>)</w:t>
      </w:r>
      <w:r w:rsidR="000B6D96">
        <w:t>,</w:t>
      </w:r>
      <w:r w:rsidR="008C4CBA" w:rsidRPr="000B6D96">
        <w:t xml:space="preserve"> </w:t>
      </w:r>
      <w:r w:rsidRPr="000B6D96">
        <w:t>ktorá</w:t>
      </w:r>
      <w:r>
        <w:t xml:space="preserve"> </w:t>
      </w:r>
      <w:r w:rsidRPr="001B216C">
        <w:rPr>
          <w:sz w:val="22"/>
          <w:szCs w:val="22"/>
        </w:rPr>
        <w:t xml:space="preserve">na </w:t>
      </w:r>
      <w:r w:rsidRPr="001B216C">
        <w:rPr>
          <w:color w:val="000000"/>
          <w:sz w:val="22"/>
          <w:szCs w:val="22"/>
        </w:rPr>
        <w:t xml:space="preserve">základe podrobnej analýzy každého odberateľa poskytuje poistenie </w:t>
      </w:r>
      <w:r w:rsidR="000B6D96">
        <w:rPr>
          <w:color w:val="000000"/>
          <w:sz w:val="22"/>
          <w:szCs w:val="22"/>
        </w:rPr>
        <w:br/>
      </w:r>
      <w:r w:rsidR="00F3337E">
        <w:rPr>
          <w:color w:val="000000"/>
          <w:sz w:val="22"/>
          <w:szCs w:val="22"/>
        </w:rPr>
        <w:t xml:space="preserve">a </w:t>
      </w:r>
      <w:r w:rsidRPr="001B216C">
        <w:rPr>
          <w:color w:val="000000"/>
          <w:sz w:val="22"/>
          <w:szCs w:val="22"/>
        </w:rPr>
        <w:t>informácie o finančnej a úverovej schopnosti odberateľov, čím pomáha zvoliť</w:t>
      </w:r>
      <w:r w:rsidR="00F3337E">
        <w:rPr>
          <w:color w:val="000000"/>
          <w:sz w:val="22"/>
          <w:szCs w:val="22"/>
        </w:rPr>
        <w:t xml:space="preserve"> vývozcovi</w:t>
      </w:r>
      <w:r w:rsidRPr="001B216C">
        <w:rPr>
          <w:color w:val="000000"/>
          <w:sz w:val="22"/>
          <w:szCs w:val="22"/>
        </w:rPr>
        <w:t xml:space="preserve"> správnu obchodnú stratégiu najmä voči</w:t>
      </w:r>
      <w:r w:rsidRPr="001B216C">
        <w:rPr>
          <w:sz w:val="22"/>
          <w:szCs w:val="22"/>
        </w:rPr>
        <w:t xml:space="preserve"> </w:t>
      </w:r>
      <w:r>
        <w:rPr>
          <w:sz w:val="22"/>
          <w:szCs w:val="22"/>
        </w:rPr>
        <w:t xml:space="preserve">novým zákazníkom. </w:t>
      </w:r>
      <w:r w:rsidR="00F3337E">
        <w:rPr>
          <w:sz w:val="22"/>
          <w:szCs w:val="22"/>
        </w:rPr>
        <w:t>V našom prípade p</w:t>
      </w:r>
      <w:r w:rsidR="005251FE">
        <w:rPr>
          <w:sz w:val="22"/>
          <w:szCs w:val="22"/>
        </w:rPr>
        <w:t xml:space="preserve">redmetom poistenia bude </w:t>
      </w:r>
      <w:r w:rsidR="005251FE" w:rsidRPr="00246B29">
        <w:rPr>
          <w:color w:val="000000"/>
        </w:rPr>
        <w:t>exportn</w:t>
      </w:r>
      <w:r w:rsidR="005251FE">
        <w:rPr>
          <w:color w:val="000000"/>
        </w:rPr>
        <w:t>á</w:t>
      </w:r>
      <w:r w:rsidR="005251FE" w:rsidRPr="00246B29">
        <w:rPr>
          <w:color w:val="000000"/>
        </w:rPr>
        <w:t xml:space="preserve"> p</w:t>
      </w:r>
      <w:r w:rsidR="005251FE">
        <w:rPr>
          <w:color w:val="000000"/>
        </w:rPr>
        <w:t>ohľadávka súvisiaca</w:t>
      </w:r>
      <w:r w:rsidR="005251FE" w:rsidRPr="00246B29">
        <w:rPr>
          <w:color w:val="000000"/>
        </w:rPr>
        <w:t xml:space="preserve"> s dodaním tovaru</w:t>
      </w:r>
      <w:r w:rsidR="005251FE">
        <w:rPr>
          <w:color w:val="000000"/>
        </w:rPr>
        <w:t>.</w:t>
      </w:r>
      <w:r w:rsidR="005251FE" w:rsidRPr="00246B29">
        <w:rPr>
          <w:color w:val="000000"/>
        </w:rPr>
        <w:t xml:space="preserve"> V prípade neuhradenia faktúry odberateľom zahrnutým do poistenia z dôvodu platobnej neschopnosti alebo platobnej nevôle prevezme škodu na seba poisťovňa</w:t>
      </w:r>
      <w:r w:rsidR="005251FE">
        <w:rPr>
          <w:color w:val="000000"/>
        </w:rPr>
        <w:t xml:space="preserve"> EHS</w:t>
      </w:r>
      <w:r w:rsidR="005251FE" w:rsidRPr="00246B29">
        <w:rPr>
          <w:color w:val="000000"/>
        </w:rPr>
        <w:t xml:space="preserve"> vyplatením poistného plnenia. </w:t>
      </w:r>
    </w:p>
    <w:p w:rsidR="00AA3402" w:rsidRDefault="00AA3402" w:rsidP="005251FE">
      <w:pPr>
        <w:autoSpaceDE w:val="0"/>
        <w:autoSpaceDN w:val="0"/>
        <w:adjustRightInd w:val="0"/>
      </w:pPr>
      <w:r>
        <w:rPr>
          <w:color w:val="000000"/>
        </w:rPr>
        <w:t xml:space="preserve">Spoločnosť </w:t>
      </w:r>
      <w:r w:rsidR="005251FE">
        <w:rPr>
          <w:color w:val="000000"/>
        </w:rPr>
        <w:t>IS vyplnila dotazník a zaslala ho do EHS s cieľom preveriť bonitu odberateľa a vypracovať</w:t>
      </w:r>
      <w:r w:rsidR="00A8220A">
        <w:rPr>
          <w:color w:val="000000"/>
        </w:rPr>
        <w:t xml:space="preserve"> návrh poistnej </w:t>
      </w:r>
      <w:r w:rsidR="00A8220A" w:rsidRPr="000B6D96">
        <w:rPr>
          <w:color w:val="000000"/>
        </w:rPr>
        <w:t>zmluvy (viď</w:t>
      </w:r>
      <w:r w:rsidR="000B6D96" w:rsidRPr="000B6D96">
        <w:rPr>
          <w:color w:val="000000"/>
        </w:rPr>
        <w:t>. Príloha 3</w:t>
      </w:r>
      <w:r w:rsidR="00A8220A" w:rsidRPr="000B6D96">
        <w:rPr>
          <w:color w:val="000000"/>
        </w:rPr>
        <w:t>).</w:t>
      </w:r>
      <w:r w:rsidR="00A8220A">
        <w:rPr>
          <w:color w:val="000000"/>
        </w:rPr>
        <w:t xml:space="preserve"> Následne spolo</w:t>
      </w:r>
      <w:r w:rsidR="008C4CBA">
        <w:rPr>
          <w:color w:val="000000"/>
        </w:rPr>
        <w:t>čnosť EHS osloví firmu B</w:t>
      </w:r>
      <w:r w:rsidR="009E0467">
        <w:rPr>
          <w:color w:val="000000"/>
        </w:rPr>
        <w:t>ALDOCER</w:t>
      </w:r>
      <w:r w:rsidR="00A8220A">
        <w:rPr>
          <w:color w:val="000000"/>
        </w:rPr>
        <w:t xml:space="preserve">, Španielsko o poskytnutie finančných výkazov v súvislosti plnohodnotne podporiť obchodnú väzbu medzi obchodnými partnermi. </w:t>
      </w:r>
      <w:r w:rsidR="00A8220A" w:rsidRPr="000B6D96">
        <w:rPr>
          <w:color w:val="000000"/>
        </w:rPr>
        <w:t>(</w:t>
      </w:r>
      <w:r w:rsidR="000B6D96" w:rsidRPr="000B6D96">
        <w:rPr>
          <w:color w:val="000000"/>
        </w:rPr>
        <w:t>viď. Príloha 4</w:t>
      </w:r>
      <w:r w:rsidR="00A8220A" w:rsidRPr="000B6D96">
        <w:rPr>
          <w:color w:val="000000"/>
        </w:rPr>
        <w:t xml:space="preserve"> – preklad v slovenskom jazyku).</w:t>
      </w:r>
      <w:r w:rsidR="00A8220A">
        <w:rPr>
          <w:color w:val="000000"/>
        </w:rPr>
        <w:t xml:space="preserve"> Komunikácia je možná faxom alebo prostredníctvom elektronickej pošty. </w:t>
      </w:r>
      <w:r w:rsidR="00E124B1">
        <w:rPr>
          <w:color w:val="000000"/>
        </w:rPr>
        <w:t xml:space="preserve">Po </w:t>
      </w:r>
      <w:r w:rsidR="00CA1FBD">
        <w:rPr>
          <w:color w:val="000000"/>
        </w:rPr>
        <w:t>preverení</w:t>
      </w:r>
      <w:r w:rsidR="00E124B1">
        <w:rPr>
          <w:color w:val="000000"/>
        </w:rPr>
        <w:t xml:space="preserve"> bonity EHS stanovila poistný limit</w:t>
      </w:r>
      <w:r w:rsidR="00CA1FBD" w:rsidRPr="000B6D96">
        <w:rPr>
          <w:color w:val="000000"/>
        </w:rPr>
        <w:t>,</w:t>
      </w:r>
      <w:r w:rsidR="00E124B1" w:rsidRPr="000B6D96">
        <w:rPr>
          <w:rStyle w:val="Znakapoznpodarou"/>
        </w:rPr>
        <w:footnoteReference w:id="121"/>
      </w:r>
      <w:r w:rsidR="00E124B1" w:rsidRPr="000B6D96">
        <w:t xml:space="preserve"> </w:t>
      </w:r>
      <w:r w:rsidR="00E124B1" w:rsidRPr="000B6D96">
        <w:rPr>
          <w:color w:val="000000"/>
        </w:rPr>
        <w:t xml:space="preserve"> </w:t>
      </w:r>
      <w:r w:rsidR="00321116" w:rsidRPr="000B6D96">
        <w:rPr>
          <w:color w:val="000000"/>
        </w:rPr>
        <w:t xml:space="preserve">(viď. </w:t>
      </w:r>
      <w:r w:rsidR="000B6D96" w:rsidRPr="000B6D96">
        <w:rPr>
          <w:color w:val="000000"/>
        </w:rPr>
        <w:t>Príloha 5</w:t>
      </w:r>
      <w:r w:rsidR="00321116" w:rsidRPr="000B6D96">
        <w:rPr>
          <w:color w:val="000000"/>
        </w:rPr>
        <w:t>)</w:t>
      </w:r>
      <w:r w:rsidR="00321116">
        <w:rPr>
          <w:color w:val="000000"/>
        </w:rPr>
        <w:t xml:space="preserve"> </w:t>
      </w:r>
      <w:r w:rsidR="00E124B1">
        <w:rPr>
          <w:color w:val="000000"/>
        </w:rPr>
        <w:t>na dobu 12 mesiacov</w:t>
      </w:r>
      <w:r w:rsidR="00CA1FBD">
        <w:rPr>
          <w:color w:val="000000"/>
        </w:rPr>
        <w:t>,</w:t>
      </w:r>
      <w:r w:rsidR="00E124B1">
        <w:rPr>
          <w:color w:val="000000"/>
        </w:rPr>
        <w:t xml:space="preserve"> vo výške €55 000, </w:t>
      </w:r>
      <w:r w:rsidR="008C4CBA">
        <w:rPr>
          <w:color w:val="000000"/>
        </w:rPr>
        <w:t>kto</w:t>
      </w:r>
      <w:r w:rsidR="00E124B1">
        <w:rPr>
          <w:color w:val="000000"/>
        </w:rPr>
        <w:t xml:space="preserve">rý musí </w:t>
      </w:r>
      <w:r w:rsidR="00CA1FBD">
        <w:rPr>
          <w:color w:val="000000"/>
        </w:rPr>
        <w:t>dodávateľ</w:t>
      </w:r>
      <w:r w:rsidR="00E124B1">
        <w:rPr>
          <w:color w:val="000000"/>
        </w:rPr>
        <w:t xml:space="preserve"> </w:t>
      </w:r>
      <w:r w:rsidR="009E0467">
        <w:rPr>
          <w:color w:val="000000"/>
        </w:rPr>
        <w:br/>
      </w:r>
      <w:r w:rsidR="00E124B1">
        <w:rPr>
          <w:color w:val="000000"/>
        </w:rPr>
        <w:t xml:space="preserve">IS sledovať a nesmie, resp. nemal by ho prekročiť. </w:t>
      </w:r>
      <w:r w:rsidR="00E124B1">
        <w:t>Sadzba poistného sa pohybuje v zlomkoch percenta (promile) z poisteného obratu a </w:t>
      </w:r>
      <w:r w:rsidR="00CA1FBD">
        <w:t xml:space="preserve"> je stanovovaná</w:t>
      </w:r>
      <w:r w:rsidR="00E124B1">
        <w:t xml:space="preserve"> individuálne. </w:t>
      </w:r>
      <w:r w:rsidR="00A1350A">
        <w:t>Nedá</w:t>
      </w:r>
      <w:r w:rsidR="00AA6709">
        <w:t xml:space="preserve"> sa konkrétne určiť sadzba </w:t>
      </w:r>
      <w:r>
        <w:t xml:space="preserve">poistného </w:t>
      </w:r>
      <w:r w:rsidR="00AA6709">
        <w:t xml:space="preserve">na nášho odberateľa BALDOCER, pretože poistené je vždy celé portfólio odberateľov, t.j. nie je možné poistiť iba samostatného odberateľa. </w:t>
      </w:r>
    </w:p>
    <w:p w:rsidR="005251FE" w:rsidRDefault="00E124B1" w:rsidP="005251FE">
      <w:pPr>
        <w:autoSpaceDE w:val="0"/>
        <w:autoSpaceDN w:val="0"/>
        <w:adjustRightInd w:val="0"/>
      </w:pPr>
      <w:r>
        <w:lastRenderedPageBreak/>
        <w:t xml:space="preserve">Poistné sa obvykle platí v štvrťročných splátkach. Po skončení poistného obdobia </w:t>
      </w:r>
      <w:r w:rsidR="00AA3402">
        <w:br/>
      </w:r>
      <w:r>
        <w:t xml:space="preserve">sa splátky vyúčtujú a poistné sa dorovná podľa skutočne poisteného obratu. </w:t>
      </w:r>
      <w:r>
        <w:rPr>
          <w:color w:val="000000"/>
        </w:rPr>
        <w:t xml:space="preserve"> </w:t>
      </w:r>
      <w:r w:rsidR="00AA3402">
        <w:rPr>
          <w:color w:val="000000"/>
        </w:rPr>
        <w:br/>
      </w:r>
      <w:r>
        <w:rPr>
          <w:color w:val="000000"/>
        </w:rPr>
        <w:t xml:space="preserve">Ak pohľadávka nebude v stanovenom termíne uhradená, musí IS na </w:t>
      </w:r>
      <w:r w:rsidR="00CA1FBD">
        <w:rPr>
          <w:color w:val="000000"/>
        </w:rPr>
        <w:t>špeciálnom</w:t>
      </w:r>
      <w:r>
        <w:rPr>
          <w:color w:val="000000"/>
        </w:rPr>
        <w:t xml:space="preserve"> tlačive ohlásiť pohľadávku v omeškaní. </w:t>
      </w:r>
      <w:r>
        <w:t>Nasleduje priestor na vymáhanie pohľadávky, najdlhšie však 6 mesiacov - karenčná lehota,</w:t>
      </w:r>
      <w:r w:rsidR="00CA1FBD" w:rsidRPr="00CA1FBD">
        <w:rPr>
          <w:rStyle w:val="Znakapoznpodarou"/>
        </w:rPr>
        <w:t xml:space="preserve"> </w:t>
      </w:r>
      <w:r w:rsidR="00CA1FBD">
        <w:rPr>
          <w:rStyle w:val="Znakapoznpodarou"/>
        </w:rPr>
        <w:footnoteReference w:id="122"/>
      </w:r>
      <w:r w:rsidR="00CA1FBD">
        <w:rPr>
          <w:sz w:val="22"/>
          <w:szCs w:val="22"/>
        </w:rPr>
        <w:t xml:space="preserve"> u</w:t>
      </w:r>
      <w:r>
        <w:t xml:space="preserve"> a po ňom poistné plnenie. Všetky počas karenčnej lehoty vymožené čiastky sú okamžite a v plnej výške prevádzané klientovi. V prípade nezaplatenia pohľadávky odberateľom, </w:t>
      </w:r>
      <w:r w:rsidR="00AA6709">
        <w:t xml:space="preserve">po </w:t>
      </w:r>
      <w:r w:rsidR="00A1350A">
        <w:t>uplynutí</w:t>
      </w:r>
      <w:r w:rsidR="00AA6709">
        <w:t xml:space="preserve"> karančnej doby, v priemere 4 mesiace, dochádza k </w:t>
      </w:r>
      <w:r w:rsidR="00A1350A">
        <w:t>poistnému</w:t>
      </w:r>
      <w:r w:rsidR="00AA6709">
        <w:t xml:space="preserve"> plneniu. </w:t>
      </w:r>
      <w:r>
        <w:t xml:space="preserve">EHS vyplatí 93% z hodnoty pohľadávky dodávateľovi, v našom prípade IS. Poistenie pohľadávok predstavuje </w:t>
      </w:r>
      <w:r w:rsidR="009E0467">
        <w:br/>
      </w:r>
      <w:r>
        <w:t xml:space="preserve">vo svojej podstate jedno z posledných alternatívnych riešení </w:t>
      </w:r>
      <w:r w:rsidR="00AA6709">
        <w:t xml:space="preserve">vývozu </w:t>
      </w:r>
      <w:r>
        <w:t xml:space="preserve">obchodného prípadu. </w:t>
      </w:r>
    </w:p>
    <w:p w:rsidR="00405F9F" w:rsidRPr="00405F9F" w:rsidRDefault="00405F9F" w:rsidP="005251FE">
      <w:pPr>
        <w:autoSpaceDE w:val="0"/>
        <w:autoSpaceDN w:val="0"/>
        <w:adjustRightInd w:val="0"/>
        <w:rPr>
          <w:b/>
          <w:i/>
        </w:rPr>
      </w:pPr>
      <w:r w:rsidRPr="00405F9F">
        <w:rPr>
          <w:b/>
          <w:i/>
        </w:rPr>
        <w:t>Prečo Ideal Standard nezvolil pri vývoznej obchodnej operácii so španielskou firmou BALDOCER bankovú záruku?</w:t>
      </w:r>
    </w:p>
    <w:p w:rsidR="00405F9F" w:rsidRDefault="00405F9F" w:rsidP="007C7FF6">
      <w:pPr>
        <w:spacing w:before="120"/>
        <w:rPr>
          <w:sz w:val="22"/>
          <w:szCs w:val="22"/>
        </w:rPr>
      </w:pPr>
      <w:r>
        <w:rPr>
          <w:sz w:val="22"/>
          <w:szCs w:val="22"/>
        </w:rPr>
        <w:t xml:space="preserve">V medzinárodnom obchode sú platobné bankové záruky postupne nahrádzané poisťovaním pohľadávok. K takémuto nahrádzaniu dochádza najmä preto, lebo odberateľ v prípade bankovej záruky musí poskytnúť banke ručenie majetkom, t.j. obchodnými aktívami a pod., čo je hlavnou príčinou jeho neochoty. Aj v prípade firmy BALDOCER bola takáto neochota, preto IS pristúpil na poistenie pohľadávok. V Tabuľke </w:t>
      </w:r>
      <w:r w:rsidR="005263B7">
        <w:rPr>
          <w:sz w:val="22"/>
          <w:szCs w:val="22"/>
        </w:rPr>
        <w:t>6 uvá</w:t>
      </w:r>
      <w:r>
        <w:rPr>
          <w:sz w:val="22"/>
          <w:szCs w:val="22"/>
        </w:rPr>
        <w:t>d</w:t>
      </w:r>
      <w:r w:rsidR="005263B7">
        <w:rPr>
          <w:sz w:val="22"/>
          <w:szCs w:val="22"/>
        </w:rPr>
        <w:t>z</w:t>
      </w:r>
      <w:r>
        <w:rPr>
          <w:sz w:val="22"/>
          <w:szCs w:val="22"/>
        </w:rPr>
        <w:t>ame stručné rozdiely medzi bankovou zárukou</w:t>
      </w:r>
      <w:r w:rsidR="005263B7">
        <w:rPr>
          <w:sz w:val="22"/>
          <w:szCs w:val="22"/>
        </w:rPr>
        <w:t xml:space="preserve"> </w:t>
      </w:r>
      <w:r w:rsidR="005263B7">
        <w:rPr>
          <w:sz w:val="22"/>
          <w:szCs w:val="22"/>
        </w:rPr>
        <w:br/>
        <w:t>a po</w:t>
      </w:r>
      <w:r>
        <w:rPr>
          <w:sz w:val="22"/>
          <w:szCs w:val="22"/>
        </w:rPr>
        <w:t>i</w:t>
      </w:r>
      <w:r w:rsidR="005263B7">
        <w:rPr>
          <w:sz w:val="22"/>
          <w:szCs w:val="22"/>
        </w:rPr>
        <w:t>s</w:t>
      </w:r>
      <w:r>
        <w:rPr>
          <w:sz w:val="22"/>
          <w:szCs w:val="22"/>
        </w:rPr>
        <w:t xml:space="preserve">tením pohľadávok. </w:t>
      </w:r>
    </w:p>
    <w:p w:rsidR="00405F9F" w:rsidRDefault="00405F9F" w:rsidP="00405F9F">
      <w:pPr>
        <w:pStyle w:val="Tabulka"/>
      </w:pPr>
      <w:r>
        <w:t>Tabuľka 6  Porovnanie platobnej bankovej záruky a komerčného poistenia pohľadávok</w:t>
      </w:r>
    </w:p>
    <w:tbl>
      <w:tblPr>
        <w:tblW w:w="8575" w:type="dxa"/>
        <w:tblLayout w:type="fixed"/>
        <w:tblCellMar>
          <w:left w:w="70" w:type="dxa"/>
          <w:right w:w="70" w:type="dxa"/>
        </w:tblCellMar>
        <w:tblLook w:val="05A0"/>
      </w:tblPr>
      <w:tblGrid>
        <w:gridCol w:w="2764"/>
        <w:gridCol w:w="2551"/>
        <w:gridCol w:w="3260"/>
      </w:tblGrid>
      <w:tr w:rsidR="005263B7" w:rsidRPr="005263B7" w:rsidTr="005263B7">
        <w:trPr>
          <w:trHeight w:val="270"/>
        </w:trPr>
        <w:tc>
          <w:tcPr>
            <w:tcW w:w="2764" w:type="dxa"/>
            <w:tcBorders>
              <w:top w:val="single" w:sz="8" w:space="0" w:color="auto"/>
              <w:left w:val="single" w:sz="8" w:space="0" w:color="auto"/>
              <w:bottom w:val="nil"/>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lang w:eastAsia="sk-SK"/>
              </w:rPr>
            </w:pPr>
            <w:r w:rsidRPr="005263B7">
              <w:rPr>
                <w:lang w:eastAsia="sk-SK"/>
              </w:rPr>
              <w:t> </w:t>
            </w:r>
          </w:p>
        </w:tc>
        <w:tc>
          <w:tcPr>
            <w:tcW w:w="2551"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Platobná banková záruka</w:t>
            </w:r>
          </w:p>
        </w:tc>
        <w:tc>
          <w:tcPr>
            <w:tcW w:w="3260" w:type="dxa"/>
            <w:tcBorders>
              <w:top w:val="single" w:sz="8" w:space="0" w:color="auto"/>
              <w:left w:val="nil"/>
              <w:bottom w:val="nil"/>
              <w:right w:val="single" w:sz="8" w:space="0" w:color="auto"/>
            </w:tcBorders>
            <w:shd w:val="clear" w:color="auto" w:fill="F2F2F2" w:themeFill="background1" w:themeFillShade="F2"/>
            <w:noWrap/>
            <w:hideMark/>
          </w:tcPr>
          <w:p w:rsidR="005263B7" w:rsidRPr="005263B7" w:rsidRDefault="005263B7" w:rsidP="005263B7">
            <w:pPr>
              <w:spacing w:after="0" w:line="240" w:lineRule="auto"/>
              <w:jc w:val="left"/>
              <w:rPr>
                <w:b/>
                <w:bCs/>
                <w:lang w:eastAsia="sk-SK"/>
              </w:rPr>
            </w:pPr>
            <w:r w:rsidRPr="005263B7">
              <w:rPr>
                <w:b/>
                <w:bCs/>
                <w:lang w:eastAsia="sk-SK"/>
              </w:rPr>
              <w:t>Poistenie pohľadávok</w:t>
            </w:r>
          </w:p>
        </w:tc>
      </w:tr>
      <w:tr w:rsidR="005263B7" w:rsidRPr="005263B7" w:rsidTr="00D6483D">
        <w:trPr>
          <w:trHeight w:val="270"/>
        </w:trPr>
        <w:tc>
          <w:tcPr>
            <w:tcW w:w="2764" w:type="dxa"/>
            <w:tcBorders>
              <w:top w:val="single" w:sz="8" w:space="0" w:color="auto"/>
              <w:left w:val="single" w:sz="8" w:space="0" w:color="auto"/>
              <w:bottom w:val="single" w:sz="8" w:space="0" w:color="auto"/>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Žiadateľ</w:t>
            </w:r>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Odberateľ - Importér</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Dodávateľ - Exportér</w:t>
            </w:r>
          </w:p>
        </w:tc>
      </w:tr>
      <w:tr w:rsidR="005263B7" w:rsidRPr="005263B7" w:rsidTr="00D6483D">
        <w:trPr>
          <w:trHeight w:val="270"/>
        </w:trPr>
        <w:tc>
          <w:tcPr>
            <w:tcW w:w="2764" w:type="dxa"/>
            <w:tcBorders>
              <w:top w:val="nil"/>
              <w:left w:val="single" w:sz="8" w:space="0" w:color="auto"/>
              <w:bottom w:val="nil"/>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Rýchlosť schválenia žiadosti</w:t>
            </w:r>
          </w:p>
        </w:tc>
        <w:tc>
          <w:tcPr>
            <w:tcW w:w="2551" w:type="dxa"/>
            <w:tcBorders>
              <w:top w:val="nil"/>
              <w:left w:val="single" w:sz="8" w:space="0" w:color="auto"/>
              <w:bottom w:val="nil"/>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Cca 14 - 30 dní</w:t>
            </w:r>
          </w:p>
        </w:tc>
        <w:tc>
          <w:tcPr>
            <w:tcW w:w="3260" w:type="dxa"/>
            <w:tcBorders>
              <w:top w:val="nil"/>
              <w:left w:val="nil"/>
              <w:bottom w:val="nil"/>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Cca 3 - 7 dní</w:t>
            </w:r>
          </w:p>
        </w:tc>
      </w:tr>
      <w:tr w:rsidR="005263B7" w:rsidRPr="005263B7" w:rsidTr="00D6483D">
        <w:trPr>
          <w:trHeight w:val="270"/>
        </w:trPr>
        <w:tc>
          <w:tcPr>
            <w:tcW w:w="2764" w:type="dxa"/>
            <w:tcBorders>
              <w:top w:val="single" w:sz="8" w:space="0" w:color="auto"/>
              <w:left w:val="single" w:sz="8" w:space="0" w:color="auto"/>
              <w:bottom w:val="single" w:sz="8" w:space="0" w:color="auto"/>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Predmet zabezpečenia</w:t>
            </w:r>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Konkrétna pohľadávka</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Celé portfólio pohľadávok</w:t>
            </w:r>
          </w:p>
        </w:tc>
      </w:tr>
      <w:tr w:rsidR="005263B7" w:rsidRPr="005263B7" w:rsidTr="00D6483D">
        <w:trPr>
          <w:trHeight w:val="270"/>
        </w:trPr>
        <w:tc>
          <w:tcPr>
            <w:tcW w:w="2764" w:type="dxa"/>
            <w:tcBorders>
              <w:top w:val="nil"/>
              <w:left w:val="single" w:sz="8" w:space="0" w:color="auto"/>
              <w:bottom w:val="nil"/>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Krytie obchodov</w:t>
            </w:r>
          </w:p>
        </w:tc>
        <w:tc>
          <w:tcPr>
            <w:tcW w:w="2551" w:type="dxa"/>
            <w:tcBorders>
              <w:top w:val="nil"/>
              <w:left w:val="single" w:sz="8" w:space="0" w:color="auto"/>
              <w:bottom w:val="nil"/>
              <w:right w:val="single" w:sz="8" w:space="0" w:color="auto"/>
            </w:tcBorders>
            <w:shd w:val="clear" w:color="auto" w:fill="auto"/>
            <w:noWrap/>
            <w:vAlign w:val="bottom"/>
            <w:hideMark/>
          </w:tcPr>
          <w:p w:rsidR="005263B7" w:rsidRPr="005263B7" w:rsidRDefault="00A1350A" w:rsidP="005263B7">
            <w:pPr>
              <w:spacing w:after="0" w:line="240" w:lineRule="auto"/>
              <w:jc w:val="left"/>
              <w:rPr>
                <w:lang w:eastAsia="sk-SK"/>
              </w:rPr>
            </w:pPr>
            <w:r w:rsidRPr="005263B7">
              <w:rPr>
                <w:lang w:eastAsia="sk-SK"/>
              </w:rPr>
              <w:t>Jednorazové</w:t>
            </w:r>
            <w:r w:rsidR="005263B7" w:rsidRPr="005263B7">
              <w:rPr>
                <w:lang w:eastAsia="sk-SK"/>
              </w:rPr>
              <w:t xml:space="preserve"> obchody</w:t>
            </w:r>
          </w:p>
        </w:tc>
        <w:tc>
          <w:tcPr>
            <w:tcW w:w="3260" w:type="dxa"/>
            <w:tcBorders>
              <w:top w:val="nil"/>
              <w:left w:val="nil"/>
              <w:bottom w:val="nil"/>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Len opakované obchody</w:t>
            </w:r>
          </w:p>
        </w:tc>
      </w:tr>
      <w:tr w:rsidR="005263B7" w:rsidRPr="005263B7" w:rsidTr="009E0467">
        <w:trPr>
          <w:trHeight w:val="270"/>
        </w:trPr>
        <w:tc>
          <w:tcPr>
            <w:tcW w:w="2764" w:type="dxa"/>
            <w:tcBorders>
              <w:top w:val="single" w:sz="8" w:space="0" w:color="auto"/>
              <w:left w:val="single" w:sz="8" w:space="0" w:color="auto"/>
              <w:bottom w:val="single" w:sz="8" w:space="0" w:color="auto"/>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Subjekt plnenia</w:t>
            </w:r>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Ručiteľská banka</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Poisťovňa</w:t>
            </w:r>
          </w:p>
        </w:tc>
      </w:tr>
      <w:tr w:rsidR="005263B7" w:rsidRPr="005263B7" w:rsidTr="009E0467">
        <w:trPr>
          <w:trHeight w:val="270"/>
        </w:trPr>
        <w:tc>
          <w:tcPr>
            <w:tcW w:w="2764" w:type="dxa"/>
            <w:tcBorders>
              <w:top w:val="single" w:sz="8" w:space="0" w:color="auto"/>
              <w:left w:val="single" w:sz="8" w:space="0" w:color="auto"/>
              <w:bottom w:val="single" w:sz="4" w:space="0" w:color="auto"/>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Náklady</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Hradí odberateľ</w:t>
            </w:r>
          </w:p>
        </w:tc>
        <w:tc>
          <w:tcPr>
            <w:tcW w:w="3260" w:type="dxa"/>
            <w:tcBorders>
              <w:top w:val="single" w:sz="8" w:space="0" w:color="auto"/>
              <w:left w:val="nil"/>
              <w:bottom w:val="single" w:sz="4"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Hradí dodávateľ</w:t>
            </w:r>
          </w:p>
        </w:tc>
      </w:tr>
      <w:tr w:rsidR="005263B7" w:rsidRPr="005263B7" w:rsidTr="009E0467">
        <w:trPr>
          <w:trHeight w:val="276"/>
        </w:trPr>
        <w:tc>
          <w:tcPr>
            <w:tcW w:w="2764" w:type="dxa"/>
            <w:vMerge w:val="restart"/>
            <w:tcBorders>
              <w:top w:val="single" w:sz="4" w:space="0" w:color="auto"/>
              <w:left w:val="single" w:sz="8" w:space="0" w:color="auto"/>
              <w:bottom w:val="single" w:sz="8" w:space="0" w:color="000000"/>
              <w:right w:val="single" w:sz="8" w:space="0" w:color="auto"/>
            </w:tcBorders>
            <w:shd w:val="clear" w:color="auto" w:fill="F2F2F2" w:themeFill="background1" w:themeFillShade="F2"/>
            <w:noWrap/>
            <w:hideMark/>
          </w:tcPr>
          <w:p w:rsidR="005263B7" w:rsidRPr="005263B7" w:rsidRDefault="005263B7" w:rsidP="005263B7">
            <w:pPr>
              <w:spacing w:after="0" w:line="240" w:lineRule="auto"/>
              <w:jc w:val="left"/>
              <w:rPr>
                <w:b/>
                <w:bCs/>
                <w:lang w:eastAsia="sk-SK"/>
              </w:rPr>
            </w:pPr>
            <w:r w:rsidRPr="005263B7">
              <w:rPr>
                <w:b/>
                <w:bCs/>
                <w:lang w:eastAsia="sk-SK"/>
              </w:rPr>
              <w:lastRenderedPageBreak/>
              <w:t>Výška Nákladov</w:t>
            </w:r>
          </w:p>
        </w:tc>
        <w:tc>
          <w:tcPr>
            <w:tcW w:w="255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5263B7" w:rsidRPr="005263B7" w:rsidRDefault="005263B7" w:rsidP="005263B7">
            <w:pPr>
              <w:spacing w:after="0" w:line="240" w:lineRule="auto"/>
              <w:jc w:val="left"/>
              <w:rPr>
                <w:lang w:eastAsia="sk-SK"/>
              </w:rPr>
            </w:pPr>
            <w:r w:rsidRPr="005263B7">
              <w:rPr>
                <w:lang w:eastAsia="sk-SK"/>
              </w:rPr>
              <w:t>Poplatok za vystavenie bankovej záruky;                     Spracovateľský poplatok</w:t>
            </w:r>
          </w:p>
        </w:tc>
        <w:tc>
          <w:tcPr>
            <w:tcW w:w="3260" w:type="dxa"/>
            <w:vMerge w:val="restart"/>
            <w:tcBorders>
              <w:top w:val="single" w:sz="4" w:space="0" w:color="auto"/>
              <w:left w:val="nil"/>
              <w:bottom w:val="single" w:sz="8" w:space="0" w:color="000000"/>
              <w:right w:val="single" w:sz="8" w:space="0" w:color="auto"/>
            </w:tcBorders>
            <w:shd w:val="clear" w:color="auto" w:fill="auto"/>
            <w:hideMark/>
          </w:tcPr>
          <w:p w:rsidR="005263B7" w:rsidRPr="005263B7" w:rsidRDefault="005263B7" w:rsidP="005263B7">
            <w:pPr>
              <w:spacing w:after="0" w:line="240" w:lineRule="auto"/>
              <w:jc w:val="left"/>
              <w:rPr>
                <w:lang w:eastAsia="sk-SK"/>
              </w:rPr>
            </w:pPr>
            <w:r w:rsidRPr="005263B7">
              <w:rPr>
                <w:lang w:eastAsia="sk-SK"/>
              </w:rPr>
              <w:t>Výška poistného sa určuje ako promile z obratu odberateľov</w:t>
            </w:r>
          </w:p>
        </w:tc>
      </w:tr>
      <w:tr w:rsidR="005263B7" w:rsidRPr="005263B7" w:rsidTr="00D6483D">
        <w:trPr>
          <w:trHeight w:val="660"/>
        </w:trPr>
        <w:tc>
          <w:tcPr>
            <w:tcW w:w="276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5263B7" w:rsidRPr="005263B7" w:rsidRDefault="005263B7" w:rsidP="005263B7">
            <w:pPr>
              <w:spacing w:after="0" w:line="240" w:lineRule="auto"/>
              <w:jc w:val="left"/>
              <w:rPr>
                <w:b/>
                <w:bCs/>
                <w:lang w:eastAsia="sk-SK"/>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5263B7" w:rsidRPr="005263B7" w:rsidRDefault="005263B7" w:rsidP="005263B7">
            <w:pPr>
              <w:spacing w:after="0" w:line="240" w:lineRule="auto"/>
              <w:jc w:val="left"/>
              <w:rPr>
                <w:lang w:eastAsia="sk-SK"/>
              </w:rPr>
            </w:pPr>
          </w:p>
        </w:tc>
        <w:tc>
          <w:tcPr>
            <w:tcW w:w="3260" w:type="dxa"/>
            <w:vMerge/>
            <w:tcBorders>
              <w:top w:val="single" w:sz="8" w:space="0" w:color="auto"/>
              <w:left w:val="nil"/>
              <w:bottom w:val="single" w:sz="8" w:space="0" w:color="000000"/>
              <w:right w:val="single" w:sz="8" w:space="0" w:color="auto"/>
            </w:tcBorders>
            <w:vAlign w:val="center"/>
            <w:hideMark/>
          </w:tcPr>
          <w:p w:rsidR="005263B7" w:rsidRPr="005263B7" w:rsidRDefault="005263B7" w:rsidP="005263B7">
            <w:pPr>
              <w:spacing w:after="0" w:line="240" w:lineRule="auto"/>
              <w:jc w:val="left"/>
              <w:rPr>
                <w:lang w:eastAsia="sk-SK"/>
              </w:rPr>
            </w:pPr>
          </w:p>
        </w:tc>
      </w:tr>
      <w:tr w:rsidR="005263B7" w:rsidRPr="005263B7" w:rsidTr="00D6483D">
        <w:trPr>
          <w:trHeight w:val="270"/>
        </w:trPr>
        <w:tc>
          <w:tcPr>
            <w:tcW w:w="2764" w:type="dxa"/>
            <w:tcBorders>
              <w:top w:val="nil"/>
              <w:left w:val="single" w:sz="8" w:space="0" w:color="auto"/>
              <w:bottom w:val="nil"/>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Spôsob ručenia</w:t>
            </w:r>
          </w:p>
        </w:tc>
        <w:tc>
          <w:tcPr>
            <w:tcW w:w="2551" w:type="dxa"/>
            <w:tcBorders>
              <w:top w:val="nil"/>
              <w:left w:val="single" w:sz="8" w:space="0" w:color="auto"/>
              <w:bottom w:val="nil"/>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Odberateľ ručí majetkom</w:t>
            </w:r>
          </w:p>
        </w:tc>
        <w:tc>
          <w:tcPr>
            <w:tcW w:w="3260" w:type="dxa"/>
            <w:tcBorders>
              <w:top w:val="nil"/>
              <w:left w:val="nil"/>
              <w:bottom w:val="nil"/>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Ručenie neexistuje</w:t>
            </w:r>
          </w:p>
        </w:tc>
      </w:tr>
      <w:tr w:rsidR="005263B7" w:rsidRPr="005263B7" w:rsidTr="00796D29">
        <w:trPr>
          <w:trHeight w:val="270"/>
        </w:trPr>
        <w:tc>
          <w:tcPr>
            <w:tcW w:w="2764" w:type="dxa"/>
            <w:tcBorders>
              <w:top w:val="single" w:sz="8" w:space="0" w:color="auto"/>
              <w:left w:val="single" w:sz="8" w:space="0" w:color="auto"/>
              <w:bottom w:val="single" w:sz="8" w:space="0" w:color="auto"/>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Min. Výška zabezpečovacej sumy</w:t>
            </w:r>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Nie je stanovená</w:t>
            </w:r>
          </w:p>
        </w:tc>
        <w:tc>
          <w:tcPr>
            <w:tcW w:w="3260" w:type="dxa"/>
            <w:tcBorders>
              <w:top w:val="single" w:sz="8" w:space="0" w:color="auto"/>
              <w:left w:val="nil"/>
              <w:bottom w:val="single" w:sz="8"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Minimálny poistiteľný obrat €650 000</w:t>
            </w:r>
          </w:p>
        </w:tc>
      </w:tr>
      <w:tr w:rsidR="005263B7" w:rsidRPr="005263B7" w:rsidTr="00796D29">
        <w:trPr>
          <w:trHeight w:val="270"/>
        </w:trPr>
        <w:tc>
          <w:tcPr>
            <w:tcW w:w="2764" w:type="dxa"/>
            <w:tcBorders>
              <w:top w:val="single" w:sz="8" w:space="0" w:color="auto"/>
              <w:left w:val="single" w:sz="8" w:space="0" w:color="auto"/>
              <w:bottom w:val="single" w:sz="4" w:space="0" w:color="auto"/>
              <w:right w:val="nil"/>
            </w:tcBorders>
            <w:shd w:val="clear" w:color="auto" w:fill="F2F2F2" w:themeFill="background1" w:themeFillShade="F2"/>
            <w:noWrap/>
            <w:vAlign w:val="bottom"/>
            <w:hideMark/>
          </w:tcPr>
          <w:p w:rsidR="005263B7" w:rsidRPr="005263B7" w:rsidRDefault="005263B7" w:rsidP="005263B7">
            <w:pPr>
              <w:spacing w:after="0" w:line="240" w:lineRule="auto"/>
              <w:jc w:val="left"/>
              <w:rPr>
                <w:b/>
                <w:bCs/>
                <w:lang w:eastAsia="sk-SK"/>
              </w:rPr>
            </w:pPr>
            <w:r w:rsidRPr="005263B7">
              <w:rPr>
                <w:b/>
                <w:bCs/>
                <w:lang w:eastAsia="sk-SK"/>
              </w:rPr>
              <w:t>Rýchlosť plnenia</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Banka plní do 3 dní</w:t>
            </w:r>
          </w:p>
        </w:tc>
        <w:tc>
          <w:tcPr>
            <w:tcW w:w="3260" w:type="dxa"/>
            <w:tcBorders>
              <w:top w:val="single" w:sz="8" w:space="0" w:color="auto"/>
              <w:left w:val="nil"/>
              <w:bottom w:val="single" w:sz="4" w:space="0" w:color="auto"/>
              <w:right w:val="single" w:sz="8" w:space="0" w:color="auto"/>
            </w:tcBorders>
            <w:shd w:val="clear" w:color="auto" w:fill="auto"/>
            <w:noWrap/>
            <w:vAlign w:val="bottom"/>
            <w:hideMark/>
          </w:tcPr>
          <w:p w:rsidR="005263B7" w:rsidRPr="005263B7" w:rsidRDefault="005263B7" w:rsidP="005263B7">
            <w:pPr>
              <w:spacing w:after="0" w:line="240" w:lineRule="auto"/>
              <w:jc w:val="left"/>
              <w:rPr>
                <w:lang w:eastAsia="sk-SK"/>
              </w:rPr>
            </w:pPr>
            <w:r w:rsidRPr="005263B7">
              <w:rPr>
                <w:lang w:eastAsia="sk-SK"/>
              </w:rPr>
              <w:t>Poisťovňa plní od 4-6 mesiacov</w:t>
            </w:r>
          </w:p>
        </w:tc>
      </w:tr>
      <w:tr w:rsidR="005263B7" w:rsidRPr="005263B7" w:rsidTr="00796D29">
        <w:trPr>
          <w:trHeight w:val="450"/>
        </w:trPr>
        <w:tc>
          <w:tcPr>
            <w:tcW w:w="2764" w:type="dxa"/>
            <w:vMerge w:val="restart"/>
            <w:tcBorders>
              <w:top w:val="single" w:sz="4" w:space="0" w:color="auto"/>
              <w:left w:val="single" w:sz="8" w:space="0" w:color="auto"/>
              <w:bottom w:val="single" w:sz="8" w:space="0" w:color="000000"/>
              <w:right w:val="single" w:sz="8" w:space="0" w:color="auto"/>
            </w:tcBorders>
            <w:shd w:val="clear" w:color="auto" w:fill="F2F2F2" w:themeFill="background1" w:themeFillShade="F2"/>
            <w:noWrap/>
            <w:hideMark/>
          </w:tcPr>
          <w:p w:rsidR="005263B7" w:rsidRPr="005263B7" w:rsidRDefault="005263B7" w:rsidP="005263B7">
            <w:pPr>
              <w:spacing w:after="0" w:line="240" w:lineRule="auto"/>
              <w:jc w:val="left"/>
              <w:rPr>
                <w:b/>
                <w:bCs/>
                <w:lang w:eastAsia="sk-SK"/>
              </w:rPr>
            </w:pPr>
            <w:r w:rsidRPr="005263B7">
              <w:rPr>
                <w:b/>
                <w:bCs/>
                <w:lang w:eastAsia="sk-SK"/>
              </w:rPr>
              <w:t>Výška plnenia</w:t>
            </w:r>
          </w:p>
        </w:tc>
        <w:tc>
          <w:tcPr>
            <w:tcW w:w="2551" w:type="dxa"/>
            <w:vMerge w:val="restart"/>
            <w:tcBorders>
              <w:top w:val="single" w:sz="4" w:space="0" w:color="auto"/>
              <w:left w:val="single" w:sz="8" w:space="0" w:color="auto"/>
              <w:bottom w:val="single" w:sz="8" w:space="0" w:color="000000"/>
              <w:right w:val="single" w:sz="8" w:space="0" w:color="auto"/>
            </w:tcBorders>
            <w:shd w:val="clear" w:color="auto" w:fill="auto"/>
            <w:noWrap/>
            <w:hideMark/>
          </w:tcPr>
          <w:p w:rsidR="005263B7" w:rsidRPr="005263B7" w:rsidRDefault="005263B7" w:rsidP="005263B7">
            <w:pPr>
              <w:spacing w:after="0" w:line="240" w:lineRule="auto"/>
              <w:jc w:val="left"/>
              <w:rPr>
                <w:lang w:eastAsia="sk-SK"/>
              </w:rPr>
            </w:pPr>
            <w:r w:rsidRPr="005263B7">
              <w:rPr>
                <w:lang w:eastAsia="sk-SK"/>
              </w:rPr>
              <w:t>Vyplatená je celá záručná suma</w:t>
            </w:r>
          </w:p>
        </w:tc>
        <w:tc>
          <w:tcPr>
            <w:tcW w:w="3260" w:type="dxa"/>
            <w:vMerge w:val="restart"/>
            <w:tcBorders>
              <w:top w:val="single" w:sz="4" w:space="0" w:color="auto"/>
              <w:left w:val="nil"/>
              <w:bottom w:val="single" w:sz="8" w:space="0" w:color="000000"/>
              <w:right w:val="single" w:sz="8" w:space="0" w:color="auto"/>
            </w:tcBorders>
            <w:shd w:val="clear" w:color="auto" w:fill="auto"/>
            <w:hideMark/>
          </w:tcPr>
          <w:p w:rsidR="005263B7" w:rsidRPr="005263B7" w:rsidRDefault="005263B7" w:rsidP="005263B7">
            <w:pPr>
              <w:spacing w:after="0" w:line="240" w:lineRule="auto"/>
              <w:jc w:val="left"/>
              <w:rPr>
                <w:lang w:eastAsia="sk-SK"/>
              </w:rPr>
            </w:pPr>
            <w:r w:rsidRPr="005263B7">
              <w:rPr>
                <w:lang w:eastAsia="sk-SK"/>
              </w:rPr>
              <w:t>Plnenie sa znižuje o spoluúčasť,                zvyčajne 15 %</w:t>
            </w:r>
          </w:p>
        </w:tc>
      </w:tr>
      <w:tr w:rsidR="005263B7" w:rsidRPr="005263B7" w:rsidTr="00D6483D">
        <w:trPr>
          <w:trHeight w:val="450"/>
        </w:trPr>
        <w:tc>
          <w:tcPr>
            <w:tcW w:w="276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5263B7" w:rsidRPr="005263B7" w:rsidRDefault="005263B7" w:rsidP="005263B7">
            <w:pPr>
              <w:spacing w:after="0" w:line="240" w:lineRule="auto"/>
              <w:jc w:val="left"/>
              <w:rPr>
                <w:b/>
                <w:bCs/>
                <w:lang w:eastAsia="sk-SK"/>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5263B7" w:rsidRPr="005263B7" w:rsidRDefault="005263B7" w:rsidP="005263B7">
            <w:pPr>
              <w:spacing w:after="0" w:line="240" w:lineRule="auto"/>
              <w:jc w:val="left"/>
              <w:rPr>
                <w:lang w:eastAsia="sk-SK"/>
              </w:rPr>
            </w:pPr>
          </w:p>
        </w:tc>
        <w:tc>
          <w:tcPr>
            <w:tcW w:w="3260" w:type="dxa"/>
            <w:vMerge/>
            <w:tcBorders>
              <w:top w:val="single" w:sz="8" w:space="0" w:color="auto"/>
              <w:left w:val="nil"/>
              <w:bottom w:val="single" w:sz="8" w:space="0" w:color="000000"/>
              <w:right w:val="single" w:sz="8" w:space="0" w:color="auto"/>
            </w:tcBorders>
            <w:vAlign w:val="center"/>
            <w:hideMark/>
          </w:tcPr>
          <w:p w:rsidR="005263B7" w:rsidRPr="005263B7" w:rsidRDefault="005263B7" w:rsidP="005263B7">
            <w:pPr>
              <w:spacing w:after="0" w:line="240" w:lineRule="auto"/>
              <w:jc w:val="left"/>
              <w:rPr>
                <w:lang w:eastAsia="sk-SK"/>
              </w:rPr>
            </w:pPr>
          </w:p>
        </w:tc>
      </w:tr>
      <w:tr w:rsidR="005263B7" w:rsidRPr="005263B7" w:rsidTr="00D6483D">
        <w:trPr>
          <w:trHeight w:val="255"/>
        </w:trPr>
        <w:tc>
          <w:tcPr>
            <w:tcW w:w="2764" w:type="dxa"/>
            <w:tcBorders>
              <w:top w:val="nil"/>
              <w:left w:val="single" w:sz="8" w:space="0" w:color="auto"/>
              <w:bottom w:val="single" w:sz="8" w:space="0" w:color="000000"/>
              <w:right w:val="single" w:sz="8" w:space="0" w:color="auto"/>
            </w:tcBorders>
            <w:shd w:val="clear" w:color="auto" w:fill="F2F2F2" w:themeFill="background1" w:themeFillShade="F2"/>
            <w:noWrap/>
            <w:hideMark/>
          </w:tcPr>
          <w:p w:rsidR="005263B7" w:rsidRPr="005263B7" w:rsidRDefault="005263B7" w:rsidP="005263B7">
            <w:pPr>
              <w:spacing w:after="0" w:line="240" w:lineRule="auto"/>
              <w:jc w:val="left"/>
              <w:rPr>
                <w:b/>
                <w:bCs/>
                <w:lang w:eastAsia="sk-SK"/>
              </w:rPr>
            </w:pPr>
            <w:r w:rsidRPr="005263B7">
              <w:rPr>
                <w:b/>
                <w:bCs/>
                <w:lang w:eastAsia="sk-SK"/>
              </w:rPr>
              <w:t>Iné služby</w:t>
            </w:r>
          </w:p>
        </w:tc>
        <w:tc>
          <w:tcPr>
            <w:tcW w:w="2551" w:type="dxa"/>
            <w:tcBorders>
              <w:top w:val="nil"/>
              <w:left w:val="single" w:sz="8" w:space="0" w:color="auto"/>
              <w:bottom w:val="single" w:sz="8" w:space="0" w:color="000000"/>
              <w:right w:val="single" w:sz="8" w:space="0" w:color="auto"/>
            </w:tcBorders>
            <w:shd w:val="clear" w:color="auto" w:fill="auto"/>
            <w:noWrap/>
            <w:hideMark/>
          </w:tcPr>
          <w:p w:rsidR="005263B7" w:rsidRPr="005263B7" w:rsidRDefault="005263B7" w:rsidP="005263B7">
            <w:pPr>
              <w:spacing w:after="0" w:line="240" w:lineRule="auto"/>
              <w:jc w:val="left"/>
              <w:rPr>
                <w:lang w:eastAsia="sk-SK"/>
              </w:rPr>
            </w:pPr>
            <w:r w:rsidRPr="005263B7">
              <w:rPr>
                <w:lang w:eastAsia="sk-SK"/>
              </w:rPr>
              <w:t>Nezahŕňa iné služby</w:t>
            </w:r>
          </w:p>
        </w:tc>
        <w:tc>
          <w:tcPr>
            <w:tcW w:w="3260" w:type="dxa"/>
            <w:tcBorders>
              <w:top w:val="nil"/>
              <w:left w:val="nil"/>
              <w:bottom w:val="single" w:sz="8" w:space="0" w:color="000000"/>
              <w:right w:val="single" w:sz="8" w:space="0" w:color="auto"/>
            </w:tcBorders>
            <w:shd w:val="clear" w:color="auto" w:fill="auto"/>
            <w:hideMark/>
          </w:tcPr>
          <w:p w:rsidR="005263B7" w:rsidRPr="005263B7" w:rsidRDefault="005263B7" w:rsidP="005263B7">
            <w:pPr>
              <w:spacing w:after="0" w:line="240" w:lineRule="auto"/>
              <w:jc w:val="left"/>
              <w:rPr>
                <w:lang w:eastAsia="sk-SK"/>
              </w:rPr>
            </w:pPr>
            <w:r w:rsidRPr="005263B7">
              <w:rPr>
                <w:lang w:eastAsia="sk-SK"/>
              </w:rPr>
              <w:t>Vymáhanie pohľadávok; Poradenstvo;                              Zisťovanie bonity klientov;                    Monitoring bonity partnerov.</w:t>
            </w:r>
          </w:p>
        </w:tc>
      </w:tr>
    </w:tbl>
    <w:p w:rsidR="002315D1" w:rsidRDefault="002315D1" w:rsidP="002315D1">
      <w:pPr>
        <w:pStyle w:val="Tabulka-pramen"/>
        <w:jc w:val="both"/>
      </w:pPr>
      <w:r>
        <w:t xml:space="preserve">Zdroj: PAVELKA, Ľ.: (2008). </w:t>
      </w:r>
      <w:r>
        <w:rPr>
          <w:i/>
          <w:iCs/>
        </w:rPr>
        <w:t>Medzinárodný platobný styk v podmienkach EÚ.</w:t>
      </w:r>
      <w:r>
        <w:t xml:space="preserve"> Bratislava: EKONÓM, str.13. Vlastné spracovanie.</w:t>
      </w:r>
    </w:p>
    <w:p w:rsidR="00540B4E" w:rsidRDefault="004426F5" w:rsidP="007C7FF6">
      <w:pPr>
        <w:spacing w:before="120"/>
        <w:rPr>
          <w:sz w:val="22"/>
          <w:szCs w:val="22"/>
        </w:rPr>
      </w:pPr>
      <w:r>
        <w:rPr>
          <w:sz w:val="22"/>
          <w:szCs w:val="22"/>
        </w:rPr>
        <w:t>V konkrétnom prípade,</w:t>
      </w:r>
      <w:r w:rsidR="006D70A9">
        <w:rPr>
          <w:sz w:val="22"/>
          <w:szCs w:val="22"/>
        </w:rPr>
        <w:t xml:space="preserve"> keďže bola zvolená plato</w:t>
      </w:r>
      <w:r w:rsidR="001409A9">
        <w:rPr>
          <w:sz w:val="22"/>
          <w:szCs w:val="22"/>
        </w:rPr>
        <w:t>bná</w:t>
      </w:r>
      <w:r w:rsidR="006D70A9">
        <w:rPr>
          <w:sz w:val="22"/>
          <w:szCs w:val="22"/>
        </w:rPr>
        <w:t xml:space="preserve"> </w:t>
      </w:r>
      <w:r w:rsidR="001409A9">
        <w:rPr>
          <w:sz w:val="22"/>
          <w:szCs w:val="22"/>
        </w:rPr>
        <w:t>podmie</w:t>
      </w:r>
      <w:r w:rsidR="006D70A9">
        <w:rPr>
          <w:sz w:val="22"/>
          <w:szCs w:val="22"/>
        </w:rPr>
        <w:t xml:space="preserve">nka hladká platba po </w:t>
      </w:r>
      <w:r w:rsidR="00F15CCD">
        <w:rPr>
          <w:sz w:val="22"/>
          <w:szCs w:val="22"/>
        </w:rPr>
        <w:t>dodaní</w:t>
      </w:r>
      <w:r w:rsidR="006D70A9">
        <w:rPr>
          <w:sz w:val="22"/>
          <w:szCs w:val="22"/>
        </w:rPr>
        <w:t xml:space="preserve"> tovaru</w:t>
      </w:r>
      <w:r w:rsidR="00082B24">
        <w:rPr>
          <w:rStyle w:val="Znakapoznpodarou"/>
        </w:rPr>
        <w:footnoteReference w:id="123"/>
      </w:r>
      <w:r w:rsidR="00082B24">
        <w:rPr>
          <w:sz w:val="22"/>
          <w:szCs w:val="22"/>
        </w:rPr>
        <w:t xml:space="preserve"> </w:t>
      </w:r>
      <w:r w:rsidR="006D70A9">
        <w:rPr>
          <w:sz w:val="22"/>
          <w:szCs w:val="22"/>
        </w:rPr>
        <w:t xml:space="preserve"> s po</w:t>
      </w:r>
      <w:r w:rsidR="001409A9">
        <w:rPr>
          <w:sz w:val="22"/>
          <w:szCs w:val="22"/>
        </w:rPr>
        <w:t>ist</w:t>
      </w:r>
      <w:r w:rsidR="006D70A9">
        <w:rPr>
          <w:sz w:val="22"/>
          <w:szCs w:val="22"/>
        </w:rPr>
        <w:t xml:space="preserve">ením pohľadávky, </w:t>
      </w:r>
      <w:r>
        <w:rPr>
          <w:sz w:val="22"/>
          <w:szCs w:val="22"/>
        </w:rPr>
        <w:t xml:space="preserve"> je veľmi dôležité jasne stanoviť pre</w:t>
      </w:r>
      <w:r w:rsidR="00082B24">
        <w:rPr>
          <w:sz w:val="22"/>
          <w:szCs w:val="22"/>
        </w:rPr>
        <w:t>chod</w:t>
      </w:r>
      <w:r w:rsidR="008A1EF1">
        <w:rPr>
          <w:sz w:val="22"/>
          <w:szCs w:val="22"/>
        </w:rPr>
        <w:t xml:space="preserve"> resp. výhradu</w:t>
      </w:r>
      <w:r w:rsidR="00082B24">
        <w:rPr>
          <w:sz w:val="22"/>
          <w:szCs w:val="22"/>
        </w:rPr>
        <w:t xml:space="preserve"> vlastníckych práv k tovaru. Musíme mať na vedomí, že Viedenský dohovor rieši vecné a záväzkové právo, no </w:t>
      </w:r>
      <w:r w:rsidR="00082B24" w:rsidRPr="00082B24">
        <w:rPr>
          <w:b/>
          <w:sz w:val="22"/>
          <w:szCs w:val="22"/>
        </w:rPr>
        <w:t>nerieši</w:t>
      </w:r>
      <w:r w:rsidR="00082B24">
        <w:rPr>
          <w:sz w:val="22"/>
          <w:szCs w:val="22"/>
        </w:rPr>
        <w:t xml:space="preserve"> </w:t>
      </w:r>
      <w:r>
        <w:rPr>
          <w:sz w:val="22"/>
          <w:szCs w:val="22"/>
        </w:rPr>
        <w:t xml:space="preserve"> </w:t>
      </w:r>
      <w:r w:rsidR="00082B24">
        <w:rPr>
          <w:sz w:val="22"/>
          <w:szCs w:val="22"/>
        </w:rPr>
        <w:t>oblasť prechodu vlastníckych práv.</w:t>
      </w:r>
      <w:r w:rsidR="00350F00">
        <w:rPr>
          <w:sz w:val="22"/>
          <w:szCs w:val="22"/>
        </w:rPr>
        <w:t xml:space="preserve"> Výhrada vlastníckych práv znamená, že sa kupujúci nestáva vlastníkom tovaru už jeho prevzatím, ale až po tom, čo zaplatí celú kúpnu cenu. Tzn. že odberateľ  bude mať tovar, ale vlastníctvo k nemu nadobudne </w:t>
      </w:r>
      <w:r w:rsidR="00AA3402">
        <w:rPr>
          <w:sz w:val="22"/>
          <w:szCs w:val="22"/>
        </w:rPr>
        <w:br/>
      </w:r>
      <w:r w:rsidR="00350F00">
        <w:rPr>
          <w:sz w:val="22"/>
          <w:szCs w:val="22"/>
        </w:rPr>
        <w:t xml:space="preserve">až </w:t>
      </w:r>
      <w:r w:rsidR="00B445A9">
        <w:rPr>
          <w:sz w:val="22"/>
          <w:szCs w:val="22"/>
        </w:rPr>
        <w:t>úplným</w:t>
      </w:r>
      <w:r w:rsidR="00350F00">
        <w:rPr>
          <w:sz w:val="22"/>
          <w:szCs w:val="22"/>
        </w:rPr>
        <w:t xml:space="preserve"> zaplatením kúpnej ceny. Je veľmi dôležité túto výhr</w:t>
      </w:r>
      <w:r w:rsidR="009055F8">
        <w:rPr>
          <w:sz w:val="22"/>
          <w:szCs w:val="22"/>
        </w:rPr>
        <w:t xml:space="preserve">adu vlastníckych práv zakotviť jednak v Kúpnej zmluve, ale aj priamo na faktúre (v daňovom doklade). </w:t>
      </w:r>
      <w:r w:rsidR="00350F00">
        <w:rPr>
          <w:sz w:val="22"/>
          <w:szCs w:val="22"/>
        </w:rPr>
        <w:t xml:space="preserve"> </w:t>
      </w:r>
    </w:p>
    <w:p w:rsidR="00434BF2" w:rsidRDefault="00B445A9" w:rsidP="007C7FF6">
      <w:pPr>
        <w:spacing w:before="120"/>
        <w:rPr>
          <w:sz w:val="22"/>
          <w:szCs w:val="22"/>
        </w:rPr>
      </w:pPr>
      <w:r>
        <w:rPr>
          <w:sz w:val="22"/>
          <w:szCs w:val="22"/>
        </w:rPr>
        <w:t>Z dohodnutých dodacích podmienok vyplýva zabezpečenie podmienok realizácie dodania tovaru. V konkrétnom prípade bola dohodnutá dodacia parita Ex Works</w:t>
      </w:r>
      <w:r w:rsidR="00AA3402">
        <w:rPr>
          <w:sz w:val="22"/>
          <w:szCs w:val="22"/>
        </w:rPr>
        <w:t xml:space="preserve"> </w:t>
      </w:r>
      <w:r>
        <w:rPr>
          <w:sz w:val="22"/>
          <w:szCs w:val="22"/>
        </w:rPr>
        <w:t xml:space="preserve">(EXW) – Zo závodu (...dohodnuté miesto), z ktorej </w:t>
      </w:r>
      <w:r w:rsidR="00434BF2">
        <w:rPr>
          <w:sz w:val="22"/>
          <w:szCs w:val="22"/>
        </w:rPr>
        <w:t>vyplýva</w:t>
      </w:r>
      <w:r>
        <w:rPr>
          <w:sz w:val="22"/>
          <w:szCs w:val="22"/>
        </w:rPr>
        <w:t xml:space="preserve"> povinnosť vývozcovi ,,dodať tovar“ kupujúcemu k dispozícii vo svojej </w:t>
      </w:r>
      <w:r w:rsidR="00434BF2">
        <w:rPr>
          <w:sz w:val="22"/>
          <w:szCs w:val="22"/>
        </w:rPr>
        <w:t>prevádzkarni</w:t>
      </w:r>
      <w:r>
        <w:rPr>
          <w:sz w:val="22"/>
          <w:szCs w:val="22"/>
        </w:rPr>
        <w:t xml:space="preserve"> (resp. sklade)</w:t>
      </w:r>
      <w:r w:rsidR="00434BF2">
        <w:rPr>
          <w:sz w:val="22"/>
          <w:szCs w:val="22"/>
        </w:rPr>
        <w:t xml:space="preserve">. Táto doložka je veľmi </w:t>
      </w:r>
      <w:r w:rsidR="00D6483D">
        <w:rPr>
          <w:sz w:val="22"/>
          <w:szCs w:val="22"/>
        </w:rPr>
        <w:t>výhodná</w:t>
      </w:r>
      <w:r w:rsidR="00434BF2">
        <w:rPr>
          <w:sz w:val="22"/>
          <w:szCs w:val="22"/>
        </w:rPr>
        <w:t xml:space="preserve"> pre vývozcu – Ideal Standard. Všetky náklady a nebezpečenstvá  súvisiace s prevzatím tovaru zo skladu </w:t>
      </w:r>
      <w:r w:rsidR="009E0467">
        <w:rPr>
          <w:sz w:val="22"/>
          <w:szCs w:val="22"/>
        </w:rPr>
        <w:br/>
      </w:r>
      <w:r w:rsidR="00434BF2">
        <w:rPr>
          <w:sz w:val="22"/>
          <w:szCs w:val="22"/>
        </w:rPr>
        <w:t xml:space="preserve">IS znáša kupujúci t.j. BALDOCER. </w:t>
      </w:r>
      <w:r w:rsidR="00D6483D">
        <w:rPr>
          <w:sz w:val="22"/>
          <w:szCs w:val="22"/>
        </w:rPr>
        <w:t>Keďže sa nejedná o dodávky do krajiny mimo EÚ, vývozca pred odoslaním tovaru a dovozca pri príchode tovaru nemusí zabezpečovať colné formality s tým súvisiace.</w:t>
      </w:r>
    </w:p>
    <w:p w:rsidR="00B445A9" w:rsidRDefault="00B445A9" w:rsidP="007C7FF6">
      <w:pPr>
        <w:spacing w:before="120"/>
        <w:rPr>
          <w:sz w:val="22"/>
          <w:szCs w:val="22"/>
        </w:rPr>
      </w:pPr>
      <w:r>
        <w:rPr>
          <w:sz w:val="22"/>
          <w:szCs w:val="22"/>
        </w:rPr>
        <w:lastRenderedPageBreak/>
        <w:t xml:space="preserve">Dodaním tovaru vzniká exportérovi pohľadávka voči  kupujúcemu a dovozcovi záväzok zaplatiť za dodaný tovar kúpnu cenu podľa obchodnej faktúry. Dodržanie platobných záväzkov je veľmi citlivým momentom, ktorý má vplyv na budúci vývoj vzájomných vzťahov medzi partnermi. </w:t>
      </w:r>
    </w:p>
    <w:p w:rsidR="00EF74DA" w:rsidRDefault="00EF74DA" w:rsidP="007C7FF6">
      <w:pPr>
        <w:spacing w:before="120"/>
        <w:rPr>
          <w:b/>
          <w:i/>
        </w:rPr>
      </w:pPr>
      <w:r w:rsidRPr="00EF74DA">
        <w:rPr>
          <w:b/>
          <w:i/>
        </w:rPr>
        <w:t>Ako postupuje Ideal Standard pri odstránení kurzového rizika?</w:t>
      </w:r>
    </w:p>
    <w:p w:rsidR="00EF74DA" w:rsidRDefault="00072D25" w:rsidP="007C7FF6">
      <w:pPr>
        <w:spacing w:before="120"/>
      </w:pPr>
      <w:r>
        <w:t>Janatka</w:t>
      </w:r>
      <w:r>
        <w:rPr>
          <w:rStyle w:val="Znakapoznpodarou"/>
        </w:rPr>
        <w:footnoteReference w:id="124"/>
      </w:r>
      <w:r>
        <w:t xml:space="preserve"> opisuje kurzové riziko v zahraničnom obchode ako možnosť z vývoznej operácie získať kurzovú stratu alebo kurzový zisk v dôsledku pohybu kurzu v medziobdobí, t.j. v dobe, ktorá nastane medzi podpísaním Kúpnej zmluvy a platobnou realizáciou zo strany odberateľa. Keďže Česká Republika je už niekoľko rokov súčasťou EÚ, preto je potrebné všetky obchodné prípady uskutočňované na jej území, ktoré nie sú denominované v CZK, považovať za prípady zahranično-obchodné, ktoré sú spojené s kurzovým rizikom. Z tohto pohľadu môžeme považovať kurzové riziko z hľadiska českých vývozcov za jednu z nevýhod neúčasti ČR v Európskej menovej únii. </w:t>
      </w:r>
    </w:p>
    <w:p w:rsidR="004B2DCA" w:rsidRDefault="004B2DCA" w:rsidP="004B2DCA">
      <w:pPr>
        <w:spacing w:before="120"/>
      </w:pPr>
      <w:r>
        <w:t>Keďže ide o nadnárodnú spoločnosť so sídlom v Bruseli, ktorej väčšina výrobných závodov v Európe sídli v štátoch, ktoré sú súčasťou eurozóny, má IDEAL STANDARD zriadený hlavný účet, ktorý  je vedený v ABN AMRO BANK NV, Brusel, Belgicko, využívaný na reálnu koncentráciu hotovosti všetkých obchodných operácii dcérskych spoločnosti. Tzn. že Ideal Standard so sídlom v Tepliciach ČR využíva pri zahraničných obchodných operáciách menu EUR a v Kúpnej zmluve uvádza IBAN</w:t>
      </w:r>
      <w:r w:rsidR="00EC44B7">
        <w:rPr>
          <w:rStyle w:val="Znakapoznpodarou"/>
        </w:rPr>
        <w:footnoteReference w:id="125"/>
      </w:r>
      <w:r>
        <w:t xml:space="preserve"> a SWIFT</w:t>
      </w:r>
      <w:r>
        <w:rPr>
          <w:rStyle w:val="Znakapoznpodarou"/>
          <w:i/>
          <w:iCs/>
        </w:rPr>
        <w:footnoteReference w:id="126"/>
      </w:r>
      <w:r>
        <w:t xml:space="preserve"> hlavného účtu vedeného v ABN AMRO BANK NV, Brusel, Belgicko, na ktorý spoločnosť BALDOCER, Španielsko bude realizovať Hladkú platbu po dodaní tovaru s odloženou splatnosťou 45 dní. </w:t>
      </w:r>
    </w:p>
    <w:p w:rsidR="004B2DCA" w:rsidRPr="00EF74DA" w:rsidRDefault="004B2DCA" w:rsidP="007C7FF6">
      <w:pPr>
        <w:spacing w:before="120"/>
      </w:pPr>
    </w:p>
    <w:p w:rsidR="00D6483D" w:rsidRDefault="00D6483D" w:rsidP="00D6483D">
      <w:pPr>
        <w:pStyle w:val="Nadpis3"/>
        <w:jc w:val="both"/>
      </w:pPr>
      <w:bookmarkStart w:id="55" w:name="_Toc321001106"/>
      <w:r>
        <w:lastRenderedPageBreak/>
        <w:t>LEA, srl,  Alžírsko –  Úverová platobná podmienka krytá</w:t>
      </w:r>
      <w:r w:rsidR="00A96123">
        <w:t>,</w:t>
      </w:r>
      <w:r>
        <w:t xml:space="preserve"> L/C s odloženou splatnosťou 60 dní od dátumu nalodenia tovaru v dohodnutom európskom prístave pri dodacej podmienke CFR prístav ALŽÍR (podľa INCOTERMS 2010)</w:t>
      </w:r>
      <w:bookmarkEnd w:id="55"/>
    </w:p>
    <w:p w:rsidR="002A48F1" w:rsidRDefault="002A48F1" w:rsidP="007C7FF6">
      <w:pPr>
        <w:spacing w:before="120"/>
        <w:rPr>
          <w:sz w:val="22"/>
          <w:szCs w:val="22"/>
        </w:rPr>
      </w:pPr>
      <w:r>
        <w:rPr>
          <w:sz w:val="22"/>
          <w:szCs w:val="22"/>
        </w:rPr>
        <w:t>Ideal Standard pri komunikácii s Alžírskym partnerom zvolil metódu priameho vývozu. Javí sa menej zložitá ako nepriama metóda.</w:t>
      </w:r>
      <w:r w:rsidRPr="002A48F1">
        <w:rPr>
          <w:rStyle w:val="Znakapoznpodarou"/>
        </w:rPr>
        <w:t xml:space="preserve"> </w:t>
      </w:r>
      <w:r>
        <w:rPr>
          <w:rStyle w:val="Znakapoznpodarou"/>
        </w:rPr>
        <w:footnoteReference w:id="127"/>
      </w:r>
      <w:r>
        <w:rPr>
          <w:sz w:val="22"/>
          <w:szCs w:val="22"/>
        </w:rPr>
        <w:t xml:space="preserve"> Pre použitie priamej  stratégie sa IS rozhodol z dôvodu, že plánuje do budúcna komunikovať len s malým počtom veľkých zákazníkov a túto úlohu zvládnu bez problémov pracovníci IS. Nevýhodou tejto stratégie je najmä finančná a personálna náročnosť vlastných odbytových ciest, zvlášť v začiatkoch, vysoké riziko na Alžírskom trhu a mnohokrát poskytovanie servisu a po predajných služieb priamo odberateľovi v Alžírsku. </w:t>
      </w:r>
    </w:p>
    <w:p w:rsidR="006B21EB" w:rsidRDefault="006B21EB" w:rsidP="006B21EB">
      <w:pPr>
        <w:spacing w:after="120"/>
      </w:pPr>
      <w:r>
        <w:t xml:space="preserve">Preverovanie bonity obchodných partnerov patrí k neodmysliteľnej súčasti práce v IS, ktorej záleží na dlhodobom rozvoji a chce obstáť na konkurenčnom trhu. Základné informácie o firme, resp. prieskum nového obchodného partnera: </w:t>
      </w:r>
    </w:p>
    <w:p w:rsidR="006B21EB" w:rsidRPr="003E120B" w:rsidRDefault="006B21EB" w:rsidP="009E0467">
      <w:pPr>
        <w:spacing w:before="240" w:after="0"/>
        <w:rPr>
          <w:rFonts w:ascii="MBBGBL+TimesNewRoman,BoldItalic" w:hAnsi="MBBGBL+TimesNewRoman,BoldItalic"/>
          <w:color w:val="000000"/>
          <w:sz w:val="23"/>
          <w:szCs w:val="23"/>
        </w:rPr>
      </w:pPr>
      <w:r>
        <w:rPr>
          <w:color w:val="000000"/>
          <w:sz w:val="23"/>
          <w:szCs w:val="23"/>
        </w:rPr>
        <w:t xml:space="preserve">Obchodné meno firmy: </w:t>
      </w:r>
      <w:r>
        <w:rPr>
          <w:color w:val="000000"/>
          <w:sz w:val="23"/>
          <w:szCs w:val="23"/>
        </w:rPr>
        <w:tab/>
        <w:t>LEA</w:t>
      </w:r>
      <w:r w:rsidRPr="003E120B">
        <w:rPr>
          <w:rFonts w:ascii="MBBGBL+TimesNewRoman,BoldItalic" w:hAnsi="MBBGBL+TimesNewRoman,BoldItalic"/>
          <w:bCs/>
          <w:color w:val="000000"/>
          <w:sz w:val="23"/>
          <w:szCs w:val="23"/>
        </w:rPr>
        <w:t xml:space="preserve">, srl, </w:t>
      </w:r>
      <w:r>
        <w:rPr>
          <w:rFonts w:ascii="MBBGBL+TimesNewRoman,BoldItalic" w:hAnsi="MBBGBL+TimesNewRoman,BoldItalic"/>
          <w:bCs/>
          <w:color w:val="000000"/>
          <w:sz w:val="23"/>
          <w:szCs w:val="23"/>
        </w:rPr>
        <w:t>Alžírsko</w:t>
      </w:r>
    </w:p>
    <w:p w:rsidR="006B21EB" w:rsidRPr="003E120B" w:rsidRDefault="006B21EB" w:rsidP="006B21EB">
      <w:pPr>
        <w:spacing w:after="0"/>
        <w:rPr>
          <w:rFonts w:ascii="MBBGBL+TimesNewRoman,BoldItalic" w:hAnsi="MBBGBL+TimesNewRoman,BoldItalic"/>
          <w:color w:val="000000"/>
          <w:sz w:val="23"/>
          <w:szCs w:val="23"/>
        </w:rPr>
      </w:pPr>
      <w:r w:rsidRPr="003E120B">
        <w:rPr>
          <w:color w:val="000000"/>
          <w:sz w:val="23"/>
          <w:szCs w:val="23"/>
        </w:rPr>
        <w:t xml:space="preserve">Právna forma: </w:t>
      </w:r>
      <w:r w:rsidRPr="003E120B">
        <w:rPr>
          <w:color w:val="000000"/>
          <w:sz w:val="23"/>
          <w:szCs w:val="23"/>
        </w:rPr>
        <w:tab/>
      </w:r>
      <w:r w:rsidRPr="003E120B">
        <w:rPr>
          <w:color w:val="000000"/>
          <w:sz w:val="23"/>
          <w:szCs w:val="23"/>
        </w:rPr>
        <w:tab/>
      </w:r>
      <w:r w:rsidRPr="003E120B">
        <w:rPr>
          <w:color w:val="000000"/>
          <w:sz w:val="23"/>
          <w:szCs w:val="23"/>
        </w:rPr>
        <w:tab/>
      </w:r>
      <w:r w:rsidRPr="003E120B">
        <w:rPr>
          <w:bCs/>
          <w:i/>
          <w:iCs/>
        </w:rPr>
        <w:t>Sociedad de Responsabilidad Limitada</w:t>
      </w:r>
    </w:p>
    <w:p w:rsidR="006B21EB" w:rsidRPr="003E120B" w:rsidRDefault="006B21EB" w:rsidP="006B21EB">
      <w:pPr>
        <w:spacing w:after="0"/>
        <w:ind w:left="2832" w:hanging="2832"/>
        <w:rPr>
          <w:rFonts w:ascii="MBBGBL+TimesNewRoman,BoldItalic" w:hAnsi="MBBGBL+TimesNewRoman,BoldItalic"/>
          <w:color w:val="000000"/>
          <w:sz w:val="23"/>
          <w:szCs w:val="23"/>
        </w:rPr>
      </w:pPr>
      <w:r w:rsidRPr="003E120B">
        <w:rPr>
          <w:color w:val="000000"/>
          <w:sz w:val="23"/>
          <w:szCs w:val="23"/>
        </w:rPr>
        <w:t xml:space="preserve">Sídlo firmy: </w:t>
      </w:r>
      <w:r w:rsidRPr="003E120B">
        <w:rPr>
          <w:color w:val="000000"/>
          <w:sz w:val="23"/>
          <w:szCs w:val="23"/>
        </w:rPr>
        <w:tab/>
      </w:r>
      <w:r>
        <w:t xml:space="preserve">32, Rue Yahia El Mazouni Poirson - Hauter Val d'Hydra </w:t>
      </w:r>
      <w:r>
        <w:br/>
        <w:t>El Biar, Alger</w:t>
      </w:r>
    </w:p>
    <w:p w:rsidR="006B21EB" w:rsidRPr="003E120B" w:rsidRDefault="006B21EB" w:rsidP="006B21EB">
      <w:pPr>
        <w:spacing w:after="0"/>
        <w:ind w:left="2832" w:hanging="2832"/>
        <w:rPr>
          <w:rFonts w:ascii="MBBGBL+TimesNewRoman,BoldItalic" w:hAnsi="MBBGBL+TimesNewRoman,BoldItalic"/>
          <w:color w:val="000000"/>
          <w:sz w:val="23"/>
          <w:szCs w:val="23"/>
        </w:rPr>
      </w:pPr>
      <w:r w:rsidRPr="003E120B">
        <w:rPr>
          <w:color w:val="000000"/>
          <w:sz w:val="23"/>
          <w:szCs w:val="23"/>
        </w:rPr>
        <w:t xml:space="preserve">IČO: </w:t>
      </w:r>
      <w:r w:rsidRPr="003E120B">
        <w:rPr>
          <w:color w:val="000000"/>
          <w:sz w:val="23"/>
          <w:szCs w:val="23"/>
        </w:rPr>
        <w:tab/>
      </w:r>
      <w:r>
        <w:rPr>
          <w:color w:val="000000"/>
          <w:sz w:val="23"/>
          <w:szCs w:val="23"/>
        </w:rPr>
        <w:t>R.E.A. 248427</w:t>
      </w:r>
    </w:p>
    <w:p w:rsidR="006B21EB" w:rsidRPr="003E120B" w:rsidRDefault="006B21EB" w:rsidP="006B21EB">
      <w:pPr>
        <w:spacing w:after="0"/>
        <w:rPr>
          <w:bCs/>
          <w:color w:val="000000"/>
          <w:sz w:val="23"/>
          <w:szCs w:val="23"/>
        </w:rPr>
      </w:pPr>
      <w:r w:rsidRPr="003E120B">
        <w:rPr>
          <w:color w:val="000000"/>
          <w:sz w:val="23"/>
          <w:szCs w:val="23"/>
        </w:rPr>
        <w:t>Banka:</w:t>
      </w:r>
      <w:r w:rsidRPr="003E120B">
        <w:rPr>
          <w:color w:val="000000"/>
          <w:sz w:val="23"/>
          <w:szCs w:val="23"/>
        </w:rPr>
        <w:tab/>
      </w:r>
      <w:r w:rsidRPr="003E120B">
        <w:rPr>
          <w:color w:val="000000"/>
          <w:sz w:val="23"/>
          <w:szCs w:val="23"/>
        </w:rPr>
        <w:tab/>
      </w:r>
      <w:r w:rsidRPr="003E120B">
        <w:rPr>
          <w:color w:val="000000"/>
          <w:sz w:val="23"/>
          <w:szCs w:val="23"/>
        </w:rPr>
        <w:tab/>
      </w:r>
      <w:r w:rsidRPr="003E120B">
        <w:rPr>
          <w:color w:val="000000"/>
          <w:sz w:val="23"/>
          <w:szCs w:val="23"/>
        </w:rPr>
        <w:tab/>
      </w:r>
      <w:r w:rsidR="005E29CE">
        <w:rPr>
          <w:bCs/>
          <w:color w:val="000000"/>
          <w:sz w:val="23"/>
          <w:szCs w:val="23"/>
        </w:rPr>
        <w:t>Bank of Algeria</w:t>
      </w:r>
    </w:p>
    <w:p w:rsidR="006B21EB" w:rsidRPr="003E120B" w:rsidRDefault="006B21EB" w:rsidP="006B21EB">
      <w:pPr>
        <w:spacing w:after="0"/>
        <w:rPr>
          <w:color w:val="000000"/>
          <w:sz w:val="23"/>
          <w:szCs w:val="23"/>
        </w:rPr>
      </w:pPr>
      <w:r w:rsidRPr="003E120B">
        <w:rPr>
          <w:color w:val="000000"/>
          <w:sz w:val="23"/>
          <w:szCs w:val="23"/>
        </w:rPr>
        <w:t>IBAN:</w:t>
      </w:r>
      <w:r w:rsidRPr="003E120B">
        <w:rPr>
          <w:color w:val="000000"/>
          <w:sz w:val="23"/>
          <w:szCs w:val="23"/>
        </w:rPr>
        <w:tab/>
      </w:r>
      <w:r w:rsidRPr="003E120B">
        <w:rPr>
          <w:color w:val="000000"/>
          <w:sz w:val="23"/>
          <w:szCs w:val="23"/>
        </w:rPr>
        <w:tab/>
      </w:r>
      <w:r w:rsidRPr="003E120B">
        <w:rPr>
          <w:color w:val="000000"/>
          <w:sz w:val="23"/>
          <w:szCs w:val="23"/>
        </w:rPr>
        <w:tab/>
      </w:r>
      <w:r w:rsidRPr="003E120B">
        <w:rPr>
          <w:color w:val="000000"/>
          <w:sz w:val="23"/>
          <w:szCs w:val="23"/>
        </w:rPr>
        <w:tab/>
      </w:r>
      <w:r>
        <w:rPr>
          <w:bCs/>
          <w:color w:val="000000"/>
          <w:sz w:val="23"/>
          <w:szCs w:val="23"/>
        </w:rPr>
        <w:t>AG</w:t>
      </w:r>
      <w:r w:rsidRPr="006B21EB">
        <w:rPr>
          <w:bCs/>
          <w:color w:val="000000"/>
          <w:sz w:val="23"/>
          <w:szCs w:val="23"/>
        </w:rPr>
        <w:t>68A0518866760000000006305</w:t>
      </w:r>
    </w:p>
    <w:p w:rsidR="006B21EB" w:rsidRPr="003E120B" w:rsidRDefault="006B21EB" w:rsidP="006B21EB">
      <w:pPr>
        <w:spacing w:after="0"/>
        <w:rPr>
          <w:color w:val="000000"/>
          <w:sz w:val="23"/>
          <w:szCs w:val="23"/>
        </w:rPr>
      </w:pPr>
      <w:r w:rsidRPr="003E120B">
        <w:rPr>
          <w:color w:val="000000"/>
          <w:sz w:val="23"/>
          <w:szCs w:val="23"/>
        </w:rPr>
        <w:t>SWIFT:</w:t>
      </w:r>
      <w:r w:rsidRPr="003E120B">
        <w:rPr>
          <w:color w:val="000000"/>
          <w:sz w:val="23"/>
          <w:szCs w:val="23"/>
        </w:rPr>
        <w:tab/>
      </w:r>
      <w:r w:rsidRPr="003E120B">
        <w:rPr>
          <w:color w:val="000000"/>
          <w:sz w:val="23"/>
          <w:szCs w:val="23"/>
        </w:rPr>
        <w:tab/>
      </w:r>
      <w:r w:rsidRPr="003E120B">
        <w:rPr>
          <w:color w:val="000000"/>
          <w:sz w:val="23"/>
          <w:szCs w:val="23"/>
        </w:rPr>
        <w:tab/>
      </w:r>
      <w:r w:rsidR="005E29CE">
        <w:t>BALGDZALSBE</w:t>
      </w:r>
    </w:p>
    <w:p w:rsidR="00606A50" w:rsidRDefault="005E29CE" w:rsidP="009E0467">
      <w:pPr>
        <w:spacing w:before="360"/>
        <w:rPr>
          <w:sz w:val="22"/>
          <w:szCs w:val="22"/>
        </w:rPr>
      </w:pPr>
      <w:r>
        <w:rPr>
          <w:sz w:val="22"/>
          <w:szCs w:val="22"/>
        </w:rPr>
        <w:t>Pri analýze marketingového makroprostredia</w:t>
      </w:r>
      <w:r w:rsidR="00606A50">
        <w:rPr>
          <w:sz w:val="22"/>
          <w:szCs w:val="22"/>
        </w:rPr>
        <w:t xml:space="preserve">, ktoré zahŕňa </w:t>
      </w:r>
      <w:r>
        <w:rPr>
          <w:sz w:val="22"/>
          <w:szCs w:val="22"/>
        </w:rPr>
        <w:t xml:space="preserve"> okolnosti, vplyvy a situácie, ktoré firma </w:t>
      </w:r>
      <w:r w:rsidR="00606A50">
        <w:rPr>
          <w:sz w:val="22"/>
          <w:szCs w:val="22"/>
        </w:rPr>
        <w:t>svojimi</w:t>
      </w:r>
      <w:r>
        <w:rPr>
          <w:sz w:val="22"/>
          <w:szCs w:val="22"/>
        </w:rPr>
        <w:t xml:space="preserve"> aktivitami nemôže alebo len veľmi obtiažne  môže </w:t>
      </w:r>
      <w:r w:rsidR="00606A50">
        <w:rPr>
          <w:sz w:val="22"/>
          <w:szCs w:val="22"/>
        </w:rPr>
        <w:t>ovplyvniť</w:t>
      </w:r>
      <w:r>
        <w:rPr>
          <w:sz w:val="22"/>
          <w:szCs w:val="22"/>
        </w:rPr>
        <w:t>,</w:t>
      </w:r>
      <w:r w:rsidR="00606A50">
        <w:rPr>
          <w:sz w:val="22"/>
          <w:szCs w:val="22"/>
        </w:rPr>
        <w:t xml:space="preserve"> pracovníci IS využili metódu PEST</w:t>
      </w:r>
      <w:r w:rsidR="009622DB">
        <w:rPr>
          <w:rStyle w:val="Znakapoznpodarou"/>
        </w:rPr>
        <w:footnoteReference w:id="128"/>
      </w:r>
      <w:r w:rsidR="009622DB">
        <w:rPr>
          <w:sz w:val="22"/>
          <w:szCs w:val="22"/>
        </w:rPr>
        <w:t xml:space="preserve"> </w:t>
      </w:r>
      <w:r w:rsidR="00606A50">
        <w:rPr>
          <w:sz w:val="22"/>
          <w:szCs w:val="22"/>
        </w:rPr>
        <w:t xml:space="preserve"> analýzy, pri ktorej skúmali faktory politicko-právne, ekonomické, </w:t>
      </w:r>
      <w:r w:rsidR="00606A50">
        <w:rPr>
          <w:sz w:val="22"/>
          <w:szCs w:val="22"/>
        </w:rPr>
        <w:lastRenderedPageBreak/>
        <w:t>ociokultúrne a technologické, ktoré ovplyvňujú alebo môžu ovplyvniť činnosť podniku.</w:t>
      </w:r>
      <w:r w:rsidR="00A053DF">
        <w:rPr>
          <w:sz w:val="22"/>
          <w:szCs w:val="22"/>
        </w:rPr>
        <w:t xml:space="preserve"> Informácie IS čerpal </w:t>
      </w:r>
      <w:r w:rsidR="009306D7">
        <w:rPr>
          <w:sz w:val="22"/>
          <w:szCs w:val="22"/>
        </w:rPr>
        <w:t xml:space="preserve">z alžírskej obchodnej komory a </w:t>
      </w:r>
      <w:r w:rsidR="00A053DF">
        <w:rPr>
          <w:sz w:val="22"/>
          <w:szCs w:val="22"/>
        </w:rPr>
        <w:t>z Ministerstva zahraničných vecí SR.</w:t>
      </w:r>
      <w:r w:rsidR="00A053DF" w:rsidRPr="00A053DF">
        <w:rPr>
          <w:rStyle w:val="Znakapoznpodarou"/>
        </w:rPr>
        <w:t xml:space="preserve"> </w:t>
      </w:r>
      <w:r w:rsidR="00A053DF">
        <w:rPr>
          <w:rStyle w:val="Znakapoznpodarou"/>
        </w:rPr>
        <w:footnoteReference w:id="129"/>
      </w:r>
      <w:r w:rsidR="00606A50">
        <w:rPr>
          <w:sz w:val="22"/>
          <w:szCs w:val="22"/>
        </w:rPr>
        <w:t xml:space="preserve"> </w:t>
      </w:r>
    </w:p>
    <w:p w:rsidR="00914F4B" w:rsidRDefault="00914F4B" w:rsidP="007C7FF6">
      <w:pPr>
        <w:spacing w:before="120"/>
      </w:pPr>
      <w:r w:rsidRPr="00914F4B">
        <w:rPr>
          <w:b/>
          <w:sz w:val="22"/>
          <w:szCs w:val="22"/>
          <w:u w:val="single"/>
        </w:rPr>
        <w:t>Faktor politicko-právny</w:t>
      </w:r>
      <w:r>
        <w:rPr>
          <w:sz w:val="22"/>
          <w:szCs w:val="22"/>
        </w:rPr>
        <w:t xml:space="preserve"> - </w:t>
      </w:r>
      <w:r>
        <w:t>až do roku</w:t>
      </w:r>
      <w:r w:rsidRPr="00914F4B">
        <w:t xml:space="preserve"> </w:t>
      </w:r>
      <w:hyperlink r:id="rId28" w:tooltip="1988" w:history="1">
        <w:r w:rsidRPr="00914F4B">
          <w:rPr>
            <w:rStyle w:val="Hypertextovodkaz"/>
            <w:color w:val="auto"/>
            <w:u w:val="none"/>
          </w:rPr>
          <w:t>1988</w:t>
        </w:r>
      </w:hyperlink>
      <w:r>
        <w:t xml:space="preserve"> </w:t>
      </w:r>
      <w:r w:rsidRPr="00914F4B">
        <w:t xml:space="preserve">malo Alžírsko vládu jednej strany </w:t>
      </w:r>
      <w:hyperlink r:id="rId29" w:tooltip="Socializmus" w:history="1">
        <w:r w:rsidRPr="00914F4B">
          <w:rPr>
            <w:rStyle w:val="Hypertextovodkaz"/>
            <w:color w:val="auto"/>
            <w:u w:val="none"/>
          </w:rPr>
          <w:t>socialistického</w:t>
        </w:r>
      </w:hyperlink>
      <w:r w:rsidRPr="00914F4B">
        <w:t xml:space="preserve"> typu. Od roku </w:t>
      </w:r>
      <w:hyperlink r:id="rId30" w:tooltip="1988" w:history="1">
        <w:r w:rsidRPr="00914F4B">
          <w:rPr>
            <w:rStyle w:val="Hypertextovodkaz"/>
            <w:color w:val="auto"/>
            <w:u w:val="none"/>
          </w:rPr>
          <w:t>1988</w:t>
        </w:r>
      </w:hyperlink>
      <w:r w:rsidRPr="00914F4B">
        <w:t xml:space="preserve">, ale hlavne od roku </w:t>
      </w:r>
      <w:hyperlink r:id="rId31" w:tooltip="1992" w:history="1">
        <w:r w:rsidRPr="00914F4B">
          <w:rPr>
            <w:rStyle w:val="Hypertextovodkaz"/>
            <w:color w:val="auto"/>
            <w:u w:val="none"/>
          </w:rPr>
          <w:t>1992</w:t>
        </w:r>
      </w:hyperlink>
      <w:r w:rsidRPr="00914F4B">
        <w:t xml:space="preserve"> zavládlo</w:t>
      </w:r>
      <w:r>
        <w:t xml:space="preserve"> v krajine mohutné násilie, desaťtisíce ľudí zabili teroristi a bezohľadný štátny antiterorizmus.</w:t>
      </w:r>
      <w:r w:rsidRPr="00914F4B">
        <w:rPr>
          <w:rStyle w:val="Znakapoznpodarou"/>
        </w:rPr>
        <w:t xml:space="preserve"> </w:t>
      </w:r>
      <w:r>
        <w:rPr>
          <w:rStyle w:val="Znakapoznpodarou"/>
        </w:rPr>
        <w:footnoteReference w:id="130"/>
      </w:r>
      <w:r>
        <w:rPr>
          <w:sz w:val="22"/>
          <w:szCs w:val="22"/>
        </w:rPr>
        <w:t xml:space="preserve"> </w:t>
      </w:r>
      <w:r>
        <w:t xml:space="preserve">  </w:t>
      </w:r>
      <w:r>
        <w:br/>
        <w:t xml:space="preserve">V posledných rokoch sa situácia vďaka vnútornej a medzinárodnej politike </w:t>
      </w:r>
      <w:r>
        <w:br/>
      </w:r>
      <w:hyperlink r:id="rId32" w:tooltip="Abdelaziz Bouteflika (stránka neexistuje)" w:history="1">
        <w:r w:rsidRPr="00914F4B">
          <w:rPr>
            <w:rStyle w:val="Hypertextovodkaz"/>
            <w:color w:val="auto"/>
            <w:u w:val="none"/>
          </w:rPr>
          <w:t>A. Boutefliku</w:t>
        </w:r>
      </w:hyperlink>
      <w:r w:rsidRPr="00914F4B">
        <w:t xml:space="preserve"> stabilizuje. V roku </w:t>
      </w:r>
      <w:hyperlink r:id="rId33" w:tooltip="2005" w:history="1">
        <w:r w:rsidRPr="00914F4B">
          <w:rPr>
            <w:rStyle w:val="Hypertextovodkaz"/>
            <w:color w:val="auto"/>
            <w:u w:val="none"/>
          </w:rPr>
          <w:t>2005</w:t>
        </w:r>
      </w:hyperlink>
      <w:r w:rsidRPr="00914F4B">
        <w:t xml:space="preserve"> predni</w:t>
      </w:r>
      <w:r>
        <w:t xml:space="preserve">esol návrh na tzv. </w:t>
      </w:r>
      <w:r>
        <w:rPr>
          <w:i/>
          <w:iCs/>
        </w:rPr>
        <w:t>Zmierenie</w:t>
      </w:r>
      <w:r>
        <w:t xml:space="preserve"> (</w:t>
      </w:r>
      <w:r>
        <w:rPr>
          <w:i/>
          <w:iCs/>
        </w:rPr>
        <w:t>Réconciliation</w:t>
      </w:r>
      <w:r>
        <w:t xml:space="preserve">), ktoré malo viesť ku konečnému vnútornému zmiereniu národa, dlhé roky roztrieštenému na rozličné skupiny. Výsledkom bolo prepustení tisícok zadržaných islamistov a iných (politických) väzňov. </w:t>
      </w:r>
    </w:p>
    <w:p w:rsidR="005F3668" w:rsidRDefault="00914F4B" w:rsidP="007C7FF6">
      <w:pPr>
        <w:spacing w:before="120"/>
      </w:pPr>
      <w:r w:rsidRPr="00914F4B">
        <w:rPr>
          <w:b/>
          <w:u w:val="single"/>
        </w:rPr>
        <w:t>Faktor ekonomický</w:t>
      </w:r>
      <w:r>
        <w:t xml:space="preserve"> – </w:t>
      </w:r>
      <w:r w:rsidR="005F3668">
        <w:t xml:space="preserve">Alžírska centrálna banka sa v minulosti snažila </w:t>
      </w:r>
      <w:r w:rsidR="009E0467">
        <w:t>zachovať</w:t>
      </w:r>
      <w:r w:rsidR="005F3668">
        <w:t xml:space="preserve"> reštriktívnu cenovú politiku vyššími úrokovými sadzbami, znižovaním tempa rastu miezd a stlačením inflácie. Začiatkom roku 2010  a dôsledkom svetovej finančnej krízy sa úroková sadzba zvýšila. </w:t>
      </w:r>
      <w:r w:rsidR="005F3668" w:rsidRPr="005F3668">
        <w:rPr>
          <w:highlight w:val="yellow"/>
        </w:rPr>
        <w:t>V</w:t>
      </w:r>
      <w:r w:rsidR="005F3668">
        <w:rPr>
          <w:highlight w:val="yellow"/>
        </w:rPr>
        <w:t> </w:t>
      </w:r>
      <w:r w:rsidR="005F3668" w:rsidRPr="005F3668">
        <w:rPr>
          <w:highlight w:val="yellow"/>
        </w:rPr>
        <w:t>Tabuľke</w:t>
      </w:r>
      <w:r w:rsidR="005F3668">
        <w:rPr>
          <w:highlight w:val="yellow"/>
        </w:rPr>
        <w:t xml:space="preserve"> 7</w:t>
      </w:r>
      <w:r w:rsidR="005F3668">
        <w:t xml:space="preserve"> uvádzame základné makroekonomické ukazovatele v časovom slede od roku 2006 do 2010.</w:t>
      </w:r>
    </w:p>
    <w:p w:rsidR="005F3668" w:rsidRDefault="005F3668" w:rsidP="005F3668">
      <w:pPr>
        <w:pStyle w:val="Tabulka"/>
      </w:pPr>
      <w:r>
        <w:t>Tabuľka 7  Základné makroekonomické ukazovatele</w:t>
      </w:r>
    </w:p>
    <w:p w:rsidR="005F3668" w:rsidRPr="005F3668" w:rsidRDefault="00F03713" w:rsidP="005F3668">
      <w:pPr>
        <w:pStyle w:val="Tabulka-text"/>
      </w:pPr>
      <w:r>
        <w:rPr>
          <w:noProof/>
          <w:lang w:eastAsia="sk-SK"/>
        </w:rPr>
        <w:drawing>
          <wp:inline distT="0" distB="0" distL="0" distR="0">
            <wp:extent cx="5391150" cy="246697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391150" cy="2466975"/>
                    </a:xfrm>
                    <a:prstGeom prst="rect">
                      <a:avLst/>
                    </a:prstGeom>
                    <a:noFill/>
                    <a:ln w="9525">
                      <a:noFill/>
                      <a:miter lim="800000"/>
                      <a:headEnd/>
                      <a:tailEnd/>
                    </a:ln>
                  </pic:spPr>
                </pic:pic>
              </a:graphicData>
            </a:graphic>
          </wp:inline>
        </w:drawing>
      </w:r>
    </w:p>
    <w:p w:rsidR="00A053DF" w:rsidRPr="00260831" w:rsidRDefault="005F3668" w:rsidP="00A053DF">
      <w:pPr>
        <w:spacing w:before="120" w:line="240" w:lineRule="auto"/>
        <w:rPr>
          <w:sz w:val="22"/>
          <w:szCs w:val="22"/>
        </w:rPr>
      </w:pPr>
      <w:r>
        <w:lastRenderedPageBreak/>
        <w:t>Zdroj: Ministerstvo zahraničných vecí SR</w:t>
      </w:r>
      <w:r w:rsidR="00A053DF">
        <w:t>.:</w:t>
      </w:r>
      <w:r>
        <w:t xml:space="preserve"> </w:t>
      </w:r>
      <w:r w:rsidR="00A053DF">
        <w:t>(2011)</w:t>
      </w:r>
      <w:r>
        <w:t xml:space="preserve">. </w:t>
      </w:r>
      <w:r w:rsidR="009E0467">
        <w:rPr>
          <w:i/>
          <w:iCs/>
        </w:rPr>
        <w:t>Alžírska</w:t>
      </w:r>
      <w:r w:rsidR="00A053DF">
        <w:rPr>
          <w:i/>
          <w:iCs/>
        </w:rPr>
        <w:t xml:space="preserve"> demokratická ľudová </w:t>
      </w:r>
      <w:r w:rsidR="00A053DF" w:rsidRPr="00A053DF">
        <w:rPr>
          <w:i/>
          <w:iCs/>
        </w:rPr>
        <w:t xml:space="preserve">republika. </w:t>
      </w:r>
      <w:r w:rsidRPr="00A053DF">
        <w:t xml:space="preserve"> </w:t>
      </w:r>
      <w:r w:rsidR="00A053DF" w:rsidRPr="00A053DF">
        <w:rPr>
          <w:sz w:val="22"/>
          <w:szCs w:val="22"/>
        </w:rPr>
        <w:t>Dostupné z WWW: &lt;</w:t>
      </w:r>
      <w:r w:rsidR="00A053DF" w:rsidRPr="00A053DF">
        <w:t xml:space="preserve"> </w:t>
      </w:r>
      <w:hyperlink r:id="rId35" w:history="1">
        <w:r w:rsidR="00A053DF" w:rsidRPr="00A053DF">
          <w:rPr>
            <w:rStyle w:val="Hypertextovodkaz"/>
            <w:color w:val="auto"/>
            <w:sz w:val="22"/>
            <w:szCs w:val="22"/>
            <w:u w:val="none"/>
          </w:rPr>
          <w:t>http://www.foreign.gov.sk/App/wcm/media.nsf/vw_ByID/</w:t>
        </w:r>
      </w:hyperlink>
      <w:r w:rsidR="00A053DF">
        <w:rPr>
          <w:sz w:val="22"/>
          <w:szCs w:val="22"/>
        </w:rPr>
        <w:t xml:space="preserve"> </w:t>
      </w:r>
      <w:r w:rsidR="00A053DF" w:rsidRPr="00A053DF">
        <w:rPr>
          <w:sz w:val="22"/>
          <w:szCs w:val="22"/>
        </w:rPr>
        <w:t>ID_795</w:t>
      </w:r>
      <w:r w:rsidR="00A053DF">
        <w:rPr>
          <w:sz w:val="22"/>
          <w:szCs w:val="22"/>
        </w:rPr>
        <w:t xml:space="preserve"> </w:t>
      </w:r>
      <w:r w:rsidR="00A053DF" w:rsidRPr="00A053DF">
        <w:rPr>
          <w:sz w:val="22"/>
          <w:szCs w:val="22"/>
        </w:rPr>
        <w:t>752</w:t>
      </w:r>
      <w:r w:rsidR="00A053DF">
        <w:rPr>
          <w:sz w:val="22"/>
          <w:szCs w:val="22"/>
        </w:rPr>
        <w:t xml:space="preserve"> </w:t>
      </w:r>
      <w:r w:rsidR="00A053DF" w:rsidRPr="00A053DF">
        <w:rPr>
          <w:sz w:val="22"/>
          <w:szCs w:val="22"/>
        </w:rPr>
        <w:t>F5BD</w:t>
      </w:r>
      <w:r w:rsidR="00A053DF">
        <w:rPr>
          <w:sz w:val="22"/>
          <w:szCs w:val="22"/>
        </w:rPr>
        <w:t xml:space="preserve"> </w:t>
      </w:r>
      <w:r w:rsidR="00A053DF" w:rsidRPr="00A053DF">
        <w:rPr>
          <w:sz w:val="22"/>
          <w:szCs w:val="22"/>
        </w:rPr>
        <w:t>727</w:t>
      </w:r>
      <w:r w:rsidR="00A053DF">
        <w:rPr>
          <w:sz w:val="22"/>
          <w:szCs w:val="22"/>
        </w:rPr>
        <w:t xml:space="preserve"> </w:t>
      </w:r>
      <w:r w:rsidR="00A053DF" w:rsidRPr="00A053DF">
        <w:rPr>
          <w:sz w:val="22"/>
          <w:szCs w:val="22"/>
        </w:rPr>
        <w:t>47BC</w:t>
      </w:r>
      <w:r w:rsidR="00A053DF">
        <w:rPr>
          <w:sz w:val="22"/>
          <w:szCs w:val="22"/>
        </w:rPr>
        <w:t xml:space="preserve"> </w:t>
      </w:r>
      <w:r w:rsidR="00A053DF" w:rsidRPr="00A053DF">
        <w:rPr>
          <w:sz w:val="22"/>
          <w:szCs w:val="22"/>
        </w:rPr>
        <w:t>125</w:t>
      </w:r>
      <w:r w:rsidR="00A053DF">
        <w:rPr>
          <w:sz w:val="22"/>
          <w:szCs w:val="22"/>
        </w:rPr>
        <w:t xml:space="preserve"> </w:t>
      </w:r>
      <w:r w:rsidR="00A053DF" w:rsidRPr="00A053DF">
        <w:rPr>
          <w:sz w:val="22"/>
          <w:szCs w:val="22"/>
        </w:rPr>
        <w:t>7837004B</w:t>
      </w:r>
      <w:r w:rsidR="00A053DF">
        <w:rPr>
          <w:sz w:val="22"/>
          <w:szCs w:val="22"/>
        </w:rPr>
        <w:t xml:space="preserve"> </w:t>
      </w:r>
      <w:r w:rsidR="00A053DF" w:rsidRPr="00A053DF">
        <w:rPr>
          <w:sz w:val="22"/>
          <w:szCs w:val="22"/>
        </w:rPr>
        <w:t>A1B2</w:t>
      </w:r>
      <w:r w:rsidR="00A053DF">
        <w:rPr>
          <w:sz w:val="22"/>
          <w:szCs w:val="22"/>
        </w:rPr>
        <w:t xml:space="preserve"> </w:t>
      </w:r>
      <w:r w:rsidR="00A053DF" w:rsidRPr="00A053DF">
        <w:rPr>
          <w:sz w:val="22"/>
          <w:szCs w:val="22"/>
        </w:rPr>
        <w:t>_SK/</w:t>
      </w:r>
      <w:r w:rsidR="00A053DF">
        <w:rPr>
          <w:sz w:val="22"/>
          <w:szCs w:val="22"/>
        </w:rPr>
        <w:t xml:space="preserve"> </w:t>
      </w:r>
      <w:r w:rsidR="00A053DF" w:rsidRPr="00A053DF">
        <w:rPr>
          <w:sz w:val="22"/>
          <w:szCs w:val="22"/>
        </w:rPr>
        <w:t>$File/</w:t>
      </w:r>
      <w:r w:rsidR="00A053DF">
        <w:rPr>
          <w:sz w:val="22"/>
          <w:szCs w:val="22"/>
        </w:rPr>
        <w:t xml:space="preserve"> </w:t>
      </w:r>
      <w:r w:rsidR="00A053DF" w:rsidRPr="00A053DF">
        <w:rPr>
          <w:sz w:val="22"/>
          <w:szCs w:val="22"/>
        </w:rPr>
        <w:t>120112_EIT_Alzirsko.pdf</w:t>
      </w:r>
      <w:r w:rsidR="00A053DF" w:rsidRPr="00822B70">
        <w:rPr>
          <w:sz w:val="22"/>
          <w:szCs w:val="22"/>
        </w:rPr>
        <w:t>&gt;.</w:t>
      </w:r>
      <w:r w:rsidR="00A053DF">
        <w:t xml:space="preserve"> </w:t>
      </w:r>
      <w:r w:rsidR="00A053DF">
        <w:br/>
        <w:t>(</w:t>
      </w:r>
      <w:r w:rsidR="009E0467">
        <w:t>dáta</w:t>
      </w:r>
      <w:r w:rsidR="00A053DF">
        <w:t xml:space="preserve"> k 20.3. 2012).</w:t>
      </w:r>
    </w:p>
    <w:p w:rsidR="005F3668" w:rsidRDefault="00A053DF" w:rsidP="009306D7">
      <w:pPr>
        <w:pStyle w:val="Normlnweb"/>
        <w:jc w:val="both"/>
      </w:pPr>
      <w:r w:rsidRPr="00A053DF">
        <w:rPr>
          <w:b/>
          <w:u w:val="single"/>
        </w:rPr>
        <w:t>Faktor sociokultúr</w:t>
      </w:r>
      <w:r w:rsidR="009E0467">
        <w:rPr>
          <w:b/>
          <w:u w:val="single"/>
        </w:rPr>
        <w:t>n</w:t>
      </w:r>
      <w:r w:rsidRPr="00A053DF">
        <w:rPr>
          <w:b/>
          <w:u w:val="single"/>
        </w:rPr>
        <w:t>y</w:t>
      </w:r>
      <w:r>
        <w:t xml:space="preserve"> - približne 90 % Alžírčanov</w:t>
      </w:r>
      <w:r>
        <w:rPr>
          <w:rStyle w:val="Znakapoznpodarou"/>
        </w:rPr>
        <w:footnoteReference w:id="131"/>
      </w:r>
      <w:r>
        <w:rPr>
          <w:sz w:val="22"/>
          <w:szCs w:val="22"/>
        </w:rPr>
        <w:t xml:space="preserve"> </w:t>
      </w:r>
      <w:r>
        <w:t xml:space="preserve"> žije v severnej, pobrežnej oblasti, zvyšok (1,5 milióna ľudí), žije v južných púšťach (prevažne oázach). Približne dve pätiny všetkých obyvateľov je </w:t>
      </w:r>
      <w:hyperlink r:id="rId36" w:tooltip="Gramotnosť" w:history="1">
        <w:r w:rsidRPr="00A053DF">
          <w:rPr>
            <w:rStyle w:val="Hypertextovodkaz"/>
            <w:color w:val="auto"/>
            <w:u w:val="none"/>
          </w:rPr>
          <w:t>negramotných</w:t>
        </w:r>
      </w:hyperlink>
      <w:r>
        <w:t xml:space="preserve">, pretože tu deti pracujú už od útleho veku </w:t>
      </w:r>
      <w:r w:rsidRPr="009306D7">
        <w:t>a do školy chodia len krátko alebo vôbec.</w:t>
      </w:r>
      <w:r w:rsidR="009306D7" w:rsidRPr="009306D7">
        <w:t xml:space="preserve"> </w:t>
      </w:r>
      <w:r w:rsidR="009306D7">
        <w:t xml:space="preserve">Na trhu práce sú aj vzdelaní Alžírčania, ktorí hovoria plynule francúzsky a anglicky. </w:t>
      </w:r>
      <w:r w:rsidRPr="009306D7">
        <w:t xml:space="preserve">Najpočetnejšiu skupinu obyvateľov tvoria </w:t>
      </w:r>
      <w:hyperlink r:id="rId37" w:tooltip="Arabi" w:history="1">
        <w:r w:rsidRPr="009306D7">
          <w:rPr>
            <w:rStyle w:val="Hypertextovodkaz"/>
            <w:color w:val="auto"/>
            <w:u w:val="none"/>
          </w:rPr>
          <w:t>Arabi</w:t>
        </w:r>
      </w:hyperlink>
      <w:r w:rsidRPr="009306D7">
        <w:t xml:space="preserve"> a </w:t>
      </w:r>
      <w:hyperlink r:id="rId38" w:tooltip="Berberi" w:history="1">
        <w:r w:rsidRPr="009306D7">
          <w:rPr>
            <w:rStyle w:val="Hypertextovodkaz"/>
            <w:color w:val="auto"/>
            <w:u w:val="none"/>
          </w:rPr>
          <w:t>berberské</w:t>
        </w:r>
      </w:hyperlink>
      <w:r w:rsidRPr="009306D7">
        <w:t xml:space="preserve"> kmene, na alžírskom území tvoria kmeňové združenia </w:t>
      </w:r>
      <w:hyperlink r:id="rId39" w:tooltip="Kabylovia (stránka neexistuje)" w:history="1">
        <w:r w:rsidRPr="009306D7">
          <w:rPr>
            <w:rStyle w:val="Hypertextovodkaz"/>
            <w:color w:val="auto"/>
            <w:u w:val="none"/>
          </w:rPr>
          <w:t>Kabylov</w:t>
        </w:r>
      </w:hyperlink>
      <w:r w:rsidRPr="009306D7">
        <w:t xml:space="preserve">, </w:t>
      </w:r>
      <w:hyperlink r:id="rId40" w:tooltip="Mozabiti (stránka neexistuje)" w:history="1">
        <w:r w:rsidRPr="009306D7">
          <w:rPr>
            <w:rStyle w:val="Hypertextovodkaz"/>
            <w:color w:val="auto"/>
            <w:u w:val="none"/>
          </w:rPr>
          <w:t>Mozabitov</w:t>
        </w:r>
      </w:hyperlink>
      <w:r w:rsidRPr="009306D7">
        <w:t xml:space="preserve"> a </w:t>
      </w:r>
      <w:hyperlink r:id="rId41" w:tooltip="Tuaregovia (stránka neexistuje)" w:history="1">
        <w:r w:rsidRPr="009306D7">
          <w:rPr>
            <w:rStyle w:val="Hypertextovodkaz"/>
            <w:color w:val="auto"/>
            <w:u w:val="none"/>
          </w:rPr>
          <w:t>Tuaregov</w:t>
        </w:r>
      </w:hyperlink>
      <w:r w:rsidRPr="009306D7">
        <w:t xml:space="preserve">. Nová ústava zakotvila </w:t>
      </w:r>
      <w:hyperlink r:id="rId42" w:tooltip="Islam" w:history="1">
        <w:r w:rsidRPr="009306D7">
          <w:rPr>
            <w:rStyle w:val="Hypertextovodkaz"/>
            <w:color w:val="auto"/>
            <w:u w:val="none"/>
          </w:rPr>
          <w:t>islam</w:t>
        </w:r>
      </w:hyperlink>
      <w:r w:rsidRPr="009306D7">
        <w:t xml:space="preserve"> ako štátne náboženstvo a arabskú a berberskú národnosť ako základ štátu. Výrazom vidieckych tradícii sú každoročné tzv. </w:t>
      </w:r>
      <w:r w:rsidR="009306D7" w:rsidRPr="009306D7">
        <w:t>datľové</w:t>
      </w:r>
      <w:r w:rsidRPr="009306D7">
        <w:t xml:space="preserve"> slávnosti s tancom a závodmi ťáv.</w:t>
      </w:r>
      <w:r w:rsidR="009306D7" w:rsidRPr="009306D7">
        <w:t xml:space="preserve"> </w:t>
      </w:r>
      <w:r w:rsidRPr="009306D7">
        <w:t xml:space="preserve">Literatúra je vydávaná ako vo </w:t>
      </w:r>
      <w:hyperlink r:id="rId43" w:tooltip="Francúzština" w:history="1">
        <w:r w:rsidRPr="009306D7">
          <w:rPr>
            <w:rStyle w:val="Hypertextovodkaz"/>
            <w:color w:val="auto"/>
            <w:u w:val="none"/>
          </w:rPr>
          <w:t>francúzštine</w:t>
        </w:r>
      </w:hyperlink>
      <w:r w:rsidRPr="009306D7">
        <w:t xml:space="preserve"> tak aj v </w:t>
      </w:r>
      <w:hyperlink r:id="rId44" w:tooltip="Arabčina" w:history="1">
        <w:r w:rsidRPr="009306D7">
          <w:rPr>
            <w:rStyle w:val="Hypertextovodkaz"/>
            <w:color w:val="auto"/>
            <w:u w:val="none"/>
          </w:rPr>
          <w:t>arabčine</w:t>
        </w:r>
      </w:hyperlink>
      <w:r w:rsidRPr="009306D7">
        <w:t>, a v rôznych berberských dialektoch.</w:t>
      </w:r>
    </w:p>
    <w:p w:rsidR="009306D7" w:rsidRDefault="009306D7" w:rsidP="009306D7">
      <w:pPr>
        <w:pStyle w:val="Normlnweb"/>
        <w:jc w:val="both"/>
      </w:pPr>
      <w:r w:rsidRPr="009306D7">
        <w:rPr>
          <w:b/>
          <w:u w:val="single"/>
        </w:rPr>
        <w:t>Faktor technologický</w:t>
      </w:r>
      <w:r>
        <w:t xml:space="preserve"> – vedecký systém Alžírska je jedným z najmladších v Afrike, pretože veda a výskum sa stala súčasťou politickej a verejnej diskusie až na začiatku 90. rokov. </w:t>
      </w:r>
      <w:r>
        <w:tab/>
        <w:t xml:space="preserve">V Alžírsku pôsobí 14 vedeckých centier a 13 vedeckých podnikových pracovísk. </w:t>
      </w:r>
    </w:p>
    <w:p w:rsidR="00212FF8" w:rsidRDefault="00212FF8" w:rsidP="007C7FF6">
      <w:pPr>
        <w:spacing w:before="120"/>
      </w:pPr>
      <w:r w:rsidRPr="00212FF8">
        <w:rPr>
          <w:b/>
          <w:u w:val="single"/>
        </w:rPr>
        <w:t>Členstvo v medzinárodných organizáciách a účasť v integračných procesoch</w:t>
      </w:r>
      <w:r>
        <w:t xml:space="preserve"> -  </w:t>
      </w:r>
      <w:r w:rsidR="009306D7">
        <w:t xml:space="preserve">Alžírsko je členom väčšiny najdôležitejších medzinárodných </w:t>
      </w:r>
      <w:r>
        <w:t xml:space="preserve">organizácií, je aktívne v Organizácii spojených národov (OSN), Africkej únii, Zväz arabského Maghrebu (okrem Alžírska aj Tunis, Maroko, Lýbia a Mauretánia s cieľom vytvoriť oblasť voľného obchodu, colnú úniu a spoločný trh).  Za významného partnera považuje Alžírsko EÚ, s ktorou v roku 1977 uzavreli dohodu o spolupráci. Alžírsko je signatárom Barcelonskej deklarácie, ktorej cieľom je stredomorské partnerstvo. </w:t>
      </w:r>
    </w:p>
    <w:p w:rsidR="00212FF8" w:rsidRDefault="009622DB" w:rsidP="00212FF8">
      <w:pPr>
        <w:spacing w:before="120"/>
      </w:pPr>
      <w:r>
        <w:t>Výsledkom dlhých rokovaní bolo</w:t>
      </w:r>
      <w:r w:rsidR="00212FF8">
        <w:t xml:space="preserve"> uzatvorenie kúpnej zmluvy na dohodnutý predmet obchodu, ktorá vyjadruje vôľu jednej zmluvnej strany predať a druhej zmluvnej strany kúpiť určitú vec a zodpovedá zhodnému záujmu zmluvných strán, preto je dôležitá dohoda o celom jej obsahu. Kúpnu zmluvu resp. jej návrh vypracováva a predkladá vývozca. </w:t>
      </w:r>
      <w:r w:rsidR="00657A77">
        <w:t xml:space="preserve">Podpísaním kúpnej zmluvy začína každá zmluvná strana plniť svoje </w:t>
      </w:r>
      <w:r w:rsidR="00657A77">
        <w:lastRenderedPageBreak/>
        <w:t xml:space="preserve">povinnosti, na ktorých sa dohodli. </w:t>
      </w:r>
      <w:r w:rsidR="00212FF8">
        <w:t xml:space="preserve">IS pre zjednodušenie procesu uzatvárania obchodných transakcií má vytvorené formulárové zmluvy, ktoré obsahujú štandardné zmluvné ustanovenia tzv. ,,Všeobecné obchodné a dodacie podmienky“ a formulár, </w:t>
      </w:r>
      <w:r w:rsidR="009E0467">
        <w:br/>
      </w:r>
      <w:r w:rsidR="00212FF8">
        <w:t xml:space="preserve">na ktorom sa dopĺňajú potrebné údaje, ktoré sa líšia od prípadu k prípadu. </w:t>
      </w:r>
      <w:r w:rsidR="00212FF8">
        <w:rPr>
          <w:sz w:val="22"/>
          <w:szCs w:val="22"/>
        </w:rPr>
        <w:t>Ideal Standard pri vypracovaní obchodných zmlúv využíva pomocné pramene práva.</w:t>
      </w:r>
      <w:r w:rsidR="00212FF8">
        <w:rPr>
          <w:rStyle w:val="Znakapoznpodarou"/>
        </w:rPr>
        <w:footnoteReference w:id="132"/>
      </w:r>
      <w:r w:rsidR="00212FF8">
        <w:rPr>
          <w:sz w:val="22"/>
          <w:szCs w:val="22"/>
        </w:rPr>
        <w:t xml:space="preserve"> (bližšie viď. Kapitola 3.3.1).</w:t>
      </w:r>
    </w:p>
    <w:p w:rsidR="004A0872" w:rsidRDefault="00657A77" w:rsidP="00657A77">
      <w:pPr>
        <w:spacing w:before="240"/>
      </w:pPr>
      <w:r>
        <w:t xml:space="preserve">Aj tomto vývoznom prípade pri vzájomnej obchodnej komunikácii je zo strany LEA neochota platiť predom. IS v rámci jednania navrhol alžírskemu partnerovi platobnú podmienku neodvolateľný Dokumentárny akreditív (L/C – viď. Kapitola 2.5.4). Alžírsky potencionálny partner túto podmienku striktne odmietol a požadovať krátkodobý dodávateľský úver minimálne na 60 dní (bez uvedenia časového momentu jeho začatia) s poukazom na zahraničnú konkurenciu pôsobiacu na alžírskom trhu. </w:t>
      </w:r>
      <w:r w:rsidR="009E0467">
        <w:br/>
      </w:r>
      <w:r>
        <w:t>IS zvážil platobné riziko na základe dostupných údajov o</w:t>
      </w:r>
      <w:r w:rsidR="004A0872">
        <w:t> </w:t>
      </w:r>
      <w:r>
        <w:t>potencionálnom odberateľovi (komunikácia s Alžírkou a Českou obchodnou komor</w:t>
      </w:r>
      <w:r w:rsidR="004A0872">
        <w:t>o</w:t>
      </w:r>
      <w:r>
        <w:t xml:space="preserve">u) </w:t>
      </w:r>
      <w:r w:rsidR="004A0872">
        <w:t xml:space="preserve">a súčasne hľadal kompromisné riešenie. V záujme uvedenia sa na alžírskom trhu svojimi výrobkami sa IS akceptoval úverovú platobnú podmienku s tým, že bude krytá L/C s odloženým platením 60 dní od dátumu nalodenia tovaru v dohodnutom európskom prístave Frankfurt  pri dodacej podmienke CFR prístav Alžír (INCOTERMS 2010).  </w:t>
      </w:r>
      <w:r w:rsidR="001B4F38">
        <w:t xml:space="preserve">LEA Alžírsko požadovalo, </w:t>
      </w:r>
      <w:r w:rsidR="001765CE">
        <w:br/>
      </w:r>
      <w:r w:rsidR="001B4F38">
        <w:t xml:space="preserve">aby v rámci kompletnej sady čistých originálov Bill of Loading (B/L – full set </w:t>
      </w:r>
      <w:r w:rsidR="001765CE">
        <w:br/>
      </w:r>
      <w:r w:rsidR="001B4F38">
        <w:t xml:space="preserve">of original clean on board 3/3 - viď. Inkasné dokumenty)  bol jeden z troch originálov zaslaný spolu s tovarom kapitánskou poštou. Cieľom tohto opatrenia zo stany LEA, Alžírsko bol záujem predísť situácii, keď tovar bude v prístave určenia a nebude k dispozícii B/L – dokument, ktorý ho oprávňuje disponovať s tovarom a nadobudnúť jeho vlastníctvo. </w:t>
      </w:r>
    </w:p>
    <w:p w:rsidR="004A0872" w:rsidRDefault="004A0872" w:rsidP="00657A77">
      <w:pPr>
        <w:spacing w:before="240"/>
      </w:pPr>
      <w:r>
        <w:t xml:space="preserve">Parita CFR prístav Alžír (INCOTERMS 2010 – Náklady a prepravné...dohodnutý prístav určenia) – IS splní svoju povinnosť dodaním tovaru ponad zábradlie lode v prístave nalodenia (Frankfurt). Vývozca IS musí zaplatiť náklady a prepravné </w:t>
      </w:r>
      <w:r w:rsidR="009E0467">
        <w:br/>
      </w:r>
      <w:r>
        <w:t xml:space="preserve">za prepravu tovaru do dohodnutého prístavu určenia (Alžír – hlavné mesto Alžírska). Riziko </w:t>
      </w:r>
      <w:r w:rsidR="0086338E">
        <w:t>straty</w:t>
      </w:r>
      <w:r>
        <w:t xml:space="preserve"> poškodenia tovaru, ako aj všetky dodatočné náklady prechádzajú </w:t>
      </w:r>
      <w:r>
        <w:lastRenderedPageBreak/>
        <w:t>z </w:t>
      </w:r>
      <w:r w:rsidR="0086338E">
        <w:t>predávajúceho</w:t>
      </w:r>
      <w:r>
        <w:t xml:space="preserve"> na kupujúceho prechodom tovaru ponad zábradlie lode v prístave nalodenia (Frankfurt). Keďže sa jedná o dodávku tovaru do krajiny mimo EÚ, vývozca na základe tejto parity má povinnosť colne prerokovať tovar na vývoz mimo EÚ</w:t>
      </w:r>
      <w:r w:rsidR="00046291">
        <w:t xml:space="preserve"> (viď.</w:t>
      </w:r>
      <w:r w:rsidR="001B4F38">
        <w:t xml:space="preserve"> </w:t>
      </w:r>
      <w:r w:rsidR="00046291">
        <w:t>JCD – Požadované inkasné dokumenty)</w:t>
      </w:r>
      <w:r>
        <w:t xml:space="preserve">. </w:t>
      </w:r>
    </w:p>
    <w:p w:rsidR="001D1F56" w:rsidRDefault="004A0872" w:rsidP="00657A77">
      <w:pPr>
        <w:spacing w:before="240"/>
      </w:pPr>
      <w:r>
        <w:t>Nakoľko ide o prvú referenčnú</w:t>
      </w:r>
      <w:r w:rsidR="00DC6AB0">
        <w:t xml:space="preserve"> objednávku z alžírskeho trhu  </w:t>
      </w:r>
      <w:r w:rsidR="001D1F56">
        <w:t>a súčasne mal IS záujem ďalej eliminovať platobné riziko , dohodol aby bol L/C potvrdený európskou bankou. V tomto prípade išlo o banku, v</w:t>
      </w:r>
      <w:r w:rsidR="00321116">
        <w:t xml:space="preserve">o Francúzsku </w:t>
      </w:r>
      <w:r w:rsidR="00235A2F">
        <w:t xml:space="preserve">– BANQUE de FRANCE </w:t>
      </w:r>
      <w:r w:rsidR="001D1F56">
        <w:t xml:space="preserve"> (SWIFT</w:t>
      </w:r>
      <w:r w:rsidR="001D1F56">
        <w:rPr>
          <w:rStyle w:val="Znakapoznpodarou"/>
          <w:i/>
          <w:iCs/>
        </w:rPr>
        <w:footnoteReference w:id="133"/>
      </w:r>
      <w:r w:rsidR="001D1F56">
        <w:t xml:space="preserve">  – </w:t>
      </w:r>
      <w:r w:rsidR="00235A2F" w:rsidRPr="00235A2F">
        <w:t>BDFEFR2T</w:t>
      </w:r>
      <w:r w:rsidR="001D1F56">
        <w:t xml:space="preserve">). </w:t>
      </w:r>
    </w:p>
    <w:p w:rsidR="00321116" w:rsidRDefault="001D1F56" w:rsidP="00657A77">
      <w:pPr>
        <w:spacing w:before="240"/>
      </w:pPr>
      <w:r>
        <w:t xml:space="preserve">Vývozný kontrakt bol podpísaný s vyššie uvedenou platobnou podmienkou. </w:t>
      </w:r>
      <w:r w:rsidR="009E0467">
        <w:br/>
      </w:r>
      <w:r>
        <w:t>IS iniciatívne navrhol štruktúru inkasných dokumentov v rámci zjednodušenia negociácie. V praxi pri tomto bode musíme</w:t>
      </w:r>
      <w:r w:rsidR="00321116">
        <w:t xml:space="preserve"> dávať pozor. </w:t>
      </w:r>
      <w:r w:rsidR="00321116" w:rsidRPr="00321116">
        <w:rPr>
          <w:b/>
        </w:rPr>
        <w:t>Š</w:t>
      </w:r>
      <w:r w:rsidRPr="00321116">
        <w:rPr>
          <w:b/>
        </w:rPr>
        <w:t>truktúru inkasných dokumentov by mal vždy navrhnúť exportér.</w:t>
      </w:r>
      <w:r>
        <w:t xml:space="preserve">   V prípade ak zotavenie štruktúry ponecháme na importéra, môže sa stať, že </w:t>
      </w:r>
      <w:r w:rsidR="00321116">
        <w:t xml:space="preserve">,,prepašuje,, </w:t>
      </w:r>
      <w:r>
        <w:t xml:space="preserve"> podmienku napr. </w:t>
      </w:r>
      <w:r w:rsidR="00321116">
        <w:t>Certifikát, ktorý vydáva Alžírska vláda, čo si exportér ne</w:t>
      </w:r>
      <w:r>
        <w:t>v</w:t>
      </w:r>
      <w:r w:rsidR="00321116">
        <w:t xml:space="preserve">šimne a nedodrží podmienku predloženia všetkých dokumentov a importér nedá súhlas svojej banke aby platila. </w:t>
      </w:r>
    </w:p>
    <w:p w:rsidR="00321116" w:rsidRDefault="00321116" w:rsidP="00321116">
      <w:pPr>
        <w:spacing w:before="240"/>
      </w:pPr>
      <w:r>
        <w:t xml:space="preserve">Na základe platného kontraktu a žiadosti alžírskeho odberateľa otvorila jeho banka v Alžírsku (BANK of ALGERIA – SWIFT – BALGDZALSBE) predmetný Neodvolateľný L/C </w:t>
      </w:r>
      <w:r w:rsidRPr="000B6D96">
        <w:t xml:space="preserve">(viď. Príloha </w:t>
      </w:r>
      <w:r w:rsidR="000B6D96" w:rsidRPr="000B6D96">
        <w:t>1</w:t>
      </w:r>
      <w:r w:rsidRPr="000B6D96">
        <w:t>),</w:t>
      </w:r>
      <w:r>
        <w:t xml:space="preserve"> ktorý zaslala potvrdzujúcej banke </w:t>
      </w:r>
      <w:r w:rsidR="00235A2F">
        <w:t xml:space="preserve">vo Francúzsku – BANQUE de FRANCE  (SWIFT  – </w:t>
      </w:r>
      <w:r w:rsidR="00235A2F" w:rsidRPr="00235A2F">
        <w:t>BDFEFR2T</w:t>
      </w:r>
      <w:r w:rsidR="00235A2F">
        <w:t xml:space="preserve">). </w:t>
      </w:r>
      <w:r>
        <w:t xml:space="preserve">Táto postúpila podmienky L/C </w:t>
      </w:r>
      <w:r w:rsidR="00235A2F">
        <w:t>Belgickej banke ABN AMRO BANK</w:t>
      </w:r>
      <w:r w:rsidR="00A96123">
        <w:t xml:space="preserve">  </w:t>
      </w:r>
      <w:r w:rsidR="00235A2F">
        <w:t>N</w:t>
      </w:r>
      <w:r w:rsidR="00A96123">
        <w:t>.</w:t>
      </w:r>
      <w:r w:rsidR="00235A2F">
        <w:t>V</w:t>
      </w:r>
      <w:r w:rsidR="00A96123">
        <w:t xml:space="preserve">. </w:t>
      </w:r>
      <w:r w:rsidR="00235A2F">
        <w:t xml:space="preserve"> BRUSEL, v ktorej má IS vedený hlavný účet, od ktorej </w:t>
      </w:r>
      <w:r w:rsidR="009E0467">
        <w:t>obdŕžal</w:t>
      </w:r>
      <w:r>
        <w:t xml:space="preserve"> IS</w:t>
      </w:r>
      <w:r w:rsidR="00235A2F">
        <w:t xml:space="preserve"> avizujúcim listom podmienky L/C. </w:t>
      </w:r>
    </w:p>
    <w:p w:rsidR="00B94AE8" w:rsidRPr="00A96123" w:rsidRDefault="00235A2F" w:rsidP="00657A77">
      <w:pPr>
        <w:spacing w:before="240"/>
        <w:rPr>
          <w:b/>
        </w:rPr>
      </w:pPr>
      <w:r>
        <w:t>IS prostredníctvom avizujúceho listu zistil, že základné podmienky L/C a požiadavky zahraničného odberateľa na inkasné doklady sú v súlade s dohodnutými podmienkami kontraktu</w:t>
      </w:r>
      <w:r w:rsidRPr="000B6D96">
        <w:t xml:space="preserve">. </w:t>
      </w:r>
      <w:r w:rsidR="00A96123" w:rsidRPr="000B6D96">
        <w:t>(</w:t>
      </w:r>
      <w:r w:rsidR="000B6D96">
        <w:t>viď. Príloha 1</w:t>
      </w:r>
      <w:r w:rsidR="00A96123" w:rsidRPr="000B6D96">
        <w:t>).</w:t>
      </w:r>
      <w:r w:rsidR="0074270F">
        <w:t xml:space="preserve"> Je veľmi dôležité potrebné dokumenty skutočne ,,prečítať a porozumieť im. </w:t>
      </w:r>
      <w:r>
        <w:t xml:space="preserve"> </w:t>
      </w:r>
      <w:r w:rsidR="00A96123">
        <w:t>Požadované inkasné dokumenty:</w:t>
      </w:r>
    </w:p>
    <w:p w:rsidR="00A96123" w:rsidRDefault="00A96123" w:rsidP="00A96123">
      <w:pPr>
        <w:pStyle w:val="Odrka1stupn"/>
        <w:rPr>
          <w:iCs/>
        </w:rPr>
      </w:pPr>
      <w:r w:rsidRPr="00A96123">
        <w:rPr>
          <w:b/>
          <w:iCs/>
        </w:rPr>
        <w:lastRenderedPageBreak/>
        <w:t xml:space="preserve">Obchodná faktúra </w:t>
      </w:r>
      <w:r w:rsidR="00DE70AA">
        <w:rPr>
          <w:iCs/>
        </w:rPr>
        <w:t>–</w:t>
      </w:r>
      <w:r>
        <w:rPr>
          <w:iCs/>
        </w:rPr>
        <w:t xml:space="preserve"> </w:t>
      </w:r>
      <w:r w:rsidR="00DE70AA" w:rsidRPr="00DE70AA">
        <w:rPr>
          <w:b/>
          <w:iCs/>
        </w:rPr>
        <w:t>(Commercial invoice)</w:t>
      </w:r>
      <w:r w:rsidR="00DE70AA">
        <w:rPr>
          <w:iCs/>
        </w:rPr>
        <w:t xml:space="preserve"> – </w:t>
      </w:r>
      <w:r w:rsidR="00672D78">
        <w:rPr>
          <w:iCs/>
        </w:rPr>
        <w:t>podľa Zákona o účtovníctve 431/2002 Zb.</w:t>
      </w:r>
      <w:r w:rsidR="00672D78" w:rsidRPr="00672D78">
        <w:rPr>
          <w:rStyle w:val="Znakapoznpodarou"/>
        </w:rPr>
        <w:t xml:space="preserve"> </w:t>
      </w:r>
      <w:r w:rsidR="00672D78">
        <w:rPr>
          <w:rStyle w:val="Znakapoznpodarou"/>
        </w:rPr>
        <w:footnoteReference w:id="134"/>
      </w:r>
      <w:r w:rsidR="00672D78">
        <w:rPr>
          <w:sz w:val="22"/>
          <w:szCs w:val="22"/>
        </w:rPr>
        <w:t xml:space="preserve"> </w:t>
      </w:r>
      <w:r w:rsidR="00672D78">
        <w:t xml:space="preserve"> </w:t>
      </w:r>
      <w:r w:rsidR="00672D78">
        <w:rPr>
          <w:iCs/>
        </w:rPr>
        <w:t xml:space="preserve"> je faktúra </w:t>
      </w:r>
      <w:r w:rsidR="00DE70AA">
        <w:rPr>
          <w:iCs/>
        </w:rPr>
        <w:t>dokument vyžadujúci platbu za tovar, ktorý bol dodaný za podmienok dohodnutých medzi predávajúcim a kupujúcim. Poskytuje informácie o zásielke vrátane popisu tovaru, hodnoty tovaru. Colné úradu ju používajú na vyrubenie cla a dane</w:t>
      </w:r>
      <w:r w:rsidRPr="00807E9B">
        <w:rPr>
          <w:iCs/>
        </w:rPr>
        <w:t>;</w:t>
      </w:r>
    </w:p>
    <w:p w:rsidR="006638AE" w:rsidRDefault="006638AE" w:rsidP="00A96123">
      <w:pPr>
        <w:pStyle w:val="Odrka1stupn"/>
        <w:rPr>
          <w:iCs/>
        </w:rPr>
      </w:pPr>
      <w:r w:rsidRPr="006638AE">
        <w:rPr>
          <w:b/>
        </w:rPr>
        <w:t>Zmenka</w:t>
      </w:r>
      <w:r>
        <w:t xml:space="preserve"> – (Bill) – podľa Pavelku,</w:t>
      </w:r>
      <w:r w:rsidR="007D610F" w:rsidRPr="007D610F">
        <w:rPr>
          <w:rStyle w:val="Znakapoznpodarou"/>
        </w:rPr>
        <w:t xml:space="preserve"> </w:t>
      </w:r>
      <w:r w:rsidR="007D610F">
        <w:rPr>
          <w:rStyle w:val="Znakapoznpodarou"/>
        </w:rPr>
        <w:footnoteReference w:id="135"/>
      </w:r>
      <w:r w:rsidR="007D610F">
        <w:t xml:space="preserve"> sa pri L/C  najčastejšie používajú cudzie zmenky vystavené exportérom (cudzia zmenka, ktorá ešte neobsahuje akcept dlžníka, sa nazýva draft alebo trata). Vlastné zmenky sa v rámci akreditívov používajú zriedkavo.</w:t>
      </w:r>
    </w:p>
    <w:p w:rsidR="00A96123" w:rsidRPr="00C03F3A" w:rsidRDefault="00A96123" w:rsidP="00C03F3A">
      <w:pPr>
        <w:pStyle w:val="Odrka1stupn"/>
        <w:rPr>
          <w:iCs/>
        </w:rPr>
      </w:pPr>
      <w:r>
        <w:rPr>
          <w:b/>
          <w:iCs/>
        </w:rPr>
        <w:t xml:space="preserve">Námorný konosament </w:t>
      </w:r>
      <w:r>
        <w:rPr>
          <w:iCs/>
        </w:rPr>
        <w:t xml:space="preserve">– </w:t>
      </w:r>
      <w:r w:rsidR="00DE70AA" w:rsidRPr="00DE70AA">
        <w:rPr>
          <w:b/>
          <w:iCs/>
        </w:rPr>
        <w:t>(</w:t>
      </w:r>
      <w:r w:rsidRPr="00DE70AA">
        <w:rPr>
          <w:b/>
          <w:iCs/>
        </w:rPr>
        <w:t>Bills of loading</w:t>
      </w:r>
      <w:r w:rsidR="00DE70AA" w:rsidRPr="00DE70AA">
        <w:rPr>
          <w:b/>
          <w:iCs/>
        </w:rPr>
        <w:t xml:space="preserve">) </w:t>
      </w:r>
      <w:r w:rsidR="00672D78">
        <w:rPr>
          <w:iCs/>
        </w:rPr>
        <w:t>– podľa Hansenovej</w:t>
      </w:r>
      <w:r w:rsidR="00672D78">
        <w:rPr>
          <w:rStyle w:val="Znakapoznpodarou"/>
        </w:rPr>
        <w:footnoteReference w:id="136"/>
      </w:r>
      <w:r w:rsidR="008C2AC6">
        <w:rPr>
          <w:iCs/>
        </w:rPr>
        <w:t xml:space="preserve"> ide o cenný papier vystavený na </w:t>
      </w:r>
      <w:r w:rsidR="00C03F3A">
        <w:rPr>
          <w:iCs/>
        </w:rPr>
        <w:t>doručiteľa</w:t>
      </w:r>
      <w:r w:rsidR="008C2AC6">
        <w:rPr>
          <w:rStyle w:val="Znakapoznpodarou"/>
        </w:rPr>
        <w:footnoteReference w:id="137"/>
      </w:r>
      <w:r w:rsidR="008C2AC6">
        <w:rPr>
          <w:iCs/>
        </w:rPr>
        <w:t xml:space="preserve">  alebo na rád,</w:t>
      </w:r>
      <w:r w:rsidR="008C2AC6" w:rsidRPr="008C2AC6">
        <w:rPr>
          <w:rStyle w:val="Znakapoznpodarou"/>
        </w:rPr>
        <w:t xml:space="preserve"> </w:t>
      </w:r>
      <w:r w:rsidR="008C2AC6">
        <w:rPr>
          <w:rStyle w:val="Znakapoznpodarou"/>
        </w:rPr>
        <w:footnoteReference w:id="138"/>
      </w:r>
      <w:r w:rsidR="008C2AC6">
        <w:rPr>
          <w:iCs/>
        </w:rPr>
        <w:t xml:space="preserve">  ktorý zaväzuje dopravcu</w:t>
      </w:r>
      <w:r w:rsidR="008C2AC6">
        <w:rPr>
          <w:rStyle w:val="Znakapoznpodarou"/>
        </w:rPr>
        <w:footnoteReference w:id="139"/>
      </w:r>
      <w:r w:rsidR="008C2AC6">
        <w:rPr>
          <w:iCs/>
        </w:rPr>
        <w:t xml:space="preserve"> vydať náklad prevzatý na námornú dopravu, ak mu bude predložený konosament a na ňom potvrdené prijatie nákladu. Vývozca </w:t>
      </w:r>
      <w:r w:rsidR="009E0467">
        <w:rPr>
          <w:iCs/>
        </w:rPr>
        <w:br/>
      </w:r>
      <w:r w:rsidR="008C2AC6">
        <w:rPr>
          <w:iCs/>
        </w:rPr>
        <w:t xml:space="preserve">je povinný písomne oznámiť údaje potrebné na vydanie konosamentu. Námorný konosament plní 3 funkcie: </w:t>
      </w:r>
      <w:r w:rsidR="00C03F3A">
        <w:rPr>
          <w:iCs/>
        </w:rPr>
        <w:t xml:space="preserve">v prvom rade je to potvrdenie dopravcu o prevzatí v ňom uvedeného nákladu do určitého prístavu </w:t>
      </w:r>
      <w:r w:rsidR="009E0467">
        <w:rPr>
          <w:iCs/>
        </w:rPr>
        <w:br/>
      </w:r>
      <w:r w:rsidR="003E4277">
        <w:rPr>
          <w:iCs/>
        </w:rPr>
        <w:t>so záväzkom odovzdať tovar oprávnenému príjemcovi. V druhom rade predstavuje materializovaný dôkaz o uzavretí prepravnej zmluve a poslednou a najdôležitejšou funkciou konosamentu je jeho prevoditeľnosť. Ide o prevod vlastníckeho práva k</w:t>
      </w:r>
      <w:r w:rsidR="0074270F">
        <w:rPr>
          <w:iCs/>
        </w:rPr>
        <w:t> </w:t>
      </w:r>
      <w:r w:rsidR="003E4277">
        <w:rPr>
          <w:iCs/>
        </w:rPr>
        <w:t>tovaru</w:t>
      </w:r>
      <w:r w:rsidR="0074270F">
        <w:rPr>
          <w:iCs/>
        </w:rPr>
        <w:t>. B/L nemôže byť starší ako 21 dní od dátumu nalodenia tovaru</w:t>
      </w:r>
      <w:r w:rsidRPr="00C03F3A">
        <w:rPr>
          <w:iCs/>
        </w:rPr>
        <w:t>;</w:t>
      </w:r>
    </w:p>
    <w:p w:rsidR="00DE70AA" w:rsidRDefault="00DE70AA" w:rsidP="00DE70AA">
      <w:pPr>
        <w:pStyle w:val="Odrka1stupn"/>
        <w:rPr>
          <w:iCs/>
        </w:rPr>
      </w:pPr>
      <w:r>
        <w:rPr>
          <w:b/>
          <w:iCs/>
        </w:rPr>
        <w:t xml:space="preserve">Osvedčenie o pôvode – (Certificate of origin) </w:t>
      </w:r>
      <w:r w:rsidR="003E4277">
        <w:rPr>
          <w:b/>
          <w:iCs/>
        </w:rPr>
        <w:t xml:space="preserve">– </w:t>
      </w:r>
      <w:r w:rsidR="003E4277">
        <w:rPr>
          <w:iCs/>
        </w:rPr>
        <w:t xml:space="preserve">medzinárodný obchodný doklad osvedčujúci ,,pôvod tovaru“, t.j. že tovar bol vyťažený (suroviny), vypestovaný (rastlinný pôvod), vychovaný (živočíšny pôvod) alebo vyrobený v danej </w:t>
      </w:r>
      <w:r w:rsidR="003E4277" w:rsidRPr="000B6D96">
        <w:rPr>
          <w:iCs/>
        </w:rPr>
        <w:t>krajine</w:t>
      </w:r>
      <w:r w:rsidR="001765CE">
        <w:rPr>
          <w:iCs/>
        </w:rPr>
        <w:t>.</w:t>
      </w:r>
      <w:r w:rsidR="00443AA1" w:rsidRPr="000B6D96">
        <w:rPr>
          <w:iCs/>
        </w:rPr>
        <w:t xml:space="preserve"> </w:t>
      </w:r>
      <w:r w:rsidR="003E4277">
        <w:rPr>
          <w:iCs/>
        </w:rPr>
        <w:t xml:space="preserve">Vydáva </w:t>
      </w:r>
      <w:r w:rsidR="001765CE">
        <w:rPr>
          <w:iCs/>
        </w:rPr>
        <w:t>h</w:t>
      </w:r>
      <w:r w:rsidR="003E4277">
        <w:rPr>
          <w:iCs/>
        </w:rPr>
        <w:t xml:space="preserve">o Slovenská obchodná a priemyselná </w:t>
      </w:r>
      <w:r w:rsidR="003E4277">
        <w:rPr>
          <w:iCs/>
        </w:rPr>
        <w:lastRenderedPageBreak/>
        <w:t>komora podľa Zákona SNR 9/92 na základe pravidiel GATT</w:t>
      </w:r>
      <w:r w:rsidR="003E4277">
        <w:rPr>
          <w:rStyle w:val="Znakapoznpodarou"/>
        </w:rPr>
        <w:footnoteReference w:id="140"/>
      </w:r>
      <w:r w:rsidR="003E4277">
        <w:rPr>
          <w:iCs/>
        </w:rPr>
        <w:t xml:space="preserve"> o nepreferenčnom pôvode tovaru, ktorý slúži na priznanie zmluvnej sadzby cla. Slúži ako doklad pre colné konanie pri dovoze tovaru</w:t>
      </w:r>
      <w:r w:rsidRPr="00807E9B">
        <w:rPr>
          <w:iCs/>
        </w:rPr>
        <w:t>;</w:t>
      </w:r>
    </w:p>
    <w:p w:rsidR="00DE70AA" w:rsidRDefault="00DE70AA" w:rsidP="00DE70AA">
      <w:pPr>
        <w:pStyle w:val="Odrka1stupn"/>
        <w:rPr>
          <w:iCs/>
        </w:rPr>
      </w:pPr>
      <w:r>
        <w:rPr>
          <w:b/>
          <w:iCs/>
        </w:rPr>
        <w:t>Fotokópia EUR</w:t>
      </w:r>
      <w:r w:rsidR="001765CE">
        <w:rPr>
          <w:b/>
          <w:iCs/>
        </w:rPr>
        <w:t xml:space="preserve">. </w:t>
      </w:r>
      <w:r>
        <w:rPr>
          <w:b/>
          <w:iCs/>
        </w:rPr>
        <w:t xml:space="preserve">1  </w:t>
      </w:r>
      <w:r>
        <w:rPr>
          <w:iCs/>
        </w:rPr>
        <w:t xml:space="preserve">– </w:t>
      </w:r>
      <w:r w:rsidRPr="00DE70AA">
        <w:rPr>
          <w:b/>
          <w:iCs/>
        </w:rPr>
        <w:t>(</w:t>
      </w:r>
      <w:r>
        <w:rPr>
          <w:b/>
          <w:iCs/>
        </w:rPr>
        <w:t>Photocopy EUR</w:t>
      </w:r>
      <w:r w:rsidR="00443AA1">
        <w:rPr>
          <w:b/>
          <w:iCs/>
        </w:rPr>
        <w:t xml:space="preserve"> </w:t>
      </w:r>
      <w:r>
        <w:rPr>
          <w:b/>
          <w:iCs/>
        </w:rPr>
        <w:t xml:space="preserve">1) - </w:t>
      </w:r>
      <w:r w:rsidR="004B152A">
        <w:rPr>
          <w:b/>
          <w:iCs/>
        </w:rPr>
        <w:t xml:space="preserve"> </w:t>
      </w:r>
      <w:r w:rsidR="00E66B87">
        <w:rPr>
          <w:iCs/>
        </w:rPr>
        <w:t>osvedčenie o pôvode tovaru slúži k úľavám na colných poplatkoch pri dovoze zo zmluvných krajín</w:t>
      </w:r>
      <w:r w:rsidR="001765CE">
        <w:rPr>
          <w:iCs/>
        </w:rPr>
        <w:t xml:space="preserve">, </w:t>
      </w:r>
      <w:r w:rsidR="001765CE" w:rsidRPr="000B6D96">
        <w:rPr>
          <w:iCs/>
        </w:rPr>
        <w:t>(viď. Príloha 6)</w:t>
      </w:r>
      <w:r w:rsidR="00E66B87">
        <w:rPr>
          <w:iCs/>
        </w:rPr>
        <w:t>. Podľa internetového portálu,</w:t>
      </w:r>
      <w:r w:rsidR="00E66B87">
        <w:rPr>
          <w:rStyle w:val="Znakapoznpodarou"/>
        </w:rPr>
        <w:footnoteReference w:id="141"/>
      </w:r>
      <w:r w:rsidR="00E66B87">
        <w:rPr>
          <w:iCs/>
        </w:rPr>
        <w:t xml:space="preserve"> osvedčenie vystavuje exportér v súlade s Asociačnou dohodou Európskeho spoločenstva a SR na základe požiadania importéra, ktoré potvrdzujú colné orgány krajiny pôvodu tovaru. Formulár </w:t>
      </w:r>
      <w:r w:rsidR="001765CE">
        <w:rPr>
          <w:iCs/>
        </w:rPr>
        <w:br/>
      </w:r>
      <w:r w:rsidR="00E66B87">
        <w:rPr>
          <w:iCs/>
        </w:rPr>
        <w:t>sa vystavuje na hodnotu 6000 Eur.  V prípade, že ide o malú zásielku prikladá sa prehlásenie výrobcu v presne stanovenom formulárovom znení</w:t>
      </w:r>
      <w:r w:rsidRPr="00807E9B">
        <w:rPr>
          <w:iCs/>
        </w:rPr>
        <w:t>;</w:t>
      </w:r>
    </w:p>
    <w:p w:rsidR="00046291" w:rsidRDefault="00046291" w:rsidP="00DE70AA">
      <w:pPr>
        <w:pStyle w:val="Odrka1stupn"/>
        <w:rPr>
          <w:iCs/>
        </w:rPr>
      </w:pPr>
      <w:r>
        <w:rPr>
          <w:b/>
          <w:iCs/>
        </w:rPr>
        <w:t xml:space="preserve">Jednotná colná deklarácia </w:t>
      </w:r>
      <w:r>
        <w:rPr>
          <w:iCs/>
        </w:rPr>
        <w:t xml:space="preserve">– </w:t>
      </w:r>
      <w:r w:rsidRPr="00046291">
        <w:rPr>
          <w:b/>
          <w:iCs/>
        </w:rPr>
        <w:t xml:space="preserve">(JCD) </w:t>
      </w:r>
      <w:r>
        <w:rPr>
          <w:iCs/>
        </w:rPr>
        <w:t xml:space="preserve">– unifikovaný rukopis, ktorý </w:t>
      </w:r>
      <w:r w:rsidR="009E0467">
        <w:rPr>
          <w:iCs/>
        </w:rPr>
        <w:br/>
      </w:r>
      <w:r>
        <w:rPr>
          <w:iCs/>
        </w:rPr>
        <w:t xml:space="preserve">sa vystavuje v štyroch </w:t>
      </w:r>
      <w:r w:rsidRPr="000B6D96">
        <w:rPr>
          <w:iCs/>
        </w:rPr>
        <w:t>vyhotoveniach (viď. Príloha 7).</w:t>
      </w:r>
      <w:r>
        <w:rPr>
          <w:iCs/>
        </w:rPr>
        <w:t xml:space="preserve">  Slúži ako písomný návrh pre colné riadenie a k colnému odbaveniu, ale aj ako podklad </w:t>
      </w:r>
      <w:r w:rsidR="009E0467">
        <w:rPr>
          <w:iCs/>
        </w:rPr>
        <w:br/>
      </w:r>
      <w:r>
        <w:rPr>
          <w:iCs/>
        </w:rPr>
        <w:t>pre daňové úrady k Daňovému priznaniu k Dani z pridaj hodnoty (DPH).  Ten kto predkladá tovar k colnému odbaveniu je deklarant.</w:t>
      </w:r>
    </w:p>
    <w:p w:rsidR="00DE70AA" w:rsidRDefault="00DE70AA" w:rsidP="00DE70AA">
      <w:pPr>
        <w:pStyle w:val="Odrka1stupn"/>
        <w:rPr>
          <w:iCs/>
        </w:rPr>
      </w:pPr>
      <w:r>
        <w:rPr>
          <w:b/>
          <w:iCs/>
        </w:rPr>
        <w:t xml:space="preserve">Poistná zmluva – (Insurance certifikate) </w:t>
      </w:r>
      <w:r w:rsidR="00605B2D">
        <w:rPr>
          <w:b/>
          <w:iCs/>
        </w:rPr>
        <w:t>–</w:t>
      </w:r>
      <w:r>
        <w:rPr>
          <w:b/>
          <w:iCs/>
        </w:rPr>
        <w:t xml:space="preserve"> </w:t>
      </w:r>
      <w:r w:rsidR="00605B2D">
        <w:rPr>
          <w:iCs/>
        </w:rPr>
        <w:t>poistiť zásielku proti nebezpečenstvám počas prepravy je veľmi dôležité. Poistnú zmluvu uzavrie zasielateľ buď vo vlastnom mene  a na účet príkazcu alebo v mene príkazcu</w:t>
      </w:r>
      <w:r w:rsidRPr="00807E9B">
        <w:rPr>
          <w:iCs/>
        </w:rPr>
        <w:t>;</w:t>
      </w:r>
    </w:p>
    <w:p w:rsidR="00DE70AA" w:rsidRDefault="00DE70AA" w:rsidP="00DE70AA">
      <w:pPr>
        <w:pStyle w:val="Odrka1stupn"/>
        <w:rPr>
          <w:iCs/>
        </w:rPr>
      </w:pPr>
      <w:r>
        <w:rPr>
          <w:b/>
          <w:iCs/>
        </w:rPr>
        <w:t xml:space="preserve">Baliaci list </w:t>
      </w:r>
      <w:r>
        <w:rPr>
          <w:iCs/>
        </w:rPr>
        <w:t xml:space="preserve">– (Packing List) </w:t>
      </w:r>
      <w:r w:rsidR="00605B2D">
        <w:rPr>
          <w:iCs/>
        </w:rPr>
        <w:t>–</w:t>
      </w:r>
      <w:r>
        <w:rPr>
          <w:iCs/>
        </w:rPr>
        <w:t xml:space="preserve"> </w:t>
      </w:r>
      <w:r w:rsidR="00605B2D">
        <w:rPr>
          <w:iCs/>
        </w:rPr>
        <w:t xml:space="preserve">špecifikácia, podrobný zoznam tovaru s uvedením množstva a druhu v danej zásielke. Môže tvoriť podklad </w:t>
      </w:r>
      <w:r w:rsidR="009E0467">
        <w:rPr>
          <w:iCs/>
        </w:rPr>
        <w:br/>
      </w:r>
      <w:r w:rsidR="00605B2D">
        <w:rPr>
          <w:iCs/>
        </w:rPr>
        <w:t>na preclenie tovaru v krajine dovozcu</w:t>
      </w:r>
      <w:r w:rsidR="00223FF5">
        <w:rPr>
          <w:iCs/>
        </w:rPr>
        <w:t>.</w:t>
      </w:r>
    </w:p>
    <w:p w:rsidR="00874ADD" w:rsidRDefault="00D94E9B" w:rsidP="00657A77">
      <w:pPr>
        <w:spacing w:before="240"/>
      </w:pPr>
      <w:r>
        <w:t>Ideal Standard začal s prípravou a expedíciou tovar</w:t>
      </w:r>
      <w:r w:rsidR="003946C6">
        <w:t>u</w:t>
      </w:r>
      <w:r>
        <w:t xml:space="preserve"> v súlad</w:t>
      </w:r>
      <w:r w:rsidR="00DC6AB0">
        <w:t>e s podmienkami kontraktu a L/C (viď. Kapitola 2.5.3 Priebeh dokumentárneho akreditívu).</w:t>
      </w:r>
      <w:r>
        <w:t xml:space="preserve"> </w:t>
      </w:r>
      <w:r w:rsidR="00874ADD">
        <w:t>V zmysle podmienok L/C IS</w:t>
      </w:r>
      <w:r w:rsidR="003946C6">
        <w:t xml:space="preserve"> po dodávke tovaru včas predloží</w:t>
      </w:r>
      <w:r w:rsidR="00874ADD">
        <w:t xml:space="preserve"> príslušné dokumenty na kontrolu svojej banke (ABN AMRO BANK  N.V.  BRUSEL)</w:t>
      </w:r>
      <w:r w:rsidR="003946C6">
        <w:t xml:space="preserve"> v kompletnej zostave</w:t>
      </w:r>
      <w:r w:rsidR="00874ADD">
        <w:t>, ktorá ich po kontrole postú</w:t>
      </w:r>
      <w:r w:rsidR="003946C6">
        <w:t>pi</w:t>
      </w:r>
      <w:r w:rsidR="00874ADD">
        <w:t xml:space="preserve"> na negociáciu</w:t>
      </w:r>
      <w:r w:rsidR="00874ADD">
        <w:rPr>
          <w:rStyle w:val="Znakapoznpodarou"/>
        </w:rPr>
        <w:footnoteReference w:id="142"/>
      </w:r>
      <w:r w:rsidR="00874ADD">
        <w:t xml:space="preserve"> zahraničnej potvrdzujúcej banke </w:t>
      </w:r>
      <w:r w:rsidR="001D1F56">
        <w:t>Francú</w:t>
      </w:r>
      <w:r w:rsidR="004A0872">
        <w:t>z</w:t>
      </w:r>
      <w:r w:rsidR="001D1F56">
        <w:t>ku</w:t>
      </w:r>
      <w:r w:rsidR="00874ADD">
        <w:t xml:space="preserve"> (BANQUE </w:t>
      </w:r>
      <w:r w:rsidR="006C5DE7">
        <w:br/>
      </w:r>
      <w:r w:rsidR="00874ADD">
        <w:lastRenderedPageBreak/>
        <w:t>de FRANCE)</w:t>
      </w:r>
      <w:r w:rsidR="001D1F56">
        <w:t>.</w:t>
      </w:r>
      <w:r w:rsidR="0086338E">
        <w:t xml:space="preserve"> Podľa Pavelku</w:t>
      </w:r>
      <w:r w:rsidR="007D610F">
        <w:t>,</w:t>
      </w:r>
      <w:r w:rsidR="0086338E">
        <w:rPr>
          <w:rStyle w:val="Znakapoznpodarou"/>
        </w:rPr>
        <w:footnoteReference w:id="143"/>
      </w:r>
      <w:r w:rsidR="0086338E">
        <w:t xml:space="preserve"> čas medzi vystavením prepravných dokumentov a ich predložením banke nesmie byť dlhší ako 21 dní. </w:t>
      </w:r>
    </w:p>
    <w:p w:rsidR="0086338E" w:rsidRDefault="0086338E" w:rsidP="00657A77">
      <w:pPr>
        <w:spacing w:before="240"/>
      </w:pPr>
      <w:r>
        <w:t xml:space="preserve">Pri L/C s odloženou splatnosťou vystavujúca a potvrdzujúca banka musia určiť deň, keď boli splnené akreditívne podmienky zo strany exportéra. Od tohto dňa sa počíta odložená splatnosť, pričom v deň splatnosti musí povinná banka uhradiť záväzok. </w:t>
      </w:r>
    </w:p>
    <w:p w:rsidR="007D610F" w:rsidRDefault="0086338E" w:rsidP="00657A77">
      <w:pPr>
        <w:spacing w:before="240"/>
      </w:pPr>
      <w:r>
        <w:t>V našom prípade IS súhlasil s</w:t>
      </w:r>
      <w:r w:rsidR="002B2B08">
        <w:t> </w:t>
      </w:r>
      <w:r>
        <w:t xml:space="preserve">podmienkou odložená splatnosť 60 dní. Môže </w:t>
      </w:r>
      <w:r w:rsidR="009E0467">
        <w:br/>
      </w:r>
      <w:r>
        <w:t>sa rozhodnúť pre dve alternatívy. Buď bude počká na</w:t>
      </w:r>
      <w:r w:rsidR="006638AE">
        <w:t xml:space="preserve"> splatnosť L/C</w:t>
      </w:r>
      <w:r w:rsidR="002B2B08">
        <w:t xml:space="preserve"> 60 dní</w:t>
      </w:r>
      <w:r w:rsidR="006638AE">
        <w:t>, kde i</w:t>
      </w:r>
      <w:r w:rsidR="00874ADD">
        <w:t>nkasné dokumenty boli vystavené bezchybn</w:t>
      </w:r>
      <w:r w:rsidR="006638AE">
        <w:t xml:space="preserve">e, </w:t>
      </w:r>
      <w:r w:rsidR="00874ADD">
        <w:t> preto banka vývozcu</w:t>
      </w:r>
      <w:r w:rsidR="002B2B08">
        <w:t xml:space="preserve"> po 60 </w:t>
      </w:r>
      <w:r w:rsidR="009E0467">
        <w:t>dňoch</w:t>
      </w:r>
      <w:r w:rsidR="00874ADD">
        <w:t xml:space="preserve"> obdŕžala platbu od francúzskej  potvrdzujúcej banky v plnej sume po zohľadnení jej provízie </w:t>
      </w:r>
      <w:r w:rsidR="009E0467">
        <w:br/>
      </w:r>
      <w:r w:rsidR="00874ADD">
        <w:t>za potvrdenie</w:t>
      </w:r>
      <w:r w:rsidR="00467FE0">
        <w:t xml:space="preserve"> L/C. Došlé finančné prostriedky pripísala ABN ANRO BANK v prospech účtu IS. </w:t>
      </w:r>
      <w:r w:rsidR="006638AE">
        <w:t xml:space="preserve"> </w:t>
      </w:r>
    </w:p>
    <w:p w:rsidR="007D610F" w:rsidRDefault="006638AE" w:rsidP="00657A77">
      <w:pPr>
        <w:spacing w:before="240"/>
      </w:pPr>
      <w:r>
        <w:t>V druhom prípade sa môže IS rozhodnúť, že nebude čakať 60 dní a postúpi pohľadávku</w:t>
      </w:r>
      <w:r w:rsidRPr="006638AE">
        <w:t xml:space="preserve"> </w:t>
      </w:r>
      <w:r>
        <w:t>prostredníctvom cesie.</w:t>
      </w:r>
      <w:r>
        <w:rPr>
          <w:rStyle w:val="Znakapoznpodarou"/>
        </w:rPr>
        <w:footnoteReference w:id="144"/>
      </w:r>
      <w:r>
        <w:t xml:space="preserve"> Podmienkou postúpenia je oznámenie </w:t>
      </w:r>
      <w:r w:rsidR="007D610F">
        <w:t>exportéra</w:t>
      </w:r>
      <w:r>
        <w:t xml:space="preserve"> (banky exportéra) otvárajúcej (banka importéra) a potvrdzujúcej banky, že bude platiť inej spoločnosti.  Tzn. že banka otvárajúca pri splatnosti záväzku uhradí akreditívnu sumu banke potvrdzujúcej, ktorá  ju zaplatí novému majiteľovi pohľadávky, a</w:t>
      </w:r>
      <w:r w:rsidR="009E0467">
        <w:t xml:space="preserve"> </w:t>
      </w:r>
      <w:r>
        <w:t>nie samotnému exportérovi. V tomto prípade sa môže IS rozhodnúť</w:t>
      </w:r>
      <w:r w:rsidR="007D610F">
        <w:t xml:space="preserve"> pre forfaiting, t.j. forma </w:t>
      </w:r>
      <w:r w:rsidR="009E0467">
        <w:br/>
      </w:r>
      <w:r w:rsidR="007D610F">
        <w:t>kde sú pohľadávky spojené s bankovými nástrojmi (napr. L/C</w:t>
      </w:r>
      <w:r w:rsidR="00467FE0">
        <w:t xml:space="preserve"> s odloženou splatnosťou</w:t>
      </w:r>
      <w:r w:rsidR="007D610F">
        <w:t xml:space="preserve"> napr. </w:t>
      </w:r>
      <w:r w:rsidR="00467FE0">
        <w:t>60 dní</w:t>
      </w:r>
      <w:r w:rsidR="007D610F">
        <w:t xml:space="preserve">, Banková záruka), kde napr. banka exportéra túto zabezpečenú pohľadávku odkúpi od IS. Výhodou je, že  IS potom  túto </w:t>
      </w:r>
      <w:r w:rsidR="00882FA2">
        <w:t>pohľadávku nedrží v účtovníctve  a nemusí čakať 60 dní na finančné prostriedky.</w:t>
      </w:r>
    </w:p>
    <w:p w:rsidR="007D610F" w:rsidRDefault="007D610F" w:rsidP="00657A77">
      <w:pPr>
        <w:spacing w:before="240"/>
      </w:pPr>
      <w:r>
        <w:t xml:space="preserve">Ako uvádza Pavelka, </w:t>
      </w:r>
      <w:r>
        <w:rPr>
          <w:rStyle w:val="Znakapoznpodarou"/>
        </w:rPr>
        <w:footnoteReference w:id="145"/>
      </w:r>
      <w:r>
        <w:t xml:space="preserve"> aj napriek výbornej obchodovateľnosti pohľadávok z L/C </w:t>
      </w:r>
      <w:r w:rsidR="00DC6AB0">
        <w:br/>
      </w:r>
      <w:r>
        <w:t xml:space="preserve">je vhodné odklad splatnosti navrhnúť len vybraným importérom, ktorí si nevedia výhodnejšie podmienky financovanie obstarať priamo vo svojej banke. Najčastejšie </w:t>
      </w:r>
      <w:r w:rsidR="00DC6AB0">
        <w:br/>
      </w:r>
      <w:r w:rsidR="002B2B08">
        <w:t xml:space="preserve">ide o </w:t>
      </w:r>
      <w:r>
        <w:t xml:space="preserve"> prípad</w:t>
      </w:r>
      <w:r w:rsidR="002B2B08">
        <w:t>y</w:t>
      </w:r>
      <w:r>
        <w:t>, keď v krajine impo</w:t>
      </w:r>
      <w:r w:rsidR="002B2B08">
        <w:t>rtéra sú</w:t>
      </w:r>
      <w:r>
        <w:t xml:space="preserve"> vyššie </w:t>
      </w:r>
      <w:r w:rsidR="002B2B08">
        <w:t>úrokové sadzby, ak</w:t>
      </w:r>
      <w:r>
        <w:t xml:space="preserve">o sú bežné </w:t>
      </w:r>
      <w:r w:rsidR="002B2B08">
        <w:t>s</w:t>
      </w:r>
      <w:r>
        <w:t xml:space="preserve">adzby na medzinárodných </w:t>
      </w:r>
      <w:r w:rsidR="002B2B08">
        <w:t>finančných tr</w:t>
      </w:r>
      <w:r>
        <w:t>ho</w:t>
      </w:r>
      <w:r w:rsidR="002B2B08">
        <w:t>c</w:t>
      </w:r>
      <w:r>
        <w:t xml:space="preserve">h. </w:t>
      </w:r>
    </w:p>
    <w:p w:rsidR="0074270F" w:rsidRDefault="00467FE0" w:rsidP="00657A77">
      <w:pPr>
        <w:spacing w:before="240"/>
      </w:pPr>
      <w:r>
        <w:lastRenderedPageBreak/>
        <w:t xml:space="preserve"> </w:t>
      </w:r>
      <w:r w:rsidR="00B81A35" w:rsidRPr="00B81A35">
        <w:rPr>
          <w:b/>
        </w:rPr>
        <w:t>Vymožiteľnosť práva</w:t>
      </w:r>
      <w:r w:rsidR="00B81A35">
        <w:t xml:space="preserve"> – ako vysvetľuje Janatka</w:t>
      </w:r>
      <w:r w:rsidR="00E50142">
        <w:t>,</w:t>
      </w:r>
      <w:r w:rsidR="00B81A35">
        <w:rPr>
          <w:rStyle w:val="Znakapoznpodarou"/>
        </w:rPr>
        <w:footnoteReference w:id="146"/>
      </w:r>
      <w:r w:rsidR="00DC6AB0">
        <w:t xml:space="preserve"> podľa Rímskeho </w:t>
      </w:r>
      <w:r w:rsidR="00B81A35">
        <w:t xml:space="preserve">dohovoru </w:t>
      </w:r>
      <w:r w:rsidR="00DC6AB0">
        <w:br/>
      </w:r>
      <w:r w:rsidR="00B81A35">
        <w:t xml:space="preserve">sa </w:t>
      </w:r>
      <w:r w:rsidR="0074270F">
        <w:t xml:space="preserve">kúpna </w:t>
      </w:r>
      <w:r w:rsidR="00B81A35">
        <w:t>zmluva riadi právom zvoleným stranami, pričom voľba práva musí byť výslovná alebo musí vyplývať s dostatočnou istotou z ustanovenia zmluvy. Rímsky dohovor vychádza  z výslovnej voľby práva, ktorá nie je obmedzená iba na právo krajín EÚ. Európska komisia predložila na konci roku 2002 návrh transformácie Rímskeho práva z roku 1980 a ich pravidiel. Návrh niektoré ustanovenia Rímskej zmluvy  modernizoval, pričom niektoré z navrhovaných zmien sa prejavili vo výslednom nariadení Európskeho parlametnu č. 593/2008 zo dňa 17. 6. 2008</w:t>
      </w:r>
      <w:r w:rsidR="0074270F">
        <w:t xml:space="preserve"> ako RÍM I. </w:t>
      </w:r>
    </w:p>
    <w:p w:rsidR="0074270F" w:rsidRDefault="0074270F" w:rsidP="0074270F">
      <w:pPr>
        <w:pStyle w:val="Nadpis3"/>
        <w:jc w:val="both"/>
      </w:pPr>
      <w:bookmarkStart w:id="56" w:name="_Toc321001107"/>
      <w:r>
        <w:t xml:space="preserve">TINBYT, Prešov, SLOVENSKO –  Hladká platba pred </w:t>
      </w:r>
      <w:r w:rsidR="001B4F38">
        <w:t>nakládkou</w:t>
      </w:r>
      <w:r>
        <w:t xml:space="preserve"> tovaru,  pri dodacej podmienke FCA, dohodnuté miesto </w:t>
      </w:r>
      <w:r w:rsidR="001B4F38">
        <w:t>nakládky</w:t>
      </w:r>
      <w:r>
        <w:t xml:space="preserve"> IS, Teplice, Česká </w:t>
      </w:r>
      <w:r w:rsidR="001B4F38">
        <w:t>Republika</w:t>
      </w:r>
      <w:r>
        <w:t>, (podľa INCOTERMS 2010)</w:t>
      </w:r>
      <w:bookmarkEnd w:id="56"/>
    </w:p>
    <w:p w:rsidR="00470C13" w:rsidRDefault="001B4F38" w:rsidP="00470C13">
      <w:pPr>
        <w:spacing w:after="120"/>
      </w:pPr>
      <w:r>
        <w:t>T</w:t>
      </w:r>
      <w:r w:rsidR="00C00904">
        <w:t>INBYT</w:t>
      </w:r>
      <w:r>
        <w:t>, Prešov je dlhodobý obchodný partner firmy IS</w:t>
      </w:r>
      <w:r w:rsidR="00C00904">
        <w:t>, s ktorým má IS uzatvorenú zmluvu o Výhradnom zastúpení na Slovensku</w:t>
      </w:r>
      <w:r>
        <w:t xml:space="preserve">. </w:t>
      </w:r>
      <w:r w:rsidR="00C00904">
        <w:t xml:space="preserve">Ako uvádzajú Kašťáková, Pullmanová </w:t>
      </w:r>
      <w:r w:rsidR="00C00904">
        <w:br/>
        <w:t>a Svobodová</w:t>
      </w:r>
      <w:r w:rsidR="00C00904">
        <w:rPr>
          <w:rStyle w:val="Znakapoznpodarou"/>
        </w:rPr>
        <w:footnoteReference w:id="147"/>
      </w:r>
      <w:r w:rsidR="00C00904">
        <w:t xml:space="preserve"> z  právneho hľadiska ide tiež o priamy export, pretože výrobca spolupracuje s osobami alebo firmami, ktoré majú sídlo na exportnom trhu, </w:t>
      </w:r>
      <w:r w:rsidR="009E0467">
        <w:br/>
      </w:r>
      <w:r w:rsidR="00C00904">
        <w:t xml:space="preserve">t.j. sú v priamom kontakte so zahraničným trhom. </w:t>
      </w:r>
      <w:r>
        <w:t xml:space="preserve"> </w:t>
      </w:r>
      <w:r w:rsidR="00C00904">
        <w:t xml:space="preserve">TINBYT na základe silnej pozície </w:t>
      </w:r>
      <w:r w:rsidR="009E0467">
        <w:br/>
      </w:r>
      <w:r w:rsidR="00C00904">
        <w:t>na slovenskom trhu dosahuje výhodné nákupne ceny u</w:t>
      </w:r>
      <w:r w:rsidR="00EE5688">
        <w:t> výrobcu,</w:t>
      </w:r>
      <w:r w:rsidR="00C00904">
        <w:t xml:space="preserve"> </w:t>
      </w:r>
      <w:r w:rsidR="00EE5688">
        <w:t>d</w:t>
      </w:r>
      <w:r w:rsidR="00C00904">
        <w:t>isponuje vlastnou distribučnou sieťou, veľkými skladmi a veľmi kvalifikovaným personálom. Výhodou tejto zmluvy o výhradnom zastúpení pre IS je väčší rozsah objednávaného množstva a TINBYT preberá všetky aktivity s konečným zákazníkom. Nevýhodou pre IS</w:t>
      </w:r>
      <w:r w:rsidR="00EE5688">
        <w:t xml:space="preserve"> je, </w:t>
      </w:r>
      <w:r w:rsidR="009E0467">
        <w:br/>
      </w:r>
      <w:r w:rsidR="00EE5688">
        <w:t>že</w:t>
      </w:r>
      <w:r w:rsidR="00C00904">
        <w:t xml:space="preserve"> nemá prehľad o svojich skutočných zákazníkoch. </w:t>
      </w:r>
      <w:r w:rsidR="00EE5688">
        <w:t xml:space="preserve">Výrobca </w:t>
      </w:r>
      <w:r w:rsidR="00C00904">
        <w:t> poskytuje firme TINBYT v rámci pod</w:t>
      </w:r>
      <w:r w:rsidR="00E40472">
        <w:t>pory predaja na slovenskom trhu</w:t>
      </w:r>
      <w:r w:rsidR="00EE5688">
        <w:t>,</w:t>
      </w:r>
      <w:r w:rsidR="00E40472">
        <w:t xml:space="preserve"> </w:t>
      </w:r>
      <w:r w:rsidR="00EE5688">
        <w:t>(</w:t>
      </w:r>
      <w:r w:rsidR="00E40472">
        <w:t>ktorej cieľom je získať nových zákazníkov, vyvolať záujem o nové výrobky, zvýšiť informovanosť zákazníkov a prehĺbiť poznatky o</w:t>
      </w:r>
      <w:r w:rsidR="00EE5688">
        <w:t> </w:t>
      </w:r>
      <w:r w:rsidR="00E40472">
        <w:t>produktoch</w:t>
      </w:r>
      <w:r w:rsidR="00EE5688">
        <w:t>)</w:t>
      </w:r>
      <w:r w:rsidR="00E40472">
        <w:t>, nástroje ako sú programy odmien,  vzorky vyrábaných produktov, zľavy, vernostné programy, reklamné predmety, P.O.S.</w:t>
      </w:r>
      <w:r w:rsidR="00470C13" w:rsidRPr="00470C13">
        <w:rPr>
          <w:rStyle w:val="Znakapoznpodarou"/>
        </w:rPr>
        <w:t xml:space="preserve"> </w:t>
      </w:r>
      <w:r w:rsidR="00470C13">
        <w:rPr>
          <w:rStyle w:val="Znakapoznpodarou"/>
        </w:rPr>
        <w:footnoteReference w:id="148"/>
      </w:r>
      <w:r w:rsidR="00470C13">
        <w:t xml:space="preserve"> </w:t>
      </w:r>
      <w:r w:rsidR="00E40472">
        <w:t xml:space="preserve"> </w:t>
      </w:r>
      <w:r w:rsidR="00E40472">
        <w:lastRenderedPageBreak/>
        <w:t>materiály (Point of Sales)</w:t>
      </w:r>
      <w:r w:rsidR="00470C13">
        <w:t xml:space="preserve"> a P.O.P.</w:t>
      </w:r>
      <w:r w:rsidR="00470C13" w:rsidRPr="00470C13">
        <w:rPr>
          <w:rStyle w:val="Znakapoznpodarou"/>
        </w:rPr>
        <w:t xml:space="preserve"> </w:t>
      </w:r>
      <w:r w:rsidR="00470C13">
        <w:rPr>
          <w:rStyle w:val="Znakapoznpodarou"/>
        </w:rPr>
        <w:footnoteReference w:id="149"/>
      </w:r>
      <w:r w:rsidR="00470C13">
        <w:t xml:space="preserve">  materiály (Point of Purchase). Základné informácie o firme TINBYT, Slovensko: </w:t>
      </w:r>
    </w:p>
    <w:p w:rsidR="00470C13" w:rsidRPr="003E120B" w:rsidRDefault="00470C13" w:rsidP="00470C13">
      <w:pPr>
        <w:spacing w:after="0"/>
        <w:rPr>
          <w:rFonts w:ascii="MBBGBL+TimesNewRoman,BoldItalic" w:hAnsi="MBBGBL+TimesNewRoman,BoldItalic"/>
          <w:color w:val="000000"/>
          <w:sz w:val="23"/>
          <w:szCs w:val="23"/>
        </w:rPr>
      </w:pPr>
      <w:r>
        <w:rPr>
          <w:color w:val="000000"/>
          <w:sz w:val="23"/>
          <w:szCs w:val="23"/>
        </w:rPr>
        <w:t xml:space="preserve">Obchodné meno firmy: </w:t>
      </w:r>
      <w:r>
        <w:rPr>
          <w:color w:val="000000"/>
          <w:sz w:val="23"/>
          <w:szCs w:val="23"/>
        </w:rPr>
        <w:tab/>
        <w:t xml:space="preserve">TINBYT </w:t>
      </w:r>
      <w:r w:rsidR="00910E28">
        <w:rPr>
          <w:color w:val="000000"/>
          <w:sz w:val="23"/>
          <w:szCs w:val="23"/>
        </w:rPr>
        <w:t>– Martin Kizák</w:t>
      </w:r>
    </w:p>
    <w:p w:rsidR="00470C13" w:rsidRPr="003E120B" w:rsidRDefault="00470C13" w:rsidP="00470C13">
      <w:pPr>
        <w:spacing w:after="0"/>
        <w:ind w:left="2832" w:hanging="2832"/>
        <w:rPr>
          <w:rFonts w:ascii="MBBGBL+TimesNewRoman,BoldItalic" w:hAnsi="MBBGBL+TimesNewRoman,BoldItalic"/>
          <w:color w:val="000000"/>
          <w:sz w:val="23"/>
          <w:szCs w:val="23"/>
        </w:rPr>
      </w:pPr>
      <w:r w:rsidRPr="003E120B">
        <w:rPr>
          <w:color w:val="000000"/>
          <w:sz w:val="23"/>
          <w:szCs w:val="23"/>
        </w:rPr>
        <w:t xml:space="preserve">Právna forma: </w:t>
      </w:r>
      <w:r w:rsidRPr="003E120B">
        <w:rPr>
          <w:color w:val="000000"/>
          <w:sz w:val="23"/>
          <w:szCs w:val="23"/>
        </w:rPr>
        <w:tab/>
      </w:r>
      <w:r w:rsidRPr="003E120B">
        <w:rPr>
          <w:color w:val="000000"/>
          <w:sz w:val="23"/>
          <w:szCs w:val="23"/>
        </w:rPr>
        <w:tab/>
      </w:r>
      <w:r>
        <w:rPr>
          <w:bCs/>
          <w:i/>
          <w:iCs/>
        </w:rPr>
        <w:t>Fyzická osoba vedená v Živnostenskom registri pod číslom ŽO-95-08253-002, r.č. 5196-95</w:t>
      </w:r>
    </w:p>
    <w:p w:rsidR="00470C13" w:rsidRPr="003E120B" w:rsidRDefault="00470C13" w:rsidP="00470C13">
      <w:pPr>
        <w:spacing w:after="0"/>
        <w:ind w:left="2832" w:hanging="2832"/>
        <w:rPr>
          <w:rFonts w:ascii="MBBGBL+TimesNewRoman,BoldItalic" w:hAnsi="MBBGBL+TimesNewRoman,BoldItalic"/>
          <w:color w:val="000000"/>
          <w:sz w:val="23"/>
          <w:szCs w:val="23"/>
        </w:rPr>
      </w:pPr>
      <w:r w:rsidRPr="003E120B">
        <w:rPr>
          <w:color w:val="000000"/>
          <w:sz w:val="23"/>
          <w:szCs w:val="23"/>
        </w:rPr>
        <w:t xml:space="preserve">Sídlo firmy: </w:t>
      </w:r>
      <w:r w:rsidRPr="003E120B">
        <w:rPr>
          <w:color w:val="000000"/>
          <w:sz w:val="23"/>
          <w:szCs w:val="23"/>
        </w:rPr>
        <w:tab/>
      </w:r>
      <w:r w:rsidR="00910E28">
        <w:rPr>
          <w:color w:val="000000"/>
          <w:sz w:val="23"/>
          <w:szCs w:val="23"/>
        </w:rPr>
        <w:t xml:space="preserve">Šmeralová </w:t>
      </w:r>
      <w:r>
        <w:rPr>
          <w:color w:val="000000"/>
          <w:sz w:val="23"/>
          <w:szCs w:val="23"/>
        </w:rPr>
        <w:t xml:space="preserve">5, </w:t>
      </w:r>
      <w:r>
        <w:rPr>
          <w:rFonts w:ascii="MBBGBL+TimesNewRoman,BoldItalic" w:hAnsi="MBBGBL+TimesNewRoman,BoldItalic"/>
          <w:bCs/>
          <w:color w:val="000000"/>
          <w:sz w:val="23"/>
          <w:szCs w:val="23"/>
        </w:rPr>
        <w:t>080 01  Prešov, Slovensko</w:t>
      </w:r>
      <w:r w:rsidRPr="003E120B">
        <w:rPr>
          <w:rFonts w:ascii="MBBGBL+TimesNewRoman,BoldItalic" w:hAnsi="MBBGBL+TimesNewRoman,BoldItalic"/>
          <w:bCs/>
          <w:color w:val="000000"/>
          <w:sz w:val="23"/>
          <w:szCs w:val="23"/>
        </w:rPr>
        <w:t xml:space="preserve"> </w:t>
      </w:r>
    </w:p>
    <w:p w:rsidR="00470C13" w:rsidRPr="003E120B" w:rsidRDefault="00470C13" w:rsidP="00470C13">
      <w:pPr>
        <w:spacing w:after="0"/>
        <w:ind w:left="2832" w:hanging="2832"/>
        <w:rPr>
          <w:rFonts w:ascii="MBBGBL+TimesNewRoman,BoldItalic" w:hAnsi="MBBGBL+TimesNewRoman,BoldItalic"/>
          <w:color w:val="000000"/>
          <w:sz w:val="23"/>
          <w:szCs w:val="23"/>
        </w:rPr>
      </w:pPr>
      <w:r w:rsidRPr="003E120B">
        <w:rPr>
          <w:color w:val="000000"/>
          <w:sz w:val="23"/>
          <w:szCs w:val="23"/>
        </w:rPr>
        <w:t xml:space="preserve">IČO: </w:t>
      </w:r>
      <w:r w:rsidRPr="003E120B">
        <w:rPr>
          <w:color w:val="000000"/>
          <w:sz w:val="23"/>
          <w:szCs w:val="23"/>
        </w:rPr>
        <w:tab/>
      </w:r>
      <w:r>
        <w:rPr>
          <w:color w:val="000000"/>
          <w:sz w:val="23"/>
          <w:szCs w:val="23"/>
        </w:rPr>
        <w:t>10666044</w:t>
      </w:r>
    </w:p>
    <w:p w:rsidR="00470C13" w:rsidRPr="003E120B" w:rsidRDefault="00470C13" w:rsidP="00470C13">
      <w:pPr>
        <w:spacing w:after="0"/>
        <w:rPr>
          <w:bCs/>
          <w:color w:val="000000"/>
          <w:sz w:val="23"/>
          <w:szCs w:val="23"/>
        </w:rPr>
      </w:pPr>
      <w:r w:rsidRPr="003E120B">
        <w:rPr>
          <w:color w:val="000000"/>
          <w:sz w:val="23"/>
          <w:szCs w:val="23"/>
        </w:rPr>
        <w:t xml:space="preserve">VAT CEE: </w:t>
      </w:r>
      <w:r w:rsidRPr="003E120B">
        <w:rPr>
          <w:color w:val="000000"/>
          <w:sz w:val="23"/>
          <w:szCs w:val="23"/>
        </w:rPr>
        <w:tab/>
      </w:r>
      <w:r w:rsidRPr="003E120B">
        <w:rPr>
          <w:color w:val="000000"/>
          <w:sz w:val="23"/>
          <w:szCs w:val="23"/>
        </w:rPr>
        <w:tab/>
      </w:r>
      <w:r w:rsidRPr="003E120B">
        <w:rPr>
          <w:color w:val="000000"/>
          <w:sz w:val="23"/>
          <w:szCs w:val="23"/>
        </w:rPr>
        <w:tab/>
      </w:r>
      <w:r>
        <w:rPr>
          <w:color w:val="000000"/>
          <w:sz w:val="23"/>
          <w:szCs w:val="23"/>
        </w:rPr>
        <w:t>SK 1020742349</w:t>
      </w:r>
    </w:p>
    <w:p w:rsidR="00470C13" w:rsidRPr="003E120B" w:rsidRDefault="00470C13" w:rsidP="00470C13">
      <w:pPr>
        <w:spacing w:after="0"/>
        <w:rPr>
          <w:bCs/>
          <w:color w:val="000000"/>
          <w:sz w:val="23"/>
          <w:szCs w:val="23"/>
        </w:rPr>
      </w:pPr>
      <w:r w:rsidRPr="003E120B">
        <w:rPr>
          <w:color w:val="000000"/>
          <w:sz w:val="23"/>
          <w:szCs w:val="23"/>
        </w:rPr>
        <w:t>Banka:</w:t>
      </w:r>
      <w:r w:rsidRPr="003E120B">
        <w:rPr>
          <w:color w:val="000000"/>
          <w:sz w:val="23"/>
          <w:szCs w:val="23"/>
        </w:rPr>
        <w:tab/>
      </w:r>
      <w:r w:rsidRPr="003E120B">
        <w:rPr>
          <w:color w:val="000000"/>
          <w:sz w:val="23"/>
          <w:szCs w:val="23"/>
        </w:rPr>
        <w:tab/>
      </w:r>
      <w:r w:rsidRPr="003E120B">
        <w:rPr>
          <w:color w:val="000000"/>
          <w:sz w:val="23"/>
          <w:szCs w:val="23"/>
        </w:rPr>
        <w:tab/>
      </w:r>
      <w:r w:rsidRPr="003E120B">
        <w:rPr>
          <w:color w:val="000000"/>
          <w:sz w:val="23"/>
          <w:szCs w:val="23"/>
        </w:rPr>
        <w:tab/>
      </w:r>
      <w:r>
        <w:rPr>
          <w:color w:val="000000"/>
          <w:sz w:val="23"/>
          <w:szCs w:val="23"/>
        </w:rPr>
        <w:t>OTP PREŠOV</w:t>
      </w:r>
    </w:p>
    <w:p w:rsidR="00470C13" w:rsidRPr="003E120B" w:rsidRDefault="00470C13" w:rsidP="00470C13">
      <w:pPr>
        <w:spacing w:after="0"/>
        <w:rPr>
          <w:color w:val="000000"/>
          <w:sz w:val="23"/>
          <w:szCs w:val="23"/>
        </w:rPr>
      </w:pPr>
      <w:r w:rsidRPr="003E120B">
        <w:rPr>
          <w:color w:val="000000"/>
          <w:sz w:val="23"/>
          <w:szCs w:val="23"/>
        </w:rPr>
        <w:t>IBAN:</w:t>
      </w:r>
      <w:r w:rsidRPr="003E120B">
        <w:rPr>
          <w:color w:val="000000"/>
          <w:sz w:val="23"/>
          <w:szCs w:val="23"/>
        </w:rPr>
        <w:tab/>
      </w:r>
      <w:r w:rsidRPr="003E120B">
        <w:rPr>
          <w:color w:val="000000"/>
          <w:sz w:val="23"/>
          <w:szCs w:val="23"/>
        </w:rPr>
        <w:tab/>
      </w:r>
      <w:r w:rsidRPr="003E120B">
        <w:rPr>
          <w:color w:val="000000"/>
          <w:sz w:val="23"/>
          <w:szCs w:val="23"/>
        </w:rPr>
        <w:tab/>
      </w:r>
      <w:r w:rsidRPr="003E120B">
        <w:rPr>
          <w:color w:val="000000"/>
          <w:sz w:val="23"/>
          <w:szCs w:val="23"/>
        </w:rPr>
        <w:tab/>
      </w:r>
      <w:r>
        <w:rPr>
          <w:color w:val="000000"/>
          <w:sz w:val="23"/>
          <w:szCs w:val="23"/>
        </w:rPr>
        <w:t xml:space="preserve">SK 15 5200 0000 0000 0101 0817 </w:t>
      </w:r>
    </w:p>
    <w:p w:rsidR="00C00904" w:rsidRDefault="00470C13" w:rsidP="00470C13">
      <w:pPr>
        <w:spacing w:after="0"/>
      </w:pPr>
      <w:r w:rsidRPr="003E120B">
        <w:rPr>
          <w:color w:val="000000"/>
          <w:sz w:val="23"/>
          <w:szCs w:val="23"/>
        </w:rPr>
        <w:t>SWIFT:</w:t>
      </w:r>
      <w:r w:rsidRPr="003E120B">
        <w:rPr>
          <w:color w:val="000000"/>
          <w:sz w:val="23"/>
          <w:szCs w:val="23"/>
        </w:rPr>
        <w:tab/>
      </w:r>
      <w:r w:rsidRPr="003E120B">
        <w:rPr>
          <w:color w:val="000000"/>
          <w:sz w:val="23"/>
          <w:szCs w:val="23"/>
        </w:rPr>
        <w:tab/>
      </w:r>
      <w:r w:rsidRPr="003E120B">
        <w:rPr>
          <w:color w:val="000000"/>
          <w:sz w:val="23"/>
          <w:szCs w:val="23"/>
        </w:rPr>
        <w:tab/>
      </w:r>
      <w:r>
        <w:rPr>
          <w:color w:val="000000"/>
          <w:sz w:val="23"/>
          <w:szCs w:val="23"/>
        </w:rPr>
        <w:t>OTP VS KBX</w:t>
      </w:r>
    </w:p>
    <w:p w:rsidR="00470C13" w:rsidRDefault="00910E28" w:rsidP="009E0467">
      <w:pPr>
        <w:spacing w:before="360"/>
      </w:pPr>
      <w:r>
        <w:t>D</w:t>
      </w:r>
      <w:r w:rsidR="00470C13">
        <w:t xml:space="preserve">ôležitým bodom je preverenie  daňového čísla Value Addend Tax (VAT) obchodného partnera z hľadiska vývozu. V prípade, ak by náš budúci obchodný partner uviedol nepravdivé daňové číslo VAT a urobili by sme vývoz bez DPH, museli by sme tento vývoz dodatočne zdaniť, čo by boli ďalšie náklady.  VAT číslo si môžeme overiť  prostredníctvom  internetového portálu Európskej komisie – Sekcia daňová a colná.  </w:t>
      </w:r>
    </w:p>
    <w:p w:rsidR="00470C13" w:rsidRDefault="00470C13" w:rsidP="00470C13">
      <w:pPr>
        <w:pStyle w:val="Tabulka"/>
      </w:pPr>
      <w:r w:rsidRPr="00F21555">
        <w:t xml:space="preserve">Obrázok </w:t>
      </w:r>
      <w:r w:rsidR="00F21555">
        <w:t>9</w:t>
      </w:r>
      <w:r w:rsidRPr="00F21555">
        <w:t xml:space="preserve">  Kontrola platnosti IČ DPH</w:t>
      </w:r>
      <w:r w:rsidR="00EE5688" w:rsidRPr="00F21555">
        <w:t xml:space="preserve"> TINBYT,  SLOVENSKO</w:t>
      </w:r>
    </w:p>
    <w:p w:rsidR="00910E28" w:rsidRPr="00910E28" w:rsidRDefault="00910E28" w:rsidP="00910E28">
      <w:pPr>
        <w:pStyle w:val="Tabulka-text"/>
      </w:pPr>
      <w:r>
        <w:rPr>
          <w:noProof/>
          <w:lang w:eastAsia="sk-SK"/>
        </w:rPr>
        <w:lastRenderedPageBreak/>
        <w:drawing>
          <wp:inline distT="0" distB="0" distL="0" distR="0">
            <wp:extent cx="3518907" cy="2914650"/>
            <wp:effectExtent l="171450" t="133350" r="367293" b="30480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3518907" cy="2914650"/>
                    </a:xfrm>
                    <a:prstGeom prst="rect">
                      <a:avLst/>
                    </a:prstGeom>
                    <a:ln>
                      <a:noFill/>
                    </a:ln>
                    <a:effectLst>
                      <a:outerShdw blurRad="292100" dist="139700" dir="2700000" algn="tl" rotWithShape="0">
                        <a:srgbClr val="333333">
                          <a:alpha val="65000"/>
                        </a:srgbClr>
                      </a:outerShdw>
                    </a:effectLst>
                  </pic:spPr>
                </pic:pic>
              </a:graphicData>
            </a:graphic>
          </wp:inline>
        </w:drawing>
      </w:r>
    </w:p>
    <w:p w:rsidR="00910E28" w:rsidRPr="00260831" w:rsidRDefault="00910E28" w:rsidP="00910E28">
      <w:pPr>
        <w:rPr>
          <w:sz w:val="22"/>
          <w:szCs w:val="22"/>
        </w:rPr>
      </w:pPr>
      <w:r w:rsidRPr="00260831">
        <w:rPr>
          <w:sz w:val="22"/>
          <w:szCs w:val="22"/>
        </w:rPr>
        <w:t xml:space="preserve">Zdroj: </w:t>
      </w:r>
      <w:r>
        <w:rPr>
          <w:sz w:val="22"/>
          <w:szCs w:val="22"/>
        </w:rPr>
        <w:t>Európska komisia. Sekcia daňová a colná. Dostupné z WWW</w:t>
      </w:r>
      <w:r w:rsidRPr="00822B70">
        <w:rPr>
          <w:sz w:val="22"/>
          <w:szCs w:val="22"/>
        </w:rPr>
        <w:t>: &lt;</w:t>
      </w:r>
      <w:r>
        <w:rPr>
          <w:sz w:val="22"/>
          <w:szCs w:val="22"/>
        </w:rPr>
        <w:t xml:space="preserve"> </w:t>
      </w:r>
      <w:r w:rsidRPr="00822B70">
        <w:rPr>
          <w:sz w:val="22"/>
          <w:szCs w:val="22"/>
        </w:rPr>
        <w:t>http://ec.europa.eu/</w:t>
      </w:r>
      <w:r>
        <w:rPr>
          <w:sz w:val="22"/>
          <w:szCs w:val="22"/>
        </w:rPr>
        <w:t xml:space="preserve"> </w:t>
      </w:r>
      <w:r w:rsidRPr="00822B70">
        <w:rPr>
          <w:sz w:val="22"/>
          <w:szCs w:val="22"/>
        </w:rPr>
        <w:t>taxation_</w:t>
      </w:r>
      <w:r>
        <w:rPr>
          <w:sz w:val="22"/>
          <w:szCs w:val="22"/>
        </w:rPr>
        <w:t xml:space="preserve"> </w:t>
      </w:r>
      <w:r w:rsidRPr="00822B70">
        <w:rPr>
          <w:sz w:val="22"/>
          <w:szCs w:val="22"/>
        </w:rPr>
        <w:t>customs/vies/vatResponse.html &gt;.</w:t>
      </w:r>
      <w:r>
        <w:t xml:space="preserve"> (</w:t>
      </w:r>
      <w:r w:rsidR="00733C19">
        <w:t>dáta</w:t>
      </w:r>
      <w:r>
        <w:t xml:space="preserve"> k 20.3. 2012).</w:t>
      </w:r>
    </w:p>
    <w:p w:rsidR="00910E28" w:rsidRDefault="00910E28" w:rsidP="00657A77">
      <w:pPr>
        <w:spacing w:before="240"/>
      </w:pPr>
      <w:r>
        <w:t>V prípade vývozných operácii so Slovenskom zo strany IS, podľa nariadenia z centrály IS v Bruselly, má Ideal Standrad sídlo v Českej republike, ale je taktiež zaregistrovaná pre d</w:t>
      </w:r>
      <w:r w:rsidR="00EE5688">
        <w:t xml:space="preserve">aň z DPH na </w:t>
      </w:r>
      <w:r w:rsidR="00EE5688" w:rsidRPr="00BD14CF">
        <w:t>Slovensku (viď. obrázok 1</w:t>
      </w:r>
      <w:r w:rsidR="00BD14CF" w:rsidRPr="00BD14CF">
        <w:t>0</w:t>
      </w:r>
      <w:r w:rsidR="00EE5688" w:rsidRPr="00BD14CF">
        <w:t>).</w:t>
      </w:r>
      <w:r w:rsidR="00EE5688">
        <w:t xml:space="preserve"> </w:t>
      </w:r>
      <w:r>
        <w:t xml:space="preserve"> Tzn., že TINBYT, SLOVENSKO  </w:t>
      </w:r>
      <w:r w:rsidR="00733C19">
        <w:br/>
      </w:r>
      <w:r w:rsidR="005F1C10">
        <w:t>aj keď tovar nakladá v ČR,  IDEAL STANDARD im</w:t>
      </w:r>
      <w:r>
        <w:t xml:space="preserve"> fakturuje tovar s DPH platnou </w:t>
      </w:r>
      <w:r w:rsidR="00733C19">
        <w:br/>
      </w:r>
      <w:r>
        <w:t xml:space="preserve">na Slovensku t.j. 20%. Firma TINBYT, Slovensko je mesačným platcom DPH, </w:t>
      </w:r>
      <w:r w:rsidR="00733C19">
        <w:br/>
      </w:r>
      <w:r>
        <w:t>a pri daňovom priznaní si túto daň vysporiad</w:t>
      </w:r>
      <w:r w:rsidR="001827B7">
        <w:t>a</w:t>
      </w:r>
      <w:r>
        <w:t xml:space="preserve">.  </w:t>
      </w:r>
      <w:r w:rsidR="005F1C10">
        <w:t xml:space="preserve">Ak by IS nebol platcom DPH </w:t>
      </w:r>
      <w:r w:rsidR="00733C19">
        <w:br/>
      </w:r>
      <w:r w:rsidR="005F1C10">
        <w:t xml:space="preserve">na Slovensku, potom na základe Zákona o DPH by fakturoval tovar bez DPH (vývoz </w:t>
      </w:r>
      <w:r w:rsidR="00733C19">
        <w:br/>
      </w:r>
      <w:r w:rsidR="005F1C10">
        <w:t xml:space="preserve">je vždy oslobodený od DPH) a TINBYT, Slovensko by si túto DPH vyrovnal v Daňovom priznaní za príslušné zdaňovacie obdobie samozdanením. </w:t>
      </w:r>
    </w:p>
    <w:p w:rsidR="00EE5688" w:rsidRDefault="00910E28" w:rsidP="00EE5688">
      <w:pPr>
        <w:pStyle w:val="Tabulka"/>
      </w:pPr>
      <w:r w:rsidRPr="00BD14CF">
        <w:t>Obrázok 1</w:t>
      </w:r>
      <w:r w:rsidR="00BD14CF" w:rsidRPr="00BD14CF">
        <w:t>0</w:t>
      </w:r>
      <w:r>
        <w:t xml:space="preserve">  Kontrola platnosti IČ DPH</w:t>
      </w:r>
      <w:r w:rsidR="00EE5688">
        <w:t xml:space="preserve"> IDEAL STANDARD</w:t>
      </w:r>
      <w:r w:rsidR="00BD14CF">
        <w:t>, Česká republika</w:t>
      </w:r>
    </w:p>
    <w:p w:rsidR="00910E28" w:rsidRDefault="00EE5688" w:rsidP="00EE5688">
      <w:pPr>
        <w:pStyle w:val="Tabulka"/>
        <w:jc w:val="center"/>
      </w:pPr>
      <w:r>
        <w:rPr>
          <w:noProof/>
          <w:sz w:val="32"/>
          <w:lang w:eastAsia="sk-SK"/>
        </w:rPr>
        <w:lastRenderedPageBreak/>
        <w:drawing>
          <wp:inline distT="0" distB="0" distL="0" distR="0">
            <wp:extent cx="3933825" cy="3552430"/>
            <wp:effectExtent l="171450" t="133350" r="371475" b="295670"/>
            <wp:docPr id="1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3933825" cy="3552430"/>
                    </a:xfrm>
                    <a:prstGeom prst="rect">
                      <a:avLst/>
                    </a:prstGeom>
                    <a:ln>
                      <a:noFill/>
                    </a:ln>
                    <a:effectLst>
                      <a:outerShdw blurRad="292100" dist="139700" dir="2700000" algn="tl" rotWithShape="0">
                        <a:srgbClr val="333333">
                          <a:alpha val="65000"/>
                        </a:srgbClr>
                      </a:outerShdw>
                    </a:effectLst>
                  </pic:spPr>
                </pic:pic>
              </a:graphicData>
            </a:graphic>
          </wp:inline>
        </w:drawing>
      </w:r>
    </w:p>
    <w:p w:rsidR="00EE5688" w:rsidRPr="00260831" w:rsidRDefault="00EE5688" w:rsidP="00EE5688">
      <w:pPr>
        <w:rPr>
          <w:sz w:val="22"/>
          <w:szCs w:val="22"/>
        </w:rPr>
      </w:pPr>
      <w:r w:rsidRPr="00260831">
        <w:rPr>
          <w:sz w:val="22"/>
          <w:szCs w:val="22"/>
        </w:rPr>
        <w:t xml:space="preserve">Zdroj: </w:t>
      </w:r>
      <w:r>
        <w:rPr>
          <w:sz w:val="22"/>
          <w:szCs w:val="22"/>
        </w:rPr>
        <w:t>Európska komisia. Sekcia daňová a colná. Dostupné z WWW</w:t>
      </w:r>
      <w:r w:rsidRPr="00822B70">
        <w:rPr>
          <w:sz w:val="22"/>
          <w:szCs w:val="22"/>
        </w:rPr>
        <w:t>: &lt;</w:t>
      </w:r>
      <w:r>
        <w:rPr>
          <w:sz w:val="22"/>
          <w:szCs w:val="22"/>
        </w:rPr>
        <w:t xml:space="preserve"> </w:t>
      </w:r>
      <w:r w:rsidRPr="00822B70">
        <w:rPr>
          <w:sz w:val="22"/>
          <w:szCs w:val="22"/>
        </w:rPr>
        <w:t>http://ec.europa.eu/</w:t>
      </w:r>
      <w:r>
        <w:rPr>
          <w:sz w:val="22"/>
          <w:szCs w:val="22"/>
        </w:rPr>
        <w:t xml:space="preserve"> </w:t>
      </w:r>
      <w:r w:rsidRPr="00822B70">
        <w:rPr>
          <w:sz w:val="22"/>
          <w:szCs w:val="22"/>
        </w:rPr>
        <w:t>taxation_</w:t>
      </w:r>
      <w:r>
        <w:rPr>
          <w:sz w:val="22"/>
          <w:szCs w:val="22"/>
        </w:rPr>
        <w:t xml:space="preserve"> </w:t>
      </w:r>
      <w:r w:rsidRPr="00822B70">
        <w:rPr>
          <w:sz w:val="22"/>
          <w:szCs w:val="22"/>
        </w:rPr>
        <w:t>customs/vies/vatResponse.html &gt;.</w:t>
      </w:r>
      <w:r>
        <w:t xml:space="preserve"> (data k 20.3. 2012).</w:t>
      </w:r>
    </w:p>
    <w:p w:rsidR="00EE5688" w:rsidRDefault="00EE5688" w:rsidP="00657A77">
      <w:pPr>
        <w:spacing w:before="240"/>
      </w:pPr>
      <w:r>
        <w:t xml:space="preserve">Keďže ide o platobnú podmienku Hladká platba (Kapitola 2.4 Hladká platba), </w:t>
      </w:r>
      <w:r w:rsidR="00733C19">
        <w:br/>
      </w:r>
      <w:r>
        <w:t>kde IS  podstupuje veľmi vysoké riziko nezaplatenia tovaru a vznik problémovej pohľadávky, pristúpil k eliminácii platobného rizika nástrojom preverenie bonity zákazníka a následným poistením pohľadávky. Veľké nadnárodné spoločnosti tento typ eliminácie platobného rizika využívajú vo veľkej miere na rozdiel od slovenských firiem. Keďže ide o nadnárodnú spoločnosť so sídlom v Bruseli, všetky pohľadávky globálne v rámci celej Európy im poisťuje spoločnosť EULER HERMES SERVIS (EHS),</w:t>
      </w:r>
      <w:r w:rsidRPr="001B216C">
        <w:rPr>
          <w:rStyle w:val="Znakapoznpodarou"/>
        </w:rPr>
        <w:t xml:space="preserve"> </w:t>
      </w:r>
      <w:r>
        <w:rPr>
          <w:rStyle w:val="Znakapoznpodarou"/>
        </w:rPr>
        <w:footnoteReference w:id="150"/>
      </w:r>
      <w:r>
        <w:t xml:space="preserve"> </w:t>
      </w:r>
      <w:r w:rsidR="000B6D96" w:rsidRPr="000B6D96">
        <w:t>(viď. Príloha 2</w:t>
      </w:r>
      <w:r w:rsidRPr="000B6D96">
        <w:t>).</w:t>
      </w:r>
      <w:r>
        <w:t xml:space="preserve"> </w:t>
      </w:r>
      <w:r>
        <w:rPr>
          <w:color w:val="000000"/>
        </w:rPr>
        <w:t xml:space="preserve">Spoločnosť IS vyplnila dotazník a zaslala ho do EHS s cieľom preveriť bonitu odberateľa a vypracovať návrh poistnej zmluvy </w:t>
      </w:r>
      <w:r w:rsidRPr="000B6D96">
        <w:rPr>
          <w:color w:val="000000"/>
        </w:rPr>
        <w:t>(viď</w:t>
      </w:r>
      <w:r w:rsidR="000B6D96" w:rsidRPr="000B6D96">
        <w:rPr>
          <w:color w:val="000000"/>
        </w:rPr>
        <w:t xml:space="preserve">. </w:t>
      </w:r>
      <w:r w:rsidR="00733C19" w:rsidRPr="000B6D96">
        <w:rPr>
          <w:color w:val="000000"/>
        </w:rPr>
        <w:t>Príloha</w:t>
      </w:r>
      <w:r w:rsidR="000B6D96" w:rsidRPr="000B6D96">
        <w:rPr>
          <w:color w:val="000000"/>
        </w:rPr>
        <w:t xml:space="preserve"> 3</w:t>
      </w:r>
      <w:r w:rsidRPr="000B6D96">
        <w:rPr>
          <w:color w:val="000000"/>
        </w:rPr>
        <w:t>).</w:t>
      </w:r>
      <w:r>
        <w:rPr>
          <w:color w:val="000000"/>
        </w:rPr>
        <w:t xml:space="preserve"> Následne spoločnosť EHS oslov</w:t>
      </w:r>
      <w:r w:rsidR="001827B7">
        <w:rPr>
          <w:color w:val="000000"/>
        </w:rPr>
        <w:t>ila</w:t>
      </w:r>
      <w:r>
        <w:rPr>
          <w:color w:val="000000"/>
        </w:rPr>
        <w:t xml:space="preserve"> firmu TINBYT, Slovensko o poskytnutie finančných výkazov v súvislosti plnohodnotne podporiť obchodnú väzbu medzi obchodnými partnermi. </w:t>
      </w:r>
      <w:r w:rsidRPr="000B6D96">
        <w:rPr>
          <w:color w:val="000000"/>
        </w:rPr>
        <w:t>(</w:t>
      </w:r>
      <w:r w:rsidR="000B6D96" w:rsidRPr="000B6D96">
        <w:rPr>
          <w:color w:val="000000"/>
        </w:rPr>
        <w:t>viď. Príloha 4</w:t>
      </w:r>
      <w:r w:rsidRPr="000B6D96">
        <w:rPr>
          <w:color w:val="000000"/>
        </w:rPr>
        <w:t xml:space="preserve"> – preklad v slovenskom jazyku).</w:t>
      </w:r>
      <w:r>
        <w:rPr>
          <w:color w:val="000000"/>
        </w:rPr>
        <w:t xml:space="preserve"> Zo strany </w:t>
      </w:r>
      <w:r>
        <w:rPr>
          <w:color w:val="000000"/>
        </w:rPr>
        <w:lastRenderedPageBreak/>
        <w:t xml:space="preserve">TINBYT vznikla neochota poskytnúť </w:t>
      </w:r>
      <w:r w:rsidR="00E46F3D">
        <w:rPr>
          <w:color w:val="000000"/>
        </w:rPr>
        <w:t xml:space="preserve">poisťovacej </w:t>
      </w:r>
      <w:r w:rsidR="001827B7">
        <w:rPr>
          <w:color w:val="000000"/>
        </w:rPr>
        <w:t>spoločnosti</w:t>
      </w:r>
      <w:r w:rsidR="00E46F3D">
        <w:rPr>
          <w:color w:val="000000"/>
        </w:rPr>
        <w:t xml:space="preserve"> EULER HERMES SERVIS finančné výkazy </w:t>
      </w:r>
      <w:r w:rsidR="001827B7">
        <w:rPr>
          <w:color w:val="000000"/>
        </w:rPr>
        <w:t xml:space="preserve"> - </w:t>
      </w:r>
      <w:r w:rsidR="00E46F3D">
        <w:rPr>
          <w:color w:val="000000"/>
        </w:rPr>
        <w:t xml:space="preserve">Výkaz o príjmoch a výdavkoch, Výkaz o majetku </w:t>
      </w:r>
      <w:r w:rsidR="00733C19">
        <w:rPr>
          <w:color w:val="000000"/>
        </w:rPr>
        <w:br/>
      </w:r>
      <w:r w:rsidR="00E46F3D">
        <w:rPr>
          <w:color w:val="000000"/>
        </w:rPr>
        <w:t>za záväzkov (pretože ide o fyzickú osobu) aj keď EHS prehlásil</w:t>
      </w:r>
      <w:r w:rsidR="001827B7">
        <w:rPr>
          <w:color w:val="000000"/>
        </w:rPr>
        <w:t>a</w:t>
      </w:r>
      <w:r w:rsidR="00E46F3D">
        <w:rPr>
          <w:color w:val="000000"/>
        </w:rPr>
        <w:t xml:space="preserve">, že uvedené doklady použijú výlučne </w:t>
      </w:r>
      <w:r w:rsidR="001827B7">
        <w:rPr>
          <w:color w:val="000000"/>
        </w:rPr>
        <w:t xml:space="preserve">iba </w:t>
      </w:r>
      <w:r w:rsidR="00E46F3D">
        <w:rPr>
          <w:color w:val="000000"/>
        </w:rPr>
        <w:t xml:space="preserve">na účely stanovenia poistného limitu, pričom nebudú poskytnuté tretím osobám ani poistnému klientovi t.j. IS. Na základe odmietnutia poskytnúť dané údaje, EHS nepoistila firmu TINBYT. Pre firmu TINBYT to znamená, že IS jej nemôže poskytnúť, v rámci všeobecných podmienok, dodávateľský úver dlhší ako 7 dní. </w:t>
      </w:r>
      <w:r w:rsidR="00733C19">
        <w:rPr>
          <w:color w:val="000000"/>
        </w:rPr>
        <w:br/>
      </w:r>
      <w:r w:rsidR="00E46F3D">
        <w:rPr>
          <w:color w:val="000000"/>
        </w:rPr>
        <w:t>Po oznámení tej</w:t>
      </w:r>
      <w:r w:rsidR="009A7705">
        <w:rPr>
          <w:color w:val="000000"/>
        </w:rPr>
        <w:t>to skutočnosti firma TINBYT, Slovensko</w:t>
      </w:r>
      <w:r w:rsidR="00E46F3D">
        <w:rPr>
          <w:color w:val="000000"/>
        </w:rPr>
        <w:t xml:space="preserve"> súhlasil</w:t>
      </w:r>
      <w:r w:rsidR="009A7705">
        <w:rPr>
          <w:color w:val="000000"/>
        </w:rPr>
        <w:t>a</w:t>
      </w:r>
      <w:r w:rsidR="00E46F3D">
        <w:rPr>
          <w:color w:val="000000"/>
        </w:rPr>
        <w:t xml:space="preserve"> s touto podmienkou, dokonca začal</w:t>
      </w:r>
      <w:r w:rsidR="009A7705">
        <w:rPr>
          <w:color w:val="000000"/>
        </w:rPr>
        <w:t>a</w:t>
      </w:r>
      <w:r w:rsidR="00E46F3D">
        <w:rPr>
          <w:color w:val="000000"/>
        </w:rPr>
        <w:t xml:space="preserve"> s obchodným riaditeľom IS Ing. Jiří Tourkom vyjednávať dodatočné skontá za platbu predom. Po vzájomnom obchodnom rokovaní sa dohodli na podmienke dodatočného skonta vo výške 3% pri platbe pred nakládkou (FCA sklad IS, Teplice, ČR) alebo dodatočné skonto vo výške 2% pri platbe do 7 kalendárnych dní od naloženia tovaru (FCA sklad IS, Teplice, ČR).</w:t>
      </w:r>
    </w:p>
    <w:p w:rsidR="001827B7" w:rsidRDefault="00E46F3D" w:rsidP="00657A77">
      <w:pPr>
        <w:spacing w:before="240"/>
      </w:pPr>
      <w:r>
        <w:t>V praxi to znamená, že TINBYT, Slovensko využíva platobnú podmienku dodatočného skonta 3% pri platbe pred nakládkou</w:t>
      </w:r>
      <w:r w:rsidR="009A7705">
        <w:t xml:space="preserve"> (Hladka platba)</w:t>
      </w:r>
      <w:r>
        <w:t>, pri ktorej získava</w:t>
      </w:r>
      <w:r w:rsidR="009A7705">
        <w:t xml:space="preserve"> značnú konkurenčnú výhodu.</w:t>
      </w:r>
      <w:r w:rsidR="001827B7">
        <w:t xml:space="preserve"> </w:t>
      </w:r>
      <w:r w:rsidR="009A7705">
        <w:t xml:space="preserve">Napr. ak </w:t>
      </w:r>
      <w:r w:rsidR="001827B7">
        <w:t>celoročný odber od dodávateľa IS je</w:t>
      </w:r>
      <w:r w:rsidR="00EE5688">
        <w:t xml:space="preserve"> </w:t>
      </w:r>
      <w:r w:rsidR="001827B7">
        <w:t xml:space="preserve">vo výške </w:t>
      </w:r>
      <w:r w:rsidR="009A7705">
        <w:br/>
      </w:r>
      <w:r w:rsidR="001827B7">
        <w:t>€ 2,8 mil</w:t>
      </w:r>
      <w:r w:rsidR="009A7705">
        <w:t>ióna</w:t>
      </w:r>
      <w:r w:rsidR="001827B7">
        <w:t xml:space="preserve">, činí úspora </w:t>
      </w:r>
      <w:r w:rsidR="009A7705">
        <w:t xml:space="preserve">pre firmu TINBYT, Slovensko </w:t>
      </w:r>
      <w:r w:rsidR="001827B7">
        <w:t>pri platbe predo</w:t>
      </w:r>
      <w:r w:rsidR="009A7705">
        <w:t>m € 84 tisíc (SKK 2 530 584,--).</w:t>
      </w:r>
    </w:p>
    <w:p w:rsidR="00EC55E6" w:rsidRDefault="001827B7" w:rsidP="00657A77">
      <w:pPr>
        <w:spacing w:before="240"/>
      </w:pPr>
      <w:r w:rsidRPr="001827B7">
        <w:rPr>
          <w:b/>
        </w:rPr>
        <w:t>Priebeh vývoznej operácie</w:t>
      </w:r>
      <w:r>
        <w:t xml:space="preserve"> – po odoslaní objednávky z logistického centra T</w:t>
      </w:r>
      <w:r w:rsidR="00733C19">
        <w:t>INBYT</w:t>
      </w:r>
      <w:r>
        <w:t xml:space="preserve">, začne IS pripravovať tovar.  </w:t>
      </w:r>
      <w:r w:rsidR="00094314">
        <w:t xml:space="preserve">Predávajúci má povinnosť pripravenosť tovaru na sklade oznámiť kupujúcemu, ktorý si daný tovar naloží vlastným dopravným prostriedkom. (t.j. nevyužíva špedičné služby). Veľmi dôležité zo strany predávajúceho je správne balenie a označenie zásielky aby sa nestala zámena, poškodenie tovaru alebo dokonca znehodnotenie. Dodacia parita FCA, sklad Teplice, ČR (INCOTERMS 2010) znamená že IS si svoju povinnosť splní, keď dodá tovar k dispozícii kupujúcemu na dohodnutom mieste, t.j. sklad Teplice, Zemská 623, ČR. </w:t>
      </w:r>
      <w:r w:rsidR="00EC55E6">
        <w:t>Predávajúci je zodpovedný za naloženie tovaru. Ako uvádzajú Kašťáková, Pullmanová a Svobodová</w:t>
      </w:r>
      <w:r w:rsidR="00EC55E6">
        <w:rPr>
          <w:rStyle w:val="Znakapoznpodarou"/>
        </w:rPr>
        <w:footnoteReference w:id="151"/>
      </w:r>
      <w:r w:rsidR="00EC55E6">
        <w:t xml:space="preserve"> </w:t>
      </w:r>
      <w:r>
        <w:t xml:space="preserve"> </w:t>
      </w:r>
      <w:r w:rsidR="00EC55E6">
        <w:t xml:space="preserve">nezabezpečenie a nepripravenosť jednej zo zmluvných strán môže mať vážne dôsledky na hladký priebeh operácie. Úlohou vývozcu je pripraviť spolu s tovarom aj sprievodné doklady </w:t>
      </w:r>
      <w:r w:rsidR="00EC55E6">
        <w:lastRenderedPageBreak/>
        <w:t>(faktúru, nákladný list, baliaci list, CMR</w:t>
      </w:r>
      <w:r w:rsidR="00EC55E6">
        <w:rPr>
          <w:rStyle w:val="Znakapoznpodarou"/>
        </w:rPr>
        <w:footnoteReference w:id="152"/>
      </w:r>
      <w:r w:rsidR="00EC55E6">
        <w:t xml:space="preserve">). V tomto prípade je veľmi dôležité zrealizovať transfer peňazí na účet predávajúceho pred nakládkou tovaru. </w:t>
      </w:r>
    </w:p>
    <w:p w:rsidR="000208E3" w:rsidRDefault="00EC55E6" w:rsidP="00657A77">
      <w:pPr>
        <w:spacing w:before="240"/>
      </w:pPr>
      <w:r>
        <w:t xml:space="preserve">Obe zmluvné strany sú členmi </w:t>
      </w:r>
      <w:r w:rsidR="001865E2">
        <w:t>Európskeho Hospodárskeho Priestoru (EHS)</w:t>
      </w:r>
      <w:r w:rsidR="005F1C10">
        <w:t>,</w:t>
      </w:r>
      <w:r w:rsidR="001865E2" w:rsidRPr="001865E2">
        <w:rPr>
          <w:rStyle w:val="Znakapoznpodarou"/>
        </w:rPr>
        <w:t xml:space="preserve"> </w:t>
      </w:r>
      <w:r w:rsidR="001865E2">
        <w:rPr>
          <w:rStyle w:val="Znakapoznpodarou"/>
        </w:rPr>
        <w:footnoteReference w:id="153"/>
      </w:r>
      <w:r>
        <w:t xml:space="preserve"> preto pri realizácii transferu peňazí využívajú SEPA systém – Jednotný európsky platobný priestor (viď. Kapitola 2.12.1). </w:t>
      </w:r>
      <w:r w:rsidR="000208E3">
        <w:t xml:space="preserve">SEPA Credit Transfers (SCT) je platba, ktorú inicializuje platca, v našom prípade TINBYT, Slovensko. </w:t>
      </w:r>
      <w:r>
        <w:t xml:space="preserve"> </w:t>
      </w:r>
      <w:r w:rsidR="000208E3">
        <w:t>Podľa Pavelku</w:t>
      </w:r>
      <w:r w:rsidR="000208E3">
        <w:rPr>
          <w:rStyle w:val="Znakapoznpodarou"/>
        </w:rPr>
        <w:footnoteReference w:id="154"/>
      </w:r>
      <w:r w:rsidR="000208E3">
        <w:t xml:space="preserve">  základnou výhodou </w:t>
      </w:r>
      <w:r w:rsidR="005F1C10">
        <w:t xml:space="preserve"> SCT </w:t>
      </w:r>
      <w:r w:rsidR="000208E3">
        <w:t xml:space="preserve">je:  </w:t>
      </w:r>
    </w:p>
    <w:p w:rsidR="000208E3" w:rsidRDefault="000208E3" w:rsidP="000208E3">
      <w:pPr>
        <w:pStyle w:val="Odrka1stupn"/>
        <w:rPr>
          <w:iCs/>
        </w:rPr>
      </w:pPr>
      <w:r>
        <w:rPr>
          <w:iCs/>
        </w:rPr>
        <w:t>Na účet príjemcu sa pripíše plná suma</w:t>
      </w:r>
      <w:r w:rsidRPr="00807E9B">
        <w:rPr>
          <w:iCs/>
        </w:rPr>
        <w:t>;</w:t>
      </w:r>
    </w:p>
    <w:p w:rsidR="000208E3" w:rsidRDefault="000208E3" w:rsidP="000208E3">
      <w:pPr>
        <w:pStyle w:val="Odrka1stupn"/>
        <w:rPr>
          <w:iCs/>
        </w:rPr>
      </w:pPr>
      <w:r>
        <w:rPr>
          <w:iCs/>
        </w:rPr>
        <w:t>Výška platby nie je obmedzená</w:t>
      </w:r>
      <w:r w:rsidRPr="00807E9B">
        <w:rPr>
          <w:iCs/>
        </w:rPr>
        <w:t>;</w:t>
      </w:r>
    </w:p>
    <w:p w:rsidR="000208E3" w:rsidRDefault="000208E3" w:rsidP="000208E3">
      <w:pPr>
        <w:pStyle w:val="Odrka1stupn"/>
        <w:rPr>
          <w:iCs/>
        </w:rPr>
      </w:pPr>
      <w:r>
        <w:rPr>
          <w:iCs/>
        </w:rPr>
        <w:t>Maximálny čas zúčtovania sú tri pracovné dni</w:t>
      </w:r>
      <w:r w:rsidRPr="00807E9B">
        <w:rPr>
          <w:iCs/>
        </w:rPr>
        <w:t>;</w:t>
      </w:r>
    </w:p>
    <w:p w:rsidR="000208E3" w:rsidRDefault="000208E3" w:rsidP="000208E3">
      <w:pPr>
        <w:pStyle w:val="Odrka1stupn"/>
        <w:rPr>
          <w:iCs/>
        </w:rPr>
      </w:pPr>
      <w:r>
        <w:rPr>
          <w:iCs/>
        </w:rPr>
        <w:t>Na identifikáciu účtov za používajú kódy IBAN</w:t>
      </w:r>
      <w:r>
        <w:rPr>
          <w:rStyle w:val="Znakapoznpodarou"/>
        </w:rPr>
        <w:footnoteReference w:id="155"/>
      </w:r>
      <w:r>
        <w:t xml:space="preserve"> </w:t>
      </w:r>
      <w:r>
        <w:rPr>
          <w:iCs/>
        </w:rPr>
        <w:t xml:space="preserve"> a SWIFT</w:t>
      </w:r>
      <w:r>
        <w:rPr>
          <w:rStyle w:val="Znakapoznpodarou"/>
          <w:i/>
          <w:iCs/>
        </w:rPr>
        <w:footnoteReference w:id="156"/>
      </w:r>
      <w:r w:rsidRPr="00807E9B">
        <w:rPr>
          <w:iCs/>
        </w:rPr>
        <w:t>;</w:t>
      </w:r>
    </w:p>
    <w:p w:rsidR="000208E3" w:rsidRDefault="000208E3" w:rsidP="000208E3">
      <w:pPr>
        <w:pStyle w:val="Odrka1stupn"/>
        <w:rPr>
          <w:iCs/>
        </w:rPr>
      </w:pPr>
      <w:r>
        <w:rPr>
          <w:iCs/>
        </w:rPr>
        <w:t>Do krajín EÚ zahrňujú aj spôsob hlásenia odmietnutých a vrátených platieb</w:t>
      </w:r>
      <w:r w:rsidR="005F1C10">
        <w:rPr>
          <w:iCs/>
        </w:rPr>
        <w:t>.</w:t>
      </w:r>
    </w:p>
    <w:p w:rsidR="005F1C10" w:rsidRDefault="00123201" w:rsidP="00657A77">
      <w:pPr>
        <w:spacing w:before="240"/>
      </w:pPr>
      <w:r>
        <w:t>Firma TINBYT, Slovensko má zmluvu s peňažným ústavom OTP, Prešov</w:t>
      </w:r>
      <w:r w:rsidR="00642BA2">
        <w:t>.</w:t>
      </w:r>
      <w:r>
        <w:t xml:space="preserve"> </w:t>
      </w:r>
      <w:r w:rsidR="001865E2">
        <w:t>Čo sa týka bankových poplatkov</w:t>
      </w:r>
      <w:r>
        <w:t xml:space="preserve"> (</w:t>
      </w:r>
      <w:r w:rsidR="001865E2">
        <w:t>v rámci SCT</w:t>
      </w:r>
      <w:r>
        <w:t>)</w:t>
      </w:r>
      <w:r w:rsidR="001865E2">
        <w:t xml:space="preserve"> </w:t>
      </w:r>
      <w:r w:rsidR="00642BA2">
        <w:t xml:space="preserve">sa </w:t>
      </w:r>
      <w:r w:rsidR="001865E2">
        <w:t xml:space="preserve">účtujú akoby išlo o platbu v tuzemsku.  </w:t>
      </w:r>
      <w:r w:rsidR="00733C19">
        <w:br/>
      </w:r>
      <w:r w:rsidR="001865E2">
        <w:t>Pri transfere peňazí do výšky €</w:t>
      </w:r>
      <w:r w:rsidR="00733C19">
        <w:t xml:space="preserve"> </w:t>
      </w:r>
      <w:r w:rsidR="001865E2">
        <w:t>50 000 si banka účtuje €</w:t>
      </w:r>
      <w:r w:rsidR="00733C19">
        <w:t xml:space="preserve"> </w:t>
      </w:r>
      <w:r w:rsidR="001865E2">
        <w:t>0,15 za prevod</w:t>
      </w:r>
      <w:r w:rsidR="00FE18D8">
        <w:t xml:space="preserve"> v rámci elektronického bankovníctva</w:t>
      </w:r>
      <w:r w:rsidR="001865E2">
        <w:t>, pri dispozícii poplatkov SHA – priorita Normál.</w:t>
      </w:r>
      <w:r>
        <w:t xml:space="preserve"> Ekonóm TINBYT</w:t>
      </w:r>
      <w:r w:rsidR="00FE18D8">
        <w:t xml:space="preserve">, ktorý </w:t>
      </w:r>
      <w:r>
        <w:t>ma na starosti úhrady faktúr do IS, rozdeľuje platby aby jeden transf</w:t>
      </w:r>
      <w:r w:rsidR="005F1C10">
        <w:t>e</w:t>
      </w:r>
      <w:r>
        <w:t xml:space="preserve">r nemal vyššiu hodnotu ako </w:t>
      </w:r>
      <w:r w:rsidR="001865E2">
        <w:t>€</w:t>
      </w:r>
      <w:r w:rsidR="00733C19">
        <w:t xml:space="preserve"> </w:t>
      </w:r>
      <w:r w:rsidR="001865E2">
        <w:t>50</w:t>
      </w:r>
      <w:r>
        <w:t> </w:t>
      </w:r>
      <w:r w:rsidR="001865E2">
        <w:t>000</w:t>
      </w:r>
      <w:r>
        <w:t>. Ak by hodnota bola vyššia ako €</w:t>
      </w:r>
      <w:r w:rsidR="00733C19">
        <w:t xml:space="preserve"> </w:t>
      </w:r>
      <w:r>
        <w:t xml:space="preserve">50 000 </w:t>
      </w:r>
      <w:r w:rsidR="005F1C10">
        <w:t>bankové poplatky budú 1% z transferu (maximálne €</w:t>
      </w:r>
      <w:r w:rsidR="00733C19">
        <w:t xml:space="preserve"> </w:t>
      </w:r>
      <w:r w:rsidR="005F1C10">
        <w:t>50</w:t>
      </w:r>
      <w:r w:rsidR="0083744F">
        <w:t>,-</w:t>
      </w:r>
      <w:r w:rsidR="005F1C10">
        <w:t xml:space="preserve"> čo je výrazný</w:t>
      </w:r>
      <w:r>
        <w:t xml:space="preserve"> </w:t>
      </w:r>
      <w:r w:rsidR="00642BA2">
        <w:t xml:space="preserve"> rozdiel oproti</w:t>
      </w:r>
      <w:r w:rsidR="005F1C10">
        <w:t xml:space="preserve"> €</w:t>
      </w:r>
      <w:r w:rsidR="00733C19">
        <w:t xml:space="preserve"> </w:t>
      </w:r>
      <w:r w:rsidR="005F1C10">
        <w:t xml:space="preserve">0,15). </w:t>
      </w:r>
      <w:r w:rsidR="00642BA2">
        <w:t xml:space="preserve">Pri Hladkej platbe (zúčastnené strany sa navzájom poznajú a dôverujú si) sú nevyhnutné náležitosti platobnej inštrukcie pre zrealizovanie transferu do zahraničia: </w:t>
      </w:r>
    </w:p>
    <w:p w:rsidR="00642BA2" w:rsidRDefault="00642BA2" w:rsidP="00642BA2">
      <w:pPr>
        <w:pStyle w:val="Odrka1stupn"/>
        <w:rPr>
          <w:iCs/>
        </w:rPr>
      </w:pPr>
      <w:r>
        <w:rPr>
          <w:iCs/>
        </w:rPr>
        <w:lastRenderedPageBreak/>
        <w:t xml:space="preserve">presný názov a adresa príjemcu – majiteľa účtu (názov firmy, plné meno a priezvisko, </w:t>
      </w:r>
      <w:r>
        <w:t>úplnú adresu, mesto, štát)</w:t>
      </w:r>
      <w:r w:rsidRPr="00807E9B">
        <w:rPr>
          <w:iCs/>
        </w:rPr>
        <w:t>;</w:t>
      </w:r>
    </w:p>
    <w:p w:rsidR="00642BA2" w:rsidRDefault="00642BA2" w:rsidP="00642BA2">
      <w:pPr>
        <w:pStyle w:val="Odrka1stupn"/>
        <w:rPr>
          <w:iCs/>
        </w:rPr>
      </w:pPr>
      <w:r>
        <w:t>úplné číslo účtu príjemcu v tvare IBAN</w:t>
      </w:r>
    </w:p>
    <w:p w:rsidR="00642BA2" w:rsidRDefault="00642BA2" w:rsidP="00642BA2">
      <w:pPr>
        <w:pStyle w:val="Odrka1stupn"/>
        <w:rPr>
          <w:iCs/>
        </w:rPr>
      </w:pPr>
      <w:r>
        <w:t>presný, neskrátený názov a adresu banky: napr. OTP Banka Slovensko, a.s., Štúrova 5, 813 54 Bratislava (príp. mesto kde sídli pobočka OTP Banky), SK (Slovakia)</w:t>
      </w:r>
      <w:r w:rsidRPr="00642BA2">
        <w:rPr>
          <w:iCs/>
        </w:rPr>
        <w:t xml:space="preserve"> </w:t>
      </w:r>
      <w:r w:rsidRPr="00807E9B">
        <w:rPr>
          <w:iCs/>
        </w:rPr>
        <w:t>;</w:t>
      </w:r>
    </w:p>
    <w:p w:rsidR="00642BA2" w:rsidRDefault="00642BA2" w:rsidP="00642BA2">
      <w:pPr>
        <w:pStyle w:val="Odrka1stupn"/>
        <w:rPr>
          <w:iCs/>
        </w:rPr>
      </w:pPr>
      <w:r>
        <w:t>swiftový BIC kód, napr. OTP Banky: OTPVSKBX</w:t>
      </w:r>
      <w:r w:rsidRPr="00807E9B">
        <w:rPr>
          <w:iCs/>
        </w:rPr>
        <w:t>;</w:t>
      </w:r>
    </w:p>
    <w:p w:rsidR="00642BA2" w:rsidRDefault="00642BA2" w:rsidP="00642BA2">
      <w:pPr>
        <w:pStyle w:val="Odrka1stupn"/>
        <w:rPr>
          <w:iCs/>
        </w:rPr>
      </w:pPr>
      <w:r>
        <w:t>korešpondentskú banku v závislosti od cudzej meny, v ktorej sa platba realizuje</w:t>
      </w:r>
      <w:r w:rsidRPr="00807E9B">
        <w:rPr>
          <w:iCs/>
        </w:rPr>
        <w:t>;</w:t>
      </w:r>
    </w:p>
    <w:p w:rsidR="00642BA2" w:rsidRDefault="00642BA2" w:rsidP="00642BA2">
      <w:pPr>
        <w:pStyle w:val="Odrka1stupn"/>
        <w:rPr>
          <w:iCs/>
        </w:rPr>
      </w:pPr>
      <w:r>
        <w:t>slovný popis účelu platby, prípadne aj príslušný platobný titul.</w:t>
      </w:r>
    </w:p>
    <w:p w:rsidR="00642BA2" w:rsidRDefault="00642BA2" w:rsidP="00657A77">
      <w:pPr>
        <w:spacing w:before="240"/>
      </w:pPr>
      <w:r>
        <w:t xml:space="preserve">Spracovanie hladkých platieb </w:t>
      </w:r>
      <w:r>
        <w:rPr>
          <w:b/>
          <w:bCs/>
        </w:rPr>
        <w:t>do zahraničia</w:t>
      </w:r>
      <w:r>
        <w:t xml:space="preserve"> prebieha v on-line režime okamžitého zúčtovania voči eurovému alebo cudzomenovému účtu klienta v deň splatnosti.</w:t>
      </w:r>
    </w:p>
    <w:p w:rsidR="00642BA2" w:rsidRDefault="00642BA2" w:rsidP="00657A77">
      <w:pPr>
        <w:spacing w:before="240"/>
      </w:pPr>
      <w:r>
        <w:t xml:space="preserve">V prípade neuvedenia čísla účtu v správnom formáte IBAN a identifikačného </w:t>
      </w:r>
      <w:r w:rsidR="0083744F">
        <w:t xml:space="preserve">kódu v tvare BIC (SWIFT) si banky so sídlom v EHP môžu vyžiadať dodatočný tzv. Non STP (Non Staight Through Processing) poplatok, t.j. poplatok za nesplnenie kritéria </w:t>
      </w:r>
      <w:r w:rsidR="006C5DE7">
        <w:br/>
      </w:r>
      <w:r w:rsidR="0083744F">
        <w:t xml:space="preserve">na automatizované spracovanie cezhraničného prevodu. </w:t>
      </w:r>
    </w:p>
    <w:p w:rsidR="005F1C10" w:rsidRDefault="005F1C10" w:rsidP="005F1C10">
      <w:pPr>
        <w:pStyle w:val="Zkladntext"/>
      </w:pPr>
      <w:r>
        <w:t>Firma TINBYT, Slovensko  má podľa zákona povinnosť ako dovozca podľa § 9 zákona č. 529/2002 Z.z. O obaloch a doplnení niektorých zákonov v znení neskorších predpisov povinnosť zabezpečiť zber odpadov z obalov a ich zhodnocovanie a recykláciu minimálne v rozsahu záväzných limitov ustanovených v nariadení vlády SR. Firma TINBYT, Slovensko sa zaregistrovala u firmy NATUR-PACK, a.s. so sídlom Ružová dolina č. 6, 821 08 Bratislava</w:t>
      </w:r>
      <w:r w:rsidR="000B6D96">
        <w:t>, (viď. Príloha 8).</w:t>
      </w:r>
      <w:r>
        <w:t xml:space="preserve"> NATUR-PACK je oprávnenou organizáciou, ktorá zabezpečuje za TINBYT, Slovensko zber odpadov z obalov </w:t>
      </w:r>
      <w:r w:rsidR="00733C19">
        <w:br/>
      </w:r>
      <w:r>
        <w:t>a ich zhodnocovanie a recykláciu. TINBYT, Slovensko je povinný poskytnúť realizátorovi v štvrťročných termínoch podrobné informácie o množstve všetkých obalov a obalových materiálov, ktoré objednávateľ uviedol na trh v príslušnom štvrťroku podľa druhu, materiálu a množstva v tonách a to písomnou formou najneskôr do 10 dní nasledujúceho kalendárneho štvrťroku.</w:t>
      </w:r>
      <w:r w:rsidR="009E0403">
        <w:t xml:space="preserve"> Dané hlásenia TINBYT, Slovensko podáva elektronicky. Na základe daného evidenčného listu (ktorý sa okrem NATUR-PACK posiela aj na Krajský úrad Životného prostredia v Prešove, nám. Mieru 2, </w:t>
      </w:r>
      <w:r w:rsidR="00733C19">
        <w:br/>
      </w:r>
      <w:r w:rsidR="009E0403">
        <w:lastRenderedPageBreak/>
        <w:t xml:space="preserve">08001 Prešov aj na Recyklačný fond, Nobelová 18, 831 02 Bratislava) NATUR-PACK vypočíta sumu, ktorú musí TINBYT, Slovensko zaplatiť zato, že </w:t>
      </w:r>
      <w:r w:rsidR="009E0403" w:rsidRPr="000B6D96">
        <w:t>doviezol na Slovensko odpad, (viď. Príloha 9).</w:t>
      </w:r>
    </w:p>
    <w:p w:rsidR="00E50142" w:rsidRDefault="009E0403" w:rsidP="00657A77">
      <w:pPr>
        <w:spacing w:before="240"/>
      </w:pPr>
      <w:r>
        <w:t xml:space="preserve">V predchádzajúcich Kapitolách sme rozobrali tri najbežnejšie obchodné prípady spoločnosti Ideal Standard. V praxi často dochádza k chybovosti pri zjednávaní obchodných operácii, ktoré môžu mať hlboký dosah na plnenie povinností vyplývajúce zo zmluvy. </w:t>
      </w:r>
      <w:r w:rsidR="00E50142">
        <w:t xml:space="preserve">Definičné pojatie publikácie </w:t>
      </w:r>
      <w:r w:rsidR="00E50142" w:rsidRPr="00E50142">
        <w:rPr>
          <w:i/>
        </w:rPr>
        <w:t>,,Riziká v komerční praxi“</w:t>
      </w:r>
      <w:r w:rsidR="00E50142">
        <w:t xml:space="preserve"> od Janatku, </w:t>
      </w:r>
      <w:r w:rsidR="00E50142">
        <w:rPr>
          <w:rStyle w:val="Znakapoznpodarou"/>
        </w:rPr>
        <w:footnoteReference w:id="157"/>
      </w:r>
      <w:r>
        <w:t xml:space="preserve"> </w:t>
      </w:r>
      <w:r w:rsidR="00733C19">
        <w:br/>
      </w:r>
      <w:r w:rsidR="00E50142">
        <w:t xml:space="preserve">sa na nesprávnu alebo neúplnú Kúpnu zmluvu pozerá ako na  rozdielny výklad povinností a záväzkov predávajúceho a kupujúceho, ktoré je neskôr nutné v praxi riešiť mnohými spôsobmi, ktoré vedú často k sporom a neskôr aj k strate obchodného partnera. </w:t>
      </w:r>
    </w:p>
    <w:p w:rsidR="00E50142" w:rsidRDefault="00E50142" w:rsidP="00657A77">
      <w:pPr>
        <w:spacing w:before="240"/>
        <w:rPr>
          <w:b/>
        </w:rPr>
      </w:pPr>
      <w:r>
        <w:rPr>
          <w:b/>
        </w:rPr>
        <w:t>Aké najčastejšie c</w:t>
      </w:r>
      <w:r w:rsidRPr="00E50142">
        <w:rPr>
          <w:b/>
        </w:rPr>
        <w:t>hyby</w:t>
      </w:r>
      <w:r>
        <w:rPr>
          <w:b/>
        </w:rPr>
        <w:t xml:space="preserve"> vznikajú  pri uzatváraní Kúpnych zmlúv?</w:t>
      </w:r>
    </w:p>
    <w:p w:rsidR="00F24036" w:rsidRDefault="00F24036" w:rsidP="00657A77">
      <w:pPr>
        <w:spacing w:before="240"/>
        <w:rPr>
          <w:b/>
        </w:rPr>
      </w:pPr>
      <w:r>
        <w:rPr>
          <w:b/>
        </w:rPr>
        <w:t xml:space="preserve">Popis tovaru – </w:t>
      </w:r>
      <w:r>
        <w:t xml:space="preserve">sa výrazne líši podľa druhu tovaru. U technický náročných výrobkov </w:t>
      </w:r>
      <w:r w:rsidR="00733C19">
        <w:br/>
      </w:r>
      <w:r>
        <w:t xml:space="preserve">je nutné doložiť k popisu tovaru aj technickými a konštrukčnými výkresmi, tak aby bol predmet zmluvy definovaný čo najpresnejšie. </w:t>
      </w:r>
      <w:r w:rsidR="00E50142" w:rsidRPr="00E50142">
        <w:rPr>
          <w:b/>
        </w:rPr>
        <w:t xml:space="preserve"> </w:t>
      </w:r>
    </w:p>
    <w:p w:rsidR="00F24036" w:rsidRDefault="00F24036" w:rsidP="00657A77">
      <w:pPr>
        <w:spacing w:before="240"/>
      </w:pPr>
      <w:r>
        <w:rPr>
          <w:b/>
        </w:rPr>
        <w:t xml:space="preserve">Dodacia doba – </w:t>
      </w:r>
      <w:r>
        <w:t xml:space="preserve">nedodržanie dodacej doby sa radí ku komerčným rizikám. K tomu </w:t>
      </w:r>
      <w:r w:rsidR="00733C19">
        <w:br/>
      </w:r>
      <w:r>
        <w:t xml:space="preserve">aby predávajúci dodržal podmienku dodania tovaru, slúži aj zjedanie </w:t>
      </w:r>
      <w:r w:rsidRPr="00F24036">
        <w:rPr>
          <w:b/>
          <w:i/>
        </w:rPr>
        <w:t>,,zmluvnej pokuty“</w:t>
      </w:r>
      <w:r>
        <w:t xml:space="preserve"> v Kúpnej zmluve. V prvom (viď. Kapitola 3.3.1) a druhom obchodnom prípade (viď. Kapitola 3.3.2) bola dohodnutá dodacia doba </w:t>
      </w:r>
      <w:r w:rsidRPr="00F24036">
        <w:rPr>
          <w:b/>
          <w:i/>
        </w:rPr>
        <w:t>,,presne“</w:t>
      </w:r>
      <w:r>
        <w:t xml:space="preserve">, t.j. ku konkrétnemu dátumu., napr. k 30. 1. 2012). V treťom obchodnom prípade (viď. Kapitola 3.3.3) </w:t>
      </w:r>
      <w:r w:rsidR="00733C19">
        <w:br/>
      </w:r>
      <w:r>
        <w:t xml:space="preserve">IS v Kúpnej zmluve stanovil dodaciu dobu </w:t>
      </w:r>
      <w:r w:rsidRPr="00F24036">
        <w:rPr>
          <w:b/>
          <w:i/>
        </w:rPr>
        <w:t>,,na odvolávku“</w:t>
      </w:r>
      <w:r>
        <w:t xml:space="preserve">, t.j. kupujúci (TINBYT) dodávku ,,odvolá“ – tento typ dodávky býva najčastejšie pri celoročnom objeme zjednaného množstva tovaru. </w:t>
      </w:r>
    </w:p>
    <w:p w:rsidR="00F9401F" w:rsidRDefault="00F9401F" w:rsidP="00657A77">
      <w:pPr>
        <w:spacing w:before="240"/>
      </w:pPr>
      <w:r w:rsidRPr="00F9401F">
        <w:rPr>
          <w:b/>
        </w:rPr>
        <w:t xml:space="preserve">Jazyk Kúpnej zmluvy - </w:t>
      </w:r>
      <w:r w:rsidR="00F24036">
        <w:t xml:space="preserve"> </w:t>
      </w:r>
      <w:r>
        <w:t>ako uvádza Janatka,</w:t>
      </w:r>
      <w:r w:rsidRPr="00F9401F">
        <w:rPr>
          <w:rStyle w:val="Znakapoznpodarou"/>
        </w:rPr>
        <w:t xml:space="preserve"> </w:t>
      </w:r>
      <w:r>
        <w:rPr>
          <w:rStyle w:val="Znakapoznpodarou"/>
        </w:rPr>
        <w:footnoteReference w:id="158"/>
      </w:r>
      <w:r>
        <w:t xml:space="preserve"> v publikácii </w:t>
      </w:r>
      <w:r w:rsidRPr="00E50142">
        <w:rPr>
          <w:i/>
        </w:rPr>
        <w:t>,,Riziká v komerční praxi“</w:t>
      </w:r>
      <w:r>
        <w:t xml:space="preserve"> je pri medzinárodnom obchode veľmi dôležité (hlavne v obchodnom prípade LEA, Alžírsko), aby bola určená tzv.</w:t>
      </w:r>
      <w:r w:rsidRPr="00F9401F">
        <w:rPr>
          <w:b/>
          <w:i/>
        </w:rPr>
        <w:t xml:space="preserve"> riadiaca jazyková verzia</w:t>
      </w:r>
      <w:r>
        <w:rPr>
          <w:b/>
          <w:i/>
        </w:rPr>
        <w:t>,</w:t>
      </w:r>
      <w:r>
        <w:t xml:space="preserve"> ktorá bude rozhodná v prípade rozporu medzi dvoma jazykovými verziami, pričom Janatka doporučuje, </w:t>
      </w:r>
      <w:r w:rsidR="00733C19">
        <w:br/>
      </w:r>
      <w:r>
        <w:lastRenderedPageBreak/>
        <w:t xml:space="preserve">aby obe strany autorizovali český preklad, ktorý bude v prípade potreby predložený súdu. Túto autorizovanú verziu doporučuje vložiť aj do prílohy Kúpnej zmluvy. </w:t>
      </w:r>
    </w:p>
    <w:p w:rsidR="00F9401F" w:rsidRDefault="00F9401F" w:rsidP="00657A77">
      <w:pPr>
        <w:spacing w:before="240"/>
      </w:pPr>
      <w:r w:rsidRPr="00F9401F">
        <w:rPr>
          <w:b/>
        </w:rPr>
        <w:t xml:space="preserve">Voľba práva - </w:t>
      </w:r>
      <w:r>
        <w:t>podľa Rímskej dohovoru sa kúpna zmluva riadi právom zvoleným stranami, pričom voľba práva musí byť výslovná alebo musí vyplývať s dostatočnou istotou z ustanovenia zmluvy. Rímsky dohovor vychádza  z výslovnej voľby práva, ktorá nie je obmedzená iba na právo krajín EÚ.</w:t>
      </w:r>
    </w:p>
    <w:p w:rsidR="00DC12B8" w:rsidRDefault="00DC12B8" w:rsidP="00657A77">
      <w:pPr>
        <w:spacing w:before="240"/>
      </w:pPr>
      <w:r w:rsidRPr="00DC12B8">
        <w:rPr>
          <w:b/>
        </w:rPr>
        <w:t xml:space="preserve">Riešenie sporov </w:t>
      </w:r>
      <w:r>
        <w:rPr>
          <w:b/>
        </w:rPr>
        <w:t>–</w:t>
      </w:r>
      <w:r w:rsidRPr="00DC12B8">
        <w:rPr>
          <w:b/>
        </w:rPr>
        <w:t xml:space="preserve"> </w:t>
      </w:r>
      <w:r>
        <w:t>plynulé riešenie sporov je základnou požiadavkou vymahateľnosti práva v akomkoľvek právnom systéme. Ak zmluvné strany sa výslovne v zmluve dohodnú, že pri riešení sporov využijú Arbitráž,</w:t>
      </w:r>
      <w:r>
        <w:rPr>
          <w:rStyle w:val="Znakapoznpodarou"/>
        </w:rPr>
        <w:footnoteReference w:id="159"/>
      </w:r>
      <w:r>
        <w:t xml:space="preserve"> t.j. nezávislý súd, napr. </w:t>
      </w:r>
      <w:r w:rsidR="00733C19">
        <w:br/>
      </w:r>
      <w:r>
        <w:t xml:space="preserve">pri obchodnom prípade LEA, Alžírsko – sudca z ČR, sudca z Alžírska a tretí sudca, ktorý musí byť vopred určený. Počet sudcov v senáte musí byť vopred stanovený v Kúpnej zmluve. Výhodou je rýchlejšie vyriešenie sporu, no na druhej strane je drahší a rozhodnutie je neodvolateľné. </w:t>
      </w:r>
    </w:p>
    <w:p w:rsidR="006361DD" w:rsidRDefault="00DC12B8" w:rsidP="00657A77">
      <w:pPr>
        <w:spacing w:before="240"/>
      </w:pPr>
      <w:r w:rsidRPr="00DC12B8">
        <w:rPr>
          <w:b/>
        </w:rPr>
        <w:t xml:space="preserve">Vady tovaru - </w:t>
      </w:r>
      <w:r>
        <w:t xml:space="preserve"> za vady za považuje dodanie iného tovaru, ako je uvedený v Kúpnej zmluve. Vady </w:t>
      </w:r>
      <w:r w:rsidR="006361DD">
        <w:t>rozlišuje</w:t>
      </w:r>
      <w:r>
        <w:t xml:space="preserve"> na ,,zjavné“ (ide o neprehľadnuteľné vady na tovare alebo obale) alebo </w:t>
      </w:r>
      <w:r w:rsidR="006361DD">
        <w:t>,,skryté“ (zistenie je obvyklé po určitej dobe od dodania tovaru). Z hľadiska reklamačného rozlišujeme vady odstrániteľné (oprava vadného výrobku, kupujúci si vadu odstráni sám, pričom mu predávajúci poskytne zľavu alebo predávajúci dodá nový bezvadný výrobok) alebo vady neodstrániteľné (ideálnym riešením je dodanie nového bezchybného výrobku alebo vrátenie kúpnej ceny).</w:t>
      </w:r>
    </w:p>
    <w:p w:rsidR="006361DD" w:rsidRDefault="006361DD" w:rsidP="00657A77">
      <w:pPr>
        <w:pStyle w:val="Nadpis2"/>
        <w:spacing w:before="240"/>
        <w:jc w:val="both"/>
      </w:pPr>
      <w:bookmarkStart w:id="57" w:name="_Toc321001108"/>
      <w:r>
        <w:t>Odporúčania pre z efektívnenie eliminácie platobných rizík</w:t>
      </w:r>
      <w:bookmarkEnd w:id="57"/>
    </w:p>
    <w:p w:rsidR="006361DD" w:rsidRDefault="006361DD" w:rsidP="006361DD">
      <w:pPr>
        <w:rPr>
          <w:rStyle w:val="bbtext"/>
        </w:rPr>
      </w:pPr>
      <w:r>
        <w:rPr>
          <w:rStyle w:val="bbtext"/>
        </w:rPr>
        <w:t xml:space="preserve">Na základe poznatkov, ktoré sme získali z ekonomického a obchodného oddelenia v Ideal Standard, sme navrhli  </w:t>
      </w:r>
      <w:r w:rsidR="00733C19">
        <w:rPr>
          <w:rStyle w:val="bbtext"/>
        </w:rPr>
        <w:t>odporučenie</w:t>
      </w:r>
      <w:r>
        <w:rPr>
          <w:rStyle w:val="bbtext"/>
        </w:rPr>
        <w:t xml:space="preserve"> pre zefektívnenie nielen obchodných procesov, ale aj procesov riadenia likvidity.</w:t>
      </w:r>
      <w:r w:rsidR="001B111C">
        <w:rPr>
          <w:rStyle w:val="bbtext"/>
        </w:rPr>
        <w:t xml:space="preserve"> Novým  spôsobom ako by si mohla spoločnosť</w:t>
      </w:r>
      <w:r>
        <w:rPr>
          <w:rStyle w:val="bbtext"/>
        </w:rPr>
        <w:t xml:space="preserve"> plánovať likviditu pracovného kapitálu v podniku je SEPA</w:t>
      </w:r>
      <w:r>
        <w:rPr>
          <w:rStyle w:val="Znakapoznpodarou0"/>
        </w:rPr>
        <w:footnoteReference w:id="160"/>
      </w:r>
      <w:r w:rsidR="001B111C">
        <w:rPr>
          <w:rStyle w:val="bbtext"/>
        </w:rPr>
        <w:t xml:space="preserve"> I</w:t>
      </w:r>
      <w:r>
        <w:rPr>
          <w:rStyle w:val="bbtext"/>
        </w:rPr>
        <w:t xml:space="preserve">nkaso. </w:t>
      </w:r>
      <w:r w:rsidR="00733C19">
        <w:rPr>
          <w:rStyle w:val="bbtext"/>
        </w:rPr>
        <w:br/>
      </w:r>
      <w:r>
        <w:rPr>
          <w:rStyle w:val="bbtext"/>
        </w:rPr>
        <w:t xml:space="preserve">Je to cezhraničné </w:t>
      </w:r>
      <w:r>
        <w:t xml:space="preserve">inkasovanie finančných prostriedkov v mene EUR medzi dvomi </w:t>
      </w:r>
      <w:r w:rsidR="003B39A0">
        <w:lastRenderedPageBreak/>
        <w:t>subjektmi</w:t>
      </w:r>
      <w:r>
        <w:t xml:space="preserve">, ktoré majú otvorené účty v bankách sídliacich na území SEPA krajín </w:t>
      </w:r>
      <w:r w:rsidR="00733C19">
        <w:br/>
      </w:r>
      <w:r>
        <w:t xml:space="preserve">(27 krajín Európskej únie, Island, Lichtenštajnsko, Nórsko a Švajčiarsko). </w:t>
      </w:r>
      <w:r w:rsidR="00733C19">
        <w:br/>
      </w:r>
      <w:r>
        <w:t xml:space="preserve">Aby sa inkasná platba mohla uskutočniť, príjemca a platiteľ SEPA inkasa sa musia </w:t>
      </w:r>
      <w:r w:rsidR="00733C19">
        <w:br/>
      </w:r>
      <w:r>
        <w:t xml:space="preserve">na využití tohto spôsobu platenia dohodnúť. </w:t>
      </w:r>
      <w:r w:rsidR="003B39A0">
        <w:t>V praxi to znamená, a</w:t>
      </w:r>
      <w:r>
        <w:t>k klient</w:t>
      </w:r>
      <w:r w:rsidR="003B39A0">
        <w:t xml:space="preserve"> resp. predávajúci Ideal Standard</w:t>
      </w:r>
      <w:r>
        <w:t xml:space="preserve"> využije túto službu, inkasovaná suma bude bankou odpísaná z účtu platiteľa</w:t>
      </w:r>
      <w:r w:rsidR="003B39A0">
        <w:t xml:space="preserve"> resp. kupujúceho v našom prípade napr. TINBYT, </w:t>
      </w:r>
      <w:r>
        <w:t xml:space="preserve"> na základe inkasného príkazu príjemcu sumy, ktorý zašle jeho banka</w:t>
      </w:r>
      <w:r w:rsidR="003B39A0">
        <w:t xml:space="preserve"> (banka predávajúceho)</w:t>
      </w:r>
      <w:r>
        <w:t xml:space="preserve">. Poplatok za vykonanie tohto typu platby je 0,15 €. V praxi to znamená, že dodávateľ </w:t>
      </w:r>
      <w:r w:rsidR="00733C19">
        <w:br/>
      </w:r>
      <w:r>
        <w:t>si ,,natypuje,, do svojho PC IBAN</w:t>
      </w:r>
      <w:r w:rsidR="001B111C">
        <w:t>,</w:t>
      </w:r>
      <w:r>
        <w:rPr>
          <w:rStyle w:val="Znakapoznpodarou0"/>
        </w:rPr>
        <w:footnoteReference w:id="161"/>
      </w:r>
      <w:r>
        <w:t xml:space="preserve"> SWIFT</w:t>
      </w:r>
      <w:r w:rsidR="001B111C">
        <w:t>,</w:t>
      </w:r>
      <w:r>
        <w:rPr>
          <w:rStyle w:val="Znakapoznpodarou0"/>
        </w:rPr>
        <w:footnoteReference w:id="162"/>
      </w:r>
      <w:r>
        <w:t xml:space="preserve"> </w:t>
      </w:r>
      <w:r w:rsidR="003B39A0">
        <w:t>Variabilný</w:t>
      </w:r>
      <w:r>
        <w:t xml:space="preserve"> symbol faktúry, sumu </w:t>
      </w:r>
      <w:r w:rsidR="006C5DE7">
        <w:br/>
      </w:r>
      <w:r>
        <w:t>v € a dátum splatnosti.</w:t>
      </w:r>
      <w:r>
        <w:rPr>
          <w:rStyle w:val="bbtext"/>
        </w:rPr>
        <w:t xml:space="preserve"> V deň splatnosti sa realizuje cezhraničné inkaso na ťarchu účtu </w:t>
      </w:r>
      <w:r w:rsidR="003B39A0">
        <w:rPr>
          <w:rStyle w:val="bbtext"/>
        </w:rPr>
        <w:t>odbera</w:t>
      </w:r>
      <w:r>
        <w:rPr>
          <w:rStyle w:val="bbtext"/>
        </w:rPr>
        <w:t>teľa. Ak inkaso bude neúspešné, dodávateľ</w:t>
      </w:r>
      <w:r w:rsidR="003B39A0">
        <w:rPr>
          <w:rStyle w:val="bbtext"/>
        </w:rPr>
        <w:t xml:space="preserve">, t.j. Ideal Standard  dostáva </w:t>
      </w:r>
      <w:r w:rsidR="00733C19">
        <w:rPr>
          <w:rStyle w:val="bbtext"/>
        </w:rPr>
        <w:br/>
      </w:r>
      <w:r w:rsidR="003B39A0">
        <w:rPr>
          <w:rStyle w:val="bbtext"/>
        </w:rPr>
        <w:t xml:space="preserve">do </w:t>
      </w:r>
      <w:r>
        <w:rPr>
          <w:rStyle w:val="bbtext"/>
        </w:rPr>
        <w:t xml:space="preserve">24 hodín informáciu o tom, že jeho odberateľ nemá dostatok finančných prostriedkov na účte, čo </w:t>
      </w:r>
      <w:r w:rsidR="003B39A0">
        <w:rPr>
          <w:rStyle w:val="bbtext"/>
        </w:rPr>
        <w:t xml:space="preserve">mu </w:t>
      </w:r>
      <w:r>
        <w:rPr>
          <w:rStyle w:val="bbtext"/>
        </w:rPr>
        <w:t>umožní  ihneď stopnúť ďalšie dodávky.  Zavedenie SEPA Inkasa do praxe  bude mať</w:t>
      </w:r>
      <w:r w:rsidR="003B39A0">
        <w:rPr>
          <w:rStyle w:val="bbtext"/>
        </w:rPr>
        <w:t xml:space="preserve"> pre spoločnosť Ideal Standard</w:t>
      </w:r>
      <w:r>
        <w:rPr>
          <w:rStyle w:val="bbtext"/>
        </w:rPr>
        <w:t xml:space="preserve"> veľký význam </w:t>
      </w:r>
      <w:r w:rsidR="003B39A0">
        <w:rPr>
          <w:rStyle w:val="bbtext"/>
        </w:rPr>
        <w:t xml:space="preserve">nielen </w:t>
      </w:r>
      <w:r>
        <w:rPr>
          <w:rStyle w:val="bbtext"/>
        </w:rPr>
        <w:t>v mo</w:t>
      </w:r>
      <w:r w:rsidR="003B39A0">
        <w:rPr>
          <w:rStyle w:val="bbtext"/>
        </w:rPr>
        <w:t xml:space="preserve">nitoringu platobnej disciplíny, ale aj k naplánovaniu likvidných prostriedkov. </w:t>
      </w:r>
      <w:r>
        <w:rPr>
          <w:rStyle w:val="bbtext"/>
        </w:rPr>
        <w:t xml:space="preserve">Spoločnosť môže zaviesť </w:t>
      </w:r>
      <w:r w:rsidRPr="003B39A0">
        <w:rPr>
          <w:rStyle w:val="bbtext"/>
          <w:b/>
        </w:rPr>
        <w:t>,,dvojité nákupné ceny pre svojich odberateľov</w:t>
      </w:r>
      <w:r w:rsidR="003B39A0">
        <w:rPr>
          <w:rStyle w:val="bbtext"/>
          <w:b/>
        </w:rPr>
        <w:t xml:space="preserve">“, </w:t>
      </w:r>
      <w:r w:rsidR="00733C19">
        <w:rPr>
          <w:rStyle w:val="bbtext"/>
          <w:b/>
        </w:rPr>
        <w:br/>
      </w:r>
      <w:r w:rsidR="003B39A0">
        <w:rPr>
          <w:rStyle w:val="bbtext"/>
        </w:rPr>
        <w:t xml:space="preserve">čo v realite </w:t>
      </w:r>
      <w:r>
        <w:rPr>
          <w:rStyle w:val="bbtext"/>
        </w:rPr>
        <w:t>znamená, že ten odberateľ, ktorý  odovzdá poverenie (mandát</w:t>
      </w:r>
      <w:r w:rsidR="005A7F90">
        <w:rPr>
          <w:rStyle w:val="Znakapoznpodarou"/>
        </w:rPr>
        <w:footnoteReference w:id="163"/>
      </w:r>
      <w:r>
        <w:rPr>
          <w:rStyle w:val="bbtext"/>
        </w:rPr>
        <w:t xml:space="preserve">) </w:t>
      </w:r>
      <w:r w:rsidR="00733C19">
        <w:rPr>
          <w:rStyle w:val="bbtext"/>
        </w:rPr>
        <w:br/>
      </w:r>
      <w:r>
        <w:rPr>
          <w:rStyle w:val="bbtext"/>
        </w:rPr>
        <w:t>na realizáciu platieb priamo dodávateľovi, získa dodatočnú zľavu vo výške napr. 1,</w:t>
      </w:r>
      <w:r w:rsidR="003B39A0">
        <w:rPr>
          <w:rStyle w:val="bbtext"/>
        </w:rPr>
        <w:t xml:space="preserve">4 % </w:t>
      </w:r>
      <w:r>
        <w:rPr>
          <w:rStyle w:val="bbtext"/>
        </w:rPr>
        <w:t xml:space="preserve">z nominálnej hodnoty faktúry, ktorú by inak dodávateľ zaplatil </w:t>
      </w:r>
      <w:r w:rsidR="003B39A0">
        <w:rPr>
          <w:rStyle w:val="bbtext"/>
        </w:rPr>
        <w:t xml:space="preserve">poisťovacej </w:t>
      </w:r>
      <w:r>
        <w:rPr>
          <w:rStyle w:val="bbtext"/>
        </w:rPr>
        <w:t xml:space="preserve"> spoločnosti. </w:t>
      </w:r>
      <w:r w:rsidR="005A7F90">
        <w:rPr>
          <w:rStyle w:val="bbtext"/>
        </w:rPr>
        <w:t xml:space="preserve">Samozrejme tento produkt, je možné použiť hlavne pri dlhodobých obchodných partneroch, v našom prípade TINBYT, Slovensko. </w:t>
      </w:r>
    </w:p>
    <w:p w:rsidR="00813676" w:rsidRDefault="005A7F90" w:rsidP="006361DD">
      <w:pPr>
        <w:rPr>
          <w:rStyle w:val="bbtext"/>
        </w:rPr>
      </w:pPr>
      <w:r>
        <w:rPr>
          <w:rStyle w:val="bbtext"/>
        </w:rPr>
        <w:t xml:space="preserve">Plán zavedenia SEPA Inkasa je náročný hlavne na technické zabezpečenie, pretože </w:t>
      </w:r>
      <w:r w:rsidR="00733C19">
        <w:rPr>
          <w:rStyle w:val="bbtext"/>
        </w:rPr>
        <w:br/>
      </w:r>
      <w:r>
        <w:rPr>
          <w:rStyle w:val="bbtext"/>
        </w:rPr>
        <w:t xml:space="preserve">by mal byť kombinovaný s ďalšími nadstavbami v podobe elektronickej fakturácie, elektronického priraďovania platieb a riešenia platieb cez internetbanking. </w:t>
      </w:r>
      <w:r w:rsidR="00733C19">
        <w:rPr>
          <w:rStyle w:val="bbtext"/>
        </w:rPr>
        <w:br/>
      </w:r>
      <w:r>
        <w:rPr>
          <w:rStyle w:val="bbtext"/>
        </w:rPr>
        <w:t>Ako vysvetľuje Pavelka</w:t>
      </w:r>
      <w:r>
        <w:rPr>
          <w:rStyle w:val="Znakapoznpodarou"/>
        </w:rPr>
        <w:footnoteReference w:id="164"/>
      </w:r>
      <w:r>
        <w:t xml:space="preserve"> </w:t>
      </w:r>
      <w:r>
        <w:rPr>
          <w:rStyle w:val="bbtext"/>
        </w:rPr>
        <w:t xml:space="preserve">v publikácii </w:t>
      </w:r>
      <w:r w:rsidRPr="005A7F90">
        <w:rPr>
          <w:rStyle w:val="bbtext"/>
          <w:i/>
        </w:rPr>
        <w:t>,,Medzinárodný platobný styk v podmienkach EÚ“</w:t>
      </w:r>
      <w:r>
        <w:rPr>
          <w:rStyle w:val="bbtext"/>
          <w:i/>
        </w:rPr>
        <w:t xml:space="preserve"> </w:t>
      </w:r>
      <w:r w:rsidR="001B111C">
        <w:rPr>
          <w:rStyle w:val="bbtext"/>
        </w:rPr>
        <w:t>SEPA I</w:t>
      </w:r>
      <w:r>
        <w:rPr>
          <w:rStyle w:val="bbtext"/>
        </w:rPr>
        <w:t>nkaso má veľký význam, pretože</w:t>
      </w:r>
      <w:r w:rsidR="001B111C">
        <w:rPr>
          <w:rStyle w:val="bbtext"/>
        </w:rPr>
        <w:t xml:space="preserve"> informáciu </w:t>
      </w:r>
      <w:r>
        <w:rPr>
          <w:rStyle w:val="bbtext"/>
        </w:rPr>
        <w:t xml:space="preserve">pri neúspešnom inkase </w:t>
      </w:r>
      <w:r>
        <w:rPr>
          <w:rStyle w:val="bbtext"/>
        </w:rPr>
        <w:lastRenderedPageBreak/>
        <w:t>príslušnej faktúry sa dozvie p</w:t>
      </w:r>
      <w:r w:rsidR="001B111C">
        <w:rPr>
          <w:rStyle w:val="bbtext"/>
        </w:rPr>
        <w:t>rostredníctvom okamžitej správy banka dodávateľa</w:t>
      </w:r>
      <w:r>
        <w:rPr>
          <w:rStyle w:val="bbtext"/>
        </w:rPr>
        <w:t xml:space="preserve">, </w:t>
      </w:r>
      <w:r w:rsidR="00733C19">
        <w:rPr>
          <w:rStyle w:val="bbtext"/>
        </w:rPr>
        <w:br/>
      </w:r>
      <w:r>
        <w:rPr>
          <w:rStyle w:val="bbtext"/>
        </w:rPr>
        <w:t xml:space="preserve">ako aj samotný dodávateľ (odpadávajú výhovorky typu ekonómka je práceneschopná, majiteľ, resp. konateľ je na dovolenke, zadali sme zlé číslo účtu a banka nám platbu odmietla a pod.) No na druhej strane SEPA inkaso predstavuje aj vznik nového problému, ktorým je bezpečnosť v súvislosti s rizikom bezdôvodného zaťaženia </w:t>
      </w:r>
      <w:r w:rsidR="001B111C">
        <w:rPr>
          <w:rStyle w:val="bbtext"/>
        </w:rPr>
        <w:t>účtu fiktívnou faktúrou,</w:t>
      </w:r>
      <w:r w:rsidR="001B111C">
        <w:rPr>
          <w:rStyle w:val="Znakapoznpodarou"/>
        </w:rPr>
        <w:footnoteReference w:id="165"/>
      </w:r>
      <w:r w:rsidR="001B111C">
        <w:rPr>
          <w:rStyle w:val="bbtext"/>
        </w:rPr>
        <w:t xml:space="preserve"> zrušením objednávky alebo dodaním vadného tovaru. </w:t>
      </w:r>
    </w:p>
    <w:p w:rsidR="00813676" w:rsidRDefault="00813676">
      <w:pPr>
        <w:spacing w:after="0" w:line="240" w:lineRule="auto"/>
        <w:jc w:val="left"/>
        <w:rPr>
          <w:rStyle w:val="bbtext"/>
        </w:rPr>
      </w:pPr>
      <w:r>
        <w:rPr>
          <w:rStyle w:val="bbtext"/>
        </w:rPr>
        <w:br w:type="page"/>
      </w:r>
    </w:p>
    <w:p w:rsidR="0042464E" w:rsidRDefault="00733C19">
      <w:pPr>
        <w:pStyle w:val="Nadpis1"/>
      </w:pPr>
      <w:bookmarkStart w:id="58" w:name="_Toc321001109"/>
      <w:r>
        <w:lastRenderedPageBreak/>
        <w:t>Záve</w:t>
      </w:r>
      <w:r w:rsidR="0042464E">
        <w:t>r</w:t>
      </w:r>
      <w:bookmarkEnd w:id="58"/>
    </w:p>
    <w:p w:rsidR="0042464E" w:rsidRDefault="0042464E">
      <w:r>
        <w:t xml:space="preserve">Lorem ipsum dolor sit amet, consectetur adipiscing elit. Nulla sed nunc quis nulla laoreet viverra et vel neque. Curabitur ac nibh at tortor adipiscing consequat. Nunc mollis lorem nec ligula volutpat mollis. Curabitur non nulla at felis feugiat aliquet vitae placerat lorem. Cras nec ligula id nunc sodales tincidunt sed eget orci. Ut varius iaculis turpis, in semper nisi molestie convallis. Maecenas ac mauris sit amet mi hendrerit euismod. Duis in ante nec nulla mattis tincidunt. Ut id enim mi, porttitor pretium nulla. Donec eget dui vel urna hendrerit posuere. Integer sagittis cursus egestas. </w:t>
      </w:r>
    </w:p>
    <w:p w:rsidR="0042464E" w:rsidRDefault="0042464E">
      <w:r>
        <w:t xml:space="preserve">Donec id sollicitudin metus. Etiam vitae elit vel augue dapibus malesuada id sed diam. Curabitur blandit dictum libero at vulputate. Etiam commodo rutrum pellentesque. Cras nunc massa, ultricies nec venenatis sit amet, faucibus non ante. Sed lacinia convallis viverra. Nulla facilisi. In sem est, luctus sit amet molestie ut, interdum nec augue. Quisque nec nunc tellus, a adipiscing elit. Integer laoreet elit id quam sagittis hendrerit. Cras nisl neque, tincidunt scelerisque rhoncus vel, consectetur vitae augue. Curabitur eros velit, ornare at vulputate in, gravida volutpat ante. Sed eget rutrum felis. Etiam et justo in nibh adipiscing imperdiet. Sed nisi ligula, rutrum vitae interdum vitae, commodo sed nibh. Vestibulum in magna a neque mattis hendrerit vitae vitae lorem. </w:t>
      </w:r>
    </w:p>
    <w:p w:rsidR="0042464E" w:rsidRDefault="0042464E">
      <w:pPr>
        <w:jc w:val="left"/>
      </w:pPr>
    </w:p>
    <w:p w:rsidR="0042464E" w:rsidRDefault="0042464E">
      <w:pPr>
        <w:jc w:val="left"/>
      </w:pPr>
    </w:p>
    <w:p w:rsidR="0042464E" w:rsidRDefault="0042464E">
      <w:pPr>
        <w:jc w:val="left"/>
      </w:pPr>
    </w:p>
    <w:p w:rsidR="0042464E" w:rsidRDefault="0042464E">
      <w:pPr>
        <w:jc w:val="left"/>
      </w:pPr>
    </w:p>
    <w:p w:rsidR="0042464E" w:rsidRDefault="0042464E">
      <w:pPr>
        <w:tabs>
          <w:tab w:val="left" w:pos="6690"/>
        </w:tabs>
        <w:jc w:val="left"/>
      </w:pPr>
      <w:r>
        <w:tab/>
      </w:r>
    </w:p>
    <w:p w:rsidR="0042464E" w:rsidRDefault="0042464E">
      <w:pPr>
        <w:spacing w:after="0"/>
        <w:jc w:val="left"/>
        <w:rPr>
          <w:b/>
          <w:bCs/>
          <w:sz w:val="26"/>
          <w:szCs w:val="26"/>
        </w:rPr>
      </w:pPr>
      <w:r>
        <w:br w:type="page"/>
      </w:r>
    </w:p>
    <w:p w:rsidR="0042464E" w:rsidRDefault="0042464E">
      <w:pPr>
        <w:pStyle w:val="Nadpis1"/>
        <w:numPr>
          <w:ilvl w:val="0"/>
          <w:numId w:val="0"/>
        </w:numPr>
        <w:ind w:left="360" w:hanging="360"/>
      </w:pPr>
      <w:bookmarkStart w:id="59" w:name="_Toc321001110"/>
      <w:r>
        <w:lastRenderedPageBreak/>
        <w:t>Literat</w:t>
      </w:r>
      <w:r w:rsidR="00733C19">
        <w:t>ú</w:t>
      </w:r>
      <w:r>
        <w:t>ra</w:t>
      </w:r>
      <w:bookmarkEnd w:id="59"/>
    </w:p>
    <w:p w:rsidR="0042464E" w:rsidRDefault="0042464E">
      <w:pPr>
        <w:pStyle w:val="Literatura-text"/>
        <w:rPr>
          <w:b/>
          <w:bCs/>
        </w:rPr>
      </w:pPr>
      <w:r>
        <w:rPr>
          <w:b/>
          <w:bCs/>
        </w:rPr>
        <w:t>Primá</w:t>
      </w:r>
      <w:r w:rsidR="00733C19">
        <w:rPr>
          <w:b/>
          <w:bCs/>
        </w:rPr>
        <w:t>rne</w:t>
      </w:r>
      <w:r>
        <w:rPr>
          <w:b/>
          <w:bCs/>
        </w:rPr>
        <w:t xml:space="preserve"> zdroje</w:t>
      </w:r>
    </w:p>
    <w:p w:rsidR="00D14F8D" w:rsidRPr="00D14F8D" w:rsidRDefault="00D14F8D" w:rsidP="00D14F8D">
      <w:pPr>
        <w:rPr>
          <w:sz w:val="22"/>
          <w:szCs w:val="22"/>
        </w:rPr>
      </w:pPr>
      <w:r w:rsidRPr="00D14F8D">
        <w:rPr>
          <w:sz w:val="22"/>
          <w:szCs w:val="22"/>
        </w:rPr>
        <w:t xml:space="preserve">Zákon č. 513/1991 Zb. Obchodný zákonník. In Zbierka zákonov. 2011, čiastka II., s. 7-134. </w:t>
      </w:r>
    </w:p>
    <w:p w:rsidR="00D14F8D" w:rsidRPr="00D14F8D" w:rsidRDefault="00D14F8D" w:rsidP="00D14F8D">
      <w:pPr>
        <w:rPr>
          <w:sz w:val="22"/>
          <w:szCs w:val="22"/>
        </w:rPr>
      </w:pPr>
      <w:r w:rsidRPr="00D14F8D">
        <w:rPr>
          <w:sz w:val="22"/>
          <w:szCs w:val="22"/>
        </w:rPr>
        <w:t>Zákon č. 191/1950 Zb. Zmenkový a šekový zákon.</w:t>
      </w:r>
    </w:p>
    <w:p w:rsidR="00D14F8D" w:rsidRDefault="00D14F8D">
      <w:pPr>
        <w:pStyle w:val="Literatura-text"/>
        <w:rPr>
          <w:bCs/>
        </w:rPr>
      </w:pPr>
      <w:r>
        <w:rPr>
          <w:bCs/>
        </w:rPr>
        <w:t>Zákon č. 222/2004 Zb. Zákon o Dani z pridanej hodnoty.</w:t>
      </w:r>
    </w:p>
    <w:p w:rsidR="00D14F8D" w:rsidRPr="00D14F8D" w:rsidRDefault="00D14F8D">
      <w:pPr>
        <w:pStyle w:val="Literatura-text"/>
        <w:rPr>
          <w:bCs/>
        </w:rPr>
      </w:pPr>
      <w:r>
        <w:rPr>
          <w:bCs/>
        </w:rPr>
        <w:t>Zákon č. 431/2002 Zb. Zákon o účtovníctve.</w:t>
      </w:r>
    </w:p>
    <w:p w:rsidR="0042464E" w:rsidRDefault="0042464E">
      <w:pPr>
        <w:pStyle w:val="Literatura-text"/>
        <w:rPr>
          <w:b/>
          <w:bCs/>
        </w:rPr>
      </w:pPr>
      <w:r>
        <w:rPr>
          <w:b/>
          <w:bCs/>
        </w:rPr>
        <w:t>Monografie</w:t>
      </w:r>
    </w:p>
    <w:p w:rsidR="00D14F8D" w:rsidRDefault="00D14F8D" w:rsidP="00D14F8D">
      <w:pPr>
        <w:pStyle w:val="Literatura-text"/>
        <w:rPr>
          <w:sz w:val="24"/>
          <w:szCs w:val="24"/>
        </w:rPr>
      </w:pPr>
      <w:r>
        <w:rPr>
          <w:sz w:val="24"/>
          <w:szCs w:val="24"/>
        </w:rPr>
        <w:t xml:space="preserve">JANATKA, F.: </w:t>
      </w:r>
      <w:r>
        <w:rPr>
          <w:i/>
          <w:iCs/>
          <w:sz w:val="24"/>
          <w:szCs w:val="24"/>
        </w:rPr>
        <w:t xml:space="preserve">Riziká v komerční praxi. </w:t>
      </w:r>
      <w:r>
        <w:rPr>
          <w:sz w:val="24"/>
          <w:szCs w:val="24"/>
        </w:rPr>
        <w:t>Praha, Vydavateľstvo, Wolters Kluwer, 2011, Prvé vydanie,  ISBN 978-80-7357-632-5.</w:t>
      </w:r>
    </w:p>
    <w:p w:rsidR="00D14F8D" w:rsidRDefault="00D14F8D" w:rsidP="00D14F8D">
      <w:pPr>
        <w:pStyle w:val="Literatura-text"/>
        <w:rPr>
          <w:sz w:val="24"/>
          <w:szCs w:val="24"/>
        </w:rPr>
      </w:pPr>
      <w:r>
        <w:rPr>
          <w:sz w:val="24"/>
          <w:szCs w:val="24"/>
        </w:rPr>
        <w:t xml:space="preserve">PAVELKA, Ľ.: </w:t>
      </w:r>
      <w:r>
        <w:rPr>
          <w:i/>
          <w:iCs/>
          <w:sz w:val="24"/>
          <w:szCs w:val="24"/>
        </w:rPr>
        <w:t xml:space="preserve">Medzinárodný platobný styk v podmienkach EÚ. </w:t>
      </w:r>
      <w:r>
        <w:rPr>
          <w:sz w:val="24"/>
          <w:szCs w:val="24"/>
        </w:rPr>
        <w:t>Bratislava, Vydavateľstvo, EKONÓM, 2008, Prvé vydanie,  ISBN 978-80-225-2654-8.</w:t>
      </w:r>
    </w:p>
    <w:p w:rsidR="00D14F8D" w:rsidRDefault="00D14F8D" w:rsidP="006E7485">
      <w:pPr>
        <w:pStyle w:val="Literatura-text"/>
        <w:rPr>
          <w:sz w:val="24"/>
          <w:szCs w:val="24"/>
        </w:rPr>
      </w:pPr>
      <w:r>
        <w:rPr>
          <w:sz w:val="24"/>
          <w:szCs w:val="24"/>
        </w:rPr>
        <w:t xml:space="preserve">KAŠŤÁKOVÁ, E., PULLMANOVÁ, T., SVOBODOVÁ, V.: </w:t>
      </w:r>
      <w:r>
        <w:rPr>
          <w:i/>
          <w:iCs/>
          <w:sz w:val="24"/>
          <w:szCs w:val="24"/>
        </w:rPr>
        <w:t xml:space="preserve">Operácie v zahraničnom obchode. </w:t>
      </w:r>
      <w:r>
        <w:rPr>
          <w:sz w:val="24"/>
          <w:szCs w:val="24"/>
        </w:rPr>
        <w:t>Bratislava, Vydavateľstvo, EKONÓM, 2008, Prvé vydanie,  ISBN 978-80-225-2537-4.</w:t>
      </w:r>
    </w:p>
    <w:p w:rsidR="006E7485" w:rsidRPr="006E7485" w:rsidRDefault="00D14F8D" w:rsidP="006E7485">
      <w:pPr>
        <w:pStyle w:val="Poznmkapodarou"/>
        <w:spacing w:after="240" w:line="360" w:lineRule="auto"/>
        <w:rPr>
          <w:sz w:val="22"/>
          <w:szCs w:val="22"/>
        </w:rPr>
      </w:pPr>
      <w:r>
        <w:rPr>
          <w:sz w:val="24"/>
          <w:szCs w:val="24"/>
        </w:rPr>
        <w:t xml:space="preserve">HANSENOVÁ, H.: </w:t>
      </w:r>
      <w:r w:rsidR="006E7485" w:rsidRPr="006E7485">
        <w:rPr>
          <w:sz w:val="22"/>
          <w:szCs w:val="22"/>
        </w:rPr>
        <w:t>(2009)</w:t>
      </w:r>
      <w:r w:rsidR="006E7485">
        <w:rPr>
          <w:sz w:val="22"/>
          <w:szCs w:val="22"/>
        </w:rPr>
        <w:t>.</w:t>
      </w:r>
      <w:r w:rsidR="006E7485">
        <w:t xml:space="preserve">  </w:t>
      </w:r>
      <w:r w:rsidR="006E7485" w:rsidRPr="006E7485">
        <w:rPr>
          <w:i/>
          <w:iCs/>
          <w:sz w:val="22"/>
          <w:szCs w:val="22"/>
          <w:lang w:val="sk-SK"/>
        </w:rPr>
        <w:t>Prepravné služby v podmienkach medzinárodného obchodu.</w:t>
      </w:r>
      <w:r w:rsidR="006E7485" w:rsidRPr="006E7485">
        <w:rPr>
          <w:sz w:val="22"/>
          <w:szCs w:val="22"/>
        </w:rPr>
        <w:t xml:space="preserve"> Vyd</w:t>
      </w:r>
      <w:r w:rsidR="006E7485">
        <w:rPr>
          <w:sz w:val="22"/>
          <w:szCs w:val="22"/>
        </w:rPr>
        <w:t>avateľstvo,</w:t>
      </w:r>
      <w:r w:rsidR="006E7485" w:rsidRPr="006E7485">
        <w:rPr>
          <w:sz w:val="22"/>
          <w:szCs w:val="22"/>
        </w:rPr>
        <w:t xml:space="preserve">  EKONÓM,</w:t>
      </w:r>
      <w:r w:rsidR="006E7485">
        <w:rPr>
          <w:sz w:val="22"/>
          <w:szCs w:val="22"/>
        </w:rPr>
        <w:t xml:space="preserve"> 2009, Druhé vydanie,</w:t>
      </w:r>
      <w:r w:rsidR="006E7485" w:rsidRPr="006E7485">
        <w:rPr>
          <w:sz w:val="22"/>
          <w:szCs w:val="22"/>
        </w:rPr>
        <w:t xml:space="preserve"> ISBN 978-80-225-2323-3. </w:t>
      </w:r>
    </w:p>
    <w:p w:rsidR="00D14F8D" w:rsidRDefault="00D14F8D" w:rsidP="006E7485">
      <w:pPr>
        <w:pStyle w:val="Literatura-text"/>
        <w:rPr>
          <w:sz w:val="24"/>
          <w:szCs w:val="24"/>
        </w:rPr>
      </w:pPr>
      <w:r>
        <w:rPr>
          <w:sz w:val="24"/>
          <w:szCs w:val="24"/>
        </w:rPr>
        <w:t xml:space="preserve">BALÁŽ, P. a kol.: </w:t>
      </w:r>
      <w:r>
        <w:rPr>
          <w:i/>
          <w:iCs/>
          <w:sz w:val="24"/>
          <w:szCs w:val="24"/>
        </w:rPr>
        <w:t xml:space="preserve">Medzinárodné podnikanie. </w:t>
      </w:r>
      <w:r>
        <w:rPr>
          <w:sz w:val="24"/>
          <w:szCs w:val="24"/>
        </w:rPr>
        <w:t>Bratislava, Vydavateľstvo, SPRINT, 2001, Prvé vydanie,  ISBN 80-88848-68-7.</w:t>
      </w:r>
    </w:p>
    <w:p w:rsidR="00D14F8D" w:rsidRDefault="00D14F8D" w:rsidP="00D14F8D">
      <w:r>
        <w:t xml:space="preserve">ČERNOHLÁVKOVÁ, E. – MACHKOVA, H. a kol.: </w:t>
      </w:r>
      <w:r>
        <w:rPr>
          <w:i/>
          <w:iCs/>
        </w:rPr>
        <w:t xml:space="preserve">Medzinárodní </w:t>
      </w:r>
      <w:r w:rsidR="006E7485">
        <w:rPr>
          <w:i/>
          <w:iCs/>
        </w:rPr>
        <w:t>obchodní operac</w:t>
      </w:r>
      <w:r>
        <w:rPr>
          <w:i/>
          <w:iCs/>
        </w:rPr>
        <w:t xml:space="preserve">e. </w:t>
      </w:r>
      <w:r>
        <w:rPr>
          <w:i/>
          <w:iCs/>
        </w:rPr>
        <w:br/>
      </w:r>
      <w:r>
        <w:t>1. vyd. Praha.: HZ Editio, 1998. ISBN 80-860009-20-3.</w:t>
      </w:r>
    </w:p>
    <w:p w:rsidR="00D14F8D" w:rsidRDefault="00D14F8D" w:rsidP="00D14F8D">
      <w:r>
        <w:t xml:space="preserve">ČERNOHLÁVKOVÁ, E., a kol. : </w:t>
      </w:r>
      <w:r>
        <w:rPr>
          <w:i/>
          <w:iCs/>
        </w:rPr>
        <w:t xml:space="preserve">Finanční strategie v medzinárodním podnikání. </w:t>
      </w:r>
      <w:r>
        <w:t>Vydavateľstvo, ASPI, 2007, ISBN 978-80-735-321-8.</w:t>
      </w:r>
    </w:p>
    <w:p w:rsidR="00D14F8D" w:rsidRDefault="00D14F8D" w:rsidP="00D14F8D">
      <w:pPr>
        <w:pStyle w:val="Literatura-text"/>
        <w:rPr>
          <w:sz w:val="24"/>
          <w:szCs w:val="24"/>
        </w:rPr>
      </w:pPr>
      <w:r>
        <w:rPr>
          <w:sz w:val="24"/>
          <w:szCs w:val="24"/>
        </w:rPr>
        <w:t xml:space="preserve">KURUC, R.: </w:t>
      </w:r>
      <w:r>
        <w:rPr>
          <w:i/>
          <w:iCs/>
          <w:sz w:val="24"/>
          <w:szCs w:val="24"/>
        </w:rPr>
        <w:t>Finančné operácie v medzinárodnom podnikaní</w:t>
      </w:r>
      <w:r>
        <w:rPr>
          <w:sz w:val="24"/>
          <w:szCs w:val="24"/>
        </w:rPr>
        <w:t>. Bratislava, Vydavateľstvo, REVOLT, 2006, Prvé vydanie,  ISBN 80-969488-0-6.</w:t>
      </w:r>
    </w:p>
    <w:p w:rsidR="00D14F8D" w:rsidRDefault="00D14F8D" w:rsidP="00D14F8D">
      <w:r>
        <w:lastRenderedPageBreak/>
        <w:t xml:space="preserve">ŠÍBL, D. a kol.: </w:t>
      </w:r>
      <w:r>
        <w:rPr>
          <w:rFonts w:ascii="AEPFFH+TimesNewRoman,Italic" w:hAnsi="AEPFFH+TimesNewRoman,Italic" w:cs="AEPFFH+TimesNewRoman,Italic"/>
          <w:i/>
          <w:iCs/>
        </w:rPr>
        <w:t>Encyklopedický slovník medzinárodného obchodu</w:t>
      </w:r>
      <w:r>
        <w:t>. Bratislava: SPRINT, 1994, Prvé vydanie,  ISBN 80-967122-0-9.</w:t>
      </w:r>
    </w:p>
    <w:p w:rsidR="00D14F8D" w:rsidRDefault="00D14F8D" w:rsidP="00D14F8D">
      <w:r>
        <w:t xml:space="preserve">KISLINGEROVÁ, E. a kol.: </w:t>
      </w:r>
      <w:r>
        <w:rPr>
          <w:i/>
          <w:iCs/>
        </w:rPr>
        <w:t>Manažerské finance.</w:t>
      </w:r>
      <w:r>
        <w:t xml:space="preserve"> 2. prepracovaní a dopl. Vyd. Praha: C.H. BECK, 2007. ISBN 978-80-7179-903-0.</w:t>
      </w:r>
    </w:p>
    <w:p w:rsidR="00D14F8D" w:rsidRDefault="00D14F8D" w:rsidP="00D14F8D">
      <w:pPr>
        <w:pStyle w:val="Literatura-text"/>
        <w:rPr>
          <w:sz w:val="24"/>
          <w:szCs w:val="24"/>
        </w:rPr>
      </w:pPr>
      <w:r>
        <w:rPr>
          <w:sz w:val="24"/>
          <w:szCs w:val="24"/>
        </w:rPr>
        <w:t xml:space="preserve">FERENČÍKOVÁ, S. a kol.: </w:t>
      </w:r>
      <w:r>
        <w:rPr>
          <w:rFonts w:ascii="AEPFFH+TimesNewRoman,Italic" w:hAnsi="AEPFFH+TimesNewRoman,Italic" w:cs="AEPFFH+TimesNewRoman,Italic"/>
          <w:i/>
          <w:iCs/>
          <w:sz w:val="24"/>
          <w:szCs w:val="24"/>
        </w:rPr>
        <w:t>Aktuálne problémy medzinárodného podnikania</w:t>
      </w:r>
      <w:r>
        <w:rPr>
          <w:i/>
          <w:iCs/>
          <w:sz w:val="24"/>
          <w:szCs w:val="24"/>
        </w:rPr>
        <w:t>.</w:t>
      </w:r>
      <w:r>
        <w:rPr>
          <w:sz w:val="24"/>
          <w:szCs w:val="24"/>
        </w:rPr>
        <w:t xml:space="preserve"> Bratislava, Vydavateľstvo EKONÓM, 2004, Prvé vydanie,  ISBN 80-225-1809-3.</w:t>
      </w:r>
    </w:p>
    <w:p w:rsidR="00D14F8D" w:rsidRDefault="00D14F8D" w:rsidP="00D14F8D">
      <w:r>
        <w:t xml:space="preserve">VOZŇÁKOVÁ, I.: </w:t>
      </w:r>
      <w:r>
        <w:tab/>
      </w:r>
      <w:r>
        <w:rPr>
          <w:i/>
          <w:iCs/>
        </w:rPr>
        <w:t>Efektívní řízení pohledávek.</w:t>
      </w:r>
      <w:r>
        <w:t xml:space="preserve"> Praha: Grada Publishing, 2004. ISBN 80-247-0770-5.</w:t>
      </w:r>
    </w:p>
    <w:p w:rsidR="00D14F8D" w:rsidRDefault="00D14F8D" w:rsidP="00D14F8D">
      <w:r>
        <w:t xml:space="preserve">ZOUFALÝ, V. a kolektív: </w:t>
      </w:r>
      <w:r>
        <w:rPr>
          <w:i/>
          <w:iCs/>
        </w:rPr>
        <w:t>Velká kniha smluvních vzorú.</w:t>
      </w:r>
      <w:r>
        <w:t xml:space="preserve"> 3. přeprac.  A dopl. Vyd. Praha: C.H. BECK, 2001. ISBN 80-7179-482-1.</w:t>
      </w:r>
    </w:p>
    <w:p w:rsidR="00D14F8D" w:rsidRDefault="00D14F8D" w:rsidP="00D14F8D">
      <w:pPr>
        <w:spacing w:before="120" w:after="0"/>
      </w:pPr>
      <w:r>
        <w:t xml:space="preserve">SCHNABEL, H.: </w:t>
      </w:r>
      <w:r>
        <w:rPr>
          <w:rFonts w:ascii="AEPFFH+TimesNewRoman,Italic" w:hAnsi="AEPFFH+TimesNewRoman,Italic" w:cs="AEPFFH+TimesNewRoman,Italic"/>
          <w:i/>
          <w:iCs/>
        </w:rPr>
        <w:t>Medzinárodné podnikanie v procese globalizácie</w:t>
      </w:r>
      <w:r>
        <w:t>. Bratislava: SPRINT, 2000, Prvé vydanie, ISBN 80-88848-58-X.</w:t>
      </w:r>
    </w:p>
    <w:p w:rsidR="00D14F8D" w:rsidRDefault="00D14F8D" w:rsidP="00D14F8D">
      <w:pPr>
        <w:spacing w:before="120"/>
      </w:pPr>
      <w:r>
        <w:t xml:space="preserve">MALACH, A. a kol.: </w:t>
      </w:r>
      <w:r>
        <w:rPr>
          <w:rFonts w:ascii="AEPFFH+TimesNewRoman,Italic" w:hAnsi="AEPFFH+TimesNewRoman,Italic" w:cs="AEPFFH+TimesNewRoman,Italic"/>
          <w:i/>
          <w:iCs/>
        </w:rPr>
        <w:t>Jak podnikat po vstupu do EU</w:t>
      </w:r>
      <w:r>
        <w:t>. Praha: GRADA Publishing, 2005, Prvé vydanie, ISBN 80-247-0906-6.</w:t>
      </w:r>
    </w:p>
    <w:p w:rsidR="00D14F8D" w:rsidRDefault="00D14F8D" w:rsidP="00D14F8D">
      <w:pPr>
        <w:spacing w:before="120"/>
      </w:pPr>
      <w:r>
        <w:t xml:space="preserve">ŠMERINGAI, P., CIRÁK, J.: </w:t>
      </w:r>
      <w:r>
        <w:rPr>
          <w:rFonts w:ascii="AEPFFH+TimesNewRoman,Italic" w:hAnsi="AEPFFH+TimesNewRoman,Italic" w:cs="AEPFFH+TimesNewRoman,Italic"/>
          <w:i/>
          <w:iCs/>
        </w:rPr>
        <w:t xml:space="preserve">Zmenky, šeky, akreditívy. </w:t>
      </w:r>
      <w:r>
        <w:t>Bratislava: IURA EDITION, 1993, Prvé vydanie, ISBN 80-88715-02-4.</w:t>
      </w:r>
    </w:p>
    <w:p w:rsidR="0042464E" w:rsidRDefault="0042464E">
      <w:pPr>
        <w:pStyle w:val="Literatura-text"/>
        <w:rPr>
          <w:b/>
          <w:bCs/>
        </w:rPr>
      </w:pPr>
      <w:r>
        <w:rPr>
          <w:b/>
          <w:bCs/>
        </w:rPr>
        <w:t>Internetové zdroje</w:t>
      </w:r>
    </w:p>
    <w:p w:rsidR="006E7485" w:rsidRPr="00D77289" w:rsidRDefault="006E7485" w:rsidP="006E7485">
      <w:pPr>
        <w:pStyle w:val="Literatura-text"/>
      </w:pPr>
      <w:r w:rsidRPr="00D77289">
        <w:t xml:space="preserve">Kristofík, P.: </w:t>
      </w:r>
      <w:r w:rsidRPr="00D77289">
        <w:rPr>
          <w:i/>
        </w:rPr>
        <w:t>Trendy v riadení likvidity. 2010 [online]</w:t>
      </w:r>
      <w:r w:rsidRPr="00D77289">
        <w:t>. Bratislava: Finančný manažment podnikov 2010. [cit. 2012-03-14]. Dostupné z WWW: &lt; http://financny manažment.sk/2010-1/1-2010/1/trendy-v-riadeni-likvidity-II &gt;.</w:t>
      </w:r>
    </w:p>
    <w:p w:rsidR="002150A0" w:rsidRPr="00D77289" w:rsidRDefault="002150A0" w:rsidP="002150A0">
      <w:pPr>
        <w:pStyle w:val="Tabulka-pramen"/>
        <w:jc w:val="both"/>
        <w:rPr>
          <w:lang w:val="en-US"/>
        </w:rPr>
      </w:pPr>
      <w:r w:rsidRPr="00D77289">
        <w:t xml:space="preserve">Asociácia faktoringových spoločností.: </w:t>
      </w:r>
      <w:r w:rsidRPr="00D77289">
        <w:rPr>
          <w:i/>
          <w:iCs/>
        </w:rPr>
        <w:t>Faktoring zlepšuje tok peňazí  2011 [online].</w:t>
      </w:r>
      <w:r w:rsidRPr="00D77289">
        <w:t xml:space="preserve"> Bratislava: Asociácia faktoringových spoločností. 2011. [cit. 2011-12-15]. </w:t>
      </w:r>
      <w:r w:rsidRPr="00D77289">
        <w:rPr>
          <w:i/>
          <w:iCs/>
        </w:rPr>
        <w:t xml:space="preserve"> </w:t>
      </w:r>
      <w:r w:rsidRPr="00D77289">
        <w:t xml:space="preserve">Dostupné </w:t>
      </w:r>
      <w:r w:rsidR="00D77289" w:rsidRPr="00D77289">
        <w:br/>
      </w:r>
      <w:r w:rsidRPr="00D77289">
        <w:t>z WWW:</w:t>
      </w:r>
      <w:r w:rsidRPr="00D77289">
        <w:rPr>
          <w:lang w:val="en-US"/>
        </w:rPr>
        <w:t>&lt;</w:t>
      </w:r>
      <w:r w:rsidRPr="00D77289">
        <w:t>http://hnonline.sk/ekonomika/c1-20634630-faktoring-zlepsuje-tok-penazi.htm</w:t>
      </w:r>
      <w:r w:rsidRPr="00D77289">
        <w:rPr>
          <w:lang w:val="en-US"/>
        </w:rPr>
        <w:t xml:space="preserve">&gt;. </w:t>
      </w:r>
    </w:p>
    <w:p w:rsidR="002150A0" w:rsidRPr="00D77289" w:rsidRDefault="002150A0" w:rsidP="00D77289">
      <w:pPr>
        <w:pStyle w:val="Tabulka-pramen"/>
        <w:jc w:val="both"/>
      </w:pPr>
      <w:r w:rsidRPr="00D77289">
        <w:t xml:space="preserve"> TREND. </w:t>
      </w:r>
      <w:r w:rsidRPr="00D77289">
        <w:rPr>
          <w:i/>
          <w:iCs/>
        </w:rPr>
        <w:t xml:space="preserve">Je pre Vás vhodnejší kontokorent alebo faktoring? 2011 [online]. </w:t>
      </w:r>
      <w:r w:rsidRPr="00D77289">
        <w:t xml:space="preserve">Bratislava: Neplatia Vám partneri? 2011. [cit. 2011-12-18]. </w:t>
      </w:r>
      <w:r w:rsidRPr="00D77289">
        <w:rPr>
          <w:i/>
          <w:iCs/>
        </w:rPr>
        <w:t xml:space="preserve"> </w:t>
      </w:r>
      <w:r w:rsidRPr="00D77289">
        <w:t>Dostupné z</w:t>
      </w:r>
      <w:r w:rsidR="00D77289" w:rsidRPr="00D77289">
        <w:t> </w:t>
      </w:r>
      <w:r w:rsidRPr="00D77289">
        <w:t>WWW</w:t>
      </w:r>
      <w:r w:rsidR="00D77289" w:rsidRPr="00D77289">
        <w:t xml:space="preserve">: </w:t>
      </w:r>
      <w:hyperlink r:id="rId47" w:history="1">
        <w:r w:rsidR="00D77289" w:rsidRPr="00D77289">
          <w:rPr>
            <w:rStyle w:val="Hypertextovodkaz"/>
            <w:color w:val="auto"/>
            <w:sz w:val="22"/>
            <w:szCs w:val="22"/>
            <w:u w:val="none"/>
            <w:lang w:val="en-US"/>
          </w:rPr>
          <w:t>ht</w:t>
        </w:r>
        <w:r w:rsidR="00D77289" w:rsidRPr="00D77289">
          <w:rPr>
            <w:rStyle w:val="Hypertextovodkaz"/>
            <w:color w:val="auto"/>
            <w:sz w:val="22"/>
            <w:szCs w:val="22"/>
            <w:u w:val="none"/>
          </w:rPr>
          <w:t>tp://ekonomika.etrend.sk/ ekonomika</w:t>
        </w:r>
      </w:hyperlink>
      <w:r w:rsidR="00D77289" w:rsidRPr="00D77289">
        <w:t>-</w:t>
      </w:r>
      <w:r w:rsidRPr="00D77289">
        <w:t>slovensko/neplatia-vam-partneri-ziskajte-peniaze-inak.html</w:t>
      </w:r>
      <w:r w:rsidRPr="00D77289">
        <w:rPr>
          <w:lang w:val="en-US"/>
        </w:rPr>
        <w:t>&gt;</w:t>
      </w:r>
      <w:r w:rsidRPr="00D77289">
        <w:t xml:space="preserve">. </w:t>
      </w:r>
    </w:p>
    <w:p w:rsidR="00D77289" w:rsidRPr="00D77289" w:rsidRDefault="00D77289" w:rsidP="00D77289">
      <w:pPr>
        <w:pStyle w:val="Tabulka-pramen"/>
      </w:pPr>
      <w:r w:rsidRPr="00D77289">
        <w:lastRenderedPageBreak/>
        <w:t xml:space="preserve">MUSA, H: </w:t>
      </w:r>
      <w:r w:rsidRPr="00D77289">
        <w:rPr>
          <w:i/>
          <w:iCs/>
        </w:rPr>
        <w:t xml:space="preserve">ŠEK. 2011 [online]. </w:t>
      </w:r>
      <w:r w:rsidRPr="00D77289">
        <w:t xml:space="preserve">Bratislava: ŠEK. 2011. [cit. 2012-01-20]. </w:t>
      </w:r>
      <w:r w:rsidRPr="00D77289">
        <w:rPr>
          <w:i/>
          <w:iCs/>
        </w:rPr>
        <w:t xml:space="preserve"> </w:t>
      </w:r>
      <w:r w:rsidRPr="00D77289">
        <w:t>Dostupné z WWW :</w:t>
      </w:r>
      <w:r w:rsidRPr="00D77289">
        <w:rPr>
          <w:lang w:val="en-US"/>
        </w:rPr>
        <w:t xml:space="preserve"> &lt;</w:t>
      </w:r>
      <w:r w:rsidRPr="00D77289">
        <w:t xml:space="preserve">http:// </w:t>
      </w:r>
      <w:hyperlink r:id="rId48" w:history="1">
        <w:r w:rsidRPr="00D77289">
          <w:rPr>
            <w:rStyle w:val="Hypertextovodkaz"/>
            <w:color w:val="auto"/>
            <w:sz w:val="22"/>
            <w:szCs w:val="22"/>
            <w:u w:val="none"/>
          </w:rPr>
          <w:t>http://www.ef.umb.sk/</w:t>
        </w:r>
      </w:hyperlink>
      <w:r w:rsidRPr="00D77289">
        <w:t xml:space="preserve"> upload/predmet/1144/PS-P9.pdf</w:t>
      </w:r>
      <w:r w:rsidRPr="00D77289">
        <w:rPr>
          <w:lang w:val="en-US"/>
        </w:rPr>
        <w:t>&gt;.</w:t>
      </w:r>
    </w:p>
    <w:p w:rsidR="00D77289" w:rsidRPr="00D77289" w:rsidRDefault="00D77289" w:rsidP="00D77289">
      <w:pPr>
        <w:rPr>
          <w:sz w:val="22"/>
          <w:szCs w:val="22"/>
        </w:rPr>
      </w:pPr>
      <w:r w:rsidRPr="00D77289">
        <w:rPr>
          <w:sz w:val="22"/>
          <w:szCs w:val="22"/>
        </w:rPr>
        <w:t xml:space="preserve">Európska komisia. Sekcia daňová a colná. Bratislava: Overenie čísla DPH. 2011. [cit. 2012-02-20]. Dostupné z WWW: &lt; http://ec.europa.eu/ taxation_ customs/vies/vatResponse.html &gt;. </w:t>
      </w:r>
    </w:p>
    <w:p w:rsidR="00D77289" w:rsidRPr="00260831" w:rsidRDefault="00D77289" w:rsidP="00D77289">
      <w:pPr>
        <w:rPr>
          <w:sz w:val="22"/>
          <w:szCs w:val="22"/>
        </w:rPr>
      </w:pPr>
    </w:p>
    <w:p w:rsidR="002150A0" w:rsidRDefault="002150A0" w:rsidP="002150A0">
      <w:pPr>
        <w:pStyle w:val="Tabulka-pramen"/>
        <w:jc w:val="both"/>
      </w:pPr>
    </w:p>
    <w:p w:rsidR="002150A0" w:rsidRDefault="002150A0" w:rsidP="006E7485">
      <w:pPr>
        <w:pStyle w:val="Literatura-text"/>
        <w:rPr>
          <w:sz w:val="24"/>
          <w:szCs w:val="24"/>
        </w:rPr>
      </w:pPr>
    </w:p>
    <w:p w:rsidR="0042464E" w:rsidRDefault="0042464E">
      <w:pPr>
        <w:pStyle w:val="Literatura-text"/>
      </w:pPr>
    </w:p>
    <w:p w:rsidR="0042464E" w:rsidRDefault="0042464E">
      <w:pPr>
        <w:jc w:val="left"/>
      </w:pPr>
    </w:p>
    <w:p w:rsidR="0042464E" w:rsidRDefault="0042464E">
      <w:pPr>
        <w:spacing w:after="0"/>
        <w:jc w:val="left"/>
        <w:sectPr w:rsidR="0042464E" w:rsidSect="009F1AD5">
          <w:headerReference w:type="default" r:id="rId49"/>
          <w:footerReference w:type="default" r:id="rId50"/>
          <w:pgSz w:w="11906" w:h="16838" w:code="9"/>
          <w:pgMar w:top="1276" w:right="1134" w:bottom="1418" w:left="2268" w:header="709" w:footer="244" w:gutter="0"/>
          <w:pgNumType w:start="1"/>
          <w:cols w:space="708"/>
          <w:docGrid w:linePitch="326"/>
        </w:sectPr>
      </w:pPr>
      <w:r>
        <w:br w:type="page"/>
      </w:r>
    </w:p>
    <w:p w:rsidR="0042464E" w:rsidRDefault="00F31299">
      <w:pPr>
        <w:pStyle w:val="Nadpis1"/>
        <w:numPr>
          <w:ilvl w:val="0"/>
          <w:numId w:val="0"/>
        </w:numPr>
        <w:ind w:left="360" w:hanging="360"/>
      </w:pPr>
      <w:bookmarkStart w:id="60" w:name="_Toc321001111"/>
      <w:r>
        <w:lastRenderedPageBreak/>
        <w:t>Pr</w:t>
      </w:r>
      <w:r w:rsidR="0042464E">
        <w:t>ílohy</w:t>
      </w:r>
      <w:bookmarkEnd w:id="60"/>
    </w:p>
    <w:p w:rsidR="0042464E" w:rsidRDefault="00F31299" w:rsidP="000B6D96">
      <w:pPr>
        <w:pStyle w:val="Tabulka-pramen"/>
        <w:spacing w:after="120" w:line="240" w:lineRule="auto"/>
      </w:pPr>
      <w:r>
        <w:t>Pr</w:t>
      </w:r>
      <w:r w:rsidR="0042464E">
        <w:t xml:space="preserve">íloha 1 </w:t>
      </w:r>
      <w:r>
        <w:t>Žiadosť o otvorenie neodvolateľného dokumentárneho akreditívu</w:t>
      </w:r>
    </w:p>
    <w:p w:rsidR="00F31299" w:rsidRDefault="00F31299" w:rsidP="000B6D96">
      <w:pPr>
        <w:pStyle w:val="Tabulka-pramen"/>
        <w:spacing w:before="0" w:line="240" w:lineRule="auto"/>
      </w:pPr>
      <w:r>
        <w:t>Zd</w:t>
      </w:r>
      <w:r w:rsidR="000B6D96">
        <w:t>r</w:t>
      </w:r>
      <w:r>
        <w:t>oj: Tatrabanka</w:t>
      </w:r>
    </w:p>
    <w:p w:rsidR="000B6D96" w:rsidRDefault="000B6D96" w:rsidP="000B6D96">
      <w:pPr>
        <w:pStyle w:val="Tabulka-pramen"/>
        <w:spacing w:after="120" w:line="240" w:lineRule="auto"/>
      </w:pPr>
      <w:r>
        <w:t>Príloha 2 Registračné údaje EULER HERMES SERVIS, S.R.O., Plynárenská 1, Bratislava</w:t>
      </w:r>
    </w:p>
    <w:p w:rsidR="000B6D96" w:rsidRDefault="000B6D96" w:rsidP="000B6D96">
      <w:pPr>
        <w:pStyle w:val="Tabulka-pramen"/>
        <w:spacing w:before="0" w:line="240" w:lineRule="auto"/>
      </w:pPr>
      <w:r>
        <w:t>Zdroj: Euler Hermes Servis</w:t>
      </w:r>
    </w:p>
    <w:p w:rsidR="00F31299" w:rsidRDefault="000B6D96" w:rsidP="000B6D96">
      <w:pPr>
        <w:pStyle w:val="Tabulka-pramen"/>
        <w:spacing w:after="120" w:line="240" w:lineRule="auto"/>
      </w:pPr>
      <w:r>
        <w:t>Príloha 3 Dotazník – Poistenie pohľadávok -  EULER HERMES SERVIS</w:t>
      </w:r>
    </w:p>
    <w:p w:rsidR="000B6D96" w:rsidRDefault="000B6D96" w:rsidP="000B6D96">
      <w:pPr>
        <w:pStyle w:val="Tabulka-pramen"/>
        <w:spacing w:before="0" w:line="240" w:lineRule="auto"/>
      </w:pPr>
      <w:r>
        <w:t>Zdroj: Euler Hermes Servis</w:t>
      </w:r>
    </w:p>
    <w:p w:rsidR="000B6D96" w:rsidRDefault="000B6D96" w:rsidP="000B6D96">
      <w:pPr>
        <w:pStyle w:val="Tabulka-pramen"/>
        <w:spacing w:after="120" w:line="240" w:lineRule="auto"/>
      </w:pPr>
      <w:r>
        <w:t>Príloha 4 Žiadosť o zaslanie finančných výkazov</w:t>
      </w:r>
    </w:p>
    <w:p w:rsidR="000B6D96" w:rsidRDefault="000B6D96" w:rsidP="000B6D96">
      <w:pPr>
        <w:pStyle w:val="Tabulka-pramen"/>
        <w:spacing w:before="0" w:line="240" w:lineRule="auto"/>
      </w:pPr>
      <w:r>
        <w:t>Zdroj: Euler Hermes Servis</w:t>
      </w:r>
    </w:p>
    <w:p w:rsidR="000B6D96" w:rsidRDefault="000B6D96" w:rsidP="000B6D96">
      <w:pPr>
        <w:pStyle w:val="Tabulka-pramen"/>
        <w:spacing w:after="120" w:line="240" w:lineRule="auto"/>
      </w:pPr>
      <w:r>
        <w:t>Príloha 5 Stanovenie poistného limitu</w:t>
      </w:r>
    </w:p>
    <w:p w:rsidR="000B6D96" w:rsidRDefault="000B6D96" w:rsidP="000B6D96">
      <w:pPr>
        <w:pStyle w:val="Tabulka-pramen"/>
        <w:spacing w:before="0" w:line="240" w:lineRule="auto"/>
      </w:pPr>
      <w:r>
        <w:t>Zdroj: Euler Hermes Servis</w:t>
      </w:r>
    </w:p>
    <w:p w:rsidR="000B6D96" w:rsidRDefault="000B6D96" w:rsidP="000B6D96">
      <w:pPr>
        <w:pStyle w:val="Tabulka-pramen"/>
        <w:spacing w:after="120" w:line="240" w:lineRule="auto"/>
      </w:pPr>
      <w:r>
        <w:t>Príloha 6 Osvedčenie o pôvode tovaru</w:t>
      </w:r>
      <w:r w:rsidR="001765CE">
        <w:t xml:space="preserve"> EUR. 1</w:t>
      </w:r>
    </w:p>
    <w:p w:rsidR="000B6D96" w:rsidRDefault="000B6D96" w:rsidP="000B6D96">
      <w:pPr>
        <w:pStyle w:val="Tabulka-pramen"/>
        <w:spacing w:before="0" w:line="240" w:lineRule="auto"/>
      </w:pPr>
      <w:r>
        <w:t xml:space="preserve">Zdroj: </w:t>
      </w:r>
      <w:r w:rsidR="001765CE">
        <w:t>Colná správa</w:t>
      </w:r>
    </w:p>
    <w:p w:rsidR="000B6D96" w:rsidRDefault="000B6D96" w:rsidP="000B6D96">
      <w:pPr>
        <w:pStyle w:val="Tabulka-pramen"/>
        <w:spacing w:after="120" w:line="240" w:lineRule="auto"/>
      </w:pPr>
      <w:r>
        <w:t>Príloha 7 Jednotná colná deklarácia</w:t>
      </w:r>
    </w:p>
    <w:p w:rsidR="000B6D96" w:rsidRDefault="001765CE" w:rsidP="000B6D96">
      <w:pPr>
        <w:pStyle w:val="Tabulka-pramen"/>
        <w:spacing w:before="0" w:line="240" w:lineRule="auto"/>
      </w:pPr>
      <w:r>
        <w:t>Zdroj: Colná správa</w:t>
      </w:r>
    </w:p>
    <w:p w:rsidR="000B6D96" w:rsidRDefault="000B6D96" w:rsidP="000B6D96">
      <w:pPr>
        <w:pStyle w:val="Tabulka-pramen"/>
        <w:spacing w:after="120" w:line="240" w:lineRule="auto"/>
      </w:pPr>
      <w:r>
        <w:t>Príloha 8  Registrácia TINBYT v NATUR-PACK</w:t>
      </w:r>
    </w:p>
    <w:p w:rsidR="000B6D96" w:rsidRDefault="000B6D96" w:rsidP="000B6D96">
      <w:pPr>
        <w:pStyle w:val="Tabulka-pramen"/>
        <w:spacing w:before="0" w:line="240" w:lineRule="auto"/>
      </w:pPr>
      <w:r>
        <w:t>Zdroj: Tinbyt</w:t>
      </w:r>
    </w:p>
    <w:p w:rsidR="000B6D96" w:rsidRDefault="000B6D96" w:rsidP="000B6D96">
      <w:pPr>
        <w:pStyle w:val="Tabulka-pramen"/>
        <w:spacing w:after="120" w:line="240" w:lineRule="auto"/>
      </w:pPr>
      <w:r>
        <w:t xml:space="preserve">Príloha 9  Evidenčný list obalov a odpadov </w:t>
      </w:r>
    </w:p>
    <w:p w:rsidR="000B6D96" w:rsidRDefault="000B6D96" w:rsidP="000B6D96">
      <w:pPr>
        <w:pStyle w:val="Tabulka-pramen"/>
        <w:spacing w:after="120" w:line="240" w:lineRule="auto"/>
      </w:pPr>
      <w:r>
        <w:t>Zdroj: Tinbyt</w:t>
      </w:r>
    </w:p>
    <w:p w:rsidR="000B6D96" w:rsidRDefault="000B6D96" w:rsidP="000B6D96">
      <w:pPr>
        <w:pStyle w:val="Tabulka-pramen"/>
        <w:spacing w:after="120" w:line="240" w:lineRule="auto"/>
      </w:pPr>
    </w:p>
    <w:p w:rsidR="000B6D96" w:rsidRDefault="000B6D96" w:rsidP="000B6D96">
      <w:pPr>
        <w:pStyle w:val="Tabulka-pramen"/>
        <w:spacing w:after="120" w:line="240" w:lineRule="auto"/>
      </w:pPr>
    </w:p>
    <w:sectPr w:rsidR="000B6D96" w:rsidSect="0042464E">
      <w:footerReference w:type="default" r:id="rId51"/>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7CA" w:rsidRDefault="003F67CA">
      <w:pPr>
        <w:spacing w:after="0"/>
      </w:pPr>
      <w:r>
        <w:separator/>
      </w:r>
    </w:p>
  </w:endnote>
  <w:endnote w:type="continuationSeparator" w:id="0">
    <w:p w:rsidR="003F67CA" w:rsidRDefault="003F67C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yriadPro-Bold">
    <w:altName w:val="Microsoft JhengHei"/>
    <w:panose1 w:val="00000000000000000000"/>
    <w:charset w:val="88"/>
    <w:family w:val="auto"/>
    <w:notTrueType/>
    <w:pitch w:val="default"/>
    <w:sig w:usb0="00000001" w:usb1="08080000" w:usb2="00000010" w:usb3="00000000" w:csb0="00100000" w:csb1="00000000"/>
  </w:font>
  <w:font w:name="Sans EE">
    <w:altName w:val="Times New Roman"/>
    <w:charset w:val="00"/>
    <w:family w:val="auto"/>
    <w:pitch w:val="default"/>
    <w:sig w:usb0="00000003" w:usb1="00000000" w:usb2="00000000" w:usb3="00000000" w:csb0="00000001" w:csb1="00000000"/>
  </w:font>
  <w:font w:name="MBBGBL+TimesNewRoman,BoldItalic">
    <w:altName w:val="Times New Roman"/>
    <w:panose1 w:val="00000000000000000000"/>
    <w:charset w:val="00"/>
    <w:family w:val="roman"/>
    <w:notTrueType/>
    <w:pitch w:val="default"/>
    <w:sig w:usb0="00000003" w:usb1="00000000" w:usb2="00000000" w:usb3="00000000" w:csb0="00000001" w:csb1="00000000"/>
  </w:font>
  <w:font w:name="AEPFFH+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pPr>
      <w:pStyle w:val="Zpat"/>
      <w:jc w:val="center"/>
      <w:rPr>
        <w:rFonts w:ascii="Verdana" w:hAnsi="Verdana" w:cs="Verdana"/>
        <w:b/>
        <w:bCs/>
        <w:sz w:val="20"/>
        <w:szCs w:val="20"/>
      </w:rPr>
    </w:pPr>
  </w:p>
  <w:p w:rsidR="00B32A81" w:rsidRDefault="00B32A8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pPr>
      <w:pStyle w:val="Zpat"/>
      <w:tabs>
        <w:tab w:val="left" w:pos="2265"/>
        <w:tab w:val="center" w:pos="4606"/>
      </w:tabs>
      <w:jc w:val="center"/>
      <w:rPr>
        <w:rFonts w:ascii="Verdana" w:hAnsi="Verdana" w:cs="Verdana"/>
        <w:b/>
        <w:bCs/>
        <w:color w:val="808080"/>
        <w:sz w:val="20"/>
        <w:szCs w:val="20"/>
      </w:rPr>
    </w:pPr>
    <w:r>
      <w:rPr>
        <w:rFonts w:ascii="Verdana" w:hAnsi="Verdana" w:cs="Verdana"/>
        <w:b/>
        <w:bCs/>
        <w:color w:val="808080"/>
        <w:sz w:val="20"/>
        <w:szCs w:val="20"/>
      </w:rPr>
      <w:t>Vysoká škola ekonomie a managementu</w:t>
    </w:r>
  </w:p>
  <w:p w:rsidR="00B32A81" w:rsidRDefault="00B32A81">
    <w:pPr>
      <w:pStyle w:val="Zpat"/>
      <w:jc w:val="center"/>
      <w:rPr>
        <w:rFonts w:ascii="Verdana" w:hAnsi="Verdana" w:cs="Verdana"/>
        <w:color w:val="808080"/>
        <w:sz w:val="20"/>
        <w:szCs w:val="20"/>
      </w:rPr>
    </w:pPr>
    <w:r>
      <w:rPr>
        <w:rFonts w:ascii="Verdana" w:hAnsi="Verdana" w:cs="Verdana"/>
        <w:color w:val="808080"/>
        <w:sz w:val="20"/>
        <w:szCs w:val="20"/>
      </w:rPr>
      <w:t>+420 841 133 166 / info@vsem.cz / www.vsem.cz</w:t>
    </w:r>
  </w:p>
  <w:p w:rsidR="00B32A81" w:rsidRDefault="00B32A8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pPr>
      <w:pStyle w:val="Zpat"/>
      <w:jc w:val="center"/>
      <w:rPr>
        <w:rFonts w:ascii="Verdana" w:hAnsi="Verdana" w:cs="Verdana"/>
        <w:b/>
        <w:bCs/>
        <w:sz w:val="20"/>
        <w:szCs w:val="20"/>
      </w:rPr>
    </w:pPr>
  </w:p>
  <w:p w:rsidR="00B32A81" w:rsidRDefault="00B32A81">
    <w:pPr>
      <w:framePr w:w="706" w:h="421" w:hRule="exact" w:wrap="auto"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21510E">
      <w:rPr>
        <w:rStyle w:val="slostrnky"/>
        <w:noProof/>
      </w:rPr>
      <w:t>45</w:t>
    </w:r>
    <w:r>
      <w:rPr>
        <w:rStyle w:val="slostrnky"/>
      </w:rPr>
      <w:fldChar w:fldCharType="end"/>
    </w:r>
  </w:p>
  <w:p w:rsidR="00B32A81" w:rsidRDefault="00B32A81">
    <w:pPr>
      <w:pStyle w:val="Zpat"/>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B32A81" w:rsidRDefault="00B32A81"/>
  <w:p w:rsidR="00B32A81" w:rsidRDefault="00B32A8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pPr>
      <w:pStyle w:val="Zpat"/>
      <w:jc w:val="center"/>
      <w:rPr>
        <w:rFonts w:ascii="Verdana" w:hAnsi="Verdana" w:cs="Verdana"/>
        <w:b/>
        <w:bCs/>
        <w:sz w:val="20"/>
        <w:szCs w:val="20"/>
      </w:rPr>
    </w:pPr>
  </w:p>
  <w:p w:rsidR="00B32A81" w:rsidRDefault="00B32A81">
    <w:pPr>
      <w:pStyle w:val="Zpat"/>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B32A81" w:rsidRDefault="00B32A81"/>
  <w:p w:rsidR="00B32A81" w:rsidRDefault="00B32A8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7CA" w:rsidRDefault="003F67CA">
      <w:pPr>
        <w:spacing w:after="0"/>
        <w:rPr>
          <w:sz w:val="20"/>
          <w:szCs w:val="20"/>
          <w:lang w:val="en-GB"/>
        </w:rPr>
      </w:pPr>
      <w:r>
        <w:separator/>
      </w:r>
    </w:p>
  </w:footnote>
  <w:footnote w:type="continuationSeparator" w:id="0">
    <w:p w:rsidR="003F67CA" w:rsidRDefault="003F67CA">
      <w:pPr>
        <w:spacing w:after="0"/>
      </w:pPr>
      <w:r>
        <w:continuationSeparator/>
      </w:r>
    </w:p>
  </w:footnote>
  <w:footnote w:id="1">
    <w:p w:rsidR="00B32A81" w:rsidRDefault="00B32A81">
      <w:pPr>
        <w:pStyle w:val="Poznmkapodarou"/>
      </w:pPr>
      <w:r>
        <w:rPr>
          <w:rStyle w:val="Znakapoznpodarou"/>
        </w:rPr>
        <w:footnoteRef/>
      </w:r>
      <w:r>
        <w:t xml:space="preserve"> KAŠŤÁKOVÁ, E., PULLMANOVÁ T., SVOBODOVÁ, V.: (2008). </w:t>
      </w:r>
      <w:r>
        <w:rPr>
          <w:i/>
          <w:iCs/>
        </w:rPr>
        <w:t xml:space="preserve">Operácie v zahraničnom obchode. </w:t>
      </w:r>
      <w:r>
        <w:t xml:space="preserve"> Bratislava: EKONÓM, str. 15, ISBN 978-80-225-2537-4.</w:t>
      </w:r>
    </w:p>
  </w:footnote>
  <w:footnote w:id="2">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7, ISBN 978-80-225-2654-8.</w:t>
      </w:r>
    </w:p>
  </w:footnote>
  <w:footnote w:id="3">
    <w:p w:rsidR="00B32A81" w:rsidRDefault="00B32A81">
      <w:pPr>
        <w:pStyle w:val="Poznmkapodarou"/>
      </w:pPr>
      <w:r>
        <w:rPr>
          <w:rStyle w:val="Znakapoznpodarou"/>
        </w:rPr>
        <w:footnoteRef/>
      </w:r>
      <w:r>
        <w:t xml:space="preserve"> SMEJKAL, V. </w:t>
      </w:r>
      <w:proofErr w:type="gramStart"/>
      <w:r>
        <w:t>-  RAIS</w:t>
      </w:r>
      <w:proofErr w:type="gramEnd"/>
      <w:r>
        <w:t xml:space="preserve">, K.: (2003). </w:t>
      </w:r>
      <w:r>
        <w:rPr>
          <w:i/>
          <w:iCs/>
        </w:rPr>
        <w:t>Řízení rizik.</w:t>
      </w:r>
      <w:r>
        <w:t xml:space="preserve"> Praha: GRADA PUBLISHING, str. 37, ISBN 978-80-247-3051-6.</w:t>
      </w:r>
    </w:p>
  </w:footnote>
  <w:footnote w:id="4">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17, </w:t>
      </w:r>
      <w:r>
        <w:rPr>
          <w:sz w:val="14"/>
          <w:szCs w:val="14"/>
        </w:rPr>
        <w:t>ISBN 978-80-225-2654-8.</w:t>
      </w:r>
    </w:p>
  </w:footnote>
  <w:footnote w:id="5">
    <w:p w:rsidR="00B32A81" w:rsidRDefault="00B32A81">
      <w:pPr>
        <w:pStyle w:val="Poznmkapodarou"/>
      </w:pPr>
      <w:r>
        <w:rPr>
          <w:rStyle w:val="Znakapoznpodarou"/>
        </w:rPr>
        <w:footnoteRef/>
      </w:r>
      <w:r>
        <w:t xml:space="preserve"> Antagonistický – protichodný, opačne pôsobiaci.</w:t>
      </w:r>
    </w:p>
  </w:footnote>
  <w:footnote w:id="6">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19, </w:t>
      </w:r>
      <w:r>
        <w:rPr>
          <w:sz w:val="14"/>
          <w:szCs w:val="14"/>
        </w:rPr>
        <w:t>ISBN 978-80-225-2654-8.</w:t>
      </w:r>
    </w:p>
  </w:footnote>
  <w:footnote w:id="7">
    <w:p w:rsidR="00B32A81" w:rsidRDefault="00B32A81">
      <w:pPr>
        <w:pStyle w:val="Poznmkapodarou"/>
      </w:pPr>
      <w:r>
        <w:rPr>
          <w:rStyle w:val="Znakapoznpodarou"/>
        </w:rPr>
        <w:footnoteRef/>
      </w:r>
      <w:r>
        <w:t xml:space="preserve"> ČSOB.: (2012). Bezzáväzkové platboné nástroje. </w:t>
      </w:r>
      <w:r w:rsidRPr="00AA6709">
        <w:rPr>
          <w:iCs/>
        </w:rPr>
        <w:t>[online].</w:t>
      </w:r>
      <w:r>
        <w:t xml:space="preserve">  Dokumentárne a zmenkové inkaso. 2012 [cit. 2012-2-02]. Dostupné z WWW:&lt;http://www.csob.sk/firmy/velke-firmy/uvery-a-financovanie/obchodne-financovanie/dokumentarne-a-zmenkove-inkaso&gt;.</w:t>
      </w:r>
    </w:p>
  </w:footnote>
  <w:footnote w:id="8">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19, </w:t>
      </w:r>
      <w:r>
        <w:rPr>
          <w:sz w:val="14"/>
          <w:szCs w:val="14"/>
        </w:rPr>
        <w:t>ISBN 978-80-225-2654-8.</w:t>
      </w:r>
    </w:p>
  </w:footnote>
  <w:footnote w:id="9">
    <w:p w:rsidR="00B32A81" w:rsidRDefault="00B32A81">
      <w:pPr>
        <w:pStyle w:val="Poznmkapodarou"/>
      </w:pPr>
      <w:r>
        <w:rPr>
          <w:rStyle w:val="Znakapoznpodarou"/>
        </w:rPr>
        <w:footnoteRef/>
      </w:r>
      <w:r>
        <w:t xml:space="preserve"> Abstraktné – predstavujú bezpodmienečný záväzok, ktorý je nezávislý od kontraku, na </w:t>
      </w:r>
      <w:proofErr w:type="gramStart"/>
      <w:r>
        <w:t>základe</w:t>
      </w:r>
      <w:proofErr w:type="gramEnd"/>
      <w:r>
        <w:t xml:space="preserve"> ktorého bol vystavený. </w:t>
      </w:r>
    </w:p>
  </w:footnote>
  <w:footnote w:id="10">
    <w:p w:rsidR="00B32A81" w:rsidRDefault="00B32A81">
      <w:pPr>
        <w:pStyle w:val="Poznmkapodarou"/>
      </w:pPr>
      <w:r w:rsidRPr="00AB0479">
        <w:rPr>
          <w:rStyle w:val="Znakapoznpodarou"/>
        </w:rPr>
        <w:footnoteRef/>
      </w:r>
      <w:r w:rsidRPr="00AB0479">
        <w:t xml:space="preserve"> Akcerorické – spĺňajú výlučne zabezpečovací funkciu.</w:t>
      </w:r>
    </w:p>
  </w:footnote>
  <w:footnote w:id="11">
    <w:p w:rsidR="00B32A81" w:rsidRDefault="00B32A81">
      <w:pPr>
        <w:pStyle w:val="Textpoznpodarou0"/>
        <w:jc w:val="both"/>
      </w:pPr>
      <w:r>
        <w:rPr>
          <w:rStyle w:val="Znakapoznpodarou"/>
        </w:rPr>
        <w:footnoteRef/>
      </w:r>
      <w:r>
        <w:t xml:space="preserve"> </w:t>
      </w:r>
      <w:r>
        <w:t xml:space="preserve">KRIŠTOFÍK, P.:  </w:t>
      </w:r>
      <w:r>
        <w:rPr>
          <w:i/>
          <w:iCs/>
        </w:rPr>
        <w:t>Trendy v riadení likvidity. [online].</w:t>
      </w:r>
      <w:r>
        <w:t xml:space="preserve">  Finančný manažment podnikov. 2010 [cit. 2011-12-27]. Dostupné z WWW: &lt;http://financnymanažment.sk/2010-1/1-2010/1/trendy-v-riadeni-likvidity-II&gt;.</w:t>
      </w:r>
    </w:p>
  </w:footnote>
  <w:footnote w:id="12">
    <w:p w:rsidR="00B32A81" w:rsidRDefault="00B32A81" w:rsidP="00BF2F35">
      <w:pPr>
        <w:pStyle w:val="Textpoznpodarou0"/>
        <w:jc w:val="both"/>
      </w:pPr>
      <w:r>
        <w:rPr>
          <w:rStyle w:val="Znakapoznpodarou"/>
        </w:rPr>
        <w:footnoteRef/>
      </w:r>
      <w:r>
        <w:t xml:space="preserve"> </w:t>
      </w:r>
      <w:r>
        <w:t>Precizovanie – vyjadriť, spresniť, presne vyjadrovať.</w:t>
      </w:r>
    </w:p>
  </w:footnote>
  <w:footnote w:id="13">
    <w:p w:rsidR="00B32A81" w:rsidRDefault="00B32A81">
      <w:pPr>
        <w:pStyle w:val="Poznmkapodarou"/>
      </w:pPr>
      <w:r>
        <w:rPr>
          <w:rStyle w:val="Znakapoznpodarou"/>
        </w:rPr>
        <w:footnoteRef/>
      </w:r>
      <w:r>
        <w:t xml:space="preserve"> </w:t>
      </w:r>
      <w:proofErr w:type="gramStart"/>
      <w:r>
        <w:t>KISLINGEROVÁ, E. a kol</w:t>
      </w:r>
      <w:proofErr w:type="gramEnd"/>
      <w:r>
        <w:t xml:space="preserve">.: (2007). </w:t>
      </w:r>
      <w:r>
        <w:rPr>
          <w:i/>
          <w:iCs/>
        </w:rPr>
        <w:t>Manažerské finance.</w:t>
      </w:r>
      <w:r>
        <w:t xml:space="preserve"> Praha: </w:t>
      </w:r>
      <w:proofErr w:type="gramStart"/>
      <w:r>
        <w:t>C.H.</w:t>
      </w:r>
      <w:proofErr w:type="gramEnd"/>
      <w:r>
        <w:t xml:space="preserve"> BECK. 2007. </w:t>
      </w:r>
      <w:proofErr w:type="gramStart"/>
      <w:r>
        <w:t>str.436</w:t>
      </w:r>
      <w:proofErr w:type="gramEnd"/>
      <w:r>
        <w:t>, ISBN 978-80-7179-903-0.</w:t>
      </w:r>
    </w:p>
  </w:footnote>
  <w:footnote w:id="14">
    <w:p w:rsidR="00B32A81" w:rsidRDefault="00B32A81">
      <w:pPr>
        <w:pStyle w:val="Poznmkapodarou"/>
        <w:spacing w:line="240" w:lineRule="auto"/>
      </w:pPr>
      <w:r>
        <w:rPr>
          <w:rStyle w:val="Znakapoznpodarou"/>
        </w:rPr>
        <w:footnoteRef/>
      </w:r>
      <w:r>
        <w:t xml:space="preserve"> PAVELKA, Ľ.:  (2007). </w:t>
      </w:r>
      <w:r w:rsidRPr="00385F39">
        <w:rPr>
          <w:i/>
          <w:iCs/>
          <w:lang w:val="sk-SK"/>
        </w:rPr>
        <w:t>Manažment</w:t>
      </w:r>
      <w:r>
        <w:rPr>
          <w:i/>
          <w:iCs/>
        </w:rPr>
        <w:t xml:space="preserve"> krátkodobých obchodných pohľadávok. </w:t>
      </w:r>
      <w:r>
        <w:t xml:space="preserve"> Problematika uvedená v tomto príspevku je súčasťou vedeckého projektu VEGA 1/4562/07 – Interné číslo 196.</w:t>
      </w:r>
    </w:p>
  </w:footnote>
  <w:footnote w:id="15">
    <w:p w:rsidR="00B32A81" w:rsidRDefault="00B32A81">
      <w:pPr>
        <w:pStyle w:val="Textpoznpodarou"/>
        <w:spacing w:line="240" w:lineRule="auto"/>
      </w:pPr>
      <w:r>
        <w:rPr>
          <w:rStyle w:val="Znakyprepoznmkupodiarou"/>
        </w:rPr>
        <w:footnoteRef/>
      </w:r>
      <w:r>
        <w:t xml:space="preserve"> </w:t>
      </w:r>
      <w:r>
        <w:rPr>
          <w:sz w:val="16"/>
          <w:szCs w:val="16"/>
        </w:rPr>
        <w:t>Medzi najznámejšie spoločnosti pôsobiace v oblasti zabezpečovania obchodných informácii patria: Coface Slovakia, Eulerhermes, Creditreform a iné.</w:t>
      </w:r>
    </w:p>
  </w:footnote>
  <w:footnote w:id="16">
    <w:p w:rsidR="00B32A81" w:rsidRDefault="00B32A81" w:rsidP="00385F39">
      <w:pPr>
        <w:pStyle w:val="Textpoznpodarou"/>
        <w:spacing w:line="240" w:lineRule="auto"/>
      </w:pPr>
      <w:r>
        <w:rPr>
          <w:rStyle w:val="Znakyprepoznmkupodiarou"/>
        </w:rPr>
        <w:footnoteRef/>
      </w:r>
      <w:r>
        <w:rPr>
          <w:sz w:val="16"/>
          <w:szCs w:val="16"/>
        </w:rPr>
        <w:t xml:space="preserve"> </w:t>
      </w:r>
      <w:r>
        <w:rPr>
          <w:sz w:val="16"/>
          <w:szCs w:val="16"/>
        </w:rPr>
        <w:t xml:space="preserve">Outsourcing – odovzdávanie vnútropodnikových aktivít zvyčajne nesúvisiacich z hlavnou činnosťou podniku na externý subjekt. </w:t>
      </w:r>
    </w:p>
  </w:footnote>
  <w:footnote w:id="17">
    <w:p w:rsidR="00B32A81" w:rsidRDefault="00B32A81">
      <w:pPr>
        <w:pStyle w:val="Textpoznpodarou"/>
        <w:spacing w:line="240" w:lineRule="auto"/>
      </w:pPr>
      <w:r>
        <w:rPr>
          <w:rStyle w:val="Znakyprepoznmkupodiarou"/>
        </w:rPr>
        <w:footnoteRef/>
      </w:r>
      <w:r>
        <w:t xml:space="preserve"> </w:t>
      </w:r>
      <w:r>
        <w:rPr>
          <w:sz w:val="16"/>
          <w:szCs w:val="16"/>
        </w:rPr>
        <w:t>Pri defaulte jednej pohľadávky v objeme € 3.300,--  musí firma pracujúca s maržou 5 % vygenerovať dodatočný obrat € 66.000,--potrebný na to, aby táto strata nezapríčinila v jej účtovníctve záporný hospodársky výsledok.</w:t>
      </w:r>
    </w:p>
  </w:footnote>
  <w:footnote w:id="18">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24, </w:t>
      </w:r>
      <w:r>
        <w:rPr>
          <w:sz w:val="14"/>
          <w:szCs w:val="14"/>
        </w:rPr>
        <w:t>ISBN 978-80-225-2654-8.</w:t>
      </w:r>
    </w:p>
  </w:footnote>
  <w:footnote w:id="19">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25, </w:t>
      </w:r>
      <w:r>
        <w:rPr>
          <w:sz w:val="14"/>
          <w:szCs w:val="14"/>
        </w:rPr>
        <w:t>ISBN 978-80-225-2654-8.</w:t>
      </w:r>
    </w:p>
  </w:footnote>
  <w:footnote w:id="20">
    <w:p w:rsidR="00B32A81" w:rsidRDefault="00B32A81">
      <w:pPr>
        <w:pStyle w:val="Poznmkapodarou"/>
      </w:pPr>
      <w:r>
        <w:rPr>
          <w:rStyle w:val="Znakapoznpodarou"/>
        </w:rPr>
        <w:footnoteRef/>
      </w:r>
      <w:r>
        <w:t xml:space="preserve"> ŠEBEJOVÁ, K.:  (2008). </w:t>
      </w:r>
      <w:r>
        <w:rPr>
          <w:i/>
          <w:iCs/>
        </w:rPr>
        <w:t xml:space="preserve">Kde a ako preveriť obchodného partnera. </w:t>
      </w:r>
      <w:r>
        <w:t xml:space="preserve"> Bratislava: TREND, str. 3.</w:t>
      </w:r>
    </w:p>
  </w:footnote>
  <w:footnote w:id="21">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29,</w:t>
      </w:r>
      <w:r>
        <w:rPr>
          <w:sz w:val="14"/>
          <w:szCs w:val="14"/>
        </w:rPr>
        <w:t xml:space="preserve"> ISBN 978-80-225-2654-8.</w:t>
      </w:r>
    </w:p>
  </w:footnote>
  <w:footnote w:id="22">
    <w:p w:rsidR="00B32A81" w:rsidRDefault="00B32A81">
      <w:pPr>
        <w:pStyle w:val="Poznmkapodarou"/>
      </w:pPr>
      <w:r>
        <w:rPr>
          <w:rStyle w:val="Znakapoznpodarou"/>
        </w:rPr>
        <w:footnoteRef/>
      </w:r>
      <w:r>
        <w:t xml:space="preserve"> Eulerhermes – &lt;http://eulerherms.com&gt;.</w:t>
      </w:r>
    </w:p>
  </w:footnote>
  <w:footnote w:id="23">
    <w:p w:rsidR="00B32A81" w:rsidRDefault="00B32A81">
      <w:pPr>
        <w:pStyle w:val="Poznmkapodarou"/>
      </w:pPr>
      <w:r>
        <w:rPr>
          <w:rStyle w:val="Znakapoznpodarou"/>
        </w:rPr>
        <w:footnoteRef/>
      </w:r>
      <w:r>
        <w:t xml:space="preserve"> Atradius  - &lt;http://www.astradius.sk&gt;.</w:t>
      </w:r>
    </w:p>
  </w:footnote>
  <w:footnote w:id="24">
    <w:p w:rsidR="00B32A81" w:rsidRDefault="00B32A81">
      <w:pPr>
        <w:pStyle w:val="Poznmkapodarou"/>
      </w:pPr>
      <w:r>
        <w:rPr>
          <w:rStyle w:val="Znakapoznpodarou"/>
        </w:rPr>
        <w:footnoteRef/>
      </w:r>
      <w:r>
        <w:t xml:space="preserve"> Cofaceintercredit – &lt;http://cofaceintercredit.com&gt;.</w:t>
      </w:r>
    </w:p>
  </w:footnote>
  <w:footnote w:id="25">
    <w:p w:rsidR="00B32A81" w:rsidRDefault="00B32A81">
      <w:pPr>
        <w:pStyle w:val="Poznmkapodarou"/>
      </w:pPr>
      <w:r>
        <w:rPr>
          <w:rStyle w:val="Znakapoznpodarou"/>
        </w:rPr>
        <w:footnoteRef/>
      </w:r>
      <w:r>
        <w:t xml:space="preserve"> INTRUM JUSTITIA – zbiera údaje od desiatok tisíc spoločnosti v Európe. Zozbierané údaje spoločnosť dopĺňa štatistickými a ekonomickými údajmi, ako i údajmi o priemyselnej produkcii. Pomocou všetkých týchto údajov bol spoločnosť Intrum Justitia vytvorený Index Rizika Krajiny (poskytuje informácie o platobnom riziku krajiny) a Európsky Platobný </w:t>
      </w:r>
      <w:proofErr w:type="gramStart"/>
      <w:r>
        <w:t>Index .</w:t>
      </w:r>
      <w:proofErr w:type="gramEnd"/>
      <w:r>
        <w:t xml:space="preserve"> </w:t>
      </w:r>
    </w:p>
  </w:footnote>
  <w:footnote w:id="26">
    <w:p w:rsidR="00B32A81" w:rsidRDefault="00B32A81">
      <w:pPr>
        <w:pStyle w:val="Textpoznpodarou0"/>
      </w:pPr>
      <w:r>
        <w:rPr>
          <w:rStyle w:val="Znakapoznpodarou"/>
        </w:rPr>
        <w:footnoteRef/>
      </w:r>
      <w:r>
        <w:t xml:space="preserve"> </w:t>
      </w:r>
      <w:r>
        <w:t xml:space="preserve">INTRUM JUSTITIA.: (2010). </w:t>
      </w:r>
      <w:r>
        <w:rPr>
          <w:i/>
          <w:iCs/>
        </w:rPr>
        <w:t>Rizikový index – Index rizika 2010 Slovensko</w:t>
      </w:r>
      <w:r>
        <w:t xml:space="preserve">. 2011 [cit. 2011-12-27]. Dostupné z WWW: &lt;http://www.intrum.com/sk/Tlac-publikacie/Intrum-casopis/&gt;. </w:t>
      </w:r>
    </w:p>
  </w:footnote>
  <w:footnote w:id="27">
    <w:p w:rsidR="00B32A81" w:rsidRDefault="00B32A81">
      <w:pPr>
        <w:pStyle w:val="Poznmkapodarou"/>
        <w:spacing w:line="240" w:lineRule="auto"/>
      </w:pPr>
      <w:r>
        <w:rPr>
          <w:rStyle w:val="Znakapoznpodarou"/>
        </w:rPr>
        <w:footnoteRef/>
      </w:r>
      <w:r>
        <w:t xml:space="preserve"> ROZEHNALOVÁ, N.: (2010). </w:t>
      </w:r>
      <w:r>
        <w:rPr>
          <w:i/>
          <w:iCs/>
        </w:rPr>
        <w:t xml:space="preserve">Právo </w:t>
      </w:r>
      <w:r w:rsidRPr="009055F8">
        <w:rPr>
          <w:i/>
          <w:iCs/>
          <w:lang w:val="sk-SK"/>
        </w:rPr>
        <w:t>medzinárodného</w:t>
      </w:r>
      <w:r>
        <w:rPr>
          <w:i/>
          <w:iCs/>
        </w:rPr>
        <w:t xml:space="preserve"> obchodu. </w:t>
      </w:r>
      <w:r>
        <w:t xml:space="preserve"> Praha: WOLTERS </w:t>
      </w:r>
      <w:proofErr w:type="gramStart"/>
      <w:r>
        <w:t>KLUWER,  str.</w:t>
      </w:r>
      <w:proofErr w:type="gramEnd"/>
      <w:r>
        <w:t xml:space="preserve"> 437, ISBN 978-80-7357-562-5.</w:t>
      </w:r>
    </w:p>
  </w:footnote>
  <w:footnote w:id="28">
    <w:p w:rsidR="00B32A81" w:rsidRDefault="00B32A81">
      <w:pPr>
        <w:pStyle w:val="Poznmkapodarou"/>
        <w:spacing w:line="240" w:lineRule="auto"/>
      </w:pPr>
      <w:r>
        <w:rPr>
          <w:rStyle w:val="Znakapoznpodarou"/>
        </w:rPr>
        <w:footnoteRef/>
      </w:r>
      <w:r>
        <w:t xml:space="preserve"> Akontácia -  akákoľvek čiastočná platba vopred. Akontácia v medzinárodnom obchode je pomerne vzácna a môže byť </w:t>
      </w:r>
      <w:r>
        <w:br/>
        <w:t>a zákonodárstvom vylúčená</w:t>
      </w:r>
    </w:p>
  </w:footnote>
  <w:footnote w:id="29">
    <w:p w:rsidR="00B32A81" w:rsidRDefault="00B32A81">
      <w:pPr>
        <w:pStyle w:val="Poznmkapodarou"/>
        <w:spacing w:line="240" w:lineRule="auto"/>
      </w:pPr>
      <w:r>
        <w:rPr>
          <w:rStyle w:val="Znakapoznpodarou"/>
        </w:rPr>
        <w:footnoteRef/>
      </w:r>
      <w:r>
        <w:t xml:space="preserve"> Výhrada vlastnického práva - kupujúci nadobúda vlastnícke právo k tovaru až úplným zaplatením jeho kúpnej ceny. </w:t>
      </w:r>
    </w:p>
  </w:footnote>
  <w:footnote w:id="30">
    <w:p w:rsidR="00B32A81" w:rsidRDefault="00B32A81">
      <w:pPr>
        <w:pStyle w:val="Poznmkapodarou"/>
        <w:spacing w:line="240" w:lineRule="auto"/>
      </w:pPr>
      <w:r>
        <w:rPr>
          <w:rStyle w:val="Znakapoznpodarou"/>
        </w:rPr>
        <w:footnoteRef/>
      </w:r>
      <w:r>
        <w:t xml:space="preserve"> ROZEHNALOVÁ, N.: (2010). </w:t>
      </w:r>
      <w:r>
        <w:rPr>
          <w:i/>
          <w:iCs/>
        </w:rPr>
        <w:t xml:space="preserve">Právo medzinárodného obchodu. </w:t>
      </w:r>
      <w:r>
        <w:t xml:space="preserve"> Praha: WOLTERS </w:t>
      </w:r>
      <w:proofErr w:type="gramStart"/>
      <w:r>
        <w:t>KLUWER,  str.</w:t>
      </w:r>
      <w:proofErr w:type="gramEnd"/>
      <w:r>
        <w:t xml:space="preserve"> 438, ISBN 978-80-7357-562-5.</w:t>
      </w:r>
    </w:p>
  </w:footnote>
  <w:footnote w:id="31">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133, ISBN 978-80-225-2654-8.</w:t>
      </w:r>
    </w:p>
  </w:footnote>
  <w:footnote w:id="32">
    <w:p w:rsidR="00B32A81" w:rsidRDefault="00B32A81" w:rsidP="00691BEA">
      <w:pPr>
        <w:pStyle w:val="Poznmkapodarou"/>
        <w:spacing w:line="240" w:lineRule="auto"/>
      </w:pPr>
      <w:r>
        <w:rPr>
          <w:rStyle w:val="Znakapoznpodarou"/>
        </w:rPr>
        <w:footnoteRef/>
      </w:r>
      <w:r>
        <w:t xml:space="preserve"> JANATKA, F.: (2011). </w:t>
      </w:r>
      <w:r>
        <w:rPr>
          <w:i/>
          <w:iCs/>
        </w:rPr>
        <w:t xml:space="preserve">Riziká v komerční praxi. </w:t>
      </w:r>
      <w:r>
        <w:t xml:space="preserve"> Praha: WOLTTERS KLUWER, str. 226, ISBN 978-80-7357-632-5.</w:t>
      </w:r>
    </w:p>
  </w:footnote>
  <w:footnote w:id="33">
    <w:p w:rsidR="00B32A81" w:rsidRDefault="00B32A81">
      <w:pPr>
        <w:pStyle w:val="Poznmkapodarou"/>
        <w:spacing w:line="240" w:lineRule="auto"/>
      </w:pPr>
      <w:r>
        <w:rPr>
          <w:rStyle w:val="Znakapoznpodarou"/>
        </w:rPr>
        <w:footnoteRef/>
      </w:r>
      <w:r>
        <w:t xml:space="preserve"> Dispozičné dokumenty – napr. námorný konosament (cenný papier, jeho znenie a prenos práv je v súlade s dohodou medzi zasielateľom a jeho príkazcom), riečný náložný list, skaldový liost (warrnat), vydací list a niektoré multimodálne dopravné dokumnety v rámci námornej dopravy.</w:t>
      </w:r>
    </w:p>
  </w:footnote>
  <w:footnote w:id="34">
    <w:p w:rsidR="00B32A81" w:rsidRDefault="00B32A81">
      <w:pPr>
        <w:pStyle w:val="Poznmkapodarou"/>
      </w:pPr>
      <w:r>
        <w:rPr>
          <w:rStyle w:val="Znakapoznpodarou"/>
        </w:rPr>
        <w:footnoteRef/>
      </w:r>
      <w:r>
        <w:t xml:space="preserve"> ROZEHNALOVÁ, N.: (2010). </w:t>
      </w:r>
      <w:r>
        <w:rPr>
          <w:i/>
          <w:iCs/>
        </w:rPr>
        <w:t xml:space="preserve">Právo medzinárodného obchodu. </w:t>
      </w:r>
      <w:r>
        <w:t xml:space="preserve"> Praha: WOLTERS </w:t>
      </w:r>
      <w:proofErr w:type="gramStart"/>
      <w:r>
        <w:t>KLUWER,  str.</w:t>
      </w:r>
      <w:proofErr w:type="gramEnd"/>
      <w:r>
        <w:t xml:space="preserve"> 440, ISBN 978-80-7357-562-5.</w:t>
      </w:r>
    </w:p>
  </w:footnote>
  <w:footnote w:id="35">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137, ISBN 978-80-225-2654-8.</w:t>
      </w:r>
    </w:p>
  </w:footnote>
  <w:footnote w:id="36">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138, ISBN 978-80-225-2654-8.</w:t>
      </w:r>
    </w:p>
  </w:footnote>
  <w:footnote w:id="37">
    <w:p w:rsidR="00B32A81" w:rsidRDefault="00B32A81">
      <w:pPr>
        <w:pStyle w:val="Poznmkapodarou"/>
        <w:spacing w:line="240" w:lineRule="auto"/>
      </w:pPr>
      <w:r>
        <w:rPr>
          <w:rStyle w:val="Znakapoznpodarou"/>
        </w:rPr>
        <w:footnoteRef/>
      </w:r>
      <w:r>
        <w:t xml:space="preserve"> Vis Major – (Vyššia Moc) – vojny, živelné udalosti, embargá, vzbúry a iné</w:t>
      </w:r>
    </w:p>
  </w:footnote>
  <w:footnote w:id="38">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146, ISBN 978-80-225-2654-8.</w:t>
      </w:r>
    </w:p>
  </w:footnote>
  <w:footnote w:id="39">
    <w:p w:rsidR="00B32A81" w:rsidRDefault="00B32A81">
      <w:pPr>
        <w:pStyle w:val="Poznmkapodarou"/>
        <w:spacing w:line="240" w:lineRule="auto"/>
      </w:pPr>
      <w:r>
        <w:rPr>
          <w:rStyle w:val="Znakapoznpodarou"/>
        </w:rPr>
        <w:footnoteRef/>
      </w:r>
      <w:r>
        <w:t xml:space="preserve"> ROZEHNALOVÁ, N.: (2010). </w:t>
      </w:r>
      <w:r>
        <w:rPr>
          <w:i/>
          <w:iCs/>
        </w:rPr>
        <w:t xml:space="preserve">Právo medzinárodného obchodu. </w:t>
      </w:r>
      <w:r>
        <w:t xml:space="preserve"> Praha: WOLTERS </w:t>
      </w:r>
      <w:proofErr w:type="gramStart"/>
      <w:r>
        <w:t>KLUWER,  str.</w:t>
      </w:r>
      <w:proofErr w:type="gramEnd"/>
      <w:r>
        <w:t xml:space="preserve"> 441,  ISBN 978-80-7357-562-5.</w:t>
      </w:r>
    </w:p>
  </w:footnote>
  <w:footnote w:id="40">
    <w:p w:rsidR="00B32A81" w:rsidRDefault="00B32A81">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158, ISBN 978-80-225-2654-8.</w:t>
      </w:r>
    </w:p>
  </w:footnote>
  <w:footnote w:id="41">
    <w:p w:rsidR="00B32A81" w:rsidRDefault="00B32A81">
      <w:pPr>
        <w:pStyle w:val="Poznmkapodarou"/>
        <w:spacing w:line="240" w:lineRule="auto"/>
      </w:pPr>
      <w:r>
        <w:rPr>
          <w:rStyle w:val="Znakapoznpodarou"/>
        </w:rPr>
        <w:footnoteRef/>
      </w:r>
      <w:r>
        <w:t xml:space="preserve"> ICC – International Chamber of Commerce – Medzinárodná obchodná komora  - organizácia, ktorá presadzuje a podporuje celosvetový obchod.</w:t>
      </w:r>
    </w:p>
  </w:footnote>
  <w:footnote w:id="42">
    <w:p w:rsidR="00B32A81" w:rsidRDefault="00B32A81">
      <w:pPr>
        <w:pStyle w:val="Poznmkapodarou"/>
        <w:spacing w:line="240" w:lineRule="auto"/>
      </w:pPr>
      <w:r>
        <w:rPr>
          <w:rStyle w:val="Znakapoznpodarou"/>
        </w:rPr>
        <w:footnoteRef/>
      </w:r>
      <w:r>
        <w:t xml:space="preserve"> ROZEHNALOVÁ, N.: (2010). </w:t>
      </w:r>
      <w:r>
        <w:rPr>
          <w:i/>
          <w:iCs/>
        </w:rPr>
        <w:t xml:space="preserve">Právo medzinárodného obchodu. </w:t>
      </w:r>
      <w:r>
        <w:t xml:space="preserve"> Praha: WOLTERS </w:t>
      </w:r>
      <w:proofErr w:type="gramStart"/>
      <w:r>
        <w:t>KLUWER,  str.</w:t>
      </w:r>
      <w:proofErr w:type="gramEnd"/>
      <w:r>
        <w:t xml:space="preserve"> 445,  ISBN 978-80-7357-562-5.</w:t>
      </w:r>
    </w:p>
  </w:footnote>
  <w:footnote w:id="43">
    <w:p w:rsidR="00B32A81" w:rsidRDefault="00B32A81">
      <w:pPr>
        <w:pStyle w:val="Poznmkapodarou"/>
        <w:spacing w:line="240" w:lineRule="auto"/>
      </w:pPr>
      <w:r>
        <w:rPr>
          <w:rStyle w:val="Znakapoznpodarou"/>
        </w:rPr>
        <w:footnoteRef/>
      </w:r>
      <w:r>
        <w:t xml:space="preserve"> SWIFT (Society for Worldwide Interbank Financial Telecommunication) – Spoločnosť pre celosvetovú medzibankovú finančnú komunikáciu. Pomocdou tejto siete dochádza k elektronickej výmene správ o finančných transakciách medzi bakami a ďalšími finančnými inštitúciami. </w:t>
      </w:r>
    </w:p>
  </w:footnote>
  <w:footnote w:id="44">
    <w:p w:rsidR="00B32A81" w:rsidRDefault="00B32A81">
      <w:pPr>
        <w:pStyle w:val="Poznmkapodarou"/>
        <w:spacing w:line="240" w:lineRule="auto"/>
      </w:pPr>
      <w:r>
        <w:rPr>
          <w:rStyle w:val="Znakapoznpodarou"/>
        </w:rPr>
        <w:footnoteRef/>
      </w:r>
      <w:r>
        <w:t xml:space="preserve"> Beneficient -  požívateľ výhody, prospechu, fyzická alebo právnická osoba, na meno ktroej alebo v prospech ktorej je vystavené alebo prevedené dokumentárne inkaso alebo akreditív. V širšom zmysle je to príjemca platby alebo akéhokoľvek iného peňažného plnenia. Anglický ekvivalent tohoto výrazu je Beneficiary.  </w:t>
      </w:r>
    </w:p>
  </w:footnote>
  <w:footnote w:id="45">
    <w:p w:rsidR="00B32A81" w:rsidRDefault="00B32A81">
      <w:pPr>
        <w:pStyle w:val="Poznmkapodarou"/>
        <w:spacing w:line="240" w:lineRule="auto"/>
      </w:pPr>
      <w:r>
        <w:rPr>
          <w:rStyle w:val="Znakapoznpodarou"/>
        </w:rPr>
        <w:footnoteRef/>
      </w:r>
      <w:r>
        <w:t xml:space="preserve"> ROZEHNALOVÁ, N.: (2010). </w:t>
      </w:r>
      <w:r>
        <w:rPr>
          <w:i/>
          <w:iCs/>
        </w:rPr>
        <w:t xml:space="preserve">Právo medzinárodného obchodu. </w:t>
      </w:r>
      <w:r>
        <w:t xml:space="preserve"> Praha: WOLTERS </w:t>
      </w:r>
      <w:proofErr w:type="gramStart"/>
      <w:r>
        <w:t>KLUWER,  str.</w:t>
      </w:r>
      <w:proofErr w:type="gramEnd"/>
      <w:r>
        <w:t xml:space="preserve"> 445,  ISBN 978-80-7357-562-5.</w:t>
      </w:r>
    </w:p>
  </w:footnote>
  <w:footnote w:id="46">
    <w:p w:rsidR="00B32A81" w:rsidRDefault="00B32A81">
      <w:pPr>
        <w:pStyle w:val="Poznmkapodarou"/>
        <w:spacing w:line="240" w:lineRule="auto"/>
      </w:pPr>
      <w:r>
        <w:rPr>
          <w:rStyle w:val="Znakapoznpodarou"/>
        </w:rPr>
        <w:footnoteRef/>
      </w:r>
      <w:r>
        <w:t xml:space="preserve"> ROZEHNALOVÁ, N.: (2010). </w:t>
      </w:r>
      <w:r>
        <w:rPr>
          <w:i/>
          <w:iCs/>
        </w:rPr>
        <w:t xml:space="preserve">Právo medzinárodného obchodu. </w:t>
      </w:r>
      <w:r>
        <w:t xml:space="preserve"> Praha: WOLTERS </w:t>
      </w:r>
      <w:proofErr w:type="gramStart"/>
      <w:r>
        <w:t>KLUWER,  str.</w:t>
      </w:r>
      <w:proofErr w:type="gramEnd"/>
      <w:r>
        <w:t xml:space="preserve"> 446,  ISBN 978-80-7357-562-5.</w:t>
      </w:r>
    </w:p>
  </w:footnote>
  <w:footnote w:id="47">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161, ISBN 978-80-225-2654-8.</w:t>
      </w:r>
    </w:p>
  </w:footnote>
  <w:footnote w:id="48">
    <w:p w:rsidR="00B32A81" w:rsidRDefault="00B32A81">
      <w:pPr>
        <w:pStyle w:val="Poznmkapodarou"/>
        <w:spacing w:line="240" w:lineRule="auto"/>
      </w:pPr>
      <w:r>
        <w:rPr>
          <w:rStyle w:val="Znakapoznpodarou"/>
        </w:rPr>
        <w:footnoteRef/>
      </w:r>
      <w:r>
        <w:t xml:space="preserve"> ROZEHNALOVÁ, N.: (2010). </w:t>
      </w:r>
      <w:r>
        <w:rPr>
          <w:i/>
          <w:iCs/>
        </w:rPr>
        <w:t xml:space="preserve">Právo medzinárodného obchodu. </w:t>
      </w:r>
      <w:r>
        <w:t xml:space="preserve"> Praha: WOLTERS </w:t>
      </w:r>
      <w:proofErr w:type="gramStart"/>
      <w:r>
        <w:t>KLUWER,  str.</w:t>
      </w:r>
      <w:proofErr w:type="gramEnd"/>
      <w:r>
        <w:t xml:space="preserve"> 445,  ISBN 978-80-7357-562-5.</w:t>
      </w:r>
    </w:p>
  </w:footnote>
  <w:footnote w:id="49">
    <w:p w:rsidR="00B32A81" w:rsidRDefault="00B32A81">
      <w:pPr>
        <w:pStyle w:val="Poznmkapodarou"/>
        <w:spacing w:line="240" w:lineRule="auto"/>
      </w:pPr>
      <w:r>
        <w:rPr>
          <w:rStyle w:val="Znakapoznpodarou"/>
        </w:rPr>
        <w:footnoteRef/>
      </w:r>
      <w:r>
        <w:t xml:space="preserve"> Základom zjednotenia zákonov sa stali Ženevské konvencie z roku 1930 (o jednotnom zmenkovom a šekovom práve). Medzi štáty, ktoré konvencie podpísali patrilo aj Českolovensko. K pôvodným 33 štátom, pribudali postupne aj ďalšie štáty. Aj napriek snahám právneho zjednotenia používania zmeniek existujú dodnes vo svete dve oblasti rôznej právnej úpravy. Krajiny uplatňujúce Ženevskú dohodu a krajiny uplatňujúce angloamerické práva (Veľká Británia, Severné Írsko, Kanada, Austrália).</w:t>
      </w:r>
    </w:p>
  </w:footnote>
  <w:footnote w:id="50">
    <w:p w:rsidR="00B32A81" w:rsidRDefault="00B32A81">
      <w:pPr>
        <w:pStyle w:val="Poznmkapodarou"/>
        <w:spacing w:line="240" w:lineRule="auto"/>
      </w:pPr>
      <w:r>
        <w:rPr>
          <w:rStyle w:val="Znakapoznpodarou"/>
        </w:rPr>
        <w:footnoteRef/>
      </w:r>
      <w:r>
        <w:t xml:space="preserve">  MACHKOVÁ, H., ČERNOHLÁVKOVÁ, E., SATO, A.: (2010). </w:t>
      </w:r>
      <w:r>
        <w:rPr>
          <w:i/>
          <w:iCs/>
        </w:rPr>
        <w:t xml:space="preserve">Medzinárodní obchodní operace. </w:t>
      </w:r>
      <w:r>
        <w:t xml:space="preserve">Praha: GRADA </w:t>
      </w:r>
      <w:proofErr w:type="gramStart"/>
      <w:r>
        <w:t>PUBLISHING,  str.</w:t>
      </w:r>
      <w:proofErr w:type="gramEnd"/>
      <w:r>
        <w:t xml:space="preserve"> 78,  ISBN 978-80-247-3237-4.</w:t>
      </w:r>
    </w:p>
  </w:footnote>
  <w:footnote w:id="51">
    <w:p w:rsidR="00B32A81" w:rsidRDefault="00B32A81">
      <w:pPr>
        <w:pStyle w:val="Poznmkapodarou"/>
        <w:spacing w:line="240" w:lineRule="auto"/>
      </w:pPr>
      <w:r>
        <w:rPr>
          <w:rStyle w:val="Znakapoznpodarou"/>
        </w:rPr>
        <w:footnoteRef/>
      </w:r>
      <w:r>
        <w:t xml:space="preserve"> Zákon o zmenkách a šekoch č. 191/1950 Zb.</w:t>
      </w:r>
    </w:p>
  </w:footnote>
  <w:footnote w:id="52">
    <w:p w:rsidR="00B32A81" w:rsidRDefault="00B32A81">
      <w:pPr>
        <w:pStyle w:val="Poznmkapodarou"/>
        <w:spacing w:line="240" w:lineRule="auto"/>
      </w:pPr>
      <w:r>
        <w:rPr>
          <w:rStyle w:val="Znakapoznpodarou"/>
        </w:rPr>
        <w:footnoteRef/>
      </w:r>
      <w:r>
        <w:t xml:space="preserve"> Aval – z fran. Per-aval  - avalista – zmenkový ručiteľ, zaväzuje sa  splatiť záväzok namiesto dlžníka.</w:t>
      </w:r>
    </w:p>
  </w:footnote>
  <w:footnote w:id="53">
    <w:p w:rsidR="00B32A81" w:rsidRDefault="00B32A81">
      <w:pPr>
        <w:pStyle w:val="Poznmkapodarou"/>
        <w:spacing w:line="240" w:lineRule="auto"/>
      </w:pPr>
      <w:r>
        <w:rPr>
          <w:rStyle w:val="Znakapoznpodarou"/>
        </w:rPr>
        <w:footnoteRef/>
      </w:r>
      <w:r>
        <w:t xml:space="preserve"> Zákon o zmenkách a šekoch č. 191/1950 Zb.</w:t>
      </w:r>
    </w:p>
  </w:footnote>
  <w:footnote w:id="54">
    <w:p w:rsidR="00B32A81" w:rsidRDefault="00B32A81">
      <w:pPr>
        <w:pStyle w:val="Poznmkapodarou"/>
        <w:spacing w:line="240" w:lineRule="auto"/>
      </w:pPr>
      <w:r>
        <w:rPr>
          <w:rStyle w:val="Znakapoznpodarou"/>
        </w:rPr>
        <w:footnoteRef/>
      </w:r>
      <w:r>
        <w:t xml:space="preserve"> Zákon o zmenkách a šekoch č. 191/1950 Zb.</w:t>
      </w:r>
    </w:p>
  </w:footnote>
  <w:footnote w:id="55">
    <w:p w:rsidR="00B32A81" w:rsidRDefault="00B32A81">
      <w:pPr>
        <w:pStyle w:val="Poznmkapodarou"/>
        <w:spacing w:line="240" w:lineRule="auto"/>
      </w:pPr>
      <w:r>
        <w:rPr>
          <w:rStyle w:val="Znakapoznpodarou"/>
        </w:rPr>
        <w:footnoteRef/>
      </w:r>
      <w:r>
        <w:t xml:space="preserve"> Zákon o zmenkách a šekoch č. 191/1950 Zb.</w:t>
      </w:r>
    </w:p>
  </w:footnote>
  <w:footnote w:id="56">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podmienkach EÚ. </w:t>
      </w:r>
      <w:r>
        <w:t xml:space="preserve"> Bratislava: EKONÓM, str. 88, ISBN 978-80-225-2654-8.</w:t>
      </w:r>
    </w:p>
  </w:footnote>
  <w:footnote w:id="57">
    <w:p w:rsidR="00B32A81" w:rsidRDefault="00B32A81">
      <w:pPr>
        <w:pStyle w:val="Poznmkapodarou"/>
        <w:spacing w:line="240" w:lineRule="auto"/>
      </w:pPr>
      <w:r>
        <w:rPr>
          <w:rStyle w:val="Znakapoznpodarou"/>
        </w:rPr>
        <w:footnoteRef/>
      </w:r>
      <w:r>
        <w:t xml:space="preserve"> Zákon o zmenkách a šekoch č. 191/1950 Zb.</w:t>
      </w:r>
    </w:p>
  </w:footnote>
  <w:footnote w:id="58">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podmienkach EÚ. </w:t>
      </w:r>
      <w:r>
        <w:t xml:space="preserve"> Bratislava: EKONÓM, str. 89, ISBN 978-80-225-2654-8.</w:t>
      </w:r>
    </w:p>
  </w:footnote>
  <w:footnote w:id="59">
    <w:p w:rsidR="00B32A81" w:rsidRDefault="00B32A81">
      <w:pPr>
        <w:pStyle w:val="Poznmkapodarou"/>
        <w:spacing w:line="240" w:lineRule="auto"/>
      </w:pPr>
      <w:r>
        <w:rPr>
          <w:rStyle w:val="Znakapoznpodarou"/>
        </w:rPr>
        <w:footnoteRef/>
      </w:r>
      <w:r>
        <w:t xml:space="preserve"> PAVELKA, Ľ.:(2008). </w:t>
      </w:r>
      <w:r>
        <w:rPr>
          <w:i/>
          <w:iCs/>
        </w:rPr>
        <w:t xml:space="preserve">Medzinárodný platobný styk v podmienkách EÚ. </w:t>
      </w:r>
      <w:r>
        <w:t xml:space="preserve">Bratislava: EKONÓM, str. </w:t>
      </w:r>
      <w:r w:rsidRPr="004F1F0C">
        <w:rPr>
          <w:sz w:val="14"/>
          <w:szCs w:val="14"/>
        </w:rPr>
        <w:t>91</w:t>
      </w:r>
      <w:r>
        <w:t>, ISBN 978-80-225-2654-8.</w:t>
      </w:r>
    </w:p>
  </w:footnote>
  <w:footnote w:id="60">
    <w:p w:rsidR="00B32A81" w:rsidRDefault="00B32A81">
      <w:pPr>
        <w:pStyle w:val="Poznmkapodarou"/>
        <w:spacing w:line="240" w:lineRule="auto"/>
      </w:pPr>
      <w:r>
        <w:rPr>
          <w:rStyle w:val="Znakapoznpodarou"/>
        </w:rPr>
        <w:footnoteRef/>
      </w:r>
      <w:r>
        <w:t xml:space="preserve"> MACHKOVÁ, H., ČERNOHLÁVKOVÁ, E., SATO, A.: (2010). </w:t>
      </w:r>
      <w:r>
        <w:rPr>
          <w:i/>
          <w:iCs/>
        </w:rPr>
        <w:t xml:space="preserve">Medzinárodní obchodní operace. </w:t>
      </w:r>
      <w:r>
        <w:t xml:space="preserve">Praha: GRADA </w:t>
      </w:r>
      <w:proofErr w:type="gramStart"/>
      <w:r>
        <w:t>PUBLISHING,  str.</w:t>
      </w:r>
      <w:proofErr w:type="gramEnd"/>
      <w:r>
        <w:t xml:space="preserve"> 77,  ISBN 978-80-247-3237-4.</w:t>
      </w:r>
    </w:p>
  </w:footnote>
  <w:footnote w:id="61">
    <w:p w:rsidR="00B32A81" w:rsidRDefault="00B32A81">
      <w:pPr>
        <w:pStyle w:val="Poznmkapodarou"/>
        <w:spacing w:line="240" w:lineRule="auto"/>
      </w:pPr>
      <w:r>
        <w:rPr>
          <w:rStyle w:val="Znakapoznpodarou"/>
        </w:rPr>
        <w:footnoteRef/>
      </w:r>
      <w:r>
        <w:t xml:space="preserve">  Napr. z nekvality tovaru, nedodania alebo neúplného dodania tovaru. </w:t>
      </w:r>
    </w:p>
  </w:footnote>
  <w:footnote w:id="62">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podmienkach EÚ. </w:t>
      </w:r>
      <w:r>
        <w:t xml:space="preserve"> Bratislava: EKONÓM, str. 94 – </w:t>
      </w:r>
      <w:proofErr w:type="gramStart"/>
      <w:r>
        <w:t>95.  ISBN</w:t>
      </w:r>
      <w:proofErr w:type="gramEnd"/>
      <w:r>
        <w:t xml:space="preserve"> 978-80-225-2654-8.</w:t>
      </w:r>
    </w:p>
  </w:footnote>
  <w:footnote w:id="63">
    <w:p w:rsidR="00B32A81" w:rsidRDefault="00B32A81">
      <w:pPr>
        <w:pStyle w:val="Poznmkapodarou"/>
        <w:spacing w:line="240" w:lineRule="auto"/>
      </w:pPr>
      <w:r>
        <w:rPr>
          <w:rStyle w:val="Znakapoznpodarou"/>
        </w:rPr>
        <w:footnoteRef/>
      </w:r>
      <w:r>
        <w:t xml:space="preserve">  MACHKOVÁ, H., ČERNOHLÁVKOVÁ, E., SATO, A.: (2010). </w:t>
      </w:r>
      <w:r>
        <w:rPr>
          <w:i/>
          <w:iCs/>
        </w:rPr>
        <w:t xml:space="preserve">Medzinárodní obchodní operace. </w:t>
      </w:r>
      <w:r>
        <w:t xml:space="preserve">Praha: GRADA </w:t>
      </w:r>
      <w:proofErr w:type="gramStart"/>
      <w:r>
        <w:t>PUBLISHING,  str.</w:t>
      </w:r>
      <w:proofErr w:type="gramEnd"/>
      <w:r>
        <w:t xml:space="preserve"> 77,  ISBN 978-80-247-3237-4.</w:t>
      </w:r>
    </w:p>
  </w:footnote>
  <w:footnote w:id="64">
    <w:p w:rsidR="00B32A81" w:rsidRDefault="00B32A81">
      <w:pPr>
        <w:pStyle w:val="Poznmkapodarou"/>
        <w:spacing w:line="240" w:lineRule="auto"/>
      </w:pPr>
      <w:r>
        <w:rPr>
          <w:rStyle w:val="Znakapoznpodarou"/>
        </w:rPr>
        <w:footnoteRef/>
      </w:r>
      <w:r>
        <w:t xml:space="preserve"> Biankozmenka – riadnou zmenkou sa má stať až po doplnení chýbajúcich údajov v budúcnosti. Nevypísané údaje na listine obvykle doplní majtiteľ zmenky na </w:t>
      </w:r>
      <w:proofErr w:type="gramStart"/>
      <w:r>
        <w:t>základe</w:t>
      </w:r>
      <w:proofErr w:type="gramEnd"/>
      <w:r>
        <w:t xml:space="preserve"> písomného vyhlásenia, ktorú mu udelil zmenkový dlžník. </w:t>
      </w:r>
    </w:p>
  </w:footnote>
  <w:footnote w:id="65">
    <w:p w:rsidR="00B32A81" w:rsidRDefault="00B32A81">
      <w:pPr>
        <w:pStyle w:val="Poznmkapodarou"/>
        <w:spacing w:line="240" w:lineRule="auto"/>
      </w:pPr>
      <w:r>
        <w:rPr>
          <w:rStyle w:val="Znakapoznpodarou"/>
        </w:rPr>
        <w:footnoteRef/>
      </w:r>
      <w:r>
        <w:t xml:space="preserve"> Indosácia – vykonanie prevodu zmenky rukopisom. Vyznačením záznamu indosácie a následným odovzdaním zmenky prichádza k zmene majiteľa zmenky. </w:t>
      </w:r>
    </w:p>
  </w:footnote>
  <w:footnote w:id="66">
    <w:p w:rsidR="00B32A81" w:rsidRDefault="00B32A81">
      <w:pPr>
        <w:pStyle w:val="Poznmkapodarou"/>
        <w:spacing w:line="240" w:lineRule="auto"/>
      </w:pPr>
      <w:r>
        <w:rPr>
          <w:rStyle w:val="Znakapoznpodarou"/>
        </w:rPr>
        <w:footnoteRef/>
      </w:r>
      <w:r>
        <w:t xml:space="preserve"> SWIFT (Society for Worldwide Interbank Financial Telecommunication) – Spoločnosť pre celosvetovú medzibankovú finančnú komunikáciu. Pomocdou tejto siete dochádza k elektronickej výmene správ o finančných transakciách medzi bakami a ďalšími finančnými inštitúciami. </w:t>
      </w:r>
    </w:p>
  </w:footnote>
  <w:footnote w:id="67">
    <w:p w:rsidR="00B32A81" w:rsidRDefault="00B32A81">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w:t>
      </w:r>
      <w:proofErr w:type="gramStart"/>
      <w:r>
        <w:t>172.  ISBN</w:t>
      </w:r>
      <w:proofErr w:type="gramEnd"/>
      <w:r>
        <w:t xml:space="preserve"> 978-80-225-2654-8.</w:t>
      </w:r>
    </w:p>
  </w:footnote>
  <w:footnote w:id="68">
    <w:p w:rsidR="00B32A81" w:rsidRDefault="00B32A81">
      <w:pPr>
        <w:pStyle w:val="Poznmkapodarou"/>
        <w:spacing w:line="240" w:lineRule="auto"/>
      </w:pPr>
      <w:r>
        <w:rPr>
          <w:rStyle w:val="Znakapoznpodarou"/>
        </w:rPr>
        <w:footnoteRef/>
      </w:r>
      <w:r>
        <w:t xml:space="preserve"> Akcesorické – spĺňajú výlučne zabezpečovaniu funkciu. Banka zaplatí až po rozhodnutí súdu. </w:t>
      </w:r>
      <w:proofErr w:type="gramStart"/>
      <w:r>
        <w:t>Platí ,,Najprv</w:t>
      </w:r>
      <w:proofErr w:type="gramEnd"/>
      <w:r>
        <w:t xml:space="preserve"> sa súď, potom plať“.</w:t>
      </w:r>
    </w:p>
  </w:footnote>
  <w:footnote w:id="69">
    <w:p w:rsidR="00B32A81" w:rsidRDefault="00B32A81">
      <w:pPr>
        <w:pStyle w:val="Poznmkapodarou"/>
        <w:spacing w:line="240" w:lineRule="auto"/>
      </w:pPr>
      <w:r>
        <w:rPr>
          <w:rStyle w:val="Znakapoznpodarou"/>
        </w:rPr>
        <w:footnoteRef/>
      </w:r>
      <w:r>
        <w:t xml:space="preserve">  Medzinárodná obchodná komora, sídli v Paríži, po anglicky </w:t>
      </w:r>
      <w:r>
        <w:rPr>
          <w:i/>
          <w:iCs/>
        </w:rPr>
        <w:t>International Chamber of Commerce</w:t>
      </w:r>
      <w:r>
        <w:t xml:space="preserve"> – ICC. Slúži ako zástanca svetového obchodu v globálnej ekonomike so záujmom o ekonomický rast, vytváranie pracovných miest a prosperitu. Ako globálna obchodná organizácia tvorená členskými štátmi napomáha rozvoju obchodných záležitostí v medzinárodnom meradle. MOK má priamy prístup k národným vládam po celom svete prostredníctvom ich národných výborov.</w:t>
      </w:r>
    </w:p>
  </w:footnote>
  <w:footnote w:id="70">
    <w:p w:rsidR="00B32A81" w:rsidRDefault="00B32A81">
      <w:pPr>
        <w:pStyle w:val="Poznmkapodarou"/>
        <w:spacing w:line="240" w:lineRule="auto"/>
      </w:pPr>
      <w:r>
        <w:rPr>
          <w:rStyle w:val="Znakapoznpodarou"/>
        </w:rPr>
        <w:footnoteRef/>
      </w:r>
      <w:r>
        <w:t xml:space="preserve"> Beneficient -  požívateľ výhody, prospechu, fyzická alebo právnická osoba, na meno ktroej alebo v prospech ktorej je vystavené alebo prevedené dokumentárne inkaso alebo akreditív. V širšom zmysle je to príjemca platby alebo akéhokoľvek iného peňažného plnenia. Anglický ekvivalent tohoto výrazu je Beneficiary.  </w:t>
      </w:r>
    </w:p>
  </w:footnote>
  <w:footnote w:id="71">
    <w:p w:rsidR="00B32A81" w:rsidRDefault="00B32A81">
      <w:pPr>
        <w:pStyle w:val="Poznmkapodarou"/>
        <w:spacing w:line="240" w:lineRule="auto"/>
      </w:pPr>
      <w:r>
        <w:rPr>
          <w:rStyle w:val="Znakapoznpodarou"/>
        </w:rPr>
        <w:footnoteRef/>
      </w:r>
      <w:r>
        <w:t xml:space="preserve"> Abstraktné – predstavujú bezpodmienečný záväzok, ktorý je nezávislý od kontraku, na </w:t>
      </w:r>
      <w:proofErr w:type="gramStart"/>
      <w:r>
        <w:t>základe</w:t>
      </w:r>
      <w:proofErr w:type="gramEnd"/>
      <w:r>
        <w:t xml:space="preserve"> ktorého bol vystavený. Banka neskúma dôvody, ale je povinná na prvé požiadanie zaplatiť bez námietok.</w:t>
      </w:r>
    </w:p>
  </w:footnote>
  <w:footnote w:id="72">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172.  ISBN</w:t>
      </w:r>
      <w:proofErr w:type="gramEnd"/>
      <w:r>
        <w:t xml:space="preserve"> 978-80-225-2654-8.</w:t>
      </w:r>
    </w:p>
  </w:footnote>
  <w:footnote w:id="73">
    <w:p w:rsidR="00B32A81" w:rsidRDefault="00B32A81">
      <w:pPr>
        <w:pStyle w:val="Poznmkapodarou"/>
        <w:spacing w:line="240" w:lineRule="auto"/>
      </w:pPr>
      <w:r>
        <w:rPr>
          <w:rStyle w:val="Znakapoznpodarou"/>
        </w:rPr>
        <w:footnoteRef/>
      </w:r>
      <w:r>
        <w:t xml:space="preserve"> Césia – postúpenia práva, územia, pohľadávky. Pohľadávky, ktoré sú predmetom cesie nesmú byť predmetom záložného práva v prospech iných veriteľov.</w:t>
      </w:r>
    </w:p>
  </w:footnote>
  <w:footnote w:id="74">
    <w:p w:rsidR="00B32A81" w:rsidRDefault="00B32A81">
      <w:pPr>
        <w:pStyle w:val="Poznmkapodarou"/>
      </w:pPr>
      <w:r>
        <w:rPr>
          <w:rStyle w:val="Znakapoznpodarou"/>
        </w:rPr>
        <w:footnoteRef/>
      </w:r>
      <w:r>
        <w:t xml:space="preserve"> FERENČÍKOVÁ, S. a kol.: </w:t>
      </w:r>
      <w:r>
        <w:rPr>
          <w:i/>
          <w:iCs/>
        </w:rPr>
        <w:t>Aktuálne problémy medzinárodného podnikania.</w:t>
      </w:r>
      <w:r>
        <w:t xml:space="preserve"> Bratislava: Vydavateľstvo EKONÓM, </w:t>
      </w:r>
      <w:proofErr w:type="gramStart"/>
      <w:r>
        <w:t>2004,  str.</w:t>
      </w:r>
      <w:proofErr w:type="gramEnd"/>
      <w:r>
        <w:t xml:space="preserve"> 84. </w:t>
      </w:r>
      <w:r>
        <w:rPr>
          <w:rStyle w:val="st"/>
        </w:rPr>
        <w:t>ISBN 80-225-1863-8</w:t>
      </w:r>
    </w:p>
  </w:footnote>
  <w:footnote w:id="75">
    <w:p w:rsidR="00B32A81" w:rsidRDefault="00B32A81" w:rsidP="00DC242D">
      <w:pPr>
        <w:pStyle w:val="Poznmkapodarou"/>
        <w:spacing w:line="240" w:lineRule="auto"/>
      </w:pPr>
      <w:r>
        <w:rPr>
          <w:rStyle w:val="Znakapoznpodarou"/>
        </w:rPr>
        <w:footnoteRef/>
      </w:r>
      <w:r>
        <w:t xml:space="preserve"> FERENČÍKOVÁ, S. a kol.: </w:t>
      </w:r>
      <w:r>
        <w:rPr>
          <w:i/>
          <w:iCs/>
        </w:rPr>
        <w:t>Aktuálne problémy medzinárodného podnikania.</w:t>
      </w:r>
      <w:r>
        <w:t xml:space="preserve"> Bratislava: Vydavateľstvo EKONÓM, </w:t>
      </w:r>
      <w:proofErr w:type="gramStart"/>
      <w:r>
        <w:t>2004,  str.</w:t>
      </w:r>
      <w:proofErr w:type="gramEnd"/>
      <w:r>
        <w:t xml:space="preserve"> 84, </w:t>
      </w:r>
      <w:r>
        <w:rPr>
          <w:rStyle w:val="st"/>
        </w:rPr>
        <w:t>ISBN 80-225-1863-8.</w:t>
      </w:r>
    </w:p>
  </w:footnote>
  <w:footnote w:id="76">
    <w:p w:rsidR="00B32A81" w:rsidRDefault="00B32A81" w:rsidP="00DC242D">
      <w:pPr>
        <w:pStyle w:val="Textpoznpodarou0"/>
      </w:pPr>
      <w:r>
        <w:rPr>
          <w:rStyle w:val="Znakapoznpodarou"/>
        </w:rPr>
        <w:footnoteRef/>
      </w:r>
      <w:r>
        <w:t xml:space="preserve"> </w:t>
      </w:r>
      <w:r>
        <w:rPr>
          <w:i/>
          <w:iCs/>
        </w:rPr>
        <w:t>Factoring zlepšuje tok peňazí. [online].</w:t>
      </w:r>
      <w:r>
        <w:t xml:space="preserve">  Hospodárske noviny. 2009 [cit. 2012-1-21].  Dostupné z WWW: http://www.hnonline.sk/ </w:t>
      </w:r>
    </w:p>
    <w:p w:rsidR="00B32A81" w:rsidRDefault="00B32A81" w:rsidP="00DC242D">
      <w:pPr>
        <w:pStyle w:val="Textpoznpodarou0"/>
      </w:pPr>
      <w:r>
        <w:t>ekonomika/c1-20634630-faktoring-zlepsuje-tok-penazi.htm&gt;.</w:t>
      </w:r>
    </w:p>
  </w:footnote>
  <w:footnote w:id="77">
    <w:p w:rsidR="00B32A81" w:rsidRDefault="00B32A81">
      <w:pPr>
        <w:pStyle w:val="Poznmkapodarou"/>
      </w:pPr>
      <w:r>
        <w:rPr>
          <w:rStyle w:val="Znakapoznpodarou"/>
        </w:rPr>
        <w:footnoteRef/>
      </w:r>
      <w:r>
        <w:t xml:space="preserve"> </w:t>
      </w:r>
      <w:proofErr w:type="gramStart"/>
      <w:r>
        <w:t>KISLINGEROVÁ, E. a kol</w:t>
      </w:r>
      <w:proofErr w:type="gramEnd"/>
      <w:r>
        <w:t xml:space="preserve">.: (2007). </w:t>
      </w:r>
      <w:r>
        <w:rPr>
          <w:i/>
          <w:iCs/>
        </w:rPr>
        <w:t>Manažerské finance.</w:t>
      </w:r>
      <w:r>
        <w:t xml:space="preserve"> Praha: </w:t>
      </w:r>
      <w:proofErr w:type="gramStart"/>
      <w:r>
        <w:t>C.H.</w:t>
      </w:r>
      <w:proofErr w:type="gramEnd"/>
      <w:r>
        <w:t xml:space="preserve"> BECK. 2007. </w:t>
      </w:r>
      <w:proofErr w:type="gramStart"/>
      <w:r>
        <w:t>str.551</w:t>
      </w:r>
      <w:proofErr w:type="gramEnd"/>
      <w:r>
        <w:t>, ISBN 978-80-7179-903-0.</w:t>
      </w:r>
    </w:p>
  </w:footnote>
  <w:footnote w:id="78">
    <w:p w:rsidR="00B32A81" w:rsidRDefault="00B32A81">
      <w:pPr>
        <w:pStyle w:val="Textpoznpodarou0"/>
      </w:pPr>
      <w:r>
        <w:rPr>
          <w:rStyle w:val="Znakapoznpodarou"/>
        </w:rPr>
        <w:footnoteRef/>
      </w:r>
      <w:r>
        <w:t xml:space="preserve"> </w:t>
      </w:r>
      <w:r>
        <w:t xml:space="preserve">Európsky úverový trh je najväčším úverovým poistným trhom na celom svete. Európsku špičku tvorí niekoľko najväčších poisťovní: COFACE (Francúzsko), EULER HERMES (Veľká Británia) a ATRADIUS (Holandsko), ktoré ovládajú 66% trhu úverového poisťovania. Na Slovensku pôsobia všetky pisťovacie spoločnosti zo svetovej top trojky. </w:t>
      </w:r>
    </w:p>
  </w:footnote>
  <w:footnote w:id="79">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207.  ISBN</w:t>
      </w:r>
      <w:proofErr w:type="gramEnd"/>
      <w:r>
        <w:t xml:space="preserve"> 978-80-225-2654-8.</w:t>
      </w:r>
    </w:p>
  </w:footnote>
  <w:footnote w:id="80">
    <w:p w:rsidR="00B32A81" w:rsidRDefault="00B32A81" w:rsidP="004F1F0C">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193.  ISBN</w:t>
      </w:r>
      <w:proofErr w:type="gramEnd"/>
      <w:r>
        <w:t xml:space="preserve"> 978-80-225-2654-8.</w:t>
      </w:r>
    </w:p>
  </w:footnote>
  <w:footnote w:id="81">
    <w:p w:rsidR="00B32A81" w:rsidRDefault="00B32A81" w:rsidP="004F1F0C">
      <w:pPr>
        <w:pStyle w:val="Poznmkapodarou"/>
        <w:spacing w:line="240" w:lineRule="auto"/>
      </w:pPr>
      <w:r>
        <w:rPr>
          <w:rStyle w:val="Znakapoznpodarou"/>
        </w:rPr>
        <w:footnoteRef/>
      </w:r>
      <w:r>
        <w:t xml:space="preserve"> Minimálna čiastka pre forfaiting býva uvádzaná </w:t>
      </w:r>
      <w:proofErr w:type="gramStart"/>
      <w:r>
        <w:t>suma  od</w:t>
      </w:r>
      <w:proofErr w:type="gramEnd"/>
      <w:r>
        <w:t xml:space="preserve"> 100 000  do  500 000 €. </w:t>
      </w:r>
    </w:p>
  </w:footnote>
  <w:footnote w:id="82">
    <w:p w:rsidR="00B32A81" w:rsidRDefault="00B32A81" w:rsidP="004F1F0C">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202.  ISBN</w:t>
      </w:r>
      <w:proofErr w:type="gramEnd"/>
      <w:r>
        <w:t xml:space="preserve"> 978-80-225-2654-8.</w:t>
      </w:r>
    </w:p>
  </w:footnote>
  <w:footnote w:id="83">
    <w:p w:rsidR="00B32A81" w:rsidRDefault="00B32A81" w:rsidP="004F1F0C">
      <w:pPr>
        <w:pStyle w:val="Poznmkapodarou"/>
        <w:spacing w:line="240" w:lineRule="auto"/>
      </w:pPr>
      <w:r>
        <w:rPr>
          <w:rStyle w:val="Znakapoznpodarou"/>
        </w:rPr>
        <w:footnoteRef/>
      </w:r>
      <w:r>
        <w:t xml:space="preserve">  MACHKOVÁ, H., ČERNOHLÁVKOVÁ, E., SATO, A.: (2010). </w:t>
      </w:r>
      <w:r>
        <w:rPr>
          <w:i/>
          <w:iCs/>
        </w:rPr>
        <w:t xml:space="preserve">Medzinárodní obchodní operace. </w:t>
      </w:r>
      <w:r>
        <w:t xml:space="preserve">Praha: GRADA </w:t>
      </w:r>
      <w:proofErr w:type="gramStart"/>
      <w:r>
        <w:t>PUBLISHING,  str.</w:t>
      </w:r>
      <w:proofErr w:type="gramEnd"/>
      <w:r>
        <w:t xml:space="preserve"> 115-116,  ISBN 978-80-247-3237-4.</w:t>
      </w:r>
    </w:p>
  </w:footnote>
  <w:footnote w:id="84">
    <w:p w:rsidR="00B32A81" w:rsidRDefault="00B32A81">
      <w:pPr>
        <w:pStyle w:val="Poznmkapodarou"/>
        <w:spacing w:line="240" w:lineRule="auto"/>
      </w:pPr>
      <w:r>
        <w:rPr>
          <w:rStyle w:val="Znakapoznpodarou"/>
        </w:rPr>
        <w:footnoteRef/>
      </w:r>
      <w:r>
        <w:t xml:space="preserve">  MACHKOVÁ, H., ČERNOHLÁVKOVÁ, E., SATO, A.: (2010). </w:t>
      </w:r>
      <w:r>
        <w:rPr>
          <w:i/>
          <w:iCs/>
        </w:rPr>
        <w:t xml:space="preserve">Medzinárodní obchodní operace. </w:t>
      </w:r>
      <w:r>
        <w:t xml:space="preserve">Praha: GRADA </w:t>
      </w:r>
      <w:proofErr w:type="gramStart"/>
      <w:r>
        <w:t>PUBLISHING,  str.</w:t>
      </w:r>
      <w:proofErr w:type="gramEnd"/>
      <w:r>
        <w:t xml:space="preserve"> 115-116,  ISBN 978-80-247-3237-4.</w:t>
      </w:r>
    </w:p>
  </w:footnote>
  <w:footnote w:id="85">
    <w:p w:rsidR="00B32A81" w:rsidRDefault="00B32A81">
      <w:pPr>
        <w:pStyle w:val="Poznmkapodarou"/>
        <w:spacing w:line="240" w:lineRule="auto"/>
      </w:pPr>
      <w:r>
        <w:rPr>
          <w:rStyle w:val="Znakapoznpodarou"/>
        </w:rPr>
        <w:footnoteRef/>
      </w:r>
      <w:r>
        <w:t xml:space="preserve"> Akontácia – prvá splátka kúpnej ceny pri podpise zmluvy, resp. akákoľvek čiastočná plaba vopred.</w:t>
      </w:r>
    </w:p>
  </w:footnote>
  <w:footnote w:id="86">
    <w:p w:rsidR="00B32A81" w:rsidRDefault="00B32A81">
      <w:pPr>
        <w:pStyle w:val="Poznmkapodarou"/>
        <w:spacing w:line="240" w:lineRule="auto"/>
      </w:pPr>
      <w:r>
        <w:rPr>
          <w:rStyle w:val="Znakapoznpodarou"/>
        </w:rPr>
        <w:footnoteRef/>
      </w:r>
      <w:r>
        <w:t xml:space="preserve">  MACHKOVÁ, H., ČERNOHLÁVKOVÁ, E., SATO, A.: (2010). </w:t>
      </w:r>
      <w:r>
        <w:rPr>
          <w:i/>
          <w:iCs/>
        </w:rPr>
        <w:t xml:space="preserve">Medzinárodní obchodní operace. </w:t>
      </w:r>
      <w:r>
        <w:t xml:space="preserve">Praha: GRADA </w:t>
      </w:r>
      <w:proofErr w:type="gramStart"/>
      <w:r>
        <w:t>PUBLISHING,  str.</w:t>
      </w:r>
      <w:proofErr w:type="gramEnd"/>
      <w:r>
        <w:t xml:space="preserve"> 80, ISBN 978-80-247-3237-4.</w:t>
      </w:r>
    </w:p>
  </w:footnote>
  <w:footnote w:id="87">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110.  ISBN</w:t>
      </w:r>
      <w:proofErr w:type="gramEnd"/>
      <w:r>
        <w:t xml:space="preserve"> 978-80-225-2654-8.</w:t>
      </w:r>
    </w:p>
  </w:footnote>
  <w:footnote w:id="88">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110-111.  ISBN 978-80-225-2654-8.</w:t>
      </w:r>
    </w:p>
  </w:footnote>
  <w:footnote w:id="89">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111.  ISBN</w:t>
      </w:r>
      <w:proofErr w:type="gramEnd"/>
      <w:r>
        <w:t xml:space="preserve"> 978-80-225-2654-8.</w:t>
      </w:r>
    </w:p>
  </w:footnote>
  <w:footnote w:id="90">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118.  ISBN</w:t>
      </w:r>
      <w:proofErr w:type="gramEnd"/>
      <w:r>
        <w:t xml:space="preserve"> 978-80-225-2654-8.</w:t>
      </w:r>
    </w:p>
  </w:footnote>
  <w:footnote w:id="91">
    <w:p w:rsidR="00B32A81" w:rsidRDefault="00B32A81">
      <w:pPr>
        <w:pStyle w:val="Poznmkapodarou"/>
        <w:spacing w:line="240" w:lineRule="auto"/>
      </w:pPr>
      <w:r>
        <w:rPr>
          <w:rStyle w:val="Znakapoznpodarou"/>
        </w:rPr>
        <w:footnoteRef/>
      </w:r>
      <w:r>
        <w:t xml:space="preserve"> Eurošek – ide modifikáckiu cestovného šeku. Je to platobný nástorj založený na kombinácii šeku a garančnej karty. Používajú </w:t>
      </w:r>
      <w:r>
        <w:br/>
        <w:t>sa v rámci medzinárodného šekového systému, ktorého členmi sú 50 krajín Európy a Stredomoria.</w:t>
      </w:r>
    </w:p>
  </w:footnote>
  <w:footnote w:id="92">
    <w:p w:rsidR="00B32A81" w:rsidRDefault="00B32A81">
      <w:pPr>
        <w:pStyle w:val="Poznmkapodarou"/>
        <w:spacing w:line="240" w:lineRule="auto"/>
      </w:pPr>
      <w:r>
        <w:rPr>
          <w:rStyle w:val="Znakapoznpodarou"/>
        </w:rPr>
        <w:footnoteRef/>
      </w:r>
      <w:r>
        <w:t xml:space="preserve"> Vinkulácia – obmedzenie dispozičného práva k vkladu na </w:t>
      </w:r>
      <w:proofErr w:type="gramStart"/>
      <w:r>
        <w:t>účte</w:t>
      </w:r>
      <w:proofErr w:type="gramEnd"/>
      <w:r>
        <w:t xml:space="preserve">.  Dané obmedzenie sa vzťahuje nato, že dané peňažné prostriedky môžu byť použité len na konkrétny platobný účel. </w:t>
      </w:r>
    </w:p>
  </w:footnote>
  <w:footnote w:id="93">
    <w:p w:rsidR="00B32A81" w:rsidRDefault="00B32A81">
      <w:pPr>
        <w:pStyle w:val="Poznmkapodarou"/>
        <w:spacing w:line="240" w:lineRule="auto"/>
      </w:pPr>
      <w:r w:rsidRPr="004F1F0C">
        <w:rPr>
          <w:rStyle w:val="Znakapoznpodarou"/>
        </w:rPr>
        <w:footnoteRef/>
      </w:r>
      <w:r w:rsidRPr="004F1F0C">
        <w:t xml:space="preserve"> MUSA, </w:t>
      </w:r>
      <w:proofErr w:type="gramStart"/>
      <w:r w:rsidRPr="004F1F0C">
        <w:t>H.:.</w:t>
      </w:r>
      <w:proofErr w:type="gramEnd"/>
      <w:r w:rsidRPr="004F1F0C">
        <w:t xml:space="preserve">  (2010). </w:t>
      </w:r>
      <w:r w:rsidRPr="004F1F0C">
        <w:rPr>
          <w:i/>
          <w:iCs/>
        </w:rPr>
        <w:t xml:space="preserve">ŠEK. </w:t>
      </w:r>
      <w:r w:rsidRPr="004F1F0C">
        <w:t xml:space="preserve"> Martin: EKONÓM, </w:t>
      </w:r>
      <w:proofErr w:type="gramStart"/>
      <w:r w:rsidRPr="004F1F0C">
        <w:t>str. 4,  (citované</w:t>
      </w:r>
      <w:proofErr w:type="gramEnd"/>
      <w:r w:rsidRPr="004F1F0C">
        <w:t xml:space="preserve"> 2012-02-26). Dostupné:</w:t>
      </w:r>
      <w:r w:rsidRPr="004F1F0C">
        <w:rPr>
          <w:lang w:val="en-US"/>
        </w:rPr>
        <w:t xml:space="preserve"> </w:t>
      </w:r>
      <w:proofErr w:type="gramStart"/>
      <w:r w:rsidRPr="004F1F0C">
        <w:rPr>
          <w:lang w:val="en-US"/>
        </w:rPr>
        <w:t>&lt;</w:t>
      </w:r>
      <w:r w:rsidRPr="004F1F0C">
        <w:t xml:space="preserve">http:// </w:t>
      </w:r>
      <w:hyperlink r:id="rId1" w:history="1">
        <w:proofErr w:type="gramEnd"/>
        <w:r w:rsidRPr="004F1F0C">
          <w:rPr>
            <w:rStyle w:val="Hypertextovodkaz"/>
            <w:color w:val="auto"/>
            <w:sz w:val="16"/>
            <w:szCs w:val="16"/>
            <w:u w:val="none"/>
          </w:rPr>
          <w:t>www.ef</w:t>
        </w:r>
        <w:proofErr w:type="gramStart"/>
      </w:hyperlink>
      <w:r w:rsidRPr="004F1F0C">
        <w:t>.</w:t>
      </w:r>
      <w:proofErr w:type="gramEnd"/>
      <w:r w:rsidRPr="004F1F0C">
        <w:t xml:space="preserve"> umb. sk/</w:t>
      </w:r>
      <w:r>
        <w:t xml:space="preserve"> upload/predmet/1144/PS-P9.pdf</w:t>
      </w:r>
      <w:r>
        <w:rPr>
          <w:lang w:val="en-US"/>
        </w:rPr>
        <w:t>&gt;</w:t>
      </w:r>
      <w:r>
        <w:t>.</w:t>
      </w:r>
    </w:p>
  </w:footnote>
  <w:footnote w:id="94">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styk v podmienkach EÚ. </w:t>
      </w:r>
      <w:r>
        <w:t xml:space="preserve"> Bratislava: EKONÓM, str. </w:t>
      </w:r>
      <w:proofErr w:type="gramStart"/>
      <w:r>
        <w:t>115.  ISBN</w:t>
      </w:r>
      <w:proofErr w:type="gramEnd"/>
      <w:r>
        <w:t xml:space="preserve"> 978-80-225-2654-8.</w:t>
      </w:r>
    </w:p>
  </w:footnote>
  <w:footnote w:id="95">
    <w:p w:rsidR="00B32A81" w:rsidRDefault="00B32A81">
      <w:pPr>
        <w:pStyle w:val="Poznmkapodarou"/>
        <w:spacing w:line="240" w:lineRule="auto"/>
      </w:pPr>
      <w:r>
        <w:rPr>
          <w:rStyle w:val="Znakapoznpodarou"/>
        </w:rPr>
        <w:footnoteRef/>
      </w:r>
      <w:r>
        <w:t xml:space="preserve"> Ženevská oblasť – do tejto oblasti patria krajiny, ktoré podpísali ženevskú konvenciu, a tým sa zaviazali príjímať  šekové zákony v súlade s touto konvenciou. Ide takemer o všetky štáty Európy, vrátane krajín bývalého ZSSR, strednej a južnej Ameriky a Ázie. Zo strany SR, bola táto konvencia podpísaná ešte za obdobia ČSR a vzťahuje sa aj na následníkov tj. Slovenskú a Českú republiku. </w:t>
      </w:r>
    </w:p>
  </w:footnote>
  <w:footnote w:id="96">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w:t>
      </w:r>
      <w:proofErr w:type="gramStart"/>
      <w:r>
        <w:rPr>
          <w:i/>
          <w:iCs/>
        </w:rPr>
        <w:t>styk  v  podmienkach</w:t>
      </w:r>
      <w:proofErr w:type="gramEnd"/>
      <w:r>
        <w:rPr>
          <w:i/>
          <w:iCs/>
        </w:rPr>
        <w:t xml:space="preserve">  EÚ. </w:t>
      </w:r>
      <w:r>
        <w:t xml:space="preserve"> Bratislava:  </w:t>
      </w:r>
      <w:proofErr w:type="gramStart"/>
      <w:r>
        <w:t>EKONÓM,  str.</w:t>
      </w:r>
      <w:proofErr w:type="gramEnd"/>
      <w:r>
        <w:t xml:space="preserve"> 114.  ISBN 978-80-225-2654-8.</w:t>
      </w:r>
    </w:p>
  </w:footnote>
  <w:footnote w:id="97">
    <w:p w:rsidR="00B32A81" w:rsidRDefault="00B32A81">
      <w:pPr>
        <w:pStyle w:val="Poznmkapodarou"/>
        <w:spacing w:line="240" w:lineRule="auto"/>
      </w:pPr>
      <w:r>
        <w:rPr>
          <w:rStyle w:val="Znakapoznpodarou"/>
        </w:rPr>
        <w:footnoteRef/>
      </w:r>
      <w:r>
        <w:t xml:space="preserve"> </w:t>
      </w:r>
      <w:proofErr w:type="gramStart"/>
      <w:r>
        <w:t>PAVELKA, Ľ.  (2008</w:t>
      </w:r>
      <w:proofErr w:type="gramEnd"/>
      <w:r>
        <w:t xml:space="preserve">). </w:t>
      </w:r>
      <w:r>
        <w:rPr>
          <w:i/>
          <w:iCs/>
        </w:rPr>
        <w:t xml:space="preserve">Medzinárodný platobný  </w:t>
      </w:r>
      <w:proofErr w:type="gramStart"/>
      <w:r>
        <w:rPr>
          <w:i/>
          <w:iCs/>
        </w:rPr>
        <w:t>styk  v  podmienkach</w:t>
      </w:r>
      <w:proofErr w:type="gramEnd"/>
      <w:r>
        <w:rPr>
          <w:i/>
          <w:iCs/>
        </w:rPr>
        <w:t xml:space="preserve">  EÚ.  </w:t>
      </w:r>
      <w:r>
        <w:t xml:space="preserve"> Bratislava:   EKONÓM, str. </w:t>
      </w:r>
      <w:proofErr w:type="gramStart"/>
      <w:r>
        <w:t>118.  ISBN</w:t>
      </w:r>
      <w:proofErr w:type="gramEnd"/>
      <w:r>
        <w:t xml:space="preserve"> 978-80-225-2654-8.</w:t>
      </w:r>
    </w:p>
  </w:footnote>
  <w:footnote w:id="98">
    <w:p w:rsidR="00B32A81" w:rsidRDefault="00B32A81" w:rsidP="00376951">
      <w:pPr>
        <w:pStyle w:val="Poznmkapodarou"/>
        <w:spacing w:line="240" w:lineRule="auto"/>
      </w:pPr>
      <w:r>
        <w:rPr>
          <w:rStyle w:val="Znakapoznpodarou"/>
        </w:rPr>
        <w:footnoteRef/>
      </w:r>
      <w:r>
        <w:t xml:space="preserve">EURO – (ISO4217, kód EUR, numerický kód 978, značka €) – je mena a menová jednotka eurozóny, ako aj zúčastnených tretích štátov (Monaka, San Marína, Vatikánu). Je to po americkom dolári druhá  najdôležitejšia  mena  v medzinárodném   menovom systéme. Od </w:t>
      </w:r>
      <w:proofErr w:type="gramStart"/>
      <w:r>
        <w:t>1.1.2009</w:t>
      </w:r>
      <w:proofErr w:type="gramEnd"/>
      <w:r>
        <w:t xml:space="preserve"> je menou aj na Slovensku. Riadi ho Európska centrálna banka vo Frankfurte nad Mohanom. Je oficiálnou menou v 17 z 27 krajín Európskej Únie. </w:t>
      </w:r>
    </w:p>
  </w:footnote>
  <w:footnote w:id="99">
    <w:p w:rsidR="00B32A81" w:rsidRDefault="00B32A81" w:rsidP="00F959ED">
      <w:pPr>
        <w:pStyle w:val="Poznmkapodarou"/>
        <w:spacing w:line="240" w:lineRule="auto"/>
      </w:pPr>
      <w:r>
        <w:rPr>
          <w:rStyle w:val="Znakapoznpodarou"/>
        </w:rPr>
        <w:footnoteRef/>
      </w:r>
      <w:r>
        <w:t xml:space="preserve"> Eurozóna – Belgicko, Cyprus, Estónsko, Fínsko, Francúzsko, Grécko, Holandsko, Írsko, Luxembursko, Malta, Nemecko, Portugalsko, Rakúsko, Slovensko, Slovinsko, Španielsko, Taliansko.</w:t>
      </w:r>
    </w:p>
  </w:footnote>
  <w:footnote w:id="100">
    <w:p w:rsidR="00B32A81" w:rsidRDefault="00B32A81" w:rsidP="00F959ED">
      <w:pPr>
        <w:pStyle w:val="Poznmkapodarou"/>
        <w:spacing w:line="240" w:lineRule="auto"/>
      </w:pPr>
      <w:r>
        <w:rPr>
          <w:rStyle w:val="Znakapoznpodarou"/>
        </w:rPr>
        <w:footnoteRef/>
      </w:r>
      <w:r>
        <w:t xml:space="preserve"> PAVELKA, Ľ.: (2008). </w:t>
      </w:r>
      <w:r>
        <w:rPr>
          <w:i/>
          <w:iCs/>
        </w:rPr>
        <w:t xml:space="preserve">Medzinárodný platobný styk v podmienkach EÚ. </w:t>
      </w:r>
      <w:r>
        <w:t>Bratislava:EKONÓM, str. 50. ISBN 978-80-225-2654-8.</w:t>
      </w:r>
    </w:p>
  </w:footnote>
  <w:footnote w:id="101">
    <w:p w:rsidR="00B32A81" w:rsidRDefault="00B32A81" w:rsidP="001219C2">
      <w:pPr>
        <w:pStyle w:val="Poznmkapodarou"/>
        <w:spacing w:line="240" w:lineRule="auto"/>
      </w:pPr>
      <w:r>
        <w:rPr>
          <w:rStyle w:val="Znakapoznpodarou"/>
        </w:rPr>
        <w:footnoteRef/>
      </w:r>
      <w:r>
        <w:t xml:space="preserve">JANATKA, F.: (2011). </w:t>
      </w:r>
      <w:r>
        <w:rPr>
          <w:i/>
          <w:iCs/>
        </w:rPr>
        <w:t xml:space="preserve">Riziká v komerční praxi. </w:t>
      </w:r>
      <w:r>
        <w:t xml:space="preserve"> Praha: WOLTTERS KLUWER, str. 242, ISBN 978-80-7357-632-5. </w:t>
      </w:r>
    </w:p>
  </w:footnote>
  <w:footnote w:id="102">
    <w:p w:rsidR="00B32A81" w:rsidRDefault="00B32A81" w:rsidP="00EF4EE0">
      <w:pPr>
        <w:pStyle w:val="Poznmkapodarou"/>
        <w:spacing w:line="240" w:lineRule="auto"/>
      </w:pPr>
      <w:r>
        <w:rPr>
          <w:rStyle w:val="Znakapoznpodarou"/>
        </w:rPr>
        <w:footnoteRef/>
      </w:r>
      <w:r>
        <w:t xml:space="preserve">Európsky hospodársky prostor – tvorí okrem 27 členských štátov EÚ aj Nórsko, Island a Lichtenštajnsko. </w:t>
      </w:r>
    </w:p>
  </w:footnote>
  <w:footnote w:id="103">
    <w:p w:rsidR="00B32A81" w:rsidRDefault="00B32A81" w:rsidP="00134F29">
      <w:pPr>
        <w:pStyle w:val="Poznmkapodarou"/>
        <w:spacing w:line="240" w:lineRule="auto"/>
      </w:pPr>
      <w:r>
        <w:rPr>
          <w:rStyle w:val="Znakapoznpodarou"/>
        </w:rPr>
        <w:footnoteRef/>
      </w:r>
      <w:r>
        <w:t xml:space="preserve">IBAN – International Bank Account Number – medzinárodné bankové číslo účtu.IBAN kód obsahuje 24 znakov. Prvá časť obsahuje dva znaky, ktoré určujú kód krajiny. Ďalšie dve číslice predstavjú kontrolné číslo podľa ISO 7064. Tretia časť je tvorená tuzemským bankovým spojením obsahujúcim 20 čísel vporadí kód banky, predčíslie a základné číslo účtu. </w:t>
      </w:r>
    </w:p>
  </w:footnote>
  <w:footnote w:id="104">
    <w:p w:rsidR="00B32A81" w:rsidRDefault="00B32A81" w:rsidP="00134F29">
      <w:pPr>
        <w:pStyle w:val="Poznmkapodarou"/>
        <w:spacing w:line="240" w:lineRule="auto"/>
      </w:pPr>
      <w:r>
        <w:rPr>
          <w:rStyle w:val="Znakapoznpodarou"/>
        </w:rPr>
        <w:footnoteRef/>
      </w:r>
      <w:r>
        <w:t>BIC – Bank Identification Code – kód stanovený medzinárodnou spoločnsoťou SWIFT. BIC = SWIFTový kód banky. BIC pozostáva z kominácie 8 az 11 znakov. Napr. ČSOB, a.</w:t>
      </w:r>
      <w:proofErr w:type="gramStart"/>
      <w:r>
        <w:t>s.,  má</w:t>
      </w:r>
      <w:proofErr w:type="gramEnd"/>
      <w:r>
        <w:t xml:space="preserve"> SWIFT code: CEKOSKBX. </w:t>
      </w:r>
    </w:p>
  </w:footnote>
  <w:footnote w:id="105">
    <w:p w:rsidR="00B32A81" w:rsidRDefault="00B32A81" w:rsidP="00134F29">
      <w:pPr>
        <w:pStyle w:val="Poznmkapodarou"/>
        <w:spacing w:line="240" w:lineRule="auto"/>
      </w:pPr>
      <w:r>
        <w:rPr>
          <w:rStyle w:val="Znakapoznpodarou"/>
        </w:rPr>
        <w:footnoteRef/>
      </w:r>
      <w:r>
        <w:t xml:space="preserve">Poplatky účtované poskytovateľom platových služeb za cezhraničnú platbu az do výšky €50 000, sú účtované ako poplatky zodpovedajúce vnútroštatnnym platbám.  </w:t>
      </w:r>
    </w:p>
  </w:footnote>
  <w:footnote w:id="106">
    <w:p w:rsidR="00B32A81" w:rsidRDefault="00B32A81" w:rsidP="00FD6CB2">
      <w:pPr>
        <w:pStyle w:val="Poznmkapodarou"/>
        <w:spacing w:line="240" w:lineRule="auto"/>
      </w:pPr>
      <w:r>
        <w:rPr>
          <w:rStyle w:val="Znakapoznpodarou"/>
        </w:rPr>
        <w:footnoteRef/>
      </w:r>
      <w:r>
        <w:t xml:space="preserve">BAIN CAPITAL – sídlo BOSTON. Špecializuje sa na </w:t>
      </w:r>
      <w:proofErr w:type="gramStart"/>
      <w:r>
        <w:t>priváte</w:t>
      </w:r>
      <w:proofErr w:type="gramEnd"/>
      <w:r>
        <w:t xml:space="preserve"> equity, rizikový kapitál</w:t>
      </w:r>
      <w:r>
        <w:tab/>
        <w:t xml:space="preserve">, pôžičky a na oblasť verejných investícií. Od začátku roka 2012 firma spravuje </w:t>
      </w:r>
      <w:r w:rsidRPr="00FD6CB2">
        <w:t>$66 billion</w:t>
      </w:r>
      <w:r>
        <w:t xml:space="preserve"> cez rôzné investičné platformy.  </w:t>
      </w:r>
    </w:p>
  </w:footnote>
  <w:footnote w:id="107">
    <w:p w:rsidR="00B32A81" w:rsidRDefault="00B32A81" w:rsidP="004F1F0C">
      <w:pPr>
        <w:pStyle w:val="Textpoznpodarou0"/>
        <w:jc w:val="both"/>
        <w:rPr>
          <w:rFonts w:ascii="Sans EE" w:hAnsi="Sans EE"/>
        </w:rPr>
      </w:pPr>
      <w:r>
        <w:rPr>
          <w:rStyle w:val="Znakapoznpodarou"/>
        </w:rPr>
        <w:footnoteRef/>
      </w:r>
      <w:r>
        <w:t xml:space="preserve"> </w:t>
      </w:r>
      <w:r>
        <w:t xml:space="preserve">Kristofík, P.:  </w:t>
      </w:r>
      <w:r>
        <w:rPr>
          <w:i/>
          <w:iCs/>
        </w:rPr>
        <w:t xml:space="preserve">Trendy v riadení likvidity. </w:t>
      </w:r>
      <w:r>
        <w:rPr>
          <w:i/>
          <w:szCs w:val="24"/>
        </w:rPr>
        <w:t>[online].</w:t>
      </w:r>
      <w:r>
        <w:rPr>
          <w:szCs w:val="24"/>
        </w:rPr>
        <w:t xml:space="preserve">  Finančný manažment podnikov. 2011 [cit. 2012-03-14]. Dostupné z WWW: &lt;http://financnymanažment.sk/2012-1/1-2012/1/trendy-v-riadeni-likvidity-II&gt;</w:t>
      </w:r>
      <w:r>
        <w:t>.</w:t>
      </w:r>
    </w:p>
  </w:footnote>
  <w:footnote w:id="108">
    <w:p w:rsidR="00B32A81" w:rsidRDefault="00B32A81" w:rsidP="004F1F0C">
      <w:pPr>
        <w:pStyle w:val="Textpoznpodarou0"/>
        <w:jc w:val="both"/>
        <w:rPr>
          <w:rFonts w:ascii="Sans EE" w:hAnsi="Sans EE"/>
        </w:rPr>
      </w:pPr>
      <w:r>
        <w:rPr>
          <w:rStyle w:val="Znakapoznpodarou"/>
        </w:rPr>
        <w:footnoteRef/>
      </w:r>
      <w:r>
        <w:t xml:space="preserve"> </w:t>
      </w:r>
      <w:r>
        <w:t xml:space="preserve">CASH FLOW – peňažné toky. Je to rozdiel medzi bežnými príjmami a bežnými výdavkami podiku za určité časové obdobie. Podnik si musí pozorne Cash  Flow plánovať a sledovať, inak sa môže dostať do vážnych finančných problémov. </w:t>
      </w:r>
    </w:p>
  </w:footnote>
  <w:footnote w:id="109">
    <w:p w:rsidR="00B32A81" w:rsidRDefault="00B32A81" w:rsidP="00081131">
      <w:pPr>
        <w:pStyle w:val="Textpoznpodarou0"/>
        <w:jc w:val="both"/>
        <w:rPr>
          <w:rFonts w:ascii="Sans EE" w:hAnsi="Sans EE"/>
        </w:rPr>
      </w:pPr>
      <w:r>
        <w:rPr>
          <w:rStyle w:val="Znakapoznpodarou"/>
        </w:rPr>
        <w:footnoteRef/>
      </w:r>
      <w:r>
        <w:t xml:space="preserve"> </w:t>
      </w:r>
      <w:r>
        <w:t xml:space="preserve">SEPA (Single Euro Payment Area – Jednotný európsky platobný priestor) je oblasť, v ktorej môžu spotrebitelia, podniky a ďalšie hospodárske subjekty realizovať a prijímať platby v eurách, či už v rámci jednej krajiny alebo medzi jednotlivými krajinami </w:t>
      </w:r>
      <w:r>
        <w:br/>
        <w:t>(27 štátov Európskej únie, Island, Lichtenštajnsko, Nórsko a Švajčiarsko), za rovnakých podmienok, práv a povinností a bez ohľadu na to, kde sa nachádzajú.</w:t>
      </w:r>
    </w:p>
  </w:footnote>
  <w:footnote w:id="110">
    <w:p w:rsidR="00B32A81" w:rsidRDefault="00B32A81" w:rsidP="004F1F0C">
      <w:pPr>
        <w:pStyle w:val="Textpoznpodarou0"/>
        <w:jc w:val="both"/>
        <w:rPr>
          <w:rFonts w:ascii="Sans EE" w:hAnsi="Sans EE"/>
        </w:rPr>
      </w:pPr>
      <w:r>
        <w:rPr>
          <w:rStyle w:val="Znakapoznpodarou"/>
        </w:rPr>
        <w:footnoteRef/>
      </w:r>
      <w:r>
        <w:t xml:space="preserve"> </w:t>
      </w:r>
      <w:r>
        <w:t xml:space="preserve">Tatrabanka, a.s. Slovensko:  </w:t>
      </w:r>
      <w:r>
        <w:rPr>
          <w:i/>
          <w:iCs/>
        </w:rPr>
        <w:t xml:space="preserve">SEPA. </w:t>
      </w:r>
      <w:r>
        <w:rPr>
          <w:i/>
          <w:szCs w:val="24"/>
        </w:rPr>
        <w:t>[online].</w:t>
      </w:r>
      <w:r>
        <w:rPr>
          <w:szCs w:val="24"/>
        </w:rPr>
        <w:t xml:space="preserve">  Ktoré platobné nástroje SEPA harmonizuje? [cit. 2012-03-14]. Dostupné z WWW: &lt;http://www.tatrabanka.sk/cms/page/sk/fyzicke_osoby/SEPA.html&gt;</w:t>
      </w:r>
      <w:r>
        <w:t>.</w:t>
      </w:r>
    </w:p>
  </w:footnote>
  <w:footnote w:id="111">
    <w:p w:rsidR="00B32A81" w:rsidRDefault="00B32A81" w:rsidP="00A33192">
      <w:pPr>
        <w:pStyle w:val="Textpoznpodarou0"/>
        <w:rPr>
          <w:rFonts w:ascii="Sans EE" w:hAnsi="Sans EE"/>
        </w:rPr>
      </w:pPr>
      <w:r>
        <w:rPr>
          <w:rStyle w:val="Znakapoznpodarou"/>
        </w:rPr>
        <w:footnoteRef/>
      </w:r>
      <w:r>
        <w:t xml:space="preserve"> </w:t>
      </w:r>
      <w:r>
        <w:t xml:space="preserve">Kristofík, P.:  </w:t>
      </w:r>
      <w:r>
        <w:rPr>
          <w:i/>
          <w:iCs/>
        </w:rPr>
        <w:t xml:space="preserve">Trendy v riadení likvidity. </w:t>
      </w:r>
      <w:r>
        <w:rPr>
          <w:i/>
          <w:szCs w:val="24"/>
        </w:rPr>
        <w:t>[online].</w:t>
      </w:r>
      <w:r>
        <w:rPr>
          <w:szCs w:val="24"/>
        </w:rPr>
        <w:t xml:space="preserve">  Finančný manažment podnikov. 2011 [cit. 2012-03-14]. Dostupné z WWW: &lt;http://financnymanažment.sk/2010-1/1-2010/1/trendy-v-riadeni-likvidity-II&gt;</w:t>
      </w:r>
      <w:r>
        <w:t>.</w:t>
      </w:r>
    </w:p>
  </w:footnote>
  <w:footnote w:id="112">
    <w:p w:rsidR="00B32A81" w:rsidRDefault="00B32A81" w:rsidP="00EC44B7">
      <w:pPr>
        <w:pStyle w:val="Poznmkapodarou"/>
        <w:spacing w:line="240" w:lineRule="auto"/>
      </w:pPr>
      <w:r>
        <w:rPr>
          <w:rStyle w:val="Znakapoznpodarou"/>
        </w:rPr>
        <w:footnoteRef/>
      </w:r>
      <w:r>
        <w:t xml:space="preserve">JANATKA, F.: (2011). </w:t>
      </w:r>
      <w:r w:rsidRPr="00B445A9">
        <w:rPr>
          <w:i/>
          <w:iCs/>
          <w:lang w:val="sk-SK"/>
        </w:rPr>
        <w:t>Riziká</w:t>
      </w:r>
      <w:r>
        <w:rPr>
          <w:i/>
          <w:iCs/>
        </w:rPr>
        <w:t xml:space="preserve"> v komerční praxi. </w:t>
      </w:r>
      <w:r>
        <w:t xml:space="preserve"> Praha: WOLTTERS KLUWER, str. 293, ISBN 978-80-7357-632-5. </w:t>
      </w:r>
    </w:p>
  </w:footnote>
  <w:footnote w:id="113">
    <w:p w:rsidR="00B32A81" w:rsidRDefault="00B32A81" w:rsidP="00807E9B">
      <w:pPr>
        <w:pStyle w:val="Poznmkapodarou"/>
        <w:spacing w:line="240" w:lineRule="auto"/>
      </w:pPr>
      <w:r>
        <w:rPr>
          <w:rStyle w:val="Znakapoznpodarou"/>
        </w:rPr>
        <w:footnoteRef/>
      </w:r>
      <w:r>
        <w:t xml:space="preserve">JANATKA, F.: (2011). </w:t>
      </w:r>
      <w:r w:rsidRPr="00B445A9">
        <w:rPr>
          <w:i/>
          <w:iCs/>
          <w:lang w:val="sk-SK"/>
        </w:rPr>
        <w:t>Riziká</w:t>
      </w:r>
      <w:r>
        <w:rPr>
          <w:i/>
          <w:iCs/>
        </w:rPr>
        <w:t xml:space="preserve"> v komerční praxi. </w:t>
      </w:r>
      <w:r>
        <w:t xml:space="preserve"> Praha: WOLTTERS KLUWER, str. 296, ISBN 978-80-7357-632-5. </w:t>
      </w:r>
    </w:p>
  </w:footnote>
  <w:footnote w:id="114">
    <w:p w:rsidR="00B32A81" w:rsidRDefault="00B32A81" w:rsidP="00807E9B">
      <w:pPr>
        <w:pStyle w:val="Poznmkapodarou"/>
        <w:spacing w:line="240" w:lineRule="auto"/>
      </w:pPr>
      <w:r>
        <w:rPr>
          <w:rStyle w:val="Znakapoznpodarou"/>
        </w:rPr>
        <w:footnoteRef/>
      </w:r>
      <w:r>
        <w:t xml:space="preserve">Pomocné pramene práva – </w:t>
      </w:r>
      <w:r w:rsidRPr="00F3337E">
        <w:rPr>
          <w:lang w:val="sk-SK"/>
        </w:rPr>
        <w:t>vytvárajú</w:t>
      </w:r>
      <w:r>
        <w:t xml:space="preserve"> si </w:t>
      </w:r>
      <w:r w:rsidRPr="00F3337E">
        <w:rPr>
          <w:lang w:val="sk-SK"/>
        </w:rPr>
        <w:t>ich</w:t>
      </w:r>
      <w:r>
        <w:t xml:space="preserve"> sami obchodníci, resp. </w:t>
      </w:r>
      <w:r w:rsidRPr="00F3337E">
        <w:rPr>
          <w:lang w:val="sk-SK"/>
        </w:rPr>
        <w:t>organizácie</w:t>
      </w:r>
      <w:r>
        <w:t xml:space="preserve"> (</w:t>
      </w:r>
      <w:r w:rsidRPr="00F3337E">
        <w:rPr>
          <w:lang w:val="sk-SK"/>
        </w:rPr>
        <w:t>netvorí</w:t>
      </w:r>
      <w:r>
        <w:t xml:space="preserve"> ich štátna moc). </w:t>
      </w:r>
    </w:p>
  </w:footnote>
  <w:footnote w:id="115">
    <w:p w:rsidR="00B32A81" w:rsidRDefault="00B32A81" w:rsidP="00807E9B">
      <w:pPr>
        <w:pStyle w:val="Poznmkapodarou"/>
      </w:pPr>
      <w:r>
        <w:rPr>
          <w:rStyle w:val="Znakapoznpodarou"/>
        </w:rPr>
        <w:footnoteRef/>
      </w:r>
      <w:r>
        <w:t xml:space="preserve"> KAŠŤÁKOVÁ, E., PULLMANOVÁ T., SVOBODOVÁ, V.: (2008). </w:t>
      </w:r>
      <w:r>
        <w:rPr>
          <w:i/>
          <w:iCs/>
        </w:rPr>
        <w:t xml:space="preserve">Operácie v zahraničnom obchode. </w:t>
      </w:r>
      <w:r>
        <w:t xml:space="preserve"> Bratislava: EKONÓM, str. 254, ISBN 978-80-225-2537-4.</w:t>
      </w:r>
    </w:p>
  </w:footnote>
  <w:footnote w:id="116">
    <w:p w:rsidR="00B32A81" w:rsidRDefault="00B32A81" w:rsidP="00540B4E">
      <w:pPr>
        <w:pStyle w:val="Poznmkapodarou"/>
        <w:spacing w:line="240" w:lineRule="auto"/>
      </w:pPr>
      <w:r>
        <w:rPr>
          <w:rStyle w:val="Znakapoznpodarou"/>
        </w:rPr>
        <w:footnoteRef/>
      </w:r>
      <w:r>
        <w:t xml:space="preserve">VIS MAJOR – vyššia moc. Okolnosť, ktorá je mimo kontroly jednej zo zmluvných strán, ktorá uzavrela zmluvu a ktorá môže, podľa zmluvných podmienok, sprostiť uvedenú stranu zodpovednosti  za zlyhanie  pri realizácii zmluvy. Napr. Povodeň, Vojna, Zemetrasenie. </w:t>
      </w:r>
    </w:p>
  </w:footnote>
  <w:footnote w:id="117">
    <w:p w:rsidR="00B32A81" w:rsidRDefault="00B32A81" w:rsidP="00807E9B">
      <w:pPr>
        <w:pStyle w:val="Poznmkapodarou"/>
        <w:spacing w:line="240" w:lineRule="auto"/>
      </w:pPr>
      <w:r>
        <w:rPr>
          <w:rStyle w:val="Znakapoznpodarou"/>
        </w:rPr>
        <w:footnoteRef/>
      </w:r>
      <w:r>
        <w:t xml:space="preserve">1. člen za kontinentálne právo, 2. člen za angloamerické právo, 3. člen za socialistické právo - Rumun. </w:t>
      </w:r>
    </w:p>
  </w:footnote>
  <w:footnote w:id="118">
    <w:p w:rsidR="00B32A81" w:rsidRDefault="00B32A81" w:rsidP="008A233C">
      <w:pPr>
        <w:pStyle w:val="Poznmkapodarou"/>
        <w:spacing w:line="240" w:lineRule="auto"/>
      </w:pPr>
      <w:r>
        <w:rPr>
          <w:rStyle w:val="Znakapoznpodarou"/>
        </w:rPr>
        <w:footnoteRef/>
      </w:r>
      <w:r>
        <w:t xml:space="preserve">JANATKA, F.: (2011). </w:t>
      </w:r>
      <w:r>
        <w:rPr>
          <w:i/>
          <w:iCs/>
        </w:rPr>
        <w:t xml:space="preserve">Riziká v komerční praxi. </w:t>
      </w:r>
      <w:r>
        <w:t xml:space="preserve"> Praha: WOLTTERS KLUWER, str. 92, ISBN 978-80-7357-632-5. </w:t>
      </w:r>
    </w:p>
  </w:footnote>
  <w:footnote w:id="119">
    <w:p w:rsidR="00B32A81" w:rsidRDefault="00B32A81" w:rsidP="00AA6709">
      <w:pPr>
        <w:pStyle w:val="Poznmkapodarou"/>
      </w:pPr>
      <w:r>
        <w:rPr>
          <w:rStyle w:val="Znakapoznpodarou"/>
        </w:rPr>
        <w:footnoteRef/>
      </w:r>
      <w:r>
        <w:t xml:space="preserve">OBRADOVIČ, F:  (2011). </w:t>
      </w:r>
      <w:r>
        <w:rPr>
          <w:i/>
          <w:iCs/>
        </w:rPr>
        <w:t xml:space="preserve">Pred neplatičmi sa dá brániť poistením. </w:t>
      </w:r>
      <w:r>
        <w:t xml:space="preserve"> In: Hospodárske noviny. </w:t>
      </w:r>
      <w:r w:rsidRPr="00AA6709">
        <w:rPr>
          <w:iCs/>
        </w:rPr>
        <w:t>[online].</w:t>
      </w:r>
      <w:r>
        <w:t xml:space="preserve">  2012 [cit. 2012-2-02]. Dostupné z WWW:&lt;http://www.hnonlin.sk/ekonomika/e1-31565680-pred-neplaticmi-sa-da-branit-poistenim&gt;.</w:t>
      </w:r>
    </w:p>
    <w:p w:rsidR="00B32A81" w:rsidRDefault="00B32A81" w:rsidP="00A5660C">
      <w:pPr>
        <w:pStyle w:val="Poznmkapodarou"/>
        <w:spacing w:line="240" w:lineRule="auto"/>
      </w:pPr>
      <w:r>
        <w:t xml:space="preserve">WOLTTERS KLUWER, str. 92, ISBN 978-80-7357-632-5. </w:t>
      </w:r>
    </w:p>
  </w:footnote>
  <w:footnote w:id="120">
    <w:p w:rsidR="00B32A81" w:rsidRDefault="00B32A81" w:rsidP="001B216C">
      <w:pPr>
        <w:pStyle w:val="Poznmkapodarou"/>
        <w:spacing w:line="240" w:lineRule="auto"/>
      </w:pPr>
      <w:r>
        <w:rPr>
          <w:rStyle w:val="Znakapoznpodarou"/>
        </w:rPr>
        <w:footnoteRef/>
      </w:r>
      <w:r>
        <w:t xml:space="preserve">EULER HERMES SERVIS - </w:t>
      </w:r>
      <w:r w:rsidRPr="001B216C">
        <w:rPr>
          <w:color w:val="000000"/>
        </w:rPr>
        <w:t xml:space="preserve">je </w:t>
      </w:r>
      <w:r w:rsidRPr="00F3337E">
        <w:rPr>
          <w:color w:val="000000"/>
          <w:lang w:val="sk-SK"/>
        </w:rPr>
        <w:t>vedúcim</w:t>
      </w:r>
      <w:r w:rsidRPr="001B216C">
        <w:rPr>
          <w:color w:val="000000"/>
        </w:rPr>
        <w:t xml:space="preserve"> </w:t>
      </w:r>
      <w:r w:rsidRPr="00F3337E">
        <w:rPr>
          <w:color w:val="000000"/>
          <w:lang w:val="sk-SK"/>
        </w:rPr>
        <w:t>svetovým</w:t>
      </w:r>
      <w:r w:rsidRPr="001B216C">
        <w:rPr>
          <w:color w:val="000000"/>
        </w:rPr>
        <w:t xml:space="preserve"> úverovým poisťovateľom s </w:t>
      </w:r>
      <w:proofErr w:type="gramStart"/>
      <w:r w:rsidRPr="001B216C">
        <w:rPr>
          <w:color w:val="000000"/>
        </w:rPr>
        <w:t>36-percentným</w:t>
      </w:r>
      <w:proofErr w:type="gramEnd"/>
      <w:r w:rsidRPr="001B216C">
        <w:rPr>
          <w:color w:val="000000"/>
        </w:rPr>
        <w:t xml:space="preserve"> podielom na trhu. Má zastúpenie </w:t>
      </w:r>
      <w:r>
        <w:rPr>
          <w:color w:val="000000"/>
        </w:rPr>
        <w:br/>
      </w:r>
      <w:r w:rsidRPr="001B216C">
        <w:rPr>
          <w:color w:val="000000"/>
        </w:rPr>
        <w:t>v 51 krajinách, pričom poistením pokrýva viac ako 700 miliárd EUR obchodných transakcií. Ako dcérska spoločnosť AGF patrí Euler Hermes do skupiny Allianz</w:t>
      </w:r>
      <w:r>
        <w:t xml:space="preserve">. </w:t>
      </w:r>
    </w:p>
  </w:footnote>
  <w:footnote w:id="121">
    <w:p w:rsidR="00B32A81" w:rsidRDefault="00B32A81" w:rsidP="00E124B1">
      <w:pPr>
        <w:pStyle w:val="Poznmkapodarou"/>
        <w:spacing w:line="240" w:lineRule="auto"/>
      </w:pPr>
      <w:r>
        <w:rPr>
          <w:rStyle w:val="Znakapoznpodarou"/>
        </w:rPr>
        <w:footnoteRef/>
      </w:r>
      <w:r w:rsidRPr="00B445A9">
        <w:rPr>
          <w:lang w:val="sk-SK"/>
        </w:rPr>
        <w:t>Poistný</w:t>
      </w:r>
      <w:r>
        <w:t xml:space="preserve"> limit – maximálna výška pohľadávok s jedným odberateľom.  </w:t>
      </w:r>
    </w:p>
  </w:footnote>
  <w:footnote w:id="122">
    <w:p w:rsidR="00B32A81" w:rsidRDefault="00B32A81" w:rsidP="00CA1FBD">
      <w:pPr>
        <w:pStyle w:val="Poznmkapodarou"/>
        <w:spacing w:line="240" w:lineRule="auto"/>
      </w:pPr>
      <w:r>
        <w:rPr>
          <w:rStyle w:val="Znakapoznpodarou"/>
        </w:rPr>
        <w:footnoteRef/>
      </w:r>
      <w:r>
        <w:t xml:space="preserve">Karenčná doba - </w:t>
      </w:r>
      <w:r w:rsidRPr="00F15CCD">
        <w:rPr>
          <w:lang w:val="sk-SK"/>
        </w:rPr>
        <w:t>počas</w:t>
      </w:r>
      <w:r>
        <w:t xml:space="preserve"> karenčnej lehoty má poistník možnosť predĺžiť pôvodnú splatnosť o 2 mesiace svojmu zákazníkovi </w:t>
      </w:r>
      <w:r>
        <w:br/>
        <w:t xml:space="preserve">a počas týchto </w:t>
      </w:r>
      <w:r w:rsidRPr="00F15CCD">
        <w:rPr>
          <w:lang w:val="sk-SK"/>
        </w:rPr>
        <w:t>dvoch</w:t>
      </w:r>
      <w:r>
        <w:t xml:space="preserve"> </w:t>
      </w:r>
      <w:r w:rsidRPr="00F15CCD">
        <w:rPr>
          <w:lang w:val="sk-SK"/>
        </w:rPr>
        <w:t>mesiacov</w:t>
      </w:r>
      <w:r>
        <w:t xml:space="preserve"> mu </w:t>
      </w:r>
      <w:r w:rsidRPr="00F15CCD">
        <w:rPr>
          <w:lang w:val="sk-SK"/>
        </w:rPr>
        <w:t>prípadne</w:t>
      </w:r>
      <w:r>
        <w:t xml:space="preserve"> </w:t>
      </w:r>
      <w:r w:rsidRPr="00F15CCD">
        <w:rPr>
          <w:lang w:val="sk-SK"/>
        </w:rPr>
        <w:t>naďalej</w:t>
      </w:r>
      <w:r>
        <w:t xml:space="preserve"> </w:t>
      </w:r>
      <w:r w:rsidRPr="00F15CCD">
        <w:rPr>
          <w:lang w:val="sk-SK"/>
        </w:rPr>
        <w:t>môže</w:t>
      </w:r>
      <w:r>
        <w:t xml:space="preserve"> dodávať tovar a ten bude poistený. Ak už ale najstaršia pohľadávka prekročí túto 2 mesačnú </w:t>
      </w:r>
      <w:r w:rsidRPr="00F15CCD">
        <w:rPr>
          <w:lang w:val="sk-SK"/>
        </w:rPr>
        <w:t>lehotu</w:t>
      </w:r>
      <w:r>
        <w:t xml:space="preserve"> je povinný poistník do 30 dní oznámiť omeškanie poisťovni. Ak ani počas týchto 30 dní nezaplatí zákazník svoje záväzky, je povinný </w:t>
      </w:r>
      <w:r w:rsidRPr="00F15CCD">
        <w:rPr>
          <w:lang w:val="sk-SK"/>
        </w:rPr>
        <w:t>poistník</w:t>
      </w:r>
      <w:r>
        <w:t xml:space="preserve"> odovzdať pohľadávky na mimosúdne inkaso. Inkasná spoločnosť vymáha pohľadávku ďalšie 3 mesiace, pričom 100% </w:t>
      </w:r>
      <w:r w:rsidRPr="00F15CCD">
        <w:rPr>
          <w:lang w:val="sk-SK"/>
        </w:rPr>
        <w:t>prípadnej</w:t>
      </w:r>
      <w:r>
        <w:t xml:space="preserve"> vymoženej čiastky dostává klient – v opačnom prípade vzniká poistná udalosť </w:t>
      </w:r>
      <w:r>
        <w:br/>
        <w:t>a poišťovna vypláca poistnú udalosť.</w:t>
      </w:r>
    </w:p>
  </w:footnote>
  <w:footnote w:id="123">
    <w:p w:rsidR="00B32A81" w:rsidRDefault="00B32A81" w:rsidP="00082B24">
      <w:pPr>
        <w:pStyle w:val="Poznmkapodarou"/>
        <w:spacing w:line="240" w:lineRule="auto"/>
      </w:pPr>
      <w:r>
        <w:rPr>
          <w:rStyle w:val="Znakapoznpodarou"/>
        </w:rPr>
        <w:footnoteRef/>
      </w:r>
      <w:r>
        <w:t xml:space="preserve">Dodanie tovaru – rozoznávame 3 rôzné okamihy – a) okamih dodania, b)okamih prevodu vlastníckychp práv, c) okamih prechodu nebezpečenstva škody z predávajúceho na kupujúceho.  </w:t>
      </w:r>
    </w:p>
  </w:footnote>
  <w:footnote w:id="124">
    <w:p w:rsidR="00B32A81" w:rsidRDefault="00B32A81" w:rsidP="00072D25">
      <w:pPr>
        <w:pStyle w:val="Poznmkapodarou"/>
        <w:spacing w:line="240" w:lineRule="auto"/>
      </w:pPr>
      <w:r>
        <w:rPr>
          <w:rStyle w:val="Znakapoznpodarou"/>
        </w:rPr>
        <w:footnoteRef/>
      </w:r>
      <w:r>
        <w:t xml:space="preserve">JANATKA, F.: (2011). </w:t>
      </w:r>
      <w:r>
        <w:rPr>
          <w:i/>
          <w:iCs/>
        </w:rPr>
        <w:t xml:space="preserve">Riziká v komerční praxi. </w:t>
      </w:r>
      <w:r>
        <w:t xml:space="preserve"> Praha: WOLTTERS KLUWER, str. 231, ISBN 978-80-7357-632-5. </w:t>
      </w:r>
    </w:p>
  </w:footnote>
  <w:footnote w:id="125">
    <w:p w:rsidR="00B32A81" w:rsidRDefault="00B32A81" w:rsidP="00EC44B7">
      <w:pPr>
        <w:pStyle w:val="Poznmkapodarou"/>
        <w:spacing w:line="240" w:lineRule="auto"/>
      </w:pPr>
      <w:r>
        <w:rPr>
          <w:rStyle w:val="Znakapoznpodarou"/>
        </w:rPr>
        <w:footnoteRef/>
      </w:r>
      <w:r>
        <w:t xml:space="preserve">IBAN – International Bank Account Number – medzinárodné bankové číslo účtu.IBAN kód obsahuje 24 znakov. Prvá časť obsahuje dva znaky, ktoré určujú kód krajiny. Ďalšie dve číslice predstavjú kontrolné číslo podľa ISO 7064. Tretia časť je tvorená tuzemským bankovým spojením obsahujúcim 20 </w:t>
      </w:r>
      <w:proofErr w:type="gramStart"/>
      <w:r>
        <w:t>čísel v poradí</w:t>
      </w:r>
      <w:proofErr w:type="gramEnd"/>
      <w:r>
        <w:t xml:space="preserve"> kód banky, predčíslie a základné číslo účtu. </w:t>
      </w:r>
    </w:p>
  </w:footnote>
  <w:footnote w:id="126">
    <w:p w:rsidR="00B32A81" w:rsidRDefault="00B32A81" w:rsidP="004B2DCA">
      <w:pPr>
        <w:pStyle w:val="Poznmkapodarou"/>
        <w:spacing w:line="240" w:lineRule="auto"/>
      </w:pPr>
      <w:r>
        <w:rPr>
          <w:rStyle w:val="Znakapoznpodarou"/>
        </w:rPr>
        <w:footnoteRef/>
      </w:r>
      <w:r>
        <w:t xml:space="preserve"> SWIFT (Society for Worldwide Interbank Financial Telecommunication) – Spoločnosť pre celosvetovú medzibankovú finančnú komunikáciu. Pomocdou tejto siete dochádza k elektronickej výmene správ o finančných transakciách medzi bakami a ďalšími finančnými inštitúciami. BIC = SWIFTový kód banky. BIC pozostáva z kominácie 8 az 11 znakov. Napr. ČSOB, a.</w:t>
      </w:r>
      <w:proofErr w:type="gramStart"/>
      <w:r>
        <w:t>s.,  má</w:t>
      </w:r>
      <w:proofErr w:type="gramEnd"/>
      <w:r>
        <w:t xml:space="preserve"> SWIFT code: CEKOSKBX.</w:t>
      </w:r>
    </w:p>
  </w:footnote>
  <w:footnote w:id="127">
    <w:p w:rsidR="00B32A81" w:rsidRDefault="00B32A81" w:rsidP="00A053DF">
      <w:pPr>
        <w:pStyle w:val="Poznmkapodarou"/>
        <w:spacing w:line="240" w:lineRule="auto"/>
      </w:pPr>
      <w:r>
        <w:rPr>
          <w:rStyle w:val="Znakapoznpodarou"/>
        </w:rPr>
        <w:footnoteRef/>
      </w:r>
      <w:r>
        <w:t xml:space="preserve">Nepriama metóda – až 80% svetového obchodu sa uskutočňuje cez prostredníkov a sprostredkovateľov odbytu.  </w:t>
      </w:r>
    </w:p>
  </w:footnote>
  <w:footnote w:id="128">
    <w:p w:rsidR="00B32A81" w:rsidRDefault="00B32A81" w:rsidP="009622DB">
      <w:pPr>
        <w:pStyle w:val="Poznmkapodarou"/>
        <w:spacing w:line="240" w:lineRule="auto"/>
      </w:pPr>
      <w:r>
        <w:rPr>
          <w:rStyle w:val="Znakapoznpodarou"/>
        </w:rPr>
        <w:footnoteRef/>
      </w:r>
      <w:r>
        <w:t>PEST podľa začiatočných písmen slovenských názvov faktorov.</w:t>
      </w:r>
    </w:p>
  </w:footnote>
  <w:footnote w:id="129">
    <w:p w:rsidR="00B32A81" w:rsidRDefault="00B32A81" w:rsidP="009622DB">
      <w:pPr>
        <w:spacing w:after="0" w:line="240" w:lineRule="auto"/>
      </w:pPr>
      <w:r w:rsidRPr="00A053DF">
        <w:rPr>
          <w:rStyle w:val="Znakapoznpodarou"/>
          <w:sz w:val="16"/>
          <w:szCs w:val="16"/>
        </w:rPr>
        <w:footnoteRef/>
      </w:r>
      <w:r w:rsidRPr="00A053DF">
        <w:rPr>
          <w:sz w:val="16"/>
          <w:szCs w:val="16"/>
        </w:rPr>
        <w:t xml:space="preserve">Ministerstvo zahraničných vecí SR.: (2011). </w:t>
      </w:r>
      <w:r w:rsidRPr="00A053DF">
        <w:rPr>
          <w:i/>
          <w:iCs/>
          <w:sz w:val="16"/>
          <w:szCs w:val="16"/>
        </w:rPr>
        <w:t xml:space="preserve">Alžírkska demokratická ľudová republika. </w:t>
      </w:r>
      <w:r>
        <w:rPr>
          <w:sz w:val="16"/>
          <w:szCs w:val="16"/>
        </w:rPr>
        <w:t>2011 [cit. 2012-0</w:t>
      </w:r>
      <w:r w:rsidRPr="00A053DF">
        <w:rPr>
          <w:sz w:val="16"/>
          <w:szCs w:val="16"/>
        </w:rPr>
        <w:t>2-03].</w:t>
      </w:r>
      <w:r>
        <w:t xml:space="preserve"> </w:t>
      </w:r>
      <w:r w:rsidRPr="00A053DF">
        <w:rPr>
          <w:sz w:val="16"/>
          <w:szCs w:val="16"/>
        </w:rPr>
        <w:t xml:space="preserve"> Dostupné </w:t>
      </w:r>
      <w:r>
        <w:rPr>
          <w:sz w:val="16"/>
          <w:szCs w:val="16"/>
        </w:rPr>
        <w:br/>
      </w:r>
      <w:r w:rsidRPr="00A053DF">
        <w:rPr>
          <w:sz w:val="16"/>
          <w:szCs w:val="16"/>
        </w:rPr>
        <w:t xml:space="preserve">z WWW: &lt; </w:t>
      </w:r>
      <w:hyperlink r:id="rId2" w:history="1">
        <w:r w:rsidRPr="00A053DF">
          <w:rPr>
            <w:rStyle w:val="Hypertextovodkaz"/>
            <w:color w:val="auto"/>
            <w:sz w:val="16"/>
            <w:szCs w:val="16"/>
            <w:u w:val="none"/>
          </w:rPr>
          <w:t>http://www.foreign.gov.sk/App/wcm/media.nsf/vw_ByID/</w:t>
        </w:r>
      </w:hyperlink>
      <w:r w:rsidRPr="00A053DF">
        <w:rPr>
          <w:sz w:val="16"/>
          <w:szCs w:val="16"/>
        </w:rPr>
        <w:t xml:space="preserve"> ID_795 752 F5BD 727 47BC 125 7837004B A1B2 _SK/ $File/ 120112_EIT_Alzirsko.pdf&gt;. (data k 20.3. 2012).</w:t>
      </w:r>
      <w:r>
        <w:t xml:space="preserve">  </w:t>
      </w:r>
    </w:p>
  </w:footnote>
  <w:footnote w:id="130">
    <w:p w:rsidR="00B32A81" w:rsidRDefault="00B32A81" w:rsidP="00914F4B">
      <w:pPr>
        <w:pStyle w:val="Poznmkapodarou"/>
        <w:spacing w:line="240" w:lineRule="auto"/>
      </w:pPr>
      <w:r>
        <w:rPr>
          <w:rStyle w:val="Znakapoznpodarou"/>
        </w:rPr>
        <w:footnoteRef/>
      </w:r>
      <w:r>
        <w:t>Antiterorizmus -  sa označujú akcie, ktoré majú teroristom znemožniť realizáciu teroristických aktov. Typickým príkladom antiterorizmu je kontrola cestujúcich na letiskách. Protiterorizmus predstavuje naproti tomu už konkrétnu akciu, s cieľom zmariť už začatú a prebiehajúcu teroristickú akciu (konkrétne útok na budovu alebo dopravný prostriedok, v ktorom sú držaní rukojemníci.</w:t>
      </w:r>
    </w:p>
  </w:footnote>
  <w:footnote w:id="131">
    <w:p w:rsidR="00B32A81" w:rsidRDefault="00B32A81" w:rsidP="00A053DF">
      <w:pPr>
        <w:pStyle w:val="Poznmkapodarou"/>
        <w:spacing w:line="240" w:lineRule="auto"/>
      </w:pPr>
      <w:r>
        <w:rPr>
          <w:rStyle w:val="Znakapoznpodarou"/>
        </w:rPr>
        <w:footnoteRef/>
      </w:r>
      <w:r>
        <w:t xml:space="preserve">Počet obyvateľov Alžírska - 35,4 miliona. </w:t>
      </w:r>
    </w:p>
  </w:footnote>
  <w:footnote w:id="132">
    <w:p w:rsidR="00B32A81" w:rsidRDefault="00B32A81" w:rsidP="00212FF8">
      <w:pPr>
        <w:pStyle w:val="Poznmkapodarou"/>
        <w:spacing w:line="240" w:lineRule="auto"/>
      </w:pPr>
      <w:r>
        <w:rPr>
          <w:rStyle w:val="Znakapoznpodarou"/>
        </w:rPr>
        <w:footnoteRef/>
      </w:r>
      <w:r>
        <w:t xml:space="preserve">Pomocné pramene práva – </w:t>
      </w:r>
      <w:r w:rsidRPr="00F3337E">
        <w:rPr>
          <w:lang w:val="sk-SK"/>
        </w:rPr>
        <w:t>vytvárajú</w:t>
      </w:r>
      <w:r>
        <w:t xml:space="preserve"> si </w:t>
      </w:r>
      <w:r w:rsidRPr="00F3337E">
        <w:rPr>
          <w:lang w:val="sk-SK"/>
        </w:rPr>
        <w:t>ich</w:t>
      </w:r>
      <w:r>
        <w:t xml:space="preserve"> sami obchodníci, resp. </w:t>
      </w:r>
      <w:r w:rsidRPr="00F3337E">
        <w:rPr>
          <w:lang w:val="sk-SK"/>
        </w:rPr>
        <w:t>organizácie</w:t>
      </w:r>
      <w:r>
        <w:t xml:space="preserve"> (</w:t>
      </w:r>
      <w:r w:rsidRPr="00F3337E">
        <w:rPr>
          <w:lang w:val="sk-SK"/>
        </w:rPr>
        <w:t>netvorí</w:t>
      </w:r>
      <w:r>
        <w:t xml:space="preserve"> ich štátna moc). </w:t>
      </w:r>
    </w:p>
  </w:footnote>
  <w:footnote w:id="133">
    <w:p w:rsidR="00B32A81" w:rsidRDefault="00B32A81" w:rsidP="001D1F56">
      <w:pPr>
        <w:pStyle w:val="Poznmkapodarou"/>
        <w:spacing w:line="240" w:lineRule="auto"/>
      </w:pPr>
      <w:r>
        <w:rPr>
          <w:rStyle w:val="Znakapoznpodarou"/>
        </w:rPr>
        <w:footnoteRef/>
      </w:r>
      <w:r>
        <w:t xml:space="preserve"> SWIFT (Society for Worldwide Interbank Financial Telecommunication) – Spoločnosť pre celosvetovú medzibankovú finančnú komunikáciu. Pomocdou tejto siete dochádza k elektronickej výmene správ o finančných transakciách medzi bakami a ďalšími finančnými inštitúciami. BIC = SWIFTový kód banky. BIC pozostáva z kominácie 8 az 11 znakov. Napr. ČSOB, a.</w:t>
      </w:r>
      <w:proofErr w:type="gramStart"/>
      <w:r>
        <w:t>s.,  má</w:t>
      </w:r>
      <w:proofErr w:type="gramEnd"/>
      <w:r>
        <w:t xml:space="preserve"> SWIFT code: CEKOSKBX.</w:t>
      </w:r>
    </w:p>
  </w:footnote>
  <w:footnote w:id="134">
    <w:p w:rsidR="00B32A81" w:rsidRDefault="00B32A81" w:rsidP="00CE7DB8">
      <w:pPr>
        <w:pStyle w:val="Poznmkapodarou"/>
        <w:spacing w:line="240" w:lineRule="auto"/>
      </w:pPr>
      <w:r>
        <w:rPr>
          <w:rStyle w:val="Znakapoznpodarou"/>
        </w:rPr>
        <w:footnoteRef/>
      </w:r>
      <w:r>
        <w:t xml:space="preserve">Zákon o účtovníctve 431/2002 Zb.: (2011). </w:t>
      </w:r>
      <w:r>
        <w:rPr>
          <w:i/>
          <w:iCs/>
          <w:lang w:val="sk-SK"/>
        </w:rPr>
        <w:t>Novelizovaný zákon o účtovníctve v plnom znení.</w:t>
      </w:r>
      <w:r>
        <w:rPr>
          <w:i/>
          <w:iCs/>
        </w:rPr>
        <w:t xml:space="preserve">. </w:t>
      </w:r>
      <w:r>
        <w:t xml:space="preserve">Bratislava: EPOS, str. 26, ISBN 978-80-8057-943-2. </w:t>
      </w:r>
    </w:p>
  </w:footnote>
  <w:footnote w:id="135">
    <w:p w:rsidR="00B32A81" w:rsidRDefault="00B32A81" w:rsidP="00CE7DB8">
      <w:pPr>
        <w:pStyle w:val="Poznmkapodarou"/>
        <w:spacing w:line="240" w:lineRule="auto"/>
      </w:pPr>
      <w:r>
        <w:rPr>
          <w:rStyle w:val="Znakapoznpodarou"/>
        </w:rPr>
        <w:footnoteRef/>
      </w:r>
      <w:r>
        <w:t xml:space="preserve"> PAVELKA, Ľ.: (2008). </w:t>
      </w:r>
      <w:r>
        <w:rPr>
          <w:i/>
          <w:iCs/>
        </w:rPr>
        <w:t xml:space="preserve">Medzinárodný platobný styk v podmienkach EÚ. </w:t>
      </w:r>
      <w:r>
        <w:t xml:space="preserve"> Bratislava: EKONÓM, str. 156, ISBN 978-80-225-2654-8.</w:t>
      </w:r>
    </w:p>
  </w:footnote>
  <w:footnote w:id="136">
    <w:p w:rsidR="00B32A81" w:rsidRDefault="00B32A81" w:rsidP="00CE7DB8">
      <w:pPr>
        <w:pStyle w:val="Poznmkapodarou"/>
        <w:spacing w:line="240" w:lineRule="auto"/>
      </w:pPr>
      <w:r>
        <w:rPr>
          <w:rStyle w:val="Znakapoznpodarou"/>
        </w:rPr>
        <w:footnoteRef/>
      </w:r>
      <w:r>
        <w:t xml:space="preserve">HANSENOVÁ, H.: (2009). </w:t>
      </w:r>
      <w:r>
        <w:rPr>
          <w:i/>
          <w:iCs/>
          <w:lang w:val="sk-SK"/>
        </w:rPr>
        <w:t xml:space="preserve">Prepravné služby v podmienkach medzinárodného obchodu.. </w:t>
      </w:r>
      <w:r>
        <w:t xml:space="preserve"> 2. Vyd. Bratislava: EKONÓM, str. 86, ISBN 978-80-225-2323-3. </w:t>
      </w:r>
    </w:p>
  </w:footnote>
  <w:footnote w:id="137">
    <w:p w:rsidR="00B32A81" w:rsidRDefault="00B32A81" w:rsidP="00CE7DB8">
      <w:pPr>
        <w:pStyle w:val="Poznmkapodarou"/>
        <w:spacing w:line="240" w:lineRule="auto"/>
      </w:pPr>
      <w:r>
        <w:rPr>
          <w:rStyle w:val="Znakapoznpodarou"/>
        </w:rPr>
        <w:footnoteRef/>
      </w:r>
      <w:r>
        <w:t xml:space="preserve">Cenný papier vystavený na doručiteľa – sa realizuje odovzdaním tovaru tomu, kto ho predloží. V praxi sa tento postup prakticky nevyskytuje. </w:t>
      </w:r>
    </w:p>
  </w:footnote>
  <w:footnote w:id="138">
    <w:p w:rsidR="00B32A81" w:rsidRDefault="00B32A81" w:rsidP="00CE7DB8">
      <w:pPr>
        <w:pStyle w:val="Poznmkapodarou"/>
        <w:spacing w:line="240" w:lineRule="auto"/>
      </w:pPr>
      <w:r>
        <w:rPr>
          <w:rStyle w:val="Znakapoznpodarou"/>
        </w:rPr>
        <w:footnoteRef/>
      </w:r>
      <w:r>
        <w:t xml:space="preserve">Cenný papier vystavený na rád – označením mena osoby alebo názvu firmy s doložkou </w:t>
      </w:r>
      <w:proofErr w:type="gramStart"/>
      <w:r>
        <w:t>na</w:t>
      </w:r>
      <w:proofErr w:type="gramEnd"/>
      <w:r>
        <w:t xml:space="preserve"> rád.  Napr. na rád LEA, srl., Alžírsko. Prevodné právo sa realizuje písomným prehlásením, spravidla na </w:t>
      </w:r>
      <w:proofErr w:type="gramStart"/>
      <w:r>
        <w:t>rube</w:t>
      </w:r>
      <w:proofErr w:type="gramEnd"/>
      <w:r>
        <w:t xml:space="preserve"> CP, tzv. rubopisom.</w:t>
      </w:r>
    </w:p>
  </w:footnote>
  <w:footnote w:id="139">
    <w:p w:rsidR="00B32A81" w:rsidRDefault="00B32A81" w:rsidP="00CE7DB8">
      <w:pPr>
        <w:pStyle w:val="Poznmkapodarou"/>
        <w:spacing w:line="240" w:lineRule="auto"/>
      </w:pPr>
      <w:r>
        <w:rPr>
          <w:rStyle w:val="Znakapoznpodarou"/>
        </w:rPr>
        <w:footnoteRef/>
      </w:r>
      <w:r>
        <w:t xml:space="preserve">Dopravca – vykonáva transport dopravovaného tovaru cez suchozemskú, vodnú alebo leteckú cestu. Dopravcan nie je vlastníkom tovaru. </w:t>
      </w:r>
    </w:p>
  </w:footnote>
  <w:footnote w:id="140">
    <w:p w:rsidR="00B32A81" w:rsidRDefault="00B32A81" w:rsidP="00CE7DB8">
      <w:pPr>
        <w:pStyle w:val="Poznmkapodarou"/>
        <w:spacing w:line="240" w:lineRule="auto"/>
      </w:pPr>
      <w:r>
        <w:rPr>
          <w:rStyle w:val="Znakapoznpodarou"/>
        </w:rPr>
        <w:footnoteRef/>
      </w:r>
      <w:r>
        <w:t>GATT – General Agreement on Tariffs  and Trade – Všeobecná dohoda o clách a obchode – mnohostraná dohoda obsahujúca preavidlá pre riadenie obchodu.</w:t>
      </w:r>
    </w:p>
  </w:footnote>
  <w:footnote w:id="141">
    <w:p w:rsidR="00B32A81" w:rsidRDefault="00B32A81" w:rsidP="00CE7DB8">
      <w:pPr>
        <w:pStyle w:val="Poznmkapodarou"/>
        <w:spacing w:line="240" w:lineRule="auto"/>
      </w:pPr>
      <w:r>
        <w:rPr>
          <w:rStyle w:val="Znakapoznpodarou"/>
        </w:rPr>
        <w:footnoteRef/>
      </w:r>
      <w:r>
        <w:t xml:space="preserve"> E-LTEX.: (2012). </w:t>
      </w:r>
      <w:r w:rsidRPr="00046291">
        <w:rPr>
          <w:i/>
        </w:rPr>
        <w:t xml:space="preserve">Dokumenty v zahraničnom </w:t>
      </w:r>
      <w:proofErr w:type="gramStart"/>
      <w:r w:rsidRPr="00046291">
        <w:rPr>
          <w:i/>
        </w:rPr>
        <w:t>obchode</w:t>
      </w:r>
      <w:r>
        <w:t xml:space="preserve">.  </w:t>
      </w:r>
      <w:r w:rsidRPr="00AA6709">
        <w:rPr>
          <w:iCs/>
        </w:rPr>
        <w:t>[online</w:t>
      </w:r>
      <w:proofErr w:type="gramEnd"/>
      <w:r w:rsidRPr="00AA6709">
        <w:rPr>
          <w:iCs/>
        </w:rPr>
        <w:t>].</w:t>
      </w:r>
      <w:r>
        <w:t xml:space="preserve">  EUR 1. 2012 [cit. 2012-2-02]. Dostupné z WWW:&lt;http://</w:t>
      </w:r>
      <w:r w:rsidRPr="00046291">
        <w:t xml:space="preserve"> www.skolatextilu.cz/moo/index.php?page=19</w:t>
      </w:r>
      <w:r>
        <w:t>&gt;.</w:t>
      </w:r>
    </w:p>
  </w:footnote>
  <w:footnote w:id="142">
    <w:p w:rsidR="00B32A81" w:rsidRDefault="00B32A81" w:rsidP="00CE7DB8">
      <w:pPr>
        <w:pStyle w:val="Poznmkapodarou"/>
        <w:spacing w:line="240" w:lineRule="auto"/>
      </w:pPr>
      <w:r>
        <w:rPr>
          <w:rStyle w:val="Znakapoznpodarou"/>
        </w:rPr>
        <w:footnoteRef/>
      </w:r>
      <w:r>
        <w:t xml:space="preserve"> Negociácia – vyjednávanie, dohadovanie, obchodné jednanie.</w:t>
      </w:r>
    </w:p>
  </w:footnote>
  <w:footnote w:id="143">
    <w:p w:rsidR="00B32A81" w:rsidRDefault="00B32A81" w:rsidP="00CE7DB8">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157, ISBN 978-80-225-2654-8.</w:t>
      </w:r>
    </w:p>
  </w:footnote>
  <w:footnote w:id="144">
    <w:p w:rsidR="00B32A81" w:rsidRDefault="00B32A81" w:rsidP="00CE7DB8">
      <w:pPr>
        <w:pStyle w:val="Poznmkapodarou"/>
        <w:spacing w:line="240" w:lineRule="auto"/>
      </w:pPr>
      <w:r>
        <w:rPr>
          <w:rStyle w:val="Znakapoznpodarou"/>
        </w:rPr>
        <w:footnoteRef/>
      </w:r>
      <w:r>
        <w:t xml:space="preserve"> Cesia – postúpenia práva, územia, pohľadávky. Pohľadávky, ktoré sú predmetom cesie nesmú byť predmetom záložného práva v prospech iných veriteľov.</w:t>
      </w:r>
    </w:p>
  </w:footnote>
  <w:footnote w:id="145">
    <w:p w:rsidR="00B32A81" w:rsidRDefault="00B32A81" w:rsidP="00CE7DB8">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159, ISBN 978-80-225-2654-8.</w:t>
      </w:r>
    </w:p>
  </w:footnote>
  <w:footnote w:id="146">
    <w:p w:rsidR="00B32A81" w:rsidRDefault="00B32A81" w:rsidP="00CE7DB8">
      <w:pPr>
        <w:pStyle w:val="Poznmkapodarou"/>
        <w:spacing w:line="240" w:lineRule="auto"/>
      </w:pPr>
      <w:r>
        <w:rPr>
          <w:rStyle w:val="Znakapoznpodarou"/>
        </w:rPr>
        <w:footnoteRef/>
      </w:r>
      <w:r>
        <w:t xml:space="preserve">JANATKA, F.: (2011). </w:t>
      </w:r>
      <w:r>
        <w:rPr>
          <w:i/>
          <w:iCs/>
        </w:rPr>
        <w:t xml:space="preserve">Riziká v komerční praxi. </w:t>
      </w:r>
      <w:r>
        <w:t xml:space="preserve"> Praha: WOLTTERS KLUWER, str. 107, ISBN 978-80-7357-632-5. </w:t>
      </w:r>
    </w:p>
  </w:footnote>
  <w:footnote w:id="147">
    <w:p w:rsidR="00B32A81" w:rsidRDefault="00B32A81" w:rsidP="00CE7DB8">
      <w:pPr>
        <w:pStyle w:val="Poznmkapodarou"/>
        <w:spacing w:line="240" w:lineRule="auto"/>
      </w:pPr>
      <w:r>
        <w:rPr>
          <w:rStyle w:val="Znakapoznpodarou"/>
        </w:rPr>
        <w:footnoteRef/>
      </w:r>
      <w:r>
        <w:t xml:space="preserve"> KAŠŤÁKOVÁ, E., PULLMANOVÁ T., SVOBODOVÁ, V.: (2008). </w:t>
      </w:r>
      <w:r>
        <w:rPr>
          <w:i/>
          <w:iCs/>
        </w:rPr>
        <w:t xml:space="preserve">Operácie v zahraničnom obchode. </w:t>
      </w:r>
      <w:r>
        <w:t xml:space="preserve"> Bratislava: EKONÓM, str. </w:t>
      </w:r>
      <w:proofErr w:type="gramStart"/>
      <w:r>
        <w:t>163,  ISBN</w:t>
      </w:r>
      <w:proofErr w:type="gramEnd"/>
      <w:r>
        <w:t xml:space="preserve"> 978-80-225-2537-4.</w:t>
      </w:r>
    </w:p>
  </w:footnote>
  <w:footnote w:id="148">
    <w:p w:rsidR="00B32A81" w:rsidRDefault="00B32A81" w:rsidP="00CE7DB8">
      <w:pPr>
        <w:pStyle w:val="Poznmkapodarou"/>
        <w:spacing w:line="240" w:lineRule="auto"/>
      </w:pPr>
      <w:r>
        <w:rPr>
          <w:rStyle w:val="Znakapoznpodarou"/>
        </w:rPr>
        <w:footnoteRef/>
      </w:r>
      <w:r>
        <w:t xml:space="preserve"> P.O.S. materiály –svetelná promotion, Merchendasing – predajné miesto ako komunikačný prostriedok a upozornenie na konkrétny produkt  - stojany, krabice, </w:t>
      </w:r>
      <w:proofErr w:type="gramStart"/>
      <w:r>
        <w:t>plagáty a pod.</w:t>
      </w:r>
      <w:proofErr w:type="gramEnd"/>
    </w:p>
  </w:footnote>
  <w:footnote w:id="149">
    <w:p w:rsidR="00B32A81" w:rsidRDefault="00B32A81" w:rsidP="00470C13">
      <w:pPr>
        <w:pStyle w:val="Poznmkapodarou"/>
      </w:pPr>
      <w:r>
        <w:rPr>
          <w:rStyle w:val="Znakapoznpodarou"/>
        </w:rPr>
        <w:footnoteRef/>
      </w:r>
      <w:r>
        <w:t xml:space="preserve"> </w:t>
      </w:r>
      <w:proofErr w:type="gramStart"/>
      <w:r>
        <w:t>P.O.</w:t>
      </w:r>
      <w:proofErr w:type="gramEnd"/>
      <w:r>
        <w:t>P. materiály – sú umiestnené v priestorách maloobchodu či v jeho tesnej blízkosti. Ich hlavným cieľom je zviditelniť produkt a značku v </w:t>
      </w:r>
      <w:proofErr w:type="gramStart"/>
      <w:r>
        <w:t>momente</w:t>
      </w:r>
      <w:proofErr w:type="gramEnd"/>
      <w:r>
        <w:t xml:space="preserve"> rozhodovania o kúpe.</w:t>
      </w:r>
    </w:p>
  </w:footnote>
  <w:footnote w:id="150">
    <w:p w:rsidR="00B32A81" w:rsidRDefault="00B32A81" w:rsidP="00EE5688">
      <w:pPr>
        <w:pStyle w:val="Poznmkapodarou"/>
        <w:spacing w:line="240" w:lineRule="auto"/>
      </w:pPr>
      <w:r>
        <w:rPr>
          <w:rStyle w:val="Znakapoznpodarou"/>
        </w:rPr>
        <w:footnoteRef/>
      </w:r>
      <w:r>
        <w:t xml:space="preserve">EULER HERMES SERVIS - </w:t>
      </w:r>
      <w:r w:rsidRPr="001B216C">
        <w:rPr>
          <w:color w:val="000000"/>
        </w:rPr>
        <w:t xml:space="preserve">je </w:t>
      </w:r>
      <w:r w:rsidRPr="00F3337E">
        <w:rPr>
          <w:color w:val="000000"/>
          <w:lang w:val="sk-SK"/>
        </w:rPr>
        <w:t>vedúcim</w:t>
      </w:r>
      <w:r w:rsidRPr="001B216C">
        <w:rPr>
          <w:color w:val="000000"/>
        </w:rPr>
        <w:t xml:space="preserve"> </w:t>
      </w:r>
      <w:r w:rsidRPr="00F3337E">
        <w:rPr>
          <w:color w:val="000000"/>
          <w:lang w:val="sk-SK"/>
        </w:rPr>
        <w:t>svetovým</w:t>
      </w:r>
      <w:r w:rsidRPr="001B216C">
        <w:rPr>
          <w:color w:val="000000"/>
        </w:rPr>
        <w:t xml:space="preserve"> úverovým poisťovateľom s </w:t>
      </w:r>
      <w:proofErr w:type="gramStart"/>
      <w:r w:rsidRPr="001B216C">
        <w:rPr>
          <w:color w:val="000000"/>
        </w:rPr>
        <w:t>36-percentným</w:t>
      </w:r>
      <w:proofErr w:type="gramEnd"/>
      <w:r w:rsidRPr="001B216C">
        <w:rPr>
          <w:color w:val="000000"/>
        </w:rPr>
        <w:t xml:space="preserve"> podielom na trhu. Má zastúpenie </w:t>
      </w:r>
      <w:r>
        <w:rPr>
          <w:color w:val="000000"/>
        </w:rPr>
        <w:br/>
      </w:r>
      <w:r w:rsidRPr="001B216C">
        <w:rPr>
          <w:color w:val="000000"/>
        </w:rPr>
        <w:t>v 51 krajinách, pričom poistením pokrýva viac ako 700 miliárd EUR obchodných transakcií. Ako dcérska spoločnosť AGF patrí Euler Hermes do skupiny Allianz</w:t>
      </w:r>
      <w:r>
        <w:t xml:space="preserve">. </w:t>
      </w:r>
    </w:p>
  </w:footnote>
  <w:footnote w:id="151">
    <w:p w:rsidR="00B32A81" w:rsidRDefault="00B32A81" w:rsidP="009A7705">
      <w:pPr>
        <w:pStyle w:val="Poznmkapodarou"/>
        <w:spacing w:line="240" w:lineRule="auto"/>
      </w:pPr>
      <w:r>
        <w:rPr>
          <w:rStyle w:val="Znakapoznpodarou"/>
        </w:rPr>
        <w:footnoteRef/>
      </w:r>
      <w:r>
        <w:t xml:space="preserve"> KAŠŤÁKOVÁ, E., PULLMANOVÁ T., SVOBODOVÁ, V.: (2008). </w:t>
      </w:r>
      <w:r>
        <w:rPr>
          <w:i/>
          <w:iCs/>
        </w:rPr>
        <w:t xml:space="preserve">Operácie v zahraničnom obchode. </w:t>
      </w:r>
      <w:r>
        <w:t xml:space="preserve"> Bratislava: EKONÓM, str. </w:t>
      </w:r>
      <w:proofErr w:type="gramStart"/>
      <w:r>
        <w:t>163,  ISBN</w:t>
      </w:r>
      <w:proofErr w:type="gramEnd"/>
      <w:r>
        <w:t xml:space="preserve"> 978-80-225-2537-4.</w:t>
      </w:r>
    </w:p>
  </w:footnote>
  <w:footnote w:id="152">
    <w:p w:rsidR="00B32A81" w:rsidRDefault="00B32A81" w:rsidP="009A7705">
      <w:pPr>
        <w:pStyle w:val="Poznmkapodarou"/>
        <w:spacing w:line="240" w:lineRule="auto"/>
      </w:pPr>
      <w:r>
        <w:rPr>
          <w:rStyle w:val="Znakapoznpodarou"/>
        </w:rPr>
        <w:footnoteRef/>
      </w:r>
      <w:r>
        <w:t xml:space="preserve"> CMR – dohoda o </w:t>
      </w:r>
      <w:r w:rsidRPr="000208E3">
        <w:rPr>
          <w:lang w:val="sk-SK"/>
        </w:rPr>
        <w:t>prepravnej</w:t>
      </w:r>
      <w:r>
        <w:t xml:space="preserve"> </w:t>
      </w:r>
      <w:r w:rsidRPr="000208E3">
        <w:rPr>
          <w:lang w:val="sk-SK"/>
        </w:rPr>
        <w:t>zmluve</w:t>
      </w:r>
      <w:r>
        <w:t xml:space="preserve"> v medzinárodnej cestnej kamionovej  doprave. </w:t>
      </w:r>
      <w:r>
        <w:rPr>
          <w:shd w:val="clear" w:color="auto" w:fill="FFFFFF"/>
        </w:rPr>
        <w:t xml:space="preserve">Vzťahuje sa na každú zmluvu pri cestnej preprave zásielok za úhradu realizovanú v rámci medzinárodnej kamiónovej dopravy, ak miesto prevzatia zásielky a miesto dodania zásielky je v dvoch rôznych štátoch, z ktorých aspoň jeden je zmluvným štátom Dohody CMR. </w:t>
      </w:r>
    </w:p>
  </w:footnote>
  <w:footnote w:id="153">
    <w:p w:rsidR="00B32A81" w:rsidRDefault="00B32A81" w:rsidP="009A7705">
      <w:pPr>
        <w:pStyle w:val="Poznmkapodarou"/>
        <w:spacing w:line="240" w:lineRule="auto"/>
      </w:pPr>
      <w:r>
        <w:rPr>
          <w:rStyle w:val="Znakapoznpodarou"/>
        </w:rPr>
        <w:footnoteRef/>
      </w:r>
      <w:r>
        <w:t xml:space="preserve"> EHS – Belgicko, Bulharsko, Cyprus, Česká republika, Dánsko, Estónsko, Fínsko, Francúzsko, Grécko, Holandsko, Írsko, Litva, Lotyšsko, Luxembursko, Maďarsko, Malta,  Nemecko, Poľsko, Portugalsko, Rakúsko, Rumunsko, Slovenská republika, Slovinsko, Španielsko, Švédsko, Taliansko, Veľká Británia, Island, Lichtenštajnsko, Nórsko.</w:t>
      </w:r>
    </w:p>
  </w:footnote>
  <w:footnote w:id="154">
    <w:p w:rsidR="00B32A81" w:rsidRDefault="00B32A81" w:rsidP="009A7705">
      <w:pPr>
        <w:pStyle w:val="Poznmkapodarou"/>
        <w:spacing w:line="240" w:lineRule="auto"/>
      </w:pPr>
      <w:r>
        <w:rPr>
          <w:rStyle w:val="Znakapoznpodarou"/>
        </w:rPr>
        <w:footnoteRef/>
      </w:r>
      <w:r>
        <w:t xml:space="preserve"> PAVELKA, Ľ.: (2008). </w:t>
      </w:r>
      <w:r>
        <w:rPr>
          <w:i/>
          <w:iCs/>
        </w:rPr>
        <w:t xml:space="preserve">Medzinárodný platobný styk v podmienkách EÚ. </w:t>
      </w:r>
      <w:r>
        <w:t xml:space="preserve"> Bratislava: EKONÓM, str. 53, ISBN 978-80-225-2654-8.</w:t>
      </w:r>
    </w:p>
  </w:footnote>
  <w:footnote w:id="155">
    <w:p w:rsidR="00B32A81" w:rsidRDefault="00B32A81" w:rsidP="009A7705">
      <w:pPr>
        <w:pStyle w:val="Poznmkapodarou"/>
        <w:spacing w:line="240" w:lineRule="auto"/>
      </w:pPr>
      <w:r>
        <w:rPr>
          <w:rStyle w:val="Znakapoznpodarou"/>
        </w:rPr>
        <w:footnoteRef/>
      </w:r>
      <w:r>
        <w:t xml:space="preserve">IBAN – International Bank Account Number – medzinárodné bankové číslo účtu.IBAN kód obsahuje 24 znakov. Prvá časť obsahuje dva znaky, ktoré určujú kód krajiny. Ďalšie dve číslice predstavjú kontrolné číslo podľa ISO 7064. Tretia časť je tvorená tuzemským bankovým spojením obsahujúcim 20 </w:t>
      </w:r>
      <w:proofErr w:type="gramStart"/>
      <w:r>
        <w:t>čísel v poradí</w:t>
      </w:r>
      <w:proofErr w:type="gramEnd"/>
      <w:r>
        <w:t xml:space="preserve"> kód banky, predčíslie a základné číslo účtu. </w:t>
      </w:r>
    </w:p>
  </w:footnote>
  <w:footnote w:id="156">
    <w:p w:rsidR="00B32A81" w:rsidRDefault="00B32A81" w:rsidP="009A7705">
      <w:pPr>
        <w:pStyle w:val="Poznmkapodarou"/>
        <w:spacing w:line="240" w:lineRule="auto"/>
      </w:pPr>
      <w:r>
        <w:rPr>
          <w:rStyle w:val="Znakapoznpodarou"/>
        </w:rPr>
        <w:footnoteRef/>
      </w:r>
      <w:r>
        <w:t xml:space="preserve"> SWIFT (Society for Worldwide Interbank Financial Telecommunication) – Spoločnosť pre celosvetovú medzibankovú finančnú komunikáciu. Pomocou tejto siete dochádza k elektronickej výmene správ o finančných transakciách medzi bakami a ďalšími finančnými inštitúciami. BIC = SWIFTový kód banky. BIC pozostáva z kominácie 8 az 11 znakov. Napr. ČSOB, a.</w:t>
      </w:r>
      <w:proofErr w:type="gramStart"/>
      <w:r>
        <w:t>s.,  má</w:t>
      </w:r>
      <w:proofErr w:type="gramEnd"/>
      <w:r>
        <w:t xml:space="preserve"> SWIFT code: CEKOSKBX.</w:t>
      </w:r>
    </w:p>
  </w:footnote>
  <w:footnote w:id="157">
    <w:p w:rsidR="00B32A81" w:rsidRDefault="00B32A81" w:rsidP="00E50142">
      <w:pPr>
        <w:pStyle w:val="Poznmkapodarou"/>
        <w:spacing w:line="240" w:lineRule="auto"/>
      </w:pPr>
      <w:r>
        <w:rPr>
          <w:rStyle w:val="Znakapoznpodarou"/>
        </w:rPr>
        <w:footnoteRef/>
      </w:r>
      <w:r>
        <w:t xml:space="preserve">JANATKA, F.: (2011). </w:t>
      </w:r>
      <w:r>
        <w:rPr>
          <w:i/>
          <w:iCs/>
        </w:rPr>
        <w:t xml:space="preserve">Riziká v komerční praxi. </w:t>
      </w:r>
      <w:r>
        <w:t xml:space="preserve"> Praha: WOLTTERS KLUWER, str. 99, ISBN 978-80-7357-632-5. </w:t>
      </w:r>
    </w:p>
  </w:footnote>
  <w:footnote w:id="158">
    <w:p w:rsidR="00B32A81" w:rsidRDefault="00B32A81" w:rsidP="00F9401F">
      <w:pPr>
        <w:pStyle w:val="Poznmkapodarou"/>
        <w:spacing w:line="240" w:lineRule="auto"/>
      </w:pPr>
      <w:r>
        <w:rPr>
          <w:rStyle w:val="Znakapoznpodarou"/>
        </w:rPr>
        <w:footnoteRef/>
      </w:r>
      <w:r>
        <w:t xml:space="preserve">JANATKA, F.: (2011). </w:t>
      </w:r>
      <w:r>
        <w:rPr>
          <w:i/>
          <w:iCs/>
        </w:rPr>
        <w:t xml:space="preserve">Riziká v komerční praxi. </w:t>
      </w:r>
      <w:r>
        <w:t xml:space="preserve"> Praha: WOLTTERS KLUWER, str. 105, ISBN 978-80-7357-632-5. </w:t>
      </w:r>
    </w:p>
  </w:footnote>
  <w:footnote w:id="159">
    <w:p w:rsidR="00B32A81" w:rsidRDefault="00B32A81" w:rsidP="00DC12B8">
      <w:pPr>
        <w:pStyle w:val="Poznmkapodarou"/>
        <w:spacing w:line="240" w:lineRule="auto"/>
      </w:pPr>
      <w:r>
        <w:rPr>
          <w:rStyle w:val="Znakapoznpodarou"/>
        </w:rPr>
        <w:footnoteRef/>
      </w:r>
      <w:r>
        <w:t xml:space="preserve">Arbitráž – rozhodnutie sporu, na ktorom sa zmluvné strany vopred dohodli, zmierňovacie konanie, zmierovací súd. </w:t>
      </w:r>
    </w:p>
  </w:footnote>
  <w:footnote w:id="160">
    <w:p w:rsidR="00B32A81" w:rsidRDefault="00B32A81" w:rsidP="006361DD">
      <w:pPr>
        <w:pStyle w:val="Textpoznpodarou0"/>
        <w:jc w:val="both"/>
        <w:rPr>
          <w:rFonts w:ascii="Sans EE" w:hAnsi="Sans EE"/>
        </w:rPr>
      </w:pPr>
      <w:r>
        <w:rPr>
          <w:rStyle w:val="Znakapoznpodarou"/>
        </w:rPr>
        <w:footnoteRef/>
      </w:r>
      <w:r>
        <w:t xml:space="preserve"> </w:t>
      </w:r>
      <w:r>
        <w:t xml:space="preserve">SEPA (Single Euro Payment Area – Jednotný európsky platobný priestor) je oblasť, v ktorej môžu spotrebitelia, podniky a ďalšie hospodárske subjekty realizovať a prijímať platby v eurách, či už v rámci jednej krajiny alebo medzi jednotlivými krajinami </w:t>
      </w:r>
      <w:r>
        <w:br/>
        <w:t>(27 štátov Európskej únie, Island, Lichtenštajnsko, Nórsko a Švajčiarsko), za rovnakých podmienok, práv a povinností a bez ohľadu na to, kde sa nachádzajú.</w:t>
      </w:r>
    </w:p>
  </w:footnote>
  <w:footnote w:id="161">
    <w:p w:rsidR="00B32A81" w:rsidRDefault="00B32A81" w:rsidP="006361DD">
      <w:pPr>
        <w:pStyle w:val="Textpoznpodarou0"/>
        <w:jc w:val="both"/>
        <w:rPr>
          <w:rFonts w:ascii="Sans EE" w:hAnsi="Sans EE"/>
        </w:rPr>
      </w:pPr>
      <w:r>
        <w:rPr>
          <w:rStyle w:val="Znakapoznpodarou"/>
        </w:rPr>
        <w:footnoteRef/>
      </w:r>
      <w:r>
        <w:t xml:space="preserve"> </w:t>
      </w:r>
      <w:r>
        <w:t>IBAN (International Bank Account Number – Medzinárodné bankové číslo účtu), ktoré umožňuje indentifikáciu príjemcu. Obsahuje 24 znakov. Prvá čsť obsahuje dva znaky, ktoré určujú kód krajiny. Ďalšie dve číslice predstavujú kontrolné číslo podľa ISO 7064. Tretia časť je tvorená tuzemským bankovým spojením obsahujúcom 20 číslic, v poradí kód banky, predčíslie a základné číslo účtu.y</w:t>
      </w:r>
    </w:p>
  </w:footnote>
  <w:footnote w:id="162">
    <w:p w:rsidR="00B32A81" w:rsidRDefault="00B32A81" w:rsidP="006361DD">
      <w:pPr>
        <w:pStyle w:val="Textpoznpodarou0"/>
        <w:jc w:val="both"/>
        <w:rPr>
          <w:rFonts w:ascii="Sans EE" w:hAnsi="Sans EE"/>
        </w:rPr>
      </w:pPr>
    </w:p>
    <w:p w:rsidR="00B32A81" w:rsidRDefault="00B32A81" w:rsidP="006361DD">
      <w:pPr>
        <w:pStyle w:val="Textpoznpodarou0"/>
        <w:jc w:val="both"/>
        <w:rPr>
          <w:rFonts w:ascii="Sans EE" w:hAnsi="Sans EE"/>
        </w:rPr>
      </w:pPr>
      <w:r>
        <w:rPr>
          <w:rStyle w:val="Znakapoznpodarou"/>
        </w:rPr>
        <w:footnoteRef/>
      </w:r>
      <w:r>
        <w:t xml:space="preserve"> </w:t>
      </w:r>
      <w:r>
        <w:t xml:space="preserve">SWIFT (Society for Worldwide Interbank Financial Telcommunication – Spoločnosť s.r.o. pre celosvetovú medzibankovú finančnú komunikáciu). Je to nezávislá spoločnosť so sídlom v La Hulpe pri Bruseli.  </w:t>
      </w:r>
    </w:p>
  </w:footnote>
  <w:footnote w:id="163">
    <w:p w:rsidR="00B32A81" w:rsidRDefault="00B32A81" w:rsidP="005A7F90">
      <w:pPr>
        <w:pStyle w:val="Poznmkapodarou"/>
      </w:pPr>
      <w:r>
        <w:rPr>
          <w:rStyle w:val="Znakapoznpodarou"/>
        </w:rPr>
        <w:footnoteRef/>
      </w:r>
      <w:r>
        <w:t xml:space="preserve"> Mandát – </w:t>
      </w:r>
      <w:r w:rsidRPr="00CE7DB8">
        <w:rPr>
          <w:lang w:val="sk-SK"/>
        </w:rPr>
        <w:t>splnomocnenie</w:t>
      </w:r>
      <w:r>
        <w:t xml:space="preserve">, príkaz, poverenie. </w:t>
      </w:r>
    </w:p>
  </w:footnote>
  <w:footnote w:id="164">
    <w:p w:rsidR="00B32A81" w:rsidRDefault="00B32A81" w:rsidP="005A7F90">
      <w:pPr>
        <w:pStyle w:val="Poznmkapodarou"/>
      </w:pPr>
      <w:r>
        <w:rPr>
          <w:rStyle w:val="Znakapoznpodarou"/>
        </w:rPr>
        <w:footnoteRef/>
      </w:r>
      <w:r>
        <w:t xml:space="preserve"> PAVELKA, Ľ.: (2008). </w:t>
      </w:r>
      <w:r>
        <w:rPr>
          <w:i/>
          <w:iCs/>
        </w:rPr>
        <w:t xml:space="preserve">Medzinárodný platobný styk v podmienkách EÚ. </w:t>
      </w:r>
      <w:r>
        <w:t xml:space="preserve"> Bratislava: EKONÓM, str. 54, ISBN 978-80-225-2654-8.</w:t>
      </w:r>
    </w:p>
  </w:footnote>
  <w:footnote w:id="165">
    <w:p w:rsidR="00B32A81" w:rsidRDefault="00B32A81" w:rsidP="001B111C">
      <w:pPr>
        <w:pStyle w:val="Poznmkapodarou"/>
      </w:pPr>
      <w:r>
        <w:rPr>
          <w:rStyle w:val="Znakapoznpodarou"/>
        </w:rPr>
        <w:footnoteRef/>
      </w:r>
      <w:r>
        <w:t xml:space="preserve">Fiktívna faktúra – vymyslená, neskutočná, neexistujúca.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pPr>
      <w:pStyle w:val="Zpat"/>
      <w:tabs>
        <w:tab w:val="left" w:pos="2265"/>
        <w:tab w:val="center" w:pos="4606"/>
      </w:tabs>
      <w:jc w:val="center"/>
      <w:rPr>
        <w:rFonts w:ascii="Verdana" w:hAnsi="Verdana" w:cs="Verdana"/>
        <w:b/>
        <w:bCs/>
        <w:color w:val="808080"/>
        <w:sz w:val="32"/>
        <w:szCs w:val="32"/>
      </w:rPr>
    </w:pPr>
    <w:r>
      <w:rPr>
        <w:rFonts w:ascii="Verdana" w:hAnsi="Verdana" w:cs="Verdana"/>
        <w:b/>
        <w:bCs/>
        <w:color w:val="808080"/>
        <w:sz w:val="32"/>
        <w:szCs w:val="32"/>
      </w:rPr>
      <w:t>VYSOKÁ ŠKOLA EKONOMIE A MANAGEMENTU</w:t>
    </w:r>
  </w:p>
  <w:p w:rsidR="00B32A81" w:rsidRDefault="00B32A81">
    <w:pPr>
      <w:pStyle w:val="Zhlav"/>
      <w:jc w:val="center"/>
    </w:pPr>
    <w:r>
      <w:rPr>
        <w:rFonts w:ascii="Verdana" w:hAnsi="Verdana" w:cs="Verdana"/>
        <w:b/>
        <w:bCs/>
        <w:color w:val="808080"/>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A81" w:rsidRDefault="00B32A81">
    <w:pPr>
      <w:pStyle w:val="Zpat"/>
      <w:tabs>
        <w:tab w:val="left" w:pos="2265"/>
        <w:tab w:val="center" w:pos="4606"/>
      </w:tabs>
      <w:jc w:val="center"/>
      <w:rPr>
        <w:rFonts w:ascii="Verdana" w:hAnsi="Verdana" w:cs="Verdana"/>
        <w:b/>
        <w:bCs/>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3F4A"/>
    <w:multiLevelType w:val="hybridMultilevel"/>
    <w:tmpl w:val="AA982ECE"/>
    <w:lvl w:ilvl="0" w:tplc="FF5E69FE">
      <w:start w:val="1"/>
      <w:numFmt w:val="decimal"/>
      <w:lvlText w:val="%1."/>
      <w:lvlJc w:val="left"/>
      <w:pPr>
        <w:tabs>
          <w:tab w:val="num" w:pos="720"/>
        </w:tabs>
        <w:ind w:left="720" w:hanging="360"/>
      </w:pPr>
      <w:rPr>
        <w:rFonts w:ascii="Times New Roman" w:hAnsi="Times New Roman" w:cs="Times New Roman" w:hint="default"/>
        <w:b/>
        <w:bCs/>
        <w:sz w:val="24"/>
        <w:szCs w:val="24"/>
      </w:rPr>
    </w:lvl>
    <w:lvl w:ilvl="1" w:tplc="041B0019">
      <w:start w:val="1"/>
      <w:numFmt w:val="lowerLetter"/>
      <w:lvlText w:val="%2."/>
      <w:lvlJc w:val="left"/>
      <w:pPr>
        <w:tabs>
          <w:tab w:val="num" w:pos="1440"/>
        </w:tabs>
        <w:ind w:left="1440" w:hanging="360"/>
      </w:pPr>
      <w:rPr>
        <w:rFonts w:ascii="Times New Roman" w:hAnsi="Times New Roman" w:cs="Times New Roman"/>
      </w:rPr>
    </w:lvl>
    <w:lvl w:ilvl="2" w:tplc="041B001B">
      <w:start w:val="1"/>
      <w:numFmt w:val="lowerRoman"/>
      <w:lvlText w:val="%3."/>
      <w:lvlJc w:val="right"/>
      <w:pPr>
        <w:tabs>
          <w:tab w:val="num" w:pos="2160"/>
        </w:tabs>
        <w:ind w:left="2160" w:hanging="180"/>
      </w:pPr>
      <w:rPr>
        <w:rFonts w:ascii="Times New Roman" w:hAnsi="Times New Roman" w:cs="Times New Roman"/>
      </w:rPr>
    </w:lvl>
    <w:lvl w:ilvl="3" w:tplc="041B000F">
      <w:start w:val="1"/>
      <w:numFmt w:val="decimal"/>
      <w:lvlText w:val="%4."/>
      <w:lvlJc w:val="left"/>
      <w:pPr>
        <w:tabs>
          <w:tab w:val="num" w:pos="2880"/>
        </w:tabs>
        <w:ind w:left="2880" w:hanging="360"/>
      </w:pPr>
      <w:rPr>
        <w:rFonts w:ascii="Times New Roman" w:hAnsi="Times New Roman" w:cs="Times New Roman"/>
      </w:rPr>
    </w:lvl>
    <w:lvl w:ilvl="4" w:tplc="041B0019">
      <w:start w:val="1"/>
      <w:numFmt w:val="lowerLetter"/>
      <w:lvlText w:val="%5."/>
      <w:lvlJc w:val="left"/>
      <w:pPr>
        <w:tabs>
          <w:tab w:val="num" w:pos="3600"/>
        </w:tabs>
        <w:ind w:left="3600" w:hanging="360"/>
      </w:pPr>
      <w:rPr>
        <w:rFonts w:ascii="Times New Roman" w:hAnsi="Times New Roman" w:cs="Times New Roman"/>
      </w:rPr>
    </w:lvl>
    <w:lvl w:ilvl="5" w:tplc="041B001B">
      <w:start w:val="1"/>
      <w:numFmt w:val="lowerRoman"/>
      <w:lvlText w:val="%6."/>
      <w:lvlJc w:val="right"/>
      <w:pPr>
        <w:tabs>
          <w:tab w:val="num" w:pos="4320"/>
        </w:tabs>
        <w:ind w:left="4320" w:hanging="180"/>
      </w:pPr>
      <w:rPr>
        <w:rFonts w:ascii="Times New Roman" w:hAnsi="Times New Roman" w:cs="Times New Roman"/>
      </w:rPr>
    </w:lvl>
    <w:lvl w:ilvl="6" w:tplc="041B000F">
      <w:start w:val="1"/>
      <w:numFmt w:val="decimal"/>
      <w:lvlText w:val="%7."/>
      <w:lvlJc w:val="left"/>
      <w:pPr>
        <w:tabs>
          <w:tab w:val="num" w:pos="5040"/>
        </w:tabs>
        <w:ind w:left="5040" w:hanging="360"/>
      </w:pPr>
      <w:rPr>
        <w:rFonts w:ascii="Times New Roman" w:hAnsi="Times New Roman" w:cs="Times New Roman"/>
      </w:rPr>
    </w:lvl>
    <w:lvl w:ilvl="7" w:tplc="041B0019">
      <w:start w:val="1"/>
      <w:numFmt w:val="lowerLetter"/>
      <w:lvlText w:val="%8."/>
      <w:lvlJc w:val="left"/>
      <w:pPr>
        <w:tabs>
          <w:tab w:val="num" w:pos="5760"/>
        </w:tabs>
        <w:ind w:left="5760" w:hanging="360"/>
      </w:pPr>
      <w:rPr>
        <w:rFonts w:ascii="Times New Roman" w:hAnsi="Times New Roman" w:cs="Times New Roman"/>
      </w:rPr>
    </w:lvl>
    <w:lvl w:ilvl="8" w:tplc="041B001B">
      <w:start w:val="1"/>
      <w:numFmt w:val="lowerRoman"/>
      <w:lvlText w:val="%9."/>
      <w:lvlJc w:val="right"/>
      <w:pPr>
        <w:tabs>
          <w:tab w:val="num" w:pos="6480"/>
        </w:tabs>
        <w:ind w:left="6480" w:hanging="180"/>
      </w:pPr>
      <w:rPr>
        <w:rFonts w:ascii="Times New Roman" w:hAnsi="Times New Roman" w:cs="Times New Roman"/>
      </w:rPr>
    </w:lvl>
  </w:abstractNum>
  <w:abstractNum w:abstractNumId="1">
    <w:nsid w:val="2D817454"/>
    <w:multiLevelType w:val="hybridMultilevel"/>
    <w:tmpl w:val="220C8A8E"/>
    <w:lvl w:ilvl="0" w:tplc="BE844AC8">
      <w:start w:val="1"/>
      <w:numFmt w:val="bullet"/>
      <w:pStyle w:val="Odrka2stupn"/>
      <w:lvlText w:val="-"/>
      <w:lvlJc w:val="left"/>
      <w:pPr>
        <w:ind w:left="1797" w:hanging="360"/>
      </w:pPr>
      <w:rPr>
        <w:rFonts w:ascii="Courier New" w:hAnsi="Courier New" w:cs="Courier New" w:hint="default"/>
      </w:rPr>
    </w:lvl>
    <w:lvl w:ilvl="1" w:tplc="04050003">
      <w:start w:val="1"/>
      <w:numFmt w:val="bullet"/>
      <w:lvlText w:val="o"/>
      <w:lvlJc w:val="left"/>
      <w:pPr>
        <w:ind w:left="2517" w:hanging="360"/>
      </w:pPr>
      <w:rPr>
        <w:rFonts w:ascii="Courier New" w:hAnsi="Courier New" w:cs="Courier New" w:hint="default"/>
      </w:rPr>
    </w:lvl>
    <w:lvl w:ilvl="2" w:tplc="04050005">
      <w:start w:val="1"/>
      <w:numFmt w:val="bullet"/>
      <w:lvlText w:val=""/>
      <w:lvlJc w:val="left"/>
      <w:pPr>
        <w:ind w:left="3237" w:hanging="360"/>
      </w:pPr>
      <w:rPr>
        <w:rFonts w:ascii="Wingdings" w:hAnsi="Wingdings" w:cs="Wingdings" w:hint="default"/>
      </w:rPr>
    </w:lvl>
    <w:lvl w:ilvl="3" w:tplc="04050001">
      <w:start w:val="1"/>
      <w:numFmt w:val="bullet"/>
      <w:lvlText w:val=""/>
      <w:lvlJc w:val="left"/>
      <w:pPr>
        <w:ind w:left="3957" w:hanging="360"/>
      </w:pPr>
      <w:rPr>
        <w:rFonts w:ascii="Symbol" w:hAnsi="Symbol" w:cs="Symbol" w:hint="default"/>
      </w:rPr>
    </w:lvl>
    <w:lvl w:ilvl="4" w:tplc="04050003">
      <w:start w:val="1"/>
      <w:numFmt w:val="bullet"/>
      <w:lvlText w:val="o"/>
      <w:lvlJc w:val="left"/>
      <w:pPr>
        <w:ind w:left="4677" w:hanging="360"/>
      </w:pPr>
      <w:rPr>
        <w:rFonts w:ascii="Courier New" w:hAnsi="Courier New" w:cs="Courier New" w:hint="default"/>
      </w:rPr>
    </w:lvl>
    <w:lvl w:ilvl="5" w:tplc="04050005">
      <w:start w:val="1"/>
      <w:numFmt w:val="bullet"/>
      <w:lvlText w:val=""/>
      <w:lvlJc w:val="left"/>
      <w:pPr>
        <w:ind w:left="5397" w:hanging="360"/>
      </w:pPr>
      <w:rPr>
        <w:rFonts w:ascii="Wingdings" w:hAnsi="Wingdings" w:cs="Wingdings" w:hint="default"/>
      </w:rPr>
    </w:lvl>
    <w:lvl w:ilvl="6" w:tplc="04050001">
      <w:start w:val="1"/>
      <w:numFmt w:val="bullet"/>
      <w:lvlText w:val=""/>
      <w:lvlJc w:val="left"/>
      <w:pPr>
        <w:ind w:left="6117" w:hanging="360"/>
      </w:pPr>
      <w:rPr>
        <w:rFonts w:ascii="Symbol" w:hAnsi="Symbol" w:cs="Symbol" w:hint="default"/>
      </w:rPr>
    </w:lvl>
    <w:lvl w:ilvl="7" w:tplc="04050003">
      <w:start w:val="1"/>
      <w:numFmt w:val="bullet"/>
      <w:lvlText w:val="o"/>
      <w:lvlJc w:val="left"/>
      <w:pPr>
        <w:ind w:left="6837" w:hanging="360"/>
      </w:pPr>
      <w:rPr>
        <w:rFonts w:ascii="Courier New" w:hAnsi="Courier New" w:cs="Courier New" w:hint="default"/>
      </w:rPr>
    </w:lvl>
    <w:lvl w:ilvl="8" w:tplc="04050005">
      <w:start w:val="1"/>
      <w:numFmt w:val="bullet"/>
      <w:lvlText w:val=""/>
      <w:lvlJc w:val="left"/>
      <w:pPr>
        <w:ind w:left="7557" w:hanging="360"/>
      </w:pPr>
      <w:rPr>
        <w:rFonts w:ascii="Wingdings" w:hAnsi="Wingdings" w:cs="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cs="Courier New" w:hint="default"/>
      </w:rPr>
    </w:lvl>
    <w:lvl w:ilvl="1" w:tplc="04050003">
      <w:start w:val="1"/>
      <w:numFmt w:val="bullet"/>
      <w:lvlText w:val="o"/>
      <w:lvlJc w:val="left"/>
      <w:pPr>
        <w:ind w:left="2801" w:hanging="360"/>
      </w:pPr>
      <w:rPr>
        <w:rFonts w:ascii="Courier New" w:hAnsi="Courier New" w:cs="Courier New" w:hint="default"/>
      </w:rPr>
    </w:lvl>
    <w:lvl w:ilvl="2" w:tplc="04050005">
      <w:start w:val="1"/>
      <w:numFmt w:val="bullet"/>
      <w:lvlText w:val=""/>
      <w:lvlJc w:val="left"/>
      <w:pPr>
        <w:ind w:left="3521" w:hanging="360"/>
      </w:pPr>
      <w:rPr>
        <w:rFonts w:ascii="Wingdings" w:hAnsi="Wingdings" w:cs="Wingdings" w:hint="default"/>
      </w:rPr>
    </w:lvl>
    <w:lvl w:ilvl="3" w:tplc="04050001">
      <w:start w:val="1"/>
      <w:numFmt w:val="bullet"/>
      <w:lvlText w:val=""/>
      <w:lvlJc w:val="left"/>
      <w:pPr>
        <w:ind w:left="4241" w:hanging="360"/>
      </w:pPr>
      <w:rPr>
        <w:rFonts w:ascii="Symbol" w:hAnsi="Symbol" w:cs="Symbol" w:hint="default"/>
      </w:rPr>
    </w:lvl>
    <w:lvl w:ilvl="4" w:tplc="04050003">
      <w:start w:val="1"/>
      <w:numFmt w:val="bullet"/>
      <w:lvlText w:val="o"/>
      <w:lvlJc w:val="left"/>
      <w:pPr>
        <w:ind w:left="4961" w:hanging="360"/>
      </w:pPr>
      <w:rPr>
        <w:rFonts w:ascii="Courier New" w:hAnsi="Courier New" w:cs="Courier New" w:hint="default"/>
      </w:rPr>
    </w:lvl>
    <w:lvl w:ilvl="5" w:tplc="04050005">
      <w:start w:val="1"/>
      <w:numFmt w:val="bullet"/>
      <w:lvlText w:val=""/>
      <w:lvlJc w:val="left"/>
      <w:pPr>
        <w:ind w:left="5681" w:hanging="360"/>
      </w:pPr>
      <w:rPr>
        <w:rFonts w:ascii="Wingdings" w:hAnsi="Wingdings" w:cs="Wingdings" w:hint="default"/>
      </w:rPr>
    </w:lvl>
    <w:lvl w:ilvl="6" w:tplc="04050001">
      <w:start w:val="1"/>
      <w:numFmt w:val="bullet"/>
      <w:lvlText w:val=""/>
      <w:lvlJc w:val="left"/>
      <w:pPr>
        <w:ind w:left="6401" w:hanging="360"/>
      </w:pPr>
      <w:rPr>
        <w:rFonts w:ascii="Symbol" w:hAnsi="Symbol" w:cs="Symbol" w:hint="default"/>
      </w:rPr>
    </w:lvl>
    <w:lvl w:ilvl="7" w:tplc="04050003">
      <w:start w:val="1"/>
      <w:numFmt w:val="bullet"/>
      <w:lvlText w:val="o"/>
      <w:lvlJc w:val="left"/>
      <w:pPr>
        <w:ind w:left="7121" w:hanging="360"/>
      </w:pPr>
      <w:rPr>
        <w:rFonts w:ascii="Courier New" w:hAnsi="Courier New" w:cs="Courier New" w:hint="default"/>
      </w:rPr>
    </w:lvl>
    <w:lvl w:ilvl="8" w:tplc="04050005">
      <w:start w:val="1"/>
      <w:numFmt w:val="bullet"/>
      <w:lvlText w:val=""/>
      <w:lvlJc w:val="left"/>
      <w:pPr>
        <w:ind w:left="7841" w:hanging="360"/>
      </w:pPr>
      <w:rPr>
        <w:rFonts w:ascii="Wingdings" w:hAnsi="Wingdings" w:cs="Wingdings" w:hint="default"/>
      </w:rPr>
    </w:lvl>
  </w:abstractNum>
  <w:abstractNum w:abstractNumId="3">
    <w:nsid w:val="408605EC"/>
    <w:multiLevelType w:val="hybridMultilevel"/>
    <w:tmpl w:val="9E780274"/>
    <w:lvl w:ilvl="0" w:tplc="041B000F">
      <w:start w:val="1"/>
      <w:numFmt w:val="decimal"/>
      <w:lvlText w:val="%1."/>
      <w:lvlJc w:val="left"/>
      <w:pPr>
        <w:tabs>
          <w:tab w:val="num" w:pos="720"/>
        </w:tabs>
        <w:ind w:left="720" w:hanging="360"/>
      </w:pPr>
      <w:rPr>
        <w:rFonts w:ascii="Times New Roman" w:hAnsi="Times New Roman" w:cs="Times New Roman" w:hint="default"/>
      </w:rPr>
    </w:lvl>
    <w:lvl w:ilvl="1" w:tplc="6A2C9AC4">
      <w:start w:val="221"/>
      <w:numFmt w:val="decimal"/>
      <w:lvlText w:val="%2"/>
      <w:lvlJc w:val="left"/>
      <w:pPr>
        <w:tabs>
          <w:tab w:val="num" w:pos="3210"/>
        </w:tabs>
        <w:ind w:left="3210" w:hanging="2130"/>
      </w:pPr>
      <w:rPr>
        <w:rFonts w:ascii="Times New Roman" w:hAnsi="Times New Roman" w:cs="Times New Roman" w:hint="default"/>
      </w:rPr>
    </w:lvl>
    <w:lvl w:ilvl="2" w:tplc="041B001B">
      <w:start w:val="1"/>
      <w:numFmt w:val="lowerRoman"/>
      <w:lvlText w:val="%3."/>
      <w:lvlJc w:val="right"/>
      <w:pPr>
        <w:tabs>
          <w:tab w:val="num" w:pos="2160"/>
        </w:tabs>
        <w:ind w:left="2160" w:hanging="180"/>
      </w:pPr>
      <w:rPr>
        <w:rFonts w:ascii="Times New Roman" w:hAnsi="Times New Roman" w:cs="Times New Roman"/>
      </w:rPr>
    </w:lvl>
    <w:lvl w:ilvl="3" w:tplc="041B000F">
      <w:start w:val="1"/>
      <w:numFmt w:val="decimal"/>
      <w:lvlText w:val="%4."/>
      <w:lvlJc w:val="left"/>
      <w:pPr>
        <w:tabs>
          <w:tab w:val="num" w:pos="2880"/>
        </w:tabs>
        <w:ind w:left="2880" w:hanging="360"/>
      </w:pPr>
      <w:rPr>
        <w:rFonts w:ascii="Times New Roman" w:hAnsi="Times New Roman" w:cs="Times New Roman"/>
      </w:rPr>
    </w:lvl>
    <w:lvl w:ilvl="4" w:tplc="041B0019">
      <w:start w:val="1"/>
      <w:numFmt w:val="lowerLetter"/>
      <w:lvlText w:val="%5."/>
      <w:lvlJc w:val="left"/>
      <w:pPr>
        <w:tabs>
          <w:tab w:val="num" w:pos="3600"/>
        </w:tabs>
        <w:ind w:left="3600" w:hanging="360"/>
      </w:pPr>
      <w:rPr>
        <w:rFonts w:ascii="Times New Roman" w:hAnsi="Times New Roman" w:cs="Times New Roman"/>
      </w:rPr>
    </w:lvl>
    <w:lvl w:ilvl="5" w:tplc="041B001B">
      <w:start w:val="1"/>
      <w:numFmt w:val="lowerRoman"/>
      <w:lvlText w:val="%6."/>
      <w:lvlJc w:val="right"/>
      <w:pPr>
        <w:tabs>
          <w:tab w:val="num" w:pos="4320"/>
        </w:tabs>
        <w:ind w:left="4320" w:hanging="180"/>
      </w:pPr>
      <w:rPr>
        <w:rFonts w:ascii="Times New Roman" w:hAnsi="Times New Roman" w:cs="Times New Roman"/>
      </w:rPr>
    </w:lvl>
    <w:lvl w:ilvl="6" w:tplc="041B000F">
      <w:start w:val="1"/>
      <w:numFmt w:val="decimal"/>
      <w:lvlText w:val="%7."/>
      <w:lvlJc w:val="left"/>
      <w:pPr>
        <w:tabs>
          <w:tab w:val="num" w:pos="5040"/>
        </w:tabs>
        <w:ind w:left="5040" w:hanging="360"/>
      </w:pPr>
      <w:rPr>
        <w:rFonts w:ascii="Times New Roman" w:hAnsi="Times New Roman" w:cs="Times New Roman"/>
      </w:rPr>
    </w:lvl>
    <w:lvl w:ilvl="7" w:tplc="041B0019">
      <w:start w:val="1"/>
      <w:numFmt w:val="lowerLetter"/>
      <w:lvlText w:val="%8."/>
      <w:lvlJc w:val="left"/>
      <w:pPr>
        <w:tabs>
          <w:tab w:val="num" w:pos="5760"/>
        </w:tabs>
        <w:ind w:left="5760" w:hanging="360"/>
      </w:pPr>
      <w:rPr>
        <w:rFonts w:ascii="Times New Roman" w:hAnsi="Times New Roman" w:cs="Times New Roman"/>
      </w:rPr>
    </w:lvl>
    <w:lvl w:ilvl="8" w:tplc="041B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493E08CA"/>
    <w:multiLevelType w:val="hybridMultilevel"/>
    <w:tmpl w:val="A300E0A4"/>
    <w:lvl w:ilvl="0" w:tplc="E948F5A4">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6A4B1FEA"/>
    <w:multiLevelType w:val="hybridMultilevel"/>
    <w:tmpl w:val="6EA89AD4"/>
    <w:lvl w:ilvl="0" w:tplc="0A04777C">
      <w:start w:val="5"/>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6CEF68F0"/>
    <w:multiLevelType w:val="hybridMultilevel"/>
    <w:tmpl w:val="1A9879E6"/>
    <w:lvl w:ilvl="0" w:tplc="B142AF12">
      <w:start w:val="1"/>
      <w:numFmt w:val="bullet"/>
      <w:pStyle w:val="Odrka1stupn"/>
      <w:lvlText w:val="-"/>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7">
    <w:nsid w:val="736C5312"/>
    <w:multiLevelType w:val="multilevel"/>
    <w:tmpl w:val="75BE90AC"/>
    <w:lvl w:ilvl="0">
      <w:start w:val="1"/>
      <w:numFmt w:val="decimal"/>
      <w:pStyle w:val="Nadpis1"/>
      <w:lvlText w:val="%1"/>
      <w:lvlJc w:val="left"/>
      <w:pPr>
        <w:ind w:left="360" w:hanging="360"/>
      </w:pPr>
      <w:rPr>
        <w:rFonts w:ascii="Times New Roman" w:hAnsi="Times New Roman" w:cs="Times New Roman" w:hint="default"/>
      </w:rPr>
    </w:lvl>
    <w:lvl w:ilvl="1">
      <w:start w:val="1"/>
      <w:numFmt w:val="decimal"/>
      <w:pStyle w:val="Nadpis2"/>
      <w:lvlText w:val="%1.%2"/>
      <w:lvlJc w:val="left"/>
      <w:pPr>
        <w:ind w:left="576" w:hanging="576"/>
      </w:pPr>
      <w:rPr>
        <w:rFonts w:ascii="Times New Roman" w:hAnsi="Times New Roman" w:cs="Times New Roman"/>
      </w:rPr>
    </w:lvl>
    <w:lvl w:ilvl="2">
      <w:start w:val="1"/>
      <w:numFmt w:val="decimal"/>
      <w:pStyle w:val="Nadpis3"/>
      <w:lvlText w:val="%1.%2.%3"/>
      <w:lvlJc w:val="left"/>
      <w:pPr>
        <w:ind w:left="720" w:hanging="720"/>
      </w:pPr>
      <w:rPr>
        <w:rFonts w:ascii="Times New Roman" w:hAnsi="Times New Roman" w:cs="Times New Roman"/>
      </w:rPr>
    </w:lvl>
    <w:lvl w:ilvl="3">
      <w:start w:val="1"/>
      <w:numFmt w:val="decimal"/>
      <w:pStyle w:val="Nadpis4"/>
      <w:lvlText w:val="%1.%2.%3.%4"/>
      <w:lvlJc w:val="left"/>
      <w:pPr>
        <w:ind w:left="864" w:hanging="864"/>
      </w:pPr>
      <w:rPr>
        <w:rFonts w:ascii="Times New Roman" w:hAnsi="Times New Roman" w:cs="Times New Roman"/>
      </w:rPr>
    </w:lvl>
    <w:lvl w:ilvl="4">
      <w:start w:val="1"/>
      <w:numFmt w:val="decimal"/>
      <w:pStyle w:val="Nadpis5"/>
      <w:lvlText w:val="%1.%2.%3.%4.%5"/>
      <w:lvlJc w:val="left"/>
      <w:pPr>
        <w:ind w:left="1008" w:hanging="1008"/>
      </w:pPr>
      <w:rPr>
        <w:rFonts w:ascii="Times New Roman" w:hAnsi="Times New Roman" w:cs="Times New Roman"/>
      </w:rPr>
    </w:lvl>
    <w:lvl w:ilvl="5">
      <w:start w:val="1"/>
      <w:numFmt w:val="decimal"/>
      <w:pStyle w:val="Nadpis6"/>
      <w:lvlText w:val="%1.%2.%3.%4.%5.%6"/>
      <w:lvlJc w:val="left"/>
      <w:pPr>
        <w:ind w:left="1152" w:hanging="1152"/>
      </w:pPr>
      <w:rPr>
        <w:rFonts w:ascii="Times New Roman" w:hAnsi="Times New Roman" w:cs="Times New Roman"/>
      </w:rPr>
    </w:lvl>
    <w:lvl w:ilvl="6">
      <w:start w:val="1"/>
      <w:numFmt w:val="decimal"/>
      <w:pStyle w:val="Nadpis7"/>
      <w:lvlText w:val="%1.%2.%3.%4.%5.%6.%7"/>
      <w:lvlJc w:val="left"/>
      <w:pPr>
        <w:ind w:left="1296" w:hanging="1296"/>
      </w:pPr>
      <w:rPr>
        <w:rFonts w:ascii="Times New Roman" w:hAnsi="Times New Roman" w:cs="Times New Roman"/>
      </w:rPr>
    </w:lvl>
    <w:lvl w:ilvl="7">
      <w:start w:val="1"/>
      <w:numFmt w:val="decimal"/>
      <w:pStyle w:val="Nadpis8"/>
      <w:lvlText w:val="%1.%2.%3.%4.%5.%6.%7.%8"/>
      <w:lvlJc w:val="left"/>
      <w:pPr>
        <w:ind w:left="1440" w:hanging="1440"/>
      </w:pPr>
      <w:rPr>
        <w:rFonts w:ascii="Times New Roman" w:hAnsi="Times New Roman" w:cs="Times New Roman"/>
      </w:rPr>
    </w:lvl>
    <w:lvl w:ilvl="8">
      <w:start w:val="1"/>
      <w:numFmt w:val="decimal"/>
      <w:pStyle w:val="Nadpis9"/>
      <w:lvlText w:val="%1.%2.%3.%4.%5.%6.%7.%8.%9"/>
      <w:lvlJc w:val="left"/>
      <w:pPr>
        <w:ind w:left="1584" w:hanging="1584"/>
      </w:pPr>
      <w:rPr>
        <w:rFonts w:ascii="Times New Roman" w:hAnsi="Times New Roman" w:cs="Times New Roman"/>
      </w:rPr>
    </w:lvl>
  </w:abstractNum>
  <w:num w:numId="1">
    <w:abstractNumId w:val="6"/>
  </w:num>
  <w:num w:numId="2">
    <w:abstractNumId w:val="1"/>
  </w:num>
  <w:num w:numId="3">
    <w:abstractNumId w:val="2"/>
  </w:num>
  <w:num w:numId="4">
    <w:abstractNumId w:val="7"/>
  </w:num>
  <w:num w:numId="5">
    <w:abstractNumId w:val="0"/>
  </w:num>
  <w:num w:numId="6">
    <w:abstractNumId w:val="3"/>
  </w:num>
  <w:num w:numId="7">
    <w:abstractNumId w:val="4"/>
  </w:num>
  <w:num w:numId="8">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9"/>
  <w:hyphenationZone w:val="425"/>
  <w:doNotHyphenateCaps/>
  <w:drawingGridHorizontalSpacing w:val="120"/>
  <w:drawingGridVerticalSpacing w:val="181"/>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rsids>
    <w:rsidRoot w:val="0042464E"/>
    <w:rsid w:val="00017977"/>
    <w:rsid w:val="000208E3"/>
    <w:rsid w:val="000222ED"/>
    <w:rsid w:val="00046291"/>
    <w:rsid w:val="0005179D"/>
    <w:rsid w:val="00062127"/>
    <w:rsid w:val="00072D25"/>
    <w:rsid w:val="00073682"/>
    <w:rsid w:val="00081131"/>
    <w:rsid w:val="00082B24"/>
    <w:rsid w:val="000831E2"/>
    <w:rsid w:val="00094314"/>
    <w:rsid w:val="000B6D96"/>
    <w:rsid w:val="000F7C35"/>
    <w:rsid w:val="001219C2"/>
    <w:rsid w:val="00123201"/>
    <w:rsid w:val="00134F29"/>
    <w:rsid w:val="001409A9"/>
    <w:rsid w:val="0015318C"/>
    <w:rsid w:val="0016393E"/>
    <w:rsid w:val="001765CE"/>
    <w:rsid w:val="001827B7"/>
    <w:rsid w:val="001865E2"/>
    <w:rsid w:val="001B111C"/>
    <w:rsid w:val="001B216C"/>
    <w:rsid w:val="001B4F38"/>
    <w:rsid w:val="001B5405"/>
    <w:rsid w:val="001D1F56"/>
    <w:rsid w:val="001E4713"/>
    <w:rsid w:val="002038B1"/>
    <w:rsid w:val="00205FEA"/>
    <w:rsid w:val="00212FF8"/>
    <w:rsid w:val="002150A0"/>
    <w:rsid w:val="0021510E"/>
    <w:rsid w:val="00223FF5"/>
    <w:rsid w:val="002315D1"/>
    <w:rsid w:val="0023218F"/>
    <w:rsid w:val="00235A2F"/>
    <w:rsid w:val="00260831"/>
    <w:rsid w:val="00267C2B"/>
    <w:rsid w:val="0028152F"/>
    <w:rsid w:val="002A48F1"/>
    <w:rsid w:val="002B1ADD"/>
    <w:rsid w:val="002B2B08"/>
    <w:rsid w:val="002F35FF"/>
    <w:rsid w:val="00321116"/>
    <w:rsid w:val="00350F00"/>
    <w:rsid w:val="003559E5"/>
    <w:rsid w:val="00376951"/>
    <w:rsid w:val="00385F39"/>
    <w:rsid w:val="003946C6"/>
    <w:rsid w:val="003B39A0"/>
    <w:rsid w:val="003B3BA3"/>
    <w:rsid w:val="003D5194"/>
    <w:rsid w:val="003D62F9"/>
    <w:rsid w:val="003E4277"/>
    <w:rsid w:val="003E4C2B"/>
    <w:rsid w:val="003F3885"/>
    <w:rsid w:val="003F67CA"/>
    <w:rsid w:val="00405F9F"/>
    <w:rsid w:val="004079BD"/>
    <w:rsid w:val="0042464E"/>
    <w:rsid w:val="00431921"/>
    <w:rsid w:val="00434BF2"/>
    <w:rsid w:val="004426F5"/>
    <w:rsid w:val="00443AA1"/>
    <w:rsid w:val="00447D54"/>
    <w:rsid w:val="0046564B"/>
    <w:rsid w:val="00467FE0"/>
    <w:rsid w:val="00470C13"/>
    <w:rsid w:val="00482693"/>
    <w:rsid w:val="004A0872"/>
    <w:rsid w:val="004B152A"/>
    <w:rsid w:val="004B2DCA"/>
    <w:rsid w:val="004F1F0C"/>
    <w:rsid w:val="004F56BC"/>
    <w:rsid w:val="005251FE"/>
    <w:rsid w:val="00525960"/>
    <w:rsid w:val="005263B7"/>
    <w:rsid w:val="00540B4E"/>
    <w:rsid w:val="00565246"/>
    <w:rsid w:val="00575C43"/>
    <w:rsid w:val="005A7F90"/>
    <w:rsid w:val="005D4FF0"/>
    <w:rsid w:val="005E29CE"/>
    <w:rsid w:val="005F1C10"/>
    <w:rsid w:val="005F3668"/>
    <w:rsid w:val="00605B2D"/>
    <w:rsid w:val="00606A50"/>
    <w:rsid w:val="00620196"/>
    <w:rsid w:val="006361DD"/>
    <w:rsid w:val="00642BA2"/>
    <w:rsid w:val="00657A77"/>
    <w:rsid w:val="006638AE"/>
    <w:rsid w:val="00672D78"/>
    <w:rsid w:val="00691BEA"/>
    <w:rsid w:val="006A18D9"/>
    <w:rsid w:val="006B21EB"/>
    <w:rsid w:val="006C5DE7"/>
    <w:rsid w:val="006D70A9"/>
    <w:rsid w:val="006E7485"/>
    <w:rsid w:val="007002EC"/>
    <w:rsid w:val="00733C19"/>
    <w:rsid w:val="0074270F"/>
    <w:rsid w:val="007767B8"/>
    <w:rsid w:val="00796D29"/>
    <w:rsid w:val="007B550D"/>
    <w:rsid w:val="007C3953"/>
    <w:rsid w:val="007C7FF6"/>
    <w:rsid w:val="007D610F"/>
    <w:rsid w:val="007E1F29"/>
    <w:rsid w:val="00807E9B"/>
    <w:rsid w:val="00813676"/>
    <w:rsid w:val="00822B70"/>
    <w:rsid w:val="0083744F"/>
    <w:rsid w:val="0085202F"/>
    <w:rsid w:val="0086338E"/>
    <w:rsid w:val="00874ADD"/>
    <w:rsid w:val="00882FA2"/>
    <w:rsid w:val="008A1EF1"/>
    <w:rsid w:val="008A233C"/>
    <w:rsid w:val="008B351E"/>
    <w:rsid w:val="008C2AC6"/>
    <w:rsid w:val="008C3AEF"/>
    <w:rsid w:val="008C4CBA"/>
    <w:rsid w:val="009055F8"/>
    <w:rsid w:val="00905E7E"/>
    <w:rsid w:val="00910E28"/>
    <w:rsid w:val="00914F4B"/>
    <w:rsid w:val="009306D7"/>
    <w:rsid w:val="0095711B"/>
    <w:rsid w:val="009622DB"/>
    <w:rsid w:val="00974F6E"/>
    <w:rsid w:val="009A7705"/>
    <w:rsid w:val="009D26F0"/>
    <w:rsid w:val="009E0403"/>
    <w:rsid w:val="009E0467"/>
    <w:rsid w:val="009E6A22"/>
    <w:rsid w:val="009F1AD5"/>
    <w:rsid w:val="00A017C8"/>
    <w:rsid w:val="00A053DF"/>
    <w:rsid w:val="00A1350A"/>
    <w:rsid w:val="00A33192"/>
    <w:rsid w:val="00A339A9"/>
    <w:rsid w:val="00A5660C"/>
    <w:rsid w:val="00A61742"/>
    <w:rsid w:val="00A8220A"/>
    <w:rsid w:val="00A86B2F"/>
    <w:rsid w:val="00A96123"/>
    <w:rsid w:val="00A964F4"/>
    <w:rsid w:val="00AA3402"/>
    <w:rsid w:val="00AA6709"/>
    <w:rsid w:val="00AB0479"/>
    <w:rsid w:val="00AC1702"/>
    <w:rsid w:val="00AC76EE"/>
    <w:rsid w:val="00B02BEE"/>
    <w:rsid w:val="00B26DD1"/>
    <w:rsid w:val="00B301B9"/>
    <w:rsid w:val="00B32A81"/>
    <w:rsid w:val="00B330DE"/>
    <w:rsid w:val="00B445A9"/>
    <w:rsid w:val="00B60CC9"/>
    <w:rsid w:val="00B62B4D"/>
    <w:rsid w:val="00B71D86"/>
    <w:rsid w:val="00B81A35"/>
    <w:rsid w:val="00B94AE8"/>
    <w:rsid w:val="00B95A3C"/>
    <w:rsid w:val="00BD14CF"/>
    <w:rsid w:val="00BE3E52"/>
    <w:rsid w:val="00BF2F35"/>
    <w:rsid w:val="00BF344B"/>
    <w:rsid w:val="00C00904"/>
    <w:rsid w:val="00C03F3A"/>
    <w:rsid w:val="00C05084"/>
    <w:rsid w:val="00C17532"/>
    <w:rsid w:val="00C17FC9"/>
    <w:rsid w:val="00C93EDF"/>
    <w:rsid w:val="00CA1FBD"/>
    <w:rsid w:val="00CE7DB8"/>
    <w:rsid w:val="00D14F8D"/>
    <w:rsid w:val="00D31FA9"/>
    <w:rsid w:val="00D37F1E"/>
    <w:rsid w:val="00D6483D"/>
    <w:rsid w:val="00D77289"/>
    <w:rsid w:val="00D94BFC"/>
    <w:rsid w:val="00D94E9B"/>
    <w:rsid w:val="00DA75A3"/>
    <w:rsid w:val="00DB5AFA"/>
    <w:rsid w:val="00DC12B8"/>
    <w:rsid w:val="00DC242D"/>
    <w:rsid w:val="00DC2921"/>
    <w:rsid w:val="00DC6AB0"/>
    <w:rsid w:val="00DD40DB"/>
    <w:rsid w:val="00DD7AE5"/>
    <w:rsid w:val="00DE70AA"/>
    <w:rsid w:val="00E11001"/>
    <w:rsid w:val="00E124B1"/>
    <w:rsid w:val="00E40472"/>
    <w:rsid w:val="00E46F3D"/>
    <w:rsid w:val="00E50142"/>
    <w:rsid w:val="00E66B87"/>
    <w:rsid w:val="00EC44B7"/>
    <w:rsid w:val="00EC55E6"/>
    <w:rsid w:val="00EE5688"/>
    <w:rsid w:val="00EF4EE0"/>
    <w:rsid w:val="00EF74DA"/>
    <w:rsid w:val="00F03713"/>
    <w:rsid w:val="00F15407"/>
    <w:rsid w:val="00F15CCD"/>
    <w:rsid w:val="00F21555"/>
    <w:rsid w:val="00F24036"/>
    <w:rsid w:val="00F31299"/>
    <w:rsid w:val="00F3337E"/>
    <w:rsid w:val="00F3559E"/>
    <w:rsid w:val="00F555F0"/>
    <w:rsid w:val="00F857B3"/>
    <w:rsid w:val="00F9401F"/>
    <w:rsid w:val="00F959ED"/>
    <w:rsid w:val="00FA5187"/>
    <w:rsid w:val="00FA6789"/>
    <w:rsid w:val="00FD6CB2"/>
    <w:rsid w:val="00FE18D8"/>
    <w:rsid w:val="00FE65E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k-SK" w:eastAsia="sk-S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0"/>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3" w:unhideWhenUsed="1"/>
    <w:lsdException w:name="Block Text" w:unhideWhenUsed="1"/>
    <w:lsdException w:name="FollowedHyperlink"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ln">
    <w:name w:val="Normal"/>
    <w:qFormat/>
    <w:rsid w:val="0085202F"/>
    <w:pPr>
      <w:spacing w:after="240" w:line="360" w:lineRule="auto"/>
      <w:jc w:val="both"/>
    </w:pPr>
    <w:rPr>
      <w:rFonts w:ascii="Times New Roman" w:hAnsi="Times New Roman"/>
      <w:sz w:val="24"/>
      <w:szCs w:val="24"/>
      <w:lang w:eastAsia="cs-CZ"/>
    </w:rPr>
  </w:style>
  <w:style w:type="paragraph" w:styleId="Nadpis1">
    <w:name w:val="heading 1"/>
    <w:basedOn w:val="Normln"/>
    <w:next w:val="Nadpis2"/>
    <w:link w:val="Nadpis1Char"/>
    <w:uiPriority w:val="99"/>
    <w:qFormat/>
    <w:rsid w:val="0085202F"/>
    <w:pPr>
      <w:keepNext/>
      <w:numPr>
        <w:numId w:val="4"/>
      </w:numPr>
      <w:ind w:left="357" w:hanging="357"/>
      <w:jc w:val="left"/>
      <w:outlineLvl w:val="0"/>
    </w:pPr>
    <w:rPr>
      <w:b/>
      <w:bCs/>
      <w:sz w:val="32"/>
      <w:szCs w:val="32"/>
    </w:rPr>
  </w:style>
  <w:style w:type="paragraph" w:styleId="Nadpis2">
    <w:name w:val="heading 2"/>
    <w:basedOn w:val="Normln"/>
    <w:next w:val="Nadpis3"/>
    <w:link w:val="Nadpis2Char"/>
    <w:uiPriority w:val="99"/>
    <w:qFormat/>
    <w:rsid w:val="0085202F"/>
    <w:pPr>
      <w:keepNext/>
      <w:numPr>
        <w:ilvl w:val="1"/>
        <w:numId w:val="4"/>
      </w:numPr>
      <w:ind w:left="578" w:hanging="578"/>
      <w:jc w:val="left"/>
      <w:outlineLvl w:val="1"/>
    </w:pPr>
    <w:rPr>
      <w:b/>
      <w:bCs/>
      <w:sz w:val="28"/>
      <w:szCs w:val="28"/>
    </w:rPr>
  </w:style>
  <w:style w:type="paragraph" w:styleId="Nadpis3">
    <w:name w:val="heading 3"/>
    <w:basedOn w:val="Normln"/>
    <w:next w:val="Nadpis4"/>
    <w:link w:val="Nadpis3Char"/>
    <w:uiPriority w:val="99"/>
    <w:qFormat/>
    <w:rsid w:val="0085202F"/>
    <w:pPr>
      <w:keepNext/>
      <w:numPr>
        <w:ilvl w:val="2"/>
        <w:numId w:val="4"/>
      </w:numPr>
      <w:tabs>
        <w:tab w:val="left" w:pos="1304"/>
        <w:tab w:val="left" w:pos="1361"/>
      </w:tabs>
      <w:jc w:val="left"/>
      <w:outlineLvl w:val="2"/>
    </w:pPr>
    <w:rPr>
      <w:rFonts w:ascii="Arial" w:hAnsi="Arial" w:cs="Arial"/>
      <w:sz w:val="28"/>
      <w:szCs w:val="28"/>
    </w:rPr>
  </w:style>
  <w:style w:type="paragraph" w:styleId="Nadpis4">
    <w:name w:val="heading 4"/>
    <w:basedOn w:val="Normln"/>
    <w:next w:val="Nadpis5"/>
    <w:link w:val="Nadpis4Char"/>
    <w:uiPriority w:val="99"/>
    <w:qFormat/>
    <w:rsid w:val="0085202F"/>
    <w:pPr>
      <w:keepNext/>
      <w:numPr>
        <w:ilvl w:val="3"/>
        <w:numId w:val="4"/>
      </w:numPr>
      <w:ind w:left="862" w:hanging="862"/>
      <w:jc w:val="left"/>
      <w:outlineLvl w:val="3"/>
    </w:pPr>
    <w:rPr>
      <w:b/>
      <w:bCs/>
    </w:rPr>
  </w:style>
  <w:style w:type="paragraph" w:styleId="Nadpis5">
    <w:name w:val="heading 5"/>
    <w:basedOn w:val="Normln"/>
    <w:next w:val="Normln"/>
    <w:link w:val="Nadpis5Char"/>
    <w:uiPriority w:val="99"/>
    <w:qFormat/>
    <w:rsid w:val="0085202F"/>
    <w:pPr>
      <w:keepNext/>
      <w:numPr>
        <w:ilvl w:val="4"/>
        <w:numId w:val="4"/>
      </w:numPr>
      <w:spacing w:after="0"/>
      <w:ind w:left="1009" w:hanging="1009"/>
      <w:jc w:val="left"/>
      <w:outlineLvl w:val="4"/>
    </w:pPr>
  </w:style>
  <w:style w:type="paragraph" w:styleId="Nadpis6">
    <w:name w:val="heading 6"/>
    <w:aliases w:val="Nadpis obrázku"/>
    <w:basedOn w:val="Normln"/>
    <w:next w:val="Normln"/>
    <w:link w:val="Nadpis6Char"/>
    <w:uiPriority w:val="99"/>
    <w:qFormat/>
    <w:rsid w:val="0085202F"/>
    <w:pPr>
      <w:keepNext/>
      <w:numPr>
        <w:ilvl w:val="5"/>
        <w:numId w:val="4"/>
      </w:numPr>
      <w:jc w:val="center"/>
      <w:outlineLvl w:val="5"/>
    </w:pPr>
    <w:rPr>
      <w:b/>
      <w:bCs/>
    </w:rPr>
  </w:style>
  <w:style w:type="paragraph" w:styleId="Nadpis7">
    <w:name w:val="heading 7"/>
    <w:basedOn w:val="Normln"/>
    <w:next w:val="Normln"/>
    <w:link w:val="Nadpis7Char"/>
    <w:uiPriority w:val="99"/>
    <w:qFormat/>
    <w:rsid w:val="0085202F"/>
    <w:pPr>
      <w:keepNext/>
      <w:numPr>
        <w:ilvl w:val="6"/>
        <w:numId w:val="4"/>
      </w:numPr>
      <w:jc w:val="center"/>
      <w:outlineLvl w:val="6"/>
    </w:pPr>
  </w:style>
  <w:style w:type="paragraph" w:styleId="Nadpis8">
    <w:name w:val="heading 8"/>
    <w:basedOn w:val="Normln"/>
    <w:next w:val="Normln"/>
    <w:link w:val="Nadpis8Char"/>
    <w:uiPriority w:val="99"/>
    <w:qFormat/>
    <w:rsid w:val="0085202F"/>
    <w:pPr>
      <w:keepNext/>
      <w:keepLines/>
      <w:numPr>
        <w:ilvl w:val="7"/>
        <w:numId w:val="4"/>
      </w:numPr>
      <w:spacing w:before="200" w:after="0"/>
      <w:outlineLvl w:val="7"/>
    </w:pPr>
    <w:rPr>
      <w:rFonts w:ascii="Cambria" w:hAnsi="Cambria" w:cs="Cambria"/>
      <w:sz w:val="20"/>
      <w:szCs w:val="20"/>
    </w:rPr>
  </w:style>
  <w:style w:type="paragraph" w:styleId="Nadpis9">
    <w:name w:val="heading 9"/>
    <w:basedOn w:val="Normln"/>
    <w:next w:val="Normln"/>
    <w:link w:val="Nadpis9Char"/>
    <w:uiPriority w:val="99"/>
    <w:qFormat/>
    <w:rsid w:val="0085202F"/>
    <w:pPr>
      <w:keepNext/>
      <w:keepLines/>
      <w:numPr>
        <w:ilvl w:val="8"/>
        <w:numId w:val="4"/>
      </w:numPr>
      <w:spacing w:before="200" w:after="0"/>
      <w:outlineLvl w:val="8"/>
    </w:pPr>
    <w:rPr>
      <w:rFonts w:ascii="Cambria" w:hAnsi="Cambria" w:cs="Cambria"/>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85202F"/>
    <w:rPr>
      <w:rFonts w:ascii="Times New Roman" w:hAnsi="Times New Roman"/>
      <w:b/>
      <w:bCs/>
      <w:sz w:val="32"/>
      <w:szCs w:val="32"/>
      <w:lang w:val="cs-CZ" w:eastAsia="cs-CZ"/>
    </w:rPr>
  </w:style>
  <w:style w:type="character" w:customStyle="1" w:styleId="Nadpis2Char">
    <w:name w:val="Nadpis 2 Char"/>
    <w:basedOn w:val="Standardnpsmoodstavce"/>
    <w:link w:val="Nadpis2"/>
    <w:uiPriority w:val="99"/>
    <w:rsid w:val="0085202F"/>
    <w:rPr>
      <w:rFonts w:ascii="Times New Roman" w:hAnsi="Times New Roman"/>
      <w:b/>
      <w:bCs/>
      <w:sz w:val="28"/>
      <w:szCs w:val="28"/>
      <w:lang w:val="cs-CZ" w:eastAsia="cs-CZ"/>
    </w:rPr>
  </w:style>
  <w:style w:type="character" w:customStyle="1" w:styleId="Nadpis3Char">
    <w:name w:val="Nadpis 3 Char"/>
    <w:basedOn w:val="Standardnpsmoodstavce"/>
    <w:link w:val="Nadpis3"/>
    <w:uiPriority w:val="99"/>
    <w:rsid w:val="0085202F"/>
    <w:rPr>
      <w:rFonts w:ascii="Arial" w:hAnsi="Arial" w:cs="Arial"/>
      <w:sz w:val="28"/>
      <w:szCs w:val="28"/>
      <w:lang w:val="cs-CZ" w:eastAsia="cs-CZ"/>
    </w:rPr>
  </w:style>
  <w:style w:type="character" w:customStyle="1" w:styleId="Nadpis4Char">
    <w:name w:val="Nadpis 4 Char"/>
    <w:basedOn w:val="Standardnpsmoodstavce"/>
    <w:link w:val="Nadpis4"/>
    <w:uiPriority w:val="99"/>
    <w:rsid w:val="0085202F"/>
    <w:rPr>
      <w:rFonts w:ascii="Times New Roman" w:hAnsi="Times New Roman"/>
      <w:b/>
      <w:bCs/>
      <w:sz w:val="24"/>
      <w:szCs w:val="24"/>
      <w:lang w:val="cs-CZ" w:eastAsia="cs-CZ"/>
    </w:rPr>
  </w:style>
  <w:style w:type="character" w:customStyle="1" w:styleId="Nadpis5Char">
    <w:name w:val="Nadpis 5 Char"/>
    <w:basedOn w:val="Standardnpsmoodstavce"/>
    <w:link w:val="Nadpis5"/>
    <w:uiPriority w:val="99"/>
    <w:rsid w:val="0085202F"/>
    <w:rPr>
      <w:rFonts w:ascii="Times New Roman" w:hAnsi="Times New Roman"/>
      <w:sz w:val="24"/>
      <w:szCs w:val="24"/>
      <w:lang w:val="cs-CZ" w:eastAsia="cs-CZ"/>
    </w:rPr>
  </w:style>
  <w:style w:type="character" w:customStyle="1" w:styleId="Nadpis6Char">
    <w:name w:val="Nadpis 6 Char"/>
    <w:aliases w:val="Nadpis obrázku Char"/>
    <w:basedOn w:val="Standardnpsmoodstavce"/>
    <w:link w:val="Nadpis6"/>
    <w:uiPriority w:val="99"/>
    <w:rsid w:val="0085202F"/>
    <w:rPr>
      <w:rFonts w:ascii="Times New Roman" w:hAnsi="Times New Roman"/>
      <w:b/>
      <w:bCs/>
      <w:sz w:val="24"/>
      <w:szCs w:val="24"/>
      <w:lang w:val="cs-CZ" w:eastAsia="cs-CZ"/>
    </w:rPr>
  </w:style>
  <w:style w:type="character" w:customStyle="1" w:styleId="Nadpis7Char">
    <w:name w:val="Nadpis 7 Char"/>
    <w:basedOn w:val="Standardnpsmoodstavce"/>
    <w:link w:val="Nadpis7"/>
    <w:uiPriority w:val="99"/>
    <w:rsid w:val="0085202F"/>
    <w:rPr>
      <w:rFonts w:ascii="Times New Roman" w:hAnsi="Times New Roman"/>
      <w:sz w:val="24"/>
      <w:szCs w:val="24"/>
      <w:lang w:val="cs-CZ" w:eastAsia="cs-CZ"/>
    </w:rPr>
  </w:style>
  <w:style w:type="character" w:customStyle="1" w:styleId="Nadpis8Char">
    <w:name w:val="Nadpis 8 Char"/>
    <w:basedOn w:val="Standardnpsmoodstavce"/>
    <w:link w:val="Nadpis8"/>
    <w:uiPriority w:val="99"/>
    <w:rsid w:val="0085202F"/>
    <w:rPr>
      <w:rFonts w:ascii="Cambria" w:hAnsi="Cambria" w:cs="Cambria"/>
      <w:lang w:val="cs-CZ" w:eastAsia="cs-CZ"/>
    </w:rPr>
  </w:style>
  <w:style w:type="character" w:customStyle="1" w:styleId="Nadpis9Char">
    <w:name w:val="Nadpis 9 Char"/>
    <w:basedOn w:val="Standardnpsmoodstavce"/>
    <w:link w:val="Nadpis9"/>
    <w:uiPriority w:val="99"/>
    <w:rsid w:val="0085202F"/>
    <w:rPr>
      <w:rFonts w:ascii="Cambria" w:hAnsi="Cambria" w:cs="Cambria"/>
      <w:i/>
      <w:iCs/>
      <w:lang w:val="cs-CZ" w:eastAsia="cs-CZ"/>
    </w:rPr>
  </w:style>
  <w:style w:type="paragraph" w:customStyle="1" w:styleId="Textodstavce">
    <w:name w:val="Text odstavce"/>
    <w:basedOn w:val="Normln"/>
    <w:rsid w:val="0085202F"/>
  </w:style>
  <w:style w:type="character" w:customStyle="1" w:styleId="TextodstavceChar">
    <w:name w:val="Text odstavce Char"/>
    <w:basedOn w:val="Standardnpsmoodstavce"/>
    <w:uiPriority w:val="99"/>
    <w:rsid w:val="0085202F"/>
    <w:rPr>
      <w:rFonts w:ascii="Times New Roman" w:hAnsi="Times New Roman" w:cs="Times New Roman"/>
      <w:sz w:val="24"/>
      <w:szCs w:val="24"/>
    </w:rPr>
  </w:style>
  <w:style w:type="paragraph" w:styleId="Textpoznpodarou">
    <w:name w:val="footnote text"/>
    <w:aliases w:val="Text pozn. pod čarou Char Char Char Char,Text pozn. pod čarou Char Char Char"/>
    <w:basedOn w:val="Normln"/>
    <w:link w:val="TextpoznpodarouChar"/>
    <w:uiPriority w:val="99"/>
    <w:rsid w:val="0085202F"/>
    <w:pPr>
      <w:tabs>
        <w:tab w:val="left" w:pos="227"/>
      </w:tabs>
      <w:spacing w:after="0"/>
      <w:ind w:left="227" w:hanging="227"/>
    </w:pPr>
    <w:rPr>
      <w:sz w:val="20"/>
      <w:szCs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rsid w:val="0085202F"/>
    <w:rPr>
      <w:rFonts w:ascii="Times New Roman" w:hAnsi="Times New Roman" w:cs="Times New Roman"/>
    </w:rPr>
  </w:style>
  <w:style w:type="character" w:styleId="Znakapoznpodarou">
    <w:name w:val="footnote reference"/>
    <w:basedOn w:val="Standardnpsmoodstavce"/>
    <w:rsid w:val="0085202F"/>
    <w:rPr>
      <w:rFonts w:ascii="Times New Roman" w:hAnsi="Times New Roman" w:cs="Times New Roman"/>
      <w:vertAlign w:val="superscript"/>
    </w:rPr>
  </w:style>
  <w:style w:type="paragraph" w:styleId="Zhlav">
    <w:name w:val="header"/>
    <w:basedOn w:val="Normln"/>
    <w:link w:val="ZhlavChar"/>
    <w:uiPriority w:val="99"/>
    <w:rsid w:val="0085202F"/>
    <w:pPr>
      <w:tabs>
        <w:tab w:val="center" w:pos="4536"/>
        <w:tab w:val="right" w:pos="9072"/>
      </w:tabs>
      <w:spacing w:after="0"/>
    </w:pPr>
  </w:style>
  <w:style w:type="character" w:customStyle="1" w:styleId="ZhlavChar">
    <w:name w:val="Záhlaví Char"/>
    <w:basedOn w:val="Standardnpsmoodstavce"/>
    <w:link w:val="Zhlav"/>
    <w:uiPriority w:val="99"/>
    <w:rsid w:val="0085202F"/>
    <w:rPr>
      <w:rFonts w:ascii="Times New Roman" w:hAnsi="Times New Roman" w:cs="Times New Roman"/>
      <w:sz w:val="24"/>
      <w:szCs w:val="24"/>
    </w:rPr>
  </w:style>
  <w:style w:type="paragraph" w:customStyle="1" w:styleId="Seznamtypa">
    <w:name w:val="Seznam typ=a"/>
    <w:basedOn w:val="Normln"/>
    <w:uiPriority w:val="99"/>
    <w:rsid w:val="0085202F"/>
    <w:pPr>
      <w:tabs>
        <w:tab w:val="num" w:pos="360"/>
      </w:tabs>
      <w:ind w:left="360" w:hanging="360"/>
    </w:pPr>
    <w:rPr>
      <w:lang w:eastAsia="en-US"/>
    </w:rPr>
  </w:style>
  <w:style w:type="paragraph" w:styleId="Seznam">
    <w:name w:val="List"/>
    <w:aliases w:val="číslovaný"/>
    <w:basedOn w:val="Normln"/>
    <w:uiPriority w:val="99"/>
    <w:rsid w:val="0085202F"/>
    <w:pPr>
      <w:tabs>
        <w:tab w:val="num" w:pos="360"/>
      </w:tabs>
      <w:ind w:left="357" w:hanging="357"/>
    </w:pPr>
  </w:style>
  <w:style w:type="character" w:styleId="slostrnky">
    <w:name w:val="page number"/>
    <w:basedOn w:val="Standardnpsmoodstavce"/>
    <w:uiPriority w:val="99"/>
    <w:rsid w:val="0085202F"/>
    <w:rPr>
      <w:rFonts w:ascii="Times New Roman" w:hAnsi="Times New Roman" w:cs="Times New Roman"/>
      <w:sz w:val="24"/>
      <w:szCs w:val="24"/>
    </w:rPr>
  </w:style>
  <w:style w:type="paragraph" w:customStyle="1" w:styleId="Tabulka-text">
    <w:name w:val="Tabulka - text"/>
    <w:basedOn w:val="Normln"/>
    <w:rsid w:val="0085202F"/>
    <w:pPr>
      <w:spacing w:after="0" w:line="240" w:lineRule="auto"/>
      <w:jc w:val="center"/>
    </w:pPr>
    <w:rPr>
      <w:sz w:val="22"/>
      <w:szCs w:val="22"/>
    </w:rPr>
  </w:style>
  <w:style w:type="paragraph" w:customStyle="1" w:styleId="Seznamliteratury">
    <w:name w:val="Seznam literatury"/>
    <w:basedOn w:val="Seznamtypa"/>
    <w:uiPriority w:val="99"/>
    <w:rsid w:val="0085202F"/>
    <w:pPr>
      <w:spacing w:after="0"/>
      <w:ind w:left="357" w:hanging="357"/>
    </w:pPr>
  </w:style>
  <w:style w:type="paragraph" w:customStyle="1" w:styleId="Tabulka">
    <w:name w:val="Tabulka"/>
    <w:aliases w:val="graf,obrázek - číslo"/>
    <w:basedOn w:val="Tabulka-text"/>
    <w:next w:val="Tabulka-text"/>
    <w:uiPriority w:val="99"/>
    <w:rsid w:val="0085202F"/>
    <w:pPr>
      <w:spacing w:before="360" w:after="120"/>
      <w:jc w:val="left"/>
    </w:pPr>
  </w:style>
  <w:style w:type="paragraph" w:styleId="Zpat">
    <w:name w:val="footer"/>
    <w:basedOn w:val="Normln"/>
    <w:link w:val="ZpatChar"/>
    <w:uiPriority w:val="99"/>
    <w:rsid w:val="0085202F"/>
    <w:pPr>
      <w:tabs>
        <w:tab w:val="center" w:pos="4536"/>
        <w:tab w:val="right" w:pos="9072"/>
      </w:tabs>
      <w:spacing w:after="0"/>
    </w:pPr>
  </w:style>
  <w:style w:type="character" w:customStyle="1" w:styleId="ZpatChar">
    <w:name w:val="Zápatí Char"/>
    <w:basedOn w:val="Standardnpsmoodstavce"/>
    <w:link w:val="Zpat"/>
    <w:uiPriority w:val="99"/>
    <w:rsid w:val="0085202F"/>
    <w:rPr>
      <w:rFonts w:ascii="Times New Roman" w:hAnsi="Times New Roman" w:cs="Times New Roman"/>
      <w:sz w:val="24"/>
      <w:szCs w:val="24"/>
    </w:rPr>
  </w:style>
  <w:style w:type="paragraph" w:customStyle="1" w:styleId="Tabulka-pramen">
    <w:name w:val="Tabulka - pramen"/>
    <w:aliases w:val="legenda"/>
    <w:basedOn w:val="Normln"/>
    <w:uiPriority w:val="99"/>
    <w:rsid w:val="0085202F"/>
    <w:pPr>
      <w:spacing w:before="120"/>
      <w:jc w:val="left"/>
    </w:pPr>
    <w:rPr>
      <w:sz w:val="22"/>
      <w:szCs w:val="22"/>
    </w:rPr>
  </w:style>
  <w:style w:type="paragraph" w:customStyle="1" w:styleId="Odstavecprograf">
    <w:name w:val="Odstavec pro graf"/>
    <w:basedOn w:val="Normln"/>
    <w:uiPriority w:val="99"/>
    <w:rsid w:val="0085202F"/>
    <w:rPr>
      <w:sz w:val="20"/>
      <w:szCs w:val="20"/>
    </w:rPr>
  </w:style>
  <w:style w:type="paragraph" w:customStyle="1" w:styleId="Odrka3stupn">
    <w:name w:val="Odrážka 3. stupně"/>
    <w:basedOn w:val="Normln"/>
    <w:uiPriority w:val="99"/>
    <w:rsid w:val="0085202F"/>
    <w:pPr>
      <w:numPr>
        <w:numId w:val="3"/>
      </w:numPr>
    </w:pPr>
  </w:style>
  <w:style w:type="paragraph" w:customStyle="1" w:styleId="Odrka1stupn">
    <w:name w:val="Odrážka 1. stupně"/>
    <w:basedOn w:val="Normln"/>
    <w:uiPriority w:val="99"/>
    <w:rsid w:val="0085202F"/>
    <w:pPr>
      <w:numPr>
        <w:numId w:val="1"/>
      </w:numPr>
      <w:spacing w:after="0"/>
      <w:ind w:left="1066" w:hanging="357"/>
    </w:pPr>
  </w:style>
  <w:style w:type="character" w:styleId="Zstupntext">
    <w:name w:val="Placeholder Text"/>
    <w:basedOn w:val="Standardnpsmoodstavce"/>
    <w:uiPriority w:val="99"/>
    <w:rsid w:val="0085202F"/>
    <w:rPr>
      <w:rFonts w:ascii="Times New Roman" w:hAnsi="Times New Roman" w:cs="Times New Roman"/>
      <w:color w:val="808080"/>
    </w:rPr>
  </w:style>
  <w:style w:type="character" w:styleId="Hypertextovodkaz">
    <w:name w:val="Hyperlink"/>
    <w:basedOn w:val="Standardnpsmoodstavce"/>
    <w:uiPriority w:val="99"/>
    <w:rsid w:val="0085202F"/>
    <w:rPr>
      <w:rFonts w:ascii="Times New Roman" w:hAnsi="Times New Roman" w:cs="Times New Roman"/>
      <w:color w:val="0000FF"/>
      <w:sz w:val="24"/>
      <w:szCs w:val="24"/>
      <w:u w:val="single"/>
    </w:rPr>
  </w:style>
  <w:style w:type="paragraph" w:customStyle="1" w:styleId="Zdroj">
    <w:name w:val="Zdroj"/>
    <w:basedOn w:val="Normln"/>
    <w:uiPriority w:val="99"/>
    <w:rsid w:val="0085202F"/>
    <w:pPr>
      <w:jc w:val="left"/>
    </w:pPr>
    <w:rPr>
      <w:sz w:val="20"/>
      <w:szCs w:val="20"/>
    </w:rPr>
  </w:style>
  <w:style w:type="paragraph" w:styleId="Textbubliny">
    <w:name w:val="Balloon Text"/>
    <w:basedOn w:val="Normln"/>
    <w:link w:val="TextbublinyChar"/>
    <w:uiPriority w:val="99"/>
    <w:rsid w:val="0085202F"/>
    <w:rPr>
      <w:rFonts w:ascii="Tahoma" w:hAnsi="Tahoma" w:cs="Tahoma"/>
      <w:sz w:val="16"/>
      <w:szCs w:val="16"/>
    </w:rPr>
  </w:style>
  <w:style w:type="character" w:customStyle="1" w:styleId="TextbublinyChar">
    <w:name w:val="Text bubliny Char"/>
    <w:basedOn w:val="Standardnpsmoodstavce"/>
    <w:link w:val="Textbubliny"/>
    <w:uiPriority w:val="99"/>
    <w:rsid w:val="0085202F"/>
    <w:rPr>
      <w:rFonts w:ascii="Times New Roman" w:hAnsi="Times New Roman" w:cs="Times New Roman"/>
      <w:sz w:val="2"/>
      <w:szCs w:val="2"/>
      <w:lang w:val="cs-CZ" w:eastAsia="cs-CZ"/>
    </w:rPr>
  </w:style>
  <w:style w:type="paragraph" w:customStyle="1" w:styleId="Keywords">
    <w:name w:val="Key words"/>
    <w:basedOn w:val="Normln"/>
    <w:rsid w:val="0085202F"/>
    <w:pPr>
      <w:tabs>
        <w:tab w:val="num" w:pos="1304"/>
      </w:tabs>
      <w:ind w:left="1304" w:hanging="1304"/>
    </w:pPr>
    <w:rPr>
      <w:lang w:val="en-US"/>
    </w:rPr>
  </w:style>
  <w:style w:type="paragraph" w:customStyle="1" w:styleId="Klovslova">
    <w:name w:val="Klíčová slova:"/>
    <w:basedOn w:val="Normln"/>
    <w:uiPriority w:val="99"/>
    <w:rsid w:val="0085202F"/>
    <w:pPr>
      <w:tabs>
        <w:tab w:val="num" w:pos="1531"/>
      </w:tabs>
      <w:spacing w:after="360"/>
      <w:ind w:left="1531" w:hanging="1531"/>
    </w:pPr>
  </w:style>
  <w:style w:type="paragraph" w:customStyle="1" w:styleId="AbstractSummary-nadpis">
    <w:name w:val="Abstract/Summary - nadpis"/>
    <w:basedOn w:val="Normln"/>
    <w:uiPriority w:val="99"/>
    <w:rsid w:val="0085202F"/>
    <w:pPr>
      <w:tabs>
        <w:tab w:val="num" w:pos="0"/>
      </w:tabs>
      <w:spacing w:before="240"/>
      <w:jc w:val="left"/>
    </w:pPr>
    <w:rPr>
      <w:b/>
      <w:bCs/>
    </w:rPr>
  </w:style>
  <w:style w:type="paragraph" w:customStyle="1" w:styleId="AbstractSummary-text">
    <w:name w:val="Abstract/Summary - text"/>
    <w:basedOn w:val="Normln"/>
    <w:rsid w:val="0085202F"/>
    <w:rPr>
      <w:lang w:val="en-US"/>
    </w:rPr>
  </w:style>
  <w:style w:type="paragraph" w:customStyle="1" w:styleId="JELclassification">
    <w:name w:val="JEL classification"/>
    <w:basedOn w:val="Normln"/>
    <w:uiPriority w:val="99"/>
    <w:rsid w:val="0085202F"/>
    <w:pPr>
      <w:tabs>
        <w:tab w:val="num" w:pos="2041"/>
      </w:tabs>
      <w:spacing w:after="0"/>
      <w:ind w:left="2041" w:hanging="2041"/>
    </w:pPr>
    <w:rPr>
      <w:lang w:val="en-US"/>
    </w:rPr>
  </w:style>
  <w:style w:type="paragraph" w:styleId="Nadpisobsahu">
    <w:name w:val="TOC Heading"/>
    <w:basedOn w:val="Nadpis1"/>
    <w:next w:val="Normln"/>
    <w:uiPriority w:val="99"/>
    <w:qFormat/>
    <w:rsid w:val="0085202F"/>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rsid w:val="0085202F"/>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uiPriority w:val="99"/>
    <w:rsid w:val="0085202F"/>
    <w:pPr>
      <w:numPr>
        <w:numId w:val="2"/>
      </w:numPr>
      <w:ind w:left="1604" w:hanging="357"/>
    </w:pPr>
  </w:style>
  <w:style w:type="paragraph" w:styleId="Obsah1">
    <w:name w:val="toc 1"/>
    <w:basedOn w:val="Normln"/>
    <w:next w:val="Normln"/>
    <w:autoRedefine/>
    <w:uiPriority w:val="39"/>
    <w:rsid w:val="0085202F"/>
    <w:pPr>
      <w:tabs>
        <w:tab w:val="left" w:pos="440"/>
        <w:tab w:val="right" w:leader="dot" w:pos="8494"/>
      </w:tabs>
      <w:spacing w:after="100" w:line="276" w:lineRule="auto"/>
      <w:ind w:left="284" w:hanging="284"/>
      <w:jc w:val="left"/>
    </w:pPr>
    <w:rPr>
      <w:lang w:eastAsia="en-US"/>
    </w:rPr>
  </w:style>
  <w:style w:type="paragraph" w:styleId="Obsah3">
    <w:name w:val="toc 3"/>
    <w:basedOn w:val="Normln"/>
    <w:next w:val="Normln"/>
    <w:autoRedefine/>
    <w:uiPriority w:val="39"/>
    <w:rsid w:val="0085202F"/>
    <w:pPr>
      <w:tabs>
        <w:tab w:val="left" w:pos="1320"/>
        <w:tab w:val="right" w:leader="dot" w:pos="8494"/>
      </w:tabs>
      <w:spacing w:after="100" w:line="276" w:lineRule="auto"/>
      <w:ind w:left="680" w:hanging="680"/>
      <w:jc w:val="left"/>
    </w:pPr>
    <w:rPr>
      <w:sz w:val="22"/>
      <w:szCs w:val="22"/>
      <w:lang w:eastAsia="en-US"/>
    </w:rPr>
  </w:style>
  <w:style w:type="paragraph" w:styleId="Zkladntextodsazen">
    <w:name w:val="Body Text Indent"/>
    <w:basedOn w:val="Normln"/>
    <w:link w:val="ZkladntextodsazenChar"/>
    <w:uiPriority w:val="99"/>
    <w:rsid w:val="0085202F"/>
    <w:pPr>
      <w:spacing w:after="0"/>
    </w:pPr>
  </w:style>
  <w:style w:type="character" w:customStyle="1" w:styleId="ZkladntextodsazenChar">
    <w:name w:val="Základní text odsazený Char"/>
    <w:basedOn w:val="Standardnpsmoodstavce"/>
    <w:link w:val="Zkladntextodsazen"/>
    <w:uiPriority w:val="99"/>
    <w:rsid w:val="0085202F"/>
    <w:rPr>
      <w:rFonts w:ascii="Times New Roman" w:hAnsi="Times New Roman" w:cs="Times New Roman"/>
      <w:sz w:val="24"/>
      <w:szCs w:val="24"/>
    </w:rPr>
  </w:style>
  <w:style w:type="paragraph" w:styleId="Zkladntext">
    <w:name w:val="Body Text"/>
    <w:basedOn w:val="Normln"/>
    <w:link w:val="ZkladntextChar"/>
    <w:uiPriority w:val="99"/>
    <w:rsid w:val="0085202F"/>
    <w:pPr>
      <w:spacing w:after="0"/>
    </w:pPr>
  </w:style>
  <w:style w:type="character" w:customStyle="1" w:styleId="ZkladntextChar">
    <w:name w:val="Základní text Char"/>
    <w:basedOn w:val="Standardnpsmoodstavce"/>
    <w:link w:val="Zkladntext"/>
    <w:uiPriority w:val="99"/>
    <w:rsid w:val="0085202F"/>
    <w:rPr>
      <w:rFonts w:ascii="Times New Roman" w:hAnsi="Times New Roman" w:cs="Times New Roman"/>
      <w:sz w:val="24"/>
      <w:szCs w:val="24"/>
    </w:rPr>
  </w:style>
  <w:style w:type="paragraph" w:styleId="Normlnweb">
    <w:name w:val="Normal (Web)"/>
    <w:basedOn w:val="Normln"/>
    <w:uiPriority w:val="99"/>
    <w:rsid w:val="0085202F"/>
    <w:pPr>
      <w:spacing w:before="100" w:beforeAutospacing="1" w:after="100" w:afterAutospacing="1"/>
      <w:jc w:val="left"/>
    </w:pPr>
  </w:style>
  <w:style w:type="paragraph" w:customStyle="1" w:styleId="Literatura-text">
    <w:name w:val="Literatura-text"/>
    <w:basedOn w:val="Normln"/>
    <w:qFormat/>
    <w:rsid w:val="0085202F"/>
    <w:rPr>
      <w:sz w:val="22"/>
      <w:szCs w:val="22"/>
    </w:rPr>
  </w:style>
  <w:style w:type="paragraph" w:customStyle="1" w:styleId="Poznmkapodarou">
    <w:name w:val="Poznámka pod čarou"/>
    <w:qFormat/>
    <w:rsid w:val="0085202F"/>
    <w:pPr>
      <w:autoSpaceDE w:val="0"/>
      <w:autoSpaceDN w:val="0"/>
      <w:adjustRightInd w:val="0"/>
      <w:spacing w:line="312" w:lineRule="auto"/>
      <w:jc w:val="both"/>
    </w:pPr>
    <w:rPr>
      <w:rFonts w:ascii="Times New Roman" w:hAnsi="Times New Roman"/>
      <w:sz w:val="16"/>
      <w:szCs w:val="16"/>
      <w:lang w:val="cs-CZ" w:eastAsia="cs-CZ"/>
    </w:rPr>
  </w:style>
  <w:style w:type="paragraph" w:styleId="Nzev">
    <w:name w:val="Title"/>
    <w:basedOn w:val="Normln"/>
    <w:link w:val="NzevChar"/>
    <w:uiPriority w:val="99"/>
    <w:qFormat/>
    <w:rsid w:val="0085202F"/>
    <w:pPr>
      <w:spacing w:after="0" w:line="240" w:lineRule="auto"/>
      <w:jc w:val="center"/>
    </w:pPr>
    <w:rPr>
      <w:b/>
      <w:bCs/>
      <w:sz w:val="72"/>
      <w:szCs w:val="72"/>
    </w:rPr>
  </w:style>
  <w:style w:type="character" w:customStyle="1" w:styleId="NzevChar">
    <w:name w:val="Název Char"/>
    <w:basedOn w:val="Standardnpsmoodstavce"/>
    <w:link w:val="Nzev"/>
    <w:uiPriority w:val="99"/>
    <w:rsid w:val="0085202F"/>
    <w:rPr>
      <w:rFonts w:ascii="Times New Roman" w:hAnsi="Times New Roman" w:cs="Times New Roman"/>
      <w:b/>
      <w:bCs/>
      <w:sz w:val="72"/>
      <w:szCs w:val="72"/>
    </w:rPr>
  </w:style>
  <w:style w:type="paragraph" w:customStyle="1" w:styleId="Formul">
    <w:name w:val="Formulář"/>
    <w:uiPriority w:val="99"/>
    <w:rsid w:val="0085202F"/>
    <w:pPr>
      <w:jc w:val="center"/>
    </w:pPr>
    <w:rPr>
      <w:rFonts w:ascii="Verdana" w:hAnsi="Verdana" w:cs="Verdana"/>
      <w:b/>
      <w:bCs/>
      <w:caps/>
      <w:lang w:val="cs-CZ" w:eastAsia="cs-CZ"/>
    </w:rPr>
  </w:style>
  <w:style w:type="paragraph" w:customStyle="1" w:styleId="Textpoznpodarou0">
    <w:name w:val="Text pozn. pod èarou"/>
    <w:basedOn w:val="Normln"/>
    <w:rsid w:val="0085202F"/>
    <w:pPr>
      <w:spacing w:after="0" w:line="240" w:lineRule="auto"/>
      <w:jc w:val="left"/>
    </w:pPr>
    <w:rPr>
      <w:sz w:val="16"/>
      <w:szCs w:val="16"/>
      <w:lang w:eastAsia="sk-SK"/>
    </w:rPr>
  </w:style>
  <w:style w:type="character" w:customStyle="1" w:styleId="Znakapoznpodarou0">
    <w:name w:val="Znaèka pozn. pod èarou"/>
    <w:rsid w:val="0085202F"/>
    <w:rPr>
      <w:rFonts w:ascii="Times New Roman" w:hAnsi="Times New Roman" w:cs="Times New Roman"/>
      <w:color w:val="auto"/>
      <w:spacing w:val="0"/>
      <w:sz w:val="24"/>
      <w:szCs w:val="24"/>
      <w:vertAlign w:val="superscript"/>
    </w:rPr>
  </w:style>
  <w:style w:type="character" w:customStyle="1" w:styleId="Znakyprepoznmkupodiarou">
    <w:name w:val="Znaky pre poznámku pod čiarou"/>
    <w:basedOn w:val="Standardnpsmoodstavce"/>
    <w:uiPriority w:val="99"/>
    <w:rsid w:val="0085202F"/>
    <w:rPr>
      <w:rFonts w:ascii="Times New Roman" w:hAnsi="Times New Roman" w:cs="Times New Roman"/>
      <w:vertAlign w:val="superscript"/>
    </w:rPr>
  </w:style>
  <w:style w:type="paragraph" w:styleId="Zkladntext2">
    <w:name w:val="Body Text 2"/>
    <w:basedOn w:val="Normln"/>
    <w:link w:val="Zkladntext2Char"/>
    <w:uiPriority w:val="99"/>
    <w:rsid w:val="0085202F"/>
    <w:pPr>
      <w:spacing w:line="240" w:lineRule="auto"/>
      <w:jc w:val="left"/>
    </w:pPr>
  </w:style>
  <w:style w:type="character" w:customStyle="1" w:styleId="Zkladntext2Char">
    <w:name w:val="Základní text 2 Char"/>
    <w:basedOn w:val="Standardnpsmoodstavce"/>
    <w:link w:val="Zkladntext2"/>
    <w:uiPriority w:val="99"/>
    <w:rsid w:val="0085202F"/>
    <w:rPr>
      <w:rFonts w:ascii="Times New Roman" w:hAnsi="Times New Roman" w:cs="Times New Roman"/>
      <w:sz w:val="24"/>
      <w:szCs w:val="24"/>
      <w:lang w:val="cs-CZ" w:eastAsia="cs-CZ"/>
    </w:rPr>
  </w:style>
  <w:style w:type="character" w:styleId="Siln">
    <w:name w:val="Strong"/>
    <w:basedOn w:val="Standardnpsmoodstavce"/>
    <w:uiPriority w:val="99"/>
    <w:qFormat/>
    <w:rsid w:val="0085202F"/>
    <w:rPr>
      <w:rFonts w:ascii="Times New Roman" w:hAnsi="Times New Roman" w:cs="Times New Roman"/>
      <w:b/>
      <w:bCs/>
    </w:rPr>
  </w:style>
  <w:style w:type="character" w:customStyle="1" w:styleId="st">
    <w:name w:val="st"/>
    <w:basedOn w:val="Standardnpsmoodstavce"/>
    <w:rsid w:val="0085202F"/>
    <w:rPr>
      <w:rFonts w:ascii="Times New Roman" w:hAnsi="Times New Roman" w:cs="Times New Roman"/>
    </w:rPr>
  </w:style>
  <w:style w:type="paragraph" w:styleId="Zkladntextodsazen2">
    <w:name w:val="Body Text Indent 2"/>
    <w:basedOn w:val="Normln"/>
    <w:link w:val="Zkladntextodsazen2Char"/>
    <w:uiPriority w:val="99"/>
    <w:rsid w:val="0085202F"/>
    <w:pPr>
      <w:spacing w:after="0"/>
      <w:ind w:firstLine="357"/>
    </w:pPr>
    <w:rPr>
      <w:lang w:val="en-US"/>
    </w:rPr>
  </w:style>
  <w:style w:type="character" w:customStyle="1" w:styleId="Zkladntextodsazen2Char">
    <w:name w:val="Základní text odsazený 2 Char"/>
    <w:basedOn w:val="Standardnpsmoodstavce"/>
    <w:link w:val="Zkladntextodsazen2"/>
    <w:uiPriority w:val="99"/>
    <w:rsid w:val="0085202F"/>
    <w:rPr>
      <w:rFonts w:ascii="Times New Roman" w:hAnsi="Times New Roman" w:cs="Times New Roman"/>
      <w:sz w:val="24"/>
      <w:szCs w:val="24"/>
      <w:lang w:val="cs-CZ" w:eastAsia="cs-CZ"/>
    </w:rPr>
  </w:style>
  <w:style w:type="character" w:customStyle="1" w:styleId="bbtext">
    <w:name w:val="bbtext"/>
    <w:basedOn w:val="Standardnpsmoodstavce"/>
    <w:rsid w:val="0085202F"/>
    <w:rPr>
      <w:rFonts w:ascii="Times New Roman" w:hAnsi="Times New Roman" w:cs="Times New Roman"/>
    </w:rPr>
  </w:style>
  <w:style w:type="paragraph" w:styleId="Odstavecseseznamem">
    <w:name w:val="List Paragraph"/>
    <w:basedOn w:val="Normln"/>
    <w:uiPriority w:val="34"/>
    <w:qFormat/>
    <w:rsid w:val="0015318C"/>
    <w:pPr>
      <w:ind w:left="720"/>
      <w:contextualSpacing/>
    </w:pPr>
  </w:style>
</w:styles>
</file>

<file path=word/webSettings.xml><?xml version="1.0" encoding="utf-8"?>
<w:webSettings xmlns:r="http://schemas.openxmlformats.org/officeDocument/2006/relationships" xmlns:w="http://schemas.openxmlformats.org/wordprocessingml/2006/main">
  <w:divs>
    <w:div w:id="1328165717">
      <w:bodyDiv w:val="1"/>
      <w:marLeft w:val="0"/>
      <w:marRight w:val="0"/>
      <w:marTop w:val="0"/>
      <w:marBottom w:val="0"/>
      <w:divBdr>
        <w:top w:val="none" w:sz="0" w:space="0" w:color="auto"/>
        <w:left w:val="none" w:sz="0" w:space="0" w:color="auto"/>
        <w:bottom w:val="none" w:sz="0" w:space="0" w:color="auto"/>
        <w:right w:val="none" w:sz="0" w:space="0" w:color="auto"/>
      </w:divBdr>
    </w:div>
    <w:div w:id="1429765100">
      <w:bodyDiv w:val="1"/>
      <w:marLeft w:val="0"/>
      <w:marRight w:val="0"/>
      <w:marTop w:val="0"/>
      <w:marBottom w:val="0"/>
      <w:divBdr>
        <w:top w:val="none" w:sz="0" w:space="0" w:color="auto"/>
        <w:left w:val="none" w:sz="0" w:space="0" w:color="auto"/>
        <w:bottom w:val="none" w:sz="0" w:space="0" w:color="auto"/>
        <w:right w:val="none" w:sz="0" w:space="0" w:color="auto"/>
      </w:divBdr>
    </w:div>
    <w:div w:id="1561791026">
      <w:bodyDiv w:val="1"/>
      <w:marLeft w:val="0"/>
      <w:marRight w:val="0"/>
      <w:marTop w:val="0"/>
      <w:marBottom w:val="0"/>
      <w:divBdr>
        <w:top w:val="none" w:sz="0" w:space="0" w:color="auto"/>
        <w:left w:val="none" w:sz="0" w:space="0" w:color="auto"/>
        <w:bottom w:val="none" w:sz="0" w:space="0" w:color="auto"/>
        <w:right w:val="none" w:sz="0" w:space="0" w:color="auto"/>
      </w:divBdr>
    </w:div>
    <w:div w:id="1687704864">
      <w:bodyDiv w:val="1"/>
      <w:marLeft w:val="0"/>
      <w:marRight w:val="0"/>
      <w:marTop w:val="0"/>
      <w:marBottom w:val="0"/>
      <w:divBdr>
        <w:top w:val="none" w:sz="0" w:space="0" w:color="auto"/>
        <w:left w:val="none" w:sz="0" w:space="0" w:color="auto"/>
        <w:bottom w:val="none" w:sz="0" w:space="0" w:color="auto"/>
        <w:right w:val="none" w:sz="0" w:space="0" w:color="auto"/>
      </w:divBdr>
    </w:div>
    <w:div w:id="200350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hyperlink" Target="http://sk.wikipedia.org/w/index.php?title=Kabylovia&amp;action=edit&amp;redlink=1" TargetMode="External"/><Relationship Id="rId3" Type="http://schemas.openxmlformats.org/officeDocument/2006/relationships/styles" Target="styles.xml"/><Relationship Id="rId21" Type="http://schemas.openxmlformats.org/officeDocument/2006/relationships/hyperlink" Target="http://sk.wikipedia.org/w/index.php?title=Diskontovanie&amp;action=edit&amp;redlink=1" TargetMode="External"/><Relationship Id="rId34" Type="http://schemas.openxmlformats.org/officeDocument/2006/relationships/image" Target="media/image13.png"/><Relationship Id="rId42" Type="http://schemas.openxmlformats.org/officeDocument/2006/relationships/hyperlink" Target="http://sk.wikipedia.org/wiki/Islam" TargetMode="External"/><Relationship Id="rId47" Type="http://schemas.openxmlformats.org/officeDocument/2006/relationships/hyperlink" Target="http://ekonomika.etrend.sk/%20ekonomika"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www.ef.umb.sk/" TargetMode="External"/><Relationship Id="rId33" Type="http://schemas.openxmlformats.org/officeDocument/2006/relationships/hyperlink" Target="http://sk.wikipedia.org/wiki/2005" TargetMode="External"/><Relationship Id="rId38" Type="http://schemas.openxmlformats.org/officeDocument/2006/relationships/hyperlink" Target="http://sk.wikipedia.org/wiki/Berberi"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k.wikipedia.org/wiki/Socializmus" TargetMode="External"/><Relationship Id="rId41" Type="http://schemas.openxmlformats.org/officeDocument/2006/relationships/hyperlink" Target="http://sk.wikipedia.org/w/index.php?title=Tuaregovia&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sk.wikipedia.org/w/index.php?title=Abdelaziz_Bouteflika&amp;action=edit&amp;redlink=1" TargetMode="External"/><Relationship Id="rId37" Type="http://schemas.openxmlformats.org/officeDocument/2006/relationships/hyperlink" Target="http://sk.wikipedia.org/wiki/Arabi" TargetMode="External"/><Relationship Id="rId40" Type="http://schemas.openxmlformats.org/officeDocument/2006/relationships/hyperlink" Target="http://sk.wikipedia.org/w/index.php?title=Mozabiti&amp;action=edit&amp;redlink=1" TargetMode="External"/><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k.wikipedia.org/wiki/1988" TargetMode="External"/><Relationship Id="rId36" Type="http://schemas.openxmlformats.org/officeDocument/2006/relationships/hyperlink" Target="http://sk.wikipedia.org/wiki/Gramotnos%C5%A5" TargetMode="External"/><Relationship Id="rId49"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k.wikipedia.org/wiki/1992" TargetMode="External"/><Relationship Id="rId44" Type="http://schemas.openxmlformats.org/officeDocument/2006/relationships/hyperlink" Target="http://sk.wikipedia.org/wiki/Arab%C4%8Din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k.wikipedia.org/wiki/Regres" TargetMode="External"/><Relationship Id="rId27" Type="http://schemas.openxmlformats.org/officeDocument/2006/relationships/image" Target="media/image12.png"/><Relationship Id="rId30" Type="http://schemas.openxmlformats.org/officeDocument/2006/relationships/hyperlink" Target="http://sk.wikipedia.org/wiki/1988" TargetMode="External"/><Relationship Id="rId35" Type="http://schemas.openxmlformats.org/officeDocument/2006/relationships/hyperlink" Target="http://www.foreign.gov.sk/App/wcm/media.nsf/vw_ByID/" TargetMode="External"/><Relationship Id="rId43" Type="http://schemas.openxmlformats.org/officeDocument/2006/relationships/hyperlink" Target="http://sk.wikipedia.org/wiki/Franc%C3%BAz%C5%A1tina" TargetMode="External"/><Relationship Id="rId48" Type="http://schemas.openxmlformats.org/officeDocument/2006/relationships/hyperlink" Target="http://www.ef.umb.sk/" TargetMode="External"/><Relationship Id="rId8" Type="http://schemas.openxmlformats.org/officeDocument/2006/relationships/footer" Target="footer1.xml"/><Relationship Id="rId51"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foreign.gov.sk/App/wcm/media.nsf/vw_ByID/" TargetMode="External"/><Relationship Id="rId1" Type="http://schemas.openxmlformats.org/officeDocument/2006/relationships/hyperlink" Target="http://www.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CD002-42B9-413E-AEA6-7308C7C1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96</Pages>
  <Words>21355</Words>
  <Characters>121730</Characters>
  <Application>Microsoft Office Word</Application>
  <DocSecurity>0</DocSecurity>
  <Lines>1014</Lines>
  <Paragraphs>285</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142800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Martina</cp:lastModifiedBy>
  <cp:revision>4</cp:revision>
  <cp:lastPrinted>2012-03-22T00:21:00Z</cp:lastPrinted>
  <dcterms:created xsi:type="dcterms:W3CDTF">2012-03-30T22:33:00Z</dcterms:created>
  <dcterms:modified xsi:type="dcterms:W3CDTF">2012-03-31T21:51:00Z</dcterms:modified>
</cp:coreProperties>
</file>