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46D" w:rsidRPr="00B52A8A" w:rsidRDefault="0088546D" w:rsidP="0088546D">
      <w:pPr>
        <w:jc w:val="center"/>
        <w:rPr>
          <w:sz w:val="34"/>
          <w:szCs w:val="34"/>
        </w:rPr>
      </w:pPr>
      <w:r w:rsidRPr="00B52A8A">
        <w:rPr>
          <w:sz w:val="34"/>
          <w:szCs w:val="34"/>
        </w:rPr>
        <w:t>Univerzita Palackého v Olomouci</w:t>
      </w:r>
    </w:p>
    <w:p w:rsidR="0088546D" w:rsidRPr="00B52A8A" w:rsidRDefault="0088546D" w:rsidP="0088546D">
      <w:pPr>
        <w:jc w:val="center"/>
        <w:rPr>
          <w:sz w:val="34"/>
          <w:szCs w:val="34"/>
        </w:rPr>
      </w:pPr>
      <w:r w:rsidRPr="00B52A8A">
        <w:rPr>
          <w:sz w:val="34"/>
          <w:szCs w:val="34"/>
        </w:rPr>
        <w:t>Fakulta tělesné kultury</w:t>
      </w:r>
    </w:p>
    <w:p w:rsidR="0088546D" w:rsidRPr="00B52A8A" w:rsidRDefault="0088546D" w:rsidP="0088546D">
      <w:pPr>
        <w:jc w:val="center"/>
        <w:rPr>
          <w:sz w:val="34"/>
          <w:szCs w:val="34"/>
        </w:rPr>
      </w:pPr>
    </w:p>
    <w:p w:rsidR="0088546D" w:rsidRPr="00B52A8A" w:rsidRDefault="0088546D" w:rsidP="0088546D">
      <w:pPr>
        <w:pStyle w:val="P-titulka"/>
        <w:jc w:val="left"/>
        <w:rPr>
          <w:sz w:val="34"/>
          <w:szCs w:val="34"/>
        </w:rPr>
      </w:pPr>
    </w:p>
    <w:p w:rsidR="007F1FF5" w:rsidRPr="00B52A8A" w:rsidRDefault="007F1FF5" w:rsidP="0088546D">
      <w:pPr>
        <w:pStyle w:val="P-titulka"/>
        <w:jc w:val="left"/>
        <w:rPr>
          <w:sz w:val="34"/>
          <w:szCs w:val="34"/>
        </w:rPr>
      </w:pPr>
    </w:p>
    <w:p w:rsidR="007F1FF5" w:rsidRPr="00B52A8A" w:rsidRDefault="007F1FF5" w:rsidP="0088546D">
      <w:pPr>
        <w:pStyle w:val="P-titulka"/>
        <w:jc w:val="left"/>
        <w:rPr>
          <w:sz w:val="34"/>
          <w:szCs w:val="34"/>
        </w:rPr>
      </w:pPr>
    </w:p>
    <w:p w:rsidR="007F1FF5" w:rsidRPr="00B52A8A" w:rsidRDefault="007F1FF5" w:rsidP="0088546D">
      <w:pPr>
        <w:pStyle w:val="P-titulka"/>
        <w:jc w:val="left"/>
        <w:rPr>
          <w:sz w:val="34"/>
          <w:szCs w:val="34"/>
        </w:rPr>
      </w:pPr>
    </w:p>
    <w:p w:rsidR="0088546D" w:rsidRPr="00B52A8A" w:rsidRDefault="0088546D" w:rsidP="0088546D">
      <w:pPr>
        <w:pStyle w:val="P-titulka"/>
        <w:jc w:val="left"/>
        <w:rPr>
          <w:sz w:val="34"/>
          <w:szCs w:val="34"/>
        </w:rPr>
      </w:pPr>
    </w:p>
    <w:p w:rsidR="0088546D" w:rsidRPr="00B52A8A" w:rsidRDefault="007F1FF5" w:rsidP="007F1FF5">
      <w:pPr>
        <w:pStyle w:val="P-titulka"/>
        <w:rPr>
          <w:sz w:val="34"/>
          <w:szCs w:val="34"/>
        </w:rPr>
      </w:pPr>
      <w:r w:rsidRPr="00B52A8A">
        <w:rPr>
          <w:sz w:val="34"/>
          <w:szCs w:val="34"/>
        </w:rPr>
        <w:t>DIPLOMOVÁ PRÁCE</w:t>
      </w:r>
    </w:p>
    <w:p w:rsidR="007F1FF5" w:rsidRPr="00B52A8A" w:rsidRDefault="007F1FF5" w:rsidP="007F1FF5">
      <w:pPr>
        <w:pStyle w:val="P-titulka"/>
        <w:rPr>
          <w:sz w:val="34"/>
          <w:szCs w:val="34"/>
        </w:rPr>
      </w:pPr>
    </w:p>
    <w:p w:rsidR="0088546D" w:rsidRPr="00B52A8A" w:rsidRDefault="0088546D" w:rsidP="0088546D">
      <w:pPr>
        <w:jc w:val="center"/>
        <w:rPr>
          <w:b/>
          <w:sz w:val="34"/>
          <w:szCs w:val="34"/>
        </w:rPr>
      </w:pPr>
      <w:r w:rsidRPr="00B52A8A">
        <w:rPr>
          <w:b/>
          <w:sz w:val="34"/>
          <w:szCs w:val="34"/>
        </w:rPr>
        <w:t xml:space="preserve">TĚLESNÉ SLOŽENÍ A POHYBOVÁ AKTIVITA SENIORŮ NAVŠTĚVUJÍCÍCH U3V </w:t>
      </w:r>
      <w:r w:rsidR="00A33EC9" w:rsidRPr="00B52A8A">
        <w:rPr>
          <w:b/>
          <w:sz w:val="34"/>
          <w:szCs w:val="34"/>
        </w:rPr>
        <w:br/>
      </w:r>
      <w:r w:rsidRPr="00B52A8A">
        <w:rPr>
          <w:b/>
          <w:sz w:val="34"/>
          <w:szCs w:val="34"/>
        </w:rPr>
        <w:t>V KATOVICÍCH</w:t>
      </w:r>
    </w:p>
    <w:p w:rsidR="0088546D" w:rsidRPr="00B52A8A" w:rsidRDefault="0088546D" w:rsidP="0088546D">
      <w:pPr>
        <w:pStyle w:val="P-nadpis2"/>
        <w:spacing w:before="0"/>
        <w:ind w:firstLine="0"/>
        <w:rPr>
          <w:rFonts w:eastAsia="Calibri"/>
          <w:bCs w:val="0"/>
          <w:sz w:val="34"/>
          <w:szCs w:val="34"/>
        </w:rPr>
      </w:pPr>
    </w:p>
    <w:p w:rsidR="007F1FF5" w:rsidRPr="00B52A8A" w:rsidRDefault="007F1FF5" w:rsidP="0088546D">
      <w:pPr>
        <w:pStyle w:val="P-nadpis2"/>
        <w:spacing w:before="0"/>
        <w:ind w:firstLine="0"/>
        <w:rPr>
          <w:b w:val="0"/>
          <w:sz w:val="34"/>
          <w:szCs w:val="34"/>
        </w:rPr>
      </w:pPr>
    </w:p>
    <w:p w:rsidR="00AD4807" w:rsidRPr="00B52A8A" w:rsidRDefault="00AD4807" w:rsidP="0088546D">
      <w:pPr>
        <w:pStyle w:val="P-nadpis2"/>
        <w:spacing w:before="0"/>
        <w:ind w:firstLine="0"/>
        <w:rPr>
          <w:b w:val="0"/>
          <w:sz w:val="34"/>
          <w:szCs w:val="34"/>
        </w:rPr>
      </w:pPr>
    </w:p>
    <w:p w:rsidR="00AD4807" w:rsidRPr="00B52A8A" w:rsidRDefault="00AD4807" w:rsidP="0088546D">
      <w:pPr>
        <w:pStyle w:val="P-nadpis2"/>
        <w:spacing w:before="0"/>
        <w:ind w:firstLine="0"/>
        <w:rPr>
          <w:b w:val="0"/>
          <w:sz w:val="34"/>
          <w:szCs w:val="34"/>
        </w:rPr>
      </w:pPr>
    </w:p>
    <w:p w:rsidR="00AD4807" w:rsidRPr="00B52A8A" w:rsidRDefault="00AD4807" w:rsidP="0088546D">
      <w:pPr>
        <w:pStyle w:val="P-nadpis2"/>
        <w:spacing w:before="0"/>
        <w:ind w:firstLine="0"/>
        <w:rPr>
          <w:b w:val="0"/>
          <w:sz w:val="34"/>
          <w:szCs w:val="34"/>
        </w:rPr>
      </w:pPr>
    </w:p>
    <w:p w:rsidR="007F1FF5" w:rsidRPr="00B52A8A" w:rsidRDefault="007F1FF5" w:rsidP="007F1FF5">
      <w:pPr>
        <w:pStyle w:val="P-text"/>
        <w:ind w:firstLine="0"/>
        <w:rPr>
          <w:sz w:val="34"/>
          <w:szCs w:val="34"/>
        </w:rPr>
      </w:pPr>
      <w:bookmarkStart w:id="0" w:name="_Toc237930403"/>
      <w:bookmarkStart w:id="1" w:name="_Toc237930765"/>
      <w:bookmarkStart w:id="2" w:name="_Toc237931365"/>
      <w:bookmarkStart w:id="3" w:name="_Toc237931884"/>
    </w:p>
    <w:p w:rsidR="007F1FF5" w:rsidRPr="00B52A8A" w:rsidRDefault="007F1FF5" w:rsidP="0088546D">
      <w:pPr>
        <w:pStyle w:val="P-text"/>
        <w:jc w:val="center"/>
        <w:rPr>
          <w:sz w:val="34"/>
          <w:szCs w:val="34"/>
        </w:rPr>
      </w:pPr>
    </w:p>
    <w:p w:rsidR="00AD4807" w:rsidRPr="00B52A8A" w:rsidRDefault="00AD4807" w:rsidP="00AD4807">
      <w:pPr>
        <w:pStyle w:val="P-text"/>
        <w:ind w:firstLine="0"/>
        <w:rPr>
          <w:b/>
          <w:sz w:val="34"/>
          <w:szCs w:val="34"/>
        </w:rPr>
      </w:pPr>
      <w:r w:rsidRPr="00B52A8A">
        <w:rPr>
          <w:b/>
          <w:sz w:val="34"/>
          <w:szCs w:val="34"/>
        </w:rPr>
        <w:t>2011</w:t>
      </w:r>
      <w:r w:rsidRPr="00B52A8A">
        <w:rPr>
          <w:b/>
          <w:sz w:val="34"/>
          <w:szCs w:val="34"/>
        </w:rPr>
        <w:tab/>
      </w:r>
      <w:r w:rsidR="007F1FF5" w:rsidRPr="00B52A8A">
        <w:rPr>
          <w:b/>
          <w:sz w:val="34"/>
          <w:szCs w:val="34"/>
        </w:rPr>
        <w:tab/>
      </w:r>
      <w:r w:rsidR="007F1FF5" w:rsidRPr="00B52A8A">
        <w:rPr>
          <w:b/>
          <w:sz w:val="34"/>
          <w:szCs w:val="34"/>
        </w:rPr>
        <w:tab/>
      </w:r>
      <w:r w:rsidR="007F1FF5" w:rsidRPr="00B52A8A">
        <w:rPr>
          <w:b/>
          <w:sz w:val="34"/>
          <w:szCs w:val="34"/>
        </w:rPr>
        <w:tab/>
      </w:r>
      <w:r w:rsidR="007F1FF5" w:rsidRPr="00B52A8A">
        <w:rPr>
          <w:b/>
          <w:sz w:val="34"/>
          <w:szCs w:val="34"/>
        </w:rPr>
        <w:tab/>
      </w:r>
      <w:r w:rsidR="007F1FF5" w:rsidRPr="00B52A8A">
        <w:rPr>
          <w:b/>
          <w:sz w:val="34"/>
          <w:szCs w:val="34"/>
        </w:rPr>
        <w:tab/>
        <w:t>PETRA SETINSKÁ</w:t>
      </w:r>
    </w:p>
    <w:p w:rsidR="00A33EC9" w:rsidRPr="00B52A8A" w:rsidRDefault="00A33EC9" w:rsidP="007F1FF5">
      <w:pPr>
        <w:pStyle w:val="P-text"/>
        <w:ind w:firstLine="0"/>
        <w:jc w:val="center"/>
        <w:rPr>
          <w:sz w:val="26"/>
          <w:szCs w:val="26"/>
        </w:rPr>
      </w:pPr>
    </w:p>
    <w:p w:rsidR="007F1FF5" w:rsidRPr="00B52A8A" w:rsidRDefault="003E25B6" w:rsidP="007F1FF5">
      <w:pPr>
        <w:pStyle w:val="P-text"/>
        <w:ind w:firstLine="0"/>
        <w:jc w:val="center"/>
        <w:rPr>
          <w:b/>
          <w:sz w:val="34"/>
          <w:szCs w:val="34"/>
        </w:rPr>
      </w:pPr>
      <w:r w:rsidRPr="00B52A8A">
        <w:rPr>
          <w:sz w:val="26"/>
          <w:szCs w:val="26"/>
        </w:rPr>
        <w:lastRenderedPageBreak/>
        <w:t>Univerzita Palackého v</w:t>
      </w:r>
      <w:r w:rsidR="007F1FF5" w:rsidRPr="00B52A8A">
        <w:rPr>
          <w:sz w:val="26"/>
          <w:szCs w:val="26"/>
        </w:rPr>
        <w:t> Olomouci</w:t>
      </w:r>
    </w:p>
    <w:p w:rsidR="007F1FF5" w:rsidRPr="00B52A8A" w:rsidRDefault="00C915A6" w:rsidP="007F1FF5">
      <w:pPr>
        <w:pStyle w:val="P-text"/>
        <w:ind w:firstLine="0"/>
        <w:jc w:val="center"/>
        <w:rPr>
          <w:sz w:val="26"/>
          <w:szCs w:val="26"/>
        </w:rPr>
      </w:pPr>
      <w:r w:rsidRPr="00B52A8A">
        <w:rPr>
          <w:sz w:val="26"/>
          <w:szCs w:val="26"/>
        </w:rPr>
        <w:t>Fakulta t</w:t>
      </w:r>
      <w:r w:rsidR="007F1FF5" w:rsidRPr="00B52A8A">
        <w:rPr>
          <w:sz w:val="26"/>
          <w:szCs w:val="26"/>
        </w:rPr>
        <w:t>ělesné kultury</w:t>
      </w:r>
    </w:p>
    <w:p w:rsidR="007F1FF5" w:rsidRPr="00B52A8A" w:rsidRDefault="007F1FF5" w:rsidP="0088546D">
      <w:pPr>
        <w:pStyle w:val="P-text"/>
        <w:jc w:val="center"/>
        <w:rPr>
          <w:sz w:val="26"/>
          <w:szCs w:val="26"/>
        </w:rPr>
      </w:pPr>
    </w:p>
    <w:p w:rsidR="007F1FF5" w:rsidRPr="00B52A8A" w:rsidRDefault="007F1FF5" w:rsidP="0088546D">
      <w:pPr>
        <w:pStyle w:val="P-text"/>
        <w:jc w:val="center"/>
        <w:rPr>
          <w:sz w:val="26"/>
          <w:szCs w:val="26"/>
        </w:rPr>
      </w:pPr>
    </w:p>
    <w:p w:rsidR="007F1FF5" w:rsidRPr="00B52A8A" w:rsidRDefault="007F1FF5" w:rsidP="0088546D">
      <w:pPr>
        <w:pStyle w:val="P-text"/>
        <w:jc w:val="center"/>
        <w:rPr>
          <w:sz w:val="26"/>
          <w:szCs w:val="26"/>
        </w:rPr>
      </w:pPr>
    </w:p>
    <w:p w:rsidR="007F1FF5" w:rsidRPr="00B52A8A" w:rsidRDefault="007F1FF5" w:rsidP="0088546D">
      <w:pPr>
        <w:pStyle w:val="P-text"/>
        <w:jc w:val="center"/>
        <w:rPr>
          <w:sz w:val="26"/>
          <w:szCs w:val="26"/>
        </w:rPr>
      </w:pPr>
    </w:p>
    <w:p w:rsidR="007F1FF5" w:rsidRPr="00B52A8A" w:rsidRDefault="007F1FF5" w:rsidP="0088546D">
      <w:pPr>
        <w:pStyle w:val="P-text"/>
        <w:jc w:val="center"/>
        <w:rPr>
          <w:sz w:val="26"/>
          <w:szCs w:val="26"/>
        </w:rPr>
      </w:pPr>
    </w:p>
    <w:p w:rsidR="007F1FF5" w:rsidRPr="00B52A8A" w:rsidRDefault="007F1FF5" w:rsidP="0088546D">
      <w:pPr>
        <w:pStyle w:val="P-text"/>
        <w:jc w:val="center"/>
        <w:rPr>
          <w:sz w:val="26"/>
          <w:szCs w:val="26"/>
        </w:rPr>
      </w:pPr>
    </w:p>
    <w:p w:rsidR="007F1FF5" w:rsidRPr="00B52A8A" w:rsidRDefault="007F1FF5" w:rsidP="0088546D">
      <w:pPr>
        <w:pStyle w:val="P-text"/>
        <w:jc w:val="center"/>
        <w:rPr>
          <w:sz w:val="26"/>
          <w:szCs w:val="26"/>
        </w:rPr>
      </w:pPr>
    </w:p>
    <w:p w:rsidR="007F1FF5" w:rsidRPr="00B52A8A" w:rsidRDefault="007F1FF5" w:rsidP="0088546D">
      <w:pPr>
        <w:pStyle w:val="P-text"/>
        <w:jc w:val="center"/>
        <w:rPr>
          <w:sz w:val="26"/>
          <w:szCs w:val="26"/>
        </w:rPr>
      </w:pPr>
    </w:p>
    <w:p w:rsidR="007F1FF5" w:rsidRPr="00B52A8A" w:rsidRDefault="007F1FF5" w:rsidP="007F1FF5">
      <w:pPr>
        <w:jc w:val="center"/>
        <w:rPr>
          <w:b/>
          <w:szCs w:val="24"/>
        </w:rPr>
      </w:pPr>
      <w:r w:rsidRPr="00B52A8A">
        <w:rPr>
          <w:b/>
          <w:szCs w:val="24"/>
        </w:rPr>
        <w:t>TĚLESNÉ SLOŽENÍ A POHYBOVÁ AKTIVITA SENIORŮ NAVŠTĚVUJÍCÍCH U3V V KATOVICÍCH</w:t>
      </w:r>
    </w:p>
    <w:p w:rsidR="007F1FF5" w:rsidRPr="00B52A8A" w:rsidRDefault="003E25B6" w:rsidP="007F1FF5">
      <w:pPr>
        <w:jc w:val="center"/>
        <w:rPr>
          <w:b/>
          <w:szCs w:val="24"/>
        </w:rPr>
      </w:pPr>
      <w:r w:rsidRPr="00B52A8A">
        <w:rPr>
          <w:b/>
          <w:szCs w:val="24"/>
        </w:rPr>
        <w:t>Magisterská</w:t>
      </w:r>
      <w:r w:rsidR="007F1FF5" w:rsidRPr="00B52A8A">
        <w:rPr>
          <w:b/>
          <w:szCs w:val="24"/>
        </w:rPr>
        <w:t xml:space="preserve"> práce</w:t>
      </w:r>
    </w:p>
    <w:p w:rsidR="007F1FF5" w:rsidRPr="00B52A8A" w:rsidRDefault="007F1FF5" w:rsidP="00AD4807">
      <w:pPr>
        <w:pStyle w:val="P-text"/>
        <w:ind w:firstLine="0"/>
        <w:rPr>
          <w:sz w:val="26"/>
          <w:szCs w:val="26"/>
        </w:rPr>
      </w:pPr>
    </w:p>
    <w:p w:rsidR="007F1FF5" w:rsidRPr="00B52A8A" w:rsidRDefault="007F1FF5" w:rsidP="0088546D">
      <w:pPr>
        <w:pStyle w:val="P-text"/>
        <w:jc w:val="center"/>
        <w:rPr>
          <w:sz w:val="26"/>
          <w:szCs w:val="26"/>
        </w:rPr>
      </w:pPr>
    </w:p>
    <w:p w:rsidR="007F1FF5" w:rsidRPr="00B52A8A" w:rsidRDefault="007F1FF5" w:rsidP="000D0FAE">
      <w:pPr>
        <w:pStyle w:val="P-text"/>
        <w:ind w:firstLine="0"/>
        <w:rPr>
          <w:sz w:val="26"/>
          <w:szCs w:val="26"/>
        </w:rPr>
      </w:pPr>
    </w:p>
    <w:p w:rsidR="007F1FF5" w:rsidRPr="00B52A8A" w:rsidRDefault="007F1FF5" w:rsidP="000D0FAE">
      <w:pPr>
        <w:pStyle w:val="P-text"/>
        <w:ind w:firstLine="0"/>
        <w:rPr>
          <w:sz w:val="26"/>
          <w:szCs w:val="26"/>
        </w:rPr>
      </w:pPr>
    </w:p>
    <w:p w:rsidR="007F1FF5" w:rsidRPr="00B52A8A" w:rsidRDefault="007F1FF5" w:rsidP="0088546D">
      <w:pPr>
        <w:pStyle w:val="P-text"/>
        <w:jc w:val="center"/>
        <w:rPr>
          <w:sz w:val="26"/>
          <w:szCs w:val="26"/>
        </w:rPr>
      </w:pPr>
    </w:p>
    <w:p w:rsidR="007F1FF5" w:rsidRPr="00B52A8A" w:rsidRDefault="007F1FF5" w:rsidP="0088546D">
      <w:pPr>
        <w:pStyle w:val="P-text"/>
        <w:jc w:val="center"/>
        <w:rPr>
          <w:sz w:val="26"/>
          <w:szCs w:val="26"/>
        </w:rPr>
      </w:pPr>
    </w:p>
    <w:p w:rsidR="0088546D" w:rsidRPr="00B52A8A" w:rsidRDefault="0088546D" w:rsidP="0088546D">
      <w:pPr>
        <w:pStyle w:val="P-text"/>
        <w:jc w:val="center"/>
        <w:rPr>
          <w:sz w:val="26"/>
          <w:szCs w:val="26"/>
        </w:rPr>
      </w:pPr>
      <w:r w:rsidRPr="00B52A8A">
        <w:rPr>
          <w:sz w:val="26"/>
          <w:szCs w:val="26"/>
        </w:rPr>
        <w:t>Autor: Petra Setinská, učitelství pro střední školy,</w:t>
      </w:r>
      <w:bookmarkEnd w:id="0"/>
      <w:bookmarkEnd w:id="1"/>
      <w:bookmarkEnd w:id="2"/>
      <w:bookmarkEnd w:id="3"/>
    </w:p>
    <w:p w:rsidR="0088546D" w:rsidRPr="00B52A8A" w:rsidRDefault="0088546D" w:rsidP="0088546D">
      <w:pPr>
        <w:pStyle w:val="P-text"/>
        <w:jc w:val="center"/>
        <w:rPr>
          <w:sz w:val="26"/>
          <w:szCs w:val="26"/>
        </w:rPr>
      </w:pPr>
      <w:bookmarkStart w:id="4" w:name="_Toc237930404"/>
      <w:bookmarkStart w:id="5" w:name="_Toc237930766"/>
      <w:bookmarkStart w:id="6" w:name="_Toc237931366"/>
      <w:bookmarkStart w:id="7" w:name="_Toc237931885"/>
      <w:r w:rsidRPr="00B52A8A">
        <w:rPr>
          <w:sz w:val="26"/>
          <w:szCs w:val="26"/>
        </w:rPr>
        <w:t>kombinace tělesná výchova - anglická filologie</w:t>
      </w:r>
      <w:bookmarkEnd w:id="4"/>
      <w:bookmarkEnd w:id="5"/>
      <w:bookmarkEnd w:id="6"/>
      <w:bookmarkEnd w:id="7"/>
    </w:p>
    <w:p w:rsidR="0088546D" w:rsidRPr="00B52A8A" w:rsidRDefault="0088546D" w:rsidP="0088546D">
      <w:pPr>
        <w:pStyle w:val="P-text"/>
        <w:jc w:val="center"/>
        <w:rPr>
          <w:sz w:val="26"/>
          <w:szCs w:val="26"/>
        </w:rPr>
      </w:pPr>
      <w:r w:rsidRPr="00B52A8A">
        <w:rPr>
          <w:sz w:val="26"/>
          <w:szCs w:val="26"/>
        </w:rPr>
        <w:t>Vedoucí práce: Doc. RNDr. Miroslava Přidalová, Ph.D.</w:t>
      </w:r>
    </w:p>
    <w:p w:rsidR="0088546D" w:rsidRPr="00B52A8A" w:rsidRDefault="0088546D" w:rsidP="000D0FAE">
      <w:pPr>
        <w:pStyle w:val="P-text"/>
        <w:rPr>
          <w:sz w:val="26"/>
          <w:szCs w:val="26"/>
        </w:rPr>
      </w:pPr>
      <w:r w:rsidRPr="00B52A8A">
        <w:rPr>
          <w:sz w:val="26"/>
          <w:szCs w:val="26"/>
        </w:rPr>
        <w:t xml:space="preserve">                                     Olomouc 2011</w:t>
      </w:r>
    </w:p>
    <w:p w:rsidR="00264695" w:rsidRPr="00B52A8A" w:rsidRDefault="00264695" w:rsidP="0088546D">
      <w:pPr>
        <w:spacing w:after="0"/>
        <w:rPr>
          <w:b/>
          <w:szCs w:val="24"/>
        </w:rPr>
      </w:pPr>
    </w:p>
    <w:p w:rsidR="0088546D" w:rsidRPr="00B52A8A" w:rsidRDefault="0088546D" w:rsidP="00532BCC">
      <w:pPr>
        <w:spacing w:after="0"/>
        <w:rPr>
          <w:sz w:val="26"/>
          <w:szCs w:val="26"/>
        </w:rPr>
      </w:pPr>
      <w:r w:rsidRPr="00B52A8A">
        <w:rPr>
          <w:b/>
          <w:szCs w:val="24"/>
        </w:rPr>
        <w:lastRenderedPageBreak/>
        <w:t xml:space="preserve">Jméno a příjmení autora: </w:t>
      </w:r>
      <w:r w:rsidRPr="00B52A8A">
        <w:rPr>
          <w:szCs w:val="24"/>
        </w:rPr>
        <w:t>Petra Setinská</w:t>
      </w:r>
    </w:p>
    <w:p w:rsidR="0088546D" w:rsidRPr="00B52A8A" w:rsidRDefault="0088546D" w:rsidP="00532BCC">
      <w:pPr>
        <w:spacing w:before="240"/>
        <w:rPr>
          <w:szCs w:val="24"/>
        </w:rPr>
      </w:pPr>
      <w:r w:rsidRPr="00B52A8A">
        <w:rPr>
          <w:b/>
          <w:szCs w:val="24"/>
        </w:rPr>
        <w:t>Název bakalářské práce:</w:t>
      </w:r>
      <w:r w:rsidR="00C915A6" w:rsidRPr="00B52A8A">
        <w:rPr>
          <w:b/>
          <w:szCs w:val="24"/>
        </w:rPr>
        <w:t xml:space="preserve"> </w:t>
      </w:r>
      <w:r w:rsidRPr="00B52A8A">
        <w:rPr>
          <w:szCs w:val="24"/>
        </w:rPr>
        <w:t>Tělesné složení a pohybová aktivita seniorů</w:t>
      </w:r>
      <w:r w:rsidRPr="00B52A8A">
        <w:rPr>
          <w:szCs w:val="24"/>
        </w:rPr>
        <w:br/>
        <w:t xml:space="preserve">             </w:t>
      </w:r>
      <w:r w:rsidR="00AD4807" w:rsidRPr="00B52A8A">
        <w:rPr>
          <w:szCs w:val="24"/>
        </w:rPr>
        <w:t xml:space="preserve">                             </w:t>
      </w:r>
      <w:r w:rsidRPr="00B52A8A">
        <w:rPr>
          <w:szCs w:val="24"/>
        </w:rPr>
        <w:t xml:space="preserve">navštěvujících U3V v Katovicích              </w:t>
      </w:r>
    </w:p>
    <w:p w:rsidR="0088546D" w:rsidRPr="00B52A8A" w:rsidRDefault="0088546D" w:rsidP="00856161">
      <w:pPr>
        <w:rPr>
          <w:szCs w:val="24"/>
        </w:rPr>
      </w:pPr>
      <w:r w:rsidRPr="00B52A8A">
        <w:rPr>
          <w:b/>
          <w:szCs w:val="24"/>
        </w:rPr>
        <w:t>Pracoviště:</w:t>
      </w:r>
      <w:r w:rsidR="00856161" w:rsidRPr="00B52A8A">
        <w:rPr>
          <w:szCs w:val="24"/>
        </w:rPr>
        <w:t xml:space="preserve"> Katedra přírodních věd </w:t>
      </w:r>
      <w:r w:rsidR="00014491" w:rsidRPr="00B52A8A">
        <w:rPr>
          <w:szCs w:val="24"/>
        </w:rPr>
        <w:t>v</w:t>
      </w:r>
      <w:r w:rsidR="00856161" w:rsidRPr="00B52A8A">
        <w:rPr>
          <w:szCs w:val="24"/>
        </w:rPr>
        <w:t> </w:t>
      </w:r>
      <w:r w:rsidR="00014491" w:rsidRPr="00B52A8A">
        <w:rPr>
          <w:szCs w:val="24"/>
        </w:rPr>
        <w:t>kinantropologii</w:t>
      </w:r>
      <w:r w:rsidR="00856161" w:rsidRPr="00B52A8A">
        <w:rPr>
          <w:color w:val="FF0000"/>
          <w:szCs w:val="24"/>
        </w:rPr>
        <w:t xml:space="preserve"> </w:t>
      </w:r>
      <w:r w:rsidR="00856161" w:rsidRPr="00B52A8A">
        <w:rPr>
          <w:szCs w:val="24"/>
        </w:rPr>
        <w:t xml:space="preserve">FTK UP </w:t>
      </w:r>
      <w:r w:rsidR="003F6116" w:rsidRPr="00B52A8A">
        <w:rPr>
          <w:szCs w:val="24"/>
        </w:rPr>
        <w:br/>
        <w:t xml:space="preserve">                      </w:t>
      </w:r>
      <w:r w:rsidR="00856161" w:rsidRPr="00B52A8A">
        <w:rPr>
          <w:szCs w:val="24"/>
        </w:rPr>
        <w:t>v Olomouci</w:t>
      </w:r>
      <w:r w:rsidR="00AD4807" w:rsidRPr="00B52A8A">
        <w:rPr>
          <w:color w:val="FF0000"/>
          <w:szCs w:val="24"/>
        </w:rPr>
        <w:t xml:space="preserve">         </w:t>
      </w:r>
      <w:r w:rsidRPr="00B52A8A">
        <w:rPr>
          <w:color w:val="FF0000"/>
          <w:szCs w:val="24"/>
        </w:rPr>
        <w:t xml:space="preserve"> </w:t>
      </w:r>
    </w:p>
    <w:p w:rsidR="0088546D" w:rsidRPr="00B52A8A" w:rsidRDefault="00A03243" w:rsidP="00532BCC">
      <w:pPr>
        <w:rPr>
          <w:szCs w:val="24"/>
        </w:rPr>
      </w:pPr>
      <w:r w:rsidRPr="00B52A8A">
        <w:rPr>
          <w:b/>
          <w:szCs w:val="24"/>
        </w:rPr>
        <w:t>Vedoucí magister</w:t>
      </w:r>
      <w:r w:rsidR="0088546D" w:rsidRPr="00B52A8A">
        <w:rPr>
          <w:b/>
          <w:szCs w:val="24"/>
        </w:rPr>
        <w:t xml:space="preserve">ské práce: </w:t>
      </w:r>
      <w:r w:rsidR="0088546D" w:rsidRPr="00B52A8A">
        <w:rPr>
          <w:szCs w:val="24"/>
        </w:rPr>
        <w:t>Doc. RNDr. Miroslava Přidalová, Ph.D.</w:t>
      </w:r>
    </w:p>
    <w:p w:rsidR="00D45A8A" w:rsidRPr="00B52A8A" w:rsidRDefault="0088546D" w:rsidP="0088546D">
      <w:pPr>
        <w:rPr>
          <w:szCs w:val="24"/>
        </w:rPr>
      </w:pPr>
      <w:r w:rsidRPr="00B52A8A">
        <w:rPr>
          <w:b/>
          <w:szCs w:val="24"/>
        </w:rPr>
        <w:t xml:space="preserve">Rok obhajoby bakalářské práce: </w:t>
      </w:r>
      <w:r w:rsidRPr="00B52A8A">
        <w:rPr>
          <w:szCs w:val="24"/>
        </w:rPr>
        <w:t>2011</w:t>
      </w:r>
    </w:p>
    <w:p w:rsidR="00D45A8A" w:rsidRPr="00B52A8A" w:rsidRDefault="0088546D" w:rsidP="0088546D">
      <w:pPr>
        <w:rPr>
          <w:szCs w:val="24"/>
        </w:rPr>
      </w:pPr>
      <w:r w:rsidRPr="00B52A8A">
        <w:rPr>
          <w:b/>
          <w:szCs w:val="24"/>
        </w:rPr>
        <w:t xml:space="preserve">Abstrakt: </w:t>
      </w:r>
      <w:r w:rsidR="00C915A6" w:rsidRPr="00B52A8A">
        <w:rPr>
          <w:szCs w:val="24"/>
        </w:rPr>
        <w:t>Tato magister</w:t>
      </w:r>
      <w:r w:rsidRPr="00B52A8A">
        <w:rPr>
          <w:szCs w:val="24"/>
        </w:rPr>
        <w:t xml:space="preserve">ská práce řeší tělesné složení polských seniorů, klientů Univerzity třetího věku v Katovicích metodou bioelektrické impedanční analýzy </w:t>
      </w:r>
      <w:r w:rsidR="007F1FF5" w:rsidRPr="00B52A8A">
        <w:rPr>
          <w:szCs w:val="24"/>
        </w:rPr>
        <w:t xml:space="preserve">na základě špičkových přístrojů </w:t>
      </w:r>
      <w:r w:rsidR="00C12C79" w:rsidRPr="00B52A8A">
        <w:rPr>
          <w:szCs w:val="24"/>
        </w:rPr>
        <w:t>Tanita NC-BC 418, InBody 720</w:t>
      </w:r>
      <w:r w:rsidR="00C915A6" w:rsidRPr="00B52A8A">
        <w:rPr>
          <w:szCs w:val="24"/>
        </w:rPr>
        <w:t>. Pohybová aktivita byla sledována pomocí akcelerometru ActiGraph</w:t>
      </w:r>
      <w:r w:rsidR="00D45A8A" w:rsidRPr="00B52A8A">
        <w:rPr>
          <w:szCs w:val="24"/>
        </w:rPr>
        <w:t xml:space="preserve"> GT1M</w:t>
      </w:r>
      <w:r w:rsidRPr="00B52A8A">
        <w:rPr>
          <w:szCs w:val="24"/>
        </w:rPr>
        <w:t>. Byly sledovány vybrané parametry tělesného složení, které byly naměřeny, analyzovány a vzájemně srovnány.</w:t>
      </w:r>
      <w:r w:rsidR="00C12C79" w:rsidRPr="00B52A8A">
        <w:rPr>
          <w:szCs w:val="24"/>
        </w:rPr>
        <w:t xml:space="preserve"> </w:t>
      </w:r>
      <w:r w:rsidRPr="00B52A8A">
        <w:rPr>
          <w:szCs w:val="24"/>
        </w:rPr>
        <w:t xml:space="preserve"> Snahou práce bylo determinovat diference vybraných frakcí</w:t>
      </w:r>
      <w:r w:rsidR="00264695" w:rsidRPr="00B52A8A">
        <w:rPr>
          <w:szCs w:val="24"/>
        </w:rPr>
        <w:t xml:space="preserve"> tělesného složení</w:t>
      </w:r>
      <w:r w:rsidR="00C12C79" w:rsidRPr="00B52A8A">
        <w:rPr>
          <w:szCs w:val="24"/>
        </w:rPr>
        <w:t xml:space="preserve"> </w:t>
      </w:r>
      <w:r w:rsidR="00264695" w:rsidRPr="00B52A8A">
        <w:rPr>
          <w:szCs w:val="24"/>
        </w:rPr>
        <w:br/>
      </w:r>
      <w:r w:rsidR="00C12C79" w:rsidRPr="00B52A8A">
        <w:rPr>
          <w:szCs w:val="24"/>
        </w:rPr>
        <w:t>a hledat vztahy mezi tělesným složením a pohybovou</w:t>
      </w:r>
      <w:r w:rsidR="007F1FF5" w:rsidRPr="00B52A8A">
        <w:rPr>
          <w:szCs w:val="24"/>
        </w:rPr>
        <w:t xml:space="preserve"> aktivitou.</w:t>
      </w:r>
      <w:r w:rsidR="00532BCC" w:rsidRPr="00B52A8A">
        <w:rPr>
          <w:szCs w:val="24"/>
        </w:rPr>
        <w:t xml:space="preserve"> Vybrané parametry se shodují se predikovanými změnami tělesného složení u seniorů. Pohybová aktivita pozitivně ovlivňuje negativní změny tělesného složení s</w:t>
      </w:r>
      <w:r w:rsidR="003F6116" w:rsidRPr="00B52A8A">
        <w:rPr>
          <w:szCs w:val="24"/>
        </w:rPr>
        <w:t xml:space="preserve">pojené s věkem, </w:t>
      </w:r>
      <w:r w:rsidR="00532BCC" w:rsidRPr="00B52A8A">
        <w:rPr>
          <w:szCs w:val="24"/>
        </w:rPr>
        <w:t>snižuje úbytek aktivní tělesné hmoty, nárůst hmoty tukové a snižuje riziko vzniku nebezpečných chorob.</w:t>
      </w:r>
    </w:p>
    <w:p w:rsidR="00014491" w:rsidRPr="00B52A8A" w:rsidRDefault="0088546D" w:rsidP="00532BCC">
      <w:pPr>
        <w:rPr>
          <w:szCs w:val="24"/>
        </w:rPr>
      </w:pPr>
      <w:r w:rsidRPr="00B52A8A">
        <w:rPr>
          <w:b/>
          <w:szCs w:val="24"/>
        </w:rPr>
        <w:t xml:space="preserve">Klíčová slova: </w:t>
      </w:r>
      <w:r w:rsidRPr="00B52A8A">
        <w:rPr>
          <w:szCs w:val="24"/>
        </w:rPr>
        <w:t>frakcionace tělesné hmotnosti, bioelektrická impedančn</w:t>
      </w:r>
      <w:r w:rsidR="007F1FF5" w:rsidRPr="00B52A8A">
        <w:rPr>
          <w:szCs w:val="24"/>
        </w:rPr>
        <w:t xml:space="preserve">í analýza, přístrojové vybavení </w:t>
      </w:r>
      <w:r w:rsidRPr="00B52A8A">
        <w:rPr>
          <w:szCs w:val="24"/>
        </w:rPr>
        <w:t>Tanita NC-BC 418,</w:t>
      </w:r>
      <w:r w:rsidR="00C12C79" w:rsidRPr="00B52A8A">
        <w:rPr>
          <w:szCs w:val="24"/>
        </w:rPr>
        <w:t xml:space="preserve"> InBody 720, ActiGraf,</w:t>
      </w:r>
      <w:r w:rsidRPr="00B52A8A">
        <w:rPr>
          <w:szCs w:val="24"/>
        </w:rPr>
        <w:t xml:space="preserve"> segmentální analýza</w:t>
      </w:r>
      <w:r w:rsidR="007F1FF5" w:rsidRPr="00B52A8A">
        <w:rPr>
          <w:szCs w:val="24"/>
        </w:rPr>
        <w:t xml:space="preserve">, </w:t>
      </w:r>
      <w:r w:rsidR="00C915A6" w:rsidRPr="00B52A8A">
        <w:rPr>
          <w:szCs w:val="24"/>
        </w:rPr>
        <w:t>pohybová aktivita seniorů, vztah</w:t>
      </w:r>
      <w:r w:rsidR="007F1FF5" w:rsidRPr="00B52A8A">
        <w:rPr>
          <w:szCs w:val="24"/>
        </w:rPr>
        <w:t xml:space="preserve"> pohybové aktivity</w:t>
      </w:r>
      <w:r w:rsidR="00C915A6" w:rsidRPr="00B52A8A">
        <w:rPr>
          <w:szCs w:val="24"/>
        </w:rPr>
        <w:t xml:space="preserve"> a tělesného složení</w:t>
      </w:r>
      <w:r w:rsidR="007F1FF5" w:rsidRPr="00B52A8A">
        <w:rPr>
          <w:szCs w:val="24"/>
        </w:rPr>
        <w:t>.</w:t>
      </w:r>
    </w:p>
    <w:p w:rsidR="00014491" w:rsidRPr="00B52A8A" w:rsidRDefault="00C915A6" w:rsidP="000D0FAE">
      <w:pPr>
        <w:pStyle w:val="P-text"/>
        <w:ind w:firstLine="0"/>
      </w:pPr>
      <w:r w:rsidRPr="00B52A8A">
        <w:t>Magisterská</w:t>
      </w:r>
      <w:r w:rsidR="0088546D" w:rsidRPr="00B52A8A">
        <w:t xml:space="preserve"> práce byla zpracována v rámci projektu „Pohybová aktivita a inaktivita obyvatel České republiky v kontextu behaviorálních změn“ (IK: 6198959221).</w:t>
      </w:r>
    </w:p>
    <w:p w:rsidR="000D0FAE" w:rsidRPr="00B52A8A" w:rsidRDefault="00C915A6" w:rsidP="000D0FAE">
      <w:pPr>
        <w:pStyle w:val="P-text"/>
        <w:ind w:firstLine="0"/>
      </w:pPr>
      <w:r w:rsidRPr="00B52A8A">
        <w:t>Souhlasím s půjčováním magisterské</w:t>
      </w:r>
      <w:r w:rsidR="0088546D" w:rsidRPr="00B52A8A">
        <w:t xml:space="preserve"> práce v rámci knihovních služeb.</w:t>
      </w:r>
    </w:p>
    <w:p w:rsidR="00A03243" w:rsidRPr="00B52A8A" w:rsidRDefault="00A03243" w:rsidP="00A03243">
      <w:pPr>
        <w:spacing w:after="200" w:line="276" w:lineRule="auto"/>
        <w:jc w:val="left"/>
        <w:rPr>
          <w:b/>
          <w:szCs w:val="24"/>
        </w:rPr>
      </w:pPr>
      <w:r w:rsidRPr="00B52A8A">
        <w:rPr>
          <w:b/>
          <w:szCs w:val="24"/>
        </w:rPr>
        <w:lastRenderedPageBreak/>
        <w:br w:type="page"/>
      </w:r>
    </w:p>
    <w:p w:rsidR="0088546D" w:rsidRPr="00B52A8A" w:rsidRDefault="0088546D" w:rsidP="0088546D">
      <w:pPr>
        <w:rPr>
          <w:szCs w:val="24"/>
        </w:rPr>
      </w:pPr>
      <w:r w:rsidRPr="00B52A8A">
        <w:rPr>
          <w:b/>
          <w:szCs w:val="24"/>
        </w:rPr>
        <w:lastRenderedPageBreak/>
        <w:t xml:space="preserve">Author´s first name and surname: </w:t>
      </w:r>
      <w:r w:rsidRPr="00B52A8A">
        <w:rPr>
          <w:szCs w:val="24"/>
        </w:rPr>
        <w:t>Petra Setinská</w:t>
      </w:r>
    </w:p>
    <w:p w:rsidR="0088546D" w:rsidRPr="00B52A8A" w:rsidRDefault="00AD4807" w:rsidP="0088546D">
      <w:pPr>
        <w:rPr>
          <w:szCs w:val="24"/>
        </w:rPr>
      </w:pPr>
      <w:r w:rsidRPr="00B52A8A">
        <w:rPr>
          <w:b/>
          <w:szCs w:val="24"/>
        </w:rPr>
        <w:t>Title of the maste</w:t>
      </w:r>
      <w:r w:rsidR="0088546D" w:rsidRPr="00B52A8A">
        <w:rPr>
          <w:b/>
          <w:szCs w:val="24"/>
        </w:rPr>
        <w:t xml:space="preserve">r thesis: </w:t>
      </w:r>
      <w:r w:rsidR="0088546D" w:rsidRPr="00B52A8A">
        <w:rPr>
          <w:szCs w:val="24"/>
        </w:rPr>
        <w:t>The body composition</w:t>
      </w:r>
      <w:r w:rsidR="00C12C79" w:rsidRPr="00B52A8A">
        <w:rPr>
          <w:szCs w:val="24"/>
        </w:rPr>
        <w:t xml:space="preserve"> and physical</w:t>
      </w:r>
      <w:r w:rsidRPr="00B52A8A">
        <w:rPr>
          <w:szCs w:val="24"/>
        </w:rPr>
        <w:br/>
        <w:t xml:space="preserve">                     </w:t>
      </w:r>
      <w:r w:rsidR="00C12C79" w:rsidRPr="00B52A8A">
        <w:rPr>
          <w:szCs w:val="24"/>
        </w:rPr>
        <w:t xml:space="preserve"> </w:t>
      </w:r>
      <w:r w:rsidRPr="00B52A8A">
        <w:rPr>
          <w:szCs w:val="24"/>
        </w:rPr>
        <w:t xml:space="preserve">                           </w:t>
      </w:r>
      <w:r w:rsidR="002057E1" w:rsidRPr="00B52A8A">
        <w:rPr>
          <w:szCs w:val="24"/>
        </w:rPr>
        <w:t xml:space="preserve">  </w:t>
      </w:r>
      <w:r w:rsidR="00D45A8A" w:rsidRPr="00B52A8A">
        <w:rPr>
          <w:szCs w:val="24"/>
        </w:rPr>
        <w:t xml:space="preserve"> </w:t>
      </w:r>
      <w:r w:rsidRPr="00B52A8A">
        <w:rPr>
          <w:szCs w:val="24"/>
        </w:rPr>
        <w:t xml:space="preserve">activity </w:t>
      </w:r>
      <w:r w:rsidR="00A03243" w:rsidRPr="00B52A8A">
        <w:rPr>
          <w:szCs w:val="24"/>
        </w:rPr>
        <w:t xml:space="preserve">of </w:t>
      </w:r>
      <w:proofErr w:type="gramStart"/>
      <w:r w:rsidR="00A03243" w:rsidRPr="00B52A8A">
        <w:rPr>
          <w:szCs w:val="24"/>
        </w:rPr>
        <w:t>senior</w:t>
      </w:r>
      <w:proofErr w:type="gramEnd"/>
      <w:r w:rsidR="00A03243" w:rsidRPr="00B52A8A">
        <w:rPr>
          <w:szCs w:val="24"/>
        </w:rPr>
        <w:t xml:space="preserve"> </w:t>
      </w:r>
      <w:r w:rsidR="0088546D" w:rsidRPr="00B52A8A">
        <w:rPr>
          <w:szCs w:val="24"/>
        </w:rPr>
        <w:t>population</w:t>
      </w:r>
      <w:r w:rsidRPr="00B52A8A">
        <w:rPr>
          <w:szCs w:val="24"/>
        </w:rPr>
        <w:t xml:space="preserve"> </w:t>
      </w:r>
      <w:r w:rsidRPr="00B52A8A">
        <w:rPr>
          <w:szCs w:val="24"/>
        </w:rPr>
        <w:br/>
        <w:t xml:space="preserve">                                                  </w:t>
      </w:r>
      <w:r w:rsidR="002057E1" w:rsidRPr="00B52A8A">
        <w:rPr>
          <w:szCs w:val="24"/>
        </w:rPr>
        <w:t xml:space="preserve"> </w:t>
      </w:r>
      <w:r w:rsidRPr="00B52A8A">
        <w:rPr>
          <w:szCs w:val="24"/>
        </w:rPr>
        <w:t xml:space="preserve">attending U3V in </w:t>
      </w:r>
      <w:r w:rsidR="00C12C79" w:rsidRPr="00B52A8A">
        <w:rPr>
          <w:szCs w:val="24"/>
        </w:rPr>
        <w:t>Katovice.</w:t>
      </w:r>
    </w:p>
    <w:p w:rsidR="0088546D" w:rsidRPr="00B52A8A" w:rsidRDefault="0088546D" w:rsidP="0088546D">
      <w:pPr>
        <w:rPr>
          <w:szCs w:val="24"/>
        </w:rPr>
      </w:pPr>
      <w:r w:rsidRPr="00B52A8A">
        <w:rPr>
          <w:b/>
          <w:szCs w:val="24"/>
        </w:rPr>
        <w:t xml:space="preserve">Department: </w:t>
      </w:r>
      <w:r w:rsidR="00AD4807" w:rsidRPr="00B52A8A">
        <w:rPr>
          <w:szCs w:val="24"/>
        </w:rPr>
        <w:t xml:space="preserve">Department of </w:t>
      </w:r>
      <w:r w:rsidR="00A03243" w:rsidRPr="00B52A8A">
        <w:rPr>
          <w:szCs w:val="24"/>
        </w:rPr>
        <w:t xml:space="preserve">natural </w:t>
      </w:r>
      <w:r w:rsidR="00AD4807" w:rsidRPr="00B52A8A">
        <w:rPr>
          <w:szCs w:val="24"/>
        </w:rPr>
        <w:t>science</w:t>
      </w:r>
      <w:r w:rsidR="00A03243" w:rsidRPr="00B52A8A">
        <w:rPr>
          <w:szCs w:val="24"/>
        </w:rPr>
        <w:t>s</w:t>
      </w:r>
      <w:r w:rsidR="00AD4807" w:rsidRPr="00B52A8A">
        <w:rPr>
          <w:szCs w:val="24"/>
        </w:rPr>
        <w:t xml:space="preserve"> in kinat</w:t>
      </w:r>
      <w:r w:rsidR="003F6116" w:rsidRPr="00B52A8A">
        <w:rPr>
          <w:szCs w:val="24"/>
        </w:rPr>
        <w:t>h</w:t>
      </w:r>
      <w:r w:rsidR="00AD4807" w:rsidRPr="00B52A8A">
        <w:rPr>
          <w:szCs w:val="24"/>
        </w:rPr>
        <w:t>ropology</w:t>
      </w:r>
      <w:r w:rsidR="003F6116" w:rsidRPr="00B52A8A">
        <w:rPr>
          <w:szCs w:val="24"/>
        </w:rPr>
        <w:t xml:space="preserve"> FTK UP</w:t>
      </w:r>
      <w:r w:rsidR="003F6116" w:rsidRPr="00B52A8A">
        <w:rPr>
          <w:szCs w:val="24"/>
        </w:rPr>
        <w:br/>
        <w:t xml:space="preserve">                      in Olomouc</w:t>
      </w:r>
    </w:p>
    <w:p w:rsidR="0088546D" w:rsidRPr="00B52A8A" w:rsidRDefault="0088546D" w:rsidP="0088546D">
      <w:pPr>
        <w:rPr>
          <w:szCs w:val="24"/>
        </w:rPr>
      </w:pPr>
      <w:r w:rsidRPr="00B52A8A">
        <w:rPr>
          <w:b/>
          <w:szCs w:val="24"/>
        </w:rPr>
        <w:t xml:space="preserve">Supervisor: </w:t>
      </w:r>
      <w:r w:rsidRPr="00B52A8A">
        <w:rPr>
          <w:szCs w:val="24"/>
        </w:rPr>
        <w:t>Doc. RNDr. Miroslava Přidalová, Ph.D.</w:t>
      </w:r>
    </w:p>
    <w:p w:rsidR="0088546D" w:rsidRPr="00B52A8A" w:rsidRDefault="0088546D" w:rsidP="001B759E">
      <w:pPr>
        <w:spacing w:after="0"/>
        <w:rPr>
          <w:szCs w:val="24"/>
        </w:rPr>
      </w:pPr>
      <w:r w:rsidRPr="00B52A8A">
        <w:rPr>
          <w:b/>
          <w:szCs w:val="24"/>
        </w:rPr>
        <w:t xml:space="preserve">The year of the presentation: </w:t>
      </w:r>
      <w:r w:rsidR="00C12C79" w:rsidRPr="00B52A8A">
        <w:rPr>
          <w:szCs w:val="24"/>
        </w:rPr>
        <w:t>2011</w:t>
      </w:r>
    </w:p>
    <w:p w:rsidR="000D0FAE" w:rsidRPr="00B52A8A" w:rsidRDefault="0088546D" w:rsidP="00D45A8A">
      <w:pPr>
        <w:rPr>
          <w:b/>
          <w:szCs w:val="24"/>
        </w:rPr>
      </w:pPr>
      <w:r w:rsidRPr="00B52A8A">
        <w:rPr>
          <w:b/>
          <w:szCs w:val="24"/>
        </w:rPr>
        <w:t xml:space="preserve">Abstract: </w:t>
      </w:r>
      <w:r w:rsidR="00C915A6" w:rsidRPr="00B52A8A">
        <w:rPr>
          <w:szCs w:val="24"/>
        </w:rPr>
        <w:t>This master</w:t>
      </w:r>
      <w:r w:rsidRPr="00B52A8A">
        <w:rPr>
          <w:szCs w:val="24"/>
        </w:rPr>
        <w:t xml:space="preserve"> thesis deals with the body composition of Polish senior, clients of the University of 3</w:t>
      </w:r>
      <w:r w:rsidRPr="00B52A8A">
        <w:rPr>
          <w:szCs w:val="24"/>
          <w:vertAlign w:val="superscript"/>
        </w:rPr>
        <w:t>rd</w:t>
      </w:r>
      <w:r w:rsidR="003F6116" w:rsidRPr="00B52A8A">
        <w:rPr>
          <w:szCs w:val="24"/>
        </w:rPr>
        <w:t xml:space="preserve"> age in Katowice by the bioelectrical impedance a</w:t>
      </w:r>
      <w:r w:rsidRPr="00B52A8A">
        <w:rPr>
          <w:szCs w:val="24"/>
        </w:rPr>
        <w:t>nalysis method, that is based on the</w:t>
      </w:r>
      <w:r w:rsidR="003F6116" w:rsidRPr="00B52A8A">
        <w:rPr>
          <w:szCs w:val="24"/>
        </w:rPr>
        <w:t xml:space="preserve"> usage of modern devices</w:t>
      </w:r>
      <w:r w:rsidR="00C12C79" w:rsidRPr="00B52A8A">
        <w:rPr>
          <w:szCs w:val="24"/>
        </w:rPr>
        <w:t>, Tanita NC-BC 418, InBody 720 and ActiGraph</w:t>
      </w:r>
      <w:r w:rsidR="003F6116" w:rsidRPr="00B52A8A">
        <w:rPr>
          <w:szCs w:val="24"/>
        </w:rPr>
        <w:t xml:space="preserve"> GT1M</w:t>
      </w:r>
      <w:r w:rsidRPr="00B52A8A">
        <w:rPr>
          <w:szCs w:val="24"/>
        </w:rPr>
        <w:t>. Selected parameters of the body composition were studied, measured, analysed and mutually compared. The object of the thesis was to determinate differences of selected fr</w:t>
      </w:r>
      <w:r w:rsidR="00C12C79" w:rsidRPr="00B52A8A">
        <w:rPr>
          <w:szCs w:val="24"/>
        </w:rPr>
        <w:t xml:space="preserve">actions of the body composition, to analyze and search relation between body composition and physical </w:t>
      </w:r>
      <w:r w:rsidR="007F1FF5" w:rsidRPr="00B52A8A">
        <w:rPr>
          <w:szCs w:val="24"/>
        </w:rPr>
        <w:t>activity.</w:t>
      </w:r>
      <w:r w:rsidR="00C12C79" w:rsidRPr="00B52A8A">
        <w:rPr>
          <w:szCs w:val="24"/>
        </w:rPr>
        <w:t xml:space="preserve">  </w:t>
      </w:r>
      <w:r w:rsidR="00D45A8A" w:rsidRPr="00B52A8A">
        <w:rPr>
          <w:szCs w:val="24"/>
        </w:rPr>
        <w:t>Selected parameters correspond to the changes of body composition a</w:t>
      </w:r>
      <w:r w:rsidR="003F6116" w:rsidRPr="00B52A8A">
        <w:rPr>
          <w:szCs w:val="24"/>
        </w:rPr>
        <w:t>t seniors. Physical activity pos</w:t>
      </w:r>
      <w:r w:rsidR="00D45A8A" w:rsidRPr="00B52A8A">
        <w:rPr>
          <w:szCs w:val="24"/>
        </w:rPr>
        <w:t>itively influences the negative changes of the body composition during ageing. It reduces the decrease of the fat free mass, the increase of the fat mass and it also reduces the risk of dangerous diseases.</w:t>
      </w:r>
    </w:p>
    <w:p w:rsidR="00014491" w:rsidRPr="00B52A8A" w:rsidRDefault="0088546D" w:rsidP="00D45A8A">
      <w:pPr>
        <w:spacing w:before="240"/>
        <w:rPr>
          <w:szCs w:val="24"/>
        </w:rPr>
      </w:pPr>
      <w:r w:rsidRPr="00B52A8A">
        <w:rPr>
          <w:b/>
          <w:szCs w:val="24"/>
        </w:rPr>
        <w:t xml:space="preserve">Keywords: </w:t>
      </w:r>
      <w:r w:rsidRPr="00B52A8A">
        <w:rPr>
          <w:szCs w:val="24"/>
        </w:rPr>
        <w:t xml:space="preserve">body weight fractionation, bioelectrical impedance analysis, provided devices </w:t>
      </w:r>
      <w:r w:rsidR="0031184C" w:rsidRPr="00B52A8A">
        <w:rPr>
          <w:szCs w:val="24"/>
        </w:rPr>
        <w:t>Tanita NC-BC 418, InBody 720</w:t>
      </w:r>
      <w:r w:rsidRPr="00B52A8A">
        <w:rPr>
          <w:szCs w:val="24"/>
        </w:rPr>
        <w:t>,</w:t>
      </w:r>
      <w:r w:rsidR="0031184C" w:rsidRPr="00B52A8A">
        <w:rPr>
          <w:szCs w:val="24"/>
        </w:rPr>
        <w:t xml:space="preserve"> ActiGraph,</w:t>
      </w:r>
      <w:r w:rsidRPr="00B52A8A">
        <w:rPr>
          <w:szCs w:val="24"/>
        </w:rPr>
        <w:t xml:space="preserve"> segmental analysis</w:t>
      </w:r>
      <w:r w:rsidR="0031184C" w:rsidRPr="00B52A8A">
        <w:rPr>
          <w:szCs w:val="24"/>
        </w:rPr>
        <w:t xml:space="preserve">, physical </w:t>
      </w:r>
      <w:r w:rsidR="00A03605" w:rsidRPr="00B52A8A">
        <w:rPr>
          <w:szCs w:val="24"/>
        </w:rPr>
        <w:t>ac</w:t>
      </w:r>
      <w:r w:rsidR="00C915A6" w:rsidRPr="00B52A8A">
        <w:rPr>
          <w:szCs w:val="24"/>
        </w:rPr>
        <w:t xml:space="preserve">tivity of seniors, </w:t>
      </w:r>
      <w:r w:rsidR="007F1FF5" w:rsidRPr="00B52A8A">
        <w:rPr>
          <w:szCs w:val="24"/>
        </w:rPr>
        <w:t xml:space="preserve">physical </w:t>
      </w:r>
      <w:r w:rsidR="00C915A6" w:rsidRPr="00B52A8A">
        <w:rPr>
          <w:szCs w:val="24"/>
        </w:rPr>
        <w:t>aktivity and body composition relation</w:t>
      </w:r>
      <w:r w:rsidR="0031184C" w:rsidRPr="00B52A8A">
        <w:rPr>
          <w:szCs w:val="24"/>
        </w:rPr>
        <w:t>.</w:t>
      </w:r>
    </w:p>
    <w:p w:rsidR="00014491" w:rsidRPr="00B52A8A" w:rsidRDefault="00C915A6" w:rsidP="00AF4150">
      <w:pPr>
        <w:rPr>
          <w:szCs w:val="24"/>
        </w:rPr>
      </w:pPr>
      <w:r w:rsidRPr="00B52A8A">
        <w:rPr>
          <w:szCs w:val="24"/>
        </w:rPr>
        <w:t>The master</w:t>
      </w:r>
      <w:r w:rsidR="0088546D" w:rsidRPr="00B52A8A">
        <w:rPr>
          <w:szCs w:val="24"/>
        </w:rPr>
        <w:t xml:space="preserve"> thesis was elaborated within the project “Physical Activity and Inactivity of the Inhabitants of the Czech Republic in the Context of Behavioural Changes“ (IC: 6198959221).</w:t>
      </w:r>
    </w:p>
    <w:p w:rsidR="0088546D" w:rsidRPr="00B52A8A" w:rsidRDefault="0088546D" w:rsidP="00AF4150">
      <w:pPr>
        <w:rPr>
          <w:b/>
          <w:szCs w:val="24"/>
        </w:rPr>
      </w:pPr>
      <w:r w:rsidRPr="00B52A8A">
        <w:t>I agree the thesis paper to be lent within the library service.</w:t>
      </w:r>
    </w:p>
    <w:p w:rsidR="007F1FF5" w:rsidRPr="00B52A8A" w:rsidRDefault="007F1FF5" w:rsidP="007F1FF5">
      <w:pPr>
        <w:rPr>
          <w:szCs w:val="24"/>
        </w:rPr>
      </w:pPr>
    </w:p>
    <w:p w:rsidR="007F1FF5" w:rsidRPr="00B52A8A" w:rsidRDefault="007F1FF5" w:rsidP="007F1FF5">
      <w:pPr>
        <w:rPr>
          <w:szCs w:val="24"/>
        </w:rPr>
      </w:pPr>
    </w:p>
    <w:p w:rsidR="007F1FF5" w:rsidRPr="00B52A8A" w:rsidRDefault="007F1FF5" w:rsidP="007F1FF5">
      <w:pPr>
        <w:rPr>
          <w:szCs w:val="24"/>
        </w:rPr>
      </w:pPr>
    </w:p>
    <w:p w:rsidR="007F1FF5" w:rsidRPr="00B52A8A" w:rsidRDefault="007F1FF5" w:rsidP="007F1FF5">
      <w:pPr>
        <w:rPr>
          <w:szCs w:val="24"/>
        </w:rPr>
      </w:pPr>
    </w:p>
    <w:p w:rsidR="007F1FF5" w:rsidRPr="00B52A8A" w:rsidRDefault="007F1FF5" w:rsidP="007F1FF5">
      <w:pPr>
        <w:rPr>
          <w:szCs w:val="24"/>
        </w:rPr>
      </w:pPr>
    </w:p>
    <w:p w:rsidR="007F1FF5" w:rsidRPr="00B52A8A" w:rsidRDefault="007F1FF5" w:rsidP="007F1FF5">
      <w:pPr>
        <w:rPr>
          <w:szCs w:val="24"/>
        </w:rPr>
      </w:pPr>
    </w:p>
    <w:p w:rsidR="007F1FF5" w:rsidRPr="00B52A8A" w:rsidRDefault="007F1FF5" w:rsidP="007F1FF5">
      <w:pPr>
        <w:rPr>
          <w:szCs w:val="24"/>
        </w:rPr>
      </w:pPr>
    </w:p>
    <w:p w:rsidR="007F1FF5" w:rsidRPr="00B52A8A" w:rsidRDefault="007F1FF5" w:rsidP="007F1FF5">
      <w:pPr>
        <w:rPr>
          <w:szCs w:val="24"/>
        </w:rPr>
      </w:pPr>
    </w:p>
    <w:p w:rsidR="007F1FF5" w:rsidRPr="00B52A8A" w:rsidRDefault="007F1FF5" w:rsidP="007F1FF5">
      <w:pPr>
        <w:rPr>
          <w:szCs w:val="24"/>
        </w:rPr>
      </w:pPr>
    </w:p>
    <w:p w:rsidR="007F1FF5" w:rsidRPr="00B52A8A" w:rsidRDefault="007F1FF5" w:rsidP="007F1FF5">
      <w:pPr>
        <w:rPr>
          <w:szCs w:val="24"/>
        </w:rPr>
      </w:pPr>
    </w:p>
    <w:p w:rsidR="007F1FF5" w:rsidRPr="00B52A8A" w:rsidRDefault="007F1FF5" w:rsidP="007F1FF5">
      <w:pPr>
        <w:rPr>
          <w:szCs w:val="24"/>
        </w:rPr>
      </w:pPr>
    </w:p>
    <w:p w:rsidR="007F1FF5" w:rsidRPr="00B52A8A" w:rsidRDefault="007F1FF5" w:rsidP="007F1FF5">
      <w:pPr>
        <w:rPr>
          <w:szCs w:val="24"/>
        </w:rPr>
      </w:pPr>
    </w:p>
    <w:p w:rsidR="007F1FF5" w:rsidRPr="00B52A8A" w:rsidRDefault="007F1FF5" w:rsidP="007F1FF5">
      <w:pPr>
        <w:rPr>
          <w:szCs w:val="24"/>
        </w:rPr>
      </w:pPr>
    </w:p>
    <w:p w:rsidR="007F1FF5" w:rsidRPr="00B52A8A" w:rsidRDefault="007F1FF5" w:rsidP="007F1FF5">
      <w:pPr>
        <w:rPr>
          <w:szCs w:val="24"/>
        </w:rPr>
      </w:pPr>
    </w:p>
    <w:p w:rsidR="007F1FF5" w:rsidRPr="00B52A8A" w:rsidRDefault="007F1FF5" w:rsidP="007F1FF5">
      <w:pPr>
        <w:rPr>
          <w:szCs w:val="24"/>
        </w:rPr>
      </w:pPr>
    </w:p>
    <w:p w:rsidR="007F1FF5" w:rsidRPr="00B52A8A" w:rsidRDefault="007F1FF5" w:rsidP="007F1FF5">
      <w:pPr>
        <w:rPr>
          <w:szCs w:val="24"/>
        </w:rPr>
      </w:pPr>
    </w:p>
    <w:p w:rsidR="007F1FF5" w:rsidRPr="00B52A8A" w:rsidRDefault="007F1FF5" w:rsidP="007F1FF5">
      <w:pPr>
        <w:rPr>
          <w:szCs w:val="24"/>
        </w:rPr>
      </w:pPr>
    </w:p>
    <w:p w:rsidR="007F1FF5" w:rsidRPr="00B52A8A" w:rsidRDefault="007F1FF5" w:rsidP="007F1FF5">
      <w:pPr>
        <w:rPr>
          <w:szCs w:val="24"/>
        </w:rPr>
      </w:pPr>
    </w:p>
    <w:p w:rsidR="007F1FF5" w:rsidRPr="00B52A8A" w:rsidRDefault="007F1FF5" w:rsidP="007F1FF5">
      <w:pPr>
        <w:rPr>
          <w:szCs w:val="24"/>
        </w:rPr>
      </w:pPr>
      <w:r w:rsidRPr="00B52A8A">
        <w:rPr>
          <w:szCs w:val="24"/>
        </w:rPr>
        <w:t>PROHLÁŠENÍ</w:t>
      </w:r>
    </w:p>
    <w:p w:rsidR="007F1FF5" w:rsidRPr="00B52A8A" w:rsidRDefault="00A03605" w:rsidP="007F1FF5">
      <w:pPr>
        <w:ind w:firstLine="708"/>
        <w:rPr>
          <w:szCs w:val="24"/>
        </w:rPr>
      </w:pPr>
      <w:r w:rsidRPr="00B52A8A">
        <w:rPr>
          <w:szCs w:val="24"/>
        </w:rPr>
        <w:t>Prohlašuji, že diplomovou</w:t>
      </w:r>
      <w:r w:rsidR="007F1FF5" w:rsidRPr="00B52A8A">
        <w:rPr>
          <w:szCs w:val="24"/>
        </w:rPr>
        <w:t xml:space="preserve"> práci</w:t>
      </w:r>
      <w:r w:rsidRPr="00B52A8A">
        <w:rPr>
          <w:szCs w:val="24"/>
        </w:rPr>
        <w:t xml:space="preserve"> jsem</w:t>
      </w:r>
      <w:r w:rsidR="007F1FF5" w:rsidRPr="00B52A8A">
        <w:rPr>
          <w:szCs w:val="24"/>
        </w:rPr>
        <w:t xml:space="preserve"> vyp</w:t>
      </w:r>
      <w:r w:rsidR="001B759E" w:rsidRPr="00B52A8A">
        <w:rPr>
          <w:szCs w:val="24"/>
        </w:rPr>
        <w:t xml:space="preserve">racovala samostatně, </w:t>
      </w:r>
      <w:r w:rsidR="007F1FF5" w:rsidRPr="00B52A8A">
        <w:rPr>
          <w:szCs w:val="24"/>
        </w:rPr>
        <w:t>literaturu a použité zdroje jsem všechny správně a úplně citovala.</w:t>
      </w:r>
    </w:p>
    <w:p w:rsidR="007F1FF5" w:rsidRPr="00B52A8A" w:rsidRDefault="007F1FF5" w:rsidP="007F1FF5">
      <w:pPr>
        <w:rPr>
          <w:szCs w:val="24"/>
        </w:rPr>
      </w:pPr>
    </w:p>
    <w:p w:rsidR="00C915A6" w:rsidRPr="00B52A8A" w:rsidRDefault="007F1FF5" w:rsidP="007F1FF5">
      <w:pPr>
        <w:ind w:firstLine="708"/>
        <w:rPr>
          <w:szCs w:val="24"/>
          <w:u w:val="dotted"/>
        </w:rPr>
      </w:pPr>
      <w:r w:rsidRPr="00B52A8A">
        <w:rPr>
          <w:szCs w:val="24"/>
        </w:rPr>
        <w:t xml:space="preserve">V Olomouci dne </w:t>
      </w:r>
      <w:r w:rsidR="00D45A8A" w:rsidRPr="00B52A8A">
        <w:rPr>
          <w:szCs w:val="24"/>
        </w:rPr>
        <w:t>8</w:t>
      </w:r>
      <w:r w:rsidR="002057E1" w:rsidRPr="00B52A8A">
        <w:rPr>
          <w:szCs w:val="24"/>
        </w:rPr>
        <w:t>. 5</w:t>
      </w:r>
      <w:r w:rsidR="00B60604" w:rsidRPr="00B52A8A">
        <w:rPr>
          <w:szCs w:val="24"/>
        </w:rPr>
        <w:t>. 2011</w:t>
      </w:r>
      <w:r w:rsidRPr="00B52A8A">
        <w:rPr>
          <w:szCs w:val="24"/>
        </w:rPr>
        <w:tab/>
      </w:r>
      <w:r w:rsidRPr="00B52A8A">
        <w:rPr>
          <w:szCs w:val="24"/>
        </w:rPr>
        <w:tab/>
      </w:r>
      <w:r w:rsidRPr="00B52A8A">
        <w:rPr>
          <w:szCs w:val="24"/>
        </w:rPr>
        <w:tab/>
      </w:r>
      <w:r w:rsidRPr="00B52A8A">
        <w:rPr>
          <w:szCs w:val="24"/>
          <w:u w:val="dotted"/>
        </w:rPr>
        <w:tab/>
      </w:r>
      <w:r w:rsidRPr="00B52A8A">
        <w:rPr>
          <w:szCs w:val="24"/>
          <w:u w:val="dotted"/>
        </w:rPr>
        <w:tab/>
      </w:r>
      <w:r w:rsidRPr="00B52A8A">
        <w:rPr>
          <w:szCs w:val="24"/>
          <w:u w:val="dotted"/>
        </w:rPr>
        <w:tab/>
      </w:r>
      <w:r w:rsidRPr="00B52A8A">
        <w:rPr>
          <w:szCs w:val="24"/>
          <w:u w:val="dotted"/>
        </w:rPr>
        <w:tab/>
      </w:r>
    </w:p>
    <w:p w:rsidR="00C915A6" w:rsidRPr="00B52A8A" w:rsidRDefault="00C915A6" w:rsidP="007F1FF5">
      <w:pPr>
        <w:ind w:firstLine="708"/>
        <w:rPr>
          <w:szCs w:val="24"/>
          <w:u w:val="dotted"/>
        </w:rPr>
      </w:pPr>
    </w:p>
    <w:p w:rsidR="007F1FF5" w:rsidRPr="00B52A8A" w:rsidRDefault="007F1FF5" w:rsidP="007F1FF5">
      <w:pPr>
        <w:ind w:firstLine="708"/>
        <w:rPr>
          <w:szCs w:val="24"/>
        </w:rPr>
      </w:pPr>
      <w:r w:rsidRPr="00B52A8A">
        <w:rPr>
          <w:szCs w:val="24"/>
        </w:rPr>
        <w:tab/>
      </w:r>
      <w:r w:rsidRPr="00B52A8A">
        <w:rPr>
          <w:szCs w:val="24"/>
        </w:rPr>
        <w:tab/>
      </w:r>
      <w:r w:rsidRPr="00B52A8A">
        <w:rPr>
          <w:szCs w:val="24"/>
        </w:rPr>
        <w:tab/>
      </w:r>
      <w:r w:rsidRPr="00B52A8A">
        <w:rPr>
          <w:szCs w:val="24"/>
        </w:rPr>
        <w:tab/>
      </w:r>
      <w:r w:rsidRPr="00B52A8A">
        <w:rPr>
          <w:szCs w:val="24"/>
        </w:rPr>
        <w:tab/>
      </w:r>
      <w:r w:rsidRPr="00B52A8A">
        <w:rPr>
          <w:szCs w:val="24"/>
        </w:rPr>
        <w:tab/>
      </w:r>
    </w:p>
    <w:p w:rsidR="001B759E" w:rsidRPr="00B52A8A" w:rsidRDefault="001B759E" w:rsidP="007F1FF5">
      <w:pPr>
        <w:rPr>
          <w:i/>
          <w:szCs w:val="24"/>
        </w:rPr>
      </w:pPr>
    </w:p>
    <w:p w:rsidR="007F1FF5" w:rsidRPr="00B52A8A" w:rsidRDefault="007F1FF5" w:rsidP="007F1FF5">
      <w:pPr>
        <w:rPr>
          <w:i/>
          <w:szCs w:val="24"/>
        </w:rPr>
      </w:pPr>
      <w:r w:rsidRPr="00B52A8A">
        <w:rPr>
          <w:i/>
          <w:szCs w:val="24"/>
        </w:rPr>
        <w:lastRenderedPageBreak/>
        <w:t>PODĚKOVÁNÍ</w:t>
      </w:r>
    </w:p>
    <w:p w:rsidR="007F1FF5" w:rsidRPr="00B52A8A" w:rsidRDefault="007F1FF5" w:rsidP="007F1FF5">
      <w:pPr>
        <w:rPr>
          <w:i/>
          <w:szCs w:val="24"/>
        </w:rPr>
      </w:pPr>
      <w:r w:rsidRPr="00B52A8A">
        <w:rPr>
          <w:i/>
          <w:szCs w:val="24"/>
        </w:rPr>
        <w:tab/>
        <w:t>Chtěla bych poděkovat vedoucí práce Doc. RNDr. Miroslavě Přidalové Ph.D. za pomoc a cenné rady</w:t>
      </w:r>
      <w:r w:rsidR="00B60604" w:rsidRPr="00B52A8A">
        <w:rPr>
          <w:i/>
          <w:szCs w:val="24"/>
        </w:rPr>
        <w:t xml:space="preserve"> při vypracování diplomové</w:t>
      </w:r>
      <w:r w:rsidRPr="00B52A8A">
        <w:rPr>
          <w:i/>
          <w:szCs w:val="24"/>
        </w:rPr>
        <w:t xml:space="preserve"> práce.</w:t>
      </w:r>
    </w:p>
    <w:p w:rsidR="007F1FF5" w:rsidRPr="00B52A8A" w:rsidRDefault="007F1FF5" w:rsidP="007F1FF5">
      <w:pPr>
        <w:rPr>
          <w:i/>
          <w:szCs w:val="24"/>
        </w:rPr>
      </w:pPr>
    </w:p>
    <w:p w:rsidR="007F1FF5" w:rsidRPr="00B52A8A" w:rsidRDefault="007F1FF5" w:rsidP="007F1FF5">
      <w:pPr>
        <w:rPr>
          <w:b/>
          <w:sz w:val="28"/>
          <w:szCs w:val="28"/>
        </w:rPr>
      </w:pPr>
    </w:p>
    <w:p w:rsidR="007F1FF5" w:rsidRPr="00B52A8A" w:rsidRDefault="007F1FF5" w:rsidP="007F1FF5">
      <w:pPr>
        <w:rPr>
          <w:b/>
          <w:sz w:val="28"/>
          <w:szCs w:val="28"/>
        </w:rPr>
      </w:pPr>
    </w:p>
    <w:p w:rsidR="007F1FF5" w:rsidRPr="00B52A8A" w:rsidRDefault="007F1FF5" w:rsidP="007F1FF5">
      <w:pPr>
        <w:rPr>
          <w:b/>
          <w:sz w:val="28"/>
          <w:szCs w:val="28"/>
        </w:rPr>
      </w:pPr>
    </w:p>
    <w:p w:rsidR="005C7CD5" w:rsidRPr="00B52A8A" w:rsidRDefault="005C7CD5" w:rsidP="005C7CD5">
      <w:pPr>
        <w:rPr>
          <w:b/>
          <w:sz w:val="28"/>
          <w:szCs w:val="28"/>
        </w:rPr>
      </w:pPr>
    </w:p>
    <w:p w:rsidR="005C7CD5" w:rsidRPr="00B52A8A" w:rsidRDefault="005C7CD5" w:rsidP="005C7CD5">
      <w:pPr>
        <w:rPr>
          <w:b/>
          <w:sz w:val="28"/>
          <w:szCs w:val="28"/>
        </w:rPr>
      </w:pPr>
    </w:p>
    <w:p w:rsidR="005C7CD5" w:rsidRPr="00B52A8A" w:rsidRDefault="005C7CD5" w:rsidP="005C7CD5">
      <w:pPr>
        <w:rPr>
          <w:b/>
          <w:sz w:val="28"/>
          <w:szCs w:val="28"/>
        </w:rPr>
      </w:pPr>
    </w:p>
    <w:p w:rsidR="005C7CD5" w:rsidRPr="00B52A8A" w:rsidRDefault="005C7CD5" w:rsidP="005C7CD5">
      <w:pPr>
        <w:rPr>
          <w:b/>
          <w:sz w:val="28"/>
          <w:szCs w:val="28"/>
        </w:rPr>
      </w:pPr>
    </w:p>
    <w:p w:rsidR="005C7CD5" w:rsidRPr="00B52A8A" w:rsidRDefault="005C7CD5" w:rsidP="005C7CD5">
      <w:pPr>
        <w:rPr>
          <w:b/>
          <w:sz w:val="28"/>
          <w:szCs w:val="28"/>
        </w:rPr>
      </w:pPr>
    </w:p>
    <w:p w:rsidR="005C7CD5" w:rsidRPr="00B52A8A" w:rsidRDefault="005C7CD5" w:rsidP="005C7CD5">
      <w:pPr>
        <w:rPr>
          <w:b/>
          <w:sz w:val="28"/>
          <w:szCs w:val="28"/>
        </w:rPr>
      </w:pPr>
    </w:p>
    <w:p w:rsidR="005C7CD5" w:rsidRPr="00B52A8A" w:rsidRDefault="005C7CD5" w:rsidP="005C7CD5">
      <w:pPr>
        <w:rPr>
          <w:b/>
          <w:sz w:val="28"/>
          <w:szCs w:val="28"/>
        </w:rPr>
      </w:pPr>
    </w:p>
    <w:p w:rsidR="005C7CD5" w:rsidRPr="00B52A8A" w:rsidRDefault="005C7CD5" w:rsidP="005C7CD5">
      <w:pPr>
        <w:rPr>
          <w:b/>
          <w:sz w:val="28"/>
          <w:szCs w:val="28"/>
        </w:rPr>
      </w:pPr>
    </w:p>
    <w:p w:rsidR="005C7CD5" w:rsidRPr="00B52A8A" w:rsidRDefault="005C7CD5" w:rsidP="005C7CD5">
      <w:pPr>
        <w:rPr>
          <w:b/>
          <w:sz w:val="28"/>
          <w:szCs w:val="28"/>
        </w:rPr>
      </w:pPr>
    </w:p>
    <w:p w:rsidR="005C7CD5" w:rsidRPr="00B52A8A" w:rsidRDefault="005C7CD5" w:rsidP="005C7CD5">
      <w:pPr>
        <w:rPr>
          <w:b/>
          <w:sz w:val="28"/>
          <w:szCs w:val="28"/>
        </w:rPr>
      </w:pPr>
    </w:p>
    <w:p w:rsidR="005C7CD5" w:rsidRPr="00B52A8A" w:rsidRDefault="005C7CD5" w:rsidP="005C7CD5">
      <w:pPr>
        <w:rPr>
          <w:b/>
          <w:sz w:val="28"/>
          <w:szCs w:val="28"/>
        </w:rPr>
      </w:pPr>
    </w:p>
    <w:p w:rsidR="005C7CD5" w:rsidRPr="00B52A8A" w:rsidRDefault="005C7CD5" w:rsidP="005C7CD5">
      <w:pPr>
        <w:rPr>
          <w:b/>
          <w:sz w:val="28"/>
          <w:szCs w:val="28"/>
        </w:rPr>
      </w:pPr>
    </w:p>
    <w:p w:rsidR="005C7CD5" w:rsidRPr="00B52A8A" w:rsidRDefault="005C7CD5" w:rsidP="005C7CD5">
      <w:pPr>
        <w:rPr>
          <w:b/>
          <w:sz w:val="28"/>
          <w:szCs w:val="28"/>
        </w:rPr>
      </w:pPr>
    </w:p>
    <w:p w:rsidR="005C7CD5" w:rsidRPr="00B52A8A" w:rsidRDefault="005C7CD5" w:rsidP="005C7CD5">
      <w:pPr>
        <w:rPr>
          <w:b/>
          <w:sz w:val="28"/>
          <w:szCs w:val="28"/>
        </w:rPr>
      </w:pPr>
    </w:p>
    <w:p w:rsidR="005C7CD5" w:rsidRPr="00B52A8A" w:rsidRDefault="005C7CD5" w:rsidP="005C7CD5">
      <w:pPr>
        <w:rPr>
          <w:b/>
          <w:sz w:val="28"/>
          <w:szCs w:val="28"/>
        </w:rPr>
      </w:pPr>
    </w:p>
    <w:p w:rsidR="005C7CD5" w:rsidRPr="00B52A8A" w:rsidRDefault="005C7CD5" w:rsidP="005C7CD5">
      <w:pPr>
        <w:rPr>
          <w:b/>
          <w:sz w:val="28"/>
          <w:szCs w:val="28"/>
        </w:rPr>
      </w:pPr>
    </w:p>
    <w:sdt>
      <w:sdtPr>
        <w:rPr>
          <w:rFonts w:ascii="Times New Roman" w:eastAsia="Calibri" w:hAnsi="Times New Roman" w:cs="Times New Roman"/>
          <w:color w:val="auto"/>
          <w:sz w:val="20"/>
          <w:szCs w:val="20"/>
        </w:rPr>
        <w:id w:val="21010795"/>
        <w:docPartObj>
          <w:docPartGallery w:val="Table of Contents"/>
          <w:docPartUnique/>
        </w:docPartObj>
      </w:sdtPr>
      <w:sdtContent>
        <w:p w:rsidR="00371F0F" w:rsidRPr="00B52A8A" w:rsidRDefault="00371F0F" w:rsidP="001248F2">
          <w:pPr>
            <w:pStyle w:val="Nadpisobsahu"/>
            <w:spacing w:line="360" w:lineRule="auto"/>
            <w:rPr>
              <w:rFonts w:ascii="Bookman Old Style" w:hAnsi="Bookman Old Style"/>
              <w:sz w:val="24"/>
              <w:szCs w:val="24"/>
            </w:rPr>
          </w:pPr>
          <w:r w:rsidRPr="00B52A8A">
            <w:rPr>
              <w:rFonts w:ascii="Bookman Old Style" w:hAnsi="Bookman Old Style"/>
              <w:color w:val="auto"/>
              <w:sz w:val="24"/>
              <w:szCs w:val="24"/>
            </w:rPr>
            <w:t>OBSAH:</w:t>
          </w:r>
          <w:r w:rsidRPr="00B52A8A">
            <w:rPr>
              <w:rFonts w:ascii="Bookman Old Style" w:hAnsi="Bookman Old Style"/>
              <w:sz w:val="24"/>
              <w:szCs w:val="24"/>
            </w:rPr>
            <w:t xml:space="preserve"> </w:t>
          </w:r>
        </w:p>
        <w:p w:rsidR="00AF3345" w:rsidRDefault="0040042D">
          <w:pPr>
            <w:pStyle w:val="Obsah1"/>
            <w:rPr>
              <w:rFonts w:asciiTheme="minorHAnsi" w:eastAsiaTheme="minorEastAsia" w:hAnsiTheme="minorHAnsi" w:cstheme="minorBidi"/>
              <w:b w:val="0"/>
              <w:bCs w:val="0"/>
              <w:caps w:val="0"/>
              <w:sz w:val="22"/>
              <w:szCs w:val="22"/>
              <w:lang w:eastAsia="cs-CZ"/>
            </w:rPr>
          </w:pPr>
          <w:r w:rsidRPr="0040042D">
            <w:fldChar w:fldCharType="begin"/>
          </w:r>
          <w:r w:rsidR="00371F0F" w:rsidRPr="00B52A8A">
            <w:instrText xml:space="preserve"> TOC \o "1-3" \h \z \u </w:instrText>
          </w:r>
          <w:r w:rsidRPr="0040042D">
            <w:fldChar w:fldCharType="separate"/>
          </w:r>
          <w:hyperlink w:anchor="_Toc293153731" w:history="1">
            <w:r w:rsidR="00AF3345" w:rsidRPr="005F2957">
              <w:rPr>
                <w:rStyle w:val="Hypertextovodkaz"/>
              </w:rPr>
              <w:t>1 ÚVOD</w:t>
            </w:r>
            <w:r w:rsidR="00AF3345">
              <w:rPr>
                <w:webHidden/>
              </w:rPr>
              <w:tab/>
            </w:r>
            <w:r>
              <w:rPr>
                <w:webHidden/>
              </w:rPr>
              <w:fldChar w:fldCharType="begin"/>
            </w:r>
            <w:r w:rsidR="00AF3345">
              <w:rPr>
                <w:webHidden/>
              </w:rPr>
              <w:instrText xml:space="preserve"> PAGEREF _Toc293153731 \h </w:instrText>
            </w:r>
            <w:r>
              <w:rPr>
                <w:webHidden/>
              </w:rPr>
            </w:r>
            <w:r>
              <w:rPr>
                <w:webHidden/>
              </w:rPr>
              <w:fldChar w:fldCharType="separate"/>
            </w:r>
            <w:r w:rsidR="00AF3345">
              <w:rPr>
                <w:webHidden/>
              </w:rPr>
              <w:t>10</w:t>
            </w:r>
            <w:r>
              <w:rPr>
                <w:webHidden/>
              </w:rPr>
              <w:fldChar w:fldCharType="end"/>
            </w:r>
          </w:hyperlink>
        </w:p>
        <w:p w:rsidR="00AF3345" w:rsidRDefault="0040042D">
          <w:pPr>
            <w:pStyle w:val="Obsah1"/>
            <w:rPr>
              <w:rFonts w:asciiTheme="minorHAnsi" w:eastAsiaTheme="minorEastAsia" w:hAnsiTheme="minorHAnsi" w:cstheme="minorBidi"/>
              <w:b w:val="0"/>
              <w:bCs w:val="0"/>
              <w:caps w:val="0"/>
              <w:sz w:val="22"/>
              <w:szCs w:val="22"/>
              <w:lang w:eastAsia="cs-CZ"/>
            </w:rPr>
          </w:pPr>
          <w:hyperlink w:anchor="_Toc293153732" w:history="1">
            <w:r w:rsidR="00AF3345" w:rsidRPr="005F2957">
              <w:rPr>
                <w:rStyle w:val="Hypertextovodkaz"/>
              </w:rPr>
              <w:t>2 SYNTÉZA POZNATKŮ</w:t>
            </w:r>
            <w:r w:rsidR="00AF3345">
              <w:rPr>
                <w:webHidden/>
              </w:rPr>
              <w:tab/>
            </w:r>
            <w:r>
              <w:rPr>
                <w:webHidden/>
              </w:rPr>
              <w:fldChar w:fldCharType="begin"/>
            </w:r>
            <w:r w:rsidR="00AF3345">
              <w:rPr>
                <w:webHidden/>
              </w:rPr>
              <w:instrText xml:space="preserve"> PAGEREF _Toc293153732 \h </w:instrText>
            </w:r>
            <w:r>
              <w:rPr>
                <w:webHidden/>
              </w:rPr>
            </w:r>
            <w:r>
              <w:rPr>
                <w:webHidden/>
              </w:rPr>
              <w:fldChar w:fldCharType="separate"/>
            </w:r>
            <w:r w:rsidR="00AF3345">
              <w:rPr>
                <w:webHidden/>
              </w:rPr>
              <w:t>11</w:t>
            </w:r>
            <w:r>
              <w:rPr>
                <w:webHidden/>
              </w:rPr>
              <w:fldChar w:fldCharType="end"/>
            </w:r>
          </w:hyperlink>
        </w:p>
        <w:p w:rsidR="00AF3345" w:rsidRDefault="0040042D">
          <w:pPr>
            <w:pStyle w:val="Obsah2"/>
            <w:rPr>
              <w:rFonts w:asciiTheme="minorHAnsi" w:eastAsiaTheme="minorEastAsia" w:hAnsiTheme="minorHAnsi" w:cstheme="minorBidi"/>
              <w:b w:val="0"/>
              <w:bCs w:val="0"/>
              <w:noProof/>
              <w:sz w:val="22"/>
              <w:szCs w:val="22"/>
              <w:lang w:eastAsia="cs-CZ"/>
            </w:rPr>
          </w:pPr>
          <w:hyperlink w:anchor="_Toc293153733" w:history="1">
            <w:r w:rsidR="00AF3345" w:rsidRPr="005F2957">
              <w:rPr>
                <w:rStyle w:val="Hypertextovodkaz"/>
                <w:noProof/>
              </w:rPr>
              <w:t>2.1 VYMEZENÍ ZÁKLADNÍCH ANTROPOLOGICKÝCH POJMŮ</w:t>
            </w:r>
            <w:r w:rsidR="00AF3345">
              <w:rPr>
                <w:noProof/>
                <w:webHidden/>
              </w:rPr>
              <w:tab/>
            </w:r>
            <w:r>
              <w:rPr>
                <w:noProof/>
                <w:webHidden/>
              </w:rPr>
              <w:fldChar w:fldCharType="begin"/>
            </w:r>
            <w:r w:rsidR="00AF3345">
              <w:rPr>
                <w:noProof/>
                <w:webHidden/>
              </w:rPr>
              <w:instrText xml:space="preserve"> PAGEREF _Toc293153733 \h </w:instrText>
            </w:r>
            <w:r>
              <w:rPr>
                <w:noProof/>
                <w:webHidden/>
              </w:rPr>
            </w:r>
            <w:r>
              <w:rPr>
                <w:noProof/>
                <w:webHidden/>
              </w:rPr>
              <w:fldChar w:fldCharType="separate"/>
            </w:r>
            <w:r w:rsidR="00AF3345">
              <w:rPr>
                <w:noProof/>
                <w:webHidden/>
              </w:rPr>
              <w:t>11</w:t>
            </w:r>
            <w:r>
              <w:rPr>
                <w:noProof/>
                <w:webHidden/>
              </w:rPr>
              <w:fldChar w:fldCharType="end"/>
            </w:r>
          </w:hyperlink>
        </w:p>
        <w:p w:rsidR="00AF3345" w:rsidRDefault="0040042D">
          <w:pPr>
            <w:pStyle w:val="Obsah2"/>
            <w:rPr>
              <w:rFonts w:asciiTheme="minorHAnsi" w:eastAsiaTheme="minorEastAsia" w:hAnsiTheme="minorHAnsi" w:cstheme="minorBidi"/>
              <w:b w:val="0"/>
              <w:bCs w:val="0"/>
              <w:noProof/>
              <w:sz w:val="22"/>
              <w:szCs w:val="22"/>
              <w:lang w:eastAsia="cs-CZ"/>
            </w:rPr>
          </w:pPr>
          <w:hyperlink w:anchor="_Toc293153734" w:history="1">
            <w:r w:rsidR="00AF3345" w:rsidRPr="005F2957">
              <w:rPr>
                <w:rStyle w:val="Hypertextovodkaz"/>
                <w:noProof/>
              </w:rPr>
              <w:t>2.2 TĚLESNÉ SLOŽENÍ</w:t>
            </w:r>
            <w:r w:rsidR="00AF3345">
              <w:rPr>
                <w:noProof/>
                <w:webHidden/>
              </w:rPr>
              <w:tab/>
            </w:r>
            <w:r>
              <w:rPr>
                <w:noProof/>
                <w:webHidden/>
              </w:rPr>
              <w:fldChar w:fldCharType="begin"/>
            </w:r>
            <w:r w:rsidR="00AF3345">
              <w:rPr>
                <w:noProof/>
                <w:webHidden/>
              </w:rPr>
              <w:instrText xml:space="preserve"> PAGEREF _Toc293153734 \h </w:instrText>
            </w:r>
            <w:r>
              <w:rPr>
                <w:noProof/>
                <w:webHidden/>
              </w:rPr>
            </w:r>
            <w:r>
              <w:rPr>
                <w:noProof/>
                <w:webHidden/>
              </w:rPr>
              <w:fldChar w:fldCharType="separate"/>
            </w:r>
            <w:r w:rsidR="00AF3345">
              <w:rPr>
                <w:noProof/>
                <w:webHidden/>
              </w:rPr>
              <w:t>12</w:t>
            </w:r>
            <w:r>
              <w:rPr>
                <w:noProof/>
                <w:webHidden/>
              </w:rPr>
              <w:fldChar w:fldCharType="end"/>
            </w:r>
          </w:hyperlink>
        </w:p>
        <w:p w:rsidR="00AF3345" w:rsidRDefault="0040042D">
          <w:pPr>
            <w:pStyle w:val="Obsah3"/>
            <w:tabs>
              <w:tab w:val="right" w:leader="dot" w:pos="8493"/>
            </w:tabs>
            <w:rPr>
              <w:rFonts w:asciiTheme="minorHAnsi" w:eastAsiaTheme="minorEastAsia" w:hAnsiTheme="minorHAnsi" w:cstheme="minorBidi"/>
              <w:noProof/>
              <w:sz w:val="22"/>
              <w:szCs w:val="22"/>
              <w:lang w:eastAsia="cs-CZ"/>
            </w:rPr>
          </w:pPr>
          <w:hyperlink w:anchor="_Toc293153735" w:history="1">
            <w:r w:rsidR="00AF3345" w:rsidRPr="005F2957">
              <w:rPr>
                <w:rStyle w:val="Hypertextovodkaz"/>
                <w:noProof/>
              </w:rPr>
              <w:t>2.2.1 Komponentové složení těla</w:t>
            </w:r>
            <w:r w:rsidR="00AF3345">
              <w:rPr>
                <w:noProof/>
                <w:webHidden/>
              </w:rPr>
              <w:tab/>
            </w:r>
            <w:r>
              <w:rPr>
                <w:noProof/>
                <w:webHidden/>
              </w:rPr>
              <w:fldChar w:fldCharType="begin"/>
            </w:r>
            <w:r w:rsidR="00AF3345">
              <w:rPr>
                <w:noProof/>
                <w:webHidden/>
              </w:rPr>
              <w:instrText xml:space="preserve"> PAGEREF _Toc293153735 \h </w:instrText>
            </w:r>
            <w:r>
              <w:rPr>
                <w:noProof/>
                <w:webHidden/>
              </w:rPr>
            </w:r>
            <w:r>
              <w:rPr>
                <w:noProof/>
                <w:webHidden/>
              </w:rPr>
              <w:fldChar w:fldCharType="separate"/>
            </w:r>
            <w:r w:rsidR="00AF3345">
              <w:rPr>
                <w:noProof/>
                <w:webHidden/>
              </w:rPr>
              <w:t>12</w:t>
            </w:r>
            <w:r>
              <w:rPr>
                <w:noProof/>
                <w:webHidden/>
              </w:rPr>
              <w:fldChar w:fldCharType="end"/>
            </w:r>
          </w:hyperlink>
        </w:p>
        <w:p w:rsidR="00AF3345" w:rsidRDefault="0040042D">
          <w:pPr>
            <w:pStyle w:val="Obsah3"/>
            <w:tabs>
              <w:tab w:val="right" w:leader="dot" w:pos="8493"/>
            </w:tabs>
            <w:rPr>
              <w:rFonts w:asciiTheme="minorHAnsi" w:eastAsiaTheme="minorEastAsia" w:hAnsiTheme="minorHAnsi" w:cstheme="minorBidi"/>
              <w:noProof/>
              <w:sz w:val="22"/>
              <w:szCs w:val="22"/>
              <w:lang w:eastAsia="cs-CZ"/>
            </w:rPr>
          </w:pPr>
          <w:hyperlink w:anchor="_Toc293153736" w:history="1">
            <w:r w:rsidR="00AF3345" w:rsidRPr="005F2957">
              <w:rPr>
                <w:rStyle w:val="Hypertextovodkaz"/>
                <w:noProof/>
              </w:rPr>
              <w:t>2.2.2 Vliv pohybové aktivity na tělesné složení</w:t>
            </w:r>
            <w:r w:rsidR="00AF3345">
              <w:rPr>
                <w:noProof/>
                <w:webHidden/>
              </w:rPr>
              <w:tab/>
            </w:r>
            <w:r>
              <w:rPr>
                <w:noProof/>
                <w:webHidden/>
              </w:rPr>
              <w:fldChar w:fldCharType="begin"/>
            </w:r>
            <w:r w:rsidR="00AF3345">
              <w:rPr>
                <w:noProof/>
                <w:webHidden/>
              </w:rPr>
              <w:instrText xml:space="preserve"> PAGEREF _Toc293153736 \h </w:instrText>
            </w:r>
            <w:r>
              <w:rPr>
                <w:noProof/>
                <w:webHidden/>
              </w:rPr>
            </w:r>
            <w:r>
              <w:rPr>
                <w:noProof/>
                <w:webHidden/>
              </w:rPr>
              <w:fldChar w:fldCharType="separate"/>
            </w:r>
            <w:r w:rsidR="00AF3345">
              <w:rPr>
                <w:noProof/>
                <w:webHidden/>
              </w:rPr>
              <w:t>18</w:t>
            </w:r>
            <w:r>
              <w:rPr>
                <w:noProof/>
                <w:webHidden/>
              </w:rPr>
              <w:fldChar w:fldCharType="end"/>
            </w:r>
          </w:hyperlink>
        </w:p>
        <w:p w:rsidR="00AF3345" w:rsidRDefault="0040042D">
          <w:pPr>
            <w:pStyle w:val="Obsah3"/>
            <w:tabs>
              <w:tab w:val="right" w:leader="dot" w:pos="8493"/>
            </w:tabs>
            <w:rPr>
              <w:rFonts w:asciiTheme="minorHAnsi" w:eastAsiaTheme="minorEastAsia" w:hAnsiTheme="minorHAnsi" w:cstheme="minorBidi"/>
              <w:noProof/>
              <w:sz w:val="22"/>
              <w:szCs w:val="22"/>
              <w:lang w:eastAsia="cs-CZ"/>
            </w:rPr>
          </w:pPr>
          <w:hyperlink w:anchor="_Toc293153737" w:history="1">
            <w:r w:rsidR="00AF3345" w:rsidRPr="005F2957">
              <w:rPr>
                <w:rStyle w:val="Hypertextovodkaz"/>
                <w:noProof/>
              </w:rPr>
              <w:t>2.2.3 Vliv pohlaví a věku na tělesné složení</w:t>
            </w:r>
            <w:r w:rsidR="00AF3345">
              <w:rPr>
                <w:noProof/>
                <w:webHidden/>
              </w:rPr>
              <w:tab/>
            </w:r>
            <w:r>
              <w:rPr>
                <w:noProof/>
                <w:webHidden/>
              </w:rPr>
              <w:fldChar w:fldCharType="begin"/>
            </w:r>
            <w:r w:rsidR="00AF3345">
              <w:rPr>
                <w:noProof/>
                <w:webHidden/>
              </w:rPr>
              <w:instrText xml:space="preserve"> PAGEREF _Toc293153737 \h </w:instrText>
            </w:r>
            <w:r>
              <w:rPr>
                <w:noProof/>
                <w:webHidden/>
              </w:rPr>
            </w:r>
            <w:r>
              <w:rPr>
                <w:noProof/>
                <w:webHidden/>
              </w:rPr>
              <w:fldChar w:fldCharType="separate"/>
            </w:r>
            <w:r w:rsidR="00AF3345">
              <w:rPr>
                <w:noProof/>
                <w:webHidden/>
              </w:rPr>
              <w:t>19</w:t>
            </w:r>
            <w:r>
              <w:rPr>
                <w:noProof/>
                <w:webHidden/>
              </w:rPr>
              <w:fldChar w:fldCharType="end"/>
            </w:r>
          </w:hyperlink>
        </w:p>
        <w:p w:rsidR="00AF3345" w:rsidRDefault="0040042D">
          <w:pPr>
            <w:pStyle w:val="Obsah2"/>
            <w:rPr>
              <w:rFonts w:asciiTheme="minorHAnsi" w:eastAsiaTheme="minorEastAsia" w:hAnsiTheme="minorHAnsi" w:cstheme="minorBidi"/>
              <w:b w:val="0"/>
              <w:bCs w:val="0"/>
              <w:noProof/>
              <w:sz w:val="22"/>
              <w:szCs w:val="22"/>
              <w:lang w:eastAsia="cs-CZ"/>
            </w:rPr>
          </w:pPr>
          <w:hyperlink w:anchor="_Toc293153738" w:history="1">
            <w:r w:rsidR="00AF3345" w:rsidRPr="005F2957">
              <w:rPr>
                <w:rStyle w:val="Hypertextovodkaz"/>
                <w:noProof/>
              </w:rPr>
              <w:t>2.3 OBECNÁ CHARAKTERISTIKA STÁRNUTÍ</w:t>
            </w:r>
            <w:r w:rsidR="00AF3345">
              <w:rPr>
                <w:noProof/>
                <w:webHidden/>
              </w:rPr>
              <w:tab/>
            </w:r>
            <w:r>
              <w:rPr>
                <w:noProof/>
                <w:webHidden/>
              </w:rPr>
              <w:fldChar w:fldCharType="begin"/>
            </w:r>
            <w:r w:rsidR="00AF3345">
              <w:rPr>
                <w:noProof/>
                <w:webHidden/>
              </w:rPr>
              <w:instrText xml:space="preserve"> PAGEREF _Toc293153738 \h </w:instrText>
            </w:r>
            <w:r>
              <w:rPr>
                <w:noProof/>
                <w:webHidden/>
              </w:rPr>
            </w:r>
            <w:r>
              <w:rPr>
                <w:noProof/>
                <w:webHidden/>
              </w:rPr>
              <w:fldChar w:fldCharType="separate"/>
            </w:r>
            <w:r w:rsidR="00AF3345">
              <w:rPr>
                <w:noProof/>
                <w:webHidden/>
              </w:rPr>
              <w:t>21</w:t>
            </w:r>
            <w:r>
              <w:rPr>
                <w:noProof/>
                <w:webHidden/>
              </w:rPr>
              <w:fldChar w:fldCharType="end"/>
            </w:r>
          </w:hyperlink>
        </w:p>
        <w:p w:rsidR="00AF3345" w:rsidRDefault="0040042D">
          <w:pPr>
            <w:pStyle w:val="Obsah3"/>
            <w:tabs>
              <w:tab w:val="right" w:leader="dot" w:pos="8493"/>
            </w:tabs>
            <w:rPr>
              <w:rFonts w:asciiTheme="minorHAnsi" w:eastAsiaTheme="minorEastAsia" w:hAnsiTheme="minorHAnsi" w:cstheme="minorBidi"/>
              <w:noProof/>
              <w:sz w:val="22"/>
              <w:szCs w:val="22"/>
              <w:lang w:eastAsia="cs-CZ"/>
            </w:rPr>
          </w:pPr>
          <w:hyperlink w:anchor="_Toc293153739" w:history="1">
            <w:r w:rsidR="00AF3345" w:rsidRPr="005F2957">
              <w:rPr>
                <w:rStyle w:val="Hypertextovodkaz"/>
                <w:noProof/>
              </w:rPr>
              <w:t>2.3.1 Věk</w:t>
            </w:r>
            <w:r w:rsidR="00AF3345">
              <w:rPr>
                <w:noProof/>
                <w:webHidden/>
              </w:rPr>
              <w:tab/>
            </w:r>
            <w:r>
              <w:rPr>
                <w:noProof/>
                <w:webHidden/>
              </w:rPr>
              <w:fldChar w:fldCharType="begin"/>
            </w:r>
            <w:r w:rsidR="00AF3345">
              <w:rPr>
                <w:noProof/>
                <w:webHidden/>
              </w:rPr>
              <w:instrText xml:space="preserve"> PAGEREF _Toc293153739 \h </w:instrText>
            </w:r>
            <w:r>
              <w:rPr>
                <w:noProof/>
                <w:webHidden/>
              </w:rPr>
            </w:r>
            <w:r>
              <w:rPr>
                <w:noProof/>
                <w:webHidden/>
              </w:rPr>
              <w:fldChar w:fldCharType="separate"/>
            </w:r>
            <w:r w:rsidR="00AF3345">
              <w:rPr>
                <w:noProof/>
                <w:webHidden/>
              </w:rPr>
              <w:t>21</w:t>
            </w:r>
            <w:r>
              <w:rPr>
                <w:noProof/>
                <w:webHidden/>
              </w:rPr>
              <w:fldChar w:fldCharType="end"/>
            </w:r>
          </w:hyperlink>
        </w:p>
        <w:p w:rsidR="00AF3345" w:rsidRDefault="0040042D">
          <w:pPr>
            <w:pStyle w:val="Obsah3"/>
            <w:tabs>
              <w:tab w:val="right" w:leader="dot" w:pos="8493"/>
            </w:tabs>
            <w:rPr>
              <w:rFonts w:asciiTheme="minorHAnsi" w:eastAsiaTheme="minorEastAsia" w:hAnsiTheme="minorHAnsi" w:cstheme="minorBidi"/>
              <w:noProof/>
              <w:sz w:val="22"/>
              <w:szCs w:val="22"/>
              <w:lang w:eastAsia="cs-CZ"/>
            </w:rPr>
          </w:pPr>
          <w:hyperlink w:anchor="_Toc293153740" w:history="1">
            <w:r w:rsidR="00AF3345" w:rsidRPr="005F2957">
              <w:rPr>
                <w:rStyle w:val="Hypertextovodkaz"/>
                <w:noProof/>
              </w:rPr>
              <w:t>2.3.2 Změny tělesného složení u seniorské populace</w:t>
            </w:r>
            <w:r w:rsidR="00AF3345">
              <w:rPr>
                <w:noProof/>
                <w:webHidden/>
              </w:rPr>
              <w:tab/>
            </w:r>
            <w:r>
              <w:rPr>
                <w:noProof/>
                <w:webHidden/>
              </w:rPr>
              <w:fldChar w:fldCharType="begin"/>
            </w:r>
            <w:r w:rsidR="00AF3345">
              <w:rPr>
                <w:noProof/>
                <w:webHidden/>
              </w:rPr>
              <w:instrText xml:space="preserve"> PAGEREF _Toc293153740 \h </w:instrText>
            </w:r>
            <w:r>
              <w:rPr>
                <w:noProof/>
                <w:webHidden/>
              </w:rPr>
            </w:r>
            <w:r>
              <w:rPr>
                <w:noProof/>
                <w:webHidden/>
              </w:rPr>
              <w:fldChar w:fldCharType="separate"/>
            </w:r>
            <w:r w:rsidR="00AF3345">
              <w:rPr>
                <w:noProof/>
                <w:webHidden/>
              </w:rPr>
              <w:t>22</w:t>
            </w:r>
            <w:r>
              <w:rPr>
                <w:noProof/>
                <w:webHidden/>
              </w:rPr>
              <w:fldChar w:fldCharType="end"/>
            </w:r>
          </w:hyperlink>
        </w:p>
        <w:p w:rsidR="00AF3345" w:rsidRDefault="0040042D">
          <w:pPr>
            <w:pStyle w:val="Obsah3"/>
            <w:tabs>
              <w:tab w:val="right" w:leader="dot" w:pos="8493"/>
            </w:tabs>
            <w:rPr>
              <w:rFonts w:asciiTheme="minorHAnsi" w:eastAsiaTheme="minorEastAsia" w:hAnsiTheme="minorHAnsi" w:cstheme="minorBidi"/>
              <w:noProof/>
              <w:sz w:val="22"/>
              <w:szCs w:val="22"/>
              <w:lang w:eastAsia="cs-CZ"/>
            </w:rPr>
          </w:pPr>
          <w:hyperlink w:anchor="_Toc293153741" w:history="1">
            <w:r w:rsidR="00AF3345" w:rsidRPr="005F2957">
              <w:rPr>
                <w:rStyle w:val="Hypertextovodkaz"/>
                <w:noProof/>
              </w:rPr>
              <w:t>2.3.2 Zdravotní ukazatelé</w:t>
            </w:r>
            <w:r w:rsidR="00AF3345">
              <w:rPr>
                <w:noProof/>
                <w:webHidden/>
              </w:rPr>
              <w:tab/>
            </w:r>
            <w:r>
              <w:rPr>
                <w:noProof/>
                <w:webHidden/>
              </w:rPr>
              <w:fldChar w:fldCharType="begin"/>
            </w:r>
            <w:r w:rsidR="00AF3345">
              <w:rPr>
                <w:noProof/>
                <w:webHidden/>
              </w:rPr>
              <w:instrText xml:space="preserve"> PAGEREF _Toc293153741 \h </w:instrText>
            </w:r>
            <w:r>
              <w:rPr>
                <w:noProof/>
                <w:webHidden/>
              </w:rPr>
            </w:r>
            <w:r>
              <w:rPr>
                <w:noProof/>
                <w:webHidden/>
              </w:rPr>
              <w:fldChar w:fldCharType="separate"/>
            </w:r>
            <w:r w:rsidR="00AF3345">
              <w:rPr>
                <w:noProof/>
                <w:webHidden/>
              </w:rPr>
              <w:t>24</w:t>
            </w:r>
            <w:r>
              <w:rPr>
                <w:noProof/>
                <w:webHidden/>
              </w:rPr>
              <w:fldChar w:fldCharType="end"/>
            </w:r>
          </w:hyperlink>
        </w:p>
        <w:p w:rsidR="00AF3345" w:rsidRDefault="0040042D">
          <w:pPr>
            <w:pStyle w:val="Obsah3"/>
            <w:tabs>
              <w:tab w:val="right" w:leader="dot" w:pos="8493"/>
            </w:tabs>
            <w:rPr>
              <w:rFonts w:asciiTheme="minorHAnsi" w:eastAsiaTheme="minorEastAsia" w:hAnsiTheme="minorHAnsi" w:cstheme="minorBidi"/>
              <w:noProof/>
              <w:sz w:val="22"/>
              <w:szCs w:val="22"/>
              <w:lang w:eastAsia="cs-CZ"/>
            </w:rPr>
          </w:pPr>
          <w:hyperlink w:anchor="_Toc293153742" w:history="1">
            <w:r w:rsidR="00AF3345" w:rsidRPr="005F2957">
              <w:rPr>
                <w:rStyle w:val="Hypertextovodkaz"/>
                <w:noProof/>
              </w:rPr>
              <w:t>2.3.4 Bioelektrická impedanční metoda (BIA)</w:t>
            </w:r>
            <w:r w:rsidR="00AF3345">
              <w:rPr>
                <w:noProof/>
                <w:webHidden/>
              </w:rPr>
              <w:tab/>
            </w:r>
            <w:r>
              <w:rPr>
                <w:noProof/>
                <w:webHidden/>
              </w:rPr>
              <w:fldChar w:fldCharType="begin"/>
            </w:r>
            <w:r w:rsidR="00AF3345">
              <w:rPr>
                <w:noProof/>
                <w:webHidden/>
              </w:rPr>
              <w:instrText xml:space="preserve"> PAGEREF _Toc293153742 \h </w:instrText>
            </w:r>
            <w:r>
              <w:rPr>
                <w:noProof/>
                <w:webHidden/>
              </w:rPr>
            </w:r>
            <w:r>
              <w:rPr>
                <w:noProof/>
                <w:webHidden/>
              </w:rPr>
              <w:fldChar w:fldCharType="separate"/>
            </w:r>
            <w:r w:rsidR="00AF3345">
              <w:rPr>
                <w:noProof/>
                <w:webHidden/>
              </w:rPr>
              <w:t>28</w:t>
            </w:r>
            <w:r>
              <w:rPr>
                <w:noProof/>
                <w:webHidden/>
              </w:rPr>
              <w:fldChar w:fldCharType="end"/>
            </w:r>
          </w:hyperlink>
        </w:p>
        <w:p w:rsidR="00AF3345" w:rsidRDefault="0040042D">
          <w:pPr>
            <w:pStyle w:val="Obsah2"/>
            <w:rPr>
              <w:rFonts w:asciiTheme="minorHAnsi" w:eastAsiaTheme="minorEastAsia" w:hAnsiTheme="minorHAnsi" w:cstheme="minorBidi"/>
              <w:b w:val="0"/>
              <w:bCs w:val="0"/>
              <w:noProof/>
              <w:sz w:val="22"/>
              <w:szCs w:val="22"/>
              <w:lang w:eastAsia="cs-CZ"/>
            </w:rPr>
          </w:pPr>
          <w:hyperlink w:anchor="_Toc293153743" w:history="1">
            <w:r w:rsidR="00AF3345" w:rsidRPr="005F2957">
              <w:rPr>
                <w:rStyle w:val="Hypertextovodkaz"/>
                <w:noProof/>
              </w:rPr>
              <w:t>2.4 EVROPSKÉ GRANT</w:t>
            </w:r>
            <w:r w:rsidR="00AF3345">
              <w:rPr>
                <w:rStyle w:val="Hypertextovodkaz"/>
                <w:noProof/>
              </w:rPr>
              <w:t xml:space="preserve">OVÉ PROJEKTY ZAMĚŘENÉ NA </w:t>
            </w:r>
            <w:r w:rsidR="00AF3345" w:rsidRPr="005F2957">
              <w:rPr>
                <w:rStyle w:val="Hypertextovodkaz"/>
                <w:noProof/>
              </w:rPr>
              <w:t xml:space="preserve"> SENIORY</w:t>
            </w:r>
            <w:r w:rsidR="00AF3345">
              <w:rPr>
                <w:noProof/>
                <w:webHidden/>
              </w:rPr>
              <w:tab/>
            </w:r>
            <w:r>
              <w:rPr>
                <w:noProof/>
                <w:webHidden/>
              </w:rPr>
              <w:fldChar w:fldCharType="begin"/>
            </w:r>
            <w:r w:rsidR="00AF3345">
              <w:rPr>
                <w:noProof/>
                <w:webHidden/>
              </w:rPr>
              <w:instrText xml:space="preserve"> PAGEREF _Toc293153743 \h </w:instrText>
            </w:r>
            <w:r>
              <w:rPr>
                <w:noProof/>
                <w:webHidden/>
              </w:rPr>
            </w:r>
            <w:r>
              <w:rPr>
                <w:noProof/>
                <w:webHidden/>
              </w:rPr>
              <w:fldChar w:fldCharType="separate"/>
            </w:r>
            <w:r w:rsidR="00AF3345">
              <w:rPr>
                <w:noProof/>
                <w:webHidden/>
              </w:rPr>
              <w:t>30</w:t>
            </w:r>
            <w:r>
              <w:rPr>
                <w:noProof/>
                <w:webHidden/>
              </w:rPr>
              <w:fldChar w:fldCharType="end"/>
            </w:r>
          </w:hyperlink>
        </w:p>
        <w:p w:rsidR="00AF3345" w:rsidRDefault="0040042D">
          <w:pPr>
            <w:pStyle w:val="Obsah3"/>
            <w:tabs>
              <w:tab w:val="right" w:leader="dot" w:pos="8493"/>
            </w:tabs>
            <w:rPr>
              <w:rFonts w:asciiTheme="minorHAnsi" w:eastAsiaTheme="minorEastAsia" w:hAnsiTheme="minorHAnsi" w:cstheme="minorBidi"/>
              <w:noProof/>
              <w:sz w:val="22"/>
              <w:szCs w:val="22"/>
              <w:lang w:eastAsia="cs-CZ"/>
            </w:rPr>
          </w:pPr>
          <w:hyperlink w:anchor="_Toc293153744" w:history="1">
            <w:r w:rsidR="00AF3345" w:rsidRPr="005F2957">
              <w:rPr>
                <w:rStyle w:val="Hypertextovodkaz"/>
                <w:noProof/>
              </w:rPr>
              <w:t>2.4.1 EUNAAPA</w:t>
            </w:r>
            <w:r w:rsidR="00AF3345">
              <w:rPr>
                <w:noProof/>
                <w:webHidden/>
              </w:rPr>
              <w:tab/>
            </w:r>
            <w:r>
              <w:rPr>
                <w:noProof/>
                <w:webHidden/>
              </w:rPr>
              <w:fldChar w:fldCharType="begin"/>
            </w:r>
            <w:r w:rsidR="00AF3345">
              <w:rPr>
                <w:noProof/>
                <w:webHidden/>
              </w:rPr>
              <w:instrText xml:space="preserve"> PAGEREF _Toc293153744 \h </w:instrText>
            </w:r>
            <w:r>
              <w:rPr>
                <w:noProof/>
                <w:webHidden/>
              </w:rPr>
            </w:r>
            <w:r>
              <w:rPr>
                <w:noProof/>
                <w:webHidden/>
              </w:rPr>
              <w:fldChar w:fldCharType="separate"/>
            </w:r>
            <w:r w:rsidR="00AF3345">
              <w:rPr>
                <w:noProof/>
                <w:webHidden/>
              </w:rPr>
              <w:t>30</w:t>
            </w:r>
            <w:r>
              <w:rPr>
                <w:noProof/>
                <w:webHidden/>
              </w:rPr>
              <w:fldChar w:fldCharType="end"/>
            </w:r>
          </w:hyperlink>
        </w:p>
        <w:p w:rsidR="00AF3345" w:rsidRDefault="0040042D">
          <w:pPr>
            <w:pStyle w:val="Obsah3"/>
            <w:tabs>
              <w:tab w:val="right" w:leader="dot" w:pos="8493"/>
            </w:tabs>
            <w:rPr>
              <w:rFonts w:asciiTheme="minorHAnsi" w:eastAsiaTheme="minorEastAsia" w:hAnsiTheme="minorHAnsi" w:cstheme="minorBidi"/>
              <w:noProof/>
              <w:sz w:val="22"/>
              <w:szCs w:val="22"/>
              <w:lang w:eastAsia="cs-CZ"/>
            </w:rPr>
          </w:pPr>
          <w:hyperlink w:anchor="_Toc293153745" w:history="1">
            <w:r w:rsidR="00AF3345" w:rsidRPr="005F2957">
              <w:rPr>
                <w:rStyle w:val="Hypertextovodkaz"/>
                <w:noProof/>
              </w:rPr>
              <w:t>2.4.2 Charta OSN pro seniory</w:t>
            </w:r>
            <w:r w:rsidR="00AF3345">
              <w:rPr>
                <w:noProof/>
                <w:webHidden/>
              </w:rPr>
              <w:tab/>
            </w:r>
            <w:r>
              <w:rPr>
                <w:noProof/>
                <w:webHidden/>
              </w:rPr>
              <w:fldChar w:fldCharType="begin"/>
            </w:r>
            <w:r w:rsidR="00AF3345">
              <w:rPr>
                <w:noProof/>
                <w:webHidden/>
              </w:rPr>
              <w:instrText xml:space="preserve"> PAGEREF _Toc293153745 \h </w:instrText>
            </w:r>
            <w:r>
              <w:rPr>
                <w:noProof/>
                <w:webHidden/>
              </w:rPr>
            </w:r>
            <w:r>
              <w:rPr>
                <w:noProof/>
                <w:webHidden/>
              </w:rPr>
              <w:fldChar w:fldCharType="separate"/>
            </w:r>
            <w:r w:rsidR="00AF3345">
              <w:rPr>
                <w:noProof/>
                <w:webHidden/>
              </w:rPr>
              <w:t>32</w:t>
            </w:r>
            <w:r>
              <w:rPr>
                <w:noProof/>
                <w:webHidden/>
              </w:rPr>
              <w:fldChar w:fldCharType="end"/>
            </w:r>
          </w:hyperlink>
        </w:p>
        <w:p w:rsidR="00AF3345" w:rsidRDefault="0040042D">
          <w:pPr>
            <w:pStyle w:val="Obsah3"/>
            <w:tabs>
              <w:tab w:val="right" w:leader="dot" w:pos="8493"/>
            </w:tabs>
            <w:rPr>
              <w:rFonts w:asciiTheme="minorHAnsi" w:eastAsiaTheme="minorEastAsia" w:hAnsiTheme="minorHAnsi" w:cstheme="minorBidi"/>
              <w:noProof/>
              <w:sz w:val="22"/>
              <w:szCs w:val="22"/>
              <w:lang w:eastAsia="cs-CZ"/>
            </w:rPr>
          </w:pPr>
          <w:hyperlink w:anchor="_Toc293153746" w:history="1">
            <w:r w:rsidR="00AF3345" w:rsidRPr="005F2957">
              <w:rPr>
                <w:rStyle w:val="Hypertextovodkaz"/>
                <w:noProof/>
              </w:rPr>
              <w:t xml:space="preserve">2.4.3 Národní program přípravy na stárnutí </w:t>
            </w:r>
            <w:r w:rsidR="00AF3345">
              <w:rPr>
                <w:rStyle w:val="Hypertextovodkaz"/>
                <w:noProof/>
              </w:rPr>
              <w:t xml:space="preserve">na období let 2008 až </w:t>
            </w:r>
            <w:r w:rsidR="00AF3345" w:rsidRPr="005F2957">
              <w:rPr>
                <w:rStyle w:val="Hypertextovodkaz"/>
                <w:noProof/>
              </w:rPr>
              <w:t>2012 (kvalita života ve stáří)</w:t>
            </w:r>
            <w:r w:rsidR="00AF3345">
              <w:rPr>
                <w:noProof/>
                <w:webHidden/>
              </w:rPr>
              <w:tab/>
            </w:r>
            <w:r>
              <w:rPr>
                <w:noProof/>
                <w:webHidden/>
              </w:rPr>
              <w:fldChar w:fldCharType="begin"/>
            </w:r>
            <w:r w:rsidR="00AF3345">
              <w:rPr>
                <w:noProof/>
                <w:webHidden/>
              </w:rPr>
              <w:instrText xml:space="preserve"> PAGEREF _Toc293153746 \h </w:instrText>
            </w:r>
            <w:r>
              <w:rPr>
                <w:noProof/>
                <w:webHidden/>
              </w:rPr>
            </w:r>
            <w:r>
              <w:rPr>
                <w:noProof/>
                <w:webHidden/>
              </w:rPr>
              <w:fldChar w:fldCharType="separate"/>
            </w:r>
            <w:r w:rsidR="00AF3345">
              <w:rPr>
                <w:noProof/>
                <w:webHidden/>
              </w:rPr>
              <w:t>34</w:t>
            </w:r>
            <w:r>
              <w:rPr>
                <w:noProof/>
                <w:webHidden/>
              </w:rPr>
              <w:fldChar w:fldCharType="end"/>
            </w:r>
          </w:hyperlink>
        </w:p>
        <w:p w:rsidR="00AF3345" w:rsidRDefault="0040042D">
          <w:pPr>
            <w:pStyle w:val="Obsah3"/>
            <w:tabs>
              <w:tab w:val="right" w:leader="dot" w:pos="8493"/>
            </w:tabs>
            <w:rPr>
              <w:rFonts w:asciiTheme="minorHAnsi" w:eastAsiaTheme="minorEastAsia" w:hAnsiTheme="minorHAnsi" w:cstheme="minorBidi"/>
              <w:noProof/>
              <w:sz w:val="22"/>
              <w:szCs w:val="22"/>
              <w:lang w:eastAsia="cs-CZ"/>
            </w:rPr>
          </w:pPr>
          <w:hyperlink w:anchor="_Toc293153747" w:history="1">
            <w:r w:rsidR="00AF3345" w:rsidRPr="005F2957">
              <w:rPr>
                <w:rStyle w:val="Hypertextovodkaz"/>
                <w:noProof/>
              </w:rPr>
              <w:t>2.4.4 Projekt PASEO</w:t>
            </w:r>
            <w:r w:rsidR="00AF3345">
              <w:rPr>
                <w:noProof/>
                <w:webHidden/>
              </w:rPr>
              <w:tab/>
            </w:r>
            <w:r>
              <w:rPr>
                <w:noProof/>
                <w:webHidden/>
              </w:rPr>
              <w:fldChar w:fldCharType="begin"/>
            </w:r>
            <w:r w:rsidR="00AF3345">
              <w:rPr>
                <w:noProof/>
                <w:webHidden/>
              </w:rPr>
              <w:instrText xml:space="preserve"> PAGEREF _Toc293153747 \h </w:instrText>
            </w:r>
            <w:r>
              <w:rPr>
                <w:noProof/>
                <w:webHidden/>
              </w:rPr>
            </w:r>
            <w:r>
              <w:rPr>
                <w:noProof/>
                <w:webHidden/>
              </w:rPr>
              <w:fldChar w:fldCharType="separate"/>
            </w:r>
            <w:r w:rsidR="00AF3345">
              <w:rPr>
                <w:noProof/>
                <w:webHidden/>
              </w:rPr>
              <w:t>36</w:t>
            </w:r>
            <w:r>
              <w:rPr>
                <w:noProof/>
                <w:webHidden/>
              </w:rPr>
              <w:fldChar w:fldCharType="end"/>
            </w:r>
          </w:hyperlink>
        </w:p>
        <w:p w:rsidR="00AF3345" w:rsidRDefault="0040042D">
          <w:pPr>
            <w:pStyle w:val="Obsah2"/>
            <w:rPr>
              <w:rFonts w:asciiTheme="minorHAnsi" w:eastAsiaTheme="minorEastAsia" w:hAnsiTheme="minorHAnsi" w:cstheme="minorBidi"/>
              <w:b w:val="0"/>
              <w:bCs w:val="0"/>
              <w:noProof/>
              <w:sz w:val="22"/>
              <w:szCs w:val="22"/>
              <w:lang w:eastAsia="cs-CZ"/>
            </w:rPr>
          </w:pPr>
          <w:hyperlink w:anchor="_Toc293153748" w:history="1">
            <w:r w:rsidR="00AF3345" w:rsidRPr="005F2957">
              <w:rPr>
                <w:rStyle w:val="Hypertextovodkaz"/>
                <w:noProof/>
              </w:rPr>
              <w:t>2.5 POHYBOVÁ AKTIVITA</w:t>
            </w:r>
            <w:r w:rsidR="00AF3345">
              <w:rPr>
                <w:noProof/>
                <w:webHidden/>
              </w:rPr>
              <w:tab/>
            </w:r>
            <w:r>
              <w:rPr>
                <w:noProof/>
                <w:webHidden/>
              </w:rPr>
              <w:fldChar w:fldCharType="begin"/>
            </w:r>
            <w:r w:rsidR="00AF3345">
              <w:rPr>
                <w:noProof/>
                <w:webHidden/>
              </w:rPr>
              <w:instrText xml:space="preserve"> PAGEREF _Toc293153748 \h </w:instrText>
            </w:r>
            <w:r>
              <w:rPr>
                <w:noProof/>
                <w:webHidden/>
              </w:rPr>
            </w:r>
            <w:r>
              <w:rPr>
                <w:noProof/>
                <w:webHidden/>
              </w:rPr>
              <w:fldChar w:fldCharType="separate"/>
            </w:r>
            <w:r w:rsidR="00AF3345">
              <w:rPr>
                <w:noProof/>
                <w:webHidden/>
              </w:rPr>
              <w:t>38</w:t>
            </w:r>
            <w:r>
              <w:rPr>
                <w:noProof/>
                <w:webHidden/>
              </w:rPr>
              <w:fldChar w:fldCharType="end"/>
            </w:r>
          </w:hyperlink>
        </w:p>
        <w:p w:rsidR="00AF3345" w:rsidRDefault="0040042D">
          <w:pPr>
            <w:pStyle w:val="Obsah2"/>
            <w:rPr>
              <w:rFonts w:asciiTheme="minorHAnsi" w:eastAsiaTheme="minorEastAsia" w:hAnsiTheme="minorHAnsi" w:cstheme="minorBidi"/>
              <w:b w:val="0"/>
              <w:bCs w:val="0"/>
              <w:noProof/>
              <w:sz w:val="22"/>
              <w:szCs w:val="22"/>
              <w:lang w:eastAsia="cs-CZ"/>
            </w:rPr>
          </w:pPr>
          <w:hyperlink w:anchor="_Toc293153749" w:history="1">
            <w:r w:rsidR="00AF3345" w:rsidRPr="005F2957">
              <w:rPr>
                <w:rStyle w:val="Hypertextovodkaz"/>
                <w:noProof/>
              </w:rPr>
              <w:t>2.6 POHYBOVÁ AKTIVITA SENIORŮ</w:t>
            </w:r>
            <w:r w:rsidR="00AF3345">
              <w:rPr>
                <w:noProof/>
                <w:webHidden/>
              </w:rPr>
              <w:tab/>
            </w:r>
            <w:r>
              <w:rPr>
                <w:noProof/>
                <w:webHidden/>
              </w:rPr>
              <w:fldChar w:fldCharType="begin"/>
            </w:r>
            <w:r w:rsidR="00AF3345">
              <w:rPr>
                <w:noProof/>
                <w:webHidden/>
              </w:rPr>
              <w:instrText xml:space="preserve"> PAGEREF _Toc293153749 \h </w:instrText>
            </w:r>
            <w:r>
              <w:rPr>
                <w:noProof/>
                <w:webHidden/>
              </w:rPr>
            </w:r>
            <w:r>
              <w:rPr>
                <w:noProof/>
                <w:webHidden/>
              </w:rPr>
              <w:fldChar w:fldCharType="separate"/>
            </w:r>
            <w:r w:rsidR="00AF3345">
              <w:rPr>
                <w:noProof/>
                <w:webHidden/>
              </w:rPr>
              <w:t>41</w:t>
            </w:r>
            <w:r>
              <w:rPr>
                <w:noProof/>
                <w:webHidden/>
              </w:rPr>
              <w:fldChar w:fldCharType="end"/>
            </w:r>
          </w:hyperlink>
        </w:p>
        <w:p w:rsidR="00AF3345" w:rsidRDefault="0040042D">
          <w:pPr>
            <w:pStyle w:val="Obsah3"/>
            <w:tabs>
              <w:tab w:val="right" w:leader="dot" w:pos="8493"/>
            </w:tabs>
            <w:rPr>
              <w:rFonts w:asciiTheme="minorHAnsi" w:eastAsiaTheme="minorEastAsia" w:hAnsiTheme="minorHAnsi" w:cstheme="minorBidi"/>
              <w:noProof/>
              <w:sz w:val="22"/>
              <w:szCs w:val="22"/>
              <w:lang w:eastAsia="cs-CZ"/>
            </w:rPr>
          </w:pPr>
          <w:hyperlink w:anchor="_Toc293153750" w:history="1">
            <w:r w:rsidR="00AF3345" w:rsidRPr="005F2957">
              <w:rPr>
                <w:rStyle w:val="Hypertextovodkaz"/>
                <w:noProof/>
              </w:rPr>
              <w:t>2.6.1 Pohybová aktivita pro seniory</w:t>
            </w:r>
            <w:r w:rsidR="00AF3345">
              <w:rPr>
                <w:noProof/>
                <w:webHidden/>
              </w:rPr>
              <w:tab/>
            </w:r>
            <w:r>
              <w:rPr>
                <w:noProof/>
                <w:webHidden/>
              </w:rPr>
              <w:fldChar w:fldCharType="begin"/>
            </w:r>
            <w:r w:rsidR="00AF3345">
              <w:rPr>
                <w:noProof/>
                <w:webHidden/>
              </w:rPr>
              <w:instrText xml:space="preserve"> PAGEREF _Toc293153750 \h </w:instrText>
            </w:r>
            <w:r>
              <w:rPr>
                <w:noProof/>
                <w:webHidden/>
              </w:rPr>
            </w:r>
            <w:r>
              <w:rPr>
                <w:noProof/>
                <w:webHidden/>
              </w:rPr>
              <w:fldChar w:fldCharType="separate"/>
            </w:r>
            <w:r w:rsidR="00AF3345">
              <w:rPr>
                <w:noProof/>
                <w:webHidden/>
              </w:rPr>
              <w:t>42</w:t>
            </w:r>
            <w:r>
              <w:rPr>
                <w:noProof/>
                <w:webHidden/>
              </w:rPr>
              <w:fldChar w:fldCharType="end"/>
            </w:r>
          </w:hyperlink>
        </w:p>
        <w:p w:rsidR="00AF3345" w:rsidRDefault="0040042D">
          <w:pPr>
            <w:pStyle w:val="Obsah1"/>
            <w:rPr>
              <w:rFonts w:asciiTheme="minorHAnsi" w:eastAsiaTheme="minorEastAsia" w:hAnsiTheme="minorHAnsi" w:cstheme="minorBidi"/>
              <w:b w:val="0"/>
              <w:bCs w:val="0"/>
              <w:caps w:val="0"/>
              <w:sz w:val="22"/>
              <w:szCs w:val="22"/>
              <w:lang w:eastAsia="cs-CZ"/>
            </w:rPr>
          </w:pPr>
          <w:hyperlink w:anchor="_Toc293153751" w:history="1">
            <w:r w:rsidR="00AF3345" w:rsidRPr="005F2957">
              <w:rPr>
                <w:rStyle w:val="Hypertextovodkaz"/>
              </w:rPr>
              <w:t>3 CÍL</w:t>
            </w:r>
            <w:r w:rsidR="00AF3345">
              <w:rPr>
                <w:webHidden/>
              </w:rPr>
              <w:tab/>
            </w:r>
            <w:r>
              <w:rPr>
                <w:webHidden/>
              </w:rPr>
              <w:fldChar w:fldCharType="begin"/>
            </w:r>
            <w:r w:rsidR="00AF3345">
              <w:rPr>
                <w:webHidden/>
              </w:rPr>
              <w:instrText xml:space="preserve"> PAGEREF _Toc293153751 \h </w:instrText>
            </w:r>
            <w:r>
              <w:rPr>
                <w:webHidden/>
              </w:rPr>
            </w:r>
            <w:r>
              <w:rPr>
                <w:webHidden/>
              </w:rPr>
              <w:fldChar w:fldCharType="separate"/>
            </w:r>
            <w:r w:rsidR="00AF3345">
              <w:rPr>
                <w:webHidden/>
              </w:rPr>
              <w:t>45</w:t>
            </w:r>
            <w:r>
              <w:rPr>
                <w:webHidden/>
              </w:rPr>
              <w:fldChar w:fldCharType="end"/>
            </w:r>
          </w:hyperlink>
        </w:p>
        <w:p w:rsidR="00AF3345" w:rsidRDefault="0040042D">
          <w:pPr>
            <w:pStyle w:val="Obsah2"/>
            <w:rPr>
              <w:rFonts w:asciiTheme="minorHAnsi" w:eastAsiaTheme="minorEastAsia" w:hAnsiTheme="minorHAnsi" w:cstheme="minorBidi"/>
              <w:b w:val="0"/>
              <w:bCs w:val="0"/>
              <w:noProof/>
              <w:sz w:val="22"/>
              <w:szCs w:val="22"/>
              <w:lang w:eastAsia="cs-CZ"/>
            </w:rPr>
          </w:pPr>
          <w:hyperlink w:anchor="_Toc293153752" w:history="1">
            <w:r w:rsidR="00AF3345" w:rsidRPr="005F2957">
              <w:rPr>
                <w:rStyle w:val="Hypertextovodkaz"/>
                <w:noProof/>
              </w:rPr>
              <w:t>3.1 DÍLČÍ CÍLE</w:t>
            </w:r>
            <w:r w:rsidR="00AF3345">
              <w:rPr>
                <w:noProof/>
                <w:webHidden/>
              </w:rPr>
              <w:tab/>
            </w:r>
            <w:r>
              <w:rPr>
                <w:noProof/>
                <w:webHidden/>
              </w:rPr>
              <w:fldChar w:fldCharType="begin"/>
            </w:r>
            <w:r w:rsidR="00AF3345">
              <w:rPr>
                <w:noProof/>
                <w:webHidden/>
              </w:rPr>
              <w:instrText xml:space="preserve"> PAGEREF _Toc293153752 \h </w:instrText>
            </w:r>
            <w:r>
              <w:rPr>
                <w:noProof/>
                <w:webHidden/>
              </w:rPr>
            </w:r>
            <w:r>
              <w:rPr>
                <w:noProof/>
                <w:webHidden/>
              </w:rPr>
              <w:fldChar w:fldCharType="separate"/>
            </w:r>
            <w:r w:rsidR="00AF3345">
              <w:rPr>
                <w:noProof/>
                <w:webHidden/>
              </w:rPr>
              <w:t>45</w:t>
            </w:r>
            <w:r>
              <w:rPr>
                <w:noProof/>
                <w:webHidden/>
              </w:rPr>
              <w:fldChar w:fldCharType="end"/>
            </w:r>
          </w:hyperlink>
        </w:p>
        <w:p w:rsidR="00AF3345" w:rsidRDefault="0040042D">
          <w:pPr>
            <w:pStyle w:val="Obsah1"/>
            <w:rPr>
              <w:rFonts w:asciiTheme="minorHAnsi" w:eastAsiaTheme="minorEastAsia" w:hAnsiTheme="minorHAnsi" w:cstheme="minorBidi"/>
              <w:b w:val="0"/>
              <w:bCs w:val="0"/>
              <w:caps w:val="0"/>
              <w:sz w:val="22"/>
              <w:szCs w:val="22"/>
              <w:lang w:eastAsia="cs-CZ"/>
            </w:rPr>
          </w:pPr>
          <w:hyperlink w:anchor="_Toc293153753" w:history="1">
            <w:r w:rsidR="00AF3345" w:rsidRPr="005F2957">
              <w:rPr>
                <w:rStyle w:val="Hypertextovodkaz"/>
              </w:rPr>
              <w:t>4 METODIKA</w:t>
            </w:r>
            <w:r w:rsidR="00AF3345">
              <w:rPr>
                <w:webHidden/>
              </w:rPr>
              <w:tab/>
            </w:r>
            <w:r>
              <w:rPr>
                <w:webHidden/>
              </w:rPr>
              <w:fldChar w:fldCharType="begin"/>
            </w:r>
            <w:r w:rsidR="00AF3345">
              <w:rPr>
                <w:webHidden/>
              </w:rPr>
              <w:instrText xml:space="preserve"> PAGEREF _Toc293153753 \h </w:instrText>
            </w:r>
            <w:r>
              <w:rPr>
                <w:webHidden/>
              </w:rPr>
            </w:r>
            <w:r>
              <w:rPr>
                <w:webHidden/>
              </w:rPr>
              <w:fldChar w:fldCharType="separate"/>
            </w:r>
            <w:r w:rsidR="00AF3345">
              <w:rPr>
                <w:webHidden/>
              </w:rPr>
              <w:t>46</w:t>
            </w:r>
            <w:r>
              <w:rPr>
                <w:webHidden/>
              </w:rPr>
              <w:fldChar w:fldCharType="end"/>
            </w:r>
          </w:hyperlink>
        </w:p>
        <w:p w:rsidR="00AF3345" w:rsidRDefault="0040042D">
          <w:pPr>
            <w:pStyle w:val="Obsah2"/>
            <w:rPr>
              <w:rFonts w:asciiTheme="minorHAnsi" w:eastAsiaTheme="minorEastAsia" w:hAnsiTheme="minorHAnsi" w:cstheme="minorBidi"/>
              <w:b w:val="0"/>
              <w:bCs w:val="0"/>
              <w:noProof/>
              <w:sz w:val="22"/>
              <w:szCs w:val="22"/>
              <w:lang w:eastAsia="cs-CZ"/>
            </w:rPr>
          </w:pPr>
          <w:hyperlink w:anchor="_Toc293153754" w:history="1">
            <w:r w:rsidR="00AF3345" w:rsidRPr="005F2957">
              <w:rPr>
                <w:rStyle w:val="Hypertextovodkaz"/>
                <w:noProof/>
              </w:rPr>
              <w:t>4.1 SOUBOR</w:t>
            </w:r>
            <w:r w:rsidR="00AF3345">
              <w:rPr>
                <w:noProof/>
                <w:webHidden/>
              </w:rPr>
              <w:tab/>
            </w:r>
            <w:r>
              <w:rPr>
                <w:noProof/>
                <w:webHidden/>
              </w:rPr>
              <w:fldChar w:fldCharType="begin"/>
            </w:r>
            <w:r w:rsidR="00AF3345">
              <w:rPr>
                <w:noProof/>
                <w:webHidden/>
              </w:rPr>
              <w:instrText xml:space="preserve"> PAGEREF _Toc293153754 \h </w:instrText>
            </w:r>
            <w:r>
              <w:rPr>
                <w:noProof/>
                <w:webHidden/>
              </w:rPr>
            </w:r>
            <w:r>
              <w:rPr>
                <w:noProof/>
                <w:webHidden/>
              </w:rPr>
              <w:fldChar w:fldCharType="separate"/>
            </w:r>
            <w:r w:rsidR="00AF3345">
              <w:rPr>
                <w:noProof/>
                <w:webHidden/>
              </w:rPr>
              <w:t>46</w:t>
            </w:r>
            <w:r>
              <w:rPr>
                <w:noProof/>
                <w:webHidden/>
              </w:rPr>
              <w:fldChar w:fldCharType="end"/>
            </w:r>
          </w:hyperlink>
        </w:p>
        <w:p w:rsidR="00AF3345" w:rsidRDefault="0040042D">
          <w:pPr>
            <w:pStyle w:val="Obsah2"/>
            <w:rPr>
              <w:rFonts w:asciiTheme="minorHAnsi" w:eastAsiaTheme="minorEastAsia" w:hAnsiTheme="minorHAnsi" w:cstheme="minorBidi"/>
              <w:b w:val="0"/>
              <w:bCs w:val="0"/>
              <w:noProof/>
              <w:sz w:val="22"/>
              <w:szCs w:val="22"/>
              <w:lang w:eastAsia="cs-CZ"/>
            </w:rPr>
          </w:pPr>
          <w:hyperlink w:anchor="_Toc293153755" w:history="1">
            <w:r w:rsidR="00AF3345" w:rsidRPr="005F2957">
              <w:rPr>
                <w:rStyle w:val="Hypertextovodkaz"/>
                <w:noProof/>
              </w:rPr>
              <w:t>4.2 TANITA</w:t>
            </w:r>
            <w:r w:rsidR="00AF3345">
              <w:rPr>
                <w:noProof/>
                <w:webHidden/>
              </w:rPr>
              <w:tab/>
            </w:r>
            <w:r>
              <w:rPr>
                <w:noProof/>
                <w:webHidden/>
              </w:rPr>
              <w:fldChar w:fldCharType="begin"/>
            </w:r>
            <w:r w:rsidR="00AF3345">
              <w:rPr>
                <w:noProof/>
                <w:webHidden/>
              </w:rPr>
              <w:instrText xml:space="preserve"> PAGEREF _Toc293153755 \h </w:instrText>
            </w:r>
            <w:r>
              <w:rPr>
                <w:noProof/>
                <w:webHidden/>
              </w:rPr>
            </w:r>
            <w:r>
              <w:rPr>
                <w:noProof/>
                <w:webHidden/>
              </w:rPr>
              <w:fldChar w:fldCharType="separate"/>
            </w:r>
            <w:r w:rsidR="00AF3345">
              <w:rPr>
                <w:noProof/>
                <w:webHidden/>
              </w:rPr>
              <w:t>46</w:t>
            </w:r>
            <w:r>
              <w:rPr>
                <w:noProof/>
                <w:webHidden/>
              </w:rPr>
              <w:fldChar w:fldCharType="end"/>
            </w:r>
          </w:hyperlink>
        </w:p>
        <w:p w:rsidR="00AF3345" w:rsidRDefault="0040042D">
          <w:pPr>
            <w:pStyle w:val="Obsah2"/>
            <w:rPr>
              <w:rFonts w:asciiTheme="minorHAnsi" w:eastAsiaTheme="minorEastAsia" w:hAnsiTheme="minorHAnsi" w:cstheme="minorBidi"/>
              <w:b w:val="0"/>
              <w:bCs w:val="0"/>
              <w:noProof/>
              <w:sz w:val="22"/>
              <w:szCs w:val="22"/>
              <w:lang w:eastAsia="cs-CZ"/>
            </w:rPr>
          </w:pPr>
          <w:hyperlink w:anchor="_Toc293153756" w:history="1">
            <w:r w:rsidR="00AF3345" w:rsidRPr="005F2957">
              <w:rPr>
                <w:rStyle w:val="Hypertextovodkaz"/>
                <w:noProof/>
              </w:rPr>
              <w:t>4.3 INBODY 720</w:t>
            </w:r>
            <w:r w:rsidR="00AF3345">
              <w:rPr>
                <w:noProof/>
                <w:webHidden/>
              </w:rPr>
              <w:tab/>
            </w:r>
            <w:r>
              <w:rPr>
                <w:noProof/>
                <w:webHidden/>
              </w:rPr>
              <w:fldChar w:fldCharType="begin"/>
            </w:r>
            <w:r w:rsidR="00AF3345">
              <w:rPr>
                <w:noProof/>
                <w:webHidden/>
              </w:rPr>
              <w:instrText xml:space="preserve"> PAGEREF _Toc293153756 \h </w:instrText>
            </w:r>
            <w:r>
              <w:rPr>
                <w:noProof/>
                <w:webHidden/>
              </w:rPr>
            </w:r>
            <w:r>
              <w:rPr>
                <w:noProof/>
                <w:webHidden/>
              </w:rPr>
              <w:fldChar w:fldCharType="separate"/>
            </w:r>
            <w:r w:rsidR="00AF3345">
              <w:rPr>
                <w:noProof/>
                <w:webHidden/>
              </w:rPr>
              <w:t>48</w:t>
            </w:r>
            <w:r>
              <w:rPr>
                <w:noProof/>
                <w:webHidden/>
              </w:rPr>
              <w:fldChar w:fldCharType="end"/>
            </w:r>
          </w:hyperlink>
        </w:p>
        <w:p w:rsidR="00AF3345" w:rsidRDefault="0040042D">
          <w:pPr>
            <w:pStyle w:val="Obsah3"/>
            <w:tabs>
              <w:tab w:val="right" w:leader="dot" w:pos="8493"/>
            </w:tabs>
            <w:rPr>
              <w:rFonts w:asciiTheme="minorHAnsi" w:eastAsiaTheme="minorEastAsia" w:hAnsiTheme="minorHAnsi" w:cstheme="minorBidi"/>
              <w:noProof/>
              <w:sz w:val="22"/>
              <w:szCs w:val="22"/>
              <w:lang w:eastAsia="cs-CZ"/>
            </w:rPr>
          </w:pPr>
          <w:hyperlink w:anchor="_Toc293153757" w:history="1">
            <w:r w:rsidR="00AF3345" w:rsidRPr="005F2957">
              <w:rPr>
                <w:rStyle w:val="Hypertextovodkaz"/>
                <w:noProof/>
              </w:rPr>
              <w:t>4.3.1 Segmentální analýza</w:t>
            </w:r>
            <w:r w:rsidR="00AF3345">
              <w:rPr>
                <w:noProof/>
                <w:webHidden/>
              </w:rPr>
              <w:tab/>
            </w:r>
            <w:r>
              <w:rPr>
                <w:noProof/>
                <w:webHidden/>
              </w:rPr>
              <w:fldChar w:fldCharType="begin"/>
            </w:r>
            <w:r w:rsidR="00AF3345">
              <w:rPr>
                <w:noProof/>
                <w:webHidden/>
              </w:rPr>
              <w:instrText xml:space="preserve"> PAGEREF _Toc293153757 \h </w:instrText>
            </w:r>
            <w:r>
              <w:rPr>
                <w:noProof/>
                <w:webHidden/>
              </w:rPr>
            </w:r>
            <w:r>
              <w:rPr>
                <w:noProof/>
                <w:webHidden/>
              </w:rPr>
              <w:fldChar w:fldCharType="separate"/>
            </w:r>
            <w:r w:rsidR="00AF3345">
              <w:rPr>
                <w:noProof/>
                <w:webHidden/>
              </w:rPr>
              <w:t>52</w:t>
            </w:r>
            <w:r>
              <w:rPr>
                <w:noProof/>
                <w:webHidden/>
              </w:rPr>
              <w:fldChar w:fldCharType="end"/>
            </w:r>
          </w:hyperlink>
        </w:p>
        <w:p w:rsidR="00AF3345" w:rsidRDefault="0040042D">
          <w:pPr>
            <w:pStyle w:val="Obsah2"/>
            <w:rPr>
              <w:rFonts w:asciiTheme="minorHAnsi" w:eastAsiaTheme="minorEastAsia" w:hAnsiTheme="minorHAnsi" w:cstheme="minorBidi"/>
              <w:b w:val="0"/>
              <w:bCs w:val="0"/>
              <w:noProof/>
              <w:sz w:val="22"/>
              <w:szCs w:val="22"/>
              <w:lang w:eastAsia="cs-CZ"/>
            </w:rPr>
          </w:pPr>
          <w:hyperlink w:anchor="_Toc293153758" w:history="1">
            <w:r w:rsidR="00AF3345" w:rsidRPr="005F2957">
              <w:rPr>
                <w:rStyle w:val="Hypertextovodkaz"/>
                <w:noProof/>
              </w:rPr>
              <w:t>4.4 ACTIGRAPH GT1M</w:t>
            </w:r>
            <w:r w:rsidR="00AF3345">
              <w:rPr>
                <w:noProof/>
                <w:webHidden/>
              </w:rPr>
              <w:tab/>
            </w:r>
            <w:r>
              <w:rPr>
                <w:noProof/>
                <w:webHidden/>
              </w:rPr>
              <w:fldChar w:fldCharType="begin"/>
            </w:r>
            <w:r w:rsidR="00AF3345">
              <w:rPr>
                <w:noProof/>
                <w:webHidden/>
              </w:rPr>
              <w:instrText xml:space="preserve"> PAGEREF _Toc293153758 \h </w:instrText>
            </w:r>
            <w:r>
              <w:rPr>
                <w:noProof/>
                <w:webHidden/>
              </w:rPr>
            </w:r>
            <w:r>
              <w:rPr>
                <w:noProof/>
                <w:webHidden/>
              </w:rPr>
              <w:fldChar w:fldCharType="separate"/>
            </w:r>
            <w:r w:rsidR="00AF3345">
              <w:rPr>
                <w:noProof/>
                <w:webHidden/>
              </w:rPr>
              <w:t>54</w:t>
            </w:r>
            <w:r>
              <w:rPr>
                <w:noProof/>
                <w:webHidden/>
              </w:rPr>
              <w:fldChar w:fldCharType="end"/>
            </w:r>
          </w:hyperlink>
        </w:p>
        <w:p w:rsidR="00AF3345" w:rsidRDefault="0040042D">
          <w:pPr>
            <w:pStyle w:val="Obsah1"/>
            <w:rPr>
              <w:rFonts w:asciiTheme="minorHAnsi" w:eastAsiaTheme="minorEastAsia" w:hAnsiTheme="minorHAnsi" w:cstheme="minorBidi"/>
              <w:b w:val="0"/>
              <w:bCs w:val="0"/>
              <w:caps w:val="0"/>
              <w:sz w:val="22"/>
              <w:szCs w:val="22"/>
              <w:lang w:eastAsia="cs-CZ"/>
            </w:rPr>
          </w:pPr>
          <w:hyperlink w:anchor="_Toc293153759" w:history="1">
            <w:r w:rsidR="00AF3345" w:rsidRPr="005F2957">
              <w:rPr>
                <w:rStyle w:val="Hypertextovodkaz"/>
              </w:rPr>
              <w:t>5 VÝSLEDKY</w:t>
            </w:r>
            <w:r w:rsidR="00AF3345">
              <w:rPr>
                <w:webHidden/>
              </w:rPr>
              <w:tab/>
            </w:r>
            <w:r>
              <w:rPr>
                <w:webHidden/>
              </w:rPr>
              <w:fldChar w:fldCharType="begin"/>
            </w:r>
            <w:r w:rsidR="00AF3345">
              <w:rPr>
                <w:webHidden/>
              </w:rPr>
              <w:instrText xml:space="preserve"> PAGEREF _Toc293153759 \h </w:instrText>
            </w:r>
            <w:r>
              <w:rPr>
                <w:webHidden/>
              </w:rPr>
            </w:r>
            <w:r>
              <w:rPr>
                <w:webHidden/>
              </w:rPr>
              <w:fldChar w:fldCharType="separate"/>
            </w:r>
            <w:r w:rsidR="00AF3345">
              <w:rPr>
                <w:webHidden/>
              </w:rPr>
              <w:t>59</w:t>
            </w:r>
            <w:r>
              <w:rPr>
                <w:webHidden/>
              </w:rPr>
              <w:fldChar w:fldCharType="end"/>
            </w:r>
          </w:hyperlink>
        </w:p>
        <w:p w:rsidR="00AF3345" w:rsidRDefault="0040042D">
          <w:pPr>
            <w:pStyle w:val="Obsah2"/>
            <w:rPr>
              <w:rFonts w:asciiTheme="minorHAnsi" w:eastAsiaTheme="minorEastAsia" w:hAnsiTheme="minorHAnsi" w:cstheme="minorBidi"/>
              <w:b w:val="0"/>
              <w:bCs w:val="0"/>
              <w:noProof/>
              <w:sz w:val="22"/>
              <w:szCs w:val="22"/>
              <w:lang w:eastAsia="cs-CZ"/>
            </w:rPr>
          </w:pPr>
          <w:hyperlink w:anchor="_Toc293153760" w:history="1">
            <w:r w:rsidR="00AF3345" w:rsidRPr="005F2957">
              <w:rPr>
                <w:rStyle w:val="Hypertextovodkaz"/>
                <w:noProof/>
              </w:rPr>
              <w:t>5.1 ANALÝZA VÝSLEDKŮ Z</w:t>
            </w:r>
            <w:r w:rsidR="00AF3345">
              <w:rPr>
                <w:rStyle w:val="Hypertextovodkaz"/>
                <w:noProof/>
              </w:rPr>
              <w:t>ÍSKANÝCH PŘÍSTROJEM TANITA</w:t>
            </w:r>
            <w:r w:rsidR="00AF3345" w:rsidRPr="005F2957">
              <w:rPr>
                <w:rStyle w:val="Hypertextovodkaz"/>
                <w:noProof/>
              </w:rPr>
              <w:t xml:space="preserve"> BC-NC 418</w:t>
            </w:r>
            <w:r w:rsidR="00AF3345">
              <w:rPr>
                <w:noProof/>
                <w:webHidden/>
              </w:rPr>
              <w:tab/>
            </w:r>
            <w:r>
              <w:rPr>
                <w:noProof/>
                <w:webHidden/>
              </w:rPr>
              <w:fldChar w:fldCharType="begin"/>
            </w:r>
            <w:r w:rsidR="00AF3345">
              <w:rPr>
                <w:noProof/>
                <w:webHidden/>
              </w:rPr>
              <w:instrText xml:space="preserve"> PAGEREF _Toc293153760 \h </w:instrText>
            </w:r>
            <w:r>
              <w:rPr>
                <w:noProof/>
                <w:webHidden/>
              </w:rPr>
            </w:r>
            <w:r>
              <w:rPr>
                <w:noProof/>
                <w:webHidden/>
              </w:rPr>
              <w:fldChar w:fldCharType="separate"/>
            </w:r>
            <w:r w:rsidR="00AF3345">
              <w:rPr>
                <w:noProof/>
                <w:webHidden/>
              </w:rPr>
              <w:t>62</w:t>
            </w:r>
            <w:r>
              <w:rPr>
                <w:noProof/>
                <w:webHidden/>
              </w:rPr>
              <w:fldChar w:fldCharType="end"/>
            </w:r>
          </w:hyperlink>
        </w:p>
        <w:p w:rsidR="00AF3345" w:rsidRDefault="0040042D">
          <w:pPr>
            <w:pStyle w:val="Obsah2"/>
            <w:rPr>
              <w:rFonts w:asciiTheme="minorHAnsi" w:eastAsiaTheme="minorEastAsia" w:hAnsiTheme="minorHAnsi" w:cstheme="minorBidi"/>
              <w:b w:val="0"/>
              <w:bCs w:val="0"/>
              <w:noProof/>
              <w:sz w:val="22"/>
              <w:szCs w:val="22"/>
              <w:lang w:eastAsia="cs-CZ"/>
            </w:rPr>
          </w:pPr>
          <w:hyperlink w:anchor="_Toc293153761" w:history="1">
            <w:r w:rsidR="00AF3345" w:rsidRPr="005F2957">
              <w:rPr>
                <w:rStyle w:val="Hypertextovodkaz"/>
                <w:noProof/>
              </w:rPr>
              <w:t>5.2 ANALÝZA VÝSLEDKŮ Z</w:t>
            </w:r>
            <w:r w:rsidR="00AF3345">
              <w:rPr>
                <w:rStyle w:val="Hypertextovodkaz"/>
                <w:noProof/>
              </w:rPr>
              <w:t>SKANÝCH PŘÍSTROJEM INBODY</w:t>
            </w:r>
            <w:r w:rsidR="00AF3345" w:rsidRPr="005F2957">
              <w:rPr>
                <w:rStyle w:val="Hypertextovodkaz"/>
                <w:noProof/>
              </w:rPr>
              <w:t xml:space="preserve"> 720</w:t>
            </w:r>
            <w:r w:rsidR="00AF3345">
              <w:rPr>
                <w:noProof/>
                <w:webHidden/>
              </w:rPr>
              <w:tab/>
            </w:r>
            <w:r>
              <w:rPr>
                <w:noProof/>
                <w:webHidden/>
              </w:rPr>
              <w:fldChar w:fldCharType="begin"/>
            </w:r>
            <w:r w:rsidR="00AF3345">
              <w:rPr>
                <w:noProof/>
                <w:webHidden/>
              </w:rPr>
              <w:instrText xml:space="preserve"> PAGEREF _Toc293153761 \h </w:instrText>
            </w:r>
            <w:r>
              <w:rPr>
                <w:noProof/>
                <w:webHidden/>
              </w:rPr>
            </w:r>
            <w:r>
              <w:rPr>
                <w:noProof/>
                <w:webHidden/>
              </w:rPr>
              <w:fldChar w:fldCharType="separate"/>
            </w:r>
            <w:r w:rsidR="00AF3345">
              <w:rPr>
                <w:noProof/>
                <w:webHidden/>
              </w:rPr>
              <w:t>63</w:t>
            </w:r>
            <w:r>
              <w:rPr>
                <w:noProof/>
                <w:webHidden/>
              </w:rPr>
              <w:fldChar w:fldCharType="end"/>
            </w:r>
          </w:hyperlink>
        </w:p>
        <w:p w:rsidR="00AF3345" w:rsidRDefault="0040042D">
          <w:pPr>
            <w:pStyle w:val="Obsah2"/>
            <w:rPr>
              <w:rFonts w:asciiTheme="minorHAnsi" w:eastAsiaTheme="minorEastAsia" w:hAnsiTheme="minorHAnsi" w:cstheme="minorBidi"/>
              <w:b w:val="0"/>
              <w:bCs w:val="0"/>
              <w:noProof/>
              <w:sz w:val="22"/>
              <w:szCs w:val="22"/>
              <w:lang w:eastAsia="cs-CZ"/>
            </w:rPr>
          </w:pPr>
          <w:hyperlink w:anchor="_Toc293153762" w:history="1">
            <w:r w:rsidR="00AF3345" w:rsidRPr="005F2957">
              <w:rPr>
                <w:rStyle w:val="Hypertextovodkaz"/>
                <w:noProof/>
              </w:rPr>
              <w:t>5.3 ANALÝZA PARAMETRŮ</w:t>
            </w:r>
            <w:r w:rsidR="00AF3345">
              <w:rPr>
                <w:rStyle w:val="Hypertextovodkaz"/>
                <w:noProof/>
              </w:rPr>
              <w:t xml:space="preserve"> ZDRAVOTNÍ RIZIKOVOSTI</w:t>
            </w:r>
            <w:r w:rsidR="00AF3345" w:rsidRPr="005F2957">
              <w:rPr>
                <w:rStyle w:val="Hypertextovodkaz"/>
                <w:noProof/>
              </w:rPr>
              <w:t xml:space="preserve"> ZÍSKANÝCH PŘÍSTROJEM </w:t>
            </w:r>
            <w:r w:rsidR="00AF3345">
              <w:rPr>
                <w:rStyle w:val="Hypertextovodkaz"/>
                <w:noProof/>
              </w:rPr>
              <w:br/>
              <w:t xml:space="preserve">      </w:t>
            </w:r>
            <w:r w:rsidR="00AF3345" w:rsidRPr="005F2957">
              <w:rPr>
                <w:rStyle w:val="Hypertextovodkaz"/>
                <w:noProof/>
              </w:rPr>
              <w:t>INBODY 720</w:t>
            </w:r>
            <w:r w:rsidR="00AF3345">
              <w:rPr>
                <w:noProof/>
                <w:webHidden/>
              </w:rPr>
              <w:tab/>
            </w:r>
            <w:r>
              <w:rPr>
                <w:noProof/>
                <w:webHidden/>
              </w:rPr>
              <w:fldChar w:fldCharType="begin"/>
            </w:r>
            <w:r w:rsidR="00AF3345">
              <w:rPr>
                <w:noProof/>
                <w:webHidden/>
              </w:rPr>
              <w:instrText xml:space="preserve"> PAGEREF _Toc293153762 \h </w:instrText>
            </w:r>
            <w:r>
              <w:rPr>
                <w:noProof/>
                <w:webHidden/>
              </w:rPr>
            </w:r>
            <w:r>
              <w:rPr>
                <w:noProof/>
                <w:webHidden/>
              </w:rPr>
              <w:fldChar w:fldCharType="separate"/>
            </w:r>
            <w:r w:rsidR="00AF3345">
              <w:rPr>
                <w:noProof/>
                <w:webHidden/>
              </w:rPr>
              <w:t>66</w:t>
            </w:r>
            <w:r>
              <w:rPr>
                <w:noProof/>
                <w:webHidden/>
              </w:rPr>
              <w:fldChar w:fldCharType="end"/>
            </w:r>
          </w:hyperlink>
        </w:p>
        <w:p w:rsidR="00AF3345" w:rsidRDefault="0040042D">
          <w:pPr>
            <w:pStyle w:val="Obsah2"/>
            <w:rPr>
              <w:rFonts w:asciiTheme="minorHAnsi" w:eastAsiaTheme="minorEastAsia" w:hAnsiTheme="minorHAnsi" w:cstheme="minorBidi"/>
              <w:b w:val="0"/>
              <w:bCs w:val="0"/>
              <w:noProof/>
              <w:sz w:val="22"/>
              <w:szCs w:val="22"/>
              <w:lang w:eastAsia="cs-CZ"/>
            </w:rPr>
          </w:pPr>
          <w:hyperlink w:anchor="_Toc293153763" w:history="1">
            <w:r w:rsidR="00AF3345" w:rsidRPr="005F2957">
              <w:rPr>
                <w:rStyle w:val="Hypertextovodkaz"/>
                <w:noProof/>
              </w:rPr>
              <w:t>5.4 ANALÝZA HODNOT NAM</w:t>
            </w:r>
            <w:r w:rsidR="00AF3345">
              <w:rPr>
                <w:rStyle w:val="Hypertextovodkaz"/>
                <w:noProof/>
              </w:rPr>
              <w:t xml:space="preserve">ĚŘENÝCH PŘÍSTROJEM </w:t>
            </w:r>
            <w:r w:rsidR="00AF3345" w:rsidRPr="005F2957">
              <w:rPr>
                <w:rStyle w:val="Hypertextovodkaz"/>
                <w:noProof/>
              </w:rPr>
              <w:t>ACTIGRAPH GT1M</w:t>
            </w:r>
            <w:r w:rsidR="00AF3345">
              <w:rPr>
                <w:noProof/>
                <w:webHidden/>
              </w:rPr>
              <w:tab/>
            </w:r>
            <w:r>
              <w:rPr>
                <w:noProof/>
                <w:webHidden/>
              </w:rPr>
              <w:fldChar w:fldCharType="begin"/>
            </w:r>
            <w:r w:rsidR="00AF3345">
              <w:rPr>
                <w:noProof/>
                <w:webHidden/>
              </w:rPr>
              <w:instrText xml:space="preserve"> PAGEREF _Toc293153763 \h </w:instrText>
            </w:r>
            <w:r>
              <w:rPr>
                <w:noProof/>
                <w:webHidden/>
              </w:rPr>
            </w:r>
            <w:r>
              <w:rPr>
                <w:noProof/>
                <w:webHidden/>
              </w:rPr>
              <w:fldChar w:fldCharType="separate"/>
            </w:r>
            <w:r w:rsidR="00AF3345">
              <w:rPr>
                <w:noProof/>
                <w:webHidden/>
              </w:rPr>
              <w:t>67</w:t>
            </w:r>
            <w:r>
              <w:rPr>
                <w:noProof/>
                <w:webHidden/>
              </w:rPr>
              <w:fldChar w:fldCharType="end"/>
            </w:r>
          </w:hyperlink>
        </w:p>
        <w:p w:rsidR="00AF3345" w:rsidRDefault="0040042D">
          <w:pPr>
            <w:pStyle w:val="Obsah2"/>
            <w:rPr>
              <w:rFonts w:asciiTheme="minorHAnsi" w:eastAsiaTheme="minorEastAsia" w:hAnsiTheme="minorHAnsi" w:cstheme="minorBidi"/>
              <w:b w:val="0"/>
              <w:bCs w:val="0"/>
              <w:noProof/>
              <w:sz w:val="22"/>
              <w:szCs w:val="22"/>
              <w:lang w:eastAsia="cs-CZ"/>
            </w:rPr>
          </w:pPr>
          <w:hyperlink w:anchor="_Toc293153764" w:history="1">
            <w:r w:rsidR="00AF3345" w:rsidRPr="005F2957">
              <w:rPr>
                <w:rStyle w:val="Hypertextovodkaz"/>
                <w:noProof/>
              </w:rPr>
              <w:t>5.5 SROVNÁNÍ VYBRANÝC</w:t>
            </w:r>
            <w:r w:rsidR="00AF3345">
              <w:rPr>
                <w:rStyle w:val="Hypertextovodkaz"/>
                <w:noProof/>
              </w:rPr>
              <w:t xml:space="preserve">H NAMĚŘENÝCH PARAMETRŮ </w:t>
            </w:r>
            <w:r w:rsidR="00AF3345" w:rsidRPr="005F2957">
              <w:rPr>
                <w:rStyle w:val="Hypertextovodkaz"/>
                <w:noProof/>
              </w:rPr>
              <w:t xml:space="preserve">S REFERENČNÍMI </w:t>
            </w:r>
            <w:r w:rsidR="00AF3345">
              <w:rPr>
                <w:rStyle w:val="Hypertextovodkaz"/>
                <w:noProof/>
              </w:rPr>
              <w:br/>
              <w:t xml:space="preserve">      </w:t>
            </w:r>
            <w:r w:rsidR="00AF3345" w:rsidRPr="005F2957">
              <w:rPr>
                <w:rStyle w:val="Hypertextovodkaz"/>
                <w:noProof/>
              </w:rPr>
              <w:t>HODNO</w:t>
            </w:r>
            <w:r w:rsidR="00AF3345">
              <w:rPr>
                <w:rStyle w:val="Hypertextovodkaz"/>
                <w:noProof/>
              </w:rPr>
              <w:t xml:space="preserve">TAMI U PŘÍSTROJŮ TANITA </w:t>
            </w:r>
            <w:r w:rsidR="00AF3345" w:rsidRPr="005F2957">
              <w:rPr>
                <w:rStyle w:val="Hypertextovodkaz"/>
                <w:noProof/>
              </w:rPr>
              <w:t xml:space="preserve"> A INBODY</w:t>
            </w:r>
            <w:r w:rsidR="00AF3345">
              <w:rPr>
                <w:noProof/>
                <w:webHidden/>
              </w:rPr>
              <w:tab/>
            </w:r>
            <w:r>
              <w:rPr>
                <w:noProof/>
                <w:webHidden/>
              </w:rPr>
              <w:fldChar w:fldCharType="begin"/>
            </w:r>
            <w:r w:rsidR="00AF3345">
              <w:rPr>
                <w:noProof/>
                <w:webHidden/>
              </w:rPr>
              <w:instrText xml:space="preserve"> PAGEREF _Toc293153764 \h </w:instrText>
            </w:r>
            <w:r>
              <w:rPr>
                <w:noProof/>
                <w:webHidden/>
              </w:rPr>
            </w:r>
            <w:r>
              <w:rPr>
                <w:noProof/>
                <w:webHidden/>
              </w:rPr>
              <w:fldChar w:fldCharType="separate"/>
            </w:r>
            <w:r w:rsidR="00AF3345">
              <w:rPr>
                <w:noProof/>
                <w:webHidden/>
              </w:rPr>
              <w:t>72</w:t>
            </w:r>
            <w:r>
              <w:rPr>
                <w:noProof/>
                <w:webHidden/>
              </w:rPr>
              <w:fldChar w:fldCharType="end"/>
            </w:r>
          </w:hyperlink>
        </w:p>
        <w:p w:rsidR="00AF3345" w:rsidRDefault="0040042D">
          <w:pPr>
            <w:pStyle w:val="Obsah1"/>
            <w:rPr>
              <w:rFonts w:asciiTheme="minorHAnsi" w:eastAsiaTheme="minorEastAsia" w:hAnsiTheme="minorHAnsi" w:cstheme="minorBidi"/>
              <w:b w:val="0"/>
              <w:bCs w:val="0"/>
              <w:caps w:val="0"/>
              <w:sz w:val="22"/>
              <w:szCs w:val="22"/>
              <w:lang w:eastAsia="cs-CZ"/>
            </w:rPr>
          </w:pPr>
          <w:hyperlink w:anchor="_Toc293153765" w:history="1">
            <w:r w:rsidR="00AF3345" w:rsidRPr="005F2957">
              <w:rPr>
                <w:rStyle w:val="Hypertextovodkaz"/>
              </w:rPr>
              <w:t>6 DISKUZE</w:t>
            </w:r>
            <w:r w:rsidR="00AF3345">
              <w:rPr>
                <w:webHidden/>
              </w:rPr>
              <w:tab/>
            </w:r>
            <w:r>
              <w:rPr>
                <w:webHidden/>
              </w:rPr>
              <w:fldChar w:fldCharType="begin"/>
            </w:r>
            <w:r w:rsidR="00AF3345">
              <w:rPr>
                <w:webHidden/>
              </w:rPr>
              <w:instrText xml:space="preserve"> PAGEREF _Toc293153765 \h </w:instrText>
            </w:r>
            <w:r>
              <w:rPr>
                <w:webHidden/>
              </w:rPr>
            </w:r>
            <w:r>
              <w:rPr>
                <w:webHidden/>
              </w:rPr>
              <w:fldChar w:fldCharType="separate"/>
            </w:r>
            <w:r w:rsidR="00AF3345">
              <w:rPr>
                <w:webHidden/>
              </w:rPr>
              <w:t>79</w:t>
            </w:r>
            <w:r>
              <w:rPr>
                <w:webHidden/>
              </w:rPr>
              <w:fldChar w:fldCharType="end"/>
            </w:r>
          </w:hyperlink>
        </w:p>
        <w:p w:rsidR="00AF3345" w:rsidRDefault="0040042D">
          <w:pPr>
            <w:pStyle w:val="Obsah1"/>
            <w:rPr>
              <w:rFonts w:asciiTheme="minorHAnsi" w:eastAsiaTheme="minorEastAsia" w:hAnsiTheme="minorHAnsi" w:cstheme="minorBidi"/>
              <w:b w:val="0"/>
              <w:bCs w:val="0"/>
              <w:caps w:val="0"/>
              <w:sz w:val="22"/>
              <w:szCs w:val="22"/>
              <w:lang w:eastAsia="cs-CZ"/>
            </w:rPr>
          </w:pPr>
          <w:hyperlink w:anchor="_Toc293153766" w:history="1">
            <w:r w:rsidR="00AF3345" w:rsidRPr="005F2957">
              <w:rPr>
                <w:rStyle w:val="Hypertextovodkaz"/>
              </w:rPr>
              <w:t>7 ZÁVĚR</w:t>
            </w:r>
            <w:r w:rsidR="00AF3345">
              <w:rPr>
                <w:webHidden/>
              </w:rPr>
              <w:tab/>
            </w:r>
            <w:r>
              <w:rPr>
                <w:webHidden/>
              </w:rPr>
              <w:fldChar w:fldCharType="begin"/>
            </w:r>
            <w:r w:rsidR="00AF3345">
              <w:rPr>
                <w:webHidden/>
              </w:rPr>
              <w:instrText xml:space="preserve"> PAGEREF _Toc293153766 \h </w:instrText>
            </w:r>
            <w:r>
              <w:rPr>
                <w:webHidden/>
              </w:rPr>
            </w:r>
            <w:r>
              <w:rPr>
                <w:webHidden/>
              </w:rPr>
              <w:fldChar w:fldCharType="separate"/>
            </w:r>
            <w:r w:rsidR="00AF3345">
              <w:rPr>
                <w:webHidden/>
              </w:rPr>
              <w:t>81</w:t>
            </w:r>
            <w:r>
              <w:rPr>
                <w:webHidden/>
              </w:rPr>
              <w:fldChar w:fldCharType="end"/>
            </w:r>
          </w:hyperlink>
        </w:p>
        <w:p w:rsidR="00AF3345" w:rsidRDefault="0040042D">
          <w:pPr>
            <w:pStyle w:val="Obsah1"/>
            <w:rPr>
              <w:rFonts w:asciiTheme="minorHAnsi" w:eastAsiaTheme="minorEastAsia" w:hAnsiTheme="minorHAnsi" w:cstheme="minorBidi"/>
              <w:b w:val="0"/>
              <w:bCs w:val="0"/>
              <w:caps w:val="0"/>
              <w:sz w:val="22"/>
              <w:szCs w:val="22"/>
              <w:lang w:eastAsia="cs-CZ"/>
            </w:rPr>
          </w:pPr>
          <w:hyperlink w:anchor="_Toc293153767" w:history="1">
            <w:r w:rsidR="00AF3345" w:rsidRPr="005F2957">
              <w:rPr>
                <w:rStyle w:val="Hypertextovodkaz"/>
              </w:rPr>
              <w:t>8 SOUHRN</w:t>
            </w:r>
            <w:r w:rsidR="00AF3345">
              <w:rPr>
                <w:webHidden/>
              </w:rPr>
              <w:tab/>
            </w:r>
            <w:r>
              <w:rPr>
                <w:webHidden/>
              </w:rPr>
              <w:fldChar w:fldCharType="begin"/>
            </w:r>
            <w:r w:rsidR="00AF3345">
              <w:rPr>
                <w:webHidden/>
              </w:rPr>
              <w:instrText xml:space="preserve"> PAGEREF _Toc293153767 \h </w:instrText>
            </w:r>
            <w:r>
              <w:rPr>
                <w:webHidden/>
              </w:rPr>
            </w:r>
            <w:r>
              <w:rPr>
                <w:webHidden/>
              </w:rPr>
              <w:fldChar w:fldCharType="separate"/>
            </w:r>
            <w:r w:rsidR="00AF3345">
              <w:rPr>
                <w:webHidden/>
              </w:rPr>
              <w:t>83</w:t>
            </w:r>
            <w:r>
              <w:rPr>
                <w:webHidden/>
              </w:rPr>
              <w:fldChar w:fldCharType="end"/>
            </w:r>
          </w:hyperlink>
        </w:p>
        <w:p w:rsidR="00AF3345" w:rsidRDefault="0040042D">
          <w:pPr>
            <w:pStyle w:val="Obsah1"/>
            <w:rPr>
              <w:rFonts w:asciiTheme="minorHAnsi" w:eastAsiaTheme="minorEastAsia" w:hAnsiTheme="minorHAnsi" w:cstheme="minorBidi"/>
              <w:b w:val="0"/>
              <w:bCs w:val="0"/>
              <w:caps w:val="0"/>
              <w:sz w:val="22"/>
              <w:szCs w:val="22"/>
              <w:lang w:eastAsia="cs-CZ"/>
            </w:rPr>
          </w:pPr>
          <w:hyperlink w:anchor="_Toc293153768" w:history="1">
            <w:r w:rsidR="00AF3345" w:rsidRPr="005F2957">
              <w:rPr>
                <w:rStyle w:val="Hypertextovodkaz"/>
              </w:rPr>
              <w:t>9 SUMMARY</w:t>
            </w:r>
            <w:r w:rsidR="00AF3345">
              <w:rPr>
                <w:webHidden/>
              </w:rPr>
              <w:tab/>
            </w:r>
            <w:r>
              <w:rPr>
                <w:webHidden/>
              </w:rPr>
              <w:fldChar w:fldCharType="begin"/>
            </w:r>
            <w:r w:rsidR="00AF3345">
              <w:rPr>
                <w:webHidden/>
              </w:rPr>
              <w:instrText xml:space="preserve"> PAGEREF _Toc293153768 \h </w:instrText>
            </w:r>
            <w:r>
              <w:rPr>
                <w:webHidden/>
              </w:rPr>
            </w:r>
            <w:r>
              <w:rPr>
                <w:webHidden/>
              </w:rPr>
              <w:fldChar w:fldCharType="separate"/>
            </w:r>
            <w:r w:rsidR="00AF3345">
              <w:rPr>
                <w:webHidden/>
              </w:rPr>
              <w:t>85</w:t>
            </w:r>
            <w:r>
              <w:rPr>
                <w:webHidden/>
              </w:rPr>
              <w:fldChar w:fldCharType="end"/>
            </w:r>
          </w:hyperlink>
        </w:p>
        <w:p w:rsidR="00AF3345" w:rsidRDefault="0040042D">
          <w:pPr>
            <w:pStyle w:val="Obsah1"/>
            <w:rPr>
              <w:rFonts w:asciiTheme="minorHAnsi" w:eastAsiaTheme="minorEastAsia" w:hAnsiTheme="minorHAnsi" w:cstheme="minorBidi"/>
              <w:b w:val="0"/>
              <w:bCs w:val="0"/>
              <w:caps w:val="0"/>
              <w:sz w:val="22"/>
              <w:szCs w:val="22"/>
              <w:lang w:eastAsia="cs-CZ"/>
            </w:rPr>
          </w:pPr>
          <w:hyperlink w:anchor="_Toc293153769" w:history="1">
            <w:r w:rsidR="00AF3345" w:rsidRPr="005F2957">
              <w:rPr>
                <w:rStyle w:val="Hypertextovodkaz"/>
              </w:rPr>
              <w:t>10 REFERENČNÍ SEZNAM</w:t>
            </w:r>
            <w:r w:rsidR="00AF3345">
              <w:rPr>
                <w:webHidden/>
              </w:rPr>
              <w:tab/>
            </w:r>
            <w:r>
              <w:rPr>
                <w:webHidden/>
              </w:rPr>
              <w:fldChar w:fldCharType="begin"/>
            </w:r>
            <w:r w:rsidR="00AF3345">
              <w:rPr>
                <w:webHidden/>
              </w:rPr>
              <w:instrText xml:space="preserve"> PAGEREF _Toc293153769 \h </w:instrText>
            </w:r>
            <w:r>
              <w:rPr>
                <w:webHidden/>
              </w:rPr>
            </w:r>
            <w:r>
              <w:rPr>
                <w:webHidden/>
              </w:rPr>
              <w:fldChar w:fldCharType="separate"/>
            </w:r>
            <w:r w:rsidR="00AF3345">
              <w:rPr>
                <w:webHidden/>
              </w:rPr>
              <w:t>87</w:t>
            </w:r>
            <w:r>
              <w:rPr>
                <w:webHidden/>
              </w:rPr>
              <w:fldChar w:fldCharType="end"/>
            </w:r>
          </w:hyperlink>
        </w:p>
        <w:p w:rsidR="00AF3345" w:rsidRDefault="0040042D">
          <w:pPr>
            <w:pStyle w:val="Obsah1"/>
            <w:rPr>
              <w:rFonts w:asciiTheme="minorHAnsi" w:eastAsiaTheme="minorEastAsia" w:hAnsiTheme="minorHAnsi" w:cstheme="minorBidi"/>
              <w:b w:val="0"/>
              <w:bCs w:val="0"/>
              <w:caps w:val="0"/>
              <w:sz w:val="22"/>
              <w:szCs w:val="22"/>
              <w:lang w:eastAsia="cs-CZ"/>
            </w:rPr>
          </w:pPr>
          <w:hyperlink w:anchor="_Toc293153770" w:history="1">
            <w:r w:rsidR="00AF3345" w:rsidRPr="005F2957">
              <w:rPr>
                <w:rStyle w:val="Hypertextovodkaz"/>
              </w:rPr>
              <w:t>11 PŘÍLOHY</w:t>
            </w:r>
            <w:r w:rsidR="00AF3345">
              <w:rPr>
                <w:webHidden/>
              </w:rPr>
              <w:tab/>
            </w:r>
            <w:r>
              <w:rPr>
                <w:webHidden/>
              </w:rPr>
              <w:fldChar w:fldCharType="begin"/>
            </w:r>
            <w:r w:rsidR="00AF3345">
              <w:rPr>
                <w:webHidden/>
              </w:rPr>
              <w:instrText xml:space="preserve"> PAGEREF _Toc293153770 \h </w:instrText>
            </w:r>
            <w:r>
              <w:rPr>
                <w:webHidden/>
              </w:rPr>
            </w:r>
            <w:r>
              <w:rPr>
                <w:webHidden/>
              </w:rPr>
              <w:fldChar w:fldCharType="separate"/>
            </w:r>
            <w:r w:rsidR="00AF3345">
              <w:rPr>
                <w:webHidden/>
              </w:rPr>
              <w:t>93</w:t>
            </w:r>
            <w:r>
              <w:rPr>
                <w:webHidden/>
              </w:rPr>
              <w:fldChar w:fldCharType="end"/>
            </w:r>
          </w:hyperlink>
        </w:p>
        <w:p w:rsidR="00371F0F" w:rsidRPr="00B52A8A" w:rsidRDefault="0040042D" w:rsidP="001248F2">
          <w:pPr>
            <w:pStyle w:val="Obsah2"/>
          </w:pPr>
          <w:r w:rsidRPr="00B52A8A">
            <w:rPr>
              <w:rFonts w:ascii="Bookman Old Style" w:hAnsi="Bookman Old Style"/>
              <w:sz w:val="24"/>
              <w:szCs w:val="24"/>
            </w:rPr>
            <w:fldChar w:fldCharType="end"/>
          </w:r>
        </w:p>
      </w:sdtContent>
    </w:sdt>
    <w:p w:rsidR="00371F0F" w:rsidRPr="00B52A8A" w:rsidRDefault="00371F0F" w:rsidP="001248F2">
      <w:pPr>
        <w:jc w:val="left"/>
        <w:rPr>
          <w:b/>
          <w:sz w:val="28"/>
          <w:szCs w:val="28"/>
        </w:rPr>
      </w:pPr>
    </w:p>
    <w:p w:rsidR="00AF4150" w:rsidRPr="00B52A8A" w:rsidRDefault="00AF4150" w:rsidP="00AF4150">
      <w:pPr>
        <w:pStyle w:val="P-nadpis1"/>
      </w:pPr>
    </w:p>
    <w:p w:rsidR="00AF4150" w:rsidRPr="00B52A8A" w:rsidRDefault="00AF4150">
      <w:pPr>
        <w:spacing w:after="200" w:line="276" w:lineRule="auto"/>
        <w:jc w:val="left"/>
        <w:rPr>
          <w:rFonts w:eastAsia="Times New Roman" w:cs="Times New Roman"/>
          <w:b/>
          <w:bCs/>
          <w:sz w:val="28"/>
          <w:szCs w:val="28"/>
        </w:rPr>
      </w:pPr>
      <w:r w:rsidRPr="00B52A8A">
        <w:br w:type="page"/>
      </w:r>
    </w:p>
    <w:p w:rsidR="00B60604" w:rsidRPr="00B52A8A" w:rsidRDefault="00B60604" w:rsidP="00B60604">
      <w:pPr>
        <w:pStyle w:val="P-nadpis1"/>
        <w:rPr>
          <w:szCs w:val="24"/>
        </w:rPr>
      </w:pPr>
      <w:bookmarkStart w:id="8" w:name="_Toc239411396"/>
      <w:bookmarkStart w:id="9" w:name="_Toc293057963"/>
      <w:bookmarkStart w:id="10" w:name="_Toc293153731"/>
      <w:r w:rsidRPr="00B52A8A">
        <w:lastRenderedPageBreak/>
        <w:t>1 ÚVOD</w:t>
      </w:r>
      <w:bookmarkEnd w:id="8"/>
      <w:bookmarkEnd w:id="9"/>
      <w:bookmarkEnd w:id="10"/>
    </w:p>
    <w:p w:rsidR="00AF4150" w:rsidRPr="00B52A8A" w:rsidRDefault="00C915A6" w:rsidP="00A03243">
      <w:pPr>
        <w:pStyle w:val="P-text"/>
        <w:ind w:firstLine="0"/>
      </w:pPr>
      <w:r w:rsidRPr="00B52A8A">
        <w:t xml:space="preserve">     Ve své magisterské</w:t>
      </w:r>
      <w:r w:rsidR="00B60604" w:rsidRPr="00B52A8A">
        <w:t xml:space="preserve"> práci jsem se zabývala analýzou tělesného složení na základě bioimpedanční metody u seniorů polské populace. Práce je dílčí součástí výzkumného záměru, který je řešen na FTK UP v rámci projektu „Pohybová aktivita a inaktivita obyvatel České republiky v kontextu behaviorálních změn“ (IK: 6198959221). </w:t>
      </w:r>
      <w:r w:rsidR="006C71A3" w:rsidRPr="00B52A8A">
        <w:t>Tato práce se zaměřuje na populaci seniorů, která bývá v širokém spektru bio-sociálně-psychologických znaků často opomíjena. Sledovanou populaci tvořili kl</w:t>
      </w:r>
      <w:r w:rsidR="00C765C9" w:rsidRPr="00B52A8A">
        <w:t>ientky a klienti Univerzity třetího v</w:t>
      </w:r>
      <w:r w:rsidR="006C71A3" w:rsidRPr="00B52A8A">
        <w:t xml:space="preserve">ěku v Katovicích a byla </w:t>
      </w:r>
      <w:r w:rsidR="00B60604" w:rsidRPr="00B52A8A">
        <w:t>zastoupena především ženským</w:t>
      </w:r>
      <w:r w:rsidR="00C765C9" w:rsidRPr="00B52A8A">
        <w:t xml:space="preserve"> pohlavím</w:t>
      </w:r>
      <w:r w:rsidR="006C71A3" w:rsidRPr="00B52A8A">
        <w:t>.</w:t>
      </w:r>
      <w:r w:rsidR="00B60604" w:rsidRPr="00B52A8A">
        <w:t xml:space="preserve"> Sledované tělesné složení nám sloužilo jako možnost kontroly optimální tělesn</w:t>
      </w:r>
      <w:r w:rsidR="006C71A3" w:rsidRPr="00B52A8A">
        <w:t>é hmotnosti, nadváhy či obezity ve vztahu k rizikovým faktorům, které s obezitou souvisí.</w:t>
      </w:r>
      <w:r w:rsidR="00B60604" w:rsidRPr="00B52A8A">
        <w:t xml:space="preserve"> Dalším důležitým faktorem bylo zdůraznění hypokinetických  trendů, které k těmto problémům mohou vést. Otázka stárnutí populace je v současné době jedna z velmi zásadních otázek. Netýká se pouze stárnoucí populace, ale postihuje celou společnost. Struktura evropské populace se mění a to má vliv na všechny generace. Na vzrůstajícím počtu stárnoucí populace se podílí několik faktů, které se vyskytují ve společnosti, jako je nízká porodnost nebo celkové zvýšení průměrné délky života. Nárůst frekvence seniorů způsobuje, že jsou zanedbávání a není jim poskytnuta dostačující péče. Ve své práci uvádím některé s evropských grantových projektů, které se svojí tematikou také zajímají o populaci seniorů a snaží se </w:t>
      </w:r>
      <w:r w:rsidRPr="00B52A8A">
        <w:t>o zlepšení a zkvalitnění</w:t>
      </w:r>
      <w:r w:rsidR="00B60604" w:rsidRPr="00B52A8A">
        <w:t xml:space="preserve"> jejich života </w:t>
      </w:r>
      <w:r w:rsidR="00C765C9" w:rsidRPr="00B52A8A">
        <w:t>a také</w:t>
      </w:r>
      <w:r w:rsidR="00B60604" w:rsidRPr="00B52A8A">
        <w:t xml:space="preserve"> životního stylu.</w:t>
      </w:r>
      <w:r w:rsidR="00A03605" w:rsidRPr="00B52A8A">
        <w:t xml:space="preserve"> V neposlední</w:t>
      </w:r>
      <w:r w:rsidRPr="00B52A8A">
        <w:t xml:space="preserve"> řadě ve své práci popisuji doporučení pohybové aktivity pro seniory</w:t>
      </w:r>
      <w:r w:rsidR="00DE5FE6" w:rsidRPr="00B52A8A">
        <w:t>. Vztah mezi pohybovou aktivitou a tělesným</w:t>
      </w:r>
      <w:r w:rsidR="00A03605" w:rsidRPr="00B52A8A">
        <w:t xml:space="preserve"> složení, </w:t>
      </w:r>
      <w:r w:rsidR="00DE5FE6" w:rsidRPr="00B52A8A">
        <w:t xml:space="preserve">její vliv na </w:t>
      </w:r>
      <w:r w:rsidR="00A03605" w:rsidRPr="00B52A8A">
        <w:t>zdravotní stav, ale i celkovou psychickou vyrovnanost a pohodu. Tělesná aktivita nepřispívá jen ke zlepšení celkového životního stylu, ale je i důležitou prevenci vzniku civilizačních chorob, které jsou v současné době velkým problémem celé populace.</w:t>
      </w:r>
      <w:r w:rsidR="0018420E" w:rsidRPr="00B52A8A">
        <w:t xml:space="preserve"> </w:t>
      </w:r>
    </w:p>
    <w:p w:rsidR="00B60604" w:rsidRPr="00B52A8A" w:rsidRDefault="00B60604" w:rsidP="00B60604">
      <w:pPr>
        <w:pStyle w:val="P-nadpis1"/>
      </w:pPr>
      <w:bookmarkStart w:id="11" w:name="_Toc239411397"/>
      <w:bookmarkStart w:id="12" w:name="_Toc293057964"/>
      <w:bookmarkStart w:id="13" w:name="_Toc293153732"/>
      <w:r w:rsidRPr="00B52A8A">
        <w:lastRenderedPageBreak/>
        <w:t>2 SYNTÉZA POZNATKŮ</w:t>
      </w:r>
      <w:bookmarkEnd w:id="11"/>
      <w:bookmarkEnd w:id="12"/>
      <w:bookmarkEnd w:id="13"/>
    </w:p>
    <w:p w:rsidR="00B60604" w:rsidRPr="00B52A8A" w:rsidRDefault="00B60604" w:rsidP="00B60604">
      <w:pPr>
        <w:pStyle w:val="P-nadpis2"/>
        <w:ind w:firstLine="0"/>
      </w:pPr>
      <w:bookmarkStart w:id="14" w:name="_Toc239411398"/>
      <w:bookmarkStart w:id="15" w:name="_Toc293057965"/>
      <w:bookmarkStart w:id="16" w:name="_Toc293153733"/>
      <w:r w:rsidRPr="00B52A8A">
        <w:t>2.1 VYMEZENÍ ZÁKLADNÍCH ANTROPOLOGICKÝCH POJMŮ</w:t>
      </w:r>
      <w:bookmarkEnd w:id="14"/>
      <w:bookmarkEnd w:id="15"/>
      <w:bookmarkEnd w:id="16"/>
    </w:p>
    <w:p w:rsidR="00B60604" w:rsidRPr="00B52A8A" w:rsidRDefault="00B60604" w:rsidP="00B60604">
      <w:pPr>
        <w:pStyle w:val="P-text"/>
        <w:ind w:left="708" w:firstLine="0"/>
      </w:pPr>
      <w:r w:rsidRPr="00B52A8A">
        <w:t xml:space="preserve">„Termín antropologie má řecký původ a označuje „vědu o člověku“ (anthropos – člověk, logos – věda). První použití tohoto termínu je připisováno ARISTOTELOVI (384 – 322 př. n. l.), který jej použil především pro označení zkoumání duchovních vlastností člověka. Pro označení fyzických vlastností člověka použil tento termín jako první zřejmě MAGNUS HUNDT (1501), dále G. CAPELL (1533) </w:t>
      </w:r>
      <w:r w:rsidR="00A03243" w:rsidRPr="00B52A8A">
        <w:br/>
      </w:r>
      <w:r w:rsidRPr="00B52A8A">
        <w:t>a KASMANN (1594). Tak se v západoevropské literatuře již poměrně brzy zakořenilo dvojí pojímání antropologie – jako v</w:t>
      </w:r>
      <w:r w:rsidR="00A03243" w:rsidRPr="00B52A8A">
        <w:t>ědy</w:t>
      </w:r>
      <w:r w:rsidR="00A03243" w:rsidRPr="00B52A8A">
        <w:br/>
        <w:t xml:space="preserve"> o lidském těle a jako vědy </w:t>
      </w:r>
      <w:r w:rsidRPr="00B52A8A">
        <w:t xml:space="preserve">o duševních vlastnostech. V průběhu 19. století, a v anglosaské literatuře dosud, je antropologie chápána jako věda, která se zabývá především fyzickou organizací člověka, jeho kulturou, způsobem života a jeho projevy jak v minulosti, tak v současnosti" (Riegerová, Přidalová </w:t>
      </w:r>
      <w:r w:rsidR="00A03243" w:rsidRPr="00B52A8A">
        <w:br/>
      </w:r>
      <w:r w:rsidRPr="00B52A8A">
        <w:t>&amp; Ulbrichová, 2006, 6).</w:t>
      </w:r>
    </w:p>
    <w:p w:rsidR="00B60604" w:rsidRPr="00B52A8A" w:rsidRDefault="00B60604" w:rsidP="00B60604">
      <w:pPr>
        <w:pStyle w:val="P-text"/>
        <w:ind w:left="708" w:firstLine="0"/>
      </w:pPr>
      <w:r w:rsidRPr="00B52A8A">
        <w:t xml:space="preserve">„Kinantropometrie, která je subdisciplínou kinantropologickou, je oblast studia lidského pohybu, která se vztahuje k rozměrům, tvaru, proporcím, složení těla, ale i některým funkčním parametrům, s ohledem na růstové zákonitosti, tempo dospívání, pohybovou aktivitu, výkonnost a výživu. Kinantropometrie vychází ze základních metod fyzické antropologie a je také velice úzce spjata s náplní antropologie funkční“ (Riegerová, Přidalová </w:t>
      </w:r>
      <w:r w:rsidR="00A03243" w:rsidRPr="00B52A8A">
        <w:br/>
      </w:r>
      <w:r w:rsidRPr="00B52A8A">
        <w:t>&amp; Ulbrichová, 2006, 7).</w:t>
      </w:r>
    </w:p>
    <w:p w:rsidR="00B60604" w:rsidRPr="00B52A8A" w:rsidRDefault="00B60604" w:rsidP="00B60604">
      <w:pPr>
        <w:pStyle w:val="P-text"/>
        <w:ind w:firstLine="0"/>
      </w:pPr>
      <w:r w:rsidRPr="00B52A8A">
        <w:t xml:space="preserve">     V antropologii jsou využívány základní kinantropometrické metody, které lze považovat za standardizované. Vzhledem k obecnému trendu nárůstu seniorské populace, můžeme hovořit o samostatném oboru </w:t>
      </w:r>
      <w:r w:rsidR="00A03243" w:rsidRPr="00B52A8A">
        <w:br/>
      </w:r>
      <w:r w:rsidRPr="00B52A8A">
        <w:t xml:space="preserve">– antropologie seniorů. Práce se zabývá problémem, který je možno </w:t>
      </w:r>
      <w:r w:rsidRPr="00B52A8A">
        <w:lastRenderedPageBreak/>
        <w:t>označit jako antropologický, resp. kinantropologický a který vzhledem k funkčním vztahům spadá do oblasti funkční antropologie.</w:t>
      </w:r>
    </w:p>
    <w:p w:rsidR="00B60604" w:rsidRPr="00B52A8A" w:rsidRDefault="00B60604" w:rsidP="00B60604">
      <w:pPr>
        <w:pStyle w:val="P-text"/>
        <w:ind w:left="708" w:firstLine="0"/>
      </w:pPr>
      <w:r w:rsidRPr="00B52A8A">
        <w:t xml:space="preserve">„Funkční antropologie je relativně mladý obor fyzické antropologie. Jeho náplň lze odvodit z prací J. E. PURKYNĚ, který již v r. 1828 ve své úvodní přednášce na universitě ve Vratislavi položil mimořádný důraz na spojení morfologie a funkce organismu. Současná funkční antropologie je v tomto smyslu zaměřena na studium vztahů mezi morfologickou a funkční variabilitou </w:t>
      </w:r>
      <w:r w:rsidR="00A03243" w:rsidRPr="00B52A8A">
        <w:t xml:space="preserve">člověka“ (Riegerová, Přidalová </w:t>
      </w:r>
      <w:r w:rsidRPr="00B52A8A">
        <w:t>&amp; Ulbrichová, 2006, 6).</w:t>
      </w:r>
    </w:p>
    <w:p w:rsidR="00B60604" w:rsidRPr="00B52A8A" w:rsidRDefault="00B60604" w:rsidP="00B60604">
      <w:pPr>
        <w:pStyle w:val="P-text"/>
        <w:ind w:firstLine="0"/>
      </w:pPr>
      <w:r w:rsidRPr="00B52A8A">
        <w:t xml:space="preserve">     Antropometrické metody jsou také využity pro metody odhadu tělesného složení. Také se využívají metody založené na fyzikálních </w:t>
      </w:r>
      <w:r w:rsidR="00A03243" w:rsidRPr="00B52A8A">
        <w:br/>
      </w:r>
      <w:r w:rsidRPr="00B52A8A">
        <w:t>a chemických vlastnostech jednotlivých komponent tělesného složení.</w:t>
      </w:r>
    </w:p>
    <w:p w:rsidR="00B60604" w:rsidRPr="00B52A8A" w:rsidRDefault="00B60604" w:rsidP="00B60604">
      <w:pPr>
        <w:pStyle w:val="P-text"/>
      </w:pPr>
    </w:p>
    <w:p w:rsidR="00B60604" w:rsidRPr="00B52A8A" w:rsidRDefault="00B60604" w:rsidP="00B60604">
      <w:pPr>
        <w:pStyle w:val="P-nadpis2"/>
        <w:ind w:firstLine="0"/>
      </w:pPr>
      <w:bookmarkStart w:id="17" w:name="_Toc239411399"/>
      <w:bookmarkStart w:id="18" w:name="_Toc293057966"/>
      <w:bookmarkStart w:id="19" w:name="_Toc293153734"/>
      <w:r w:rsidRPr="00B52A8A">
        <w:t>2.2 TĚLESNÉ SLOŽENÍ</w:t>
      </w:r>
      <w:bookmarkEnd w:id="17"/>
      <w:bookmarkEnd w:id="18"/>
      <w:bookmarkEnd w:id="19"/>
      <w:r w:rsidRPr="00B52A8A">
        <w:t xml:space="preserve"> </w:t>
      </w:r>
    </w:p>
    <w:p w:rsidR="00B60604" w:rsidRPr="00B52A8A" w:rsidRDefault="00B60604" w:rsidP="00B60604">
      <w:pPr>
        <w:rPr>
          <w:szCs w:val="24"/>
        </w:rPr>
      </w:pPr>
      <w:r w:rsidRPr="00B52A8A">
        <w:rPr>
          <w:szCs w:val="24"/>
        </w:rPr>
        <w:t xml:space="preserve">     Celkovou tělesnou hmotnost těla můžeme hodnotit dvěma způsoby: první, že zhodnotíme jednotlivé podíly tkání na hmotnosti těla tzv. tělesné složení, druhý, zhodnocením hmotnosti jednotlivých segmentů těla jako článků kinematického řetězce. Hmotnost jednotlivých segmentů ovlivňuje tělesné složení. O tuto prvotní myšlenku se jako první zasloužil československý antropolog J. Matiegka (1921), který vypracoval rovnici pro odhad rozvoje muskulatury, jak uvádí Riegerová, Přidalová a Ulbrichová (2006).</w:t>
      </w:r>
    </w:p>
    <w:p w:rsidR="00B60604" w:rsidRPr="00B52A8A" w:rsidRDefault="00B60604" w:rsidP="00B60604">
      <w:pPr>
        <w:pStyle w:val="P-nadpis3"/>
      </w:pPr>
      <w:bookmarkStart w:id="20" w:name="_Toc233197919"/>
      <w:bookmarkStart w:id="21" w:name="_Toc239411400"/>
      <w:bookmarkStart w:id="22" w:name="_Toc293057967"/>
      <w:bookmarkStart w:id="23" w:name="_Toc293153735"/>
      <w:r w:rsidRPr="00B52A8A">
        <w:t>2.2.1 Komponentové složení těla</w:t>
      </w:r>
      <w:bookmarkEnd w:id="20"/>
      <w:bookmarkEnd w:id="21"/>
      <w:bookmarkEnd w:id="22"/>
      <w:bookmarkEnd w:id="23"/>
    </w:p>
    <w:p w:rsidR="00B60604" w:rsidRPr="00B52A8A" w:rsidRDefault="00B60604" w:rsidP="00B60604">
      <w:pPr>
        <w:rPr>
          <w:szCs w:val="24"/>
        </w:rPr>
      </w:pPr>
      <w:r w:rsidRPr="00B52A8A">
        <w:rPr>
          <w:szCs w:val="24"/>
        </w:rPr>
        <w:t xml:space="preserve">     Komponenty, které tvoří lidské tělo, jsou charakterizovány buď z chemického hlediska, nebo z hlediska anatomického. Po chemické stránce je tělo tvořeno vodou, tukem, bílkovinami, uhlovodany </w:t>
      </w:r>
      <w:r w:rsidR="00A03243" w:rsidRPr="00B52A8A">
        <w:rPr>
          <w:szCs w:val="24"/>
        </w:rPr>
        <w:br/>
      </w:r>
      <w:r w:rsidRPr="00B52A8A">
        <w:rPr>
          <w:szCs w:val="24"/>
        </w:rPr>
        <w:t>a minerály. Anatomickou stavbu těla tvoří tuková tkáň, s</w:t>
      </w:r>
      <w:r w:rsidR="00A03243" w:rsidRPr="00B52A8A">
        <w:rPr>
          <w:szCs w:val="24"/>
        </w:rPr>
        <w:t xml:space="preserve">valstvo, kosti, vnitřní orgány </w:t>
      </w:r>
      <w:r w:rsidRPr="00B52A8A">
        <w:rPr>
          <w:szCs w:val="24"/>
        </w:rPr>
        <w:t xml:space="preserve">a tkáně. Z tohoto modelu byl odvozen model čtyřkomponentový (hmotnost = tuk + extracelulární tekutina + buňka </w:t>
      </w:r>
      <w:r w:rsidR="00A03243" w:rsidRPr="00B52A8A">
        <w:rPr>
          <w:szCs w:val="24"/>
        </w:rPr>
        <w:br/>
      </w:r>
      <w:r w:rsidRPr="00B52A8A">
        <w:rPr>
          <w:szCs w:val="24"/>
        </w:rPr>
        <w:lastRenderedPageBreak/>
        <w:t>+ minerály), tříkomponentový  tvořený tukem vodou a sušinou (proteiny, minerály), který byl potom zjednodušen na podíl tuku, svalstva a kostní tkáně. V praxi je velice metodicky obtížné tyto komponenty změřit, proto je používán zjednodušený dvoukomponentový model, který dělí lidské tělo na tuk a tukuprostou hmotu (Riegerová, Přidalová &amp; Ulbrichová 2006).</w:t>
      </w:r>
    </w:p>
    <w:p w:rsidR="00B60604" w:rsidRPr="00B52A8A" w:rsidRDefault="00B60604" w:rsidP="00B60604">
      <w:pPr>
        <w:rPr>
          <w:szCs w:val="24"/>
        </w:rPr>
      </w:pPr>
    </w:p>
    <w:p w:rsidR="00B60604" w:rsidRPr="00B52A8A" w:rsidRDefault="00B60604" w:rsidP="00B60604">
      <w:pPr>
        <w:rPr>
          <w:noProof/>
          <w:szCs w:val="24"/>
          <w:lang w:eastAsia="cs-CZ"/>
        </w:rPr>
      </w:pPr>
      <w:r w:rsidRPr="00B52A8A">
        <w:rPr>
          <w:noProof/>
          <w:szCs w:val="24"/>
          <w:lang w:eastAsia="cs-CZ"/>
        </w:rPr>
        <w:drawing>
          <wp:inline distT="0" distB="0" distL="0" distR="0">
            <wp:extent cx="5667375" cy="3648075"/>
            <wp:effectExtent l="19050" t="76200" r="85725" b="0"/>
            <wp:docPr id="1" name="obrázek 8" descr="wpeB.gif (855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wpeB.gif (8559 bytes)"/>
                    <pic:cNvPicPr>
                      <a:picLocks noChangeAspect="1" noChangeArrowheads="1"/>
                    </pic:cNvPicPr>
                  </pic:nvPicPr>
                  <pic:blipFill>
                    <a:blip r:embed="rId8" cstate="print">
                      <a:grayscl/>
                      <a:biLevel thresh="50000"/>
                    </a:blip>
                    <a:srcRect/>
                    <a:stretch>
                      <a:fillRect/>
                    </a:stretch>
                  </pic:blipFill>
                  <pic:spPr bwMode="auto">
                    <a:xfrm>
                      <a:off x="0" y="0"/>
                      <a:ext cx="5667375" cy="3648075"/>
                    </a:xfrm>
                    <a:prstGeom prst="rect">
                      <a:avLst/>
                    </a:prstGeom>
                    <a:noFill/>
                    <a:ln w="9525">
                      <a:noFill/>
                      <a:miter lim="800000"/>
                      <a:headEnd/>
                      <a:tailEnd/>
                    </a:ln>
                    <a:effectLst>
                      <a:outerShdw dist="107763" dir="18900000" algn="ctr" rotWithShape="0">
                        <a:srgbClr val="808080">
                          <a:alpha val="50000"/>
                        </a:srgbClr>
                      </a:outerShdw>
                    </a:effectLst>
                  </pic:spPr>
                </pic:pic>
              </a:graphicData>
            </a:graphic>
          </wp:inline>
        </w:drawing>
      </w:r>
    </w:p>
    <w:p w:rsidR="00A6032E" w:rsidRPr="00B52A8A" w:rsidRDefault="00B60604" w:rsidP="00A6032E">
      <w:pPr>
        <w:pStyle w:val="P-popisobr"/>
        <w:spacing w:after="0"/>
        <w:ind w:firstLine="0"/>
        <w:jc w:val="both"/>
        <w:rPr>
          <w:noProof/>
          <w:lang w:eastAsia="cs-CZ"/>
        </w:rPr>
      </w:pPr>
      <w:r w:rsidRPr="00B52A8A">
        <w:rPr>
          <w:noProof/>
          <w:lang w:eastAsia="cs-CZ"/>
        </w:rPr>
        <w:t xml:space="preserve">Obrázek 1. Chemický, anatomický a dvoukomponentový model </w:t>
      </w:r>
    </w:p>
    <w:p w:rsidR="00B60604" w:rsidRPr="00B52A8A" w:rsidRDefault="006F6218" w:rsidP="00B60604">
      <w:pPr>
        <w:pStyle w:val="P-popisobr"/>
        <w:ind w:firstLine="0"/>
        <w:jc w:val="both"/>
        <w:rPr>
          <w:noProof/>
          <w:lang w:eastAsia="cs-CZ"/>
        </w:rPr>
      </w:pPr>
      <w:r w:rsidRPr="00B52A8A">
        <w:rPr>
          <w:noProof/>
          <w:lang w:eastAsia="cs-CZ"/>
        </w:rPr>
        <w:t xml:space="preserve">(upraveno dle  Willmora, </w:t>
      </w:r>
      <w:r w:rsidR="00B60604" w:rsidRPr="00B52A8A">
        <w:rPr>
          <w:noProof/>
          <w:lang w:eastAsia="cs-CZ"/>
        </w:rPr>
        <w:t>1992)</w:t>
      </w:r>
      <w:bookmarkStart w:id="24" w:name="_Toc233197920"/>
    </w:p>
    <w:p w:rsidR="00B60604" w:rsidRPr="00B52A8A" w:rsidRDefault="00B60604" w:rsidP="00B60604">
      <w:pPr>
        <w:pStyle w:val="P-popisobr"/>
        <w:ind w:firstLine="0"/>
        <w:jc w:val="both"/>
        <w:rPr>
          <w:i w:val="0"/>
          <w:sz w:val="24"/>
        </w:rPr>
      </w:pPr>
      <w:r w:rsidRPr="00B52A8A">
        <w:rPr>
          <w:i w:val="0"/>
          <w:sz w:val="24"/>
        </w:rPr>
        <w:t xml:space="preserve">     Složení těla je v současné době chápáno z více hledisek a udává několik modelů tělesného složení, mezi které můžeme zařadit model, anatomický, molekulární, buněčný, tkáňovo-systémový a celotělový jak uvádí Riegerová, Přidalová a Ulbrichová (2006).</w:t>
      </w:r>
    </w:p>
    <w:p w:rsidR="00A03243" w:rsidRPr="00B52A8A" w:rsidRDefault="00A03243" w:rsidP="00B60604">
      <w:pPr>
        <w:pStyle w:val="P-popisobr"/>
        <w:ind w:firstLine="0"/>
        <w:jc w:val="both"/>
        <w:rPr>
          <w:i w:val="0"/>
          <w:sz w:val="24"/>
        </w:rPr>
      </w:pPr>
    </w:p>
    <w:p w:rsidR="00B60604" w:rsidRPr="00B52A8A" w:rsidRDefault="00B60604" w:rsidP="00B60604">
      <w:pPr>
        <w:pStyle w:val="P-popisobr"/>
        <w:ind w:firstLine="0"/>
        <w:jc w:val="both"/>
        <w:rPr>
          <w:i w:val="0"/>
          <w:sz w:val="24"/>
        </w:rPr>
      </w:pPr>
      <w:r w:rsidRPr="00B52A8A">
        <w:rPr>
          <w:b/>
          <w:i w:val="0"/>
          <w:sz w:val="24"/>
        </w:rPr>
        <w:lastRenderedPageBreak/>
        <w:t>Anatomický model</w:t>
      </w:r>
      <w:r w:rsidRPr="00B52A8A">
        <w:rPr>
          <w:i w:val="0"/>
          <w:sz w:val="24"/>
        </w:rPr>
        <w:t xml:space="preserve"> </w:t>
      </w:r>
      <w:r w:rsidRPr="00B52A8A">
        <w:rPr>
          <w:b/>
        </w:rPr>
        <w:t>–</w:t>
      </w:r>
      <w:r w:rsidRPr="00B52A8A">
        <w:rPr>
          <w:i w:val="0"/>
          <w:sz w:val="24"/>
        </w:rPr>
        <w:t xml:space="preserve"> je založen na jednotlivém zastoupení prvků v organismu. Šest základních prvků – O, C, H, N, Ca, P tvoří devadesát osm procent tělesné hmotnosti organismu. Zbylá dvě procenta tvoří dalších 44 prvků. </w:t>
      </w:r>
    </w:p>
    <w:p w:rsidR="00B60604" w:rsidRPr="00B52A8A" w:rsidRDefault="00B60604" w:rsidP="00B60604">
      <w:pPr>
        <w:pStyle w:val="P-text"/>
        <w:ind w:firstLine="0"/>
      </w:pPr>
      <w:bookmarkStart w:id="25" w:name="_Toc237930413"/>
      <w:bookmarkStart w:id="26" w:name="_Toc237931033"/>
      <w:bookmarkStart w:id="27" w:name="_Toc237931375"/>
      <w:r w:rsidRPr="00B52A8A">
        <w:rPr>
          <w:b/>
        </w:rPr>
        <w:t>Molekulární model</w:t>
      </w:r>
      <w:r w:rsidRPr="00B52A8A">
        <w:t xml:space="preserve"> – více než 100 tisíc chemických sloučenin tvoří jedenáct hlavních prvků lidského těla. Jednotlivé molekuly se liší svou složitostí, patří sem: lipidy, voda, proteiny, minerály, glykogen.</w:t>
      </w:r>
      <w:bookmarkEnd w:id="25"/>
      <w:bookmarkEnd w:id="26"/>
      <w:bookmarkEnd w:id="27"/>
    </w:p>
    <w:p w:rsidR="00B60604" w:rsidRPr="00B52A8A" w:rsidRDefault="00B60604" w:rsidP="00B60604">
      <w:pPr>
        <w:pStyle w:val="P-text"/>
        <w:ind w:firstLine="0"/>
      </w:pPr>
      <w:bookmarkStart w:id="28" w:name="_Toc237930414"/>
      <w:bookmarkStart w:id="29" w:name="_Toc237931034"/>
      <w:bookmarkStart w:id="30" w:name="_Toc237931376"/>
      <w:r w:rsidRPr="00B52A8A">
        <w:rPr>
          <w:b/>
        </w:rPr>
        <w:t>Buněčný model</w:t>
      </w:r>
      <w:r w:rsidRPr="00B52A8A">
        <w:t xml:space="preserve"> – je tvořen jednotlivými molekulárními komponenty buňky. Důležitá je tedy koordinovaná funkce a integrace mezi buňkami. Významnou komponentou je extracelulární tekutina (ECT) složená z plasmy, intersticiální tekutiny a z 94 % tvořena vodou. Dále jsou to extracelulární pevné látky (ECPL) organické i neorganické. Z toho můžeme vyvodit rovnici:</w:t>
      </w:r>
      <w:bookmarkEnd w:id="28"/>
      <w:bookmarkEnd w:id="29"/>
      <w:bookmarkEnd w:id="30"/>
    </w:p>
    <w:p w:rsidR="00B60604" w:rsidRPr="00B52A8A" w:rsidRDefault="00B60604" w:rsidP="00B60604">
      <w:pPr>
        <w:pStyle w:val="P-text"/>
      </w:pPr>
      <w:bookmarkStart w:id="31" w:name="_Toc237930415"/>
      <w:bookmarkStart w:id="32" w:name="_Toc237931035"/>
      <w:bookmarkStart w:id="33" w:name="_Toc237931377"/>
      <w:r w:rsidRPr="00B52A8A">
        <w:t>Hmotnost těla = BM + ECT + ECPL + buňky tukové tkáně</w:t>
      </w:r>
      <w:bookmarkEnd w:id="31"/>
      <w:bookmarkEnd w:id="32"/>
      <w:bookmarkEnd w:id="33"/>
    </w:p>
    <w:p w:rsidR="00B60604" w:rsidRPr="00B52A8A" w:rsidRDefault="00C765C9" w:rsidP="00B60604">
      <w:pPr>
        <w:pStyle w:val="P-text"/>
      </w:pPr>
      <w:bookmarkStart w:id="34" w:name="_Toc237930416"/>
      <w:bookmarkStart w:id="35" w:name="_Toc237931036"/>
      <w:bookmarkStart w:id="36" w:name="_Toc237931378"/>
      <w:r w:rsidRPr="00B52A8A">
        <w:t>(BM – s</w:t>
      </w:r>
      <w:r w:rsidR="00B60604" w:rsidRPr="00B52A8A">
        <w:t>valové, pojivé, epiteliální a nervové buňky)</w:t>
      </w:r>
      <w:bookmarkEnd w:id="34"/>
      <w:bookmarkEnd w:id="35"/>
      <w:bookmarkEnd w:id="36"/>
    </w:p>
    <w:p w:rsidR="00B60604" w:rsidRPr="00B52A8A" w:rsidRDefault="00B60604" w:rsidP="00B60604">
      <w:pPr>
        <w:pStyle w:val="P-text"/>
        <w:ind w:firstLine="0"/>
      </w:pPr>
      <w:bookmarkStart w:id="37" w:name="_Toc237930417"/>
      <w:bookmarkStart w:id="38" w:name="_Toc237931037"/>
      <w:bookmarkStart w:id="39" w:name="_Toc237931379"/>
      <w:r w:rsidRPr="00B52A8A">
        <w:rPr>
          <w:b/>
        </w:rPr>
        <w:t>Tkáňově systémový model</w:t>
      </w:r>
      <w:r w:rsidRPr="00B52A8A">
        <w:t xml:space="preserve"> – molekuly jsou organizovány do tkání </w:t>
      </w:r>
      <w:r w:rsidRPr="00B52A8A">
        <w:br/>
        <w:t>– kostní, svalové tukové. Z toho potom lze vychází rovnice pro hmotnost těla:</w:t>
      </w:r>
      <w:bookmarkEnd w:id="37"/>
      <w:bookmarkEnd w:id="38"/>
      <w:bookmarkEnd w:id="39"/>
    </w:p>
    <w:p w:rsidR="00B60604" w:rsidRPr="00B52A8A" w:rsidRDefault="00B60604" w:rsidP="00B60604">
      <w:pPr>
        <w:pStyle w:val="P-text"/>
        <w:ind w:firstLine="0"/>
      </w:pPr>
      <w:bookmarkStart w:id="40" w:name="_Toc237930418"/>
      <w:bookmarkStart w:id="41" w:name="_Toc237931038"/>
      <w:bookmarkStart w:id="42" w:name="_Toc237931380"/>
      <w:r w:rsidRPr="00B52A8A">
        <w:t xml:space="preserve">hmotnost těla = muskuloskeletální + kožní + nervový + respirační </w:t>
      </w:r>
      <w:r w:rsidRPr="00B52A8A">
        <w:br/>
        <w:t>+ oběhový + zažívací + vyměšovací + reprodukční + endokrinní systém</w:t>
      </w:r>
      <w:bookmarkEnd w:id="40"/>
      <w:bookmarkEnd w:id="41"/>
      <w:bookmarkEnd w:id="42"/>
    </w:p>
    <w:p w:rsidR="00B60604" w:rsidRPr="00B52A8A" w:rsidRDefault="00B60604" w:rsidP="00B60604">
      <w:pPr>
        <w:pStyle w:val="P-text"/>
        <w:ind w:firstLine="0"/>
      </w:pPr>
      <w:bookmarkStart w:id="43" w:name="_Toc237930419"/>
      <w:bookmarkStart w:id="44" w:name="_Toc237931039"/>
      <w:bookmarkStart w:id="45" w:name="_Toc237931381"/>
      <w:r w:rsidRPr="00B52A8A">
        <w:rPr>
          <w:b/>
        </w:rPr>
        <w:t>Celotělový model</w:t>
      </w:r>
      <w:r w:rsidRPr="00B52A8A">
        <w:t xml:space="preserve"> – aktivní tělesnou hmotu a depotní tuk určuje tělesná výška, hmotnost, hmotnostně-výškové indexy, délkové, šířkové, obvodové rozměry, kožní řasy, objem těla a z něj zjišťovaná denzita.</w:t>
      </w:r>
      <w:bookmarkEnd w:id="24"/>
      <w:bookmarkEnd w:id="43"/>
      <w:bookmarkEnd w:id="44"/>
      <w:bookmarkEnd w:id="45"/>
    </w:p>
    <w:p w:rsidR="00B60604" w:rsidRPr="00B52A8A" w:rsidRDefault="00B60604" w:rsidP="00B60604">
      <w:pPr>
        <w:pStyle w:val="P-text"/>
        <w:spacing w:after="0"/>
        <w:ind w:firstLine="0"/>
        <w:rPr>
          <w:sz w:val="26"/>
          <w:szCs w:val="26"/>
        </w:rPr>
      </w:pPr>
      <w:r w:rsidRPr="00B52A8A">
        <w:t xml:space="preserve">     Složení lidského těla podle Seligera a Vinařického (1980) je složeno převážně z látek organických a anorganických, z nichž důležité postavení má voda. Trojan a kolektiv (1992) uvádí celkové zastoupení vody v organizmu od narození až po stáří na 45-75 %. Toto rozpětí nám signalizuje, že množství vody se v průběhu života mění v závislosti na věku, hmotnosti, pohlaví a také podle jedince a jeho příjmu a výdeji </w:t>
      </w:r>
      <w:r w:rsidRPr="00B52A8A">
        <w:lastRenderedPageBreak/>
        <w:t>vody během dne. Celkové množství tělesné vody (TBW</w:t>
      </w:r>
      <w:r w:rsidR="00A03243" w:rsidRPr="00B52A8A">
        <w:t xml:space="preserve">) je u dospělého muže asi 60 % </w:t>
      </w:r>
      <w:r w:rsidRPr="00B52A8A">
        <w:t xml:space="preserve">a u ženy je tato hodnota nižší, asi 50 %. Naopak u dětí může tato hodnota stoupnout až na 77 %. Voda vytváří prostředí pro biologické děje v organismu, rozpouští krystalické a koloidní látky. Voda je součástí jak buněk samotných, ale nachází se také v jejich bezprostředním okolí. </w:t>
      </w:r>
    </w:p>
    <w:p w:rsidR="00B60604" w:rsidRPr="00B52A8A" w:rsidRDefault="00B60604" w:rsidP="00B60604">
      <w:pPr>
        <w:pStyle w:val="P-text"/>
        <w:ind w:firstLine="0"/>
      </w:pPr>
      <w:r w:rsidRPr="00B52A8A">
        <w:t xml:space="preserve">     Dále dělí Seliger a Vinařický (1980) vodu podle místa funkce na extracelulární a intracelulární:</w:t>
      </w:r>
    </w:p>
    <w:p w:rsidR="00B60604" w:rsidRPr="00B52A8A" w:rsidRDefault="00B60604" w:rsidP="00B60604">
      <w:pPr>
        <w:pStyle w:val="P-text"/>
      </w:pPr>
      <w:r w:rsidRPr="00B52A8A">
        <w:t>Extracelulární (ECW) – obsažena v krvi lymfě a tkáňovém moku</w:t>
      </w:r>
    </w:p>
    <w:p w:rsidR="00B60604" w:rsidRPr="00B52A8A" w:rsidRDefault="00B60604" w:rsidP="00B60604">
      <w:pPr>
        <w:pStyle w:val="P-text"/>
        <w:rPr>
          <w:sz w:val="26"/>
          <w:szCs w:val="26"/>
        </w:rPr>
      </w:pPr>
      <w:r w:rsidRPr="00B52A8A">
        <w:t>Intracelulární (ICW) – je uložena přímo v</w:t>
      </w:r>
      <w:r w:rsidR="00C765C9" w:rsidRPr="00B52A8A">
        <w:t> </w:t>
      </w:r>
      <w:r w:rsidRPr="00B52A8A">
        <w:t>buňkách</w:t>
      </w:r>
      <w:r w:rsidR="00C765C9" w:rsidRPr="00B52A8A">
        <w:t>.</w:t>
      </w:r>
    </w:p>
    <w:p w:rsidR="00B60604" w:rsidRPr="00B52A8A" w:rsidRDefault="00C765C9" w:rsidP="00B60604">
      <w:pPr>
        <w:pStyle w:val="P-text"/>
        <w:spacing w:after="0"/>
        <w:ind w:firstLine="0"/>
      </w:pPr>
      <w:r w:rsidRPr="00B52A8A">
        <w:t xml:space="preserve">    Zastoupení </w:t>
      </w:r>
      <w:r w:rsidR="00B60604" w:rsidRPr="00B52A8A">
        <w:t>minerálních</w:t>
      </w:r>
      <w:r w:rsidRPr="00B52A8A">
        <w:t xml:space="preserve"> látek</w:t>
      </w:r>
      <w:r w:rsidR="00B60604" w:rsidRPr="00B52A8A">
        <w:t xml:space="preserve"> v</w:t>
      </w:r>
      <w:r w:rsidRPr="00B52A8A">
        <w:t> </w:t>
      </w:r>
      <w:r w:rsidR="00B60604" w:rsidRPr="00B52A8A">
        <w:t>organismu</w:t>
      </w:r>
      <w:r w:rsidRPr="00B52A8A">
        <w:t xml:space="preserve"> dělí</w:t>
      </w:r>
      <w:r w:rsidR="00B60604" w:rsidRPr="00B52A8A">
        <w:t xml:space="preserve"> na ty, které jsou buď rozpuštěné v tělních tekutinách, nebo zastoupeny v nerozpustné formě v kostech a zubech. Rozpustné soli udržu</w:t>
      </w:r>
      <w:r w:rsidR="00A03243" w:rsidRPr="00B52A8A">
        <w:t xml:space="preserve">jí stálou homeostázu organizmu </w:t>
      </w:r>
      <w:r w:rsidR="00B60604" w:rsidRPr="00B52A8A">
        <w:t>a soli nerozpustné dávají tkáním pevnost. Patří sem např. sodík, draslík vápník, hořčík, železo, chlór, jod, fluor, fosfor.</w:t>
      </w:r>
    </w:p>
    <w:p w:rsidR="00B60604" w:rsidRPr="00B52A8A" w:rsidRDefault="00B60604" w:rsidP="00B60604">
      <w:pPr>
        <w:pStyle w:val="P-text"/>
        <w:spacing w:after="0"/>
        <w:ind w:firstLine="0"/>
      </w:pPr>
      <w:r w:rsidRPr="00B52A8A">
        <w:t xml:space="preserve">      Extracelulární tekutina obklopuje buňky a zajišťuje transport výměny plynů a živin. Skládá se z 94 % z vody a je distribuována mezi plazmu v intravaskulárním prostoru a intersticiální tekutinu v extravaskulárním prostoru (Wang, Pierson &amp; Heymsfield, 1992).</w:t>
      </w:r>
    </w:p>
    <w:p w:rsidR="003110B0" w:rsidRPr="00B52A8A" w:rsidRDefault="003110B0" w:rsidP="003110B0">
      <w:pPr>
        <w:pStyle w:val="P-text"/>
        <w:tabs>
          <w:tab w:val="left" w:pos="284"/>
        </w:tabs>
        <w:spacing w:after="0"/>
        <w:ind w:firstLine="0"/>
      </w:pPr>
      <w:r w:rsidRPr="00B52A8A">
        <w:tab/>
        <w:t>ECW tvoří asi 20 % z celkové tělesné vody. ICW</w:t>
      </w:r>
      <w:r w:rsidR="00412B5F" w:rsidRPr="00B52A8A">
        <w:t xml:space="preserve"> tvoří asi 40 %. Vzhledem k vyššímu zastoupení tukové frakce mají ženy nižší podíl vody. ECW u žen vytváří 21</w:t>
      </w:r>
      <w:r w:rsidR="00B14949" w:rsidRPr="00B52A8A">
        <w:t xml:space="preserve"> </w:t>
      </w:r>
      <w:r w:rsidR="00412B5F" w:rsidRPr="00B52A8A">
        <w:t xml:space="preserve">% a 32 % </w:t>
      </w:r>
      <w:r w:rsidR="00C765C9" w:rsidRPr="00B52A8A">
        <w:t xml:space="preserve">tvoří </w:t>
      </w:r>
      <w:r w:rsidR="00412B5F" w:rsidRPr="00B52A8A">
        <w:t>ICW (Rokyta et al., 2000).</w:t>
      </w:r>
    </w:p>
    <w:p w:rsidR="003110B0" w:rsidRPr="00B52A8A" w:rsidRDefault="00B60604" w:rsidP="00B60604">
      <w:pPr>
        <w:pStyle w:val="P-text"/>
        <w:spacing w:after="0"/>
        <w:ind w:firstLine="0"/>
      </w:pPr>
      <w:r w:rsidRPr="00B52A8A">
        <w:t xml:space="preserve">     Zastoupení organických látek je ve formě, sacharidů, bílkovin </w:t>
      </w:r>
      <w:r w:rsidR="00A03243" w:rsidRPr="00B52A8A">
        <w:br/>
      </w:r>
      <w:r w:rsidRPr="00B52A8A">
        <w:t>a tuků. Sacharidy jsou především využívány jako zdroj energie. Bílkoviny tvoří vlastní živou hmotu, jsou tedy především látky stavební a jsou také součástí imunitního systému. Tuky jsou zásobními látkami, mají termoregulační funkci, ochranný význ</w:t>
      </w:r>
      <w:r w:rsidR="003110B0" w:rsidRPr="00B52A8A">
        <w:t>am (Seliger &amp; Vinařický, 1980).</w:t>
      </w:r>
    </w:p>
    <w:p w:rsidR="00B60604" w:rsidRPr="00B52A8A" w:rsidRDefault="00B60604" w:rsidP="00A03243">
      <w:pPr>
        <w:pStyle w:val="P-text"/>
        <w:spacing w:after="0"/>
        <w:ind w:firstLine="426"/>
      </w:pPr>
      <w:r w:rsidRPr="00B52A8A">
        <w:lastRenderedPageBreak/>
        <w:t xml:space="preserve">Trojan a kolektiv (1993) dále popisuje tuky jako látky nerozpustné ve vodě. Skládají se z glycerolu a mastných kyselin. Uložení podkožního tuku u člověka je výrazně sex-dependentní. </w:t>
      </w:r>
    </w:p>
    <w:p w:rsidR="008458E6" w:rsidRPr="00B52A8A" w:rsidRDefault="00B60604" w:rsidP="00A03243">
      <w:pPr>
        <w:tabs>
          <w:tab w:val="left" w:pos="426"/>
        </w:tabs>
      </w:pPr>
      <w:r w:rsidRPr="00B52A8A">
        <w:t xml:space="preserve"> </w:t>
      </w:r>
      <w:r w:rsidR="00A03243" w:rsidRPr="00B52A8A">
        <w:tab/>
      </w:r>
      <w:r w:rsidR="008458E6" w:rsidRPr="00B52A8A">
        <w:t>Tuk je nejvariabilnější tělesnou komponentou. Je hlavním faktorem individuální variability tělesného složení v průběhu vývoje. Jeho množství lze snadno ovlivnit výživovými aspekty a pohybovou aktivitou. Je také významným faktorem vzniku řady onemocnění. Pro organizmus je rizikové jak příliš vysoké tak nízké množství podkožního tuku. Množství tuku je nutné pro zachování základních životních funkcí (Riegerová, Přidalová &amp; Ulbrichová, 2006).</w:t>
      </w:r>
    </w:p>
    <w:p w:rsidR="00B60604" w:rsidRPr="00B52A8A" w:rsidRDefault="00B60604" w:rsidP="008458E6">
      <w:pPr>
        <w:pStyle w:val="P-text"/>
        <w:tabs>
          <w:tab w:val="left" w:pos="426"/>
        </w:tabs>
        <w:ind w:firstLine="0"/>
      </w:pPr>
      <w:r w:rsidRPr="00B52A8A">
        <w:t xml:space="preserve">  </w:t>
      </w:r>
      <w:r w:rsidR="008458E6" w:rsidRPr="00B52A8A">
        <w:tab/>
      </w:r>
      <w:r w:rsidRPr="00B52A8A">
        <w:t xml:space="preserve">V ontogenezi člověka dochází k velkým změnám v množství tuku, což je zapříčiněno zmnožením a zároveň zvětšováním tukových buněk. Další z příčin zvyšování tělesného tuku je také aktivita tukové tkáně, která s věkem klesá a je několikanásobně nižší než u novorozenců (Pařízková, 1973). </w:t>
      </w:r>
    </w:p>
    <w:p w:rsidR="00391AA1" w:rsidRPr="00B52A8A" w:rsidRDefault="00391AA1" w:rsidP="008458E6">
      <w:pPr>
        <w:pStyle w:val="P-text"/>
        <w:ind w:firstLine="0"/>
      </w:pPr>
    </w:p>
    <w:p w:rsidR="00B60604" w:rsidRPr="00B52A8A" w:rsidRDefault="00B60604" w:rsidP="00B60604">
      <w:pPr>
        <w:pStyle w:val="P-text"/>
      </w:pPr>
      <w:r w:rsidRPr="00B52A8A">
        <w:t xml:space="preserve">Chytráčková (2001) dále dělí tuk </w:t>
      </w:r>
      <w:proofErr w:type="gramStart"/>
      <w:r w:rsidRPr="00B52A8A">
        <w:t>na</w:t>
      </w:r>
      <w:proofErr w:type="gramEnd"/>
      <w:r w:rsidRPr="00B52A8A">
        <w:t>:</w:t>
      </w:r>
    </w:p>
    <w:p w:rsidR="00B60604" w:rsidRPr="00B52A8A" w:rsidRDefault="00B60604" w:rsidP="00D42B78">
      <w:pPr>
        <w:pStyle w:val="P-text"/>
        <w:numPr>
          <w:ilvl w:val="0"/>
          <w:numId w:val="10"/>
        </w:numPr>
        <w:spacing w:after="200"/>
      </w:pPr>
      <w:r w:rsidRPr="00B52A8A">
        <w:t>Tuková tkáň – je tvořena tukem z 83 %, zbytek tvoří podpůrné struktury (2 % proteiny, 15 % voda)</w:t>
      </w:r>
      <w:r w:rsidR="00A03243" w:rsidRPr="00B52A8A">
        <w:t>.</w:t>
      </w:r>
    </w:p>
    <w:p w:rsidR="00B60604" w:rsidRPr="00B52A8A" w:rsidRDefault="00B60604" w:rsidP="00D42B78">
      <w:pPr>
        <w:pStyle w:val="P-text"/>
        <w:numPr>
          <w:ilvl w:val="0"/>
          <w:numId w:val="10"/>
        </w:numPr>
        <w:spacing w:after="200"/>
      </w:pPr>
      <w:r w:rsidRPr="00B52A8A">
        <w:t xml:space="preserve">Hubená hmota (tzv. aktivní tělesná hmota) – tukuprostá hmota </w:t>
      </w:r>
      <w:r w:rsidR="00A03243" w:rsidRPr="00B52A8A">
        <w:br/>
      </w:r>
      <w:r w:rsidRPr="00B52A8A">
        <w:t>+ esenciální lipidy (esenciální lipidy, které jsou součástí tukového spektra např. fosfolipidy, které tvoří buněčné membrány)</w:t>
      </w:r>
      <w:r w:rsidR="00A03243" w:rsidRPr="00B52A8A">
        <w:t>.</w:t>
      </w:r>
    </w:p>
    <w:p w:rsidR="00B60604" w:rsidRPr="00B52A8A" w:rsidRDefault="00B60604" w:rsidP="00D42B78">
      <w:pPr>
        <w:pStyle w:val="P-text"/>
        <w:numPr>
          <w:ilvl w:val="0"/>
          <w:numId w:val="10"/>
        </w:numPr>
        <w:spacing w:after="200"/>
      </w:pPr>
      <w:r w:rsidRPr="00B52A8A">
        <w:t>Tuková hmota (BFM) – je tvořena všemi vylučitelnými lipidy z tukové tkáně a ostatních tkání těla</w:t>
      </w:r>
      <w:r w:rsidR="00A03243" w:rsidRPr="00B52A8A">
        <w:t>.</w:t>
      </w:r>
    </w:p>
    <w:p w:rsidR="00B60604" w:rsidRPr="00B52A8A" w:rsidRDefault="00B60604" w:rsidP="00D42B78">
      <w:pPr>
        <w:pStyle w:val="P-text"/>
        <w:numPr>
          <w:ilvl w:val="0"/>
          <w:numId w:val="10"/>
        </w:numPr>
        <w:spacing w:after="200"/>
      </w:pPr>
      <w:r w:rsidRPr="00B52A8A">
        <w:t xml:space="preserve">Tukuprostá hmota (FFM) – tkáně chemicky prosté lipidů včetně vody, tkáně svalové, kostní, spojovací a tkáně vnitřních orgánů. </w:t>
      </w:r>
    </w:p>
    <w:p w:rsidR="00A03243" w:rsidRPr="00B52A8A" w:rsidRDefault="00A03243" w:rsidP="00A03243">
      <w:pPr>
        <w:pStyle w:val="P-text"/>
        <w:spacing w:after="200"/>
        <w:ind w:left="720" w:firstLine="0"/>
      </w:pPr>
    </w:p>
    <w:p w:rsidR="00B60604" w:rsidRPr="00B52A8A" w:rsidRDefault="00B60604" w:rsidP="00B60604">
      <w:pPr>
        <w:pStyle w:val="P-text"/>
        <w:spacing w:after="0"/>
        <w:ind w:firstLine="0"/>
      </w:pPr>
      <w:r w:rsidRPr="00B52A8A">
        <w:lastRenderedPageBreak/>
        <w:t xml:space="preserve">     Tuková tkáň se dělí na tkáň bílou a hnědou. Bílá tkáň je tvořena velkými kapénkami tuku, jejichž buňky jsou uspořádané do lalůčků. Může tvořit tukový polštář (panniculus adipocus). Je charakteristická rychlou a trvalou látkovou výměnou. Má především mechanickou funkci a na některých částech těla nemizí, proto se mu říká také tuk stavební. Hnědá tuková tkáň je naopak tvořena velkými kapénkami, nebohatě inervovaná a na změny příjmu potravy reaguje pomaleji než tkáň bílá. Vyskytuje se především v hlubších oblastech a je jí přisuzována ter</w:t>
      </w:r>
      <w:r w:rsidR="00A03243" w:rsidRPr="00B52A8A">
        <w:t xml:space="preserve">moregulační funkce. (Přidalová </w:t>
      </w:r>
      <w:r w:rsidRPr="00B52A8A">
        <w:t>&amp; Riegerová, 2002).</w:t>
      </w:r>
    </w:p>
    <w:p w:rsidR="00B60604" w:rsidRPr="00B52A8A" w:rsidRDefault="00B60604" w:rsidP="00B60604">
      <w:pPr>
        <w:pStyle w:val="P-text"/>
        <w:spacing w:after="0"/>
        <w:ind w:firstLine="0"/>
      </w:pPr>
      <w:r w:rsidRPr="00B52A8A">
        <w:t xml:space="preserve">     Další možné dělené lipidů je do subkategorií jak uvádí Wang, Pierson </w:t>
      </w:r>
      <w:r w:rsidRPr="00B52A8A">
        <w:br/>
        <w:t>&amp; Heymsfield (1992):</w:t>
      </w:r>
    </w:p>
    <w:p w:rsidR="00B60604" w:rsidRPr="00B52A8A" w:rsidRDefault="00B60604" w:rsidP="00D42B78">
      <w:pPr>
        <w:pStyle w:val="P-text"/>
        <w:numPr>
          <w:ilvl w:val="0"/>
          <w:numId w:val="11"/>
        </w:numPr>
        <w:spacing w:after="0"/>
      </w:pPr>
      <w:r w:rsidRPr="00B52A8A">
        <w:t>jednoduché lipidy (triglyceridy = 3 mastné kyseliny + glycerol)</w:t>
      </w:r>
    </w:p>
    <w:p w:rsidR="00B60604" w:rsidRPr="00B52A8A" w:rsidRDefault="00B60604" w:rsidP="00D42B78">
      <w:pPr>
        <w:pStyle w:val="P-text"/>
        <w:numPr>
          <w:ilvl w:val="0"/>
          <w:numId w:val="11"/>
        </w:numPr>
        <w:spacing w:after="0"/>
      </w:pPr>
      <w:r w:rsidRPr="00B52A8A">
        <w:t>složené lipidy (fosfolipidy)</w:t>
      </w:r>
    </w:p>
    <w:p w:rsidR="00B60604" w:rsidRPr="00B52A8A" w:rsidRDefault="00B60604" w:rsidP="00D42B78">
      <w:pPr>
        <w:pStyle w:val="P-text"/>
        <w:numPr>
          <w:ilvl w:val="0"/>
          <w:numId w:val="11"/>
        </w:numPr>
        <w:spacing w:after="0"/>
      </w:pPr>
      <w:r w:rsidRPr="00B52A8A">
        <w:t xml:space="preserve">steroidní lipidy </w:t>
      </w:r>
    </w:p>
    <w:p w:rsidR="00B60604" w:rsidRPr="00B52A8A" w:rsidRDefault="00B60604" w:rsidP="00D42B78">
      <w:pPr>
        <w:pStyle w:val="P-text"/>
        <w:numPr>
          <w:ilvl w:val="0"/>
          <w:numId w:val="11"/>
        </w:numPr>
        <w:spacing w:after="0"/>
      </w:pPr>
      <w:r w:rsidRPr="00B52A8A">
        <w:t>mastné kyseliny</w:t>
      </w:r>
    </w:p>
    <w:p w:rsidR="00B60604" w:rsidRPr="00B52A8A" w:rsidRDefault="00B60604" w:rsidP="00D42B78">
      <w:pPr>
        <w:pStyle w:val="P-text"/>
        <w:numPr>
          <w:ilvl w:val="0"/>
          <w:numId w:val="11"/>
        </w:numPr>
        <w:spacing w:after="0"/>
      </w:pPr>
      <w:r w:rsidRPr="00B52A8A">
        <w:t>terpeny</w:t>
      </w:r>
    </w:p>
    <w:p w:rsidR="00B60604" w:rsidRPr="00B52A8A" w:rsidRDefault="00B60604" w:rsidP="00B60604">
      <w:pPr>
        <w:pStyle w:val="P-text"/>
        <w:spacing w:after="0"/>
        <w:ind w:firstLine="0"/>
      </w:pPr>
      <w:r w:rsidRPr="00B52A8A">
        <w:t xml:space="preserve">     a dále popisují lipidy esenciální, které jsou součástí buněčných membrán a lipidy neesenciální, které mají funkci termoregulační </w:t>
      </w:r>
      <w:r w:rsidR="00A03243" w:rsidRPr="00B52A8A">
        <w:br/>
      </w:r>
      <w:r w:rsidRPr="00B52A8A">
        <w:t>a mobilizační.</w:t>
      </w:r>
    </w:p>
    <w:p w:rsidR="00B60604" w:rsidRPr="00B52A8A" w:rsidRDefault="00B60604" w:rsidP="00B60604">
      <w:pPr>
        <w:pStyle w:val="P-text"/>
        <w:spacing w:after="0"/>
        <w:ind w:firstLine="0"/>
      </w:pPr>
      <w:r w:rsidRPr="00B52A8A">
        <w:t xml:space="preserve">     Jak uvádí Kravitz a Heyward (1992) dvoukompone</w:t>
      </w:r>
      <w:r w:rsidR="008458E6" w:rsidRPr="00B52A8A">
        <w:t>ntový model dělí tělo na tukové</w:t>
      </w:r>
      <w:r w:rsidRPr="00B52A8A">
        <w:t xml:space="preserve"> </w:t>
      </w:r>
      <w:r w:rsidR="008458E6" w:rsidRPr="00B52A8A">
        <w:t xml:space="preserve">a </w:t>
      </w:r>
      <w:r w:rsidRPr="00B52A8A">
        <w:t xml:space="preserve">tukuprosté komponenty. Tuk dělí jako tuk esenciální </w:t>
      </w:r>
      <w:r w:rsidR="00A03243" w:rsidRPr="00B52A8A">
        <w:br/>
      </w:r>
      <w:r w:rsidRPr="00B52A8A">
        <w:t xml:space="preserve">a zásobní. Esenciální se nachází v kostní dřeni, srdci, plících, játrech, slezině, ledvinách, střevech, svalech a také v nervovém systému a je nezbytný pro tělesnou funkci. Množství esenciálního tuku je vyšší </w:t>
      </w:r>
      <w:r w:rsidR="00A03243" w:rsidRPr="00B52A8A">
        <w:br/>
      </w:r>
      <w:r w:rsidRPr="00B52A8A">
        <w:t>u žen. Naproti tomu tuk, který je uložený v tukové tkáni, okolo vnitřních orgánů a pod kůží, je tukem zásobním. Ten poskytuje tělu ochranu. Vztah mezi tukem podkožním a</w:t>
      </w:r>
      <w:r w:rsidR="008458E6" w:rsidRPr="00B52A8A">
        <w:t xml:space="preserve"> vnitřním se individuálně liší </w:t>
      </w:r>
      <w:r w:rsidR="00A03243" w:rsidRPr="00B52A8A">
        <w:br/>
      </w:r>
      <w:r w:rsidRPr="00B52A8A">
        <w:t>a v průběhu života kolísá. Aktivní tělesná hmota představuje hmotnost svalů, kostí, vazů, šlach, a vnitřních orgánů. Liší se od tukuprosté hmoty tím, že obsahuje malé množství esenciálních tuků.</w:t>
      </w:r>
    </w:p>
    <w:p w:rsidR="00412B5F" w:rsidRPr="00B52A8A" w:rsidRDefault="00412B5F" w:rsidP="00A03243">
      <w:pPr>
        <w:ind w:firstLine="426"/>
      </w:pPr>
      <w:r w:rsidRPr="00B52A8A">
        <w:lastRenderedPageBreak/>
        <w:t>Distribuce tělesného tuku se s věkem mění. S věkem dochází k většímu ukládání tuků na trupu než na končetinách. U mužů je to především oblast zad, hrudníku a břicha u žen oblast pasu a paží (Riegerová, Přidalová &amp; Ulbrichová, 2006).</w:t>
      </w:r>
      <w:r w:rsidR="00363949" w:rsidRPr="00B52A8A">
        <w:t xml:space="preserve"> </w:t>
      </w:r>
    </w:p>
    <w:p w:rsidR="005062D0" w:rsidRPr="00B52A8A" w:rsidRDefault="005062D0" w:rsidP="00412B5F"/>
    <w:p w:rsidR="001248F2" w:rsidRPr="00B52A8A" w:rsidRDefault="00363949" w:rsidP="00412B5F">
      <w:pPr>
        <w:rPr>
          <w:b/>
        </w:rPr>
      </w:pPr>
      <w:r w:rsidRPr="00B52A8A">
        <w:rPr>
          <w:b/>
        </w:rPr>
        <w:t>Tabulka 1</w:t>
      </w:r>
      <w:r w:rsidR="001248F2" w:rsidRPr="00B52A8A">
        <w:rPr>
          <w:b/>
        </w:rPr>
        <w:t>.</w:t>
      </w:r>
      <w:r w:rsidRPr="00B52A8A">
        <w:rPr>
          <w:b/>
        </w:rPr>
        <w:t xml:space="preserve"> Procentuální zastoupení tukové frakce u normální </w:t>
      </w:r>
      <w:r w:rsidR="001248F2" w:rsidRPr="00B52A8A">
        <w:rPr>
          <w:b/>
        </w:rPr>
        <w:br/>
        <w:t xml:space="preserve">                    </w:t>
      </w:r>
      <w:r w:rsidRPr="00B52A8A">
        <w:rPr>
          <w:b/>
        </w:rPr>
        <w:t>populace</w:t>
      </w:r>
      <w:r w:rsidR="00A03243" w:rsidRPr="00B52A8A">
        <w:rPr>
          <w:b/>
        </w:rPr>
        <w:t xml:space="preserve"> </w:t>
      </w:r>
    </w:p>
    <w:p w:rsidR="00363949" w:rsidRPr="00B52A8A" w:rsidRDefault="00363949" w:rsidP="00412B5F">
      <w:pPr>
        <w:rPr>
          <w:b/>
        </w:rPr>
      </w:pPr>
      <w:r w:rsidRPr="00B52A8A">
        <w:rPr>
          <w:i/>
          <w:sz w:val="20"/>
          <w:szCs w:val="20"/>
        </w:rPr>
        <w:t>(upr</w:t>
      </w:r>
      <w:r w:rsidR="006F6218" w:rsidRPr="00B52A8A">
        <w:rPr>
          <w:i/>
          <w:sz w:val="20"/>
          <w:szCs w:val="20"/>
        </w:rPr>
        <w:t>aveno</w:t>
      </w:r>
      <w:r w:rsidR="000D512E" w:rsidRPr="00B52A8A">
        <w:rPr>
          <w:i/>
          <w:sz w:val="20"/>
          <w:szCs w:val="20"/>
        </w:rPr>
        <w:t xml:space="preserve"> dle </w:t>
      </w:r>
      <w:r w:rsidR="001248F2" w:rsidRPr="00B52A8A">
        <w:rPr>
          <w:i/>
          <w:sz w:val="20"/>
          <w:szCs w:val="20"/>
        </w:rPr>
        <w:t>http://</w:t>
      </w:r>
      <w:proofErr w:type="gramStart"/>
      <w:r w:rsidR="001248F2" w:rsidRPr="00B52A8A">
        <w:rPr>
          <w:i/>
          <w:sz w:val="20"/>
          <w:szCs w:val="20"/>
        </w:rPr>
        <w:t>www</w:t>
      </w:r>
      <w:proofErr w:type="gramEnd"/>
      <w:r w:rsidR="001248F2" w:rsidRPr="00B52A8A">
        <w:rPr>
          <w:i/>
          <w:sz w:val="20"/>
          <w:szCs w:val="20"/>
        </w:rPr>
        <w:t>.</w:t>
      </w:r>
      <w:proofErr w:type="gramStart"/>
      <w:r w:rsidR="001248F2" w:rsidRPr="00B52A8A">
        <w:rPr>
          <w:i/>
          <w:sz w:val="20"/>
          <w:szCs w:val="20"/>
        </w:rPr>
        <w:t>sport-fitness</w:t>
      </w:r>
      <w:proofErr w:type="gramEnd"/>
      <w:r w:rsidR="001248F2" w:rsidRPr="00B52A8A">
        <w:rPr>
          <w:i/>
          <w:sz w:val="20"/>
          <w:szCs w:val="20"/>
        </w:rPr>
        <w:t xml:space="preserve"> </w:t>
      </w:r>
      <w:r w:rsidR="000D512E" w:rsidRPr="00B52A8A">
        <w:rPr>
          <w:i/>
          <w:sz w:val="20"/>
          <w:szCs w:val="20"/>
        </w:rPr>
        <w:t>advisor.com/bodyfatpercentage.html</w:t>
      </w:r>
      <w:r w:rsidR="005062D0" w:rsidRPr="00B52A8A">
        <w:rPr>
          <w:i/>
          <w:sz w:val="20"/>
          <w:szCs w:val="20"/>
        </w:rPr>
        <w:t>)</w:t>
      </w:r>
    </w:p>
    <w:tbl>
      <w:tblPr>
        <w:tblStyle w:val="Svtlstnovn1"/>
        <w:tblW w:w="0" w:type="auto"/>
        <w:tblLook w:val="0620"/>
      </w:tblPr>
      <w:tblGrid>
        <w:gridCol w:w="2379"/>
        <w:gridCol w:w="2168"/>
        <w:gridCol w:w="2120"/>
        <w:gridCol w:w="2052"/>
      </w:tblGrid>
      <w:tr w:rsidR="00363949" w:rsidRPr="00B52A8A" w:rsidTr="00264695">
        <w:trPr>
          <w:cnfStyle w:val="100000000000"/>
        </w:trPr>
        <w:tc>
          <w:tcPr>
            <w:tcW w:w="2494" w:type="dxa"/>
          </w:tcPr>
          <w:p w:rsidR="00363949" w:rsidRPr="00B52A8A" w:rsidRDefault="00363949" w:rsidP="00412B5F">
            <w:pPr>
              <w:rPr>
                <w:i/>
              </w:rPr>
            </w:pPr>
            <w:r w:rsidRPr="00B52A8A">
              <w:rPr>
                <w:i/>
              </w:rPr>
              <w:t>Věk (v letech)</w:t>
            </w:r>
          </w:p>
        </w:tc>
        <w:tc>
          <w:tcPr>
            <w:tcW w:w="2320" w:type="dxa"/>
          </w:tcPr>
          <w:p w:rsidR="00363949" w:rsidRPr="00B52A8A" w:rsidRDefault="00363949" w:rsidP="006F6218">
            <w:pPr>
              <w:jc w:val="center"/>
              <w:rPr>
                <w:i/>
              </w:rPr>
            </w:pPr>
            <w:r w:rsidRPr="00B52A8A">
              <w:rPr>
                <w:i/>
              </w:rPr>
              <w:t>&lt;30</w:t>
            </w:r>
          </w:p>
        </w:tc>
        <w:tc>
          <w:tcPr>
            <w:tcW w:w="2280" w:type="dxa"/>
          </w:tcPr>
          <w:p w:rsidR="00363949" w:rsidRPr="00B52A8A" w:rsidRDefault="00363949" w:rsidP="006F6218">
            <w:pPr>
              <w:jc w:val="center"/>
              <w:rPr>
                <w:i/>
              </w:rPr>
            </w:pPr>
            <w:r w:rsidRPr="00B52A8A">
              <w:rPr>
                <w:i/>
              </w:rPr>
              <w:t>30 – 50</w:t>
            </w:r>
          </w:p>
        </w:tc>
        <w:tc>
          <w:tcPr>
            <w:tcW w:w="2192" w:type="dxa"/>
          </w:tcPr>
          <w:p w:rsidR="00363949" w:rsidRPr="00B52A8A" w:rsidRDefault="00363949" w:rsidP="006F6218">
            <w:pPr>
              <w:jc w:val="center"/>
              <w:rPr>
                <w:i/>
              </w:rPr>
            </w:pPr>
            <w:r w:rsidRPr="00B52A8A">
              <w:rPr>
                <w:i/>
              </w:rPr>
              <w:t>&gt;50</w:t>
            </w:r>
          </w:p>
        </w:tc>
      </w:tr>
      <w:tr w:rsidR="00363949" w:rsidRPr="00B52A8A" w:rsidTr="00264695">
        <w:tc>
          <w:tcPr>
            <w:tcW w:w="2494" w:type="dxa"/>
          </w:tcPr>
          <w:p w:rsidR="00363949" w:rsidRPr="00B52A8A" w:rsidRDefault="00363949" w:rsidP="00412B5F">
            <w:pPr>
              <w:rPr>
                <w:b/>
                <w:i/>
              </w:rPr>
            </w:pPr>
            <w:r w:rsidRPr="00B52A8A">
              <w:rPr>
                <w:b/>
                <w:i/>
              </w:rPr>
              <w:t>Ženy</w:t>
            </w:r>
          </w:p>
        </w:tc>
        <w:tc>
          <w:tcPr>
            <w:tcW w:w="2320" w:type="dxa"/>
          </w:tcPr>
          <w:p w:rsidR="00363949" w:rsidRPr="00B52A8A" w:rsidRDefault="006F6218" w:rsidP="006F6218">
            <w:pPr>
              <w:jc w:val="center"/>
              <w:rPr>
                <w:i/>
              </w:rPr>
            </w:pPr>
            <w:r w:rsidRPr="00B52A8A">
              <w:rPr>
                <w:i/>
              </w:rPr>
              <w:t>14 – 21 %</w:t>
            </w:r>
          </w:p>
        </w:tc>
        <w:tc>
          <w:tcPr>
            <w:tcW w:w="2280" w:type="dxa"/>
          </w:tcPr>
          <w:p w:rsidR="00363949" w:rsidRPr="00B52A8A" w:rsidRDefault="006F6218" w:rsidP="006F6218">
            <w:pPr>
              <w:jc w:val="center"/>
              <w:rPr>
                <w:i/>
              </w:rPr>
            </w:pPr>
            <w:r w:rsidRPr="00B52A8A">
              <w:rPr>
                <w:i/>
              </w:rPr>
              <w:t>15 – 23 %</w:t>
            </w:r>
          </w:p>
        </w:tc>
        <w:tc>
          <w:tcPr>
            <w:tcW w:w="2192" w:type="dxa"/>
          </w:tcPr>
          <w:p w:rsidR="00363949" w:rsidRPr="00B52A8A" w:rsidRDefault="006F6218" w:rsidP="006F6218">
            <w:pPr>
              <w:jc w:val="center"/>
              <w:rPr>
                <w:i/>
              </w:rPr>
            </w:pPr>
            <w:r w:rsidRPr="00B52A8A">
              <w:rPr>
                <w:i/>
              </w:rPr>
              <w:t>16 – 25 %</w:t>
            </w:r>
          </w:p>
        </w:tc>
      </w:tr>
      <w:tr w:rsidR="00363949" w:rsidRPr="00B52A8A" w:rsidTr="00264695">
        <w:tc>
          <w:tcPr>
            <w:tcW w:w="2494" w:type="dxa"/>
          </w:tcPr>
          <w:p w:rsidR="00363949" w:rsidRPr="00B52A8A" w:rsidRDefault="00363949" w:rsidP="00412B5F">
            <w:pPr>
              <w:rPr>
                <w:b/>
                <w:i/>
              </w:rPr>
            </w:pPr>
            <w:r w:rsidRPr="00B52A8A">
              <w:rPr>
                <w:b/>
                <w:i/>
              </w:rPr>
              <w:t>Muži</w:t>
            </w:r>
          </w:p>
        </w:tc>
        <w:tc>
          <w:tcPr>
            <w:tcW w:w="2320" w:type="dxa"/>
          </w:tcPr>
          <w:p w:rsidR="00363949" w:rsidRPr="00B52A8A" w:rsidRDefault="006F6218" w:rsidP="006F6218">
            <w:pPr>
              <w:jc w:val="center"/>
              <w:rPr>
                <w:i/>
              </w:rPr>
            </w:pPr>
            <w:r w:rsidRPr="00B52A8A">
              <w:rPr>
                <w:i/>
              </w:rPr>
              <w:t>9 – 15 %</w:t>
            </w:r>
          </w:p>
        </w:tc>
        <w:tc>
          <w:tcPr>
            <w:tcW w:w="2280" w:type="dxa"/>
          </w:tcPr>
          <w:p w:rsidR="00363949" w:rsidRPr="00B52A8A" w:rsidRDefault="006F6218" w:rsidP="006F6218">
            <w:pPr>
              <w:jc w:val="center"/>
              <w:rPr>
                <w:i/>
              </w:rPr>
            </w:pPr>
            <w:r w:rsidRPr="00B52A8A">
              <w:rPr>
                <w:i/>
              </w:rPr>
              <w:t>11 – 17 %</w:t>
            </w:r>
          </w:p>
        </w:tc>
        <w:tc>
          <w:tcPr>
            <w:tcW w:w="2192" w:type="dxa"/>
          </w:tcPr>
          <w:p w:rsidR="00363949" w:rsidRPr="00B52A8A" w:rsidRDefault="006F6218" w:rsidP="006F6218">
            <w:pPr>
              <w:jc w:val="center"/>
              <w:rPr>
                <w:i/>
              </w:rPr>
            </w:pPr>
            <w:r w:rsidRPr="00B52A8A">
              <w:rPr>
                <w:i/>
              </w:rPr>
              <w:t>12 – 19 %</w:t>
            </w:r>
          </w:p>
        </w:tc>
      </w:tr>
    </w:tbl>
    <w:p w:rsidR="00A03243" w:rsidRPr="00B52A8A" w:rsidRDefault="00A03243" w:rsidP="00B60604">
      <w:pPr>
        <w:pStyle w:val="P-text"/>
        <w:spacing w:after="0"/>
        <w:ind w:firstLine="0"/>
      </w:pPr>
    </w:p>
    <w:p w:rsidR="00B60604" w:rsidRPr="00B52A8A" w:rsidRDefault="00B60604" w:rsidP="00B60604">
      <w:pPr>
        <w:pStyle w:val="P-text"/>
        <w:spacing w:after="0"/>
        <w:ind w:firstLine="0"/>
      </w:pPr>
      <w:r w:rsidRPr="00B52A8A">
        <w:t xml:space="preserve">     </w:t>
      </w:r>
      <w:bookmarkStart w:id="46" w:name="_Toc237930420"/>
      <w:bookmarkStart w:id="47" w:name="_Toc237931040"/>
      <w:bookmarkStart w:id="48" w:name="_Toc237931382"/>
      <w:r w:rsidRPr="00B52A8A">
        <w:t xml:space="preserve">Behnke (1963) zavedl pojem lean body mass (LBM), tedy aktivní tělesná hmota. Původně tento termín označoval tukuprostou hmotu </w:t>
      </w:r>
      <w:r w:rsidR="00A03243" w:rsidRPr="00B52A8A">
        <w:br/>
      </w:r>
      <w:r w:rsidRPr="00B52A8A">
        <w:t xml:space="preserve">a malé množství esenciálního tuku. Dnes se používá spíše termín tukuprostá hmota neboť nelze přesně oddělit lipidy esenciální </w:t>
      </w:r>
      <w:r w:rsidR="00A03243" w:rsidRPr="00B52A8A">
        <w:br/>
      </w:r>
      <w:r w:rsidRPr="00B52A8A">
        <w:t>a neesenciální.</w:t>
      </w:r>
      <w:bookmarkEnd w:id="46"/>
      <w:bookmarkEnd w:id="47"/>
      <w:bookmarkEnd w:id="48"/>
    </w:p>
    <w:p w:rsidR="006F6218" w:rsidRPr="00B52A8A" w:rsidRDefault="008458E6" w:rsidP="00A03243">
      <w:pPr>
        <w:ind w:firstLine="426"/>
      </w:pPr>
      <w:r w:rsidRPr="00B52A8A">
        <w:t>Tukuprostá hmota (FFM)</w:t>
      </w:r>
      <w:r w:rsidR="006F6218" w:rsidRPr="00B52A8A">
        <w:t xml:space="preserve"> je heterogenní komponentou. Poměr jejich složek (kostra, svalstvo, ostatní tkáně) se mění v závislosti na věku, pohybové aktivitě a jiných faktorech. FFM je tvoře z 60 % svalstvem, z 25 % opěrnou a pojivovou tkání a 15 % tvoří hmotnost vnitřních orgánů (Riegerová, Přidalová &amp; Ulbrichová, 2006). </w:t>
      </w:r>
    </w:p>
    <w:p w:rsidR="008458E6" w:rsidRPr="00B52A8A" w:rsidRDefault="008458E6" w:rsidP="008458E6">
      <w:pPr>
        <w:pStyle w:val="P-text"/>
        <w:tabs>
          <w:tab w:val="left" w:pos="426"/>
        </w:tabs>
        <w:spacing w:after="0"/>
        <w:ind w:firstLine="0"/>
      </w:pPr>
    </w:p>
    <w:p w:rsidR="00091077" w:rsidRPr="00B52A8A" w:rsidRDefault="00A6032E" w:rsidP="00091077">
      <w:pPr>
        <w:pStyle w:val="P-nadpis3"/>
      </w:pPr>
      <w:bookmarkStart w:id="49" w:name="_Toc293057968"/>
      <w:bookmarkStart w:id="50" w:name="_Toc293153736"/>
      <w:r w:rsidRPr="00B52A8A">
        <w:t>2.2</w:t>
      </w:r>
      <w:r w:rsidR="00091077" w:rsidRPr="00B52A8A">
        <w:t>.2 Vliv pohybové aktivity na tělesné složení</w:t>
      </w:r>
      <w:bookmarkEnd w:id="49"/>
      <w:bookmarkEnd w:id="50"/>
      <w:r w:rsidR="00091077" w:rsidRPr="00B52A8A">
        <w:tab/>
      </w:r>
    </w:p>
    <w:p w:rsidR="00091077" w:rsidRPr="00B52A8A" w:rsidRDefault="00091077" w:rsidP="00091077">
      <w:pPr>
        <w:spacing w:after="0"/>
        <w:ind w:firstLine="426"/>
        <w:rPr>
          <w:szCs w:val="24"/>
        </w:rPr>
      </w:pPr>
      <w:r w:rsidRPr="00B52A8A">
        <w:rPr>
          <w:szCs w:val="24"/>
        </w:rPr>
        <w:t xml:space="preserve">Jak již bylo výše zmíněno, PA zmírňuje či dokonce odstraňuje negativní vlivy stárnutí. Dochází ke zvýšení síly, flexibility a zdatnosti kardiorespiračního systému. PA snižuje ubývání aktivní tělesné hmoty, omezuje výskyt nemocí oběhové soustavy, snižuje výskyt otoků, zvyšuje žilní návrat. Má kladný vliv na celkový funkční stav organismu. Nejen že </w:t>
      </w:r>
      <w:r w:rsidRPr="00B52A8A">
        <w:rPr>
          <w:szCs w:val="24"/>
        </w:rPr>
        <w:lastRenderedPageBreak/>
        <w:t>může zpomalit změny ve struktuře kosterního svalstva, kostí a vaziva, ale také omezit ztráty bílkovin a vznik osteoporózy. Dále je PA prevencí úrazů pohybového systému, pádů vyvolanými poruchami rovnováhy, koordinace a oslabením posturálního svalstva (</w:t>
      </w:r>
      <w:r w:rsidRPr="00B52A8A">
        <w:t>Máček, Radvanský et al., c2011).</w:t>
      </w:r>
    </w:p>
    <w:p w:rsidR="00091077" w:rsidRPr="00B52A8A" w:rsidRDefault="00091077" w:rsidP="00091077">
      <w:pPr>
        <w:spacing w:after="0"/>
        <w:ind w:firstLine="426"/>
        <w:rPr>
          <w:szCs w:val="24"/>
        </w:rPr>
      </w:pPr>
      <w:r w:rsidRPr="00B52A8A">
        <w:rPr>
          <w:szCs w:val="24"/>
        </w:rPr>
        <w:t xml:space="preserve">Pravidelná pohybová aktivita předchází nebo limituje nárůst tělesné hmotnosti a hodnot BMI. PA aktivita také snižuje mortalitu. Nadváha </w:t>
      </w:r>
      <w:r w:rsidR="00A6032E" w:rsidRPr="00B52A8A">
        <w:rPr>
          <w:szCs w:val="24"/>
        </w:rPr>
        <w:br/>
      </w:r>
      <w:r w:rsidRPr="00B52A8A">
        <w:rPr>
          <w:szCs w:val="24"/>
        </w:rPr>
        <w:t xml:space="preserve">a obezita jsou spojené s nárůstem mortality a chronických onemocnění. </w:t>
      </w:r>
    </w:p>
    <w:p w:rsidR="00091077" w:rsidRPr="00B52A8A" w:rsidRDefault="00091077" w:rsidP="00091077">
      <w:pPr>
        <w:ind w:firstLine="426"/>
        <w:rPr>
          <w:szCs w:val="24"/>
        </w:rPr>
      </w:pPr>
      <w:r w:rsidRPr="00B52A8A">
        <w:rPr>
          <w:szCs w:val="24"/>
        </w:rPr>
        <w:t xml:space="preserve">BMI není </w:t>
      </w:r>
      <w:r w:rsidR="00211C9D" w:rsidRPr="00B52A8A">
        <w:rPr>
          <w:szCs w:val="24"/>
        </w:rPr>
        <w:t xml:space="preserve">zcela </w:t>
      </w:r>
      <w:r w:rsidRPr="00B52A8A">
        <w:rPr>
          <w:szCs w:val="24"/>
        </w:rPr>
        <w:t>přesným ukazatelem obezity. BMI je měřen ve vztahu k tělesné výšce (hmotnost/výška</w:t>
      </w:r>
      <w:r w:rsidRPr="00B52A8A">
        <w:rPr>
          <w:szCs w:val="24"/>
          <w:vertAlign w:val="superscript"/>
        </w:rPr>
        <w:t>2</w:t>
      </w:r>
      <w:r w:rsidRPr="00B52A8A">
        <w:rPr>
          <w:szCs w:val="24"/>
        </w:rPr>
        <w:t>). Slouží tedy k určení relativnímu množství tuku. Umožňuje pouze srovnání jedinců s rozdílnou výškou, která tuto konečnou hodnotu ovlivňuje. PA působí na množst</w:t>
      </w:r>
      <w:r w:rsidR="00211C9D" w:rsidRPr="00B52A8A">
        <w:rPr>
          <w:szCs w:val="24"/>
        </w:rPr>
        <w:t>ví tělesného tuku (BF)</w:t>
      </w:r>
      <w:r w:rsidR="00A03243" w:rsidRPr="00B52A8A">
        <w:rPr>
          <w:szCs w:val="24"/>
        </w:rPr>
        <w:t>. Poh</w:t>
      </w:r>
      <w:r w:rsidRPr="00B52A8A">
        <w:rPr>
          <w:szCs w:val="24"/>
        </w:rPr>
        <w:t>ybově aktivní jedin</w:t>
      </w:r>
      <w:r w:rsidR="00211C9D" w:rsidRPr="00B52A8A">
        <w:rPr>
          <w:szCs w:val="24"/>
        </w:rPr>
        <w:t>ci mají nižší hmotnost, BMI a %</w:t>
      </w:r>
      <w:r w:rsidRPr="00B52A8A">
        <w:rPr>
          <w:szCs w:val="24"/>
        </w:rPr>
        <w:t>BF. Chodecká aktivita více než 4h/týdně vede k mírnému poklesu BMI a drobné ochraně proti nárůstu tukové hmoty v oblasti pasu. Pohybově aktivní jedinci, kteří cvičí nejméně 3h/týdně mají nižší hodnoty BMI a BF.  PA minimalizuje hmotnost, BF a pokles FFM ve starším věku. FFM a BF jsou tedy hodnotícími rizikovými faktory při diagnóze chronických chorob</w:t>
      </w:r>
      <w:r w:rsidR="004C0062" w:rsidRPr="00B52A8A">
        <w:rPr>
          <w:szCs w:val="24"/>
        </w:rPr>
        <w:t>. Dá</w:t>
      </w:r>
      <w:r w:rsidR="00211C9D" w:rsidRPr="00B52A8A">
        <w:rPr>
          <w:szCs w:val="24"/>
        </w:rPr>
        <w:t>le je popisován</w:t>
      </w:r>
      <w:r w:rsidR="004C0062" w:rsidRPr="00B52A8A">
        <w:rPr>
          <w:szCs w:val="24"/>
        </w:rPr>
        <w:t xml:space="preserve"> index tukuprosté</w:t>
      </w:r>
      <w:r w:rsidR="00162D11" w:rsidRPr="00B52A8A">
        <w:rPr>
          <w:szCs w:val="24"/>
        </w:rPr>
        <w:t xml:space="preserve"> (FFMI)</w:t>
      </w:r>
      <w:r w:rsidR="004C0062" w:rsidRPr="00B52A8A">
        <w:rPr>
          <w:szCs w:val="24"/>
        </w:rPr>
        <w:t xml:space="preserve"> a tukové hmoty</w:t>
      </w:r>
      <w:r w:rsidR="00162D11" w:rsidRPr="00B52A8A">
        <w:rPr>
          <w:szCs w:val="24"/>
        </w:rPr>
        <w:t xml:space="preserve"> (BFMI)</w:t>
      </w:r>
      <w:r w:rsidR="004C0062" w:rsidRPr="00B52A8A">
        <w:rPr>
          <w:szCs w:val="24"/>
        </w:rPr>
        <w:t xml:space="preserve"> ve </w:t>
      </w:r>
      <w:proofErr w:type="gramStart"/>
      <w:r w:rsidR="004C0062" w:rsidRPr="00B52A8A">
        <w:rPr>
          <w:szCs w:val="24"/>
        </w:rPr>
        <w:t>vztahu</w:t>
      </w:r>
      <w:r w:rsidR="00211C9D" w:rsidRPr="00B52A8A">
        <w:rPr>
          <w:szCs w:val="24"/>
        </w:rPr>
        <w:t xml:space="preserve"> k </w:t>
      </w:r>
      <w:r w:rsidR="004C0062" w:rsidRPr="00B52A8A">
        <w:rPr>
          <w:szCs w:val="24"/>
        </w:rPr>
        <w:t>PA</w:t>
      </w:r>
      <w:proofErr w:type="gramEnd"/>
      <w:r w:rsidR="004C0062" w:rsidRPr="00B52A8A">
        <w:rPr>
          <w:szCs w:val="24"/>
        </w:rPr>
        <w:t>. PA zvyšuje FFMI a snižuje BFMI</w:t>
      </w:r>
      <w:r w:rsidRPr="00B52A8A">
        <w:rPr>
          <w:szCs w:val="24"/>
        </w:rPr>
        <w:t xml:space="preserve"> (Kyle, Genton, Gremion, Slosman &amp; Richard, 2004).</w:t>
      </w:r>
    </w:p>
    <w:p w:rsidR="00091077" w:rsidRPr="00B52A8A" w:rsidRDefault="00091077" w:rsidP="00091077">
      <w:pPr>
        <w:rPr>
          <w:szCs w:val="24"/>
        </w:rPr>
      </w:pPr>
      <w:bookmarkStart w:id="51" w:name="toc10"/>
      <w:bookmarkEnd w:id="51"/>
    </w:p>
    <w:p w:rsidR="00091077" w:rsidRPr="00B52A8A" w:rsidRDefault="00A6032E" w:rsidP="00091077">
      <w:pPr>
        <w:pStyle w:val="P-nadpis3"/>
      </w:pPr>
      <w:bookmarkStart w:id="52" w:name="_Toc293057969"/>
      <w:bookmarkStart w:id="53" w:name="_Toc293153737"/>
      <w:r w:rsidRPr="00B52A8A">
        <w:t>2.2</w:t>
      </w:r>
      <w:r w:rsidR="00091077" w:rsidRPr="00B52A8A">
        <w:t>.3 Vliv pohlaví a věku na tělesné složení</w:t>
      </w:r>
      <w:bookmarkEnd w:id="52"/>
      <w:bookmarkEnd w:id="53"/>
    </w:p>
    <w:p w:rsidR="004C0062" w:rsidRPr="00B52A8A" w:rsidRDefault="00091077" w:rsidP="00091077">
      <w:pPr>
        <w:ind w:firstLine="426"/>
        <w:rPr>
          <w:szCs w:val="24"/>
        </w:rPr>
      </w:pPr>
      <w:r w:rsidRPr="00B52A8A">
        <w:rPr>
          <w:szCs w:val="24"/>
        </w:rPr>
        <w:t>Tukuprostá hmota (FFM) je nižší u žen více než u mužů, což ukazuje na pozitivní efekt pohlaví na hodnoty FFM a negativní efekt na celkový</w:t>
      </w:r>
      <w:r w:rsidR="00211C9D" w:rsidRPr="00B52A8A">
        <w:rPr>
          <w:szCs w:val="24"/>
        </w:rPr>
        <w:t xml:space="preserve"> tělesný tuk (BFM). M</w:t>
      </w:r>
      <w:r w:rsidRPr="00B52A8A">
        <w:rPr>
          <w:szCs w:val="24"/>
        </w:rPr>
        <w:t>užské pohlaví</w:t>
      </w:r>
      <w:r w:rsidR="00211C9D" w:rsidRPr="00B52A8A">
        <w:rPr>
          <w:szCs w:val="24"/>
        </w:rPr>
        <w:t xml:space="preserve"> a celková hmotnost</w:t>
      </w:r>
      <w:r w:rsidRPr="00B52A8A">
        <w:rPr>
          <w:szCs w:val="24"/>
        </w:rPr>
        <w:t xml:space="preserve"> mají tedy pozitivní vliv </w:t>
      </w:r>
      <w:r w:rsidR="00211C9D" w:rsidRPr="00B52A8A">
        <w:rPr>
          <w:szCs w:val="24"/>
        </w:rPr>
        <w:t xml:space="preserve">na množství tělesného tuku </w:t>
      </w:r>
      <w:r w:rsidRPr="00B52A8A">
        <w:rPr>
          <w:szCs w:val="24"/>
        </w:rPr>
        <w:t>a naopak výška a věk vliv negati</w:t>
      </w:r>
      <w:r w:rsidR="00211C9D" w:rsidRPr="00B52A8A">
        <w:rPr>
          <w:szCs w:val="24"/>
        </w:rPr>
        <w:t>vní.</w:t>
      </w:r>
    </w:p>
    <w:p w:rsidR="00091077" w:rsidRPr="00B52A8A" w:rsidRDefault="00091077" w:rsidP="00091077">
      <w:pPr>
        <w:ind w:firstLine="426"/>
        <w:rPr>
          <w:szCs w:val="24"/>
        </w:rPr>
      </w:pPr>
      <w:r w:rsidRPr="00B52A8A">
        <w:rPr>
          <w:szCs w:val="24"/>
        </w:rPr>
        <w:lastRenderedPageBreak/>
        <w:t>Je popsáno</w:t>
      </w:r>
      <w:r w:rsidR="004C0062" w:rsidRPr="00B52A8A">
        <w:rPr>
          <w:szCs w:val="24"/>
        </w:rPr>
        <w:t>,</w:t>
      </w:r>
      <w:r w:rsidRPr="00B52A8A">
        <w:rPr>
          <w:szCs w:val="24"/>
        </w:rPr>
        <w:t xml:space="preserve"> že senioři mají nižší hodnoty FFM a naopak vyšší hodn</w:t>
      </w:r>
      <w:r w:rsidR="00211C9D" w:rsidRPr="00B52A8A">
        <w:rPr>
          <w:szCs w:val="24"/>
        </w:rPr>
        <w:t>oty BFM. FFM klesá s věkem.  T</w:t>
      </w:r>
      <w:r w:rsidRPr="00B52A8A">
        <w:rPr>
          <w:szCs w:val="24"/>
        </w:rPr>
        <w:t xml:space="preserve">o </w:t>
      </w:r>
      <w:r w:rsidR="00211C9D" w:rsidRPr="00B52A8A">
        <w:rPr>
          <w:szCs w:val="24"/>
        </w:rPr>
        <w:t xml:space="preserve">je </w:t>
      </w:r>
      <w:r w:rsidRPr="00B52A8A">
        <w:rPr>
          <w:szCs w:val="24"/>
        </w:rPr>
        <w:t>způsobeno nárůstem hmotnosti a vyšším BMI. Jak je známo, nárůst hmotnosti u osob středního věku je doprovázen nárůstem jak BFM tak FFM. Nárůst hmotnosti a FFM kompenzuje čá</w:t>
      </w:r>
      <w:r w:rsidR="00211C9D" w:rsidRPr="00B52A8A">
        <w:rPr>
          <w:szCs w:val="24"/>
        </w:rPr>
        <w:t>stečný, věkem způsobený, úbytek.</w:t>
      </w:r>
      <w:r w:rsidRPr="00B52A8A">
        <w:rPr>
          <w:szCs w:val="24"/>
        </w:rPr>
        <w:t xml:space="preserve"> Obecné platí, že FFM klesá s věkem. </w:t>
      </w:r>
    </w:p>
    <w:p w:rsidR="00091077" w:rsidRPr="00B52A8A" w:rsidRDefault="00091077" w:rsidP="00091077">
      <w:pPr>
        <w:ind w:firstLine="426"/>
        <w:rPr>
          <w:szCs w:val="24"/>
        </w:rPr>
      </w:pPr>
      <w:r w:rsidRPr="00B52A8A">
        <w:rPr>
          <w:szCs w:val="24"/>
        </w:rPr>
        <w:t xml:space="preserve">Bylo ale zjištěno (Kyle, Genton, Gremion, Slosman &amp; Richard, 2004), že hodnoty FFMI jsou relativně stabilní do 74 let. Naproti tomu nad </w:t>
      </w:r>
      <w:r w:rsidR="00211C9D" w:rsidRPr="00B52A8A">
        <w:rPr>
          <w:szCs w:val="24"/>
        </w:rPr>
        <w:t xml:space="preserve">74 let dochází k nárůstu BFMI. </w:t>
      </w:r>
      <w:r w:rsidRPr="00B52A8A">
        <w:rPr>
          <w:szCs w:val="24"/>
        </w:rPr>
        <w:t>FFMI a BFMI umožňují srovnání jedinců rozdílné výšky a věku</w:t>
      </w:r>
      <w:r w:rsidRPr="00B52A8A">
        <w:rPr>
          <w:color w:val="FF0000"/>
          <w:szCs w:val="24"/>
        </w:rPr>
        <w:t>.</w:t>
      </w:r>
      <w:r w:rsidRPr="00B52A8A">
        <w:rPr>
          <w:szCs w:val="24"/>
        </w:rPr>
        <w:t xml:space="preserve"> FFMI je udržován relativně stabilní až do věku 74 a pak se snižuje, což je v rozporu s tvrzením o snižujících se hodnotách FFM s věkem. Následující tvrzení vysvětlují stabilní hodnoty FFMI do věku 74 let: Výška normalizuje úbytek FFM. Výška se s věkem mění, snižuje se, a nedochází tedy k normalizaci hodnot FFM, které jsou u mladších jedinců vyšší.  </w:t>
      </w:r>
      <w:r w:rsidR="00211C9D" w:rsidRPr="00B52A8A">
        <w:t xml:space="preserve">Hmotnostní nárůst a </w:t>
      </w:r>
      <w:r w:rsidRPr="00B52A8A">
        <w:t xml:space="preserve">nárůst BMI je spojen s nárůstem BF a FFM. Tudíž starší jedinci jsou schopni udržet FFMI </w:t>
      </w:r>
      <w:r w:rsidR="00615D0D" w:rsidRPr="00B52A8A">
        <w:br/>
      </w:r>
      <w:r w:rsidRPr="00B52A8A">
        <w:t>v normě, protože nárůst hmotnosti a FFM v průběhu středního věku kompenzuje částečně jakýkoliv věku podmíněný úbytek FFMI</w:t>
      </w:r>
      <w:r w:rsidRPr="00B52A8A">
        <w:rPr>
          <w:b/>
        </w:rPr>
        <w:t xml:space="preserve">. </w:t>
      </w:r>
      <w:r w:rsidRPr="00B52A8A">
        <w:rPr>
          <w:szCs w:val="24"/>
        </w:rPr>
        <w:t>Naopak hodnota BFMI se s věkem postupně zvyšuje. Ve vztahu k pohlaví je hodnota FFMI vyšší a BFMI nižší u mužů nežli u žen</w:t>
      </w:r>
      <w:r w:rsidRPr="00B52A8A">
        <w:t>.</w:t>
      </w:r>
      <w:r w:rsidRPr="00B52A8A">
        <w:rPr>
          <w:szCs w:val="24"/>
        </w:rPr>
        <w:t xml:space="preserve"> </w:t>
      </w:r>
      <w:r w:rsidRPr="00B52A8A">
        <w:t xml:space="preserve">BMI se s věkem také zvyšuje. Nejvíce signifikantní nárůst je ve věku 65–74 let. </w:t>
      </w:r>
    </w:p>
    <w:p w:rsidR="00091077" w:rsidRPr="00B52A8A" w:rsidRDefault="00091077" w:rsidP="00091077">
      <w:pPr>
        <w:ind w:firstLine="426"/>
        <w:rPr>
          <w:szCs w:val="24"/>
        </w:rPr>
      </w:pPr>
    </w:p>
    <w:p w:rsidR="00B60604" w:rsidRPr="00B52A8A" w:rsidRDefault="00091077" w:rsidP="00091077">
      <w:pPr>
        <w:spacing w:after="200" w:line="276" w:lineRule="auto"/>
        <w:jc w:val="left"/>
        <w:rPr>
          <w:szCs w:val="24"/>
        </w:rPr>
      </w:pPr>
      <w:r w:rsidRPr="00B52A8A">
        <w:rPr>
          <w:b/>
          <w:bCs/>
          <w:szCs w:val="24"/>
        </w:rPr>
        <w:br w:type="page"/>
      </w:r>
    </w:p>
    <w:p w:rsidR="00B60604" w:rsidRPr="00B52A8A" w:rsidRDefault="00B60604" w:rsidP="007F4DB8">
      <w:pPr>
        <w:pStyle w:val="P-nadpis2"/>
        <w:ind w:firstLine="0"/>
        <w:jc w:val="left"/>
      </w:pPr>
      <w:bookmarkStart w:id="54" w:name="_Toc239411401"/>
      <w:bookmarkStart w:id="55" w:name="_Toc293057970"/>
      <w:bookmarkStart w:id="56" w:name="_Toc293153738"/>
      <w:r w:rsidRPr="00B52A8A">
        <w:lastRenderedPageBreak/>
        <w:t>2.3 OBECNÁ CHARAKTERISTIKA STÁRNUTÍ</w:t>
      </w:r>
      <w:bookmarkEnd w:id="54"/>
      <w:bookmarkEnd w:id="55"/>
      <w:bookmarkEnd w:id="56"/>
    </w:p>
    <w:p w:rsidR="00B60604" w:rsidRPr="00B52A8A" w:rsidRDefault="00B60604" w:rsidP="00B60604">
      <w:pPr>
        <w:spacing w:after="0"/>
        <w:rPr>
          <w:szCs w:val="24"/>
        </w:rPr>
      </w:pPr>
      <w:r w:rsidRPr="00B52A8A">
        <w:rPr>
          <w:szCs w:val="24"/>
        </w:rPr>
        <w:t xml:space="preserve">      „Stárnutí a stáří je specifický biologický proces, který je charakterizován tím, že je dlouhodobě zakódován, je nevratný, neopakuje se, jeho povaha je různá, zanechává trvalé stopy. Jeho rozvoj se řídí druhově specifickým časovým zákonem. Podléhá formativn</w:t>
      </w:r>
      <w:r w:rsidR="00615D0D" w:rsidRPr="00B52A8A">
        <w:rPr>
          <w:szCs w:val="24"/>
        </w:rPr>
        <w:t xml:space="preserve">ím vlivům prostředí“ (Pacovský </w:t>
      </w:r>
      <w:r w:rsidRPr="00B52A8A">
        <w:rPr>
          <w:szCs w:val="24"/>
        </w:rPr>
        <w:t>&amp; Heřmanová, 1981, 57).</w:t>
      </w:r>
    </w:p>
    <w:p w:rsidR="00B60604" w:rsidRPr="00B52A8A" w:rsidRDefault="00B60604" w:rsidP="00B60604">
      <w:pPr>
        <w:rPr>
          <w:szCs w:val="24"/>
        </w:rPr>
      </w:pPr>
      <w:r w:rsidRPr="00B52A8A">
        <w:rPr>
          <w:szCs w:val="24"/>
        </w:rPr>
        <w:t xml:space="preserve">     Jak tvrdí Pacovský a Heřmanová (1981) stárnutí se projevuje na konci každého přirozeného vývojového procesu. V procesu ontogeneze dochází k mnoha změnám organismu. Tyto změny</w:t>
      </w:r>
      <w:r w:rsidR="00615D0D" w:rsidRPr="00B52A8A">
        <w:rPr>
          <w:szCs w:val="24"/>
        </w:rPr>
        <w:t xml:space="preserve"> jsou jak povahy vzestupné tak </w:t>
      </w:r>
      <w:r w:rsidRPr="00B52A8A">
        <w:rPr>
          <w:szCs w:val="24"/>
        </w:rPr>
        <w:t xml:space="preserve">i sestupné. Co se týká stárnutí, jde tedy především </w:t>
      </w:r>
      <w:r w:rsidR="00615D0D" w:rsidRPr="00B52A8A">
        <w:rPr>
          <w:szCs w:val="24"/>
        </w:rPr>
        <w:br/>
      </w:r>
      <w:r w:rsidRPr="00B52A8A">
        <w:rPr>
          <w:szCs w:val="24"/>
        </w:rPr>
        <w:t xml:space="preserve">o změny sestupné, tedy regresivní. Stárnutí má svoji anatomii </w:t>
      </w:r>
      <w:r w:rsidR="00615D0D" w:rsidRPr="00B52A8A">
        <w:rPr>
          <w:szCs w:val="24"/>
        </w:rPr>
        <w:br/>
      </w:r>
      <w:r w:rsidRPr="00B52A8A">
        <w:rPr>
          <w:szCs w:val="24"/>
        </w:rPr>
        <w:t>a fyziologii, vyznačuje se změnami morfologickými i funkčními. Při změně struktury dochází následně i ke změnám funkce. Nástup morfologických a funkčních změn nastává v ontogenetickém vývoji jedince v různou dobu a pokračuje různou rychlostí. Každý jedinec stárne jinak. Funkční změny mají různý charakter. Typický je především úbytek struktur a funkcí, jejich involuce a regrese. Rozptyl různých funkčních hodnot je u stejně starých jedinců v průběhu stárnutí velký a teprve ve stáří (nad 75 let) dochází k relativně stabilním hodnotám. Rozptyl hodnot se pak zmenšuje. Proto je velice t</w:t>
      </w:r>
      <w:r w:rsidR="00615D0D" w:rsidRPr="00B52A8A">
        <w:rPr>
          <w:szCs w:val="24"/>
        </w:rPr>
        <w:t xml:space="preserve">ěžké stanovit, zda jde </w:t>
      </w:r>
      <w:r w:rsidRPr="00B52A8A">
        <w:rPr>
          <w:szCs w:val="24"/>
        </w:rPr>
        <w:t>o změny normální, které jsou důsledk</w:t>
      </w:r>
      <w:r w:rsidR="00615D0D" w:rsidRPr="00B52A8A">
        <w:rPr>
          <w:szCs w:val="24"/>
        </w:rPr>
        <w:t xml:space="preserve">em ontogenetického vývoje nebo </w:t>
      </w:r>
      <w:r w:rsidRPr="00B52A8A">
        <w:rPr>
          <w:szCs w:val="24"/>
        </w:rPr>
        <w:t>o změny patologické.</w:t>
      </w:r>
    </w:p>
    <w:p w:rsidR="00B60604" w:rsidRPr="00B52A8A" w:rsidRDefault="00B60604" w:rsidP="00B60604">
      <w:pPr>
        <w:pStyle w:val="P-nadpis3"/>
        <w:spacing w:after="240"/>
      </w:pPr>
      <w:bookmarkStart w:id="57" w:name="_Toc239411402"/>
      <w:bookmarkStart w:id="58" w:name="_Toc293057971"/>
      <w:bookmarkStart w:id="59" w:name="_Toc293153739"/>
      <w:r w:rsidRPr="00B52A8A">
        <w:t>2.3.1 Věk</w:t>
      </w:r>
      <w:bookmarkEnd w:id="57"/>
      <w:bookmarkEnd w:id="58"/>
      <w:bookmarkEnd w:id="59"/>
    </w:p>
    <w:p w:rsidR="00B60604" w:rsidRPr="00B52A8A" w:rsidRDefault="00B60604" w:rsidP="00B60604">
      <w:pPr>
        <w:rPr>
          <w:szCs w:val="24"/>
        </w:rPr>
      </w:pPr>
      <w:r w:rsidRPr="00B52A8A">
        <w:rPr>
          <w:szCs w:val="24"/>
        </w:rPr>
        <w:t xml:space="preserve">     Věk je tedy důležitou charakteristikou člověka. Věk není tak jednoduchý pojem jak se zdá. Pacovský a Heřmanová (1981) ho dělí </w:t>
      </w:r>
      <w:proofErr w:type="gramStart"/>
      <w:r w:rsidRPr="00B52A8A">
        <w:rPr>
          <w:szCs w:val="24"/>
        </w:rPr>
        <w:t>na</w:t>
      </w:r>
      <w:proofErr w:type="gramEnd"/>
      <w:r w:rsidRPr="00B52A8A">
        <w:rPr>
          <w:szCs w:val="24"/>
        </w:rPr>
        <w:t>:</w:t>
      </w:r>
    </w:p>
    <w:p w:rsidR="00B60604" w:rsidRPr="00B52A8A" w:rsidRDefault="00B60604" w:rsidP="00D42B78">
      <w:pPr>
        <w:pStyle w:val="Odstavecseseznamem"/>
        <w:numPr>
          <w:ilvl w:val="0"/>
          <w:numId w:val="5"/>
        </w:numPr>
        <w:spacing w:after="200"/>
        <w:rPr>
          <w:szCs w:val="24"/>
        </w:rPr>
      </w:pPr>
      <w:r w:rsidRPr="00B52A8A">
        <w:rPr>
          <w:b/>
          <w:szCs w:val="24"/>
        </w:rPr>
        <w:t>věk kalendářní</w:t>
      </w:r>
      <w:r w:rsidRPr="00B52A8A">
        <w:rPr>
          <w:szCs w:val="24"/>
        </w:rPr>
        <w:t xml:space="preserve"> – je dán datem narození a z biologického hlediska je věkem nespolehlivým</w:t>
      </w:r>
    </w:p>
    <w:p w:rsidR="00B60604" w:rsidRPr="00B52A8A" w:rsidRDefault="00B60604" w:rsidP="00D42B78">
      <w:pPr>
        <w:pStyle w:val="Odstavecseseznamem"/>
        <w:numPr>
          <w:ilvl w:val="0"/>
          <w:numId w:val="5"/>
        </w:numPr>
        <w:spacing w:before="240" w:after="200"/>
        <w:rPr>
          <w:szCs w:val="24"/>
        </w:rPr>
      </w:pPr>
      <w:r w:rsidRPr="00B52A8A">
        <w:rPr>
          <w:b/>
          <w:szCs w:val="24"/>
        </w:rPr>
        <w:t>funkční věk (biologický)</w:t>
      </w:r>
      <w:r w:rsidRPr="00B52A8A">
        <w:rPr>
          <w:szCs w:val="24"/>
        </w:rPr>
        <w:t xml:space="preserve"> – odpovídá skutečnému funkčnímu potenciálu člověka, má charakteristiky biologické, psychologické </w:t>
      </w:r>
      <w:r w:rsidRPr="00B52A8A">
        <w:rPr>
          <w:szCs w:val="24"/>
        </w:rPr>
        <w:br/>
      </w:r>
      <w:r w:rsidRPr="00B52A8A">
        <w:rPr>
          <w:szCs w:val="24"/>
        </w:rPr>
        <w:lastRenderedPageBreak/>
        <w:t>a sociální, někdy je označován jako věk skutečný a nemusí být vždy v souladu s věkem kalendářním.</w:t>
      </w:r>
    </w:p>
    <w:p w:rsidR="00B60604" w:rsidRPr="00B52A8A" w:rsidRDefault="00B60604" w:rsidP="00B60604">
      <w:pPr>
        <w:pStyle w:val="Odstavecseseznamem"/>
        <w:spacing w:before="240"/>
        <w:rPr>
          <w:szCs w:val="24"/>
        </w:rPr>
      </w:pPr>
    </w:p>
    <w:p w:rsidR="00B60604" w:rsidRPr="00B52A8A" w:rsidRDefault="00B60604" w:rsidP="00B60604">
      <w:pPr>
        <w:pStyle w:val="Odstavecseseznamem"/>
        <w:ind w:left="0"/>
        <w:rPr>
          <w:szCs w:val="24"/>
        </w:rPr>
      </w:pPr>
      <w:r w:rsidRPr="00B52A8A">
        <w:rPr>
          <w:szCs w:val="24"/>
        </w:rPr>
        <w:t xml:space="preserve">     Pokud bychom chtěli hodnotit tělesnou konstituci člověka či provádět jeho další charakteristiky (zdravotní stav, fyzickou kondici aj.) založené na věku kalendářním, mohlo by dojít k pochybení. Hodnota lidského stáří nelze tímto věkem hodnotit, je jen věkem orientačním, ale skutečný fyzický stav člověka by měl být posuzován dle věku biologického. Nalézáme velké individuální rozdíly ve stárnutí, protože každý stárneme jinak a tudíž dvě osoby stejného věku nemusí vypadat stejně a ani se tak cítit.</w:t>
      </w:r>
    </w:p>
    <w:p w:rsidR="009779B4" w:rsidRPr="00B52A8A" w:rsidRDefault="009779B4" w:rsidP="00471185">
      <w:pPr>
        <w:pStyle w:val="Odstavecseseznamem"/>
        <w:ind w:left="0" w:firstLine="426"/>
      </w:pPr>
      <w:r w:rsidRPr="00B52A8A">
        <w:rPr>
          <w:szCs w:val="24"/>
        </w:rPr>
        <w:t>Biologický věk je charakterizován</w:t>
      </w:r>
      <w:r w:rsidR="00471185" w:rsidRPr="00B52A8A">
        <w:rPr>
          <w:szCs w:val="24"/>
        </w:rPr>
        <w:t xml:space="preserve"> celkovým stavem růstu a vývoje jedince, jeho morfologickými a funkčními znaky. Lze jej určit několika způsoby, jako věk kostní, růstový, zubní a vývojový, které posuzují růstové a vývojové změny jak uvádí </w:t>
      </w:r>
      <w:r w:rsidR="00471185" w:rsidRPr="00B52A8A">
        <w:t>Riegerová, Přidalová a Ulbrichová (2006).</w:t>
      </w:r>
    </w:p>
    <w:p w:rsidR="00B60604" w:rsidRPr="00B52A8A" w:rsidRDefault="00B60604" w:rsidP="00B60604">
      <w:pPr>
        <w:pStyle w:val="Odstavecseseznamem"/>
        <w:ind w:left="0" w:firstLine="709"/>
        <w:rPr>
          <w:szCs w:val="24"/>
        </w:rPr>
      </w:pPr>
    </w:p>
    <w:p w:rsidR="00B60604" w:rsidRPr="00B52A8A" w:rsidRDefault="00B60604" w:rsidP="00B60604">
      <w:pPr>
        <w:pStyle w:val="P-nadpis3"/>
      </w:pPr>
      <w:bookmarkStart w:id="60" w:name="_Toc239411403"/>
      <w:bookmarkStart w:id="61" w:name="_Toc293057972"/>
      <w:bookmarkStart w:id="62" w:name="_Toc293153740"/>
      <w:r w:rsidRPr="00B52A8A">
        <w:t>2.3.2 Změny tělesného složení</w:t>
      </w:r>
      <w:bookmarkEnd w:id="60"/>
      <w:r w:rsidR="00047546" w:rsidRPr="00B52A8A">
        <w:t xml:space="preserve"> u seniorské populace</w:t>
      </w:r>
      <w:bookmarkEnd w:id="61"/>
      <w:bookmarkEnd w:id="62"/>
      <w:r w:rsidR="00A26441" w:rsidRPr="00B52A8A">
        <w:t xml:space="preserve"> </w:t>
      </w:r>
    </w:p>
    <w:p w:rsidR="00B60604" w:rsidRPr="00B52A8A" w:rsidRDefault="00B60604" w:rsidP="00B60604">
      <w:pPr>
        <w:spacing w:after="0"/>
        <w:rPr>
          <w:szCs w:val="24"/>
        </w:rPr>
      </w:pPr>
      <w:r w:rsidRPr="00B52A8A">
        <w:rPr>
          <w:szCs w:val="24"/>
        </w:rPr>
        <w:t xml:space="preserve">     Jak popisuje Kalvach a kolektiv (2004), ke vztahu k tělesnému složení dochází se zvyšujícím se věkem k jeho změnám. Vnitřní prostředí se mění především tím, že ubývá celková tělesná voda. Na tom se podílí nejen věk, ale i další faktory jako jsou např. obezita. 2/3 celkové vody připadají na tekutinu intracelulární a asi 1/3 na tekutinu extracelulární. Senioři jsou s ubývajícím množstvím tělesné vody znevýhodňováni oproti mladším jedincům při rozvoji dehydratace, protože úbytek vody činí asi 20 ml extracelulární tekutiny méně, což u člověka vážícího průměrně</w:t>
      </w:r>
      <w:r w:rsidR="00471185" w:rsidRPr="00B52A8A">
        <w:rPr>
          <w:szCs w:val="24"/>
        </w:rPr>
        <w:t xml:space="preserve"> 70 kg je téměř 1500 ml. Dalším </w:t>
      </w:r>
      <w:r w:rsidRPr="00B52A8A">
        <w:rPr>
          <w:szCs w:val="24"/>
        </w:rPr>
        <w:t xml:space="preserve">komponentem, který podléhám změnám, je aktivní tělesná hmota, která ubývá a naopak </w:t>
      </w:r>
      <w:r w:rsidR="00471185" w:rsidRPr="00B52A8A">
        <w:rPr>
          <w:szCs w:val="24"/>
        </w:rPr>
        <w:t xml:space="preserve">přibývá hmota tuková a vazivo. </w:t>
      </w:r>
      <w:r w:rsidRPr="00B52A8A">
        <w:rPr>
          <w:szCs w:val="24"/>
        </w:rPr>
        <w:t>S věkem tedy dochází k celkové procentuální změně tělesného složení.</w:t>
      </w:r>
    </w:p>
    <w:p w:rsidR="00B60604" w:rsidRPr="00B52A8A" w:rsidRDefault="00B60604" w:rsidP="00B60604">
      <w:pPr>
        <w:pStyle w:val="Normlnweb"/>
        <w:spacing w:before="0" w:beforeAutospacing="0" w:after="0" w:afterAutospacing="0" w:line="360" w:lineRule="auto"/>
        <w:rPr>
          <w:rFonts w:ascii="Bookman Old Style" w:hAnsi="Bookman Old Style"/>
          <w:bCs/>
        </w:rPr>
      </w:pPr>
      <w:r w:rsidRPr="00B52A8A">
        <w:rPr>
          <w:rFonts w:ascii="Bookman Old Style" w:hAnsi="Bookman Old Style"/>
          <w:bCs/>
        </w:rPr>
        <w:lastRenderedPageBreak/>
        <w:t xml:space="preserve">     Toth a kolektiv (2000) prováděli výzkum, jehož studie prokázaly, že klimakterické změny jsou spojeny také s negativními změnami v tělesné kompozici a rozložením tukové hmoty v abdominální oblasti. Naproti tomu nebyly zjištěny žádné změny v celkovém množství tukuprosté hmoty. Celkové množství tuku je asi o 28 % vyšší u žen po menopause. Také % tuku se zvyšuje o 17 %. Další změnou, která nastává, je zvýšené množství podkožního tuku v abdominální oblasti. Naměřená data prokazují, že ženy v období menopauzy trpí nárůstem tuku v oblasti břicha ovšem v závislosti na věku a celkovému množství tukové tkáně.</w:t>
      </w:r>
    </w:p>
    <w:p w:rsidR="00B60604" w:rsidRPr="00B52A8A" w:rsidRDefault="00B60604" w:rsidP="00361571">
      <w:pPr>
        <w:pStyle w:val="Normlnweb"/>
        <w:spacing w:before="0" w:beforeAutospacing="0" w:line="360" w:lineRule="auto"/>
        <w:rPr>
          <w:rFonts w:ascii="Bookman Old Style" w:hAnsi="Bookman Old Style"/>
          <w:bCs/>
        </w:rPr>
      </w:pPr>
      <w:r w:rsidRPr="00B52A8A">
        <w:rPr>
          <w:rFonts w:ascii="Bookman Old Style" w:hAnsi="Bookman Old Style"/>
          <w:bCs/>
        </w:rPr>
        <w:t xml:space="preserve">     Jak již bylo zmíněno, během procesu stárnutí dochází ke změnám v tělesné kompozici. Důležité je vyvarovat se obezity, která negativně působí na zdravotní stav. Zachování aktivní tělesné hmoty je ale také podstatným krokem. Sedmá dekáda života je často doprovázena ztrátou hmotnosti, především úbytku hmoty svalové také nazývané sarcopenia. Se stárnutím dochází také k nárůstu a redistribuci tukové hmoty </w:t>
      </w:r>
      <w:r w:rsidR="00471185" w:rsidRPr="00B52A8A">
        <w:rPr>
          <w:rFonts w:ascii="Bookman Old Style" w:hAnsi="Bookman Old Style"/>
          <w:bCs/>
        </w:rPr>
        <w:br/>
      </w:r>
      <w:r w:rsidRPr="00B52A8A">
        <w:rPr>
          <w:rFonts w:ascii="Bookman Old Style" w:hAnsi="Bookman Old Style"/>
          <w:bCs/>
        </w:rPr>
        <w:t xml:space="preserve">a naopak se snižuje hmota tukuprostá. Redistribuce tuku představuje riziko funkčních onemocnění. Tukuprostá hmota se snižuje asi </w:t>
      </w:r>
      <w:r w:rsidR="00471185" w:rsidRPr="00B52A8A">
        <w:rPr>
          <w:rFonts w:ascii="Bookman Old Style" w:hAnsi="Bookman Old Style"/>
          <w:bCs/>
        </w:rPr>
        <w:br/>
      </w:r>
      <w:r w:rsidR="00E66F30" w:rsidRPr="00B52A8A">
        <w:rPr>
          <w:rFonts w:ascii="Bookman Old Style" w:hAnsi="Bookman Old Style"/>
          <w:bCs/>
        </w:rPr>
        <w:t>o 15 % v období mezi 30 – 9</w:t>
      </w:r>
      <w:r w:rsidRPr="00B52A8A">
        <w:rPr>
          <w:rFonts w:ascii="Bookman Old Style" w:hAnsi="Bookman Old Style"/>
          <w:bCs/>
        </w:rPr>
        <w:t xml:space="preserve">0 rokem spolu s redukcí svalové hmoty což představuje pro starší populaci zdravotní hrozby např. rozšíření diabetu druhého typu, kdy se zvyšuje rezistence inzulínových receptorů </w:t>
      </w:r>
      <w:r w:rsidR="00471185" w:rsidRPr="00B52A8A">
        <w:rPr>
          <w:rFonts w:ascii="Bookman Old Style" w:hAnsi="Bookman Old Style"/>
          <w:bCs/>
        </w:rPr>
        <w:br/>
      </w:r>
      <w:r w:rsidRPr="00B52A8A">
        <w:rPr>
          <w:rFonts w:ascii="Bookman Old Style" w:hAnsi="Bookman Old Style"/>
          <w:bCs/>
        </w:rPr>
        <w:t>a zhoršuje tolerance glukózy. Obezita je také dalším z rizikových faktorů přispívaj</w:t>
      </w:r>
      <w:r w:rsidR="00471185" w:rsidRPr="00B52A8A">
        <w:rPr>
          <w:rFonts w:ascii="Bookman Old Style" w:hAnsi="Bookman Old Style"/>
          <w:bCs/>
        </w:rPr>
        <w:t xml:space="preserve">ící k diabetu. Je tedy žádoucí </w:t>
      </w:r>
      <w:r w:rsidRPr="00B52A8A">
        <w:rPr>
          <w:rFonts w:ascii="Bookman Old Style" w:hAnsi="Bookman Old Style"/>
          <w:bCs/>
        </w:rPr>
        <w:t>a důležitá aerobní pohybová aktivita, která</w:t>
      </w:r>
      <w:r w:rsidR="00471185" w:rsidRPr="00B52A8A">
        <w:rPr>
          <w:rFonts w:ascii="Bookman Old Style" w:hAnsi="Bookman Old Style"/>
          <w:bCs/>
        </w:rPr>
        <w:t xml:space="preserve"> snižuje množství tukové hmoty </w:t>
      </w:r>
      <w:r w:rsidRPr="00B52A8A">
        <w:rPr>
          <w:rFonts w:ascii="Bookman Old Style" w:hAnsi="Bookman Old Style"/>
          <w:bCs/>
        </w:rPr>
        <w:t xml:space="preserve">a cvičení resistentní jsou spojena s nárůstem tukuprosté hmoty a svalové hmoty. Celkově je tedy důležité pro starší populaci zachování aktivní tělesné hmoty, což slouží jako prevence sarcopenie (Dziura &amp; DiPietro, (2003). </w:t>
      </w:r>
    </w:p>
    <w:p w:rsidR="00471185" w:rsidRPr="00B52A8A" w:rsidRDefault="00471185" w:rsidP="00361571">
      <w:pPr>
        <w:pStyle w:val="Normlnweb"/>
        <w:spacing w:after="0" w:afterAutospacing="0" w:line="360" w:lineRule="auto"/>
        <w:rPr>
          <w:rFonts w:ascii="Bookman Old Style" w:hAnsi="Bookman Old Style"/>
          <w:b/>
          <w:bCs/>
        </w:rPr>
      </w:pPr>
    </w:p>
    <w:p w:rsidR="002057E1" w:rsidRPr="00B52A8A" w:rsidRDefault="002057E1" w:rsidP="00A6032E">
      <w:pPr>
        <w:pStyle w:val="Normlnweb"/>
        <w:spacing w:after="0" w:afterAutospacing="0" w:line="360" w:lineRule="auto"/>
        <w:rPr>
          <w:rFonts w:ascii="Bookman Old Style" w:hAnsi="Bookman Old Style"/>
          <w:b/>
          <w:bCs/>
        </w:rPr>
      </w:pPr>
    </w:p>
    <w:p w:rsidR="002057E1" w:rsidRPr="00B52A8A" w:rsidRDefault="002057E1" w:rsidP="002057E1">
      <w:pPr>
        <w:pStyle w:val="P-nadpis3"/>
      </w:pPr>
      <w:bookmarkStart w:id="63" w:name="_Toc293057973"/>
      <w:bookmarkStart w:id="64" w:name="_Toc293153741"/>
      <w:r w:rsidRPr="00B52A8A">
        <w:lastRenderedPageBreak/>
        <w:t>2.3.2 Zdravotní ukazatelé</w:t>
      </w:r>
      <w:bookmarkEnd w:id="63"/>
      <w:bookmarkEnd w:id="64"/>
    </w:p>
    <w:p w:rsidR="002057E1" w:rsidRPr="00B52A8A" w:rsidRDefault="002057E1" w:rsidP="002057E1">
      <w:pPr>
        <w:pStyle w:val="P-text"/>
        <w:ind w:firstLine="360"/>
      </w:pPr>
      <w:r w:rsidRPr="00B52A8A">
        <w:t xml:space="preserve">Níže popsané parametry slouží pro určení rizikovosti relativního poškození zdraví a dle jejich hodnot můžeme stanovit míru zdatnosti </w:t>
      </w:r>
      <w:r w:rsidRPr="00B52A8A">
        <w:br/>
        <w:t>a zdravotního stavu jedince. V této práci byly popsány a analyzovány tyto parametry:</w:t>
      </w:r>
    </w:p>
    <w:p w:rsidR="002057E1" w:rsidRPr="00B52A8A" w:rsidRDefault="002057E1" w:rsidP="002057E1">
      <w:pPr>
        <w:pStyle w:val="Odstavecseseznamem"/>
        <w:numPr>
          <w:ilvl w:val="0"/>
          <w:numId w:val="17"/>
        </w:numPr>
      </w:pPr>
      <w:r w:rsidRPr="00B52A8A">
        <w:t xml:space="preserve">body mass index (BMI) </w:t>
      </w:r>
    </w:p>
    <w:p w:rsidR="002057E1" w:rsidRPr="00B52A8A" w:rsidRDefault="002057E1" w:rsidP="002057E1">
      <w:pPr>
        <w:pStyle w:val="Odstavecseseznamem"/>
        <w:numPr>
          <w:ilvl w:val="0"/>
          <w:numId w:val="17"/>
        </w:numPr>
      </w:pPr>
      <w:r w:rsidRPr="00B52A8A">
        <w:t>index tukuprosté hmoty (FFMI)</w:t>
      </w:r>
    </w:p>
    <w:p w:rsidR="002057E1" w:rsidRPr="00B52A8A" w:rsidRDefault="002057E1" w:rsidP="002057E1">
      <w:pPr>
        <w:pStyle w:val="Odstavecseseznamem"/>
        <w:numPr>
          <w:ilvl w:val="0"/>
          <w:numId w:val="17"/>
        </w:numPr>
      </w:pPr>
      <w:r w:rsidRPr="00B52A8A">
        <w:t>index tukové hmoty (BFMI)</w:t>
      </w:r>
    </w:p>
    <w:p w:rsidR="002057E1" w:rsidRPr="00B52A8A" w:rsidRDefault="002057E1" w:rsidP="002057E1">
      <w:pPr>
        <w:pStyle w:val="Odstavecseseznamem"/>
        <w:numPr>
          <w:ilvl w:val="0"/>
          <w:numId w:val="17"/>
        </w:numPr>
      </w:pPr>
      <w:r w:rsidRPr="00B52A8A">
        <w:t>oblast tělesného tuku (VFA)</w:t>
      </w:r>
    </w:p>
    <w:p w:rsidR="002057E1" w:rsidRPr="00B52A8A" w:rsidRDefault="002057E1" w:rsidP="002057E1">
      <w:pPr>
        <w:pStyle w:val="Odstavecseseznamem"/>
        <w:numPr>
          <w:ilvl w:val="0"/>
          <w:numId w:val="17"/>
        </w:numPr>
      </w:pPr>
      <w:r w:rsidRPr="00B52A8A">
        <w:t>stupeň obezity (OD)</w:t>
      </w:r>
    </w:p>
    <w:p w:rsidR="002057E1" w:rsidRPr="00B52A8A" w:rsidRDefault="002057E1" w:rsidP="002057E1">
      <w:pPr>
        <w:pStyle w:val="Odstavecseseznamem"/>
        <w:numPr>
          <w:ilvl w:val="0"/>
          <w:numId w:val="17"/>
        </w:numPr>
      </w:pPr>
      <w:r w:rsidRPr="00B52A8A">
        <w:t>fitness skóre (FS)</w:t>
      </w:r>
    </w:p>
    <w:p w:rsidR="002057E1" w:rsidRPr="00B52A8A" w:rsidRDefault="002057E1" w:rsidP="002057E1">
      <w:pPr>
        <w:rPr>
          <w:b/>
        </w:rPr>
      </w:pPr>
    </w:p>
    <w:p w:rsidR="002057E1" w:rsidRPr="00B52A8A" w:rsidRDefault="002057E1" w:rsidP="002057E1">
      <w:pPr>
        <w:rPr>
          <w:b/>
        </w:rPr>
      </w:pPr>
      <w:r w:rsidRPr="00B52A8A">
        <w:rPr>
          <w:b/>
        </w:rPr>
        <w:t xml:space="preserve">Body mass index (BMI) </w:t>
      </w:r>
    </w:p>
    <w:p w:rsidR="002057E1" w:rsidRPr="00B52A8A" w:rsidRDefault="002057E1" w:rsidP="002057E1">
      <w:pPr>
        <w:spacing w:after="0"/>
        <w:ind w:firstLine="360"/>
      </w:pPr>
      <w:r w:rsidRPr="00B52A8A">
        <w:t xml:space="preserve">BMI nám udává diagnózu obezity. Jde o poměr tělesné hmotnosti </w:t>
      </w:r>
      <w:r w:rsidRPr="00B52A8A">
        <w:br/>
        <w:t>a výšky. Nevýhodou je, že nerespektuje svalovou hmotu. (InBody 720, 2011). BMI lze vypočítat ze vzorce: BMI = m [kg] /výška</w:t>
      </w:r>
      <w:r w:rsidRPr="00B52A8A">
        <w:rPr>
          <w:vertAlign w:val="superscript"/>
        </w:rPr>
        <w:t xml:space="preserve">2 </w:t>
      </w:r>
      <w:r w:rsidRPr="00B52A8A">
        <w:t>[m]</w:t>
      </w:r>
    </w:p>
    <w:p w:rsidR="002057E1" w:rsidRPr="00B52A8A" w:rsidRDefault="002057E1" w:rsidP="002057E1">
      <w:pPr>
        <w:spacing w:before="240"/>
        <w:ind w:left="1416" w:firstLine="708"/>
        <w:rPr>
          <w:b/>
          <w:vertAlign w:val="superscript"/>
        </w:rPr>
      </w:pPr>
      <w:r w:rsidRPr="00B52A8A">
        <w:rPr>
          <w:b/>
        </w:rPr>
        <w:t xml:space="preserve">průměrné hodnoty:    </w:t>
      </w:r>
      <w:r w:rsidRPr="00B52A8A">
        <w:rPr>
          <w:b/>
        </w:rPr>
        <w:tab/>
        <w:t>18,5 – 25,0 kg/m</w:t>
      </w:r>
      <w:r w:rsidRPr="00B52A8A">
        <w:rPr>
          <w:b/>
          <w:vertAlign w:val="superscript"/>
        </w:rPr>
        <w:t>2</w:t>
      </w:r>
    </w:p>
    <w:p w:rsidR="002057E1" w:rsidRPr="00B52A8A" w:rsidRDefault="002057E1" w:rsidP="002057E1">
      <w:pPr>
        <w:ind w:left="1416" w:firstLine="708"/>
        <w:rPr>
          <w:b/>
          <w:szCs w:val="24"/>
          <w:vertAlign w:val="superscript"/>
        </w:rPr>
      </w:pPr>
      <w:r w:rsidRPr="00B52A8A">
        <w:rPr>
          <w:b/>
        </w:rPr>
        <w:t>hranici nadváhy:</w:t>
      </w:r>
      <w:r w:rsidRPr="00B52A8A">
        <w:rPr>
          <w:b/>
        </w:rPr>
        <w:tab/>
      </w:r>
      <w:r w:rsidRPr="00B52A8A">
        <w:rPr>
          <w:b/>
        </w:rPr>
        <w:tab/>
        <w:t>25,0 – 29,9 kg/m</w:t>
      </w:r>
      <w:r w:rsidRPr="00B52A8A">
        <w:rPr>
          <w:b/>
          <w:szCs w:val="24"/>
          <w:vertAlign w:val="superscript"/>
        </w:rPr>
        <w:t>2</w:t>
      </w:r>
    </w:p>
    <w:p w:rsidR="002057E1" w:rsidRPr="00B52A8A" w:rsidRDefault="002057E1" w:rsidP="002057E1">
      <w:pPr>
        <w:ind w:left="1416" w:firstLine="708"/>
        <w:rPr>
          <w:b/>
          <w:szCs w:val="24"/>
          <w:vertAlign w:val="superscript"/>
        </w:rPr>
      </w:pPr>
      <w:r w:rsidRPr="00B52A8A">
        <w:rPr>
          <w:b/>
        </w:rPr>
        <w:t xml:space="preserve">hranici obezity: </w:t>
      </w:r>
      <w:r w:rsidRPr="00B52A8A">
        <w:rPr>
          <w:b/>
        </w:rPr>
        <w:tab/>
      </w:r>
      <w:r w:rsidRPr="00B52A8A">
        <w:rPr>
          <w:b/>
        </w:rPr>
        <w:tab/>
        <w:t>&gt;30 kg/m</w:t>
      </w:r>
      <w:r w:rsidRPr="00B52A8A">
        <w:rPr>
          <w:b/>
          <w:szCs w:val="24"/>
          <w:vertAlign w:val="superscript"/>
        </w:rPr>
        <w:t>2</w:t>
      </w:r>
    </w:p>
    <w:p w:rsidR="002057E1" w:rsidRPr="00B52A8A" w:rsidRDefault="002057E1" w:rsidP="002057E1">
      <w:pPr>
        <w:rPr>
          <w:b/>
          <w:szCs w:val="24"/>
          <w:vertAlign w:val="superscript"/>
        </w:rPr>
      </w:pPr>
    </w:p>
    <w:p w:rsidR="002057E1" w:rsidRPr="00B52A8A" w:rsidRDefault="002057E1" w:rsidP="002057E1">
      <w:pPr>
        <w:spacing w:after="0"/>
        <w:ind w:firstLine="284"/>
      </w:pPr>
      <w:r w:rsidRPr="00B52A8A">
        <w:t xml:space="preserve">BMI jako indikátor obezity je podle studie (Hu, Tuomilehto, Silventoinen, Barengo &amp; Jousilahti, 2004) významně spojován s rizikem onemocnění kardiovaskulárního systému pro muže i pro ženy. Toto riziko se týká jak celkové obezity, tak i obezity abdominální a hodnoty BMI predikují nebezpečí onemocnění zvláště pro ženy. Gallagher et al. (2000) poukazují na to, že ke zhodnocení tělesného tuku je zapotřebí zkombinovat hodnoty BMI s predikovaným procentuálním vyjádřením tukové hmoty. Mělo by být zdůrazněno, že nárůst tukové hmoty </w:t>
      </w:r>
      <w:r w:rsidRPr="00B52A8A">
        <w:lastRenderedPageBreak/>
        <w:t xml:space="preserve">s věkem nemusí být vždy vyjádřen hodnotami BMI, které mohou zůstat i přesto konstantní. Je tedy rozdíl mezi procentními vztahy tělesného tuku a hodnotami BMI. Lidé mohou mít stejné hodnoty BMI, ale přesto může být každý jedinec klasifikován rozdílně. </w:t>
      </w:r>
    </w:p>
    <w:p w:rsidR="002057E1" w:rsidRPr="00B52A8A" w:rsidRDefault="006501B9" w:rsidP="006501B9">
      <w:pPr>
        <w:ind w:firstLine="284"/>
        <w:rPr>
          <w:rFonts w:eastAsia="TimesNewRomanPSMT" w:cs="TimesNewRomanPSMT"/>
          <w:b/>
          <w:szCs w:val="24"/>
        </w:rPr>
      </w:pPr>
      <w:r w:rsidRPr="00B52A8A">
        <w:rPr>
          <w:rFonts w:eastAsia="TimesNewRomanPSMT" w:cs="TimesNewRomanPSMT"/>
          <w:szCs w:val="24"/>
        </w:rPr>
        <w:t>Někteří autoři,</w:t>
      </w:r>
      <w:r w:rsidR="002057E1" w:rsidRPr="00B52A8A">
        <w:rPr>
          <w:rFonts w:eastAsia="TimesNewRomanPSMT" w:cs="TimesNewRomanPSMT"/>
          <w:szCs w:val="24"/>
        </w:rPr>
        <w:t xml:space="preserve"> (Kalvach et al., 2004; Kyle et al., 2004)</w:t>
      </w:r>
      <w:r w:rsidRPr="00B52A8A">
        <w:rPr>
          <w:rFonts w:eastAsia="TimesNewRomanPSMT" w:cs="TimesNewRomanPSMT"/>
          <w:szCs w:val="24"/>
        </w:rPr>
        <w:t xml:space="preserve"> </w:t>
      </w:r>
      <w:r w:rsidR="002057E1" w:rsidRPr="00B52A8A">
        <w:rPr>
          <w:rFonts w:eastAsia="TimesNewRomanPSMT" w:cs="TimesNewRomanPSMT"/>
          <w:szCs w:val="24"/>
        </w:rPr>
        <w:t>pokládá</w:t>
      </w:r>
      <w:r w:rsidRPr="00B52A8A">
        <w:rPr>
          <w:rFonts w:eastAsia="TimesNewRomanPSMT" w:cs="TimesNewRomanPSMT"/>
          <w:szCs w:val="24"/>
        </w:rPr>
        <w:t>jí</w:t>
      </w:r>
      <w:r w:rsidR="002057E1" w:rsidRPr="00B52A8A">
        <w:rPr>
          <w:rFonts w:eastAsia="TimesNewRomanPSMT" w:cs="TimesNewRomanPSMT"/>
          <w:szCs w:val="24"/>
        </w:rPr>
        <w:t xml:space="preserve"> hodnocení zdravotního stavu vzhledem k hodnotám BMI za nedostačující, protože tento index nepostihuje proměnlivost a změny v zastoupení tukuprosté hmoty (FFM) a tělesného tuku (BFM). Jako vhodnější se jeví hodnotit potencionální riziko poškození zdraví pomocí indexů, které se vztahují k množství tělesnému tuku (BFMI) a tukuprosté hmotě (FFMI).</w:t>
      </w:r>
      <w:r w:rsidR="002057E1" w:rsidRPr="00B52A8A">
        <w:rPr>
          <w:szCs w:val="24"/>
        </w:rPr>
        <w:t xml:space="preserve"> </w:t>
      </w:r>
      <w:r w:rsidR="002057E1" w:rsidRPr="00B52A8A">
        <w:rPr>
          <w:rFonts w:cs="BookAntiqua"/>
          <w:szCs w:val="24"/>
        </w:rPr>
        <w:t>Bylo dokázáno (</w:t>
      </w:r>
      <w:r w:rsidR="002057E1" w:rsidRPr="00B52A8A">
        <w:rPr>
          <w:szCs w:val="24"/>
        </w:rPr>
        <w:t>Zanovec, Lakkakula, Johnson</w:t>
      </w:r>
      <w:r w:rsidRPr="00B52A8A">
        <w:rPr>
          <w:szCs w:val="24"/>
        </w:rPr>
        <w:t>,</w:t>
      </w:r>
      <w:r w:rsidR="002057E1" w:rsidRPr="00B52A8A">
        <w:rPr>
          <w:szCs w:val="24"/>
        </w:rPr>
        <w:t xml:space="preserve"> </w:t>
      </w:r>
      <w:r w:rsidR="002057E1" w:rsidRPr="00B52A8A">
        <w:rPr>
          <w:rFonts w:cs="Times New Roman"/>
          <w:szCs w:val="24"/>
        </w:rPr>
        <w:t>&amp;</w:t>
      </w:r>
      <w:r w:rsidR="002057E1" w:rsidRPr="00B52A8A">
        <w:rPr>
          <w:szCs w:val="24"/>
        </w:rPr>
        <w:t xml:space="preserve"> Turri, 2009), </w:t>
      </w:r>
      <w:r w:rsidR="002057E1" w:rsidRPr="00B52A8A">
        <w:rPr>
          <w:rFonts w:cs="BookAntiqua"/>
          <w:szCs w:val="24"/>
        </w:rPr>
        <w:t>že využití BMI ke zhodnocení tělesného tuku a predikaci hmotnosti k dané výšce je závislé</w:t>
      </w:r>
      <w:r w:rsidRPr="00B52A8A">
        <w:rPr>
          <w:rFonts w:cs="BookAntiqua"/>
          <w:szCs w:val="24"/>
        </w:rPr>
        <w:t xml:space="preserve"> na věku, pohlaví, a rase</w:t>
      </w:r>
      <w:r w:rsidR="002057E1" w:rsidRPr="00B52A8A">
        <w:t>. Z hodnot BMI nelze zjistit změny v % BF, které s věkem narůstá a to více u žen než u mužů. Navíc, je zde důležitý vztah mezi BMI a %</w:t>
      </w:r>
      <w:r w:rsidRPr="00B52A8A">
        <w:t xml:space="preserve"> </w:t>
      </w:r>
      <w:r w:rsidR="002057E1" w:rsidRPr="00B52A8A">
        <w:t>BF, který je závislý na faktorech jako jsou rasa, tělesná konstituce a úroveň PA. Tudíž využití BMI k predikování hmotnosti jednotlivce je limitováno, protože tělesná hmotnost je určena především tukovou hmotou, aktivní svalovou hmotou a kostními minerály.</w:t>
      </w:r>
      <w:r w:rsidR="002057E1" w:rsidRPr="00B52A8A">
        <w:rPr>
          <w:rFonts w:eastAsia="TimesNewRomanPSMT" w:cs="TimesNewRomanPSMT"/>
          <w:szCs w:val="24"/>
        </w:rPr>
        <w:t xml:space="preserve"> </w:t>
      </w:r>
      <w:r w:rsidR="002057E1" w:rsidRPr="00B52A8A">
        <w:t>Základní omezení pro využití BMI ke klasifikaci obezity je doloženo u dospělých</w:t>
      </w:r>
      <w:r w:rsidRPr="00B52A8A">
        <w:t xml:space="preserve"> jedinců</w:t>
      </w:r>
      <w:r w:rsidR="002057E1" w:rsidRPr="00B52A8A">
        <w:t xml:space="preserve"> s rozdílnou PA. PA příznivě ovlivňuje tělesné složení a hmotnost tím, že pozitivně ovlivňuje ztrátu tělesného tuku a současně udržuje a zvyšuje aktivní tělesnou hmotu. Lze tedy potvrdit, že pro některé skupiny není vhodné využít k predikci obezity BMI, tedy vztahu tělesné výšky </w:t>
      </w:r>
      <w:r w:rsidR="002057E1" w:rsidRPr="00B52A8A">
        <w:br/>
        <w:t>a hmotnosti, protože vysoká hmotnost neznamená vysoké množství tělesného tuku.</w:t>
      </w:r>
    </w:p>
    <w:p w:rsidR="002057E1" w:rsidRPr="00B52A8A" w:rsidRDefault="002057E1" w:rsidP="002057E1">
      <w:pPr>
        <w:rPr>
          <w:rFonts w:ascii="Palatino-Roman" w:hAnsi="Palatino-Roman" w:cs="Palatino-Roman"/>
          <w:sz w:val="20"/>
          <w:szCs w:val="20"/>
        </w:rPr>
      </w:pPr>
    </w:p>
    <w:p w:rsidR="002057E1" w:rsidRPr="00B52A8A" w:rsidRDefault="002057E1" w:rsidP="002057E1">
      <w:pPr>
        <w:rPr>
          <w:b/>
        </w:rPr>
      </w:pPr>
      <w:r w:rsidRPr="00B52A8A">
        <w:rPr>
          <w:b/>
        </w:rPr>
        <w:t>Index tukuprosté hmoty (FFMI) a index tukové hmoty (BFMI)</w:t>
      </w:r>
    </w:p>
    <w:p w:rsidR="002057E1" w:rsidRPr="00B52A8A" w:rsidRDefault="002057E1" w:rsidP="002057E1">
      <w:pPr>
        <w:ind w:firstLine="360"/>
        <w:rPr>
          <w:szCs w:val="24"/>
        </w:rPr>
      </w:pPr>
      <w:r w:rsidRPr="00B52A8A">
        <w:rPr>
          <w:szCs w:val="24"/>
        </w:rPr>
        <w:t xml:space="preserve">K určení množství tuku slouží také indexy FFMI a BFMI, které umožňují srovnání jedinců s rozdílnou výškou, stejně jako BMI určují </w:t>
      </w:r>
      <w:r w:rsidRPr="00B52A8A">
        <w:rPr>
          <w:szCs w:val="24"/>
        </w:rPr>
        <w:lastRenderedPageBreak/>
        <w:t xml:space="preserve">tedy relativní množství tuku (Kyle, Genton, Gremion, Slosman </w:t>
      </w:r>
      <w:r w:rsidRPr="00B52A8A">
        <w:rPr>
          <w:szCs w:val="24"/>
        </w:rPr>
        <w:br/>
        <w:t>&amp; Richard, 2004).</w:t>
      </w:r>
    </w:p>
    <w:p w:rsidR="002057E1" w:rsidRPr="00B52A8A" w:rsidRDefault="002057E1" w:rsidP="002057E1">
      <w:pPr>
        <w:jc w:val="center"/>
      </w:pPr>
      <w:r w:rsidRPr="00B52A8A">
        <w:t>FFMI [kg/m</w:t>
      </w:r>
      <w:r w:rsidRPr="00B52A8A">
        <w:rPr>
          <w:vertAlign w:val="superscript"/>
        </w:rPr>
        <w:t>2</w:t>
      </w:r>
      <w:r w:rsidRPr="00B52A8A">
        <w:t>] vyjádříme jako FFM [kg]/výška</w:t>
      </w:r>
      <w:r w:rsidRPr="00B52A8A">
        <w:rPr>
          <w:vertAlign w:val="superscript"/>
        </w:rPr>
        <w:t xml:space="preserve">2 </w:t>
      </w:r>
      <w:r w:rsidRPr="00B52A8A">
        <w:t>[m</w:t>
      </w:r>
      <w:r w:rsidRPr="00B52A8A">
        <w:rPr>
          <w:vertAlign w:val="superscript"/>
        </w:rPr>
        <w:t>2</w:t>
      </w:r>
      <w:r w:rsidRPr="00B52A8A">
        <w:t>].</w:t>
      </w:r>
    </w:p>
    <w:p w:rsidR="002057E1" w:rsidRPr="00B52A8A" w:rsidRDefault="002057E1" w:rsidP="002057E1">
      <w:pPr>
        <w:jc w:val="center"/>
      </w:pPr>
      <w:r w:rsidRPr="00B52A8A">
        <w:t>BFMI [kg/m</w:t>
      </w:r>
      <w:r w:rsidRPr="00B52A8A">
        <w:rPr>
          <w:vertAlign w:val="superscript"/>
        </w:rPr>
        <w:t>2</w:t>
      </w:r>
      <w:r w:rsidRPr="00B52A8A">
        <w:t>] vyjádříme jako BF [kg]/ výška</w:t>
      </w:r>
      <w:r w:rsidRPr="00B52A8A">
        <w:rPr>
          <w:vertAlign w:val="superscript"/>
        </w:rPr>
        <w:t xml:space="preserve">2 </w:t>
      </w:r>
      <w:r w:rsidRPr="00B52A8A">
        <w:t>[m</w:t>
      </w:r>
      <w:r w:rsidRPr="00B52A8A">
        <w:rPr>
          <w:vertAlign w:val="superscript"/>
        </w:rPr>
        <w:t>2</w:t>
      </w:r>
      <w:r w:rsidRPr="00B52A8A">
        <w:t>].</w:t>
      </w:r>
    </w:p>
    <w:p w:rsidR="00FD2DD0" w:rsidRPr="00B52A8A" w:rsidRDefault="002057E1" w:rsidP="006501B9">
      <w:pPr>
        <w:ind w:firstLine="426"/>
      </w:pPr>
      <w:r w:rsidRPr="00B52A8A">
        <w:rPr>
          <w:szCs w:val="24"/>
        </w:rPr>
        <w:t xml:space="preserve">Optimální hodnoty jsou pro </w:t>
      </w:r>
      <w:r w:rsidR="006501B9" w:rsidRPr="00B52A8A">
        <w:rPr>
          <w:szCs w:val="24"/>
        </w:rPr>
        <w:t xml:space="preserve">FFMI </w:t>
      </w:r>
      <w:r w:rsidRPr="00B52A8A">
        <w:t>(14,6</w:t>
      </w:r>
      <w:r w:rsidR="006501B9" w:rsidRPr="00B52A8A">
        <w:t xml:space="preserve"> </w:t>
      </w:r>
      <w:r w:rsidRPr="00B52A8A">
        <w:t>–</w:t>
      </w:r>
      <w:r w:rsidR="006501B9" w:rsidRPr="00B52A8A">
        <w:t xml:space="preserve"> </w:t>
      </w:r>
      <w:r w:rsidRPr="00B52A8A">
        <w:t>16,7 kg/m</w:t>
      </w:r>
      <w:r w:rsidRPr="00B52A8A">
        <w:rPr>
          <w:szCs w:val="24"/>
          <w:vertAlign w:val="superscript"/>
        </w:rPr>
        <w:t>2)</w:t>
      </w:r>
      <w:r w:rsidRPr="00B52A8A">
        <w:t xml:space="preserve"> a pro BFMI</w:t>
      </w:r>
      <w:r w:rsidR="006501B9" w:rsidRPr="00B52A8A">
        <w:t xml:space="preserve"> </w:t>
      </w:r>
      <w:r w:rsidRPr="00B52A8A">
        <w:rPr>
          <w:szCs w:val="24"/>
        </w:rPr>
        <w:t>(3,9</w:t>
      </w:r>
      <w:r w:rsidR="006501B9" w:rsidRPr="00B52A8A">
        <w:rPr>
          <w:szCs w:val="24"/>
        </w:rPr>
        <w:t xml:space="preserve"> </w:t>
      </w:r>
      <w:r w:rsidRPr="00B52A8A">
        <w:rPr>
          <w:szCs w:val="24"/>
        </w:rPr>
        <w:t>–</w:t>
      </w:r>
      <w:r w:rsidR="006501B9" w:rsidRPr="00B52A8A">
        <w:rPr>
          <w:szCs w:val="24"/>
        </w:rPr>
        <w:t xml:space="preserve"> </w:t>
      </w:r>
      <w:r w:rsidRPr="00B52A8A">
        <w:rPr>
          <w:szCs w:val="24"/>
        </w:rPr>
        <w:t>8,1 kg/m</w:t>
      </w:r>
      <w:r w:rsidRPr="00B52A8A">
        <w:rPr>
          <w:szCs w:val="24"/>
          <w:vertAlign w:val="superscript"/>
        </w:rPr>
        <w:t>2</w:t>
      </w:r>
      <w:r w:rsidRPr="00B52A8A">
        <w:rPr>
          <w:szCs w:val="24"/>
        </w:rPr>
        <w:t>)</w:t>
      </w:r>
      <w:r w:rsidRPr="00B52A8A">
        <w:t xml:space="preserve"> jejichž hodnocení vych</w:t>
      </w:r>
      <w:r w:rsidR="006501B9" w:rsidRPr="00B52A8A">
        <w:t>ází z norem, které uvádí Kyle a kol.</w:t>
      </w:r>
      <w:r w:rsidRPr="00B52A8A">
        <w:t xml:space="preserve"> (2004a).</w:t>
      </w:r>
      <w:r w:rsidR="00FD2DD0" w:rsidRPr="00B52A8A">
        <w:t xml:space="preserve"> Je prokázané</w:t>
      </w:r>
      <w:r w:rsidR="006501B9" w:rsidRPr="00B52A8A">
        <w:t>,</w:t>
      </w:r>
      <w:r w:rsidR="00FD2DD0" w:rsidRPr="00B52A8A">
        <w:t xml:space="preserve"> že hodnoty FFMI i BFM</w:t>
      </w:r>
      <w:r w:rsidR="006501B9" w:rsidRPr="00B52A8A">
        <w:t>I nevykazují optimální hodnoty</w:t>
      </w:r>
      <w:r w:rsidR="00FD2DD0" w:rsidRPr="00B52A8A">
        <w:t xml:space="preserve"> u osob se sedavým způsobem života </w:t>
      </w:r>
      <w:r w:rsidR="006501B9" w:rsidRPr="00B52A8A">
        <w:t xml:space="preserve">a odlišují se od </w:t>
      </w:r>
      <w:r w:rsidR="00FD2DD0" w:rsidRPr="00B52A8A">
        <w:t xml:space="preserve">pohybově aktivních jedinců. S věkem se tento nárůst dále postupně zvětšuje. Pohybově aktivní osoby vykazují menší odchylky FFMI od normy a velmi zřídka mají vysoký BFMI (Kyle et al., 2004). </w:t>
      </w:r>
    </w:p>
    <w:p w:rsidR="002057E1" w:rsidRPr="00B52A8A" w:rsidRDefault="002057E1" w:rsidP="002057E1">
      <w:pPr>
        <w:ind w:firstLine="426"/>
      </w:pPr>
    </w:p>
    <w:p w:rsidR="002057E1" w:rsidRPr="00B52A8A" w:rsidRDefault="002057E1" w:rsidP="002057E1">
      <w:pPr>
        <w:rPr>
          <w:b/>
        </w:rPr>
      </w:pPr>
      <w:r w:rsidRPr="00B52A8A">
        <w:rPr>
          <w:b/>
        </w:rPr>
        <w:t>Oblast tělesného tuku (VFA)</w:t>
      </w:r>
    </w:p>
    <w:p w:rsidR="002057E1" w:rsidRPr="00B52A8A" w:rsidRDefault="002057E1" w:rsidP="002057E1">
      <w:pPr>
        <w:ind w:firstLine="426"/>
        <w:rPr>
          <w:rFonts w:ascii="AdvP858B" w:hAnsi="AdvP858B" w:cs="AdvP858B"/>
          <w:sz w:val="28"/>
          <w:szCs w:val="28"/>
        </w:rPr>
      </w:pPr>
      <w:r w:rsidRPr="00B52A8A">
        <w:t>VFA se značně vztahuje k riziku různých onemocnění, jako jsou srdeční choroby a diabetes mellitus. VFA je predikována pomocí antropometrických metod a segmentální analýzou proměnných tělesného složení. Kumulace viscerálního tuku v abdominální oblasti se vztahuje nejen k obezitě obecně, ale také k rozložení tuku v těle. Parametry tělesného složení mohou být tedy využity ke zhodnocení distribuce tělesného tuku (</w:t>
      </w:r>
      <w:r w:rsidRPr="00B52A8A">
        <w:rPr>
          <w:rFonts w:cs="AdvP8585"/>
          <w:szCs w:val="24"/>
        </w:rPr>
        <w:t>Demura, &amp; Sato, 2007).</w:t>
      </w:r>
    </w:p>
    <w:p w:rsidR="002057E1" w:rsidRPr="00B52A8A" w:rsidRDefault="002057E1" w:rsidP="002057E1">
      <w:pPr>
        <w:ind w:firstLine="360"/>
      </w:pPr>
      <w:r w:rsidRPr="00B52A8A">
        <w:t>Podle Grauera, Mosse, Canna a Goldberga (1984) se rozložen</w:t>
      </w:r>
      <w:r w:rsidR="006501B9" w:rsidRPr="00B52A8A">
        <w:t xml:space="preserve">í tuku v abdominální oblasti </w:t>
      </w:r>
      <w:r w:rsidRPr="00B52A8A">
        <w:t xml:space="preserve">značně liší u žen a mužů.  Rozložení viscerálního tuku se nevztahuje k hmotnosti, není tedy důležité, zda je jedinec obézní či štíhlý, ale v jaké konkrétní oblasti se nachází největší množství tukové tkáně. Nejvíce tukové tkáně se nachází obecně v oblasti prvního bederního obratle (L1). Oblasti rozložení tuku se u žen a mužů liší. Ženy mají sklon k ukládání tuku více v podkožní tkáni. Muži kumulují více tuku v intraabdominální oblasti. </w:t>
      </w:r>
    </w:p>
    <w:p w:rsidR="002057E1" w:rsidRPr="00B52A8A" w:rsidRDefault="002057E1" w:rsidP="002057E1">
      <w:pPr>
        <w:ind w:firstLine="360"/>
      </w:pPr>
      <w:r w:rsidRPr="00B52A8A">
        <w:lastRenderedPageBreak/>
        <w:t>Hodnocení viscerálního (útrobního) tuku se provádí pomocí indexu VFA (cm</w:t>
      </w:r>
      <w:r w:rsidRPr="00B52A8A">
        <w:rPr>
          <w:vertAlign w:val="superscript"/>
        </w:rPr>
        <w:t>2</w:t>
      </w:r>
      <w:r w:rsidRPr="00B52A8A">
        <w:t xml:space="preserve">), který vypovídá o abdominální obezitě. Hromadění tuku v abdominální oblasti je nebezpečným rizikem vzniku chorob jako jsou diabetes mellitus II. typu, dyslipidémi (vzestup koncentrace celkového cholesterolu), ateroskléróza, ischemická choroba srdeční, infarkt myokardu, hypertenze aj. Hranice pro riziko abdominální obezity je </w:t>
      </w:r>
      <w:r w:rsidRPr="00B52A8A">
        <w:br/>
        <w:t>100 cm</w:t>
      </w:r>
      <w:r w:rsidRPr="00B52A8A">
        <w:rPr>
          <w:vertAlign w:val="superscript"/>
        </w:rPr>
        <w:t>2</w:t>
      </w:r>
      <w:r w:rsidRPr="00B52A8A">
        <w:rPr>
          <w:b/>
          <w:vertAlign w:val="superscript"/>
        </w:rPr>
        <w:t xml:space="preserve"> </w:t>
      </w:r>
      <w:r w:rsidRPr="00B52A8A">
        <w:t xml:space="preserve">(InBody 720). </w:t>
      </w:r>
    </w:p>
    <w:p w:rsidR="002057E1" w:rsidRPr="00B52A8A" w:rsidRDefault="002057E1" w:rsidP="002057E1">
      <w:pPr>
        <w:rPr>
          <w:b/>
        </w:rPr>
      </w:pPr>
    </w:p>
    <w:p w:rsidR="002057E1" w:rsidRPr="00B52A8A" w:rsidRDefault="002057E1" w:rsidP="002057E1">
      <w:r w:rsidRPr="00B52A8A">
        <w:rPr>
          <w:b/>
        </w:rPr>
        <w:t>Stupeň obezity (OD)</w:t>
      </w:r>
      <w:r w:rsidRPr="00B52A8A">
        <w:t xml:space="preserve"> </w:t>
      </w:r>
    </w:p>
    <w:p w:rsidR="002057E1" w:rsidRPr="00B52A8A" w:rsidRDefault="002057E1" w:rsidP="002057E1">
      <w:pPr>
        <w:ind w:firstLine="360"/>
      </w:pPr>
      <w:r w:rsidRPr="00B52A8A">
        <w:t xml:space="preserve">Stupeň obezity vychází ze vztahu aktuální tělesné hmotnosti (CW) vzhledem k hmotnosti ideální (SW). Pro </w:t>
      </w:r>
      <w:proofErr w:type="gramStart"/>
      <w:r w:rsidRPr="00B52A8A">
        <w:t>OD</w:t>
      </w:r>
      <w:proofErr w:type="gramEnd"/>
      <w:r w:rsidRPr="00B52A8A">
        <w:t xml:space="preserve"> se uvádí hodnoty:</w:t>
      </w:r>
    </w:p>
    <w:p w:rsidR="002057E1" w:rsidRPr="00B52A8A" w:rsidRDefault="002057E1" w:rsidP="002057E1">
      <w:pPr>
        <w:ind w:left="2832"/>
        <w:rPr>
          <w:b/>
        </w:rPr>
      </w:pPr>
      <w:r w:rsidRPr="00B52A8A">
        <w:rPr>
          <w:b/>
        </w:rPr>
        <w:t xml:space="preserve">optimum </w:t>
      </w:r>
      <w:r w:rsidRPr="00B52A8A">
        <w:rPr>
          <w:b/>
        </w:rPr>
        <w:tab/>
        <w:t xml:space="preserve">90% </w:t>
      </w:r>
      <w:r w:rsidRPr="00B52A8A">
        <w:rPr>
          <w:szCs w:val="24"/>
        </w:rPr>
        <w:t>–</w:t>
      </w:r>
      <w:r w:rsidRPr="00B52A8A">
        <w:rPr>
          <w:b/>
        </w:rPr>
        <w:t xml:space="preserve"> 100%</w:t>
      </w:r>
    </w:p>
    <w:p w:rsidR="002057E1" w:rsidRPr="00B52A8A" w:rsidRDefault="002057E1" w:rsidP="002057E1">
      <w:pPr>
        <w:ind w:left="2124" w:firstLine="708"/>
        <w:rPr>
          <w:b/>
        </w:rPr>
      </w:pPr>
      <w:r w:rsidRPr="00B52A8A">
        <w:rPr>
          <w:b/>
        </w:rPr>
        <w:t>nadváha</w:t>
      </w:r>
      <w:r w:rsidRPr="00B52A8A">
        <w:rPr>
          <w:b/>
        </w:rPr>
        <w:tab/>
        <w:t xml:space="preserve">110% </w:t>
      </w:r>
      <w:r w:rsidRPr="00B52A8A">
        <w:rPr>
          <w:szCs w:val="24"/>
        </w:rPr>
        <w:t>–</w:t>
      </w:r>
      <w:r w:rsidRPr="00B52A8A">
        <w:rPr>
          <w:b/>
        </w:rPr>
        <w:t xml:space="preserve"> 120%</w:t>
      </w:r>
    </w:p>
    <w:p w:rsidR="002057E1" w:rsidRPr="00B52A8A" w:rsidRDefault="002057E1" w:rsidP="002057E1">
      <w:pPr>
        <w:ind w:left="2832"/>
        <w:rPr>
          <w:b/>
        </w:rPr>
      </w:pPr>
      <w:r w:rsidRPr="00B52A8A">
        <w:rPr>
          <w:b/>
        </w:rPr>
        <w:t xml:space="preserve">obezita </w:t>
      </w:r>
      <w:r w:rsidRPr="00B52A8A">
        <w:rPr>
          <w:b/>
        </w:rPr>
        <w:tab/>
        <w:t>&gt;120%</w:t>
      </w:r>
    </w:p>
    <w:p w:rsidR="002057E1" w:rsidRPr="00B52A8A" w:rsidRDefault="002057E1" w:rsidP="002057E1">
      <w:pPr>
        <w:ind w:firstLine="284"/>
      </w:pPr>
      <w:r w:rsidRPr="00B52A8A">
        <w:t xml:space="preserve">Stupeň obezity je vypočítán ze vztahu: OD [%] = (CW/SW) x 100 (InBody 720, 2011).  </w:t>
      </w:r>
    </w:p>
    <w:p w:rsidR="002057E1" w:rsidRPr="00B52A8A" w:rsidRDefault="002057E1" w:rsidP="002057E1"/>
    <w:p w:rsidR="002057E1" w:rsidRPr="00B52A8A" w:rsidRDefault="002057E1" w:rsidP="002057E1">
      <w:pPr>
        <w:rPr>
          <w:szCs w:val="24"/>
        </w:rPr>
      </w:pPr>
      <w:r w:rsidRPr="00B52A8A">
        <w:rPr>
          <w:b/>
          <w:szCs w:val="24"/>
        </w:rPr>
        <w:t>Fitness skóre (FS)</w:t>
      </w:r>
    </w:p>
    <w:p w:rsidR="002057E1" w:rsidRPr="00B52A8A" w:rsidRDefault="002057E1" w:rsidP="002057E1">
      <w:pPr>
        <w:ind w:firstLine="284"/>
        <w:rPr>
          <w:szCs w:val="24"/>
        </w:rPr>
      </w:pPr>
      <w:r w:rsidRPr="00B52A8A">
        <w:rPr>
          <w:szCs w:val="24"/>
        </w:rPr>
        <w:t>Fitness skóre ukazuje zastoupení svalové a tukové frakce vzhledem k hmotnosti (InBody 720, 2011). Dělí jedince do tří skupin:</w:t>
      </w:r>
    </w:p>
    <w:p w:rsidR="002057E1" w:rsidRPr="00B52A8A" w:rsidRDefault="002057E1" w:rsidP="002057E1">
      <w:pPr>
        <w:ind w:left="2124" w:firstLine="708"/>
        <w:rPr>
          <w:b/>
          <w:szCs w:val="24"/>
        </w:rPr>
      </w:pPr>
      <w:r w:rsidRPr="00B52A8A">
        <w:rPr>
          <w:b/>
          <w:szCs w:val="24"/>
        </w:rPr>
        <w:t xml:space="preserve">≤ 70 </w:t>
      </w:r>
      <w:r w:rsidRPr="00B52A8A">
        <w:rPr>
          <w:b/>
          <w:szCs w:val="24"/>
        </w:rPr>
        <w:tab/>
        <w:t>slabý, obézní typ</w:t>
      </w:r>
    </w:p>
    <w:p w:rsidR="002057E1" w:rsidRPr="00B52A8A" w:rsidRDefault="002057E1" w:rsidP="002057E1">
      <w:pPr>
        <w:ind w:firstLine="708"/>
        <w:jc w:val="center"/>
        <w:rPr>
          <w:b/>
          <w:szCs w:val="24"/>
        </w:rPr>
      </w:pPr>
      <w:r w:rsidRPr="00B52A8A">
        <w:rPr>
          <w:b/>
          <w:szCs w:val="24"/>
        </w:rPr>
        <w:t>70 – 90 normální, zdravý typ</w:t>
      </w:r>
    </w:p>
    <w:p w:rsidR="002057E1" w:rsidRPr="00B52A8A" w:rsidRDefault="002057E1" w:rsidP="002057E1">
      <w:pPr>
        <w:ind w:left="2124" w:firstLine="708"/>
        <w:rPr>
          <w:b/>
          <w:szCs w:val="24"/>
        </w:rPr>
      </w:pPr>
      <w:r w:rsidRPr="00B52A8A">
        <w:rPr>
          <w:b/>
          <w:szCs w:val="24"/>
        </w:rPr>
        <w:t>≥ 90</w:t>
      </w:r>
      <w:r w:rsidRPr="00B52A8A">
        <w:rPr>
          <w:b/>
          <w:szCs w:val="24"/>
        </w:rPr>
        <w:tab/>
        <w:t>atletický typ</w:t>
      </w:r>
    </w:p>
    <w:p w:rsidR="002057E1" w:rsidRPr="00B52A8A" w:rsidRDefault="002057E1" w:rsidP="002057E1">
      <w:pPr>
        <w:ind w:firstLine="426"/>
      </w:pPr>
    </w:p>
    <w:p w:rsidR="002057E1" w:rsidRPr="00B52A8A" w:rsidRDefault="002057E1" w:rsidP="002057E1">
      <w:pPr>
        <w:ind w:firstLine="426"/>
      </w:pPr>
      <w:r w:rsidRPr="00B52A8A">
        <w:t xml:space="preserve">Obezita je onemocnění, které z velké části vzniká v důsledku životních podmínek a životního stylu. Obezita prokazatelně zkracuje délku života a zhoršuje jeho kvalitu. Zvyšuje riziko výskytu </w:t>
      </w:r>
      <w:r w:rsidRPr="00B52A8A">
        <w:lastRenderedPageBreak/>
        <w:t xml:space="preserve">metabolických, kardiovaskulárních a nádorových onemocnění. Dalším možné komplikace, které mohou vznikat, jsou degenerativní onemocnění pohybového aparátu a psychické poruchy. Četné studie potvrdily, že nízká fyzická aktivita je hlavní příčinou vzniku obezity. Jedním s obecně známých léčebných postupů při tomto onemocnění může být PA. Osoby s nadváhou mají ve většině případů i přidružená zdravotní onemocnění. Ne vždy je ale snadné vhodně zvolit ty aktivity </w:t>
      </w:r>
      <w:r w:rsidRPr="00B52A8A">
        <w:br/>
        <w:t>a její dávkování, tedy vhodné intenzity zatížení vedoucí k žádoucí redukci tělesného tuku. Studie se však shodují, že nejúčinnější vliv na zdravotní stav a redukci hmotnosti má aerobní zátěž vytrvalostního charakteru prováděná po delší dobu. Pro obézní jedince je doporučení provádět PA vytrvalostního charakteru více než hodinu denně (</w:t>
      </w:r>
      <w:r w:rsidR="006501B9" w:rsidRPr="00B52A8A">
        <w:rPr>
          <w:szCs w:val="24"/>
        </w:rPr>
        <w:t>Větrovská</w:t>
      </w:r>
      <w:r w:rsidRPr="00B52A8A">
        <w:rPr>
          <w:szCs w:val="24"/>
        </w:rPr>
        <w:t>, Matoulek, Vilikus</w:t>
      </w:r>
      <w:r w:rsidR="006501B9" w:rsidRPr="00B52A8A">
        <w:rPr>
          <w:szCs w:val="24"/>
        </w:rPr>
        <w:t>,</w:t>
      </w:r>
      <w:r w:rsidRPr="00B52A8A">
        <w:rPr>
          <w:szCs w:val="24"/>
        </w:rPr>
        <w:t xml:space="preserve"> </w:t>
      </w:r>
      <w:r w:rsidRPr="00B52A8A">
        <w:rPr>
          <w:rFonts w:cs="Calibri"/>
          <w:szCs w:val="24"/>
        </w:rPr>
        <w:t>&amp;</w:t>
      </w:r>
      <w:r w:rsidRPr="00B52A8A">
        <w:rPr>
          <w:szCs w:val="24"/>
        </w:rPr>
        <w:t xml:space="preserve"> Slabý, 2008).</w:t>
      </w:r>
    </w:p>
    <w:p w:rsidR="00B60604" w:rsidRPr="00B52A8A" w:rsidRDefault="002057E1" w:rsidP="00431C63">
      <w:pPr>
        <w:pStyle w:val="P-nadpis3"/>
      </w:pPr>
      <w:bookmarkStart w:id="65" w:name="_Toc293057974"/>
      <w:bookmarkStart w:id="66" w:name="_Toc293153742"/>
      <w:r w:rsidRPr="00B52A8A">
        <w:t>2.3.4</w:t>
      </w:r>
      <w:r w:rsidR="00A6032E" w:rsidRPr="00B52A8A">
        <w:t xml:space="preserve"> </w:t>
      </w:r>
      <w:r w:rsidR="00091077" w:rsidRPr="00B52A8A">
        <w:t>Bioelektrická impedanční metoda (BIA)</w:t>
      </w:r>
      <w:bookmarkEnd w:id="65"/>
      <w:bookmarkEnd w:id="66"/>
    </w:p>
    <w:p w:rsidR="00091077" w:rsidRPr="00B52A8A" w:rsidRDefault="00091077" w:rsidP="00A6032E">
      <w:pPr>
        <w:spacing w:after="0"/>
        <w:ind w:firstLine="284"/>
        <w:rPr>
          <w:szCs w:val="24"/>
        </w:rPr>
      </w:pPr>
      <w:r w:rsidRPr="00B52A8A">
        <w:rPr>
          <w:szCs w:val="24"/>
        </w:rPr>
        <w:t xml:space="preserve">Jak popisuje Riegerová, Přidalová a Ulbrichová (2006) bioelektrická impedance je metoda, při které dochází k šíření elektrického proudu </w:t>
      </w:r>
      <w:r w:rsidR="00471185" w:rsidRPr="00B52A8A">
        <w:rPr>
          <w:szCs w:val="24"/>
        </w:rPr>
        <w:br/>
      </w:r>
      <w:r w:rsidRPr="00B52A8A">
        <w:rPr>
          <w:szCs w:val="24"/>
        </w:rPr>
        <w:t xml:space="preserve">o mírné intenzitě biologickými strukturami. Dobrým vodiče, je aktivní tělesná hmota, která obsahuje velký podíl vody naopak je tomu u tkáně tukové, která se chová jako izolátor. Aplikovaný střídavý proud vyvolá v těle impedanci vůči šíření proudu. Impedance je závislá na tom, jak vysoká je frekvence proudu, také na délce vodiče, jeho konfiguraci </w:t>
      </w:r>
      <w:r w:rsidR="00471185" w:rsidRPr="00B52A8A">
        <w:rPr>
          <w:szCs w:val="24"/>
        </w:rPr>
        <w:br/>
      </w:r>
      <w:r w:rsidRPr="00B52A8A">
        <w:rPr>
          <w:szCs w:val="24"/>
        </w:rPr>
        <w:t xml:space="preserve">a průřezu. Ze zjištěné impedance se pomocí regresních rovnic zjišťuje množství tuku v organismu. Při tomto měření je důležité „přiměřené zavodnění organismu“. Pro získání přesných parametrů je proto doporučeno provádět toto měření ráno nebo 4-5 hodin před testem nepít a nejíst. Měli bychom se vyvarovat požití alkoholu 24 hodin před testem, zůstat nejméně 12 hodin bez pohybové aktivity, vyprázdnit močový měchýř a pak opětně podat tekutinu. Také si proband během měření musí sundat veškeré kovové předměty (náušnice, šperky).  Vőlgyi et al. (2008) popisuje bioelektrickou impedanční metodu jako velmi vhodnou </w:t>
      </w:r>
      <w:r w:rsidRPr="00B52A8A">
        <w:rPr>
          <w:szCs w:val="24"/>
        </w:rPr>
        <w:lastRenderedPageBreak/>
        <w:t xml:space="preserve">pro odhad tělesného složení, protože je snadná, neinvazivní a může být využita pro širokou škálu subjektů, co se týká věku a tělesné konstituce.  </w:t>
      </w:r>
    </w:p>
    <w:p w:rsidR="00091077" w:rsidRPr="00B52A8A" w:rsidRDefault="00091077" w:rsidP="00091077">
      <w:pPr>
        <w:rPr>
          <w:szCs w:val="24"/>
        </w:rPr>
      </w:pPr>
      <w:r w:rsidRPr="00B52A8A">
        <w:rPr>
          <w:szCs w:val="24"/>
        </w:rPr>
        <w:t xml:space="preserve">     Jak uvádí Kyle, Ursula G., et al. (2004), lidské tělo poskytuje dva typy odporu; odpor, který vzniká v buně</w:t>
      </w:r>
      <w:r w:rsidR="00471185" w:rsidRPr="00B52A8A">
        <w:rPr>
          <w:szCs w:val="24"/>
        </w:rPr>
        <w:t xml:space="preserve">čných membránách a odpor extra </w:t>
      </w:r>
      <w:r w:rsidRPr="00B52A8A">
        <w:rPr>
          <w:szCs w:val="24"/>
        </w:rPr>
        <w:t>a intracelulárních tekutin. Nízká frekvence, obvykle kolem 50 kHz způsobuje, že elektrický proud neproniká přes buněčnou membránu, což funguje jako izolátor a tudíž proud prochází jen extracelulární tekutinou. To nám umožňuje odhadnout množství tukuprosté hmoty, celkové tělesné vody, ale nedokáže určit rozdíl vody intracelulární.  Naopak vysoké frekvence (nad 200kHz) se chovají jako dokonalý kondenzátor vyjadřující hodnoty tu</w:t>
      </w:r>
      <w:r w:rsidR="00471185" w:rsidRPr="00B52A8A">
        <w:rPr>
          <w:szCs w:val="24"/>
        </w:rPr>
        <w:t xml:space="preserve">kuprosté hmoty, celkové tělesné </w:t>
      </w:r>
      <w:r w:rsidRPr="00B52A8A">
        <w:rPr>
          <w:szCs w:val="24"/>
        </w:rPr>
        <w:t>vody, kterou dělí na extra a intracelulární komponenta. Vysokofrekvenční BIA je na nárůst množství extracelulární vody velice citlivá i přesto, že nejsou zaznamenány žádné signifikantní změny v tělesné hmotnosti. Zvýšené množství extracelulární vody je indikátorem otoků a podvýživy.</w:t>
      </w:r>
    </w:p>
    <w:p w:rsidR="00B60604" w:rsidRPr="00B52A8A" w:rsidRDefault="00B60604" w:rsidP="00361571">
      <w:pPr>
        <w:pStyle w:val="Normlnweb"/>
        <w:spacing w:line="360" w:lineRule="auto"/>
        <w:ind w:firstLine="708"/>
      </w:pPr>
    </w:p>
    <w:p w:rsidR="00B60604" w:rsidRPr="00B52A8A" w:rsidRDefault="00B60604" w:rsidP="00B60604">
      <w:pPr>
        <w:ind w:firstLine="708"/>
        <w:rPr>
          <w:szCs w:val="24"/>
        </w:rPr>
      </w:pPr>
    </w:p>
    <w:p w:rsidR="00B60604" w:rsidRPr="00B52A8A" w:rsidRDefault="00B60604" w:rsidP="00B60604">
      <w:pPr>
        <w:ind w:left="360" w:firstLine="348"/>
        <w:rPr>
          <w:b/>
          <w:szCs w:val="24"/>
        </w:rPr>
      </w:pPr>
    </w:p>
    <w:p w:rsidR="00B60604" w:rsidRPr="00B52A8A" w:rsidRDefault="00B60604" w:rsidP="00B60604">
      <w:pPr>
        <w:pStyle w:val="Odstavecseseznamem"/>
        <w:rPr>
          <w:szCs w:val="24"/>
        </w:rPr>
      </w:pPr>
    </w:p>
    <w:p w:rsidR="00B60604" w:rsidRPr="00B52A8A" w:rsidRDefault="00B60604" w:rsidP="00B60604">
      <w:pPr>
        <w:rPr>
          <w:b/>
          <w:sz w:val="28"/>
          <w:szCs w:val="28"/>
        </w:rPr>
      </w:pPr>
    </w:p>
    <w:p w:rsidR="00B60604" w:rsidRPr="00B52A8A" w:rsidRDefault="00B60604" w:rsidP="005C4CEC">
      <w:pPr>
        <w:pStyle w:val="P-nadpis2"/>
        <w:ind w:firstLine="0"/>
        <w:rPr>
          <w:sz w:val="28"/>
          <w:szCs w:val="28"/>
        </w:rPr>
      </w:pPr>
      <w:r w:rsidRPr="00B52A8A">
        <w:rPr>
          <w:sz w:val="28"/>
          <w:szCs w:val="28"/>
        </w:rPr>
        <w:br w:type="page"/>
      </w:r>
      <w:bookmarkStart w:id="67" w:name="_Toc239411405"/>
      <w:bookmarkStart w:id="68" w:name="_Toc293057975"/>
      <w:bookmarkStart w:id="69" w:name="_Toc293153743"/>
      <w:r w:rsidR="005C4CEC" w:rsidRPr="00B52A8A">
        <w:lastRenderedPageBreak/>
        <w:t xml:space="preserve">2.4 </w:t>
      </w:r>
      <w:r w:rsidRPr="00B52A8A">
        <w:t>EVROPSKÉ GRANTOVÉ PROJEKTY ZAMĚŘENÉ NA</w:t>
      </w:r>
      <w:r w:rsidR="005C4CEC" w:rsidRPr="00B52A8A">
        <w:br/>
        <w:t xml:space="preserve">       </w:t>
      </w:r>
      <w:r w:rsidRPr="00B52A8A">
        <w:t xml:space="preserve"> SENIORY</w:t>
      </w:r>
      <w:bookmarkEnd w:id="67"/>
      <w:bookmarkEnd w:id="68"/>
      <w:bookmarkEnd w:id="69"/>
    </w:p>
    <w:p w:rsidR="00B60604" w:rsidRPr="00B52A8A" w:rsidRDefault="00B60604" w:rsidP="00B60604">
      <w:pPr>
        <w:pStyle w:val="P-nadpis3"/>
      </w:pPr>
      <w:bookmarkStart w:id="70" w:name="_Toc239411406"/>
      <w:bookmarkStart w:id="71" w:name="_Toc293057976"/>
      <w:bookmarkStart w:id="72" w:name="_Toc293153744"/>
      <w:r w:rsidRPr="00B52A8A">
        <w:t>2.4.1 EUNAAPA</w:t>
      </w:r>
      <w:bookmarkEnd w:id="70"/>
      <w:bookmarkEnd w:id="71"/>
      <w:bookmarkEnd w:id="72"/>
    </w:p>
    <w:p w:rsidR="00B60604" w:rsidRPr="00B52A8A" w:rsidRDefault="00B60604" w:rsidP="00B60604">
      <w:pPr>
        <w:spacing w:after="0"/>
        <w:rPr>
          <w:szCs w:val="24"/>
        </w:rPr>
      </w:pPr>
      <w:r w:rsidRPr="00B52A8A">
        <w:rPr>
          <w:b/>
          <w:sz w:val="26"/>
          <w:szCs w:val="26"/>
        </w:rPr>
        <w:t xml:space="preserve">     </w:t>
      </w:r>
      <w:r w:rsidRPr="00B52A8A">
        <w:rPr>
          <w:sz w:val="26"/>
          <w:szCs w:val="26"/>
        </w:rPr>
        <w:t xml:space="preserve">Jak popisuje organizaci jedna ze spoluzakladatelů Marijke Hopman-Rock (www.eunaapa.eu), </w:t>
      </w:r>
      <w:r w:rsidRPr="00B52A8A">
        <w:rPr>
          <w:szCs w:val="24"/>
        </w:rPr>
        <w:t xml:space="preserve">EUNAAPA (EUropean Network for Action on Aeging and Physical Activity) je evropská organizace sdružující akademické pracovníky, lékaře, kteří mezi sebou spolupracují. Jejich cílem je zlepšit, zdraví, duševní pohodu </w:t>
      </w:r>
      <w:r w:rsidR="005C4CEC" w:rsidRPr="00B52A8A">
        <w:rPr>
          <w:szCs w:val="24"/>
        </w:rPr>
        <w:br/>
      </w:r>
      <w:r w:rsidRPr="00B52A8A">
        <w:rPr>
          <w:szCs w:val="24"/>
        </w:rPr>
        <w:t>a nezávislost starších lidí po celé Evropě. Tato organizace byla založena roku 2005. Iniciativními zakladateli byli Lis Puggaard, Ellen Freiberger a Marijke Hopman-Rock. EUNAAPA si určila své cíle a nyní se je snaží plnit pomocí svých projektů.</w:t>
      </w:r>
    </w:p>
    <w:p w:rsidR="00B60604" w:rsidRPr="00B52A8A" w:rsidRDefault="00B60604" w:rsidP="00B60604">
      <w:pPr>
        <w:rPr>
          <w:szCs w:val="24"/>
        </w:rPr>
      </w:pPr>
      <w:r w:rsidRPr="00B52A8A">
        <w:rPr>
          <w:szCs w:val="24"/>
        </w:rPr>
        <w:t xml:space="preserve">     Během nadcházejícího desetiletí musí evropské státy čelit prudkým demografickým změnám. Ve většině těchto evropských zemí množství starších lidí neustále zvětšuje, což má nesmírný dopad na společnost </w:t>
      </w:r>
      <w:r w:rsidR="005C4CEC" w:rsidRPr="00B52A8A">
        <w:rPr>
          <w:szCs w:val="24"/>
        </w:rPr>
        <w:br/>
      </w:r>
      <w:r w:rsidRPr="00B52A8A">
        <w:rPr>
          <w:szCs w:val="24"/>
        </w:rPr>
        <w:t>a to v mnoha ohledech. Ceny zdravotní péče a poskytované služby vzrostly, což sebou přináší i nutnou reorganizaci zdravotnického systému. A proto se velmi důležitým cílem stává snížení zdravotních problémů a jiných potíží seniorů. Fyzická aktivita, kterou EUNAAPA prosazuje je efektivní metoda jak tyto vzniklé narůstající náklady nezdravotní péči snižovat, neboť fyzická aktivita je způsob jak opět snižovat narůstající množství starší populace. EUNAAPA a její podpora zdraví přináší v Evropě mnoho užitku:</w:t>
      </w:r>
    </w:p>
    <w:p w:rsidR="00B60604" w:rsidRPr="00B52A8A" w:rsidRDefault="00B60604" w:rsidP="00B60604">
      <w:pPr>
        <w:rPr>
          <w:szCs w:val="24"/>
        </w:rPr>
      </w:pPr>
    </w:p>
    <w:p w:rsidR="00B60604" w:rsidRPr="00B52A8A" w:rsidRDefault="00B60604" w:rsidP="00D42B78">
      <w:pPr>
        <w:pStyle w:val="Odstavecseseznamem"/>
        <w:numPr>
          <w:ilvl w:val="0"/>
          <w:numId w:val="7"/>
        </w:numPr>
        <w:spacing w:after="200"/>
        <w:rPr>
          <w:szCs w:val="24"/>
        </w:rPr>
      </w:pPr>
      <w:r w:rsidRPr="00B52A8A">
        <w:rPr>
          <w:szCs w:val="24"/>
        </w:rPr>
        <w:t>Ve srovnání s podporou politiky zdravotnické oblasti je oblast vztahující se k tělesné aktivitě v Evropě ne dosud zcela sjednocená. EUNAAPA tímto poskytuje výměnný program politikům, obstaravatelům a specialistům a napomáhá tak ke sjednocení podpory rozvoje tělesné aktivity mezi staršími občany.</w:t>
      </w:r>
    </w:p>
    <w:p w:rsidR="00B60604" w:rsidRPr="00B52A8A" w:rsidRDefault="00B60604" w:rsidP="005C4CEC">
      <w:pPr>
        <w:pStyle w:val="Odstavecseseznamem"/>
        <w:numPr>
          <w:ilvl w:val="0"/>
          <w:numId w:val="7"/>
        </w:numPr>
        <w:spacing w:after="200"/>
        <w:rPr>
          <w:szCs w:val="24"/>
        </w:rPr>
      </w:pPr>
      <w:r w:rsidRPr="00B52A8A">
        <w:rPr>
          <w:szCs w:val="24"/>
        </w:rPr>
        <w:lastRenderedPageBreak/>
        <w:t xml:space="preserve">Fyzická aktivita je ovlivněna nejen propagací sportovní </w:t>
      </w:r>
      <w:r w:rsidR="005C4CEC" w:rsidRPr="00B52A8A">
        <w:rPr>
          <w:szCs w:val="24"/>
        </w:rPr>
        <w:br/>
      </w:r>
      <w:r w:rsidRPr="00B52A8A">
        <w:rPr>
          <w:szCs w:val="24"/>
        </w:rPr>
        <w:t xml:space="preserve">a zdravotní politiky, ale také ovlivňuje další oblasti politiky země jak oje oblast dopravy nebo rozvoje městské oblasti. EUNAAPA se snaží tuto situaci změnit a přimět zástupce těchto sektorů </w:t>
      </w:r>
      <w:r w:rsidR="005C4CEC" w:rsidRPr="00B52A8A">
        <w:rPr>
          <w:szCs w:val="24"/>
        </w:rPr>
        <w:br/>
      </w:r>
      <w:r w:rsidRPr="00B52A8A">
        <w:rPr>
          <w:szCs w:val="24"/>
        </w:rPr>
        <w:t>k většímu zájmu o potřeby starších lidí a poskytne podporu při hledání patřičných řešení.</w:t>
      </w:r>
    </w:p>
    <w:p w:rsidR="00B60604" w:rsidRPr="00B52A8A" w:rsidRDefault="00B60604" w:rsidP="00D42B78">
      <w:pPr>
        <w:pStyle w:val="Odstavecseseznamem"/>
        <w:numPr>
          <w:ilvl w:val="0"/>
          <w:numId w:val="7"/>
        </w:numPr>
        <w:spacing w:after="200"/>
        <w:rPr>
          <w:szCs w:val="24"/>
        </w:rPr>
      </w:pPr>
      <w:r w:rsidRPr="00B52A8A">
        <w:rPr>
          <w:szCs w:val="24"/>
        </w:rPr>
        <w:t>Současná zdravotní praxe se zaměřuje především na obyvatelstvo střední vrstvy a ignoruje námitky evropské populace seniorů. EUNAAPA přebírá evropské postupy a snaží se zdůraznit speciální potřeby starších občanů.</w:t>
      </w:r>
    </w:p>
    <w:p w:rsidR="00B60604" w:rsidRPr="00B52A8A" w:rsidRDefault="00B60604" w:rsidP="00B60604">
      <w:pPr>
        <w:rPr>
          <w:szCs w:val="24"/>
        </w:rPr>
      </w:pPr>
    </w:p>
    <w:p w:rsidR="005C4CEC" w:rsidRPr="00B52A8A" w:rsidRDefault="00B60604" w:rsidP="005C4CEC">
      <w:pPr>
        <w:rPr>
          <w:szCs w:val="24"/>
        </w:rPr>
      </w:pPr>
      <w:r w:rsidRPr="00B52A8A">
        <w:rPr>
          <w:szCs w:val="24"/>
        </w:rPr>
        <w:t xml:space="preserve">     Jejich hlavní vizí je zajistit starším občanům optimální zdraví pro zkvalitnění jejich života pomocí pohybové aktivity. Strategie k provedení tohoto cíle jsou založeny na prováděné pohybové aktivitě, která by měla zlepšit kvalitu jejich dosavadního života. EUNAAPA si zadala několik základních cílů své práce, které zahrnují:</w:t>
      </w:r>
    </w:p>
    <w:p w:rsidR="00B60604" w:rsidRPr="00B52A8A" w:rsidRDefault="00B60604" w:rsidP="005C4CEC">
      <w:pPr>
        <w:pStyle w:val="Odstavecseseznamem"/>
        <w:numPr>
          <w:ilvl w:val="0"/>
          <w:numId w:val="6"/>
        </w:numPr>
        <w:spacing w:before="240" w:after="200"/>
        <w:rPr>
          <w:szCs w:val="24"/>
        </w:rPr>
      </w:pPr>
      <w:r w:rsidRPr="00B52A8A">
        <w:rPr>
          <w:szCs w:val="24"/>
        </w:rPr>
        <w:t>Identifikovat, rozšířit a podpořit praktické provozování fyzické aktivity pro starší populaci</w:t>
      </w:r>
    </w:p>
    <w:p w:rsidR="00B60604" w:rsidRPr="00B52A8A" w:rsidRDefault="00B60604" w:rsidP="00D42B78">
      <w:pPr>
        <w:pStyle w:val="Odstavecseseznamem"/>
        <w:numPr>
          <w:ilvl w:val="0"/>
          <w:numId w:val="6"/>
        </w:numPr>
        <w:spacing w:after="200"/>
        <w:rPr>
          <w:szCs w:val="24"/>
        </w:rPr>
      </w:pPr>
      <w:r w:rsidRPr="00B52A8A">
        <w:rPr>
          <w:szCs w:val="24"/>
        </w:rPr>
        <w:t>Zvolit či zlepšit směrnice pro fyzickou aktivitu v období stárnutí</w:t>
      </w:r>
    </w:p>
    <w:p w:rsidR="00B60604" w:rsidRPr="00B52A8A" w:rsidRDefault="00B60604" w:rsidP="00D42B78">
      <w:pPr>
        <w:pStyle w:val="Odstavecseseznamem"/>
        <w:numPr>
          <w:ilvl w:val="0"/>
          <w:numId w:val="6"/>
        </w:numPr>
        <w:spacing w:after="200"/>
        <w:rPr>
          <w:szCs w:val="24"/>
        </w:rPr>
      </w:pPr>
      <w:r w:rsidRPr="00B52A8A">
        <w:rPr>
          <w:szCs w:val="24"/>
        </w:rPr>
        <w:t>Poskytovat informace a vynaložit své rady pro zástupce politické sféry, poskytovatele a profesionální pracovníky v oblasti stárnutí, fyzické aktivity a zdraví.</w:t>
      </w:r>
    </w:p>
    <w:p w:rsidR="00B60604" w:rsidRPr="00B52A8A" w:rsidRDefault="00B60604" w:rsidP="00D42B78">
      <w:pPr>
        <w:pStyle w:val="Odstavecseseznamem"/>
        <w:numPr>
          <w:ilvl w:val="0"/>
          <w:numId w:val="6"/>
        </w:numPr>
        <w:spacing w:after="200"/>
        <w:rPr>
          <w:szCs w:val="24"/>
        </w:rPr>
      </w:pPr>
      <w:r w:rsidRPr="00B52A8A">
        <w:rPr>
          <w:szCs w:val="24"/>
        </w:rPr>
        <w:t>Ovlivnit rozvoj vzdělávacích osnov, kompetencí, nařízení pro speciální pracovníky v oblasti fyzické aktivity starší populace.</w:t>
      </w:r>
    </w:p>
    <w:p w:rsidR="00B60604" w:rsidRPr="00B52A8A" w:rsidRDefault="00B60604" w:rsidP="00D42B78">
      <w:pPr>
        <w:pStyle w:val="Odstavecseseznamem"/>
        <w:numPr>
          <w:ilvl w:val="0"/>
          <w:numId w:val="6"/>
        </w:numPr>
        <w:spacing w:after="200"/>
        <w:rPr>
          <w:szCs w:val="24"/>
        </w:rPr>
      </w:pPr>
      <w:r w:rsidRPr="00B52A8A">
        <w:rPr>
          <w:szCs w:val="24"/>
        </w:rPr>
        <w:t>Rozšířit synergie výzkumníků, zajišťovatelů, profesionálních pracovníků ve sféře zdraví, fyzické aktivity a stárnutí.</w:t>
      </w:r>
    </w:p>
    <w:p w:rsidR="00B60604" w:rsidRPr="00B52A8A" w:rsidRDefault="00B60604" w:rsidP="00D42B78">
      <w:pPr>
        <w:pStyle w:val="Odstavecseseznamem"/>
        <w:numPr>
          <w:ilvl w:val="0"/>
          <w:numId w:val="6"/>
        </w:numPr>
        <w:spacing w:after="200"/>
        <w:rPr>
          <w:szCs w:val="24"/>
        </w:rPr>
      </w:pPr>
      <w:r w:rsidRPr="00B52A8A">
        <w:rPr>
          <w:szCs w:val="24"/>
        </w:rPr>
        <w:t>Podpořit politiku a přístup jednotlivých sektorů pro propagaci fyzické aktivity mezi staršími lidmi.</w:t>
      </w:r>
    </w:p>
    <w:p w:rsidR="00B60604" w:rsidRPr="00B52A8A" w:rsidRDefault="00B60604" w:rsidP="00D42B78">
      <w:pPr>
        <w:pStyle w:val="Odstavecseseznamem"/>
        <w:numPr>
          <w:ilvl w:val="0"/>
          <w:numId w:val="6"/>
        </w:numPr>
        <w:spacing w:after="200"/>
        <w:rPr>
          <w:szCs w:val="24"/>
        </w:rPr>
      </w:pPr>
      <w:r w:rsidRPr="00B52A8A">
        <w:rPr>
          <w:szCs w:val="24"/>
        </w:rPr>
        <w:t>Začlenit starší občany do rozvoje a realizace aktivit organizace.</w:t>
      </w:r>
    </w:p>
    <w:p w:rsidR="00B60604" w:rsidRPr="00B52A8A" w:rsidRDefault="00B60604" w:rsidP="00B60604">
      <w:pPr>
        <w:rPr>
          <w:szCs w:val="24"/>
        </w:rPr>
      </w:pPr>
      <w:r w:rsidRPr="00B52A8A">
        <w:rPr>
          <w:szCs w:val="24"/>
        </w:rPr>
        <w:lastRenderedPageBreak/>
        <w:t xml:space="preserve">     Aktivity, kterými se EUNAAPA snaží podpořit a dosáhnout svých cílů, se různí. Je to např. zlepšení komunikace jednotlivých pracovníků evropských států pracujících v oblasti tělesné pohybové aktivity </w:t>
      </w:r>
      <w:r w:rsidR="005C4CEC" w:rsidRPr="00B52A8A">
        <w:rPr>
          <w:szCs w:val="24"/>
        </w:rPr>
        <w:br/>
      </w:r>
      <w:r w:rsidRPr="00B52A8A">
        <w:rPr>
          <w:szCs w:val="24"/>
        </w:rPr>
        <w:t xml:space="preserve">a stárnutí a to prostřednictvím osobních setkání, schůzek, webových stránek aj. Dále EUNAAPA žádá a uskutečňuje projekty, které zapadají do oblasti a zájmů organizace. Snaží se také rozšiřovat znalosti, strategie prostřednictvím nejlepších odborných studií, publikací </w:t>
      </w:r>
      <w:r w:rsidR="005C4CEC" w:rsidRPr="00B52A8A">
        <w:rPr>
          <w:szCs w:val="24"/>
        </w:rPr>
        <w:br/>
      </w:r>
      <w:r w:rsidRPr="00B52A8A">
        <w:rPr>
          <w:szCs w:val="24"/>
        </w:rPr>
        <w:t xml:space="preserve">a presentací. EUNAAPA se tedy snaží nejen o komunikaci a spojení odborníků, ale také uskutečnit projekty v oboru tělesné aktivity </w:t>
      </w:r>
      <w:r w:rsidR="005C4CEC" w:rsidRPr="00B52A8A">
        <w:rPr>
          <w:szCs w:val="24"/>
        </w:rPr>
        <w:br/>
      </w:r>
      <w:r w:rsidRPr="00B52A8A">
        <w:rPr>
          <w:szCs w:val="24"/>
        </w:rPr>
        <w:t>a stárnutí.</w:t>
      </w:r>
    </w:p>
    <w:p w:rsidR="00B60604" w:rsidRPr="00B52A8A" w:rsidRDefault="00B60604" w:rsidP="00B60604">
      <w:pPr>
        <w:ind w:firstLine="360"/>
        <w:rPr>
          <w:sz w:val="26"/>
          <w:szCs w:val="26"/>
        </w:rPr>
      </w:pPr>
    </w:p>
    <w:p w:rsidR="00B60604" w:rsidRPr="00B52A8A" w:rsidRDefault="00477C4B" w:rsidP="00431C63">
      <w:pPr>
        <w:pStyle w:val="P-nadpis3"/>
      </w:pPr>
      <w:bookmarkStart w:id="73" w:name="_Toc293057977"/>
      <w:bookmarkStart w:id="74" w:name="_Toc293153745"/>
      <w:r w:rsidRPr="00B52A8A">
        <w:t>2.4.2 Charta OSN pro seniory</w:t>
      </w:r>
      <w:bookmarkEnd w:id="73"/>
      <w:bookmarkEnd w:id="74"/>
    </w:p>
    <w:p w:rsidR="00477C4B" w:rsidRPr="00B52A8A" w:rsidRDefault="00477C4B" w:rsidP="00477C4B">
      <w:pPr>
        <w:ind w:firstLine="284"/>
      </w:pPr>
      <w:r w:rsidRPr="00B52A8A">
        <w:t>Dne 16. prosince 1991 byly Valným shromážděním OSN přijaty zásady pro seniory. Vlády jsou vyzývány k tomu, aby tyto zásady včlenily do svých národních programů, kdykoli je to možné. Ministerstvo práce a sociálních věcí (www.mpsv.cz) uvádí následující hlavní myšlenky zásad:</w:t>
      </w:r>
    </w:p>
    <w:p w:rsidR="00477C4B" w:rsidRPr="00B52A8A" w:rsidRDefault="00477C4B" w:rsidP="00477C4B">
      <w:pPr>
        <w:pStyle w:val="Odstavecseseznamem"/>
        <w:numPr>
          <w:ilvl w:val="0"/>
          <w:numId w:val="28"/>
        </w:numPr>
        <w:rPr>
          <w:b/>
        </w:rPr>
      </w:pPr>
      <w:r w:rsidRPr="00B52A8A">
        <w:rPr>
          <w:b/>
        </w:rPr>
        <w:t>Nezávislost</w:t>
      </w:r>
    </w:p>
    <w:p w:rsidR="00477C4B" w:rsidRPr="00B52A8A" w:rsidRDefault="00477C4B" w:rsidP="005C4CEC">
      <w:pPr>
        <w:ind w:firstLine="360"/>
      </w:pPr>
      <w:r w:rsidRPr="00B52A8A">
        <w:t>Senioři by měli mít přístup k odpovídající stravě, vodě, obydlí, oděvu a zdravotní péči na základě zajištění příjmu, podpory rodiny a společnosti a svépomoci; mít příležitost pracovat nebo mít přístup k jiným příležitostem zajišťujícím příjem; mít možnost účastnit se rozhodování, kdy a jak rychle bude probíhat jejich odchod z pracovního života; mít přístup k odpovídajícím vzdělávacím a výcvikovým programům; žít v prostředí, které je bezpečné a přizpůsobitelné osobním preferencím a měnícím se schopnostem; žít ve svém domově, jak nejdéle je to možné.</w:t>
      </w:r>
    </w:p>
    <w:p w:rsidR="005C4CEC" w:rsidRPr="00B52A8A" w:rsidRDefault="005C4CEC" w:rsidP="00477C4B"/>
    <w:p w:rsidR="005C4CEC" w:rsidRPr="00B52A8A" w:rsidRDefault="005C4CEC" w:rsidP="00477C4B"/>
    <w:p w:rsidR="00477C4B" w:rsidRPr="00B52A8A" w:rsidRDefault="00477C4B" w:rsidP="00477C4B">
      <w:pPr>
        <w:pStyle w:val="Odstavecseseznamem"/>
        <w:numPr>
          <w:ilvl w:val="0"/>
          <w:numId w:val="28"/>
        </w:numPr>
        <w:rPr>
          <w:b/>
        </w:rPr>
      </w:pPr>
      <w:r w:rsidRPr="00B52A8A">
        <w:rPr>
          <w:b/>
        </w:rPr>
        <w:lastRenderedPageBreak/>
        <w:t>Zařazení do společnosti</w:t>
      </w:r>
    </w:p>
    <w:p w:rsidR="00477C4B" w:rsidRPr="00B52A8A" w:rsidRDefault="00477C4B" w:rsidP="005C4CEC">
      <w:pPr>
        <w:ind w:firstLine="360"/>
      </w:pPr>
      <w:r w:rsidRPr="00B52A8A">
        <w:t>Senioři by měli zůstat zařazeni do společnosti, zúčastňovat se aktivně formulování a realizace politik, které přímo ovlivňují jejich blaho, a podílet se o své znalosti a schopnosti s mladšími generacemi; mít možnost hledat a rozvíjet příležitosti pro služby občanské společnosti a pracovat jako dobrovolníci na místech odpovídajících jejich zájmům a schopnostem;</w:t>
      </w:r>
      <w:r w:rsidR="005C4CEC" w:rsidRPr="00B52A8A">
        <w:t xml:space="preserve"> </w:t>
      </w:r>
      <w:r w:rsidRPr="00B52A8A">
        <w:t>mít možnost vytvářet hnutí nebo asociace starých lidí.</w:t>
      </w:r>
    </w:p>
    <w:p w:rsidR="00477C4B" w:rsidRPr="00B52A8A" w:rsidRDefault="00477C4B" w:rsidP="00477C4B">
      <w:pPr>
        <w:pStyle w:val="Odstavecseseznamem"/>
        <w:numPr>
          <w:ilvl w:val="0"/>
          <w:numId w:val="28"/>
        </w:numPr>
        <w:rPr>
          <w:b/>
        </w:rPr>
      </w:pPr>
      <w:r w:rsidRPr="00B52A8A">
        <w:rPr>
          <w:b/>
        </w:rPr>
        <w:t>Péče</w:t>
      </w:r>
    </w:p>
    <w:p w:rsidR="00477C4B" w:rsidRPr="00B52A8A" w:rsidRDefault="00477C4B" w:rsidP="005C4CEC">
      <w:pPr>
        <w:ind w:firstLine="360"/>
      </w:pPr>
      <w:r w:rsidRPr="00B52A8A">
        <w:t>Senioři by měli mít užitek z rodinné péče a  péče a ochrany společnosti v souladu se systémem kulturních hodnot každé společnosti; mít přístup ke zdravotní péči, která by jim pomohla udržet nebo nabýt optimální úroveň tělesného, duševního a emočního zdraví a zabránit nebo zpozdit propuknutí nemoci; měli mít přístup k sociálním a právnickým službám, které by rozšířily jejich autonomii, ochranu a péči o ně; mít možnost využívat odpovídající úroveň institucionální péče zajišťující ochranu, rehabilitaci, sociální a duševní stimulaci v humánním a bezpečném prostředí; požívat lidských práv a základních svobod, až žijí v jakémkoli obydlí, zařízení sociální péče nebo léčebném zařízení, což zahrnuje i respektování jejich důstojnosti, víry, potřeb a soukromí a práv činit rozhodnutí o péči o ně a o kvalitě jejich života.</w:t>
      </w:r>
    </w:p>
    <w:p w:rsidR="00477C4B" w:rsidRPr="00B52A8A" w:rsidRDefault="00477C4B" w:rsidP="00477C4B">
      <w:pPr>
        <w:pStyle w:val="Odstavecseseznamem"/>
        <w:numPr>
          <w:ilvl w:val="0"/>
          <w:numId w:val="28"/>
        </w:numPr>
        <w:rPr>
          <w:b/>
        </w:rPr>
      </w:pPr>
      <w:r w:rsidRPr="00B52A8A">
        <w:rPr>
          <w:b/>
        </w:rPr>
        <w:t>Seberealizace</w:t>
      </w:r>
    </w:p>
    <w:p w:rsidR="00477C4B" w:rsidRPr="00B52A8A" w:rsidRDefault="00477C4B" w:rsidP="005C4CEC">
      <w:pPr>
        <w:ind w:firstLine="360"/>
      </w:pPr>
      <w:r w:rsidRPr="00B52A8A">
        <w:t xml:space="preserve">Senioři by měli mít možnost využívat příležitosti k plnému rozvoji svých schopností; mít přístup ke vzdělávacím, kulturním, duchovním a rekreačním zdrojům společnosti. </w:t>
      </w:r>
    </w:p>
    <w:p w:rsidR="00477C4B" w:rsidRPr="00B52A8A" w:rsidRDefault="00477C4B" w:rsidP="00477C4B">
      <w:pPr>
        <w:pStyle w:val="Odstavecseseznamem"/>
        <w:numPr>
          <w:ilvl w:val="0"/>
          <w:numId w:val="28"/>
        </w:numPr>
        <w:rPr>
          <w:b/>
        </w:rPr>
      </w:pPr>
      <w:r w:rsidRPr="00B52A8A">
        <w:rPr>
          <w:b/>
        </w:rPr>
        <w:t>Důstojnost</w:t>
      </w:r>
    </w:p>
    <w:p w:rsidR="00477C4B" w:rsidRPr="00B52A8A" w:rsidRDefault="00477C4B" w:rsidP="005C4CEC">
      <w:pPr>
        <w:ind w:firstLine="360"/>
      </w:pPr>
      <w:r w:rsidRPr="00B52A8A">
        <w:t xml:space="preserve">Senioři by měli žít v důstojnosti a bezpečí a nemělo by být využíváno jejich tělesné nebo duševní závislosti; Se seniory by mělo být dobře </w:t>
      </w:r>
      <w:r w:rsidRPr="00B52A8A">
        <w:lastRenderedPageBreak/>
        <w:t>zacházeno bez ohledu na jejich věk, pohlaví, rasovou nebo etnickou příslušnost, postižení a další stav, a měli by být hodnoceni nezávisle na jejich ekonomickém přínosu.</w:t>
      </w:r>
    </w:p>
    <w:p w:rsidR="00B60604" w:rsidRPr="00B52A8A" w:rsidRDefault="00B60604" w:rsidP="00477C4B">
      <w:pPr>
        <w:rPr>
          <w:b/>
          <w:sz w:val="28"/>
          <w:szCs w:val="28"/>
        </w:rPr>
      </w:pPr>
    </w:p>
    <w:p w:rsidR="00B60604" w:rsidRPr="00B52A8A" w:rsidRDefault="00477C4B" w:rsidP="00B60604">
      <w:pPr>
        <w:pStyle w:val="P-nadpis3"/>
        <w:spacing w:after="240"/>
      </w:pPr>
      <w:bookmarkStart w:id="75" w:name="_Toc239411407"/>
      <w:bookmarkStart w:id="76" w:name="_Toc293057978"/>
      <w:bookmarkStart w:id="77" w:name="_Toc293153746"/>
      <w:r w:rsidRPr="00B52A8A">
        <w:t>2.4.3</w:t>
      </w:r>
      <w:r w:rsidR="00B60604" w:rsidRPr="00B52A8A">
        <w:t xml:space="preserve"> Národní program přípravy na stárnutí na období let 2008 až</w:t>
      </w:r>
      <w:r w:rsidR="005C4CEC" w:rsidRPr="00B52A8A">
        <w:br/>
        <w:t xml:space="preserve">          </w:t>
      </w:r>
      <w:r w:rsidR="00B60604" w:rsidRPr="00B52A8A">
        <w:t>2012 (kvalita života ve stáří)</w:t>
      </w:r>
      <w:bookmarkEnd w:id="75"/>
      <w:bookmarkEnd w:id="76"/>
      <w:bookmarkEnd w:id="77"/>
    </w:p>
    <w:p w:rsidR="00B60604" w:rsidRPr="00B52A8A" w:rsidRDefault="00B60604" w:rsidP="00B60604">
      <w:pPr>
        <w:pStyle w:val="P-text"/>
        <w:ind w:firstLine="0"/>
      </w:pPr>
      <w:r w:rsidRPr="00B52A8A">
        <w:t xml:space="preserve">     Ministerstvo práce a sociálních věcí (www.mpsv.cz) presentuje politiku přípravy na stárnutí, se snaží reagovat na dva základní požadavky a to je začlenit starší osoby do sociálního a ekonomického rozvoje, dále přizpůsobit důchodovou politiku, politiku zaměstnanosti </w:t>
      </w:r>
      <w:r w:rsidR="005C4CEC" w:rsidRPr="00B52A8A">
        <w:br/>
      </w:r>
      <w:r w:rsidRPr="00B52A8A">
        <w:t xml:space="preserve">a služby nadcházejícím sociálním a demografickým změnám. Tento národní program klade důraz na lidská práva, problematiku stárnutí </w:t>
      </w:r>
      <w:r w:rsidR="005C4CEC" w:rsidRPr="00B52A8A">
        <w:br/>
      </w:r>
      <w:r w:rsidRPr="00B52A8A">
        <w:t>a s ním spojený celoživotní přístup ke stárnutí a zdraví, mezigenerační vztahy, rodinu. Zvýšená pozornost je věnovaná menšinám seniorů (zdravotně postiženým, trpícím demencí, duševně nemocným, z etnických menšin) a respektování rozdílů mezi venkovem a městem. Cílem programu je vytvořit společnost připravenou na stárnutí bez diskriminace založené na věku a naopak poukázat na přínos, potenciál a pozitivní roli starších lidí ve společnosti a projevit jim podporu.</w:t>
      </w:r>
    </w:p>
    <w:p w:rsidR="00B60604" w:rsidRPr="00B52A8A" w:rsidRDefault="00B60604" w:rsidP="00361571">
      <w:pPr>
        <w:pStyle w:val="Normlnweb"/>
        <w:spacing w:line="360" w:lineRule="auto"/>
        <w:ind w:left="708"/>
        <w:rPr>
          <w:rFonts w:ascii="Bookman Old Style" w:hAnsi="Bookman Old Style"/>
        </w:rPr>
      </w:pPr>
      <w:r w:rsidRPr="00B52A8A">
        <w:rPr>
          <w:rFonts w:ascii="Bookman Old Style" w:hAnsi="Bookman Old Style"/>
        </w:rPr>
        <w:t>„Tento program stanovuje základní předpoklady pro to, abychom vytvořili podpůrné, integrující a vstřícné prostředí pro sebe i pro druhé. Jeho cílem je podpořit solidarit</w:t>
      </w:r>
      <w:r w:rsidR="005C4CEC" w:rsidRPr="00B52A8A">
        <w:rPr>
          <w:rFonts w:ascii="Bookman Old Style" w:hAnsi="Bookman Old Style"/>
        </w:rPr>
        <w:t xml:space="preserve">u a soudržnost mezi generacemi </w:t>
      </w:r>
      <w:r w:rsidRPr="00B52A8A">
        <w:rPr>
          <w:rFonts w:ascii="Bookman Old Style" w:hAnsi="Bookman Old Style"/>
        </w:rPr>
        <w:t xml:space="preserve">a zájem o situaci, těžkosti a preference starších lidí v České republice, zvýšit subjektivní a objektivní bezpečí </w:t>
      </w:r>
      <w:r w:rsidR="005C4CEC" w:rsidRPr="00B52A8A">
        <w:rPr>
          <w:rFonts w:ascii="Bookman Old Style" w:hAnsi="Bookman Old Style"/>
        </w:rPr>
        <w:br/>
      </w:r>
      <w:r w:rsidRPr="00B52A8A">
        <w:rPr>
          <w:rFonts w:ascii="Bookman Old Style" w:hAnsi="Bookman Old Style"/>
        </w:rPr>
        <w:t xml:space="preserve">a ochránit práva zranitelných skupin starých lidí. Program navazuje na Národní program přípravy na stárnutí na období let 2003 až 2007 a na zkušenosti s jeho realizací. Stanovuje priority a opatření na pět let. V roce 2012 bude vyhodnocen a revidován. </w:t>
      </w:r>
      <w:r w:rsidRPr="00B52A8A">
        <w:rPr>
          <w:rFonts w:ascii="Bookman Old Style" w:hAnsi="Bookman Old Style"/>
        </w:rPr>
        <w:lastRenderedPageBreak/>
        <w:t>Stanovené základní prioritní směry by však měly mít dlouhodobější platnost“ (podle www.mpsv.cz).</w:t>
      </w:r>
    </w:p>
    <w:p w:rsidR="00B60604" w:rsidRPr="00B52A8A" w:rsidRDefault="00B60604" w:rsidP="00B60604">
      <w:pPr>
        <w:pStyle w:val="Normlnweb"/>
        <w:spacing w:line="360" w:lineRule="auto"/>
        <w:rPr>
          <w:rFonts w:ascii="Bookman Old Style" w:hAnsi="Bookman Old Style"/>
        </w:rPr>
      </w:pPr>
      <w:r w:rsidRPr="00B52A8A">
        <w:rPr>
          <w:rFonts w:ascii="Bookman Old Style" w:hAnsi="Bookman Old Style"/>
        </w:rPr>
        <w:t>Základní principy, které Národní program zdůrazňuje, jsou:</w:t>
      </w:r>
    </w:p>
    <w:p w:rsidR="005C4CEC" w:rsidRPr="00B52A8A" w:rsidRDefault="00B60604" w:rsidP="005C4CEC">
      <w:pPr>
        <w:pStyle w:val="Normlnweb"/>
        <w:numPr>
          <w:ilvl w:val="0"/>
          <w:numId w:val="9"/>
        </w:numPr>
        <w:spacing w:before="0" w:beforeAutospacing="0" w:after="0" w:afterAutospacing="0" w:line="360" w:lineRule="auto"/>
      </w:pPr>
      <w:r w:rsidRPr="00B52A8A">
        <w:rPr>
          <w:rFonts w:ascii="Bookman Old Style" w:hAnsi="Bookman Old Style"/>
        </w:rPr>
        <w:t>Celoživotní přístup – prevence a kompenzace v kritických fázích života a potřeby starších lidí v oblastech zdraví, vzdělávání, zaměstnanosti, bydlení</w:t>
      </w:r>
      <w:r w:rsidR="005C4CEC" w:rsidRPr="00B52A8A">
        <w:rPr>
          <w:rFonts w:ascii="Bookman Old Style" w:hAnsi="Bookman Old Style"/>
        </w:rPr>
        <w:t>.</w:t>
      </w:r>
    </w:p>
    <w:p w:rsidR="00B60604" w:rsidRPr="00B52A8A" w:rsidRDefault="00B60604" w:rsidP="005C4CEC">
      <w:pPr>
        <w:pStyle w:val="Normlnweb"/>
        <w:numPr>
          <w:ilvl w:val="0"/>
          <w:numId w:val="9"/>
        </w:numPr>
        <w:spacing w:before="0" w:beforeAutospacing="0" w:after="0" w:afterAutospacing="0" w:line="360" w:lineRule="auto"/>
      </w:pPr>
      <w:r w:rsidRPr="00B52A8A">
        <w:rPr>
          <w:rFonts w:ascii="Bookman Old Style" w:hAnsi="Bookman Old Style"/>
        </w:rPr>
        <w:t>Partnerství vlády a samosprávy – vytvo</w:t>
      </w:r>
      <w:r w:rsidR="005C4CEC" w:rsidRPr="00B52A8A">
        <w:rPr>
          <w:rFonts w:ascii="Bookman Old Style" w:hAnsi="Bookman Old Style"/>
        </w:rPr>
        <w:t xml:space="preserve">řit podmínky pro aktivní stáří </w:t>
      </w:r>
      <w:r w:rsidRPr="00B52A8A">
        <w:rPr>
          <w:rFonts w:ascii="Bookman Old Style" w:hAnsi="Bookman Old Style"/>
        </w:rPr>
        <w:t>a zvýšit kvalitu kulturní, sociální a zdravotní oblasti.</w:t>
      </w:r>
    </w:p>
    <w:p w:rsidR="00B60604" w:rsidRPr="00B52A8A" w:rsidRDefault="00B60604" w:rsidP="005C4CEC">
      <w:pPr>
        <w:pStyle w:val="Normlnweb"/>
        <w:numPr>
          <w:ilvl w:val="0"/>
          <w:numId w:val="9"/>
        </w:numPr>
        <w:spacing w:before="0" w:beforeAutospacing="0" w:after="0" w:afterAutospacing="0" w:line="360" w:lineRule="auto"/>
      </w:pPr>
      <w:r w:rsidRPr="00B52A8A">
        <w:rPr>
          <w:rFonts w:ascii="Bookman Old Style" w:hAnsi="Bookman Old Style"/>
        </w:rPr>
        <w:t>Mezigenerační vztahy a soudržnost – zvýšit soudržnost a odstranit věkové bariéry v prospěch společnosti a věnovat pozornost znevýhodněným a zranitelným skupinám.</w:t>
      </w:r>
    </w:p>
    <w:p w:rsidR="00B60604" w:rsidRPr="00B52A8A" w:rsidRDefault="00B60604" w:rsidP="005C4CEC">
      <w:pPr>
        <w:pStyle w:val="Normlnweb"/>
        <w:numPr>
          <w:ilvl w:val="0"/>
          <w:numId w:val="9"/>
        </w:numPr>
        <w:spacing w:before="0" w:beforeAutospacing="0" w:after="0" w:afterAutospacing="0" w:line="360" w:lineRule="auto"/>
        <w:rPr>
          <w:rFonts w:ascii="Bookman Old Style" w:hAnsi="Bookman Old Style"/>
        </w:rPr>
      </w:pPr>
      <w:r w:rsidRPr="00B52A8A">
        <w:rPr>
          <w:rFonts w:ascii="Bookman Old Style" w:hAnsi="Bookman Old Style"/>
        </w:rPr>
        <w:t xml:space="preserve">Genderový přístup – zohlednit převažující počet starších žen </w:t>
      </w:r>
      <w:r w:rsidRPr="00B52A8A">
        <w:rPr>
          <w:rFonts w:ascii="Bookman Old Style" w:hAnsi="Bookman Old Style"/>
        </w:rPr>
        <w:br/>
        <w:t xml:space="preserve">a rozdílných potřeb, rizik a specifik mužů a </w:t>
      </w:r>
      <w:r w:rsidR="005C4CEC" w:rsidRPr="00B52A8A">
        <w:rPr>
          <w:rFonts w:ascii="Bookman Old Style" w:hAnsi="Bookman Old Style"/>
        </w:rPr>
        <w:t>žen v různých oblastech života.</w:t>
      </w:r>
    </w:p>
    <w:p w:rsidR="00B60604" w:rsidRPr="00B52A8A" w:rsidRDefault="00B60604" w:rsidP="005C4CEC">
      <w:pPr>
        <w:pStyle w:val="Normlnweb"/>
        <w:numPr>
          <w:ilvl w:val="0"/>
          <w:numId w:val="9"/>
        </w:numPr>
        <w:spacing w:before="0" w:beforeAutospacing="0" w:after="0" w:afterAutospacing="0" w:line="360" w:lineRule="auto"/>
        <w:rPr>
          <w:rFonts w:ascii="Bookman Old Style" w:hAnsi="Bookman Old Style"/>
        </w:rPr>
      </w:pPr>
      <w:r w:rsidRPr="00B52A8A">
        <w:rPr>
          <w:rFonts w:ascii="Bookman Old Style" w:hAnsi="Bookman Old Style"/>
        </w:rPr>
        <w:t xml:space="preserve">Dialog s občanskou společností a sociálními partnery – zapojení všech sociálních partnerů, ke zlepšení situace starších osob </w:t>
      </w:r>
      <w:r w:rsidR="005C4CEC" w:rsidRPr="00B52A8A">
        <w:rPr>
          <w:rFonts w:ascii="Bookman Old Style" w:hAnsi="Bookman Old Style"/>
        </w:rPr>
        <w:br/>
      </w:r>
      <w:r w:rsidRPr="00B52A8A">
        <w:rPr>
          <w:rFonts w:ascii="Bookman Old Style" w:hAnsi="Bookman Old Style"/>
        </w:rPr>
        <w:t>a jejich zapojení do řešení otázek, které se jich dotýkají.</w:t>
      </w:r>
    </w:p>
    <w:p w:rsidR="005C4CEC" w:rsidRPr="00B52A8A" w:rsidRDefault="00B60604" w:rsidP="005C4CEC">
      <w:pPr>
        <w:pStyle w:val="Normlnweb"/>
        <w:numPr>
          <w:ilvl w:val="0"/>
          <w:numId w:val="8"/>
        </w:numPr>
        <w:spacing w:before="0" w:beforeAutospacing="0" w:after="0" w:afterAutospacing="0" w:line="360" w:lineRule="auto"/>
        <w:rPr>
          <w:rFonts w:ascii="Bookman Old Style" w:hAnsi="Bookman Old Style"/>
        </w:rPr>
      </w:pPr>
      <w:r w:rsidRPr="00B52A8A">
        <w:rPr>
          <w:rFonts w:ascii="Bookman Old Style" w:hAnsi="Bookman Old Style"/>
        </w:rPr>
        <w:t xml:space="preserve">Odpovědnost jednotlivce a společnosti – poskytnout rovné šance lidem každého věku a přebírat odpovědnost za přístup k životu </w:t>
      </w:r>
      <w:r w:rsidR="005C4CEC" w:rsidRPr="00B52A8A">
        <w:rPr>
          <w:rFonts w:ascii="Bookman Old Style" w:hAnsi="Bookman Old Style"/>
        </w:rPr>
        <w:br/>
      </w:r>
      <w:r w:rsidRPr="00B52A8A">
        <w:rPr>
          <w:rFonts w:ascii="Bookman Old Style" w:hAnsi="Bookman Old Style"/>
        </w:rPr>
        <w:t>a k sobě samému.</w:t>
      </w:r>
    </w:p>
    <w:p w:rsidR="00B60604" w:rsidRPr="00B52A8A" w:rsidRDefault="00B60604" w:rsidP="005C4CEC">
      <w:pPr>
        <w:pStyle w:val="Normlnweb"/>
        <w:numPr>
          <w:ilvl w:val="0"/>
          <w:numId w:val="8"/>
        </w:numPr>
        <w:spacing w:before="0" w:beforeAutospacing="0" w:after="0" w:afterAutospacing="0" w:line="360" w:lineRule="auto"/>
        <w:rPr>
          <w:rFonts w:ascii="Bookman Old Style" w:hAnsi="Bookman Old Style"/>
        </w:rPr>
      </w:pPr>
      <w:r w:rsidRPr="00B52A8A">
        <w:rPr>
          <w:rFonts w:ascii="Bookman Old Style" w:hAnsi="Bookman Old Style"/>
        </w:rPr>
        <w:t>Snižování sociálních a geografických rozdílů – usilovat o snížení rozdílů v dostupnosti a kvalitě služeb, tako rozdílům územním mezi venkovem a městy.</w:t>
      </w:r>
    </w:p>
    <w:p w:rsidR="00B60604" w:rsidRPr="00B52A8A" w:rsidRDefault="00B60604" w:rsidP="00361571">
      <w:pPr>
        <w:pStyle w:val="Normlnweb"/>
        <w:numPr>
          <w:ilvl w:val="0"/>
          <w:numId w:val="8"/>
        </w:numPr>
        <w:spacing w:after="0" w:afterAutospacing="0" w:line="360" w:lineRule="auto"/>
        <w:rPr>
          <w:rFonts w:ascii="Bookman Old Style" w:hAnsi="Bookman Old Style"/>
        </w:rPr>
      </w:pPr>
      <w:r w:rsidRPr="00B52A8A">
        <w:rPr>
          <w:rFonts w:ascii="Bookman Old Style" w:hAnsi="Bookman Old Style"/>
        </w:rPr>
        <w:t xml:space="preserve">Politika podložená důkazy – v různých oblastech služeb, zdravotní péče aj. vycházet z výsledků </w:t>
      </w:r>
      <w:r w:rsidR="005C4CEC" w:rsidRPr="00B52A8A">
        <w:rPr>
          <w:rFonts w:ascii="Bookman Old Style" w:hAnsi="Bookman Old Style"/>
        </w:rPr>
        <w:t>výzkumu a podložených poznatků.</w:t>
      </w:r>
    </w:p>
    <w:p w:rsidR="00B60604" w:rsidRPr="00B52A8A" w:rsidRDefault="00B60604" w:rsidP="005C4CEC">
      <w:pPr>
        <w:pStyle w:val="Normlnweb"/>
        <w:numPr>
          <w:ilvl w:val="0"/>
          <w:numId w:val="8"/>
        </w:numPr>
        <w:spacing w:after="0" w:afterAutospacing="0" w:line="360" w:lineRule="auto"/>
        <w:rPr>
          <w:rFonts w:ascii="Bookman Old Style" w:hAnsi="Bookman Old Style"/>
        </w:rPr>
      </w:pPr>
      <w:r w:rsidRPr="00B52A8A">
        <w:rPr>
          <w:rFonts w:ascii="Bookman Old Style" w:hAnsi="Bookman Old Style"/>
        </w:rPr>
        <w:t>Důstojnost – zajistit právo na svobodnou volbu, seberealizaci, uspokojení potřeb jednotlivce a podporu aktivní nezávislosti.</w:t>
      </w:r>
    </w:p>
    <w:p w:rsidR="00B60604" w:rsidRPr="00B52A8A" w:rsidRDefault="00B60604" w:rsidP="005C4CEC">
      <w:pPr>
        <w:pStyle w:val="Normlnweb"/>
        <w:numPr>
          <w:ilvl w:val="0"/>
          <w:numId w:val="8"/>
        </w:numPr>
        <w:spacing w:after="0" w:afterAutospacing="0" w:line="360" w:lineRule="auto"/>
        <w:rPr>
          <w:rFonts w:ascii="Bookman Old Style" w:hAnsi="Bookman Old Style"/>
        </w:rPr>
      </w:pPr>
      <w:r w:rsidRPr="00B52A8A">
        <w:rPr>
          <w:rFonts w:ascii="Bookman Old Style" w:hAnsi="Bookman Old Style"/>
        </w:rPr>
        <w:lastRenderedPageBreak/>
        <w:t xml:space="preserve">Informovanost a mainstreaming – neopomenout potřeby </w:t>
      </w:r>
      <w:r w:rsidR="005C4CEC" w:rsidRPr="00B52A8A">
        <w:rPr>
          <w:rFonts w:ascii="Bookman Old Style" w:hAnsi="Bookman Old Style"/>
        </w:rPr>
        <w:br/>
      </w:r>
      <w:r w:rsidRPr="00B52A8A">
        <w:rPr>
          <w:rFonts w:ascii="Bookman Old Style" w:hAnsi="Bookman Old Style"/>
        </w:rPr>
        <w:t>a potenciál starších lidí, věnovat pozornost a aktivně se začlenit, zajímat a tím předejít nežádoucím důsledkům.</w:t>
      </w:r>
    </w:p>
    <w:p w:rsidR="00B60604" w:rsidRPr="00B52A8A" w:rsidRDefault="00B60604" w:rsidP="005C4CEC">
      <w:pPr>
        <w:pStyle w:val="Normlnweb"/>
        <w:spacing w:after="0" w:afterAutospacing="0" w:line="360" w:lineRule="auto"/>
        <w:ind w:left="720" w:firstLine="696"/>
        <w:rPr>
          <w:rFonts w:ascii="Bookman Old Style" w:hAnsi="Bookman Old Style" w:cs="Andalus"/>
        </w:rPr>
      </w:pPr>
      <w:r w:rsidRPr="00B52A8A">
        <w:rPr>
          <w:rFonts w:ascii="Bookman Old Style" w:hAnsi="Bookman Old Style" w:cs="Andalus"/>
        </w:rPr>
        <w:t>„Stále větší část dospělého života budeme prožívat ve stáří. Pokud lidé starší 65 let budou tvořit třetinu populace, přestává mít smysl rozlišovat mezi službami a produkty pro seniory a pro neseniory. Všechny služby a produkty, nejen specifické služby pro seniory, musí vyhovovat také potřebám, omezením a preferencím starších lidí. Služby musí být kvalitnější a flexibilnější a musí vyhovovat všem, bez ohledu na jejich zdravotní stav a om</w:t>
      </w:r>
      <w:r w:rsidR="005C4CEC" w:rsidRPr="00B52A8A">
        <w:rPr>
          <w:rFonts w:ascii="Bookman Old Style" w:hAnsi="Bookman Old Style" w:cs="Andalus"/>
        </w:rPr>
        <w:t xml:space="preserve">ezení spojená s věkem. Správné </w:t>
      </w:r>
      <w:r w:rsidRPr="00B52A8A">
        <w:rPr>
          <w:rFonts w:ascii="Bookman Old Style" w:hAnsi="Bookman Old Style" w:cs="Andalus"/>
        </w:rPr>
        <w:t>a prozíravé je udělat maximum pro to, abychom vytvořili podmínky pro důstojný, zdravý a aktivní život v druhé polovině života a pro uplatnění potenciálu a aspirací rostoucího podílu starších osob. Polovina života stále většího počtu lidí se přitom odehraje ve věku nad 50 let. Demografické stárnutí bylo označeno také jako tichá revoluce. Je třeba se zamyslet nad tím, zda naše instituce, prostředí, způsob myšlení i života jsou připraveny na pozvolný, ale jistý příchod společnosti dlouhověkosti“ jak tvrdí ministerstvo (www.mpsv.cz).</w:t>
      </w:r>
    </w:p>
    <w:p w:rsidR="00B60604" w:rsidRPr="00B52A8A" w:rsidRDefault="00A6032E" w:rsidP="00B60604">
      <w:pPr>
        <w:pStyle w:val="P-nadpis3"/>
      </w:pPr>
      <w:bookmarkStart w:id="78" w:name="_Toc239411408"/>
      <w:bookmarkStart w:id="79" w:name="_Toc293057979"/>
      <w:bookmarkStart w:id="80" w:name="_Toc293153747"/>
      <w:r w:rsidRPr="00B52A8A">
        <w:t>2.4.4</w:t>
      </w:r>
      <w:r w:rsidR="00B60604" w:rsidRPr="00B52A8A">
        <w:t xml:space="preserve"> Projekt PASEO</w:t>
      </w:r>
      <w:bookmarkEnd w:id="78"/>
      <w:bookmarkEnd w:id="79"/>
      <w:bookmarkEnd w:id="80"/>
    </w:p>
    <w:p w:rsidR="00B60604" w:rsidRPr="00B52A8A" w:rsidRDefault="00B60604" w:rsidP="00B60604">
      <w:pPr>
        <w:rPr>
          <w:szCs w:val="24"/>
        </w:rPr>
      </w:pPr>
      <w:r w:rsidRPr="00B52A8A">
        <w:rPr>
          <w:szCs w:val="24"/>
        </w:rPr>
        <w:t xml:space="preserve">     Dalším významným projektem, který bych ráda zmínila je projekt PASEO, který se zaměřuje na seniorskou populaci v EU a snaží se </w:t>
      </w:r>
      <w:r w:rsidR="005C4CEC" w:rsidRPr="00B52A8A">
        <w:rPr>
          <w:szCs w:val="24"/>
        </w:rPr>
        <w:br/>
      </w:r>
      <w:r w:rsidRPr="00B52A8A">
        <w:rPr>
          <w:szCs w:val="24"/>
        </w:rPr>
        <w:t xml:space="preserve">o podporu standardizace a koordinace jejich pohybové aktivity. Snaží se o podporu pohybové aktivity nejen ve stáří, ale po celou dobu života jedince. Jejich snahou je ustanovit aliance, které budou usilovat </w:t>
      </w:r>
      <w:r w:rsidR="005C4CEC" w:rsidRPr="00B52A8A">
        <w:rPr>
          <w:szCs w:val="24"/>
        </w:rPr>
        <w:br/>
      </w:r>
      <w:r w:rsidRPr="00B52A8A">
        <w:rPr>
          <w:szCs w:val="24"/>
        </w:rPr>
        <w:t>o podporu pohybové aktivity seniorů se sedavým způsobe</w:t>
      </w:r>
      <w:r w:rsidR="005C4CEC" w:rsidRPr="00B52A8A">
        <w:rPr>
          <w:szCs w:val="24"/>
        </w:rPr>
        <w:t xml:space="preserve">m života. Podpora této oblasti </w:t>
      </w:r>
      <w:r w:rsidRPr="00B52A8A">
        <w:rPr>
          <w:szCs w:val="24"/>
        </w:rPr>
        <w:t xml:space="preserve">a propagace pohybové aktivity seniorů je v současnosti důležitou sférou zájmu. Projekt zdůrazňuje důležitost pohybové aktivity, která má vliv na zdraví, ale i celkovou duševní, </w:t>
      </w:r>
      <w:r w:rsidRPr="00B52A8A">
        <w:rPr>
          <w:szCs w:val="24"/>
        </w:rPr>
        <w:lastRenderedPageBreak/>
        <w:t>sociální pohodu a tím prodlužuje soběstačné žití a tím zároveň snižuje výdaje na zdravotní péči. Program PASEO je postaven na výsledcích výše zmíněného projektu EUNAAPA a současně s ním spolupracuje. Cílem je posílení kapacit a spolupráce organizací, které zabezpečují služby seniorů (www.projektpaseo.cz).</w:t>
      </w:r>
    </w:p>
    <w:p w:rsidR="00B60604" w:rsidRPr="00B52A8A" w:rsidRDefault="00B60604" w:rsidP="00AF4150">
      <w:pPr>
        <w:pStyle w:val="P-nadpis1"/>
      </w:pPr>
    </w:p>
    <w:p w:rsidR="00B60604" w:rsidRPr="00B52A8A" w:rsidRDefault="00B60604">
      <w:pPr>
        <w:spacing w:after="200" w:line="276" w:lineRule="auto"/>
        <w:jc w:val="left"/>
        <w:rPr>
          <w:rFonts w:eastAsia="Times New Roman" w:cs="Times New Roman"/>
          <w:b/>
          <w:bCs/>
          <w:sz w:val="26"/>
          <w:szCs w:val="24"/>
        </w:rPr>
      </w:pPr>
      <w:r w:rsidRPr="00B52A8A">
        <w:br w:type="page"/>
      </w:r>
    </w:p>
    <w:p w:rsidR="00D25A50" w:rsidRPr="00B52A8A" w:rsidRDefault="00D25A50" w:rsidP="000C22F8">
      <w:pPr>
        <w:pStyle w:val="P-nadpis2"/>
        <w:ind w:firstLine="0"/>
      </w:pPr>
      <w:bookmarkStart w:id="81" w:name="_Toc293057980"/>
      <w:bookmarkStart w:id="82" w:name="_Toc293153748"/>
      <w:r w:rsidRPr="00B52A8A">
        <w:lastRenderedPageBreak/>
        <w:t>2.5 POHYBOVÁ AKTIVITA</w:t>
      </w:r>
      <w:bookmarkEnd w:id="81"/>
      <w:bookmarkEnd w:id="82"/>
    </w:p>
    <w:p w:rsidR="000C22F8" w:rsidRPr="00B52A8A" w:rsidRDefault="000C22F8" w:rsidP="000C22F8">
      <w:pPr>
        <w:spacing w:after="0"/>
        <w:ind w:firstLine="426"/>
      </w:pPr>
      <w:r w:rsidRPr="00B52A8A">
        <w:t xml:space="preserve">PA má vliv na udržení energetické rovnováhy. Tento vliv můžeme pozorovat na změnách množství tukuprosté  nebo svalové hmoty </w:t>
      </w:r>
      <w:r w:rsidRPr="00B52A8A">
        <w:br/>
        <w:t xml:space="preserve">a </w:t>
      </w:r>
      <w:r w:rsidR="00154366" w:rsidRPr="00B52A8A">
        <w:t>průvodních metabolických změnách</w:t>
      </w:r>
      <w:r w:rsidRPr="00B52A8A">
        <w:t>. Energetický výdej (EV) je důležitým parametrem pro udržení optimálního nutričního stavu a pro udržení energetické rovnováhy. Výdej energie lze obecně rozdělit podle skupin prováděných pohybových aktivit, tedy EV volnočasových aktivit, pracovních aktivit nebo domácích prací. Poslední zmiňovaná skupina může pro starší populaci tvořit hlavní druh PA. Stanovení množství vydané energie poskytuje objektivní informace pro doporučení PA ke zlepšení zdraví nebo pro plánování rehabilitačních programů pro starší populaci s chronickými chorobami. Pro stanovení EV různých druhů PA je běžně užíván metabolický ekvivalent (MET)</w:t>
      </w:r>
      <w:r w:rsidR="00154366" w:rsidRPr="00B52A8A">
        <w:t>,</w:t>
      </w:r>
      <w:r w:rsidRPr="00B52A8A">
        <w:t xml:space="preserve"> (YUE et al. 2007). </w:t>
      </w:r>
    </w:p>
    <w:p w:rsidR="000C22F8" w:rsidRPr="00B52A8A" w:rsidRDefault="000C22F8" w:rsidP="000C22F8">
      <w:pPr>
        <w:ind w:firstLine="426"/>
        <w:rPr>
          <w:bCs/>
          <w:szCs w:val="24"/>
        </w:rPr>
      </w:pPr>
      <w:r w:rsidRPr="00B52A8A">
        <w:rPr>
          <w:bCs/>
          <w:szCs w:val="24"/>
        </w:rPr>
        <w:t xml:space="preserve">1 MET je pojem, který se váže k energetickému výdeji a jde </w:t>
      </w:r>
      <w:r w:rsidRPr="00B52A8A">
        <w:rPr>
          <w:bCs/>
          <w:szCs w:val="24"/>
        </w:rPr>
        <w:br/>
        <w:t>o množství kyslíku, které je spotřebováno v klidu za 1 minutu na kilogram tělesné hmotnosti. 1 MET = asi 3,5 ml/kg/min. Spotřeba kyslíku je musí zohledňovat pohlaví, protože žena má nižší pracovní kapacitu, proto stejný výkon vyžaduje vyšší úsilí. (Stejskal, 2011).</w:t>
      </w:r>
    </w:p>
    <w:p w:rsidR="000C22F8" w:rsidRPr="00B52A8A" w:rsidRDefault="007D5103" w:rsidP="007D5103">
      <w:pPr>
        <w:rPr>
          <w:b/>
        </w:rPr>
      </w:pPr>
      <w:r w:rsidRPr="00B52A8A">
        <w:rPr>
          <w:b/>
        </w:rPr>
        <w:t xml:space="preserve">Tabulka 2. </w:t>
      </w:r>
      <w:r w:rsidR="000C22F8" w:rsidRPr="00B52A8A">
        <w:rPr>
          <w:b/>
          <w:bCs/>
          <w:szCs w:val="24"/>
        </w:rPr>
        <w:t>Energetického výdeje podle různých typů práce</w:t>
      </w:r>
    </w:p>
    <w:p w:rsidR="000C22F8" w:rsidRPr="00B52A8A" w:rsidRDefault="000C22F8" w:rsidP="000C22F8">
      <w:pPr>
        <w:rPr>
          <w:b/>
          <w:bCs/>
          <w:szCs w:val="24"/>
        </w:rPr>
      </w:pPr>
      <w:r w:rsidRPr="00B52A8A">
        <w:rPr>
          <w:i/>
          <w:sz w:val="20"/>
          <w:szCs w:val="20"/>
        </w:rPr>
        <w:t>(upraveno dle Stejskala, 2011)</w:t>
      </w:r>
    </w:p>
    <w:tbl>
      <w:tblPr>
        <w:tblStyle w:val="Svtlstnovn1"/>
        <w:tblW w:w="0" w:type="auto"/>
        <w:jc w:val="center"/>
        <w:tblLook w:val="0620"/>
      </w:tblPr>
      <w:tblGrid>
        <w:gridCol w:w="2247"/>
        <w:gridCol w:w="2146"/>
        <w:gridCol w:w="2158"/>
        <w:gridCol w:w="2168"/>
      </w:tblGrid>
      <w:tr w:rsidR="000C22F8" w:rsidRPr="00B52A8A" w:rsidTr="006F4344">
        <w:trPr>
          <w:cnfStyle w:val="100000000000"/>
          <w:jc w:val="center"/>
        </w:trPr>
        <w:tc>
          <w:tcPr>
            <w:tcW w:w="2303" w:type="dxa"/>
          </w:tcPr>
          <w:p w:rsidR="000C22F8" w:rsidRPr="00B52A8A" w:rsidRDefault="000C22F8" w:rsidP="006F4344">
            <w:pPr>
              <w:rPr>
                <w:bCs w:val="0"/>
                <w:szCs w:val="24"/>
              </w:rPr>
            </w:pPr>
          </w:p>
        </w:tc>
        <w:tc>
          <w:tcPr>
            <w:tcW w:w="2303" w:type="dxa"/>
          </w:tcPr>
          <w:p w:rsidR="000C22F8" w:rsidRPr="00B52A8A" w:rsidRDefault="000C22F8" w:rsidP="006F4344">
            <w:pPr>
              <w:jc w:val="center"/>
              <w:rPr>
                <w:bCs w:val="0"/>
                <w:i/>
                <w:szCs w:val="24"/>
              </w:rPr>
            </w:pPr>
            <w:r w:rsidRPr="00B52A8A">
              <w:rPr>
                <w:bCs w:val="0"/>
                <w:i/>
                <w:szCs w:val="24"/>
              </w:rPr>
              <w:t>MET</w:t>
            </w:r>
          </w:p>
        </w:tc>
        <w:tc>
          <w:tcPr>
            <w:tcW w:w="2303" w:type="dxa"/>
          </w:tcPr>
          <w:p w:rsidR="000C22F8" w:rsidRPr="00B52A8A" w:rsidRDefault="000C22F8" w:rsidP="006F4344">
            <w:pPr>
              <w:jc w:val="center"/>
              <w:rPr>
                <w:bCs w:val="0"/>
                <w:i/>
                <w:szCs w:val="24"/>
              </w:rPr>
            </w:pPr>
            <w:r w:rsidRPr="00B52A8A">
              <w:rPr>
                <w:bCs w:val="0"/>
                <w:i/>
                <w:szCs w:val="24"/>
              </w:rPr>
              <w:t>VO</w:t>
            </w:r>
            <w:r w:rsidRPr="00B52A8A">
              <w:rPr>
                <w:bCs w:val="0"/>
                <w:i/>
                <w:szCs w:val="24"/>
                <w:vertAlign w:val="subscript"/>
              </w:rPr>
              <w:t>2</w:t>
            </w:r>
            <w:r w:rsidRPr="00B52A8A">
              <w:rPr>
                <w:bCs w:val="0"/>
                <w:i/>
                <w:szCs w:val="24"/>
              </w:rPr>
              <w:t xml:space="preserve"> (l/min)</w:t>
            </w:r>
          </w:p>
        </w:tc>
        <w:tc>
          <w:tcPr>
            <w:tcW w:w="2303" w:type="dxa"/>
          </w:tcPr>
          <w:p w:rsidR="000C22F8" w:rsidRPr="00B52A8A" w:rsidRDefault="000C22F8" w:rsidP="006F4344">
            <w:pPr>
              <w:jc w:val="center"/>
              <w:rPr>
                <w:bCs w:val="0"/>
                <w:i/>
                <w:szCs w:val="24"/>
              </w:rPr>
            </w:pPr>
            <w:r w:rsidRPr="00B52A8A">
              <w:rPr>
                <w:bCs w:val="0"/>
                <w:i/>
                <w:szCs w:val="24"/>
              </w:rPr>
              <w:t>TF/min</w:t>
            </w:r>
          </w:p>
        </w:tc>
      </w:tr>
      <w:tr w:rsidR="000C22F8" w:rsidRPr="00B52A8A" w:rsidTr="006F4344">
        <w:trPr>
          <w:jc w:val="center"/>
        </w:trPr>
        <w:tc>
          <w:tcPr>
            <w:tcW w:w="2303" w:type="dxa"/>
          </w:tcPr>
          <w:p w:rsidR="000C22F8" w:rsidRPr="00B52A8A" w:rsidRDefault="000C22F8" w:rsidP="006F4344">
            <w:pPr>
              <w:jc w:val="center"/>
              <w:rPr>
                <w:b/>
                <w:bCs/>
                <w:i/>
                <w:szCs w:val="24"/>
              </w:rPr>
            </w:pPr>
            <w:r w:rsidRPr="00B52A8A">
              <w:rPr>
                <w:b/>
                <w:bCs/>
                <w:i/>
                <w:szCs w:val="24"/>
              </w:rPr>
              <w:t>Lehká</w:t>
            </w:r>
          </w:p>
        </w:tc>
        <w:tc>
          <w:tcPr>
            <w:tcW w:w="2303" w:type="dxa"/>
          </w:tcPr>
          <w:p w:rsidR="000C22F8" w:rsidRPr="00B52A8A" w:rsidRDefault="000C22F8" w:rsidP="006F4344">
            <w:pPr>
              <w:jc w:val="center"/>
              <w:rPr>
                <w:bCs/>
                <w:szCs w:val="24"/>
              </w:rPr>
            </w:pPr>
            <w:r w:rsidRPr="00B52A8A">
              <w:rPr>
                <w:bCs/>
                <w:szCs w:val="24"/>
              </w:rPr>
              <w:t>&lt;3,0</w:t>
            </w:r>
          </w:p>
        </w:tc>
        <w:tc>
          <w:tcPr>
            <w:tcW w:w="2303" w:type="dxa"/>
          </w:tcPr>
          <w:p w:rsidR="000C22F8" w:rsidRPr="00B52A8A" w:rsidRDefault="000C22F8" w:rsidP="006F4344">
            <w:pPr>
              <w:jc w:val="center"/>
              <w:rPr>
                <w:bCs/>
                <w:szCs w:val="24"/>
              </w:rPr>
            </w:pPr>
            <w:r w:rsidRPr="00B52A8A">
              <w:rPr>
                <w:bCs/>
                <w:szCs w:val="24"/>
              </w:rPr>
              <w:t>&lt;0,5</w:t>
            </w:r>
          </w:p>
        </w:tc>
        <w:tc>
          <w:tcPr>
            <w:tcW w:w="2303" w:type="dxa"/>
          </w:tcPr>
          <w:p w:rsidR="000C22F8" w:rsidRPr="00B52A8A" w:rsidRDefault="000C22F8" w:rsidP="006F4344">
            <w:pPr>
              <w:jc w:val="center"/>
              <w:rPr>
                <w:bCs/>
                <w:szCs w:val="24"/>
              </w:rPr>
            </w:pPr>
            <w:r w:rsidRPr="00B52A8A">
              <w:rPr>
                <w:bCs/>
                <w:szCs w:val="24"/>
              </w:rPr>
              <w:t>&lt;90</w:t>
            </w:r>
          </w:p>
        </w:tc>
      </w:tr>
      <w:tr w:rsidR="000C22F8" w:rsidRPr="00B52A8A" w:rsidTr="006F4344">
        <w:trPr>
          <w:jc w:val="center"/>
        </w:trPr>
        <w:tc>
          <w:tcPr>
            <w:tcW w:w="2303" w:type="dxa"/>
          </w:tcPr>
          <w:p w:rsidR="000C22F8" w:rsidRPr="00B52A8A" w:rsidRDefault="000C22F8" w:rsidP="006F4344">
            <w:pPr>
              <w:jc w:val="center"/>
              <w:rPr>
                <w:b/>
                <w:bCs/>
                <w:i/>
                <w:szCs w:val="24"/>
              </w:rPr>
            </w:pPr>
            <w:r w:rsidRPr="00B52A8A">
              <w:rPr>
                <w:b/>
                <w:bCs/>
                <w:i/>
                <w:szCs w:val="24"/>
              </w:rPr>
              <w:t>Střední</w:t>
            </w:r>
          </w:p>
        </w:tc>
        <w:tc>
          <w:tcPr>
            <w:tcW w:w="2303" w:type="dxa"/>
          </w:tcPr>
          <w:p w:rsidR="000C22F8" w:rsidRPr="00B52A8A" w:rsidRDefault="000C22F8" w:rsidP="006F4344">
            <w:pPr>
              <w:jc w:val="center"/>
              <w:rPr>
                <w:bCs/>
                <w:szCs w:val="24"/>
              </w:rPr>
            </w:pPr>
            <w:r w:rsidRPr="00B52A8A">
              <w:rPr>
                <w:bCs/>
                <w:szCs w:val="24"/>
              </w:rPr>
              <w:t>3,0-4,5</w:t>
            </w:r>
          </w:p>
        </w:tc>
        <w:tc>
          <w:tcPr>
            <w:tcW w:w="2303" w:type="dxa"/>
          </w:tcPr>
          <w:p w:rsidR="000C22F8" w:rsidRPr="00B52A8A" w:rsidRDefault="000C22F8" w:rsidP="006F4344">
            <w:pPr>
              <w:jc w:val="center"/>
              <w:rPr>
                <w:bCs/>
                <w:szCs w:val="24"/>
              </w:rPr>
            </w:pPr>
            <w:r w:rsidRPr="00B52A8A">
              <w:rPr>
                <w:bCs/>
                <w:szCs w:val="24"/>
              </w:rPr>
              <w:t>0,5-1,0</w:t>
            </w:r>
          </w:p>
        </w:tc>
        <w:tc>
          <w:tcPr>
            <w:tcW w:w="2303" w:type="dxa"/>
          </w:tcPr>
          <w:p w:rsidR="000C22F8" w:rsidRPr="00B52A8A" w:rsidRDefault="000C22F8" w:rsidP="006F4344">
            <w:pPr>
              <w:jc w:val="center"/>
              <w:rPr>
                <w:bCs/>
                <w:szCs w:val="24"/>
              </w:rPr>
            </w:pPr>
            <w:r w:rsidRPr="00B52A8A">
              <w:rPr>
                <w:bCs/>
                <w:szCs w:val="24"/>
              </w:rPr>
              <w:t>90-110</w:t>
            </w:r>
          </w:p>
        </w:tc>
      </w:tr>
      <w:tr w:rsidR="000C22F8" w:rsidRPr="00B52A8A" w:rsidTr="006F4344">
        <w:trPr>
          <w:jc w:val="center"/>
        </w:trPr>
        <w:tc>
          <w:tcPr>
            <w:tcW w:w="2303" w:type="dxa"/>
          </w:tcPr>
          <w:p w:rsidR="000C22F8" w:rsidRPr="00B52A8A" w:rsidRDefault="000C22F8" w:rsidP="006F4344">
            <w:pPr>
              <w:jc w:val="center"/>
              <w:rPr>
                <w:b/>
                <w:bCs/>
                <w:i/>
                <w:szCs w:val="24"/>
              </w:rPr>
            </w:pPr>
            <w:r w:rsidRPr="00B52A8A">
              <w:rPr>
                <w:b/>
                <w:bCs/>
                <w:i/>
                <w:szCs w:val="24"/>
              </w:rPr>
              <w:t>Těžká</w:t>
            </w:r>
          </w:p>
        </w:tc>
        <w:tc>
          <w:tcPr>
            <w:tcW w:w="2303" w:type="dxa"/>
          </w:tcPr>
          <w:p w:rsidR="000C22F8" w:rsidRPr="00B52A8A" w:rsidRDefault="000C22F8" w:rsidP="006F4344">
            <w:pPr>
              <w:jc w:val="center"/>
              <w:rPr>
                <w:bCs/>
                <w:szCs w:val="24"/>
              </w:rPr>
            </w:pPr>
            <w:r w:rsidRPr="00B52A8A">
              <w:rPr>
                <w:bCs/>
                <w:szCs w:val="24"/>
              </w:rPr>
              <w:t>4,6-7,0</w:t>
            </w:r>
          </w:p>
        </w:tc>
        <w:tc>
          <w:tcPr>
            <w:tcW w:w="2303" w:type="dxa"/>
          </w:tcPr>
          <w:p w:rsidR="000C22F8" w:rsidRPr="00B52A8A" w:rsidRDefault="000C22F8" w:rsidP="006F4344">
            <w:pPr>
              <w:jc w:val="center"/>
              <w:rPr>
                <w:bCs/>
                <w:szCs w:val="24"/>
              </w:rPr>
            </w:pPr>
            <w:r w:rsidRPr="00B52A8A">
              <w:rPr>
                <w:bCs/>
                <w:szCs w:val="24"/>
              </w:rPr>
              <w:t>1,0-1,5</w:t>
            </w:r>
          </w:p>
        </w:tc>
        <w:tc>
          <w:tcPr>
            <w:tcW w:w="2303" w:type="dxa"/>
          </w:tcPr>
          <w:p w:rsidR="000C22F8" w:rsidRPr="00B52A8A" w:rsidRDefault="000C22F8" w:rsidP="006F4344">
            <w:pPr>
              <w:jc w:val="center"/>
              <w:rPr>
                <w:bCs/>
                <w:szCs w:val="24"/>
              </w:rPr>
            </w:pPr>
            <w:r w:rsidRPr="00B52A8A">
              <w:rPr>
                <w:bCs/>
                <w:szCs w:val="24"/>
              </w:rPr>
              <w:t>110-130</w:t>
            </w:r>
          </w:p>
        </w:tc>
      </w:tr>
      <w:tr w:rsidR="000C22F8" w:rsidRPr="00B52A8A" w:rsidTr="006F4344">
        <w:trPr>
          <w:jc w:val="center"/>
        </w:trPr>
        <w:tc>
          <w:tcPr>
            <w:tcW w:w="2303" w:type="dxa"/>
          </w:tcPr>
          <w:p w:rsidR="000C22F8" w:rsidRPr="00B52A8A" w:rsidRDefault="000C22F8" w:rsidP="006F4344">
            <w:pPr>
              <w:jc w:val="center"/>
              <w:rPr>
                <w:b/>
                <w:bCs/>
                <w:i/>
                <w:szCs w:val="24"/>
              </w:rPr>
            </w:pPr>
            <w:r w:rsidRPr="00B52A8A">
              <w:rPr>
                <w:b/>
                <w:bCs/>
                <w:i/>
                <w:szCs w:val="24"/>
              </w:rPr>
              <w:t>velmi těžká</w:t>
            </w:r>
          </w:p>
        </w:tc>
        <w:tc>
          <w:tcPr>
            <w:tcW w:w="2303" w:type="dxa"/>
          </w:tcPr>
          <w:p w:rsidR="000C22F8" w:rsidRPr="00B52A8A" w:rsidRDefault="000C22F8" w:rsidP="006F4344">
            <w:pPr>
              <w:jc w:val="center"/>
              <w:rPr>
                <w:bCs/>
                <w:szCs w:val="24"/>
              </w:rPr>
            </w:pPr>
            <w:r w:rsidRPr="00B52A8A">
              <w:rPr>
                <w:bCs/>
                <w:szCs w:val="24"/>
              </w:rPr>
              <w:t>7,1-10,0</w:t>
            </w:r>
          </w:p>
        </w:tc>
        <w:tc>
          <w:tcPr>
            <w:tcW w:w="2303" w:type="dxa"/>
          </w:tcPr>
          <w:p w:rsidR="000C22F8" w:rsidRPr="00B52A8A" w:rsidRDefault="000C22F8" w:rsidP="006F4344">
            <w:pPr>
              <w:jc w:val="center"/>
              <w:rPr>
                <w:bCs/>
                <w:szCs w:val="24"/>
              </w:rPr>
            </w:pPr>
            <w:r w:rsidRPr="00B52A8A">
              <w:rPr>
                <w:bCs/>
                <w:szCs w:val="24"/>
              </w:rPr>
              <w:t>1,5-2,0</w:t>
            </w:r>
          </w:p>
        </w:tc>
        <w:tc>
          <w:tcPr>
            <w:tcW w:w="2303" w:type="dxa"/>
          </w:tcPr>
          <w:p w:rsidR="000C22F8" w:rsidRPr="00B52A8A" w:rsidRDefault="000C22F8" w:rsidP="006F4344">
            <w:pPr>
              <w:jc w:val="center"/>
              <w:rPr>
                <w:bCs/>
                <w:szCs w:val="24"/>
              </w:rPr>
            </w:pPr>
            <w:r w:rsidRPr="00B52A8A">
              <w:rPr>
                <w:bCs/>
                <w:szCs w:val="24"/>
              </w:rPr>
              <w:t>130-150</w:t>
            </w:r>
          </w:p>
        </w:tc>
      </w:tr>
      <w:tr w:rsidR="000C22F8" w:rsidRPr="00B52A8A" w:rsidTr="006F4344">
        <w:trPr>
          <w:jc w:val="center"/>
        </w:trPr>
        <w:tc>
          <w:tcPr>
            <w:tcW w:w="2303" w:type="dxa"/>
          </w:tcPr>
          <w:p w:rsidR="000C22F8" w:rsidRPr="00B52A8A" w:rsidRDefault="000C22F8" w:rsidP="006F4344">
            <w:pPr>
              <w:jc w:val="center"/>
              <w:rPr>
                <w:b/>
                <w:bCs/>
                <w:i/>
                <w:szCs w:val="24"/>
              </w:rPr>
            </w:pPr>
            <w:r w:rsidRPr="00B52A8A">
              <w:rPr>
                <w:b/>
                <w:bCs/>
                <w:i/>
                <w:szCs w:val="24"/>
              </w:rPr>
              <w:t>Vyčerpávající</w:t>
            </w:r>
          </w:p>
        </w:tc>
        <w:tc>
          <w:tcPr>
            <w:tcW w:w="2303" w:type="dxa"/>
          </w:tcPr>
          <w:p w:rsidR="000C22F8" w:rsidRPr="00B52A8A" w:rsidRDefault="000C22F8" w:rsidP="006F4344">
            <w:pPr>
              <w:jc w:val="center"/>
              <w:rPr>
                <w:bCs/>
                <w:szCs w:val="24"/>
              </w:rPr>
            </w:pPr>
            <w:r w:rsidRPr="00B52A8A">
              <w:rPr>
                <w:bCs/>
                <w:szCs w:val="24"/>
              </w:rPr>
              <w:t>&gt;10,0</w:t>
            </w:r>
          </w:p>
        </w:tc>
        <w:tc>
          <w:tcPr>
            <w:tcW w:w="2303" w:type="dxa"/>
          </w:tcPr>
          <w:p w:rsidR="000C22F8" w:rsidRPr="00B52A8A" w:rsidRDefault="000C22F8" w:rsidP="006F4344">
            <w:pPr>
              <w:jc w:val="center"/>
              <w:rPr>
                <w:bCs/>
                <w:szCs w:val="24"/>
              </w:rPr>
            </w:pPr>
            <w:r w:rsidRPr="00B52A8A">
              <w:rPr>
                <w:bCs/>
                <w:szCs w:val="24"/>
              </w:rPr>
              <w:t>&gt;2,0</w:t>
            </w:r>
          </w:p>
        </w:tc>
        <w:tc>
          <w:tcPr>
            <w:tcW w:w="2303" w:type="dxa"/>
          </w:tcPr>
          <w:p w:rsidR="000C22F8" w:rsidRPr="00B52A8A" w:rsidRDefault="000C22F8" w:rsidP="006F4344">
            <w:pPr>
              <w:jc w:val="center"/>
              <w:rPr>
                <w:bCs/>
                <w:szCs w:val="24"/>
              </w:rPr>
            </w:pPr>
            <w:r w:rsidRPr="00B52A8A">
              <w:rPr>
                <w:bCs/>
                <w:szCs w:val="24"/>
              </w:rPr>
              <w:t>&gt;150</w:t>
            </w:r>
          </w:p>
        </w:tc>
      </w:tr>
    </w:tbl>
    <w:p w:rsidR="000C22F8" w:rsidRPr="00B52A8A" w:rsidRDefault="000C22F8" w:rsidP="000C22F8">
      <w:pPr>
        <w:spacing w:before="240" w:after="0"/>
        <w:rPr>
          <w:bCs/>
          <w:i/>
          <w:sz w:val="20"/>
          <w:szCs w:val="20"/>
        </w:rPr>
      </w:pPr>
      <w:r w:rsidRPr="00B52A8A">
        <w:rPr>
          <w:bCs/>
          <w:i/>
          <w:sz w:val="20"/>
          <w:szCs w:val="20"/>
        </w:rPr>
        <w:t>Vysvětlivky: MET  - spotřeba kyslíku za min na kg tělesné hmotnosti</w:t>
      </w:r>
    </w:p>
    <w:p w:rsidR="000C22F8" w:rsidRPr="00B52A8A" w:rsidRDefault="000C22F8" w:rsidP="000C22F8">
      <w:pPr>
        <w:spacing w:after="0"/>
        <w:ind w:firstLine="708"/>
        <w:rPr>
          <w:bCs/>
          <w:i/>
          <w:sz w:val="20"/>
          <w:szCs w:val="20"/>
        </w:rPr>
      </w:pPr>
      <w:r w:rsidRPr="00B52A8A">
        <w:rPr>
          <w:bCs/>
          <w:i/>
          <w:sz w:val="20"/>
          <w:szCs w:val="20"/>
        </w:rPr>
        <w:t xml:space="preserve">        VO</w:t>
      </w:r>
      <w:r w:rsidRPr="00B52A8A">
        <w:rPr>
          <w:bCs/>
          <w:i/>
          <w:sz w:val="20"/>
          <w:szCs w:val="20"/>
          <w:vertAlign w:val="subscript"/>
        </w:rPr>
        <w:t>2</w:t>
      </w:r>
      <w:r w:rsidRPr="00B52A8A">
        <w:rPr>
          <w:bCs/>
          <w:i/>
          <w:sz w:val="20"/>
          <w:szCs w:val="20"/>
        </w:rPr>
        <w:t xml:space="preserve">  - spotřeba kyslíku v l/min    </w:t>
      </w:r>
      <w:r w:rsidRPr="00B52A8A">
        <w:rPr>
          <w:bCs/>
          <w:i/>
          <w:sz w:val="20"/>
          <w:szCs w:val="20"/>
        </w:rPr>
        <w:tab/>
        <w:t xml:space="preserve">    TF    - tepová frekvence za min</w:t>
      </w:r>
    </w:p>
    <w:p w:rsidR="000C22F8" w:rsidRPr="00B52A8A" w:rsidRDefault="00154366" w:rsidP="000C22F8">
      <w:pPr>
        <w:ind w:firstLine="426"/>
        <w:rPr>
          <w:szCs w:val="24"/>
        </w:rPr>
      </w:pPr>
      <w:r w:rsidRPr="00B52A8A">
        <w:rPr>
          <w:szCs w:val="24"/>
        </w:rPr>
        <w:lastRenderedPageBreak/>
        <w:t>Jak uvádí Seliger a Vi</w:t>
      </w:r>
      <w:r w:rsidR="000C22F8" w:rsidRPr="00B52A8A">
        <w:rPr>
          <w:szCs w:val="24"/>
        </w:rPr>
        <w:t xml:space="preserve">nařický (1992), veškerá přeměna živin v těle je svou povahou energetická. Tzn., že energie se při ní spotřebovává nebo uvolňuje. Převažující jsou přeměny, při kterých dochází k uvolňování energie. Organismus potřebuje energii k udržení tělesné teploty, k činnosti orgánů a k práci. Energie potřebná k činnosti orgánů je získávána rozkladem tzv. makroergních fosfátových vazeb. Energie potřebná pro práci svalů je poskytována odštěpením molekuly kyseliny fosforečné z makroergního fosfátu, tedy z adenosintrifosátu (ATP). Příjem a výdej energie musí být v rovnováze, jinak dochází k spotřebování tkání vlastního těla nebo naopak, se ukládá nadměrné množství tuku. To je nazýváno buď negativní, nebo pozitivní energetická bilance. Energie se uvolňuje v různých formách, např. v podobě tepla, v podobě mechanické práce. Všechny formy uvolněné energie se, ale kalkulují v joulech (J). Přepočítávací faktory jsou: </w:t>
      </w:r>
    </w:p>
    <w:p w:rsidR="000C22F8" w:rsidRPr="00B52A8A" w:rsidRDefault="000C22F8" w:rsidP="000C22F8">
      <w:pPr>
        <w:spacing w:after="0"/>
        <w:ind w:left="2124" w:firstLine="708"/>
        <w:rPr>
          <w:szCs w:val="24"/>
        </w:rPr>
      </w:pPr>
      <w:r w:rsidRPr="00B52A8A">
        <w:rPr>
          <w:szCs w:val="24"/>
        </w:rPr>
        <w:t xml:space="preserve">joul = J = 0,239 cal </w:t>
      </w:r>
    </w:p>
    <w:p w:rsidR="000C22F8" w:rsidRPr="00B52A8A" w:rsidRDefault="000C22F8" w:rsidP="000C22F8">
      <w:pPr>
        <w:spacing w:after="0"/>
        <w:ind w:left="2124" w:firstLine="708"/>
        <w:rPr>
          <w:szCs w:val="24"/>
        </w:rPr>
      </w:pPr>
      <w:r w:rsidRPr="00B52A8A">
        <w:rPr>
          <w:szCs w:val="24"/>
        </w:rPr>
        <w:t>kalorie = cal = 4, 187 J</w:t>
      </w:r>
    </w:p>
    <w:p w:rsidR="000C22F8" w:rsidRPr="00B52A8A" w:rsidRDefault="000C22F8" w:rsidP="000C22F8">
      <w:pPr>
        <w:spacing w:after="0"/>
        <w:ind w:left="2124" w:firstLine="708"/>
        <w:rPr>
          <w:szCs w:val="24"/>
        </w:rPr>
      </w:pPr>
      <w:r w:rsidRPr="00B52A8A">
        <w:rPr>
          <w:szCs w:val="24"/>
        </w:rPr>
        <w:t xml:space="preserve">kilokalorie = kcal = 1000 cal = 4,18 kJ. </w:t>
      </w:r>
    </w:p>
    <w:p w:rsidR="000C22F8" w:rsidRPr="00B52A8A" w:rsidRDefault="000C22F8" w:rsidP="000C22F8">
      <w:pPr>
        <w:ind w:firstLine="426"/>
        <w:rPr>
          <w:bCs/>
          <w:szCs w:val="24"/>
        </w:rPr>
      </w:pPr>
      <w:r w:rsidRPr="00B52A8A">
        <w:rPr>
          <w:bCs/>
          <w:szCs w:val="24"/>
        </w:rPr>
        <w:t>(kalorie je množství energie zvyšující teplotu 1g vody z 15 na 16° C)</w:t>
      </w:r>
    </w:p>
    <w:p w:rsidR="000C22F8" w:rsidRPr="00B52A8A" w:rsidRDefault="000C22F8" w:rsidP="000C22F8">
      <w:pPr>
        <w:ind w:firstLine="426"/>
      </w:pPr>
    </w:p>
    <w:p w:rsidR="000C22F8" w:rsidRPr="00B52A8A" w:rsidRDefault="000C22F8" w:rsidP="000C22F8">
      <w:pPr>
        <w:ind w:firstLine="426"/>
        <w:rPr>
          <w:rFonts w:ascii="NimbusRomanDOT-Bold" w:eastAsia="NimbusRomanDOT-Bold" w:hAnsiTheme="minorHAnsi" w:cs="NimbusRomanDOT-Bold"/>
          <w:b/>
          <w:bCs/>
          <w:sz w:val="25"/>
          <w:szCs w:val="25"/>
        </w:rPr>
      </w:pPr>
      <w:r w:rsidRPr="00B52A8A">
        <w:t>Hodnocení pohybové aktivity slouží k pochopení jejích efektů na zdraví jedince. Dodržování doporučené PA střední intenzity je významně spojeno také s úrovní vzdělání, věkovou skupinou, prostředím, kde žijeme, zaměstnáním a dalšími socio-demografickými faktory. Mezi tyto faktory řadíme věk, pohlaví, rodinný status, materiální zabezpečení (vlastnictví kola, automobilu, psa…). Tyto faktory ovlivňují také vhodnou volbu PA. Můžeme tedy říct, že celkový životní styl se značně podílí na volbě a provozování PA (Pelclová, Vašíčková, Frömel</w:t>
      </w:r>
      <w:r w:rsidR="00154366" w:rsidRPr="00B52A8A">
        <w:t>,</w:t>
      </w:r>
      <w:r w:rsidRPr="00B52A8A">
        <w:t xml:space="preserve"> </w:t>
      </w:r>
      <w:r w:rsidRPr="00B52A8A">
        <w:br/>
        <w:t>&amp; Djordjević, 2009).</w:t>
      </w:r>
      <w:r w:rsidRPr="00B52A8A">
        <w:rPr>
          <w:rFonts w:ascii="NimbusRomanDOT-Bold" w:eastAsia="NimbusRomanDOT-Bold" w:hAnsiTheme="minorHAnsi" w:cs="NimbusRomanDOT-Bold"/>
          <w:b/>
          <w:bCs/>
          <w:sz w:val="25"/>
          <w:szCs w:val="25"/>
        </w:rPr>
        <w:t xml:space="preserve"> </w:t>
      </w:r>
    </w:p>
    <w:p w:rsidR="000C22F8" w:rsidRPr="00B52A8A" w:rsidRDefault="000C22F8" w:rsidP="000C22F8">
      <w:pPr>
        <w:ind w:firstLine="426"/>
      </w:pPr>
      <w:r w:rsidRPr="00B52A8A">
        <w:t xml:space="preserve">Monitoring pohybové aktivity je důležitý pro zhodnocení vztahu zdraví a kvality života. Také predikuje mortalitu populace a je spojena </w:t>
      </w:r>
      <w:r w:rsidRPr="00B52A8A">
        <w:lastRenderedPageBreak/>
        <w:t xml:space="preserve">s celkovou produktivitou společnosti. Jak je uvedeno ve studii (Chmelík et al. 2008) monitorování PA může napomáhat ke snižování vzrůstající obezity a inaktivního způsobu života populace. Byly hledány prostředky, které by byly schopny provést změny v celkovém přístupu </w:t>
      </w:r>
      <w:proofErr w:type="gramStart"/>
      <w:r w:rsidRPr="00B52A8A">
        <w:t>populace k PA</w:t>
      </w:r>
      <w:proofErr w:type="gramEnd"/>
      <w:r w:rsidRPr="00B52A8A">
        <w:t xml:space="preserve">. Mezi tyto prostředky patří především internet. Systém indares.com je efektivním prostředek pro sběr dat o PA, které mohou být následně dál využívány pro vědecké výzkumy. Systém indares.com poskytuje okamžitou individuální zpětnou </w:t>
      </w:r>
      <w:r w:rsidR="00B52A8A">
        <w:t>vazbu grafické podobě (Příloha 2</w:t>
      </w:r>
      <w:r w:rsidRPr="00B52A8A">
        <w:t xml:space="preserve">). Aplikace je přístupna na www.indares.com, kde si jedinec po registraci vytvoří svůj vlastní účet a zdarma tento systém může využívat. Nutný je pouze internetový přístup. Data o PA se vkládají do systému podle data, druhu, doby a intenzity trvání PA. V současné době je systém dostupný ve čtyřech jazycích – čeština, angličtina, polština </w:t>
      </w:r>
      <w:r w:rsidRPr="00B52A8A">
        <w:br/>
        <w:t xml:space="preserve">a slovenština. </w:t>
      </w:r>
    </w:p>
    <w:p w:rsidR="0030505D" w:rsidRPr="00B52A8A" w:rsidRDefault="0030505D" w:rsidP="00D25A50">
      <w:pPr>
        <w:ind w:firstLine="426"/>
      </w:pPr>
    </w:p>
    <w:p w:rsidR="0030505D" w:rsidRPr="00B52A8A" w:rsidRDefault="0030505D" w:rsidP="00D25A50">
      <w:pPr>
        <w:ind w:firstLine="426"/>
      </w:pPr>
    </w:p>
    <w:p w:rsidR="0030505D" w:rsidRPr="00B52A8A" w:rsidRDefault="0030505D" w:rsidP="00D25A50">
      <w:pPr>
        <w:ind w:firstLine="426"/>
      </w:pPr>
    </w:p>
    <w:p w:rsidR="006D3F6B" w:rsidRPr="00B52A8A" w:rsidRDefault="006D3F6B" w:rsidP="0030505D"/>
    <w:p w:rsidR="000C22F8" w:rsidRPr="00B52A8A" w:rsidRDefault="000C22F8" w:rsidP="00AF4150">
      <w:pPr>
        <w:pStyle w:val="P-nadpis2"/>
        <w:ind w:firstLine="0"/>
      </w:pPr>
    </w:p>
    <w:p w:rsidR="000C22F8" w:rsidRPr="00B52A8A" w:rsidRDefault="000C22F8" w:rsidP="00AF4150">
      <w:pPr>
        <w:pStyle w:val="P-nadpis2"/>
        <w:ind w:firstLine="0"/>
      </w:pPr>
    </w:p>
    <w:p w:rsidR="000C22F8" w:rsidRPr="00B52A8A" w:rsidRDefault="000C22F8" w:rsidP="00AF4150">
      <w:pPr>
        <w:pStyle w:val="P-nadpis2"/>
        <w:ind w:firstLine="0"/>
      </w:pPr>
    </w:p>
    <w:p w:rsidR="000C22F8" w:rsidRPr="00B52A8A" w:rsidRDefault="000C22F8" w:rsidP="00AF4150">
      <w:pPr>
        <w:pStyle w:val="P-nadpis2"/>
        <w:ind w:firstLine="0"/>
      </w:pPr>
    </w:p>
    <w:p w:rsidR="000C22F8" w:rsidRPr="00B52A8A" w:rsidRDefault="000C22F8" w:rsidP="00AF4150">
      <w:pPr>
        <w:pStyle w:val="P-nadpis2"/>
        <w:ind w:firstLine="0"/>
      </w:pPr>
    </w:p>
    <w:p w:rsidR="000C22F8" w:rsidRPr="00B52A8A" w:rsidRDefault="000C22F8">
      <w:pPr>
        <w:spacing w:after="200" w:line="276" w:lineRule="auto"/>
        <w:jc w:val="left"/>
        <w:rPr>
          <w:rFonts w:eastAsia="Times New Roman" w:cs="Times New Roman"/>
          <w:b/>
          <w:bCs/>
          <w:sz w:val="26"/>
          <w:szCs w:val="24"/>
        </w:rPr>
      </w:pPr>
      <w:r w:rsidRPr="00B52A8A">
        <w:br w:type="page"/>
      </w:r>
    </w:p>
    <w:p w:rsidR="00911868" w:rsidRPr="00B52A8A" w:rsidRDefault="00D25A50" w:rsidP="00AF4150">
      <w:pPr>
        <w:pStyle w:val="P-nadpis2"/>
        <w:ind w:firstLine="0"/>
      </w:pPr>
      <w:bookmarkStart w:id="83" w:name="_Toc293057981"/>
      <w:bookmarkStart w:id="84" w:name="_Toc293153749"/>
      <w:r w:rsidRPr="00B52A8A">
        <w:lastRenderedPageBreak/>
        <w:t>2.6</w:t>
      </w:r>
      <w:r w:rsidR="00911868" w:rsidRPr="00B52A8A">
        <w:t xml:space="preserve"> POHYBOVÁ AKTIVITA SENIORŮ</w:t>
      </w:r>
      <w:bookmarkEnd w:id="83"/>
      <w:bookmarkEnd w:id="84"/>
      <w:r w:rsidR="0023136C" w:rsidRPr="00B52A8A">
        <w:tab/>
      </w:r>
    </w:p>
    <w:p w:rsidR="0023136C" w:rsidRPr="00B52A8A" w:rsidRDefault="0023136C" w:rsidP="00AF4150">
      <w:pPr>
        <w:ind w:firstLine="426"/>
        <w:rPr>
          <w:szCs w:val="24"/>
        </w:rPr>
      </w:pPr>
      <w:r w:rsidRPr="00B52A8A">
        <w:rPr>
          <w:szCs w:val="24"/>
        </w:rPr>
        <w:t>Evropa čelí nárůstu počtu stárnoucí populace. Stárnutí je spojeno se zvýšeným rizikem vzniku chronických onemocnění</w:t>
      </w:r>
      <w:r w:rsidR="00C536B5" w:rsidRPr="00B52A8A">
        <w:rPr>
          <w:szCs w:val="24"/>
        </w:rPr>
        <w:t>, nezpůsobilostí, poklesem kognitivních procesů, potřebou mentální i sociální podpory. Zdraví společnosti by se mělo orientovat na důležité faktory celkového životního stylu, které urychlují proces stárnutí. Jak pohybová inaktivita tak i nezdravý způsob stravování jsou důležitými rizikovými faktory, které se pojí s </w:t>
      </w:r>
      <w:r w:rsidR="004D60DF" w:rsidRPr="00B52A8A">
        <w:rPr>
          <w:szCs w:val="24"/>
        </w:rPr>
        <w:t>předčasným zdravotním úpadkem (Schuit, 2006).</w:t>
      </w:r>
      <w:r w:rsidR="00DC1F29" w:rsidRPr="00B52A8A">
        <w:rPr>
          <w:szCs w:val="24"/>
        </w:rPr>
        <w:t xml:space="preserve"> Prodloužení délky života, které by mělo dosáhnout ve vyspělých státech průměrného věku 75 let pro muže a 83 pro ženy znamená tedy velký nárůst podílu starší populace. Tento nárůst bude přínosný pro společnost pouze tehdy, získá-li populace seniorů očekávanou kvalitu života. K tomu bezpochyby patří i dobře fungující motorika a s ní spojená schopnost volného pohybu. Asi 40 % osob ve věku 60 – 74 let</w:t>
      </w:r>
      <w:r w:rsidR="004A19DD" w:rsidRPr="00B52A8A">
        <w:rPr>
          <w:szCs w:val="24"/>
        </w:rPr>
        <w:t xml:space="preserve"> trpí některými poruchami snižujícími funkční schopnosti.</w:t>
      </w:r>
      <w:r w:rsidR="004D60DF" w:rsidRPr="00B52A8A">
        <w:rPr>
          <w:szCs w:val="24"/>
        </w:rPr>
        <w:t xml:space="preserve"> Podle některých autorů je pokles pohybové aktivity</w:t>
      </w:r>
      <w:r w:rsidR="00911868" w:rsidRPr="00B52A8A">
        <w:rPr>
          <w:szCs w:val="24"/>
        </w:rPr>
        <w:t xml:space="preserve"> (PA)</w:t>
      </w:r>
      <w:r w:rsidR="004D60DF" w:rsidRPr="00B52A8A">
        <w:rPr>
          <w:szCs w:val="24"/>
        </w:rPr>
        <w:t xml:space="preserve"> prvotní příčinou, která ovlivňuje vlastní průběh stárnutí. Dochází k regresním změnám ve svalové tkáni</w:t>
      </w:r>
      <w:r w:rsidR="00911868" w:rsidRPr="00B52A8A">
        <w:rPr>
          <w:szCs w:val="24"/>
        </w:rPr>
        <w:t>, kosterní tkáni a celém pohybovém systému. Pravidelná pohybová aktivita zpomaluje negativní působení věku. Z dotazníkových průzkumů vyplývá, že pravidelnou PA provádí asi 13</w:t>
      </w:r>
      <w:r w:rsidR="00154366" w:rsidRPr="00B52A8A">
        <w:rPr>
          <w:szCs w:val="24"/>
        </w:rPr>
        <w:t xml:space="preserve"> </w:t>
      </w:r>
      <w:r w:rsidR="00911868" w:rsidRPr="00B52A8A">
        <w:rPr>
          <w:szCs w:val="24"/>
        </w:rPr>
        <w:t>% mužů a žen ve věku mezi 60 a 70 lety</w:t>
      </w:r>
      <w:r w:rsidR="00DC1F29" w:rsidRPr="00B52A8A">
        <w:rPr>
          <w:szCs w:val="24"/>
        </w:rPr>
        <w:t xml:space="preserve">. </w:t>
      </w:r>
      <w:r w:rsidR="00911868" w:rsidRPr="00B52A8A">
        <w:rPr>
          <w:szCs w:val="24"/>
        </w:rPr>
        <w:t xml:space="preserve"> (</w:t>
      </w:r>
      <w:r w:rsidR="00154366" w:rsidRPr="00B52A8A">
        <w:t>Máček, Radvanský</w:t>
      </w:r>
      <w:r w:rsidR="00911868" w:rsidRPr="00B52A8A">
        <w:t xml:space="preserve"> et al. c2011).</w:t>
      </w:r>
    </w:p>
    <w:p w:rsidR="000158F6" w:rsidRPr="00B52A8A" w:rsidRDefault="000158F6" w:rsidP="00AF4150">
      <w:pPr>
        <w:ind w:firstLine="426"/>
        <w:rPr>
          <w:szCs w:val="24"/>
        </w:rPr>
      </w:pPr>
      <w:r w:rsidRPr="00B52A8A">
        <w:rPr>
          <w:szCs w:val="24"/>
        </w:rPr>
        <w:t>Dostatečné množství PA je nutné k prevenci ztráty svalové hm</w:t>
      </w:r>
      <w:r w:rsidR="00162D11" w:rsidRPr="00B52A8A">
        <w:rPr>
          <w:szCs w:val="24"/>
        </w:rPr>
        <w:t xml:space="preserve">oty </w:t>
      </w:r>
      <w:r w:rsidR="004A19DD" w:rsidRPr="00B52A8A">
        <w:rPr>
          <w:szCs w:val="24"/>
        </w:rPr>
        <w:br/>
      </w:r>
      <w:r w:rsidR="00162D11" w:rsidRPr="00B52A8A">
        <w:rPr>
          <w:szCs w:val="24"/>
        </w:rPr>
        <w:t>a vzniku nadváhy či obezity</w:t>
      </w:r>
      <w:r w:rsidRPr="00B52A8A">
        <w:rPr>
          <w:szCs w:val="24"/>
        </w:rPr>
        <w:t>, dále také k výše zmíněným chronickým chorobám; cukrovka, srdeční choroby nebo osteoporóza. PA hraje důležitou roli v prevenci změn spojených s procesem stárnutí</w:t>
      </w:r>
      <w:r w:rsidR="00140F76" w:rsidRPr="00B52A8A">
        <w:rPr>
          <w:szCs w:val="24"/>
        </w:rPr>
        <w:t xml:space="preserve">. </w:t>
      </w:r>
      <w:r w:rsidR="0009144E" w:rsidRPr="00B52A8A">
        <w:rPr>
          <w:szCs w:val="24"/>
        </w:rPr>
        <w:t xml:space="preserve">Stárnutím dochází k redukci </w:t>
      </w:r>
      <w:r w:rsidR="00985D4F" w:rsidRPr="00B52A8A">
        <w:rPr>
          <w:szCs w:val="24"/>
        </w:rPr>
        <w:t>š</w:t>
      </w:r>
      <w:r w:rsidR="00911868" w:rsidRPr="00B52A8A">
        <w:rPr>
          <w:szCs w:val="24"/>
        </w:rPr>
        <w:t>tíhlé tělesné hmoty (</w:t>
      </w:r>
      <w:r w:rsidR="0009144E" w:rsidRPr="00B52A8A">
        <w:rPr>
          <w:szCs w:val="24"/>
        </w:rPr>
        <w:t>LBM</w:t>
      </w:r>
      <w:r w:rsidR="00911868" w:rsidRPr="00B52A8A">
        <w:rPr>
          <w:szCs w:val="24"/>
        </w:rPr>
        <w:t>)</w:t>
      </w:r>
      <w:r w:rsidR="0009144E" w:rsidRPr="00B52A8A">
        <w:rPr>
          <w:szCs w:val="24"/>
        </w:rPr>
        <w:t xml:space="preserve"> a nárůstu</w:t>
      </w:r>
      <w:r w:rsidR="00911868" w:rsidRPr="00B52A8A">
        <w:rPr>
          <w:szCs w:val="24"/>
        </w:rPr>
        <w:t xml:space="preserve"> hmoty tukové</w:t>
      </w:r>
      <w:r w:rsidR="0009144E" w:rsidRPr="00B52A8A">
        <w:rPr>
          <w:szCs w:val="24"/>
        </w:rPr>
        <w:t xml:space="preserve"> </w:t>
      </w:r>
      <w:r w:rsidR="00911868" w:rsidRPr="00B52A8A">
        <w:rPr>
          <w:szCs w:val="24"/>
        </w:rPr>
        <w:t>(</w:t>
      </w:r>
      <w:r w:rsidR="0009144E" w:rsidRPr="00B52A8A">
        <w:rPr>
          <w:szCs w:val="24"/>
        </w:rPr>
        <w:t>BFM</w:t>
      </w:r>
      <w:r w:rsidR="00911868" w:rsidRPr="00B52A8A">
        <w:rPr>
          <w:szCs w:val="24"/>
        </w:rPr>
        <w:t>)</w:t>
      </w:r>
      <w:r w:rsidR="0009144E" w:rsidRPr="00B52A8A">
        <w:rPr>
          <w:szCs w:val="24"/>
        </w:rPr>
        <w:t xml:space="preserve">. Pokles LBM se primárně projevuje jako důsledek ztráty svalové hmoty označovaný jako sarcopenia. Ztráta svalové hmoty působí na pokles aktivity bazálního metabolismu, celkové svalové síly, která může vést k funkčním omezením a obecně k nízké úrovni </w:t>
      </w:r>
      <w:r w:rsidR="0009144E" w:rsidRPr="00B52A8A">
        <w:rPr>
          <w:szCs w:val="24"/>
        </w:rPr>
        <w:lastRenderedPageBreak/>
        <w:t>pohybové aktivity. To je také spojeno s nižšími energetickými požadavky. Pokud nedojde k vyrovnání energetických požadavků se sníženým energetickým příjmem, dochází k nárůstu hmot</w:t>
      </w:r>
      <w:r w:rsidR="00911868" w:rsidRPr="00B52A8A">
        <w:rPr>
          <w:szCs w:val="24"/>
        </w:rPr>
        <w:t>nosti, zvláště v oblasti trupu tzv. a</w:t>
      </w:r>
      <w:r w:rsidR="0009144E" w:rsidRPr="00B52A8A">
        <w:rPr>
          <w:szCs w:val="24"/>
        </w:rPr>
        <w:t>bdomi</w:t>
      </w:r>
      <w:r w:rsidR="00911868" w:rsidRPr="00B52A8A">
        <w:rPr>
          <w:szCs w:val="24"/>
        </w:rPr>
        <w:t>nální obezitě. Ta</w:t>
      </w:r>
      <w:r w:rsidR="00140F76" w:rsidRPr="00B52A8A">
        <w:rPr>
          <w:szCs w:val="24"/>
        </w:rPr>
        <w:t xml:space="preserve"> je spojena </w:t>
      </w:r>
      <w:r w:rsidR="0009144E" w:rsidRPr="00B52A8A">
        <w:rPr>
          <w:szCs w:val="24"/>
        </w:rPr>
        <w:t xml:space="preserve">s kardiovaskulárními nemocemi, cukrovkou druhého typu, ale také rakovinou. Naopak pokud při nižší pohybové aktivitě ve stáří dojde zároveň ke snížení energetických příjmů, dochází často k nebezpečnému stavu nutričního příjmu, který je ve stáří nutný. </w:t>
      </w:r>
      <w:r w:rsidR="00CB6788" w:rsidRPr="00B52A8A">
        <w:rPr>
          <w:szCs w:val="24"/>
        </w:rPr>
        <w:t>Neaktivní jedinci mají nižší energetický příjem, který dále ovlivňuje celkové smyslové vnímání chutě a vůně, obecné rozšíření depresivních stavů a sociální izolace</w:t>
      </w:r>
      <w:r w:rsidR="00A77A3C" w:rsidRPr="00B52A8A">
        <w:rPr>
          <w:szCs w:val="24"/>
        </w:rPr>
        <w:t xml:space="preserve"> (Schuit, 2006).</w:t>
      </w:r>
    </w:p>
    <w:p w:rsidR="009464DF" w:rsidRPr="00B52A8A" w:rsidRDefault="00D25A50" w:rsidP="00431C63">
      <w:pPr>
        <w:pStyle w:val="P-nadpis3"/>
      </w:pPr>
      <w:bookmarkStart w:id="85" w:name="_Toc293057982"/>
      <w:bookmarkStart w:id="86" w:name="_Toc293153750"/>
      <w:r w:rsidRPr="00B52A8A">
        <w:t>2.6</w:t>
      </w:r>
      <w:r w:rsidR="009464DF" w:rsidRPr="00B52A8A">
        <w:t>.1 Pohybová aktivita pro seniory</w:t>
      </w:r>
      <w:bookmarkEnd w:id="85"/>
      <w:bookmarkEnd w:id="86"/>
    </w:p>
    <w:p w:rsidR="00023C54" w:rsidRPr="00B52A8A" w:rsidRDefault="00023C54" w:rsidP="00AF4150">
      <w:pPr>
        <w:spacing w:after="0"/>
        <w:ind w:firstLine="426"/>
        <w:rPr>
          <w:szCs w:val="24"/>
        </w:rPr>
      </w:pPr>
      <w:r w:rsidRPr="00B52A8A">
        <w:rPr>
          <w:szCs w:val="24"/>
        </w:rPr>
        <w:t>Pokud bychom měli určit nejvhodnější pohybovou aktivitu pro starší osoby, jmenovali bychom v první řadě prostou chůzi, která je nejjednodušší a nejpřístupnější a nejméně rizikovou formou PA. Chůze se přirozeně pojí s dalšími aktivitami běžnéh</w:t>
      </w:r>
      <w:r w:rsidR="007A0FDB" w:rsidRPr="00B52A8A">
        <w:rPr>
          <w:szCs w:val="24"/>
        </w:rPr>
        <w:t>o dne a nevyžaduje žádný nácvik.</w:t>
      </w:r>
      <w:r w:rsidRPr="00B52A8A">
        <w:rPr>
          <w:szCs w:val="24"/>
        </w:rPr>
        <w:t xml:space="preserve"> Další vhodné formy, které bychom mohli jmenovat, jsou např. jízda na kole, plavání (</w:t>
      </w:r>
      <w:r w:rsidR="00154366" w:rsidRPr="00B52A8A">
        <w:t>Máček, Radvanský</w:t>
      </w:r>
      <w:r w:rsidRPr="00B52A8A">
        <w:t xml:space="preserve"> et al. c2011).</w:t>
      </w:r>
    </w:p>
    <w:p w:rsidR="009464DF" w:rsidRPr="00B52A8A" w:rsidRDefault="009464DF" w:rsidP="00AF4150">
      <w:pPr>
        <w:ind w:firstLine="426"/>
        <w:rPr>
          <w:szCs w:val="24"/>
        </w:rPr>
      </w:pPr>
      <w:r w:rsidRPr="00B52A8A">
        <w:rPr>
          <w:szCs w:val="24"/>
        </w:rPr>
        <w:t xml:space="preserve">Mezi pohybové aktivity </w:t>
      </w:r>
      <w:r w:rsidR="00023C54" w:rsidRPr="00B52A8A">
        <w:rPr>
          <w:szCs w:val="24"/>
        </w:rPr>
        <w:t>vhodné pro seniory řadíme také</w:t>
      </w:r>
      <w:r w:rsidRPr="00B52A8A">
        <w:rPr>
          <w:szCs w:val="24"/>
        </w:rPr>
        <w:t xml:space="preserve"> zdravotní tělesnou výchovu a psychomotorická cvičení (Adamírová, 2007).</w:t>
      </w:r>
    </w:p>
    <w:p w:rsidR="00842CB6" w:rsidRPr="00B52A8A" w:rsidRDefault="00842CB6" w:rsidP="00AF4150">
      <w:pPr>
        <w:ind w:firstLine="426"/>
        <w:rPr>
          <w:szCs w:val="24"/>
        </w:rPr>
      </w:pPr>
    </w:p>
    <w:p w:rsidR="009464DF" w:rsidRPr="00B52A8A" w:rsidRDefault="009464DF" w:rsidP="00140F76">
      <w:pPr>
        <w:pStyle w:val="Odstavecseseznamem"/>
        <w:numPr>
          <w:ilvl w:val="0"/>
          <w:numId w:val="29"/>
        </w:numPr>
        <w:rPr>
          <w:szCs w:val="24"/>
        </w:rPr>
      </w:pPr>
      <w:r w:rsidRPr="00B52A8A">
        <w:rPr>
          <w:b/>
          <w:szCs w:val="24"/>
        </w:rPr>
        <w:t>Cvičení zdravotní tělesné výchovy</w:t>
      </w:r>
      <w:r w:rsidRPr="00B52A8A">
        <w:rPr>
          <w:szCs w:val="24"/>
        </w:rPr>
        <w:t xml:space="preserve"> se dělí obsahově na dva druhy cvičení; na cvičení vyrovnávací a kondiční</w:t>
      </w:r>
      <w:r w:rsidR="00AB2D5D" w:rsidRPr="00B52A8A">
        <w:rPr>
          <w:szCs w:val="24"/>
        </w:rPr>
        <w:t xml:space="preserve">: </w:t>
      </w:r>
    </w:p>
    <w:p w:rsidR="00AB2D5D" w:rsidRPr="00B52A8A" w:rsidRDefault="00AB2D5D" w:rsidP="009E415F">
      <w:pPr>
        <w:rPr>
          <w:szCs w:val="24"/>
        </w:rPr>
      </w:pPr>
      <w:r w:rsidRPr="00B52A8A">
        <w:rPr>
          <w:b/>
          <w:i/>
          <w:szCs w:val="24"/>
        </w:rPr>
        <w:t>Vyrovnávací cvičení –</w:t>
      </w:r>
      <w:r w:rsidRPr="00B52A8A">
        <w:rPr>
          <w:szCs w:val="24"/>
        </w:rPr>
        <w:t xml:space="preserve"> slouží především k odstranění svalových dysbalancí, vadného držení těla či cvičení hypo nebo hybermobility, tj. cvičení uvolňující, protahovací, posilující, ale také dechová. Dále sem řadíme cvičení smyslová, balanční, relaxační a celkově rozvíjející pohybové schopnosti (např. obratnost, koordinaci atd.).</w:t>
      </w:r>
    </w:p>
    <w:p w:rsidR="007A0FDB" w:rsidRPr="00B52A8A" w:rsidRDefault="00AB2D5D" w:rsidP="009E415F">
      <w:pPr>
        <w:rPr>
          <w:szCs w:val="24"/>
        </w:rPr>
      </w:pPr>
      <w:r w:rsidRPr="00B52A8A">
        <w:rPr>
          <w:b/>
          <w:i/>
          <w:szCs w:val="24"/>
        </w:rPr>
        <w:lastRenderedPageBreak/>
        <w:t>Kondiční cvičení –</w:t>
      </w:r>
      <w:r w:rsidRPr="00B52A8A">
        <w:rPr>
          <w:szCs w:val="24"/>
        </w:rPr>
        <w:t xml:space="preserve"> jsou vhodná pro upevnění pohybových návyků, pro rozvoj vytrvalosti formou her, rytmické a taneční gymnastiky, adaptovaného aerobiku aj., které působí také emočně a motivačně.</w:t>
      </w:r>
    </w:p>
    <w:p w:rsidR="00AB2D5D" w:rsidRPr="00B52A8A" w:rsidRDefault="00AB2D5D" w:rsidP="00AB4552">
      <w:pPr>
        <w:ind w:firstLine="708"/>
        <w:rPr>
          <w:szCs w:val="24"/>
        </w:rPr>
      </w:pPr>
      <w:r w:rsidRPr="00B52A8A">
        <w:rPr>
          <w:szCs w:val="24"/>
        </w:rPr>
        <w:t>K tomuto tradičnímu obsahu se v devade</w:t>
      </w:r>
      <w:r w:rsidR="00AB4552" w:rsidRPr="00B52A8A">
        <w:rPr>
          <w:szCs w:val="24"/>
        </w:rPr>
        <w:t xml:space="preserve">sátých letech připojila </w:t>
      </w:r>
      <w:r w:rsidR="00AB4552" w:rsidRPr="00B52A8A">
        <w:rPr>
          <w:b/>
          <w:szCs w:val="24"/>
        </w:rPr>
        <w:t xml:space="preserve">cvičení </w:t>
      </w:r>
      <w:r w:rsidRPr="00B52A8A">
        <w:rPr>
          <w:b/>
          <w:szCs w:val="24"/>
        </w:rPr>
        <w:t>psychomotorická</w:t>
      </w:r>
      <w:r w:rsidRPr="00B52A8A">
        <w:rPr>
          <w:szCs w:val="24"/>
        </w:rPr>
        <w:t>. Psychomotorika klade důraz na psychiku, duševní a duchovní stránku cvičence ve spojitosti se stránkou společenskou.</w:t>
      </w:r>
      <w:r w:rsidR="0078408B" w:rsidRPr="00B52A8A">
        <w:rPr>
          <w:szCs w:val="24"/>
        </w:rPr>
        <w:t xml:space="preserve"> Všechny tři kompetenční oblasti psychomotoriky jsou po seniory důležité.</w:t>
      </w:r>
    </w:p>
    <w:p w:rsidR="0078408B" w:rsidRPr="00B52A8A" w:rsidRDefault="0078408B" w:rsidP="00D42B78">
      <w:pPr>
        <w:pStyle w:val="Odstavecseseznamem"/>
        <w:numPr>
          <w:ilvl w:val="0"/>
          <w:numId w:val="3"/>
        </w:numPr>
        <w:rPr>
          <w:szCs w:val="24"/>
        </w:rPr>
      </w:pPr>
      <w:r w:rsidRPr="00B52A8A">
        <w:rPr>
          <w:b/>
          <w:i/>
          <w:szCs w:val="24"/>
        </w:rPr>
        <w:t xml:space="preserve">Oblast vlastní osoby, vlastního „já“ </w:t>
      </w:r>
      <w:r w:rsidRPr="00B52A8A">
        <w:rPr>
          <w:szCs w:val="24"/>
        </w:rPr>
        <w:t>– využívá cvičení a hry, které vedou k poznání sebe sama, jak stránky fyzické tak psychické. Toto sebepoznání je důležité pro duševní rovnováhu a poznání vlastních možností i nedostatků. Především fyzické schopnosti jsou důležité pro soběstačnost seniorů.</w:t>
      </w:r>
    </w:p>
    <w:p w:rsidR="0078408B" w:rsidRPr="00B52A8A" w:rsidRDefault="0078408B" w:rsidP="00D42B78">
      <w:pPr>
        <w:pStyle w:val="Odstavecseseznamem"/>
        <w:numPr>
          <w:ilvl w:val="0"/>
          <w:numId w:val="3"/>
        </w:numPr>
        <w:rPr>
          <w:szCs w:val="24"/>
        </w:rPr>
      </w:pPr>
      <w:r w:rsidRPr="00B52A8A">
        <w:rPr>
          <w:b/>
          <w:i/>
          <w:szCs w:val="24"/>
        </w:rPr>
        <w:t>Oblast materiální</w:t>
      </w:r>
      <w:r w:rsidRPr="00B52A8A">
        <w:rPr>
          <w:szCs w:val="24"/>
        </w:rPr>
        <w:t xml:space="preserve"> – týká se prostředí, věcí denní potřeby, náčiní, nářadí a jiných speciálních pomůcek. Probíhá seznamování s pomůckami, jak s nimi zacházet a jak je přizpůsobovat svým vlastním potřebám což přispívá k jistotě </w:t>
      </w:r>
      <w:r w:rsidR="00140F76" w:rsidRPr="00B52A8A">
        <w:rPr>
          <w:szCs w:val="24"/>
        </w:rPr>
        <w:br/>
      </w:r>
      <w:r w:rsidRPr="00B52A8A">
        <w:rPr>
          <w:szCs w:val="24"/>
        </w:rPr>
        <w:t xml:space="preserve">a bezpečí pohybu. </w:t>
      </w:r>
    </w:p>
    <w:p w:rsidR="00D52CAA" w:rsidRPr="00B52A8A" w:rsidRDefault="0078408B" w:rsidP="00154366">
      <w:pPr>
        <w:pStyle w:val="Odstavecseseznamem"/>
        <w:numPr>
          <w:ilvl w:val="0"/>
          <w:numId w:val="3"/>
        </w:numPr>
        <w:rPr>
          <w:szCs w:val="24"/>
        </w:rPr>
      </w:pPr>
      <w:r w:rsidRPr="00B52A8A">
        <w:rPr>
          <w:b/>
          <w:i/>
          <w:szCs w:val="24"/>
        </w:rPr>
        <w:t>Oblast společenská</w:t>
      </w:r>
      <w:r w:rsidRPr="00B52A8A">
        <w:rPr>
          <w:szCs w:val="24"/>
        </w:rPr>
        <w:t xml:space="preserve"> – podporuj</w:t>
      </w:r>
      <w:r w:rsidR="00AB4552" w:rsidRPr="00B52A8A">
        <w:rPr>
          <w:szCs w:val="24"/>
        </w:rPr>
        <w:t>e</w:t>
      </w:r>
      <w:r w:rsidRPr="00B52A8A">
        <w:rPr>
          <w:szCs w:val="24"/>
        </w:rPr>
        <w:t xml:space="preserve"> vzájemné kontakty </w:t>
      </w:r>
      <w:r w:rsidR="00140F76" w:rsidRPr="00B52A8A">
        <w:rPr>
          <w:szCs w:val="24"/>
        </w:rPr>
        <w:br/>
      </w:r>
      <w:r w:rsidRPr="00B52A8A">
        <w:rPr>
          <w:szCs w:val="24"/>
        </w:rPr>
        <w:t>a upevňuj</w:t>
      </w:r>
      <w:r w:rsidR="00AB4552" w:rsidRPr="00B52A8A">
        <w:rPr>
          <w:szCs w:val="24"/>
        </w:rPr>
        <w:t>e</w:t>
      </w:r>
      <w:r w:rsidRPr="00B52A8A">
        <w:rPr>
          <w:szCs w:val="24"/>
        </w:rPr>
        <w:t xml:space="preserve"> je. </w:t>
      </w:r>
      <w:r w:rsidR="00AB4552" w:rsidRPr="00B52A8A">
        <w:rPr>
          <w:szCs w:val="24"/>
        </w:rPr>
        <w:t>Cvičení a hry jsou obranou proti úzkosti ze samoty a depresím z osamělosti.</w:t>
      </w:r>
    </w:p>
    <w:p w:rsidR="000158F6" w:rsidRPr="00B52A8A" w:rsidRDefault="00125044" w:rsidP="00093889">
      <w:pPr>
        <w:ind w:firstLine="426"/>
        <w:rPr>
          <w:szCs w:val="24"/>
        </w:rPr>
      </w:pPr>
      <w:r w:rsidRPr="00B52A8A">
        <w:rPr>
          <w:szCs w:val="24"/>
        </w:rPr>
        <w:t>Jak uvádí Světová zdravotnická organizace</w:t>
      </w:r>
      <w:r w:rsidR="00DA0C64" w:rsidRPr="00B52A8A">
        <w:rPr>
          <w:szCs w:val="24"/>
        </w:rPr>
        <w:t xml:space="preserve"> (WHO, 2011</w:t>
      </w:r>
      <w:r w:rsidRPr="00B52A8A">
        <w:rPr>
          <w:szCs w:val="24"/>
        </w:rPr>
        <w:t>) zdraví dospělí ve věku 18</w:t>
      </w:r>
      <w:r w:rsidR="00154366" w:rsidRPr="00B52A8A">
        <w:rPr>
          <w:szCs w:val="24"/>
        </w:rPr>
        <w:t xml:space="preserve"> – </w:t>
      </w:r>
      <w:r w:rsidRPr="00B52A8A">
        <w:rPr>
          <w:szCs w:val="24"/>
        </w:rPr>
        <w:t xml:space="preserve">65 let by měli provádět pohybovou aktivitu střední intenzity zatížení nejméně 30 min 5x týdně nebo intenzivní pohybovou aktivitu nejméně 20 min 3x týdně. Přičemž důraz je kladen především na cvičení, která slouží k udržení svalové síly a vytrvalosti. </w:t>
      </w:r>
      <w:r w:rsidR="00687353" w:rsidRPr="00B52A8A">
        <w:rPr>
          <w:szCs w:val="24"/>
        </w:rPr>
        <w:t>Doporučuje se posilovat</w:t>
      </w:r>
      <w:r w:rsidR="00DA0C64" w:rsidRPr="00B52A8A">
        <w:rPr>
          <w:szCs w:val="24"/>
        </w:rPr>
        <w:t xml:space="preserve"> </w:t>
      </w:r>
      <w:r w:rsidR="00687353" w:rsidRPr="00B52A8A">
        <w:rPr>
          <w:szCs w:val="24"/>
        </w:rPr>
        <w:t>velké svalové skupiny 2x až</w:t>
      </w:r>
      <w:r w:rsidRPr="00B52A8A">
        <w:rPr>
          <w:szCs w:val="24"/>
        </w:rPr>
        <w:t xml:space="preserve"> 3x týdně.</w:t>
      </w:r>
      <w:r w:rsidR="00DA0C64" w:rsidRPr="00B52A8A">
        <w:rPr>
          <w:szCs w:val="24"/>
        </w:rPr>
        <w:t xml:space="preserve"> </w:t>
      </w:r>
      <w:r w:rsidR="00255740" w:rsidRPr="00B52A8A">
        <w:rPr>
          <w:szCs w:val="24"/>
        </w:rPr>
        <w:t>D</w:t>
      </w:r>
      <w:r w:rsidR="00DA25AC" w:rsidRPr="00B52A8A">
        <w:rPr>
          <w:szCs w:val="24"/>
        </w:rPr>
        <w:t xml:space="preserve">ospělí nad 64 let </w:t>
      </w:r>
      <w:r w:rsidR="00140F76" w:rsidRPr="00B52A8A">
        <w:rPr>
          <w:szCs w:val="24"/>
        </w:rPr>
        <w:br/>
      </w:r>
      <w:r w:rsidR="00DA25AC" w:rsidRPr="00B52A8A">
        <w:rPr>
          <w:szCs w:val="24"/>
        </w:rPr>
        <w:t xml:space="preserve">a senioři s nízkou mobilitou by měly provádět pohybovou aktivitu 3x nebo vícekrát týdně. Pokud není u seniorů možné provádět doporučené </w:t>
      </w:r>
      <w:r w:rsidR="00DA25AC" w:rsidRPr="00B52A8A">
        <w:rPr>
          <w:szCs w:val="24"/>
        </w:rPr>
        <w:lastRenderedPageBreak/>
        <w:t xml:space="preserve">množství pohybové aktivity, měly by být fyzicky alespoň tak aktivní, jak jim dovolují jejich zdravotní možnosti. </w:t>
      </w:r>
    </w:p>
    <w:p w:rsidR="00842CB6" w:rsidRPr="00B52A8A" w:rsidRDefault="00DA25AC" w:rsidP="00093889">
      <w:pPr>
        <w:ind w:firstLine="426"/>
      </w:pPr>
      <w:r w:rsidRPr="00B52A8A">
        <w:rPr>
          <w:szCs w:val="24"/>
        </w:rPr>
        <w:t xml:space="preserve">Dodržováním doporučeného množství pohybové aktivity můžeme zabránit vzniku a rozvoji sarkopenie, která má vliv na celkovou odolnost organismu a významně přispívá k nárůstu morbidity a mortality u osob ve vyšším věku </w:t>
      </w:r>
      <w:r w:rsidR="00125044" w:rsidRPr="00B52A8A">
        <w:t>(Dutta, 1997).</w:t>
      </w:r>
    </w:p>
    <w:p w:rsidR="008E4E20" w:rsidRPr="00B52A8A" w:rsidRDefault="00D25A50" w:rsidP="00D25A50">
      <w:pPr>
        <w:spacing w:after="200" w:line="276" w:lineRule="auto"/>
        <w:jc w:val="left"/>
      </w:pPr>
      <w:r w:rsidRPr="00B52A8A">
        <w:br w:type="page"/>
      </w:r>
    </w:p>
    <w:p w:rsidR="0018420E" w:rsidRPr="00B52A8A" w:rsidRDefault="0018420E" w:rsidP="0010013E">
      <w:pPr>
        <w:pStyle w:val="P-nadpis1"/>
      </w:pPr>
      <w:bookmarkStart w:id="87" w:name="_Toc239411409"/>
      <w:bookmarkStart w:id="88" w:name="_Toc293057983"/>
      <w:bookmarkStart w:id="89" w:name="_Toc293153751"/>
      <w:r w:rsidRPr="00B52A8A">
        <w:lastRenderedPageBreak/>
        <w:t>3 CÍL</w:t>
      </w:r>
      <w:bookmarkEnd w:id="87"/>
      <w:bookmarkEnd w:id="88"/>
      <w:bookmarkEnd w:id="89"/>
      <w:r w:rsidR="007A0FDB" w:rsidRPr="00B52A8A">
        <w:t xml:space="preserve"> </w:t>
      </w:r>
    </w:p>
    <w:p w:rsidR="0018420E" w:rsidRPr="00B52A8A" w:rsidRDefault="007A0FDB" w:rsidP="0018420E">
      <w:pPr>
        <w:pStyle w:val="P-text"/>
        <w:ind w:firstLine="0"/>
      </w:pPr>
      <w:r w:rsidRPr="00B52A8A">
        <w:t xml:space="preserve">  </w:t>
      </w:r>
      <w:r w:rsidR="001B0BD9" w:rsidRPr="00B52A8A">
        <w:t xml:space="preserve">   Cílem práce bylo pozorovat vybrané parametry tělesného složení </w:t>
      </w:r>
      <w:r w:rsidR="00140F76" w:rsidRPr="00B52A8A">
        <w:br/>
      </w:r>
      <w:r w:rsidR="001B0BD9" w:rsidRPr="00B52A8A">
        <w:t>u přístrojů Tanita NC-BC 418 a InBody 720</w:t>
      </w:r>
      <w:r w:rsidRPr="00B52A8A">
        <w:t xml:space="preserve"> s</w:t>
      </w:r>
      <w:r w:rsidR="001B0BD9" w:rsidRPr="00B52A8A">
        <w:t> ohledem na zdravotní ukazatele</w:t>
      </w:r>
      <w:r w:rsidR="0018420E" w:rsidRPr="00B52A8A">
        <w:t xml:space="preserve"> na základě metody bioelektrické impedance u polských </w:t>
      </w:r>
      <w:r w:rsidR="00154366" w:rsidRPr="00B52A8A">
        <w:t>seniorů, klientů Univerzity třetího věku</w:t>
      </w:r>
      <w:r w:rsidRPr="00B52A8A">
        <w:t xml:space="preserve"> v Katovicích, a porovnání</w:t>
      </w:r>
      <w:r w:rsidR="0018420E" w:rsidRPr="00B52A8A">
        <w:t xml:space="preserve"> v</w:t>
      </w:r>
      <w:r w:rsidRPr="00B52A8A">
        <w:t>ybraných parametrů</w:t>
      </w:r>
      <w:r w:rsidR="00BC3CC0" w:rsidRPr="00B52A8A">
        <w:t xml:space="preserve"> u přístrojů Tanita NC-BC 418 a InBody 720</w:t>
      </w:r>
      <w:r w:rsidR="00CA3563" w:rsidRPr="00B52A8A">
        <w:t xml:space="preserve">. </w:t>
      </w:r>
    </w:p>
    <w:p w:rsidR="00140F76" w:rsidRPr="00B52A8A" w:rsidRDefault="00140F76" w:rsidP="0018420E">
      <w:pPr>
        <w:pStyle w:val="P-text"/>
        <w:ind w:firstLine="0"/>
        <w:rPr>
          <w:b/>
          <w:sz w:val="28"/>
          <w:szCs w:val="28"/>
        </w:rPr>
      </w:pPr>
    </w:p>
    <w:p w:rsidR="0018420E" w:rsidRPr="00B52A8A" w:rsidRDefault="00A6032E" w:rsidP="0018420E">
      <w:pPr>
        <w:pStyle w:val="P-nadpis2"/>
        <w:ind w:firstLine="0"/>
      </w:pPr>
      <w:bookmarkStart w:id="90" w:name="_Toc239411410"/>
      <w:bookmarkStart w:id="91" w:name="_Toc293057984"/>
      <w:bookmarkStart w:id="92" w:name="_Toc293153752"/>
      <w:r w:rsidRPr="00B52A8A">
        <w:t>3.1</w:t>
      </w:r>
      <w:r w:rsidR="0018420E" w:rsidRPr="00B52A8A">
        <w:t xml:space="preserve"> D</w:t>
      </w:r>
      <w:bookmarkEnd w:id="90"/>
      <w:r w:rsidRPr="00B52A8A">
        <w:t>ÍLČÍ CÍLE</w:t>
      </w:r>
      <w:bookmarkEnd w:id="91"/>
      <w:bookmarkEnd w:id="92"/>
    </w:p>
    <w:p w:rsidR="00842CB6" w:rsidRPr="00B52A8A" w:rsidRDefault="001B0BD9" w:rsidP="00D42B78">
      <w:pPr>
        <w:pStyle w:val="P-text"/>
        <w:numPr>
          <w:ilvl w:val="0"/>
          <w:numId w:val="4"/>
        </w:numPr>
        <w:spacing w:after="200"/>
      </w:pPr>
      <w:r w:rsidRPr="00B52A8A">
        <w:t>Porovnání vybraných parametrů tělesného složení prostřednictvím přístroje</w:t>
      </w:r>
      <w:r w:rsidR="00842CB6" w:rsidRPr="00B52A8A">
        <w:t xml:space="preserve"> Tanita NC-BC 418</w:t>
      </w:r>
      <w:r w:rsidRPr="00B52A8A">
        <w:t xml:space="preserve"> a InBody 720</w:t>
      </w:r>
      <w:r w:rsidR="00091077" w:rsidRPr="00B52A8A">
        <w:t>.</w:t>
      </w:r>
    </w:p>
    <w:p w:rsidR="00842CB6" w:rsidRPr="00B52A8A" w:rsidRDefault="00842CB6" w:rsidP="00D42B78">
      <w:pPr>
        <w:pStyle w:val="P-text"/>
        <w:numPr>
          <w:ilvl w:val="0"/>
          <w:numId w:val="4"/>
        </w:numPr>
        <w:spacing w:after="200"/>
      </w:pPr>
      <w:r w:rsidRPr="00B52A8A">
        <w:t>Zhodnocení míry zdravotních rizik</w:t>
      </w:r>
      <w:r w:rsidR="001B0BD9" w:rsidRPr="00B52A8A">
        <w:t xml:space="preserve"> dle vybraných parametrů tělesného složení.</w:t>
      </w:r>
    </w:p>
    <w:p w:rsidR="003F36C4" w:rsidRPr="00B52A8A" w:rsidRDefault="003F36C4" w:rsidP="00D42B78">
      <w:pPr>
        <w:pStyle w:val="P-text"/>
        <w:numPr>
          <w:ilvl w:val="0"/>
          <w:numId w:val="4"/>
        </w:numPr>
        <w:spacing w:after="200"/>
      </w:pPr>
      <w:r w:rsidRPr="00B52A8A">
        <w:t>Analýza pohybové aktivity prostředn</w:t>
      </w:r>
      <w:r w:rsidR="002057E1" w:rsidRPr="00B52A8A">
        <w:t>ictvím akcelerometru ActiGraph</w:t>
      </w:r>
      <w:r w:rsidR="00154366" w:rsidRPr="00B52A8A">
        <w:t xml:space="preserve"> GT1M</w:t>
      </w:r>
      <w:r w:rsidR="002057E1" w:rsidRPr="00B52A8A">
        <w:t xml:space="preserve"> ve vztahu k tělesnému složení.</w:t>
      </w:r>
    </w:p>
    <w:p w:rsidR="0018420E" w:rsidRPr="00B52A8A" w:rsidRDefault="0018420E" w:rsidP="00842CB6">
      <w:pPr>
        <w:pStyle w:val="P-text"/>
        <w:spacing w:after="200"/>
        <w:ind w:left="720" w:firstLine="0"/>
      </w:pPr>
    </w:p>
    <w:p w:rsidR="004F20DB" w:rsidRPr="00B52A8A" w:rsidRDefault="004F20DB" w:rsidP="0031184C">
      <w:pPr>
        <w:pStyle w:val="P-nadpis1"/>
      </w:pPr>
    </w:p>
    <w:p w:rsidR="004F20DB" w:rsidRPr="00B52A8A" w:rsidRDefault="004F20DB" w:rsidP="0031184C">
      <w:pPr>
        <w:pStyle w:val="P-nadpis1"/>
      </w:pPr>
    </w:p>
    <w:p w:rsidR="003F36C4" w:rsidRPr="00B52A8A" w:rsidRDefault="003F36C4">
      <w:pPr>
        <w:spacing w:after="200" w:line="276" w:lineRule="auto"/>
        <w:jc w:val="left"/>
        <w:rPr>
          <w:rFonts w:eastAsia="Times New Roman" w:cs="Times New Roman"/>
          <w:b/>
          <w:bCs/>
          <w:sz w:val="28"/>
          <w:szCs w:val="28"/>
        </w:rPr>
      </w:pPr>
      <w:r w:rsidRPr="00B52A8A">
        <w:br w:type="page"/>
      </w:r>
    </w:p>
    <w:p w:rsidR="004F20DB" w:rsidRPr="00B52A8A" w:rsidRDefault="0031184C" w:rsidP="00A26441">
      <w:pPr>
        <w:pStyle w:val="P-nadpis1"/>
      </w:pPr>
      <w:bookmarkStart w:id="93" w:name="_Toc293057985"/>
      <w:bookmarkStart w:id="94" w:name="_Toc293153753"/>
      <w:r w:rsidRPr="00B52A8A">
        <w:lastRenderedPageBreak/>
        <w:t>4 METODIKA</w:t>
      </w:r>
      <w:bookmarkEnd w:id="93"/>
      <w:bookmarkEnd w:id="94"/>
    </w:p>
    <w:p w:rsidR="0031184C" w:rsidRPr="00B52A8A" w:rsidRDefault="00A26441" w:rsidP="0031184C">
      <w:pPr>
        <w:pStyle w:val="P-nadpis2"/>
        <w:ind w:firstLine="0"/>
      </w:pPr>
      <w:bookmarkStart w:id="95" w:name="_Toc239411412"/>
      <w:bookmarkStart w:id="96" w:name="_Toc293057986"/>
      <w:bookmarkStart w:id="97" w:name="_Toc293153754"/>
      <w:r w:rsidRPr="00B52A8A">
        <w:t>4.1</w:t>
      </w:r>
      <w:r w:rsidR="0031184C" w:rsidRPr="00B52A8A">
        <w:t xml:space="preserve"> SOUBOR</w:t>
      </w:r>
      <w:bookmarkEnd w:id="95"/>
      <w:bookmarkEnd w:id="96"/>
      <w:bookmarkEnd w:id="97"/>
    </w:p>
    <w:p w:rsidR="0018420E" w:rsidRPr="00B52A8A" w:rsidRDefault="0031184C" w:rsidP="009E415F">
      <w:pPr>
        <w:rPr>
          <w:szCs w:val="24"/>
        </w:rPr>
      </w:pPr>
      <w:r w:rsidRPr="00B52A8A">
        <w:rPr>
          <w:b/>
          <w:color w:val="FF0000"/>
          <w:sz w:val="28"/>
          <w:szCs w:val="28"/>
        </w:rPr>
        <w:t xml:space="preserve">    </w:t>
      </w:r>
      <w:r w:rsidRPr="00B52A8A">
        <w:rPr>
          <w:b/>
          <w:sz w:val="28"/>
          <w:szCs w:val="28"/>
        </w:rPr>
        <w:t xml:space="preserve"> </w:t>
      </w:r>
      <w:r w:rsidRPr="00B52A8A">
        <w:rPr>
          <w:szCs w:val="24"/>
        </w:rPr>
        <w:t>Měřili jsme a následně analyzovali výsledky tělesného složení</w:t>
      </w:r>
      <w:r w:rsidR="00A26441" w:rsidRPr="00B52A8A">
        <w:rPr>
          <w:szCs w:val="24"/>
        </w:rPr>
        <w:t xml:space="preserve"> metodou BIA</w:t>
      </w:r>
      <w:r w:rsidRPr="00B52A8A">
        <w:rPr>
          <w:szCs w:val="24"/>
        </w:rPr>
        <w:t xml:space="preserve"> u skupiny seniorů polské populace – klienti Univerzity </w:t>
      </w:r>
      <w:r w:rsidR="00140F76" w:rsidRPr="00B52A8A">
        <w:rPr>
          <w:szCs w:val="24"/>
        </w:rPr>
        <w:br/>
      </w:r>
      <w:r w:rsidR="00154366" w:rsidRPr="00B52A8A">
        <w:rPr>
          <w:szCs w:val="24"/>
        </w:rPr>
        <w:t>třetího</w:t>
      </w:r>
      <w:r w:rsidRPr="00B52A8A">
        <w:rPr>
          <w:szCs w:val="24"/>
        </w:rPr>
        <w:t xml:space="preserve"> věku v Katovicích. </w:t>
      </w:r>
      <w:r w:rsidR="003F36C4" w:rsidRPr="00B52A8A">
        <w:rPr>
          <w:szCs w:val="24"/>
        </w:rPr>
        <w:t>Měření bylo provedeno na podzim roku 2009. Sledovaný soubor tvořilo 70</w:t>
      </w:r>
      <w:r w:rsidR="00985D4F" w:rsidRPr="00B52A8A">
        <w:rPr>
          <w:szCs w:val="24"/>
        </w:rPr>
        <w:t xml:space="preserve"> (n=70)</w:t>
      </w:r>
      <w:r w:rsidR="003F36C4" w:rsidRPr="00B52A8A">
        <w:rPr>
          <w:szCs w:val="24"/>
        </w:rPr>
        <w:t xml:space="preserve"> </w:t>
      </w:r>
      <w:r w:rsidRPr="00B52A8A">
        <w:rPr>
          <w:szCs w:val="24"/>
        </w:rPr>
        <w:t>probandů. Jejich věk</w:t>
      </w:r>
      <w:r w:rsidR="003F36C4" w:rsidRPr="00B52A8A">
        <w:rPr>
          <w:szCs w:val="24"/>
        </w:rPr>
        <w:t xml:space="preserve"> </w:t>
      </w:r>
      <w:r w:rsidR="006F3D13" w:rsidRPr="00B52A8A">
        <w:rPr>
          <w:szCs w:val="24"/>
        </w:rPr>
        <w:t>se pohyboval v rozmezí od 55 – 7</w:t>
      </w:r>
      <w:r w:rsidR="00154366" w:rsidRPr="00B52A8A">
        <w:rPr>
          <w:szCs w:val="24"/>
        </w:rPr>
        <w:t>4</w:t>
      </w:r>
      <w:r w:rsidR="00985D4F" w:rsidRPr="00B52A8A">
        <w:rPr>
          <w:szCs w:val="24"/>
        </w:rPr>
        <w:t xml:space="preserve"> let. Sledování podstoupilo</w:t>
      </w:r>
      <w:r w:rsidR="003F36C4" w:rsidRPr="00B52A8A">
        <w:rPr>
          <w:szCs w:val="24"/>
        </w:rPr>
        <w:t xml:space="preserve"> 6</w:t>
      </w:r>
      <w:r w:rsidR="00985D4F" w:rsidRPr="00B52A8A">
        <w:rPr>
          <w:szCs w:val="24"/>
        </w:rPr>
        <w:t xml:space="preserve">0 žen (n=60) </w:t>
      </w:r>
      <w:r w:rsidR="00544C69" w:rsidRPr="00B52A8A">
        <w:rPr>
          <w:szCs w:val="24"/>
        </w:rPr>
        <w:t>a 10</w:t>
      </w:r>
      <w:r w:rsidR="00985D4F" w:rsidRPr="00B52A8A">
        <w:rPr>
          <w:szCs w:val="24"/>
        </w:rPr>
        <w:t xml:space="preserve"> mužů (n=10)</w:t>
      </w:r>
      <w:r w:rsidR="00544C69" w:rsidRPr="00B52A8A">
        <w:rPr>
          <w:szCs w:val="24"/>
        </w:rPr>
        <w:t>.</w:t>
      </w:r>
    </w:p>
    <w:p w:rsidR="00CB370D" w:rsidRPr="00B52A8A" w:rsidRDefault="003F36C4" w:rsidP="003F36C4">
      <w:pPr>
        <w:tabs>
          <w:tab w:val="left" w:pos="6495"/>
        </w:tabs>
        <w:rPr>
          <w:szCs w:val="24"/>
        </w:rPr>
      </w:pPr>
      <w:r w:rsidRPr="00B52A8A">
        <w:rPr>
          <w:szCs w:val="24"/>
        </w:rPr>
        <w:tab/>
        <w:t xml:space="preserve"> </w:t>
      </w:r>
    </w:p>
    <w:p w:rsidR="00CB370D" w:rsidRPr="00B52A8A" w:rsidRDefault="00CB370D" w:rsidP="00CB370D">
      <w:pPr>
        <w:ind w:firstLine="708"/>
        <w:rPr>
          <w:i/>
          <w:szCs w:val="24"/>
        </w:rPr>
      </w:pPr>
      <w:r w:rsidRPr="00B52A8A">
        <w:rPr>
          <w:i/>
          <w:szCs w:val="24"/>
        </w:rPr>
        <w:t>Seznámení s přístroji a metodikou měření:</w:t>
      </w:r>
    </w:p>
    <w:p w:rsidR="00FA0F6D" w:rsidRPr="00B52A8A" w:rsidRDefault="00CB370D" w:rsidP="003F36C4">
      <w:pPr>
        <w:pStyle w:val="P-nadpis2"/>
        <w:ind w:firstLine="0"/>
      </w:pPr>
      <w:bookmarkStart w:id="98" w:name="_Toc239411413"/>
      <w:bookmarkStart w:id="99" w:name="_Toc293057987"/>
      <w:bookmarkStart w:id="100" w:name="_Toc293153755"/>
      <w:r w:rsidRPr="00B52A8A">
        <w:t>4</w:t>
      </w:r>
      <w:r w:rsidR="00A6032E" w:rsidRPr="00B52A8A">
        <w:t>.2</w:t>
      </w:r>
      <w:r w:rsidRPr="00B52A8A">
        <w:t xml:space="preserve"> TANITA</w:t>
      </w:r>
      <w:bookmarkEnd w:id="98"/>
      <w:bookmarkEnd w:id="99"/>
      <w:bookmarkEnd w:id="100"/>
    </w:p>
    <w:p w:rsidR="00CB370D" w:rsidRPr="00B52A8A" w:rsidRDefault="00CB370D" w:rsidP="00CB370D">
      <w:pPr>
        <w:rPr>
          <w:szCs w:val="24"/>
        </w:rPr>
      </w:pPr>
      <w:r w:rsidRPr="00B52A8A">
        <w:rPr>
          <w:b/>
          <w:szCs w:val="24"/>
        </w:rPr>
        <w:t xml:space="preserve">     </w:t>
      </w:r>
      <w:r w:rsidRPr="00B52A8A">
        <w:rPr>
          <w:szCs w:val="24"/>
        </w:rPr>
        <w:t>První přístroj, který byl pro měření tělesného složení v této práci využit je Tanita</w:t>
      </w:r>
      <w:r w:rsidR="00BC3CC0" w:rsidRPr="00B52A8A">
        <w:rPr>
          <w:szCs w:val="24"/>
        </w:rPr>
        <w:t xml:space="preserve"> NC-BC 418</w:t>
      </w:r>
      <w:r w:rsidRPr="00B52A8A">
        <w:rPr>
          <w:szCs w:val="24"/>
        </w:rPr>
        <w:t>, který provádí segmentální analýzu</w:t>
      </w:r>
      <w:r w:rsidR="00985D4F" w:rsidRPr="00B52A8A">
        <w:rPr>
          <w:szCs w:val="24"/>
        </w:rPr>
        <w:t xml:space="preserve">. Jde </w:t>
      </w:r>
      <w:r w:rsidR="00140F76" w:rsidRPr="00B52A8A">
        <w:rPr>
          <w:szCs w:val="24"/>
        </w:rPr>
        <w:br/>
      </w:r>
      <w:r w:rsidR="00985D4F" w:rsidRPr="00B52A8A">
        <w:rPr>
          <w:szCs w:val="24"/>
        </w:rPr>
        <w:t xml:space="preserve">o </w:t>
      </w:r>
      <w:r w:rsidRPr="00B52A8A">
        <w:rPr>
          <w:szCs w:val="24"/>
        </w:rPr>
        <w:t>technolog</w:t>
      </w:r>
      <w:r w:rsidR="00985D4F" w:rsidRPr="00B52A8A">
        <w:rPr>
          <w:szCs w:val="24"/>
        </w:rPr>
        <w:t>ii</w:t>
      </w:r>
      <w:r w:rsidRPr="00B52A8A">
        <w:rPr>
          <w:szCs w:val="24"/>
        </w:rPr>
        <w:t>, která rozděluje tělo na pět válců – horní a dolní končetiny a trup. Impedance těchto segmentů je měřena jednotlivě, což je výhodou pro přesnost naměřených hodnot. Jednotlivé segmenty se tak neovlivňují (podle www.tanita.com).</w:t>
      </w:r>
    </w:p>
    <w:p w:rsidR="00CB370D" w:rsidRPr="00B52A8A" w:rsidRDefault="00CB370D" w:rsidP="00CB370D">
      <w:pPr>
        <w:rPr>
          <w:szCs w:val="24"/>
        </w:rPr>
      </w:pPr>
    </w:p>
    <w:p w:rsidR="00CB370D" w:rsidRPr="00B52A8A" w:rsidRDefault="00CB370D" w:rsidP="00CB370D">
      <w:pPr>
        <w:pStyle w:val="P-text"/>
        <w:ind w:firstLine="0"/>
        <w:rPr>
          <w:b/>
        </w:rPr>
      </w:pPr>
      <w:r w:rsidRPr="00B52A8A">
        <w:rPr>
          <w:b/>
        </w:rPr>
        <w:t>Získané parametry:</w:t>
      </w:r>
    </w:p>
    <w:p w:rsidR="00CB370D" w:rsidRPr="00B52A8A" w:rsidRDefault="00BC3CC0" w:rsidP="00140F76">
      <w:pPr>
        <w:numPr>
          <w:ilvl w:val="0"/>
          <w:numId w:val="18"/>
        </w:numPr>
        <w:spacing w:after="0"/>
        <w:rPr>
          <w:b/>
          <w:szCs w:val="24"/>
        </w:rPr>
      </w:pPr>
      <w:r w:rsidRPr="00B52A8A">
        <w:rPr>
          <w:szCs w:val="24"/>
        </w:rPr>
        <w:t>c</w:t>
      </w:r>
      <w:r w:rsidR="00CB370D" w:rsidRPr="00B52A8A">
        <w:rPr>
          <w:szCs w:val="24"/>
        </w:rPr>
        <w:t>elková tělesná voda</w:t>
      </w:r>
    </w:p>
    <w:p w:rsidR="00CB370D" w:rsidRPr="00B52A8A" w:rsidRDefault="00BC3CC0" w:rsidP="00140F76">
      <w:pPr>
        <w:numPr>
          <w:ilvl w:val="0"/>
          <w:numId w:val="18"/>
        </w:numPr>
        <w:spacing w:after="0"/>
        <w:rPr>
          <w:b/>
          <w:szCs w:val="24"/>
        </w:rPr>
      </w:pPr>
      <w:r w:rsidRPr="00B52A8A">
        <w:rPr>
          <w:szCs w:val="24"/>
        </w:rPr>
        <w:t>t</w:t>
      </w:r>
      <w:r w:rsidR="00CB370D" w:rsidRPr="00B52A8A">
        <w:rPr>
          <w:szCs w:val="24"/>
        </w:rPr>
        <w:t>uková hmota, procentuální podíl tukové tkáně, tukuprostá hmota</w:t>
      </w:r>
    </w:p>
    <w:p w:rsidR="00CB370D" w:rsidRPr="00B52A8A" w:rsidRDefault="00CB370D" w:rsidP="00140F76">
      <w:pPr>
        <w:numPr>
          <w:ilvl w:val="0"/>
          <w:numId w:val="18"/>
        </w:numPr>
        <w:spacing w:after="0"/>
        <w:rPr>
          <w:b/>
          <w:szCs w:val="24"/>
        </w:rPr>
      </w:pPr>
      <w:r w:rsidRPr="00B52A8A">
        <w:rPr>
          <w:szCs w:val="24"/>
        </w:rPr>
        <w:t>predikované hodnoty FFM</w:t>
      </w:r>
    </w:p>
    <w:p w:rsidR="00FA0F6D" w:rsidRPr="00B52A8A" w:rsidRDefault="00BC3CC0" w:rsidP="00140F76">
      <w:pPr>
        <w:numPr>
          <w:ilvl w:val="0"/>
          <w:numId w:val="18"/>
        </w:numPr>
        <w:spacing w:after="0"/>
        <w:rPr>
          <w:szCs w:val="24"/>
        </w:rPr>
      </w:pPr>
      <w:r w:rsidRPr="00B52A8A">
        <w:rPr>
          <w:szCs w:val="24"/>
        </w:rPr>
        <w:t>i</w:t>
      </w:r>
      <w:r w:rsidR="00CB370D" w:rsidRPr="00B52A8A">
        <w:rPr>
          <w:szCs w:val="24"/>
        </w:rPr>
        <w:t>mpedance jednotlivých částí těl</w:t>
      </w:r>
      <w:r w:rsidR="00FA0F6D" w:rsidRPr="00B52A8A">
        <w:rPr>
          <w:szCs w:val="24"/>
        </w:rPr>
        <w:t>a</w:t>
      </w:r>
    </w:p>
    <w:p w:rsidR="00140F76" w:rsidRPr="00B52A8A" w:rsidRDefault="00140F76" w:rsidP="00140F76">
      <w:pPr>
        <w:numPr>
          <w:ilvl w:val="0"/>
          <w:numId w:val="18"/>
        </w:numPr>
        <w:spacing w:after="0"/>
        <w:rPr>
          <w:szCs w:val="24"/>
        </w:rPr>
      </w:pPr>
      <w:r w:rsidRPr="00B52A8A">
        <w:rPr>
          <w:szCs w:val="24"/>
        </w:rPr>
        <w:t>segmentální analýza</w:t>
      </w:r>
    </w:p>
    <w:p w:rsidR="00A26441" w:rsidRPr="00B52A8A" w:rsidRDefault="00A26441" w:rsidP="00140F76">
      <w:pPr>
        <w:numPr>
          <w:ilvl w:val="0"/>
          <w:numId w:val="18"/>
        </w:numPr>
        <w:spacing w:after="0"/>
        <w:rPr>
          <w:b/>
          <w:szCs w:val="24"/>
        </w:rPr>
      </w:pPr>
      <w:r w:rsidRPr="00B52A8A">
        <w:rPr>
          <w:szCs w:val="24"/>
        </w:rPr>
        <w:t>Body Mass Index (BMI), bazální metabolismus (BMR)</w:t>
      </w:r>
    </w:p>
    <w:p w:rsidR="00A26441" w:rsidRPr="00B52A8A" w:rsidRDefault="00A26441" w:rsidP="00140F76">
      <w:pPr>
        <w:spacing w:after="0"/>
        <w:ind w:left="360"/>
        <w:rPr>
          <w:szCs w:val="24"/>
        </w:rPr>
      </w:pPr>
    </w:p>
    <w:p w:rsidR="00985D4F" w:rsidRPr="00B52A8A" w:rsidRDefault="00985D4F" w:rsidP="00FA0F6D">
      <w:pPr>
        <w:rPr>
          <w:b/>
          <w:szCs w:val="24"/>
        </w:rPr>
      </w:pPr>
    </w:p>
    <w:p w:rsidR="007645EA" w:rsidRPr="00B52A8A" w:rsidRDefault="007645EA" w:rsidP="00FA0F6D">
      <w:pPr>
        <w:rPr>
          <w:b/>
          <w:szCs w:val="24"/>
        </w:rPr>
      </w:pPr>
      <w:r w:rsidRPr="00B52A8A">
        <w:rPr>
          <w:b/>
          <w:szCs w:val="24"/>
        </w:rPr>
        <w:lastRenderedPageBreak/>
        <w:t>Parametry, které jsme v této práci využily, byly:</w:t>
      </w:r>
    </w:p>
    <w:p w:rsidR="007645EA" w:rsidRPr="00B52A8A" w:rsidRDefault="00FA0F6D" w:rsidP="00140F76">
      <w:pPr>
        <w:pStyle w:val="Odstavecseseznamem"/>
        <w:numPr>
          <w:ilvl w:val="0"/>
          <w:numId w:val="14"/>
        </w:numPr>
        <w:spacing w:after="0"/>
        <w:rPr>
          <w:szCs w:val="24"/>
        </w:rPr>
      </w:pPr>
      <w:r w:rsidRPr="00B52A8A">
        <w:rPr>
          <w:szCs w:val="24"/>
        </w:rPr>
        <w:t>celková tělesná vod</w:t>
      </w:r>
      <w:r w:rsidR="00985D4F" w:rsidRPr="00B52A8A">
        <w:rPr>
          <w:szCs w:val="24"/>
        </w:rPr>
        <w:t>a</w:t>
      </w:r>
    </w:p>
    <w:p w:rsidR="00FA0F6D" w:rsidRPr="00B52A8A" w:rsidRDefault="00FA0F6D" w:rsidP="00140F76">
      <w:pPr>
        <w:pStyle w:val="Odstavecseseznamem"/>
        <w:numPr>
          <w:ilvl w:val="0"/>
          <w:numId w:val="14"/>
        </w:numPr>
        <w:spacing w:after="0"/>
        <w:rPr>
          <w:szCs w:val="24"/>
        </w:rPr>
      </w:pPr>
      <w:r w:rsidRPr="00B52A8A">
        <w:rPr>
          <w:szCs w:val="24"/>
        </w:rPr>
        <w:t>t</w:t>
      </w:r>
      <w:r w:rsidR="007645EA" w:rsidRPr="00B52A8A">
        <w:rPr>
          <w:szCs w:val="24"/>
        </w:rPr>
        <w:t>uková hmota</w:t>
      </w:r>
      <w:r w:rsidRPr="00B52A8A">
        <w:rPr>
          <w:szCs w:val="24"/>
        </w:rPr>
        <w:t>, procentuální podíl tuku</w:t>
      </w:r>
      <w:r w:rsidR="00CB370D" w:rsidRPr="00B52A8A">
        <w:rPr>
          <w:szCs w:val="24"/>
        </w:rPr>
        <w:t xml:space="preserve"> </w:t>
      </w:r>
    </w:p>
    <w:p w:rsidR="00CB370D" w:rsidRPr="00B52A8A" w:rsidRDefault="00CB370D" w:rsidP="00140F76">
      <w:pPr>
        <w:pStyle w:val="Odstavecseseznamem"/>
        <w:numPr>
          <w:ilvl w:val="0"/>
          <w:numId w:val="14"/>
        </w:numPr>
        <w:spacing w:after="0"/>
        <w:rPr>
          <w:szCs w:val="24"/>
        </w:rPr>
      </w:pPr>
      <w:r w:rsidRPr="00B52A8A">
        <w:rPr>
          <w:szCs w:val="24"/>
        </w:rPr>
        <w:t xml:space="preserve">tukuprostá hmota </w:t>
      </w:r>
    </w:p>
    <w:p w:rsidR="00FA0F6D" w:rsidRPr="00B52A8A" w:rsidRDefault="00FA0F6D" w:rsidP="00140F76">
      <w:pPr>
        <w:pStyle w:val="Odstavecseseznamem"/>
        <w:numPr>
          <w:ilvl w:val="0"/>
          <w:numId w:val="14"/>
        </w:numPr>
        <w:spacing w:after="0"/>
        <w:rPr>
          <w:szCs w:val="24"/>
        </w:rPr>
      </w:pPr>
      <w:r w:rsidRPr="00B52A8A">
        <w:rPr>
          <w:szCs w:val="24"/>
        </w:rPr>
        <w:t>BMI, BMR</w:t>
      </w:r>
    </w:p>
    <w:p w:rsidR="00FA0F6D" w:rsidRPr="00B52A8A" w:rsidRDefault="00FA0F6D" w:rsidP="00140F76">
      <w:pPr>
        <w:pStyle w:val="Odstavecseseznamem"/>
        <w:spacing w:after="0"/>
        <w:rPr>
          <w:szCs w:val="24"/>
        </w:rPr>
      </w:pPr>
    </w:p>
    <w:p w:rsidR="00CB370D" w:rsidRPr="00B52A8A" w:rsidRDefault="00CB370D" w:rsidP="00CB370D">
      <w:pPr>
        <w:rPr>
          <w:szCs w:val="24"/>
        </w:rPr>
      </w:pPr>
      <w:r w:rsidRPr="00B52A8A">
        <w:rPr>
          <w:szCs w:val="24"/>
        </w:rPr>
        <w:t xml:space="preserve">     Jebb et al. (2000) popisoval přístroj Tanita jako zařízení, které analyzuje množství odhadu tělesného tuku na základě bioelektrické impedance. Liší se od ostatních systémů založených na bioelektrické impedanci, které využívají elektrody přiložené na kůži. Měření přístrojem Tanita probíhá tak, že proband svírá dlaněm</w:t>
      </w:r>
      <w:r w:rsidR="002057E1" w:rsidRPr="00B52A8A">
        <w:rPr>
          <w:szCs w:val="24"/>
        </w:rPr>
        <w:t>i držadla, stojí holými ploskami</w:t>
      </w:r>
      <w:r w:rsidRPr="00B52A8A">
        <w:rPr>
          <w:szCs w:val="24"/>
        </w:rPr>
        <w:t xml:space="preserve"> nohou na kovové desce, která sama zahrnuje potřebné elektrody, a tudíž jde nízký střídavý proud, o frekvenci 50 kHz, do těla přes plosky nohou a dolní končetiny. K tomu, abychom mohli zjistit, množství tělesného tuku je potřebné k výpočtu rovnic mít tyto param</w:t>
      </w:r>
      <w:r w:rsidR="00DF3886" w:rsidRPr="00B52A8A">
        <w:rPr>
          <w:szCs w:val="24"/>
        </w:rPr>
        <w:t>etry – pohlaví, věk, výška, hmotnost</w:t>
      </w:r>
      <w:r w:rsidR="00140F76" w:rsidRPr="00B52A8A">
        <w:rPr>
          <w:szCs w:val="24"/>
        </w:rPr>
        <w:t xml:space="preserve"> </w:t>
      </w:r>
      <w:r w:rsidRPr="00B52A8A">
        <w:rPr>
          <w:szCs w:val="24"/>
        </w:rPr>
        <w:t xml:space="preserve">a měřená impedance. Pomocí těchto parametrů můžeme dále odvozovat další potřebné hodnoty k určení tělesné kompozice. </w:t>
      </w:r>
    </w:p>
    <w:p w:rsidR="00587BB6" w:rsidRPr="00B52A8A" w:rsidRDefault="003F36C4" w:rsidP="00587BB6">
      <w:pPr>
        <w:pStyle w:val="P-nadpis2"/>
        <w:ind w:firstLine="0"/>
        <w:jc w:val="center"/>
        <w:rPr>
          <w:szCs w:val="28"/>
        </w:rPr>
      </w:pPr>
      <w:r w:rsidRPr="00B52A8A">
        <w:rPr>
          <w:noProof/>
          <w:lang w:eastAsia="cs-CZ"/>
        </w:rPr>
        <w:lastRenderedPageBreak/>
        <w:drawing>
          <wp:inline distT="0" distB="0" distL="0" distR="0">
            <wp:extent cx="2857500" cy="2857500"/>
            <wp:effectExtent l="19050" t="0" r="76200" b="57150"/>
            <wp:docPr id="7" name="obrázek 1" descr="http://www.tanita.com/data/Image/products/ImageResize/Body-Composition-Analyzer---BC-418_m.jpg">
              <a:hlinkClick xmlns:a="http://schemas.openxmlformats.org/drawingml/2006/main" r:id="rId9" tooltip="&quot;BC-418 Segmental Body Composition Analyzer&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www.tanita.com/data/Image/products/ImageResize/Body-Composition-Analyzer---BC-418_m.jpg"/>
                    <pic:cNvPicPr>
                      <a:picLocks noChangeAspect="1" noChangeArrowheads="1"/>
                    </pic:cNvPicPr>
                  </pic:nvPicPr>
                  <pic:blipFill>
                    <a:blip r:embed="rId10" cstate="print"/>
                    <a:srcRect/>
                    <a:stretch>
                      <a:fillRect/>
                    </a:stretch>
                  </pic:blipFill>
                  <pic:spPr bwMode="auto">
                    <a:xfrm>
                      <a:off x="0" y="0"/>
                      <a:ext cx="2857500" cy="2857500"/>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587BB6" w:rsidRPr="00B52A8A" w:rsidRDefault="00587BB6" w:rsidP="00587BB6">
      <w:pPr>
        <w:pStyle w:val="P-nadpis2"/>
        <w:spacing w:before="0"/>
        <w:ind w:firstLine="0"/>
        <w:jc w:val="center"/>
        <w:rPr>
          <w:szCs w:val="28"/>
        </w:rPr>
      </w:pPr>
    </w:p>
    <w:p w:rsidR="00587BB6" w:rsidRPr="00B52A8A" w:rsidRDefault="003F36C4" w:rsidP="00587BB6">
      <w:pPr>
        <w:pStyle w:val="P-popisobr"/>
        <w:spacing w:after="0"/>
        <w:ind w:firstLine="0"/>
        <w:jc w:val="both"/>
      </w:pPr>
      <w:r w:rsidRPr="00B52A8A">
        <w:t xml:space="preserve">Obrázek 2. Přístroj Tanita </w:t>
      </w:r>
    </w:p>
    <w:p w:rsidR="00CB370D" w:rsidRPr="00B52A8A" w:rsidRDefault="003F36C4" w:rsidP="00587BB6">
      <w:pPr>
        <w:pStyle w:val="P-popisobr"/>
        <w:ind w:firstLine="0"/>
        <w:jc w:val="both"/>
      </w:pPr>
      <w:r w:rsidRPr="00B52A8A">
        <w:t>(</w:t>
      </w:r>
      <w:r w:rsidR="00A26441" w:rsidRPr="00B52A8A">
        <w:t xml:space="preserve">upraveno </w:t>
      </w:r>
      <w:r w:rsidRPr="00B52A8A">
        <w:t xml:space="preserve">dle </w:t>
      </w:r>
      <w:hyperlink r:id="rId11" w:history="1">
        <w:r w:rsidRPr="00B52A8A">
          <w:rPr>
            <w:rStyle w:val="Hypertextovodkaz"/>
            <w:color w:val="auto"/>
            <w:u w:val="none"/>
          </w:rPr>
          <w:t>http://www.tanita.com/en/bc-418/184catId.</w:t>
        </w:r>
        <w:proofErr w:type="gramStart"/>
        <w:r w:rsidRPr="00B52A8A">
          <w:rPr>
            <w:rStyle w:val="Hypertextovodkaz"/>
            <w:color w:val="auto"/>
            <w:u w:val="none"/>
          </w:rPr>
          <w:t>520093719</w:t>
        </w:r>
      </w:hyperlink>
      <w:r w:rsidRPr="00B52A8A">
        <w:t>.html</w:t>
      </w:r>
      <w:proofErr w:type="gramEnd"/>
      <w:r w:rsidRPr="00B52A8A">
        <w:t>)</w:t>
      </w:r>
    </w:p>
    <w:p w:rsidR="00CB370D" w:rsidRPr="00B52A8A" w:rsidRDefault="00CB370D" w:rsidP="00CB370D">
      <w:pPr>
        <w:pStyle w:val="P-nadpis2"/>
        <w:ind w:firstLine="0"/>
      </w:pPr>
      <w:bookmarkStart w:id="101" w:name="_Toc239411414"/>
      <w:bookmarkStart w:id="102" w:name="_Toc293057988"/>
      <w:bookmarkStart w:id="103" w:name="_Toc293153756"/>
      <w:r w:rsidRPr="00B52A8A">
        <w:t>4</w:t>
      </w:r>
      <w:r w:rsidR="00A6032E" w:rsidRPr="00B52A8A">
        <w:t>.3</w:t>
      </w:r>
      <w:r w:rsidRPr="00B52A8A">
        <w:t xml:space="preserve"> INBODY 720</w:t>
      </w:r>
      <w:bookmarkEnd w:id="101"/>
      <w:bookmarkEnd w:id="102"/>
      <w:bookmarkEnd w:id="103"/>
    </w:p>
    <w:p w:rsidR="00CB370D" w:rsidRPr="00B52A8A" w:rsidRDefault="00CB370D" w:rsidP="00FB7CA8">
      <w:pPr>
        <w:rPr>
          <w:rFonts w:cs="Times-Roman"/>
          <w:szCs w:val="24"/>
        </w:rPr>
      </w:pPr>
      <w:r w:rsidRPr="00B52A8A">
        <w:t xml:space="preserve">     </w:t>
      </w:r>
      <w:r w:rsidRPr="00B52A8A">
        <w:rPr>
          <w:szCs w:val="24"/>
        </w:rPr>
        <w:t>Druhým z</w:t>
      </w:r>
      <w:r w:rsidR="00FA0F6D" w:rsidRPr="00B52A8A">
        <w:rPr>
          <w:szCs w:val="24"/>
        </w:rPr>
        <w:t xml:space="preserve"> přístrojů </w:t>
      </w:r>
      <w:r w:rsidRPr="00B52A8A">
        <w:rPr>
          <w:szCs w:val="24"/>
        </w:rPr>
        <w:t xml:space="preserve">použitých </w:t>
      </w:r>
      <w:r w:rsidR="00FA0F6D" w:rsidRPr="00B52A8A">
        <w:rPr>
          <w:szCs w:val="24"/>
        </w:rPr>
        <w:t xml:space="preserve">k měření tělesného složení </w:t>
      </w:r>
      <w:r w:rsidRPr="00B52A8A">
        <w:rPr>
          <w:szCs w:val="24"/>
        </w:rPr>
        <w:t xml:space="preserve">byl InBody 720 analyzátor tělesné kompozice. </w:t>
      </w:r>
      <w:r w:rsidR="00FA0F6D" w:rsidRPr="00B52A8A">
        <w:rPr>
          <w:szCs w:val="24"/>
        </w:rPr>
        <w:t xml:space="preserve">InBody 720 </w:t>
      </w:r>
      <w:r w:rsidR="00FB7CA8" w:rsidRPr="00B52A8A">
        <w:rPr>
          <w:szCs w:val="24"/>
        </w:rPr>
        <w:t xml:space="preserve">rozděluje tělesnou hmotnost na tři složky. První složka je </w:t>
      </w:r>
      <w:r w:rsidR="00FB7CA8" w:rsidRPr="00B52A8A">
        <w:rPr>
          <w:rFonts w:cs="Times-Roman"/>
          <w:szCs w:val="24"/>
        </w:rPr>
        <w:t>celková t</w:t>
      </w:r>
      <w:r w:rsidR="00FB7CA8" w:rsidRPr="00B52A8A">
        <w:rPr>
          <w:rFonts w:cs="TTE182BB38t00"/>
          <w:szCs w:val="24"/>
        </w:rPr>
        <w:t>ě</w:t>
      </w:r>
      <w:r w:rsidR="00FB7CA8" w:rsidRPr="00B52A8A">
        <w:rPr>
          <w:rFonts w:cs="Times-Roman"/>
          <w:szCs w:val="24"/>
        </w:rPr>
        <w:t>lesná voda (intracelulární a extracelulární tekutina), druhou složku tvoří sušina (proteiny a minerály) a třetí je tělesný tuk.</w:t>
      </w:r>
      <w:r w:rsidR="00FB7CA8" w:rsidRPr="00B52A8A">
        <w:rPr>
          <w:szCs w:val="24"/>
        </w:rPr>
        <w:t xml:space="preserve"> K tomu se využívá</w:t>
      </w:r>
      <w:r w:rsidRPr="00B52A8A">
        <w:rPr>
          <w:szCs w:val="24"/>
        </w:rPr>
        <w:t xml:space="preserve"> osmibodových dotykových elektrod</w:t>
      </w:r>
      <w:r w:rsidR="00FA0F6D" w:rsidRPr="00B52A8A">
        <w:rPr>
          <w:szCs w:val="24"/>
        </w:rPr>
        <w:t xml:space="preserve"> </w:t>
      </w:r>
      <w:r w:rsidR="00FA0F6D" w:rsidRPr="00B52A8A">
        <w:rPr>
          <w:rFonts w:cs="Times-Roman"/>
          <w:szCs w:val="24"/>
        </w:rPr>
        <w:t>dv</w:t>
      </w:r>
      <w:r w:rsidR="00FA0F6D" w:rsidRPr="00B52A8A">
        <w:rPr>
          <w:rFonts w:cs="TTE182BB38t00"/>
          <w:szCs w:val="24"/>
        </w:rPr>
        <w:t xml:space="preserve">ě </w:t>
      </w:r>
      <w:r w:rsidR="00FA0F6D" w:rsidRPr="00B52A8A">
        <w:rPr>
          <w:rFonts w:cs="Times-Roman"/>
          <w:szCs w:val="24"/>
        </w:rPr>
        <w:t>na dlani a palci ruky, další dv</w:t>
      </w:r>
      <w:r w:rsidR="00FA0F6D" w:rsidRPr="00B52A8A">
        <w:rPr>
          <w:rFonts w:cs="TTE182BB38t00"/>
          <w:szCs w:val="24"/>
        </w:rPr>
        <w:t xml:space="preserve">ě </w:t>
      </w:r>
      <w:r w:rsidR="00FA0F6D" w:rsidRPr="00B52A8A">
        <w:rPr>
          <w:rFonts w:cs="Times-Roman"/>
          <w:szCs w:val="24"/>
        </w:rPr>
        <w:t>na p</w:t>
      </w:r>
      <w:r w:rsidR="00FA0F6D" w:rsidRPr="00B52A8A">
        <w:rPr>
          <w:rFonts w:cs="TTE182BB38t00"/>
          <w:szCs w:val="24"/>
        </w:rPr>
        <w:t>ř</w:t>
      </w:r>
      <w:r w:rsidR="00FA0F6D" w:rsidRPr="00B52A8A">
        <w:rPr>
          <w:rFonts w:cs="Times-Roman"/>
          <w:szCs w:val="24"/>
        </w:rPr>
        <w:t>edním segmentu</w:t>
      </w:r>
      <w:r w:rsidR="00FB7CA8" w:rsidRPr="00B52A8A">
        <w:rPr>
          <w:rFonts w:cs="Times-Roman"/>
          <w:szCs w:val="24"/>
        </w:rPr>
        <w:t xml:space="preserve"> </w:t>
      </w:r>
      <w:r w:rsidR="00FA0F6D" w:rsidRPr="00B52A8A">
        <w:rPr>
          <w:rFonts w:cs="Times-Roman"/>
          <w:szCs w:val="24"/>
        </w:rPr>
        <w:t>nohy a na pa</w:t>
      </w:r>
      <w:r w:rsidR="00FA0F6D" w:rsidRPr="00B52A8A">
        <w:rPr>
          <w:rFonts w:cs="TTE182BB38t00"/>
          <w:szCs w:val="24"/>
        </w:rPr>
        <w:t>tě</w:t>
      </w:r>
      <w:r w:rsidRPr="00B52A8A">
        <w:rPr>
          <w:szCs w:val="24"/>
        </w:rPr>
        <w:t>.</w:t>
      </w:r>
      <w:r w:rsidR="00FB7CA8" w:rsidRPr="00B52A8A">
        <w:rPr>
          <w:szCs w:val="24"/>
        </w:rPr>
        <w:t xml:space="preserve"> Těchto osm bodů umožňuje analyzovat pět základních segmentů těla (levá/pravá dolní a horní končetina a trup). Impedance těchto částí je měřena samostatně. </w:t>
      </w:r>
      <w:r w:rsidRPr="00B52A8A">
        <w:rPr>
          <w:szCs w:val="24"/>
        </w:rPr>
        <w:t xml:space="preserve">Mírný proud, se dostává do těla pomocí kontaktu plosek nohou s deskou obsahující elektrody. Proband stejně jako u Tanity svírá dlaněmi držadla. Využití těchto osmi bodů, které jsou pěvně stanovené a tudíž místo vstupu i výstupu je vždy zcela totožné zajišťuje velkou přesnost měření. Navíc větší množství dotykových bodů rozděluje tělo na jednotlivé segmenty (podle www.biospace.cz). </w:t>
      </w:r>
    </w:p>
    <w:p w:rsidR="00CB370D" w:rsidRPr="00B52A8A" w:rsidRDefault="00CB370D" w:rsidP="00FA0F6D">
      <w:pPr>
        <w:rPr>
          <w:szCs w:val="24"/>
        </w:rPr>
      </w:pPr>
    </w:p>
    <w:p w:rsidR="003F36C4" w:rsidRPr="00B52A8A" w:rsidRDefault="003F36C4" w:rsidP="003F36C4">
      <w:pPr>
        <w:pStyle w:val="Odstavecseseznamem"/>
        <w:ind w:left="1155"/>
        <w:jc w:val="center"/>
        <w:rPr>
          <w:b/>
          <w:szCs w:val="24"/>
        </w:rPr>
      </w:pPr>
      <w:r w:rsidRPr="00B52A8A">
        <w:rPr>
          <w:noProof/>
          <w:lang w:eastAsia="cs-CZ"/>
        </w:rPr>
        <w:drawing>
          <wp:inline distT="0" distB="0" distL="0" distR="0">
            <wp:extent cx="2667000" cy="2857500"/>
            <wp:effectExtent l="19050" t="0" r="76200" b="57150"/>
            <wp:docPr id="15" name="obrázek 1" descr="inbody-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nbody-720"/>
                    <pic:cNvPicPr>
                      <a:picLocks noChangeAspect="1" noChangeArrowheads="1"/>
                    </pic:cNvPicPr>
                  </pic:nvPicPr>
                  <pic:blipFill>
                    <a:blip r:embed="rId12" cstate="print"/>
                    <a:srcRect/>
                    <a:stretch>
                      <a:fillRect/>
                    </a:stretch>
                  </pic:blipFill>
                  <pic:spPr bwMode="auto">
                    <a:xfrm>
                      <a:off x="0" y="0"/>
                      <a:ext cx="2667000" cy="2857500"/>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587BB6" w:rsidRPr="00B52A8A" w:rsidRDefault="00587BB6" w:rsidP="00587BB6">
      <w:pPr>
        <w:pStyle w:val="Odstavecseseznamem"/>
        <w:spacing w:after="0"/>
        <w:ind w:left="1155"/>
        <w:jc w:val="center"/>
        <w:rPr>
          <w:b/>
          <w:szCs w:val="24"/>
        </w:rPr>
      </w:pPr>
    </w:p>
    <w:p w:rsidR="00587BB6" w:rsidRPr="00B52A8A" w:rsidRDefault="003F36C4" w:rsidP="00341A15">
      <w:pPr>
        <w:pStyle w:val="P-popisobr"/>
        <w:spacing w:after="0"/>
        <w:ind w:firstLine="0"/>
        <w:jc w:val="both"/>
      </w:pPr>
      <w:r w:rsidRPr="00B52A8A">
        <w:t xml:space="preserve">Obrázek 3. Přistroj Inbody 720 </w:t>
      </w:r>
    </w:p>
    <w:p w:rsidR="003F36C4" w:rsidRPr="00B52A8A" w:rsidRDefault="003F36C4" w:rsidP="00341A15">
      <w:pPr>
        <w:pStyle w:val="P-popisobr"/>
        <w:ind w:firstLine="0"/>
        <w:jc w:val="both"/>
      </w:pPr>
      <w:r w:rsidRPr="00B52A8A">
        <w:t>(</w:t>
      </w:r>
      <w:r w:rsidR="00587BB6" w:rsidRPr="00B52A8A">
        <w:t xml:space="preserve">upraveno </w:t>
      </w:r>
      <w:r w:rsidRPr="00B52A8A">
        <w:t>dle http://www.biospace.cz/inbody-720-pb4.php)</w:t>
      </w:r>
    </w:p>
    <w:p w:rsidR="00FA0F6D" w:rsidRPr="00B52A8A" w:rsidRDefault="00FA0F6D" w:rsidP="00587BB6">
      <w:pPr>
        <w:rPr>
          <w:szCs w:val="24"/>
        </w:rPr>
      </w:pPr>
    </w:p>
    <w:p w:rsidR="00FA0F6D" w:rsidRPr="00B52A8A" w:rsidRDefault="00FA0F6D" w:rsidP="00587BB6">
      <w:pPr>
        <w:rPr>
          <w:szCs w:val="24"/>
        </w:rPr>
        <w:sectPr w:rsidR="00FA0F6D" w:rsidRPr="00B52A8A" w:rsidSect="00183166">
          <w:headerReference w:type="default" r:id="rId13"/>
          <w:footerReference w:type="default" r:id="rId14"/>
          <w:pgSz w:w="11906" w:h="16838"/>
          <w:pgMar w:top="1418" w:right="1418" w:bottom="1418" w:left="1985" w:header="1418" w:footer="1418" w:gutter="0"/>
          <w:cols w:space="708"/>
          <w:titlePg/>
          <w:docGrid w:linePitch="360"/>
        </w:sectPr>
      </w:pPr>
    </w:p>
    <w:p w:rsidR="00CB370D" w:rsidRPr="00B52A8A" w:rsidRDefault="00CB370D" w:rsidP="00FA0F6D">
      <w:pPr>
        <w:ind w:firstLine="708"/>
        <w:jc w:val="center"/>
        <w:rPr>
          <w:szCs w:val="24"/>
        </w:rPr>
      </w:pPr>
      <w:r w:rsidRPr="00B52A8A">
        <w:rPr>
          <w:noProof/>
          <w:szCs w:val="24"/>
          <w:lang w:eastAsia="cs-CZ"/>
        </w:rPr>
        <w:lastRenderedPageBreak/>
        <w:drawing>
          <wp:inline distT="0" distB="0" distL="0" distR="0">
            <wp:extent cx="800100" cy="800100"/>
            <wp:effectExtent l="19050" t="0" r="76200" b="57150"/>
            <wp:docPr id="8" name="obrázek 3" descr="http://www.biospace.cz/obrazky/produkty/pod/720-2-nahled.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www.biospace.cz/obrazky/produkty/pod/720-2-nahled.jpg"/>
                    <pic:cNvPicPr>
                      <a:picLocks noChangeAspect="1" noChangeArrowheads="1"/>
                    </pic:cNvPicPr>
                  </pic:nvPicPr>
                  <pic:blipFill>
                    <a:blip r:embed="rId16" cstate="print"/>
                    <a:srcRect/>
                    <a:stretch>
                      <a:fillRect/>
                    </a:stretch>
                  </pic:blipFill>
                  <pic:spPr bwMode="auto">
                    <a:xfrm>
                      <a:off x="0" y="0"/>
                      <a:ext cx="800100" cy="800100"/>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r w:rsidRPr="00B52A8A">
        <w:rPr>
          <w:noProof/>
          <w:szCs w:val="24"/>
          <w:lang w:eastAsia="cs-CZ"/>
        </w:rPr>
        <w:drawing>
          <wp:inline distT="0" distB="0" distL="0" distR="0">
            <wp:extent cx="800100" cy="800100"/>
            <wp:effectExtent l="19050" t="0" r="76200" b="57150"/>
            <wp:docPr id="5" name="obrázek 2" descr="http://www.biospace.cz/obrazky/produkty/pod/720-1-nahled.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biospace.cz/obrazky/produkty/pod/720-1-nahled.jpg"/>
                    <pic:cNvPicPr>
                      <a:picLocks noChangeAspect="1" noChangeArrowheads="1"/>
                    </pic:cNvPicPr>
                  </pic:nvPicPr>
                  <pic:blipFill>
                    <a:blip r:embed="rId18" cstate="print"/>
                    <a:srcRect/>
                    <a:stretch>
                      <a:fillRect/>
                    </a:stretch>
                  </pic:blipFill>
                  <pic:spPr bwMode="auto">
                    <a:xfrm>
                      <a:off x="0" y="0"/>
                      <a:ext cx="800100" cy="800100"/>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0524BF" w:rsidRPr="00B52A8A" w:rsidRDefault="000524BF" w:rsidP="00FA0F6D">
      <w:pPr>
        <w:ind w:firstLine="708"/>
        <w:jc w:val="center"/>
        <w:rPr>
          <w:szCs w:val="24"/>
        </w:rPr>
      </w:pPr>
    </w:p>
    <w:p w:rsidR="00587BB6" w:rsidRPr="00B52A8A" w:rsidRDefault="000524BF" w:rsidP="00341A15">
      <w:pPr>
        <w:pStyle w:val="P-popisobr"/>
        <w:spacing w:after="0"/>
        <w:ind w:left="567" w:firstLine="0"/>
        <w:jc w:val="both"/>
      </w:pPr>
      <w:r w:rsidRPr="00B52A8A">
        <w:t xml:space="preserve">Obrázek 4. Dotyková místa měření </w:t>
      </w:r>
    </w:p>
    <w:p w:rsidR="000524BF" w:rsidRPr="00B52A8A" w:rsidRDefault="000524BF" w:rsidP="00341A15">
      <w:pPr>
        <w:pStyle w:val="P-popisobr"/>
        <w:ind w:firstLine="567"/>
        <w:jc w:val="both"/>
      </w:pPr>
      <w:r w:rsidRPr="00B52A8A">
        <w:t>(</w:t>
      </w:r>
      <w:r w:rsidR="00587BB6" w:rsidRPr="00B52A8A">
        <w:t xml:space="preserve">upraveno </w:t>
      </w:r>
      <w:r w:rsidRPr="00B52A8A">
        <w:t>dle http://www.biospace.cz/inbody-720-pb4.php)</w:t>
      </w:r>
    </w:p>
    <w:p w:rsidR="000524BF" w:rsidRPr="00B52A8A" w:rsidRDefault="000524BF" w:rsidP="000524BF">
      <w:pPr>
        <w:ind w:firstLine="708"/>
        <w:jc w:val="center"/>
        <w:rPr>
          <w:szCs w:val="24"/>
        </w:rPr>
        <w:sectPr w:rsidR="000524BF" w:rsidRPr="00B52A8A" w:rsidSect="00183166">
          <w:type w:val="continuous"/>
          <w:pgSz w:w="11906" w:h="16838"/>
          <w:pgMar w:top="1417" w:right="1418" w:bottom="1417" w:left="1985" w:header="709" w:footer="708" w:gutter="0"/>
          <w:cols w:space="708"/>
          <w:titlePg/>
          <w:docGrid w:linePitch="360"/>
        </w:sectPr>
      </w:pPr>
    </w:p>
    <w:p w:rsidR="00CB370D" w:rsidRPr="00B52A8A" w:rsidRDefault="00CB370D" w:rsidP="00341A15">
      <w:pPr>
        <w:rPr>
          <w:szCs w:val="24"/>
        </w:rPr>
      </w:pPr>
      <w:r w:rsidRPr="00B52A8A">
        <w:rPr>
          <w:szCs w:val="24"/>
        </w:rPr>
        <w:lastRenderedPageBreak/>
        <w:t xml:space="preserve">     Jak tvrdí firma (www.biospace.cz) problém, který u přístrojů založených na získání tělesného složení metodou bioelektrické impedance často nastává, je že jde o pouhý empirický odhad množství nitrobuněčné vody, protože nízkofrekvenční systémy nejsou schopny proniknout dvouvrstevnou membránou buněk. Mimobuněčná voda se měří proudy s nízkými frekvencemi pod 50 kHz. Nitrobuněčná voda naopak frekvencemi, které dosahují vysokých frekvencí nad 200 kHz. InBody systém, který má mnohonásobně vyšší impedanci zajišťuje tedy přesné měření a to je našim cílem.</w:t>
      </w:r>
      <w:r w:rsidR="0049620C" w:rsidRPr="00B52A8A">
        <w:rPr>
          <w:szCs w:val="24"/>
        </w:rPr>
        <w:t xml:space="preserve"> Na obrázku níže můžeme vidět bioelektrické vlastnosti buňky, tedy jakým způsobem dochází </w:t>
      </w:r>
      <w:r w:rsidR="00341A15" w:rsidRPr="00B52A8A">
        <w:rPr>
          <w:szCs w:val="24"/>
        </w:rPr>
        <w:br/>
      </w:r>
      <w:r w:rsidR="0049620C" w:rsidRPr="00B52A8A">
        <w:rPr>
          <w:szCs w:val="24"/>
        </w:rPr>
        <w:t>k průchodu proudu buňkou při jeho různých intenzitách.</w:t>
      </w:r>
    </w:p>
    <w:p w:rsidR="00CB370D" w:rsidRPr="00B52A8A" w:rsidRDefault="0049620C" w:rsidP="0049620C">
      <w:pPr>
        <w:ind w:firstLine="708"/>
        <w:jc w:val="center"/>
        <w:rPr>
          <w:szCs w:val="24"/>
        </w:rPr>
      </w:pPr>
      <w:r w:rsidRPr="00B52A8A">
        <w:rPr>
          <w:noProof/>
          <w:szCs w:val="24"/>
          <w:lang w:eastAsia="cs-CZ"/>
        </w:rPr>
        <w:drawing>
          <wp:inline distT="0" distB="0" distL="0" distR="0">
            <wp:extent cx="3181350" cy="2827867"/>
            <wp:effectExtent l="19050" t="0" r="0" b="0"/>
            <wp:docPr id="2" name="obrázek 10" descr="http://www.bodystat.com/images/Cell%20Proper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odystat.com/images/Cell%20Properties.JPG"/>
                    <pic:cNvPicPr>
                      <a:picLocks noChangeAspect="1" noChangeArrowheads="1"/>
                    </pic:cNvPicPr>
                  </pic:nvPicPr>
                  <pic:blipFill>
                    <a:blip r:embed="rId19" cstate="print"/>
                    <a:srcRect/>
                    <a:stretch>
                      <a:fillRect/>
                    </a:stretch>
                  </pic:blipFill>
                  <pic:spPr bwMode="auto">
                    <a:xfrm>
                      <a:off x="0" y="0"/>
                      <a:ext cx="3181350" cy="2827867"/>
                    </a:xfrm>
                    <a:prstGeom prst="rect">
                      <a:avLst/>
                    </a:prstGeom>
                    <a:noFill/>
                    <a:ln w="9525">
                      <a:noFill/>
                      <a:miter lim="800000"/>
                      <a:headEnd/>
                      <a:tailEnd/>
                    </a:ln>
                  </pic:spPr>
                </pic:pic>
              </a:graphicData>
            </a:graphic>
          </wp:inline>
        </w:drawing>
      </w:r>
    </w:p>
    <w:p w:rsidR="00587BB6" w:rsidRPr="00B52A8A" w:rsidRDefault="00341A15" w:rsidP="00587BB6">
      <w:pPr>
        <w:spacing w:after="0"/>
        <w:ind w:firstLine="708"/>
        <w:jc w:val="center"/>
        <w:rPr>
          <w:szCs w:val="24"/>
        </w:rPr>
      </w:pPr>
      <w:r w:rsidRPr="00B52A8A">
        <w:rPr>
          <w:szCs w:val="24"/>
        </w:rPr>
        <w:tab/>
      </w:r>
    </w:p>
    <w:p w:rsidR="00587BB6" w:rsidRPr="00B52A8A" w:rsidRDefault="0049620C" w:rsidP="00341A15">
      <w:pPr>
        <w:spacing w:after="0"/>
        <w:rPr>
          <w:i/>
          <w:sz w:val="20"/>
          <w:szCs w:val="20"/>
        </w:rPr>
      </w:pPr>
      <w:r w:rsidRPr="00B52A8A">
        <w:rPr>
          <w:i/>
          <w:sz w:val="20"/>
          <w:szCs w:val="20"/>
        </w:rPr>
        <w:t>Obrázek</w:t>
      </w:r>
      <w:r w:rsidR="00A6032E" w:rsidRPr="00B52A8A">
        <w:rPr>
          <w:i/>
          <w:sz w:val="20"/>
          <w:szCs w:val="20"/>
        </w:rPr>
        <w:t xml:space="preserve"> 5.</w:t>
      </w:r>
      <w:r w:rsidRPr="00B52A8A">
        <w:rPr>
          <w:i/>
          <w:sz w:val="20"/>
          <w:szCs w:val="20"/>
        </w:rPr>
        <w:t xml:space="preserve"> Bioelektrické vlastnosti </w:t>
      </w:r>
    </w:p>
    <w:p w:rsidR="0049620C" w:rsidRPr="00B52A8A" w:rsidRDefault="00587BB6" w:rsidP="00341A15">
      <w:pPr>
        <w:spacing w:after="0"/>
        <w:jc w:val="left"/>
        <w:rPr>
          <w:i/>
          <w:sz w:val="20"/>
          <w:szCs w:val="20"/>
        </w:rPr>
      </w:pPr>
      <w:r w:rsidRPr="00B52A8A">
        <w:rPr>
          <w:i/>
          <w:sz w:val="20"/>
          <w:szCs w:val="20"/>
        </w:rPr>
        <w:t xml:space="preserve">(upraveno dle </w:t>
      </w:r>
      <w:r w:rsidR="0049620C" w:rsidRPr="00B52A8A">
        <w:rPr>
          <w:i/>
          <w:sz w:val="20"/>
          <w:szCs w:val="20"/>
        </w:rPr>
        <w:t>http://www.tuxmed.com/store/bodystat-quadscan-4000-</w:t>
      </w:r>
      <w:r w:rsidRPr="00B52A8A">
        <w:rPr>
          <w:i/>
          <w:sz w:val="20"/>
          <w:szCs w:val="20"/>
        </w:rPr>
        <w:t xml:space="preserve"> </w:t>
      </w:r>
      <w:r w:rsidR="0049620C" w:rsidRPr="00B52A8A">
        <w:rPr>
          <w:i/>
          <w:sz w:val="20"/>
          <w:szCs w:val="20"/>
        </w:rPr>
        <w:t>analyzer.html).</w:t>
      </w:r>
    </w:p>
    <w:p w:rsidR="0049620C" w:rsidRPr="00B52A8A" w:rsidRDefault="0049620C" w:rsidP="00587BB6">
      <w:pPr>
        <w:ind w:firstLine="708"/>
        <w:rPr>
          <w:szCs w:val="24"/>
        </w:rPr>
      </w:pPr>
    </w:p>
    <w:p w:rsidR="00CB370D" w:rsidRPr="00B52A8A" w:rsidRDefault="00CB370D" w:rsidP="005C7CD5">
      <w:pPr>
        <w:rPr>
          <w:b/>
        </w:rPr>
      </w:pPr>
      <w:bookmarkStart w:id="104" w:name="_Toc237930434"/>
      <w:bookmarkStart w:id="105" w:name="_Toc237931054"/>
      <w:bookmarkStart w:id="106" w:name="_Toc237931396"/>
      <w:bookmarkStart w:id="107" w:name="_Toc237933079"/>
      <w:bookmarkStart w:id="108" w:name="_Toc239156888"/>
      <w:bookmarkStart w:id="109" w:name="_Toc239157243"/>
      <w:bookmarkStart w:id="110" w:name="_Toc239411415"/>
      <w:r w:rsidRPr="00B52A8A">
        <w:rPr>
          <w:b/>
        </w:rPr>
        <w:t>Získané parametry:</w:t>
      </w:r>
      <w:bookmarkEnd w:id="104"/>
      <w:bookmarkEnd w:id="105"/>
      <w:bookmarkEnd w:id="106"/>
      <w:bookmarkEnd w:id="107"/>
      <w:bookmarkEnd w:id="108"/>
      <w:bookmarkEnd w:id="109"/>
      <w:bookmarkEnd w:id="110"/>
    </w:p>
    <w:p w:rsidR="00CB370D" w:rsidRPr="00B52A8A" w:rsidRDefault="00BC3CC0" w:rsidP="00361571">
      <w:pPr>
        <w:numPr>
          <w:ilvl w:val="0"/>
          <w:numId w:val="19"/>
        </w:numPr>
        <w:spacing w:before="100" w:beforeAutospacing="1" w:after="100" w:afterAutospacing="1"/>
        <w:rPr>
          <w:szCs w:val="24"/>
        </w:rPr>
      </w:pPr>
      <w:r w:rsidRPr="00B52A8A">
        <w:rPr>
          <w:szCs w:val="24"/>
        </w:rPr>
        <w:t>c</w:t>
      </w:r>
      <w:r w:rsidR="00CB370D" w:rsidRPr="00B52A8A">
        <w:rPr>
          <w:szCs w:val="24"/>
        </w:rPr>
        <w:t xml:space="preserve">elková tělesná voda, vnitrobuněčná voda, mimobuněčná voda, proteiny, kostní/nekostní minerály, tuková hmota, kostní </w:t>
      </w:r>
      <w:r w:rsidR="00341A15" w:rsidRPr="00B52A8A">
        <w:rPr>
          <w:szCs w:val="24"/>
        </w:rPr>
        <w:br/>
      </w:r>
      <w:r w:rsidR="00CB370D" w:rsidRPr="00B52A8A">
        <w:rPr>
          <w:szCs w:val="24"/>
        </w:rPr>
        <w:t xml:space="preserve">a svalová hmota, svalová hmota, bez </w:t>
      </w:r>
      <w:proofErr w:type="gramStart"/>
      <w:r w:rsidR="00341A15" w:rsidRPr="00B52A8A">
        <w:rPr>
          <w:szCs w:val="24"/>
        </w:rPr>
        <w:t>tuková</w:t>
      </w:r>
      <w:proofErr w:type="gramEnd"/>
      <w:r w:rsidR="00341A15" w:rsidRPr="00B52A8A">
        <w:rPr>
          <w:szCs w:val="24"/>
        </w:rPr>
        <w:t xml:space="preserve"> hmota</w:t>
      </w:r>
      <w:r w:rsidR="00CB370D" w:rsidRPr="00B52A8A">
        <w:rPr>
          <w:szCs w:val="24"/>
        </w:rPr>
        <w:t xml:space="preserve"> </w:t>
      </w:r>
    </w:p>
    <w:p w:rsidR="00CB370D" w:rsidRPr="00B52A8A" w:rsidRDefault="00BC3CC0" w:rsidP="00D42B78">
      <w:pPr>
        <w:numPr>
          <w:ilvl w:val="0"/>
          <w:numId w:val="19"/>
        </w:numPr>
        <w:spacing w:before="100" w:beforeAutospacing="1" w:after="100" w:afterAutospacing="1"/>
        <w:rPr>
          <w:szCs w:val="24"/>
        </w:rPr>
      </w:pPr>
      <w:r w:rsidRPr="00B52A8A">
        <w:rPr>
          <w:szCs w:val="24"/>
        </w:rPr>
        <w:t>s</w:t>
      </w:r>
      <w:r w:rsidR="00CB370D" w:rsidRPr="00B52A8A">
        <w:rPr>
          <w:szCs w:val="24"/>
        </w:rPr>
        <w:t xml:space="preserve">valová hmota v jednotlivých tělesných částech, procento svaloviny v jednotlivých tělesných částech </w:t>
      </w:r>
    </w:p>
    <w:p w:rsidR="00CB370D" w:rsidRPr="00B52A8A" w:rsidRDefault="00BC3CC0" w:rsidP="00D42B78">
      <w:pPr>
        <w:numPr>
          <w:ilvl w:val="0"/>
          <w:numId w:val="19"/>
        </w:numPr>
        <w:spacing w:before="100" w:beforeAutospacing="1" w:after="100" w:afterAutospacing="1"/>
        <w:rPr>
          <w:szCs w:val="24"/>
        </w:rPr>
      </w:pPr>
      <w:r w:rsidRPr="00B52A8A">
        <w:rPr>
          <w:szCs w:val="24"/>
        </w:rPr>
        <w:lastRenderedPageBreak/>
        <w:t>e</w:t>
      </w:r>
      <w:r w:rsidR="00CB370D" w:rsidRPr="00B52A8A">
        <w:rPr>
          <w:szCs w:val="24"/>
        </w:rPr>
        <w:t xml:space="preserve">dém, edém v jednotlivých tělesných částech </w:t>
      </w:r>
    </w:p>
    <w:p w:rsidR="00587BB6" w:rsidRPr="00B52A8A" w:rsidRDefault="00587BB6" w:rsidP="00587BB6">
      <w:pPr>
        <w:numPr>
          <w:ilvl w:val="0"/>
          <w:numId w:val="19"/>
        </w:numPr>
        <w:spacing w:before="100" w:beforeAutospacing="1" w:after="100" w:afterAutospacing="1"/>
      </w:pPr>
      <w:r w:rsidRPr="00B52A8A">
        <w:rPr>
          <w:szCs w:val="24"/>
        </w:rPr>
        <w:t xml:space="preserve">impedance v jednotlivých tělesných částech stanovené každou frekvencí zvlášť </w:t>
      </w:r>
    </w:p>
    <w:p w:rsidR="00341A15" w:rsidRPr="00B52A8A" w:rsidRDefault="00341A15" w:rsidP="00587BB6">
      <w:pPr>
        <w:numPr>
          <w:ilvl w:val="0"/>
          <w:numId w:val="19"/>
        </w:numPr>
        <w:spacing w:before="100" w:beforeAutospacing="1" w:after="100" w:afterAutospacing="1"/>
      </w:pPr>
      <w:r w:rsidRPr="00B52A8A">
        <w:rPr>
          <w:szCs w:val="24"/>
        </w:rPr>
        <w:t>segmentální analýza</w:t>
      </w:r>
    </w:p>
    <w:p w:rsidR="00CB370D" w:rsidRPr="00B52A8A" w:rsidRDefault="00BC3CC0" w:rsidP="00D42B78">
      <w:pPr>
        <w:numPr>
          <w:ilvl w:val="0"/>
          <w:numId w:val="19"/>
        </w:numPr>
        <w:spacing w:before="100" w:beforeAutospacing="1" w:after="100" w:afterAutospacing="1"/>
        <w:rPr>
          <w:szCs w:val="24"/>
        </w:rPr>
      </w:pPr>
      <w:r w:rsidRPr="00B52A8A">
        <w:rPr>
          <w:szCs w:val="24"/>
        </w:rPr>
        <w:t>o</w:t>
      </w:r>
      <w:r w:rsidR="00CB370D" w:rsidRPr="00B52A8A">
        <w:rPr>
          <w:szCs w:val="24"/>
        </w:rPr>
        <w:t>blast tělesného tuku</w:t>
      </w:r>
      <w:r w:rsidR="00BC0E12" w:rsidRPr="00B52A8A">
        <w:rPr>
          <w:szCs w:val="24"/>
        </w:rPr>
        <w:t xml:space="preserve"> </w:t>
      </w:r>
      <w:r w:rsidR="00CB370D" w:rsidRPr="00B52A8A">
        <w:rPr>
          <w:szCs w:val="24"/>
        </w:rPr>
        <w:t xml:space="preserve"> </w:t>
      </w:r>
    </w:p>
    <w:p w:rsidR="00CB370D" w:rsidRPr="00B52A8A" w:rsidRDefault="00BC3CC0" w:rsidP="00D42B78">
      <w:pPr>
        <w:numPr>
          <w:ilvl w:val="0"/>
          <w:numId w:val="19"/>
        </w:numPr>
        <w:spacing w:before="100" w:beforeAutospacing="1" w:after="100" w:afterAutospacing="1"/>
        <w:rPr>
          <w:szCs w:val="24"/>
        </w:rPr>
      </w:pPr>
      <w:r w:rsidRPr="00B52A8A">
        <w:rPr>
          <w:szCs w:val="24"/>
        </w:rPr>
        <w:t>n</w:t>
      </w:r>
      <w:r w:rsidR="00CB370D" w:rsidRPr="00B52A8A">
        <w:rPr>
          <w:szCs w:val="24"/>
        </w:rPr>
        <w:t xml:space="preserve">utriční diagnóza (proteiny, minerály, tuk, edém) </w:t>
      </w:r>
    </w:p>
    <w:p w:rsidR="00CB370D" w:rsidRPr="00B52A8A" w:rsidRDefault="00BC3CC0" w:rsidP="00D42B78">
      <w:pPr>
        <w:numPr>
          <w:ilvl w:val="0"/>
          <w:numId w:val="19"/>
        </w:numPr>
        <w:spacing w:before="100" w:beforeAutospacing="1" w:after="100" w:afterAutospacing="1"/>
        <w:rPr>
          <w:szCs w:val="24"/>
        </w:rPr>
      </w:pPr>
      <w:r w:rsidRPr="00B52A8A">
        <w:rPr>
          <w:szCs w:val="24"/>
        </w:rPr>
        <w:t>t</w:t>
      </w:r>
      <w:r w:rsidR="00CB370D" w:rsidRPr="00B52A8A">
        <w:rPr>
          <w:szCs w:val="24"/>
        </w:rPr>
        <w:t xml:space="preserve">ělesná vyváženost, tělesná síla, zdravotní diagnóza </w:t>
      </w:r>
    </w:p>
    <w:p w:rsidR="00CB370D" w:rsidRPr="00B52A8A" w:rsidRDefault="00BC3CC0" w:rsidP="00D42B78">
      <w:pPr>
        <w:numPr>
          <w:ilvl w:val="0"/>
          <w:numId w:val="19"/>
        </w:numPr>
        <w:spacing w:before="100" w:beforeAutospacing="1" w:after="100" w:afterAutospacing="1"/>
        <w:rPr>
          <w:szCs w:val="24"/>
        </w:rPr>
      </w:pPr>
      <w:r w:rsidRPr="00B52A8A">
        <w:rPr>
          <w:szCs w:val="24"/>
        </w:rPr>
        <w:t>c</w:t>
      </w:r>
      <w:r w:rsidR="00CB370D" w:rsidRPr="00B52A8A">
        <w:rPr>
          <w:szCs w:val="24"/>
        </w:rPr>
        <w:t xml:space="preserve">ílová váha, kontrola váhy, tuková kontrola, svalová kontrola, stav tělesné zdatnosti, stupeň obezity, BCM, BMC, BMR, AC, AMC </w:t>
      </w:r>
    </w:p>
    <w:p w:rsidR="00587BB6" w:rsidRPr="00B52A8A" w:rsidRDefault="00587BB6" w:rsidP="00587BB6">
      <w:pPr>
        <w:numPr>
          <w:ilvl w:val="0"/>
          <w:numId w:val="19"/>
        </w:numPr>
        <w:spacing w:before="100" w:beforeAutospacing="1" w:after="100" w:afterAutospacing="1"/>
        <w:rPr>
          <w:szCs w:val="24"/>
        </w:rPr>
      </w:pPr>
      <w:r w:rsidRPr="00B52A8A">
        <w:rPr>
          <w:szCs w:val="24"/>
        </w:rPr>
        <w:t xml:space="preserve">BMI, procentuální podíl tělesného tuku, poměr pasu k bokům (WHR). </w:t>
      </w:r>
    </w:p>
    <w:p w:rsidR="00587BB6" w:rsidRPr="00B52A8A" w:rsidRDefault="00587BB6" w:rsidP="00341A15">
      <w:pPr>
        <w:numPr>
          <w:ilvl w:val="0"/>
          <w:numId w:val="19"/>
        </w:numPr>
        <w:spacing w:before="100" w:beforeAutospacing="1" w:after="100" w:afterAutospacing="1"/>
        <w:rPr>
          <w:szCs w:val="24"/>
        </w:rPr>
      </w:pPr>
      <w:r w:rsidRPr="00B52A8A">
        <w:rPr>
          <w:szCs w:val="24"/>
        </w:rPr>
        <w:t>index tukuprosté hmoty, tukové hmoty.</w:t>
      </w:r>
    </w:p>
    <w:p w:rsidR="00BC0E12" w:rsidRPr="00B52A8A" w:rsidRDefault="00BC0E12" w:rsidP="00341A15">
      <w:pPr>
        <w:spacing w:after="0"/>
        <w:rPr>
          <w:b/>
          <w:szCs w:val="24"/>
        </w:rPr>
      </w:pPr>
      <w:r w:rsidRPr="00B52A8A">
        <w:rPr>
          <w:b/>
          <w:szCs w:val="24"/>
        </w:rPr>
        <w:t>Z</w:t>
      </w:r>
      <w:r w:rsidR="00CB370D" w:rsidRPr="00B52A8A">
        <w:rPr>
          <w:b/>
          <w:szCs w:val="24"/>
        </w:rPr>
        <w:t xml:space="preserve"> těchto parametrů </w:t>
      </w:r>
      <w:r w:rsidRPr="00B52A8A">
        <w:rPr>
          <w:b/>
          <w:szCs w:val="24"/>
        </w:rPr>
        <w:t xml:space="preserve">jsme pro tuto práci </w:t>
      </w:r>
      <w:r w:rsidR="00CB370D" w:rsidRPr="00B52A8A">
        <w:rPr>
          <w:b/>
          <w:szCs w:val="24"/>
        </w:rPr>
        <w:t>využili</w:t>
      </w:r>
      <w:r w:rsidRPr="00B52A8A">
        <w:rPr>
          <w:b/>
          <w:szCs w:val="24"/>
        </w:rPr>
        <w:t>:</w:t>
      </w:r>
    </w:p>
    <w:p w:rsidR="00BC0E12" w:rsidRPr="00B52A8A" w:rsidRDefault="00BC0E12" w:rsidP="00341A15">
      <w:pPr>
        <w:pStyle w:val="Odstavecseseznamem"/>
        <w:numPr>
          <w:ilvl w:val="0"/>
          <w:numId w:val="13"/>
        </w:numPr>
        <w:spacing w:after="0"/>
        <w:ind w:left="709" w:hanging="283"/>
        <w:rPr>
          <w:szCs w:val="24"/>
        </w:rPr>
      </w:pPr>
      <w:r w:rsidRPr="00B52A8A">
        <w:rPr>
          <w:szCs w:val="24"/>
        </w:rPr>
        <w:t>množství</w:t>
      </w:r>
      <w:r w:rsidR="00CB370D" w:rsidRPr="00B52A8A">
        <w:rPr>
          <w:szCs w:val="24"/>
        </w:rPr>
        <w:t xml:space="preserve"> </w:t>
      </w:r>
      <w:r w:rsidRPr="00B52A8A">
        <w:rPr>
          <w:szCs w:val="24"/>
        </w:rPr>
        <w:t xml:space="preserve">celkové tělesné vody, intracelulární a </w:t>
      </w:r>
      <w:r w:rsidR="00CB370D" w:rsidRPr="00B52A8A">
        <w:rPr>
          <w:szCs w:val="24"/>
        </w:rPr>
        <w:t>extracelulární</w:t>
      </w:r>
      <w:r w:rsidRPr="00B52A8A">
        <w:rPr>
          <w:szCs w:val="24"/>
        </w:rPr>
        <w:t xml:space="preserve"> vody</w:t>
      </w:r>
    </w:p>
    <w:p w:rsidR="00BC0E12" w:rsidRPr="00B52A8A" w:rsidRDefault="00985D4F" w:rsidP="00341A15">
      <w:pPr>
        <w:pStyle w:val="Odstavecseseznamem"/>
        <w:numPr>
          <w:ilvl w:val="0"/>
          <w:numId w:val="13"/>
        </w:numPr>
        <w:spacing w:after="0"/>
        <w:ind w:left="709" w:hanging="283"/>
        <w:rPr>
          <w:szCs w:val="24"/>
        </w:rPr>
      </w:pPr>
      <w:r w:rsidRPr="00B52A8A">
        <w:rPr>
          <w:szCs w:val="24"/>
        </w:rPr>
        <w:t>edema index</w:t>
      </w:r>
    </w:p>
    <w:p w:rsidR="00CB370D" w:rsidRPr="00B52A8A" w:rsidRDefault="00CB370D" w:rsidP="00341A15">
      <w:pPr>
        <w:pStyle w:val="Odstavecseseznamem"/>
        <w:numPr>
          <w:ilvl w:val="0"/>
          <w:numId w:val="13"/>
        </w:numPr>
        <w:spacing w:after="0"/>
        <w:ind w:left="709" w:hanging="283"/>
        <w:rPr>
          <w:szCs w:val="24"/>
        </w:rPr>
      </w:pPr>
      <w:r w:rsidRPr="00B52A8A">
        <w:rPr>
          <w:szCs w:val="24"/>
        </w:rPr>
        <w:t>tukovou hmotu, procentuální podíl tělesného tuku a tukuprostou hmotu</w:t>
      </w:r>
    </w:p>
    <w:p w:rsidR="00BC0E12" w:rsidRPr="00B52A8A" w:rsidRDefault="00BC0E12" w:rsidP="00341A15">
      <w:pPr>
        <w:pStyle w:val="Odstavecseseznamem"/>
        <w:numPr>
          <w:ilvl w:val="0"/>
          <w:numId w:val="13"/>
        </w:numPr>
        <w:spacing w:after="0"/>
        <w:ind w:left="709" w:hanging="283"/>
        <w:rPr>
          <w:szCs w:val="24"/>
        </w:rPr>
      </w:pPr>
      <w:r w:rsidRPr="00B52A8A">
        <w:rPr>
          <w:szCs w:val="24"/>
        </w:rPr>
        <w:t>oblast tělesného tuku</w:t>
      </w:r>
    </w:p>
    <w:p w:rsidR="00BC0E12" w:rsidRPr="00B52A8A" w:rsidRDefault="00BC0E12" w:rsidP="00341A15">
      <w:pPr>
        <w:pStyle w:val="Odstavecseseznamem"/>
        <w:numPr>
          <w:ilvl w:val="0"/>
          <w:numId w:val="13"/>
        </w:numPr>
        <w:spacing w:after="0"/>
        <w:ind w:left="709" w:hanging="283"/>
        <w:rPr>
          <w:szCs w:val="24"/>
        </w:rPr>
      </w:pPr>
      <w:r w:rsidRPr="00B52A8A">
        <w:rPr>
          <w:szCs w:val="24"/>
        </w:rPr>
        <w:t>indexy tukové a tukuprosté hmoty</w:t>
      </w:r>
    </w:p>
    <w:p w:rsidR="00BC0E12" w:rsidRPr="00B52A8A" w:rsidRDefault="00BC0E12" w:rsidP="00341A15">
      <w:pPr>
        <w:pStyle w:val="Odstavecseseznamem"/>
        <w:numPr>
          <w:ilvl w:val="0"/>
          <w:numId w:val="13"/>
        </w:numPr>
        <w:spacing w:after="0"/>
        <w:ind w:left="709" w:hanging="283"/>
        <w:rPr>
          <w:szCs w:val="24"/>
        </w:rPr>
      </w:pPr>
      <w:r w:rsidRPr="00B52A8A">
        <w:rPr>
          <w:szCs w:val="24"/>
        </w:rPr>
        <w:t>BMI, BMR</w:t>
      </w:r>
    </w:p>
    <w:p w:rsidR="003F36C4" w:rsidRPr="00B52A8A" w:rsidRDefault="00BC3CC0" w:rsidP="00341A15">
      <w:pPr>
        <w:pStyle w:val="Odstavecseseznamem"/>
        <w:numPr>
          <w:ilvl w:val="0"/>
          <w:numId w:val="13"/>
        </w:numPr>
        <w:spacing w:after="0"/>
        <w:ind w:left="709" w:hanging="283"/>
        <w:rPr>
          <w:szCs w:val="24"/>
        </w:rPr>
      </w:pPr>
      <w:r w:rsidRPr="00B52A8A">
        <w:rPr>
          <w:szCs w:val="24"/>
        </w:rPr>
        <w:t>f</w:t>
      </w:r>
      <w:r w:rsidR="003F36C4" w:rsidRPr="00B52A8A">
        <w:rPr>
          <w:szCs w:val="24"/>
        </w:rPr>
        <w:t>itness skóre</w:t>
      </w:r>
    </w:p>
    <w:p w:rsidR="003F36C4" w:rsidRPr="00B52A8A" w:rsidRDefault="00BC3CC0" w:rsidP="00341A15">
      <w:pPr>
        <w:pStyle w:val="Odstavecseseznamem"/>
        <w:numPr>
          <w:ilvl w:val="0"/>
          <w:numId w:val="13"/>
        </w:numPr>
        <w:spacing w:after="0"/>
        <w:ind w:left="709" w:hanging="283"/>
        <w:rPr>
          <w:szCs w:val="24"/>
        </w:rPr>
      </w:pPr>
      <w:r w:rsidRPr="00B52A8A">
        <w:rPr>
          <w:szCs w:val="24"/>
        </w:rPr>
        <w:t>s</w:t>
      </w:r>
      <w:r w:rsidR="003F36C4" w:rsidRPr="00B52A8A">
        <w:rPr>
          <w:szCs w:val="24"/>
        </w:rPr>
        <w:t>tupeň obezity</w:t>
      </w:r>
    </w:p>
    <w:p w:rsidR="00341A15" w:rsidRPr="00B52A8A" w:rsidRDefault="00341A15" w:rsidP="00341A15">
      <w:pPr>
        <w:pStyle w:val="Odstavecseseznamem"/>
        <w:numPr>
          <w:ilvl w:val="0"/>
          <w:numId w:val="13"/>
        </w:numPr>
        <w:spacing w:after="0"/>
        <w:ind w:left="709" w:hanging="283"/>
        <w:rPr>
          <w:szCs w:val="24"/>
        </w:rPr>
      </w:pPr>
      <w:r w:rsidRPr="00B52A8A">
        <w:rPr>
          <w:szCs w:val="24"/>
        </w:rPr>
        <w:t>segmentální analýza</w:t>
      </w:r>
    </w:p>
    <w:p w:rsidR="00BC0E12" w:rsidRPr="00B52A8A" w:rsidRDefault="00BC0E12" w:rsidP="00341A15">
      <w:pPr>
        <w:spacing w:after="0"/>
        <w:rPr>
          <w:szCs w:val="24"/>
        </w:rPr>
      </w:pPr>
    </w:p>
    <w:p w:rsidR="00CB370D" w:rsidRPr="00B52A8A" w:rsidRDefault="00CB370D" w:rsidP="00341A15">
      <w:pPr>
        <w:spacing w:after="0"/>
        <w:ind w:firstLine="708"/>
        <w:rPr>
          <w:color w:val="00B050"/>
          <w:szCs w:val="24"/>
        </w:rPr>
      </w:pPr>
      <w:r w:rsidRPr="00B52A8A">
        <w:rPr>
          <w:szCs w:val="24"/>
        </w:rPr>
        <w:t xml:space="preserve">Základní rozdíl mezi </w:t>
      </w:r>
      <w:r w:rsidR="00BC0E12" w:rsidRPr="00B52A8A">
        <w:rPr>
          <w:szCs w:val="24"/>
        </w:rPr>
        <w:t>přístroji Tanitou</w:t>
      </w:r>
      <w:r w:rsidR="0049620C" w:rsidRPr="00B52A8A">
        <w:rPr>
          <w:szCs w:val="24"/>
        </w:rPr>
        <w:t xml:space="preserve"> NC-BC 418</w:t>
      </w:r>
      <w:r w:rsidR="00BC0E12" w:rsidRPr="00B52A8A">
        <w:rPr>
          <w:szCs w:val="24"/>
        </w:rPr>
        <w:t xml:space="preserve"> a Inbody</w:t>
      </w:r>
      <w:r w:rsidR="0049620C" w:rsidRPr="00B52A8A">
        <w:rPr>
          <w:szCs w:val="24"/>
        </w:rPr>
        <w:t xml:space="preserve"> 720</w:t>
      </w:r>
      <w:r w:rsidR="00BC0E12" w:rsidRPr="00B52A8A">
        <w:rPr>
          <w:szCs w:val="24"/>
        </w:rPr>
        <w:t xml:space="preserve"> </w:t>
      </w:r>
      <w:r w:rsidRPr="00B52A8A">
        <w:rPr>
          <w:szCs w:val="24"/>
        </w:rPr>
        <w:t>je takový, že Tanita NC-BC 418 je přístroj, který využívá nízkofrekvenční proud 50 kHz, tudíž nám poskytuje informace pouze o množství extracelulární vody. Naproti tomu InBody 720 využívá vysoké frekvence proudů od 1kHz -  1 MHz což zajišťuje průnik proudu i do buňky a tedy získání hodnoty i pro vodu intracelulární.</w:t>
      </w:r>
      <w:r w:rsidR="00BC3CC0" w:rsidRPr="00B52A8A">
        <w:rPr>
          <w:szCs w:val="24"/>
        </w:rPr>
        <w:t xml:space="preserve"> Čím vyšší je rozdíl hodnot mezi ECW a ICW, tím zdravější buňka je. Pokud tedy sledujeme tyto dvě hodnoty po delší dobu a odlišnost hodnot se snižuje. Obě hodnoty </w:t>
      </w:r>
      <w:r w:rsidR="00BC3CC0" w:rsidRPr="00B52A8A">
        <w:rPr>
          <w:szCs w:val="24"/>
        </w:rPr>
        <w:lastRenderedPageBreak/>
        <w:t>impedancí lze vyjádřit jako poměr mezi frekvencemi 200 kHz/5 kHz. Jestliže se výsledná hodnota blíží více číslu 1,00, tím méně je buňka zdravá. Analýza dat nám ukazuje, že u zdravých lidí s dobrým nutričním stavem buněk se tento indikátor pohybuje okolo 0,75 a nižší pro více zdatné jedince. V případě kritického zdravotního stavu buněk naroste tento indikátor až k hodnotě 0, 86 a vyšší.</w:t>
      </w:r>
      <w:r w:rsidR="00BC3CC0" w:rsidRPr="00B52A8A">
        <w:rPr>
          <w:color w:val="00B050"/>
          <w:szCs w:val="24"/>
        </w:rPr>
        <w:t xml:space="preserve"> </w:t>
      </w:r>
    </w:p>
    <w:p w:rsidR="00CB370D" w:rsidRPr="00B52A8A" w:rsidRDefault="00CB370D" w:rsidP="00587BB6">
      <w:pPr>
        <w:ind w:firstLine="360"/>
        <w:rPr>
          <w:b/>
          <w:sz w:val="28"/>
          <w:szCs w:val="28"/>
        </w:rPr>
      </w:pPr>
      <w:r w:rsidRPr="00B52A8A">
        <w:rPr>
          <w:szCs w:val="24"/>
        </w:rPr>
        <w:t>Tyto přístroje, které nám určují kompozici lidského těla, slouží v mnoha oblastech a mají nesčetná využití. Parametry získané těmito měřeními nám mohou sloužit ke kontrole zdraví a předcházet tak geriatrickým onemocněním jako jsou hypertenze, diabetes nebo onemocnění kardiovaskulárního systému. Dále jsou využity při léčbě obesity u všech věkových kategorií a poskytují náležité</w:t>
      </w:r>
      <w:r w:rsidR="00341A15" w:rsidRPr="00B52A8A">
        <w:rPr>
          <w:szCs w:val="24"/>
        </w:rPr>
        <w:t xml:space="preserve"> posouzení zdravotního a stavu </w:t>
      </w:r>
      <w:r w:rsidRPr="00B52A8A">
        <w:rPr>
          <w:szCs w:val="24"/>
        </w:rPr>
        <w:t>a následné léčby. V oblasti rehabilitace, or</w:t>
      </w:r>
      <w:r w:rsidR="00341A15" w:rsidRPr="00B52A8A">
        <w:rPr>
          <w:szCs w:val="24"/>
        </w:rPr>
        <w:t xml:space="preserve">topedie poskytují informace </w:t>
      </w:r>
      <w:r w:rsidRPr="00B52A8A">
        <w:rPr>
          <w:szCs w:val="24"/>
        </w:rPr>
        <w:t xml:space="preserve">i o minimálních změnách jednotlivých segmentů, které nejsou patrné pouhým okem, a může předpokládat změny, které jsou potřebné během léčby. Ve sportovní oblasti jde především </w:t>
      </w:r>
      <w:r w:rsidR="00341A15" w:rsidRPr="00B52A8A">
        <w:rPr>
          <w:szCs w:val="24"/>
        </w:rPr>
        <w:br/>
      </w:r>
      <w:r w:rsidRPr="00B52A8A">
        <w:rPr>
          <w:szCs w:val="24"/>
        </w:rPr>
        <w:t xml:space="preserve">o dosažení celkové tělesné rovnováhy a vhodného tělesného cvičení. </w:t>
      </w:r>
      <w:r w:rsidR="00341A15" w:rsidRPr="00B52A8A">
        <w:rPr>
          <w:szCs w:val="24"/>
        </w:rPr>
        <w:br/>
      </w:r>
      <w:r w:rsidRPr="00B52A8A">
        <w:rPr>
          <w:szCs w:val="24"/>
        </w:rPr>
        <w:t>A nakonec, ale neméně důležitá je analýza celkové výživy a zdravotního stavu pro pacienty, která nám poskytuje přesnou diagnózu a pred</w:t>
      </w:r>
      <w:r w:rsidR="0049620C" w:rsidRPr="00B52A8A">
        <w:rPr>
          <w:szCs w:val="24"/>
        </w:rPr>
        <w:t>ikci léčby (www.biospace.co.kr).</w:t>
      </w:r>
    </w:p>
    <w:p w:rsidR="00506F2E" w:rsidRPr="00B52A8A" w:rsidRDefault="00506F2E" w:rsidP="003E3875">
      <w:pPr>
        <w:pStyle w:val="P-nadpis3"/>
      </w:pPr>
    </w:p>
    <w:p w:rsidR="003E3875" w:rsidRPr="00B52A8A" w:rsidRDefault="00AC5A56" w:rsidP="00431C63">
      <w:pPr>
        <w:pStyle w:val="P-nadpis3"/>
      </w:pPr>
      <w:bookmarkStart w:id="111" w:name="_Toc293057989"/>
      <w:bookmarkStart w:id="112" w:name="_Toc293153757"/>
      <w:r w:rsidRPr="00B52A8A">
        <w:t>4.3</w:t>
      </w:r>
      <w:r w:rsidR="002057E1" w:rsidRPr="00B52A8A">
        <w:t>.1</w:t>
      </w:r>
      <w:r w:rsidR="003E3875" w:rsidRPr="00B52A8A">
        <w:t xml:space="preserve"> Segmentální analýza</w:t>
      </w:r>
      <w:bookmarkEnd w:id="111"/>
      <w:bookmarkEnd w:id="112"/>
    </w:p>
    <w:p w:rsidR="003E3875" w:rsidRPr="00B52A8A" w:rsidRDefault="003E3875" w:rsidP="00B9348D">
      <w:pPr>
        <w:spacing w:after="0"/>
        <w:ind w:firstLine="284"/>
      </w:pPr>
      <w:r w:rsidRPr="00B52A8A">
        <w:t xml:space="preserve">Segmentální analýza poskytuje podrobné informace o každé </w:t>
      </w:r>
      <w:r w:rsidRPr="00B52A8A">
        <w:rPr>
          <w:rFonts w:cs="TTE1617B60t00"/>
        </w:rPr>
        <w:t>č</w:t>
      </w:r>
      <w:r w:rsidRPr="00B52A8A">
        <w:t>ásti t</w:t>
      </w:r>
      <w:r w:rsidRPr="00B52A8A">
        <w:rPr>
          <w:rFonts w:cs="TTE1617B60t00"/>
        </w:rPr>
        <w:t>ě</w:t>
      </w:r>
      <w:r w:rsidRPr="00B52A8A">
        <w:t>la. Analýza rovnováhy aktivní tkán</w:t>
      </w:r>
      <w:r w:rsidRPr="00B52A8A">
        <w:rPr>
          <w:rFonts w:cs="TTE1617B60t00"/>
        </w:rPr>
        <w:t xml:space="preserve">ě </w:t>
      </w:r>
      <w:r w:rsidRPr="00B52A8A">
        <w:t>bez tuku dovoluje, aby vyšet</w:t>
      </w:r>
      <w:r w:rsidRPr="00B52A8A">
        <w:rPr>
          <w:rFonts w:cs="TTE1617B60t00"/>
        </w:rPr>
        <w:t>ř</w:t>
      </w:r>
      <w:r w:rsidRPr="00B52A8A">
        <w:t>ovaná osoba vid</w:t>
      </w:r>
      <w:r w:rsidRPr="00B52A8A">
        <w:rPr>
          <w:rFonts w:cs="TTE1617B60t00"/>
        </w:rPr>
        <w:t>ě</w:t>
      </w:r>
      <w:r w:rsidRPr="00B52A8A">
        <w:t>la, zda rozvoj jejích sval</w:t>
      </w:r>
      <w:r w:rsidRPr="00B52A8A">
        <w:rPr>
          <w:rFonts w:cs="TTE1617B60t00"/>
        </w:rPr>
        <w:t xml:space="preserve">u </w:t>
      </w:r>
      <w:r w:rsidRPr="00B52A8A">
        <w:t>je v rovnováze stejn</w:t>
      </w:r>
      <w:r w:rsidRPr="00B52A8A">
        <w:rPr>
          <w:rFonts w:cs="TTE1617B60t00"/>
        </w:rPr>
        <w:t xml:space="preserve">ě </w:t>
      </w:r>
      <w:r w:rsidRPr="00B52A8A">
        <w:t>jako síla jejích sval</w:t>
      </w:r>
      <w:r w:rsidRPr="00B52A8A">
        <w:rPr>
          <w:rFonts w:cs="TTE1617B60t00"/>
        </w:rPr>
        <w:t>u</w:t>
      </w:r>
      <w:r w:rsidRPr="00B52A8A">
        <w:t>. Monitorování umož</w:t>
      </w:r>
      <w:r w:rsidRPr="00B52A8A">
        <w:rPr>
          <w:rFonts w:cs="TTE1617B60t00"/>
        </w:rPr>
        <w:t>ň</w:t>
      </w:r>
      <w:r w:rsidRPr="00B52A8A">
        <w:t>uje vyšet</w:t>
      </w:r>
      <w:r w:rsidRPr="00B52A8A">
        <w:rPr>
          <w:rFonts w:cs="TTE1617B60t00"/>
        </w:rPr>
        <w:t>ř</w:t>
      </w:r>
      <w:r w:rsidRPr="00B52A8A">
        <w:t>ované osob</w:t>
      </w:r>
      <w:r w:rsidRPr="00B52A8A">
        <w:rPr>
          <w:rFonts w:cs="TTE1617B60t00"/>
        </w:rPr>
        <w:t xml:space="preserve">ě </w:t>
      </w:r>
      <w:r w:rsidRPr="00B52A8A">
        <w:t>vid</w:t>
      </w:r>
      <w:r w:rsidRPr="00B52A8A">
        <w:rPr>
          <w:rFonts w:cs="TTE1617B60t00"/>
        </w:rPr>
        <w:t>ě</w:t>
      </w:r>
      <w:r w:rsidRPr="00B52A8A">
        <w:t>t zm</w:t>
      </w:r>
      <w:r w:rsidRPr="00B52A8A">
        <w:rPr>
          <w:rFonts w:cs="TTE1617B60t00"/>
        </w:rPr>
        <w:t>ě</w:t>
      </w:r>
      <w:r w:rsidRPr="00B52A8A">
        <w:t xml:space="preserve">ny ve svalovém stavu v každé </w:t>
      </w:r>
      <w:r w:rsidRPr="00B52A8A">
        <w:rPr>
          <w:rFonts w:cs="TTE1617B60t00"/>
        </w:rPr>
        <w:t>č</w:t>
      </w:r>
      <w:r w:rsidRPr="00B52A8A">
        <w:t>ásti t</w:t>
      </w:r>
      <w:r w:rsidRPr="00B52A8A">
        <w:rPr>
          <w:rFonts w:cs="TTE1617B60t00"/>
        </w:rPr>
        <w:t>ě</w:t>
      </w:r>
      <w:r w:rsidRPr="00B52A8A">
        <w:t>la, které se objeví jako výsledek cvi</w:t>
      </w:r>
      <w:r w:rsidRPr="00B52A8A">
        <w:rPr>
          <w:rFonts w:cs="TTE1617B60t00"/>
        </w:rPr>
        <w:t>č</w:t>
      </w:r>
      <w:r w:rsidRPr="00B52A8A">
        <w:t>ení. Rozsah normy pro rovnováhu aktivní bez-tukové tkán</w:t>
      </w:r>
      <w:r w:rsidRPr="00B52A8A">
        <w:rPr>
          <w:rFonts w:cs="TTE1617B60t00"/>
        </w:rPr>
        <w:t xml:space="preserve">ě </w:t>
      </w:r>
      <w:r w:rsidRPr="00B52A8A">
        <w:t>je 80 – 120</w:t>
      </w:r>
      <w:r w:rsidR="00154366" w:rsidRPr="00B52A8A">
        <w:t xml:space="preserve"> % pro pravou a levou horní končetinu</w:t>
      </w:r>
      <w:r w:rsidRPr="00B52A8A">
        <w:t xml:space="preserve"> a 90 – 110</w:t>
      </w:r>
      <w:r w:rsidR="00154366" w:rsidRPr="00B52A8A">
        <w:t xml:space="preserve"> </w:t>
      </w:r>
      <w:r w:rsidRPr="00B52A8A">
        <w:t xml:space="preserve">% pro trup a pravou a levou </w:t>
      </w:r>
      <w:r w:rsidR="00C82490" w:rsidRPr="00B52A8A">
        <w:t>dolní končetinu</w:t>
      </w:r>
      <w:r w:rsidRPr="00B52A8A">
        <w:t xml:space="preserve">. </w:t>
      </w:r>
    </w:p>
    <w:p w:rsidR="004F5616" w:rsidRPr="00B52A8A" w:rsidRDefault="003E3875" w:rsidP="00B9348D">
      <w:pPr>
        <w:spacing w:after="0"/>
        <w:ind w:firstLine="284"/>
      </w:pPr>
      <w:r w:rsidRPr="00B52A8A">
        <w:t>Rozdíl u t</w:t>
      </w:r>
      <w:r w:rsidRPr="00B52A8A">
        <w:rPr>
          <w:rFonts w:cs="TTE1617B60t00"/>
        </w:rPr>
        <w:t>ě</w:t>
      </w:r>
      <w:r w:rsidRPr="00B52A8A">
        <w:t>chto rozsah</w:t>
      </w:r>
      <w:r w:rsidRPr="00B52A8A">
        <w:rPr>
          <w:rFonts w:cs="TTE1617B60t00"/>
        </w:rPr>
        <w:t xml:space="preserve">ů </w:t>
      </w:r>
      <w:r w:rsidRPr="00B52A8A">
        <w:t>normy je založen na skute</w:t>
      </w:r>
      <w:r w:rsidRPr="00B52A8A">
        <w:rPr>
          <w:rFonts w:cs="TTE1617B60t00"/>
        </w:rPr>
        <w:t>č</w:t>
      </w:r>
      <w:r w:rsidRPr="00B52A8A">
        <w:t xml:space="preserve">nosti, že zatímco horní </w:t>
      </w:r>
      <w:r w:rsidRPr="00B52A8A">
        <w:rPr>
          <w:rFonts w:cs="TTE1617B60t00"/>
        </w:rPr>
        <w:t>č</w:t>
      </w:r>
      <w:r w:rsidRPr="00B52A8A">
        <w:t>ást t</w:t>
      </w:r>
      <w:r w:rsidRPr="00B52A8A">
        <w:rPr>
          <w:rFonts w:cs="TTE1617B60t00"/>
        </w:rPr>
        <w:t>ě</w:t>
      </w:r>
      <w:r w:rsidRPr="00B52A8A">
        <w:t>la má snahu se u jednotlivc</w:t>
      </w:r>
      <w:r w:rsidRPr="00B52A8A">
        <w:rPr>
          <w:rFonts w:cs="TTE1617B60t00"/>
        </w:rPr>
        <w:t xml:space="preserve">ů </w:t>
      </w:r>
      <w:r w:rsidRPr="00B52A8A">
        <w:t>velice m</w:t>
      </w:r>
      <w:r w:rsidRPr="00B52A8A">
        <w:rPr>
          <w:rFonts w:cs="TTE1617B60t00"/>
        </w:rPr>
        <w:t>ě</w:t>
      </w:r>
      <w:r w:rsidRPr="00B52A8A">
        <w:t>nit, u termín</w:t>
      </w:r>
      <w:r w:rsidRPr="00B52A8A">
        <w:rPr>
          <w:rFonts w:cs="TTE1617B60t00"/>
        </w:rPr>
        <w:t xml:space="preserve">u </w:t>
      </w:r>
      <w:r w:rsidRPr="00B52A8A">
        <w:t xml:space="preserve">pro </w:t>
      </w:r>
      <w:r w:rsidR="00C82490" w:rsidRPr="00B52A8A">
        <w:lastRenderedPageBreak/>
        <w:t xml:space="preserve">dolní končetiny </w:t>
      </w:r>
      <w:r w:rsidRPr="00B52A8A">
        <w:t>se u lidí našlo velmi málo odchylek. Nohy používáme k ch</w:t>
      </w:r>
      <w:r w:rsidRPr="00B52A8A">
        <w:rPr>
          <w:rFonts w:cs="TTE1617B60t00"/>
        </w:rPr>
        <w:t>ů</w:t>
      </w:r>
      <w:r w:rsidRPr="00B52A8A">
        <w:t xml:space="preserve">zi a proto má tato </w:t>
      </w:r>
      <w:r w:rsidRPr="00B52A8A">
        <w:rPr>
          <w:rFonts w:cs="TTE1617B60t00"/>
        </w:rPr>
        <w:t>č</w:t>
      </w:r>
      <w:r w:rsidRPr="00B52A8A">
        <w:t>ást t</w:t>
      </w:r>
      <w:r w:rsidRPr="00B52A8A">
        <w:rPr>
          <w:rFonts w:cs="TTE1617B60t00"/>
        </w:rPr>
        <w:t>ě</w:t>
      </w:r>
      <w:r w:rsidRPr="00B52A8A">
        <w:t>la jako první snahu získat p</w:t>
      </w:r>
      <w:r w:rsidRPr="00B52A8A">
        <w:rPr>
          <w:rFonts w:cs="TTE1617B60t00"/>
        </w:rPr>
        <w:t>ř</w:t>
      </w:r>
      <w:r w:rsidRPr="00B52A8A">
        <w:t>ínos ze cvi</w:t>
      </w:r>
      <w:r w:rsidRPr="00B52A8A">
        <w:rPr>
          <w:rFonts w:cs="TTE1617B60t00"/>
        </w:rPr>
        <w:t>č</w:t>
      </w:r>
      <w:r w:rsidRPr="00B52A8A">
        <w:t>ení. Rozsah normy p</w:t>
      </w:r>
      <w:r w:rsidR="00C82490" w:rsidRPr="00B52A8A">
        <w:t>ro aktivní bez-tukovou tkáň horních končetin</w:t>
      </w:r>
      <w:r w:rsidRPr="00B52A8A">
        <w:t xml:space="preserve"> je větší, protože svaly nejsou rozvíjeny v tak velkém rozsahu. Z tohoto ohledu je obtížné vyvinout svalovou aktivní hmotu ruky, když se nepodílí na cvi</w:t>
      </w:r>
      <w:r w:rsidRPr="00B52A8A">
        <w:rPr>
          <w:rFonts w:cs="TTE1617B60t00"/>
        </w:rPr>
        <w:t>č</w:t>
      </w:r>
      <w:r w:rsidRPr="00B52A8A">
        <w:t xml:space="preserve">ení navrženém specificky pro rozvoj svalu v této konkrétní </w:t>
      </w:r>
      <w:r w:rsidRPr="00B52A8A">
        <w:rPr>
          <w:rFonts w:cs="TTE1617B60t00"/>
        </w:rPr>
        <w:t>č</w:t>
      </w:r>
      <w:r w:rsidRPr="00B52A8A">
        <w:t>ásti t</w:t>
      </w:r>
      <w:r w:rsidRPr="00B52A8A">
        <w:rPr>
          <w:rFonts w:cs="TTE1617B60t00"/>
        </w:rPr>
        <w:t>ě</w:t>
      </w:r>
      <w:r w:rsidRPr="00B52A8A">
        <w:t>la. Toto je hlavní d</w:t>
      </w:r>
      <w:r w:rsidRPr="00B52A8A">
        <w:rPr>
          <w:rFonts w:cs="TTE1617B60t00"/>
        </w:rPr>
        <w:t>ů</w:t>
      </w:r>
      <w:r w:rsidRPr="00B52A8A">
        <w:t>vod pro</w:t>
      </w:r>
      <w:r w:rsidRPr="00B52A8A">
        <w:rPr>
          <w:rFonts w:cs="TTE1617B60t00"/>
        </w:rPr>
        <w:t xml:space="preserve">č </w:t>
      </w:r>
      <w:r w:rsidRPr="00B52A8A">
        <w:t>hmotnost aktivní bez-tukové tkán</w:t>
      </w:r>
      <w:r w:rsidRPr="00B52A8A">
        <w:rPr>
          <w:rFonts w:cs="TTE1617B60t00"/>
        </w:rPr>
        <w:t xml:space="preserve">ě </w:t>
      </w:r>
      <w:r w:rsidR="00C82490" w:rsidRPr="00B52A8A">
        <w:t>horních končetin</w:t>
      </w:r>
      <w:r w:rsidRPr="00B52A8A">
        <w:t xml:space="preserve"> má snahu se tolik</w:t>
      </w:r>
      <w:r w:rsidR="00C82490" w:rsidRPr="00B52A8A">
        <w:t xml:space="preserve"> lišit</w:t>
      </w:r>
      <w:r w:rsidRPr="00B52A8A">
        <w:t xml:space="preserve"> od normy</w:t>
      </w:r>
      <w:r w:rsidR="004F5616" w:rsidRPr="00B52A8A">
        <w:t xml:space="preserve">. </w:t>
      </w:r>
    </w:p>
    <w:p w:rsidR="003E3875" w:rsidRPr="00B52A8A" w:rsidRDefault="004F5616" w:rsidP="00DF3886">
      <w:pPr>
        <w:ind w:firstLine="284"/>
      </w:pPr>
      <w:r w:rsidRPr="00B52A8A">
        <w:t>InBody</w:t>
      </w:r>
      <w:r w:rsidR="00C82490" w:rsidRPr="00B52A8A">
        <w:t xml:space="preserve"> 720</w:t>
      </w:r>
      <w:r w:rsidRPr="00B52A8A">
        <w:t xml:space="preserve"> rozděluje tělo do pěti odlišných útvarů a každý tento útvar je zvlášť změřen elektrickým impulzem. Tělo je detailněji zmapováno. Ostatní přístroje vnímají tělo jako jeden útvar a elektrický impulz, který prochází rozsáhlými částmi těla</w:t>
      </w:r>
      <w:r w:rsidR="00DF3886" w:rsidRPr="00B52A8A">
        <w:t>,</w:t>
      </w:r>
      <w:r w:rsidRPr="00B52A8A">
        <w:t xml:space="preserve"> nemá možnost tak dokonale zmapovat jednotlivé části</w:t>
      </w:r>
      <w:r w:rsidR="00DF3886" w:rsidRPr="00B52A8A">
        <w:t xml:space="preserve"> </w:t>
      </w:r>
      <w:r w:rsidR="003E3875" w:rsidRPr="00B52A8A">
        <w:t>(www.biospace.cz).</w:t>
      </w:r>
    </w:p>
    <w:p w:rsidR="00CB370D" w:rsidRPr="00B52A8A" w:rsidRDefault="00CB370D">
      <w:pPr>
        <w:spacing w:after="200" w:line="276" w:lineRule="auto"/>
        <w:jc w:val="left"/>
        <w:rPr>
          <w:rFonts w:eastAsia="Times New Roman" w:cs="Times New Roman"/>
          <w:b/>
          <w:bCs/>
          <w:sz w:val="26"/>
          <w:szCs w:val="24"/>
        </w:rPr>
      </w:pPr>
      <w:r w:rsidRPr="00B52A8A">
        <w:br w:type="page"/>
      </w:r>
    </w:p>
    <w:p w:rsidR="006F40A2" w:rsidRPr="00B52A8A" w:rsidRDefault="002D7EE0" w:rsidP="006F40A2">
      <w:pPr>
        <w:pStyle w:val="P-nadpis2"/>
        <w:ind w:firstLine="0"/>
      </w:pPr>
      <w:bookmarkStart w:id="113" w:name="_Toc293057990"/>
      <w:bookmarkStart w:id="114" w:name="_Toc293153758"/>
      <w:r>
        <w:lastRenderedPageBreak/>
        <w:t>4.4</w:t>
      </w:r>
      <w:r w:rsidR="0018420E" w:rsidRPr="00B52A8A">
        <w:t xml:space="preserve"> </w:t>
      </w:r>
      <w:r w:rsidR="00640F4E" w:rsidRPr="00B52A8A">
        <w:t>ACTIGRAPH</w:t>
      </w:r>
      <w:r w:rsidR="009D60D7" w:rsidRPr="00B52A8A">
        <w:t xml:space="preserve"> GT1M</w:t>
      </w:r>
      <w:bookmarkEnd w:id="113"/>
      <w:bookmarkEnd w:id="114"/>
    </w:p>
    <w:p w:rsidR="00703238" w:rsidRPr="00B52A8A" w:rsidRDefault="006F40A2" w:rsidP="00354CE2">
      <w:pPr>
        <w:rPr>
          <w:b/>
        </w:rPr>
      </w:pPr>
      <w:r w:rsidRPr="00B52A8A">
        <w:t xml:space="preserve">K </w:t>
      </w:r>
      <w:r w:rsidR="00DA25AC" w:rsidRPr="00B52A8A">
        <w:t>zjišt</w:t>
      </w:r>
      <w:r w:rsidRPr="00B52A8A">
        <w:rPr>
          <w:rFonts w:ascii="TTE182BB38t00" w:hAnsi="TTE182BB38t00" w:cs="TTE182BB38t00"/>
        </w:rPr>
        <w:t>ě</w:t>
      </w:r>
      <w:r w:rsidR="00DA25AC" w:rsidRPr="00B52A8A">
        <w:t>ní objemu a intenzity pohybové aktivity v rámci jednoho týdne</w:t>
      </w:r>
      <w:r w:rsidRPr="00B52A8A">
        <w:t>,</w:t>
      </w:r>
      <w:r w:rsidR="00DA25AC" w:rsidRPr="00B52A8A">
        <w:t xml:space="preserve"> pr</w:t>
      </w:r>
      <w:r w:rsidRPr="00B52A8A">
        <w:rPr>
          <w:rFonts w:cs="TTE182BB38t00"/>
        </w:rPr>
        <w:t>ů</w:t>
      </w:r>
      <w:r w:rsidR="00DA25AC" w:rsidRPr="00B52A8A">
        <w:t>m</w:t>
      </w:r>
      <w:r w:rsidRPr="00B52A8A">
        <w:rPr>
          <w:rFonts w:cs="TTE182BB38t00"/>
        </w:rPr>
        <w:t>ě</w:t>
      </w:r>
      <w:r w:rsidR="00DA25AC" w:rsidRPr="00B52A8A">
        <w:t>rného</w:t>
      </w:r>
      <w:r w:rsidRPr="00B52A8A">
        <w:t xml:space="preserve"> </w:t>
      </w:r>
      <w:r w:rsidR="00DA25AC" w:rsidRPr="00B52A8A">
        <w:t>denního po</w:t>
      </w:r>
      <w:r w:rsidRPr="00B52A8A">
        <w:t>č</w:t>
      </w:r>
      <w:r w:rsidR="00DA25AC" w:rsidRPr="00B52A8A">
        <w:t>tu krok</w:t>
      </w:r>
      <w:r w:rsidR="00DA25AC" w:rsidRPr="00B52A8A">
        <w:rPr>
          <w:rFonts w:cs="TTE182BB38t00"/>
        </w:rPr>
        <w:t xml:space="preserve">u </w:t>
      </w:r>
      <w:r w:rsidRPr="00B52A8A">
        <w:rPr>
          <w:rFonts w:cs="TTE182BB38t00"/>
        </w:rPr>
        <w:t xml:space="preserve">a energetického výdeje </w:t>
      </w:r>
      <w:r w:rsidRPr="00B52A8A">
        <w:t>jsme použili</w:t>
      </w:r>
      <w:r w:rsidR="00BC3CC0" w:rsidRPr="00B52A8A">
        <w:t xml:space="preserve"> akcelerometr ActiGraph</w:t>
      </w:r>
      <w:r w:rsidR="009D60D7" w:rsidRPr="00B52A8A">
        <w:t xml:space="preserve"> GT1M</w:t>
      </w:r>
      <w:r w:rsidR="00DA25AC" w:rsidRPr="00B52A8A">
        <w:t>.</w:t>
      </w:r>
      <w:r w:rsidRPr="00B52A8A">
        <w:t xml:space="preserve"> </w:t>
      </w:r>
      <w:r w:rsidR="00640F4E" w:rsidRPr="00B52A8A">
        <w:t>Akcelerometr</w:t>
      </w:r>
      <w:r w:rsidR="00640F4E" w:rsidRPr="00B52A8A">
        <w:rPr>
          <w:szCs w:val="24"/>
        </w:rPr>
        <w:t xml:space="preserve"> Actigraph je zařízení, které monitoruje pohybovou aktivit</w:t>
      </w:r>
      <w:r w:rsidR="007A3E41" w:rsidRPr="00B52A8A">
        <w:rPr>
          <w:szCs w:val="24"/>
        </w:rPr>
        <w:t xml:space="preserve">u. </w:t>
      </w:r>
      <w:r w:rsidR="00354CE2" w:rsidRPr="00B52A8A">
        <w:rPr>
          <w:szCs w:val="24"/>
        </w:rPr>
        <w:t xml:space="preserve">Pomocí </w:t>
      </w:r>
      <w:r w:rsidR="007A3E41" w:rsidRPr="00B52A8A">
        <w:rPr>
          <w:szCs w:val="24"/>
        </w:rPr>
        <w:t>sp</w:t>
      </w:r>
      <w:r w:rsidR="00354CE2" w:rsidRPr="00B52A8A">
        <w:rPr>
          <w:szCs w:val="24"/>
        </w:rPr>
        <w:t>otřebovaného</w:t>
      </w:r>
      <w:r w:rsidR="007A3E41" w:rsidRPr="00B52A8A">
        <w:rPr>
          <w:szCs w:val="24"/>
        </w:rPr>
        <w:t xml:space="preserve"> množství kalorií za jednotku pohybové aktivity</w:t>
      </w:r>
      <w:r w:rsidR="00190EA9" w:rsidRPr="00B52A8A">
        <w:rPr>
          <w:szCs w:val="24"/>
        </w:rPr>
        <w:t xml:space="preserve"> získáme </w:t>
      </w:r>
      <w:r w:rsidR="00354CE2" w:rsidRPr="00B52A8A">
        <w:rPr>
          <w:szCs w:val="24"/>
        </w:rPr>
        <w:t>energetický výdej</w:t>
      </w:r>
      <w:r w:rsidRPr="00B52A8A">
        <w:rPr>
          <w:szCs w:val="24"/>
        </w:rPr>
        <w:t>, tedy množství kalorií spálených za jednotku pohybové aktivity</w:t>
      </w:r>
      <w:r w:rsidR="007A3E41" w:rsidRPr="00B52A8A">
        <w:rPr>
          <w:szCs w:val="24"/>
        </w:rPr>
        <w:t>.</w:t>
      </w:r>
      <w:r w:rsidR="00190EA9" w:rsidRPr="00B52A8A">
        <w:rPr>
          <w:szCs w:val="24"/>
        </w:rPr>
        <w:t xml:space="preserve"> Dále přístroj monitoruje</w:t>
      </w:r>
      <w:r w:rsidR="007A3E41" w:rsidRPr="00B52A8A">
        <w:rPr>
          <w:szCs w:val="24"/>
        </w:rPr>
        <w:t xml:space="preserve"> počet kroků a poskoků provedených za jednotku pohybové aktivity. Na</w:t>
      </w:r>
      <w:r w:rsidR="00640F4E" w:rsidRPr="00B52A8A">
        <w:rPr>
          <w:szCs w:val="24"/>
        </w:rPr>
        <w:t xml:space="preserve"> jej</w:t>
      </w:r>
      <w:r w:rsidR="007A3E41" w:rsidRPr="00B52A8A">
        <w:rPr>
          <w:szCs w:val="24"/>
        </w:rPr>
        <w:t>ichž</w:t>
      </w:r>
      <w:r w:rsidR="00640F4E" w:rsidRPr="00B52A8A">
        <w:rPr>
          <w:szCs w:val="24"/>
        </w:rPr>
        <w:t xml:space="preserve"> základě po té získáme celkový a aktivní energetický výdej.</w:t>
      </w:r>
      <w:r w:rsidRPr="00B52A8A">
        <w:t xml:space="preserve"> </w:t>
      </w:r>
      <w:r w:rsidR="009D60D7" w:rsidRPr="00B52A8A">
        <w:t>Všichni probandi byli</w:t>
      </w:r>
      <w:r w:rsidR="00FA0F6D" w:rsidRPr="00B52A8A">
        <w:t xml:space="preserve"> seznámeni s přístroj</w:t>
      </w:r>
      <w:r w:rsidR="00D557B9" w:rsidRPr="00B52A8A">
        <w:t xml:space="preserve">em a obeznámeni s jeho obsluhou </w:t>
      </w:r>
      <w:r w:rsidR="00D557B9" w:rsidRPr="00B52A8A">
        <w:rPr>
          <w:rFonts w:cs="Calibri"/>
          <w:szCs w:val="24"/>
        </w:rPr>
        <w:t>(</w:t>
      </w:r>
      <w:r w:rsidR="00D557B9" w:rsidRPr="00B52A8A">
        <w:t xml:space="preserve">Vyhodnocení výsledků z akcelerometru ActiGraph, 2011). </w:t>
      </w:r>
    </w:p>
    <w:p w:rsidR="00354CE2" w:rsidRPr="00B52A8A" w:rsidRDefault="00587BB6" w:rsidP="00354CE2">
      <w:pPr>
        <w:rPr>
          <w:b/>
          <w:szCs w:val="24"/>
        </w:rPr>
      </w:pPr>
      <w:r w:rsidRPr="00B52A8A">
        <w:rPr>
          <w:b/>
        </w:rPr>
        <w:t xml:space="preserve">Monitorování PA pomocí akcelerometru </w:t>
      </w:r>
      <w:r w:rsidRPr="00B52A8A">
        <w:rPr>
          <w:b/>
          <w:szCs w:val="24"/>
        </w:rPr>
        <w:t>ActiGraph</w:t>
      </w:r>
      <w:r w:rsidR="00D557B9" w:rsidRPr="00B52A8A">
        <w:rPr>
          <w:b/>
          <w:szCs w:val="24"/>
        </w:rPr>
        <w:t xml:space="preserve"> </w:t>
      </w:r>
      <w:r w:rsidR="00C82490" w:rsidRPr="00B52A8A">
        <w:rPr>
          <w:b/>
          <w:szCs w:val="24"/>
        </w:rPr>
        <w:t>GT1M</w:t>
      </w:r>
    </w:p>
    <w:p w:rsidR="006F1A9D" w:rsidRPr="00B52A8A" w:rsidRDefault="00354CE2" w:rsidP="0018420E">
      <w:pPr>
        <w:ind w:firstLine="426"/>
        <w:rPr>
          <w:rFonts w:cs="Calibri"/>
          <w:szCs w:val="24"/>
        </w:rPr>
      </w:pPr>
      <w:r w:rsidRPr="00B52A8A">
        <w:rPr>
          <w:rFonts w:cs="Calibri"/>
          <w:szCs w:val="24"/>
        </w:rPr>
        <w:t>Při monitorování je důležité seznámit probandy se správným nošením Actigraphu, protože právě nesprávné nošení může znamenat ochuzení záznamu.</w:t>
      </w:r>
      <w:r w:rsidR="00280EBA" w:rsidRPr="00B52A8A">
        <w:rPr>
          <w:rFonts w:cs="Calibri"/>
          <w:szCs w:val="24"/>
        </w:rPr>
        <w:t xml:space="preserve"> Actigraph se nosí celý den, na boku a na noc se odkládá.</w:t>
      </w:r>
      <w:r w:rsidR="006F1A9D" w:rsidRPr="00B52A8A">
        <w:rPr>
          <w:rFonts w:cs="Calibri"/>
          <w:szCs w:val="24"/>
        </w:rPr>
        <w:t xml:space="preserve"> Spolu s Actigraphem obdrží proband i záznamový arch, kam musí zapisovat jednotlivé časy nošení Actigraphu, tedy den a čas, kdy byl ActiGraph nasazen a odložen. Další čas prováděných pohybových aktivit, ale i inaktivit slouží k zpřesnění celkové informace o pohybové aktivitě. </w:t>
      </w:r>
      <w:r w:rsidR="00280EBA" w:rsidRPr="00B52A8A">
        <w:rPr>
          <w:rFonts w:cs="Calibri"/>
          <w:szCs w:val="24"/>
        </w:rPr>
        <w:t xml:space="preserve"> Není vodotěsný. Při plavání (i umývání a koupání) se musí odkládat, ale do záznamového archu je nutné zapisovat vše. Plavecká aktivita se tedy zapisuje na druhou stranu záznamového archu pro následné zpracování v počítači, kde software připočítá hodnoty, které ActiGraph nezaznamená, tedy plavání, kolo nebo i posilovna. </w:t>
      </w:r>
      <w:r w:rsidRPr="00B52A8A">
        <w:rPr>
          <w:rFonts w:cs="Calibri"/>
          <w:szCs w:val="24"/>
        </w:rPr>
        <w:t xml:space="preserve"> Do záznamového archu, který proband získá, je nutné zapisovat všechny aktivity co nejpodrobněji, aby byla co nejpřesnější zpětná vazba.</w:t>
      </w:r>
      <w:r w:rsidR="00280EBA" w:rsidRPr="00B52A8A">
        <w:rPr>
          <w:rFonts w:cs="Calibri"/>
          <w:szCs w:val="24"/>
        </w:rPr>
        <w:t xml:space="preserve"> </w:t>
      </w:r>
      <w:r w:rsidRPr="00B52A8A">
        <w:rPr>
          <w:rFonts w:cs="Calibri"/>
          <w:szCs w:val="24"/>
        </w:rPr>
        <w:t>Další nutné údaje, které jsou potřebné pro zadávání, jsou jméno a příjmení, hmotnost, výška, věk a pohlaví. Př</w:t>
      </w:r>
      <w:r w:rsidR="008C70BE" w:rsidRPr="00B52A8A">
        <w:rPr>
          <w:rFonts w:cs="Calibri"/>
          <w:szCs w:val="24"/>
        </w:rPr>
        <w:t>ístroj musí být nošen každý den</w:t>
      </w:r>
      <w:r w:rsidR="006F1A9D" w:rsidRPr="00B52A8A">
        <w:rPr>
          <w:rFonts w:cs="Calibri"/>
          <w:szCs w:val="24"/>
        </w:rPr>
        <w:t>, nepřetržitě aspoň 10 min vkuse, jinak vyhodnocení nebude možné</w:t>
      </w:r>
      <w:r w:rsidRPr="00B52A8A">
        <w:rPr>
          <w:rFonts w:cs="Calibri"/>
          <w:szCs w:val="24"/>
        </w:rPr>
        <w:t xml:space="preserve">! </w:t>
      </w:r>
      <w:r w:rsidR="008C70BE" w:rsidRPr="00B52A8A">
        <w:rPr>
          <w:rFonts w:cs="Calibri"/>
          <w:szCs w:val="24"/>
        </w:rPr>
        <w:t xml:space="preserve">Pokud toto nebude dodrženo a přístroj nebude nošen třeba i jeden den, </w:t>
      </w:r>
      <w:r w:rsidRPr="00B52A8A">
        <w:rPr>
          <w:rFonts w:cs="Calibri"/>
          <w:szCs w:val="24"/>
        </w:rPr>
        <w:t>není mož</w:t>
      </w:r>
      <w:r w:rsidR="008C70BE" w:rsidRPr="00B52A8A">
        <w:rPr>
          <w:rFonts w:cs="Calibri"/>
          <w:szCs w:val="24"/>
        </w:rPr>
        <w:t xml:space="preserve">né poskytnout </w:t>
      </w:r>
      <w:r w:rsidRPr="00B52A8A">
        <w:rPr>
          <w:rFonts w:cs="Calibri"/>
          <w:szCs w:val="24"/>
        </w:rPr>
        <w:t>zpětnou informaci</w:t>
      </w:r>
      <w:r w:rsidR="008C70BE" w:rsidRPr="00B52A8A">
        <w:rPr>
          <w:rFonts w:cs="Calibri"/>
          <w:szCs w:val="24"/>
        </w:rPr>
        <w:t>. Zpětná informace sestává vždy z kompletně naměřeného týdne</w:t>
      </w:r>
      <w:r w:rsidR="005016DA" w:rsidRPr="00B52A8A">
        <w:rPr>
          <w:rFonts w:cs="Calibri"/>
          <w:szCs w:val="24"/>
        </w:rPr>
        <w:t xml:space="preserve">. Podává nám informace o celkové </w:t>
      </w:r>
      <w:r w:rsidR="005016DA" w:rsidRPr="00B52A8A">
        <w:rPr>
          <w:rFonts w:cs="Calibri"/>
          <w:szCs w:val="24"/>
        </w:rPr>
        <w:lastRenderedPageBreak/>
        <w:t xml:space="preserve">pohybové aktivitě v závislosti na přesnosti zápisu a obecná doporučení o optimálním počtu kroků, které slouží k udržení zdraví </w:t>
      </w:r>
      <w:r w:rsidR="00FF5E6A" w:rsidRPr="00B52A8A">
        <w:rPr>
          <w:rFonts w:cs="Calibri"/>
          <w:szCs w:val="24"/>
        </w:rPr>
        <w:t>(</w:t>
      </w:r>
      <w:proofErr w:type="gramStart"/>
      <w:r w:rsidR="00FF5E6A" w:rsidRPr="00B52A8A">
        <w:rPr>
          <w:rFonts w:cs="Calibri"/>
          <w:szCs w:val="24"/>
        </w:rPr>
        <w:t>www</w:t>
      </w:r>
      <w:proofErr w:type="gramEnd"/>
      <w:r w:rsidR="00FF5E6A" w:rsidRPr="00B52A8A">
        <w:rPr>
          <w:rFonts w:cs="Calibri"/>
          <w:szCs w:val="24"/>
        </w:rPr>
        <w:t>.</w:t>
      </w:r>
      <w:proofErr w:type="gramStart"/>
      <w:r w:rsidR="00FF5E6A" w:rsidRPr="00B52A8A">
        <w:t>lide</w:t>
      </w:r>
      <w:proofErr w:type="gramEnd"/>
      <w:r w:rsidR="00FF5E6A" w:rsidRPr="00B52A8A">
        <w:t>.uhk.cz)</w:t>
      </w:r>
      <w:r w:rsidR="008C70BE" w:rsidRPr="00B52A8A">
        <w:rPr>
          <w:rFonts w:cs="Calibri"/>
          <w:szCs w:val="24"/>
        </w:rPr>
        <w:t>.</w:t>
      </w:r>
    </w:p>
    <w:p w:rsidR="005016DA" w:rsidRPr="00B52A8A" w:rsidRDefault="005016DA" w:rsidP="005016DA">
      <w:pPr>
        <w:rPr>
          <w:rFonts w:cs="Calibri"/>
          <w:szCs w:val="24"/>
        </w:rPr>
      </w:pPr>
    </w:p>
    <w:p w:rsidR="000524BF" w:rsidRPr="00B52A8A" w:rsidRDefault="006101C2" w:rsidP="00AA5CF6">
      <w:pPr>
        <w:rPr>
          <w:rFonts w:cs="Calibri"/>
          <w:b/>
          <w:szCs w:val="24"/>
        </w:rPr>
      </w:pPr>
      <w:r w:rsidRPr="00B52A8A">
        <w:rPr>
          <w:rFonts w:cs="Calibri"/>
          <w:b/>
          <w:szCs w:val="24"/>
        </w:rPr>
        <w:t>Získané informace</w:t>
      </w:r>
      <w:r w:rsidR="000524BF" w:rsidRPr="00B52A8A">
        <w:rPr>
          <w:rFonts w:cs="Calibri"/>
          <w:b/>
          <w:szCs w:val="24"/>
        </w:rPr>
        <w:t>:</w:t>
      </w:r>
    </w:p>
    <w:p w:rsidR="006F1A9D" w:rsidRPr="00B52A8A" w:rsidRDefault="000524BF" w:rsidP="00AA5CF6">
      <w:pPr>
        <w:rPr>
          <w:rFonts w:cs="Calibri"/>
          <w:szCs w:val="24"/>
        </w:rPr>
      </w:pPr>
      <w:r w:rsidRPr="00B52A8A">
        <w:rPr>
          <w:rFonts w:cs="Calibri"/>
          <w:szCs w:val="24"/>
        </w:rPr>
        <w:t>(</w:t>
      </w:r>
      <w:r w:rsidR="00FF5E6A" w:rsidRPr="00B52A8A">
        <w:t>Vyhodnocení výsledků z akcelerometru ActiGraph</w:t>
      </w:r>
      <w:r w:rsidRPr="00B52A8A">
        <w:t>, 2011)</w:t>
      </w:r>
      <w:r w:rsidR="00FF5E6A" w:rsidRPr="00B52A8A">
        <w:t xml:space="preserve"> </w:t>
      </w:r>
    </w:p>
    <w:p w:rsidR="00190EA9" w:rsidRPr="00B52A8A" w:rsidRDefault="00190EA9" w:rsidP="00190EA9">
      <w:pPr>
        <w:ind w:firstLine="708"/>
      </w:pPr>
      <w:r w:rsidRPr="00B52A8A">
        <w:t xml:space="preserve">Ke zjištění, zda je pohybová aktivita dostatečná pro udržení zdraví slouží tři ukazatele: podíl aktivního a celkového výdeje energie, průměrný počet kroků za den a doba (v rámci dne nebo týdne), ve které je pohybová aktivita středně zatěžující nebo intenzivní. </w:t>
      </w:r>
    </w:p>
    <w:p w:rsidR="000524BF" w:rsidRPr="00B52A8A" w:rsidRDefault="000524BF" w:rsidP="00190EA9">
      <w:pPr>
        <w:ind w:firstLine="708"/>
      </w:pPr>
    </w:p>
    <w:p w:rsidR="00190EA9" w:rsidRPr="00B52A8A" w:rsidRDefault="00E372D7" w:rsidP="00190EA9">
      <w:pPr>
        <w:rPr>
          <w:b/>
        </w:rPr>
      </w:pPr>
      <w:r w:rsidRPr="00B52A8A">
        <w:rPr>
          <w:b/>
        </w:rPr>
        <w:t>Parametry</w:t>
      </w:r>
      <w:r w:rsidR="00190EA9" w:rsidRPr="00B52A8A">
        <w:rPr>
          <w:b/>
        </w:rPr>
        <w:t xml:space="preserve"> k zhodnocení pohybové aktivity:</w:t>
      </w:r>
    </w:p>
    <w:p w:rsidR="00190EA9" w:rsidRPr="00B52A8A" w:rsidRDefault="00190EA9" w:rsidP="00D42B78">
      <w:pPr>
        <w:pStyle w:val="Odstavecseseznamem"/>
        <w:numPr>
          <w:ilvl w:val="0"/>
          <w:numId w:val="12"/>
        </w:numPr>
      </w:pPr>
      <w:r w:rsidRPr="00B52A8A">
        <w:t>celkové množství pohybové aktivity</w:t>
      </w:r>
    </w:p>
    <w:p w:rsidR="00190EA9" w:rsidRPr="00B52A8A" w:rsidRDefault="00190EA9" w:rsidP="00D42B78">
      <w:pPr>
        <w:pStyle w:val="Odstavecseseznamem"/>
        <w:numPr>
          <w:ilvl w:val="0"/>
          <w:numId w:val="12"/>
        </w:numPr>
      </w:pPr>
      <w:r w:rsidRPr="00B52A8A">
        <w:t>množství pohybové aktivit a inaktivity</w:t>
      </w:r>
    </w:p>
    <w:p w:rsidR="00190EA9" w:rsidRPr="00B52A8A" w:rsidRDefault="00190EA9" w:rsidP="00D42B78">
      <w:pPr>
        <w:pStyle w:val="Odstavecseseznamem"/>
        <w:numPr>
          <w:ilvl w:val="0"/>
          <w:numId w:val="12"/>
        </w:numPr>
      </w:pPr>
      <w:r w:rsidRPr="00B52A8A">
        <w:t>celkový energetický výdej</w:t>
      </w:r>
    </w:p>
    <w:p w:rsidR="00190EA9" w:rsidRPr="00B52A8A" w:rsidRDefault="00190EA9" w:rsidP="00D42B78">
      <w:pPr>
        <w:pStyle w:val="Odstavecseseznamem"/>
        <w:numPr>
          <w:ilvl w:val="0"/>
          <w:numId w:val="12"/>
        </w:numPr>
      </w:pPr>
      <w:r w:rsidRPr="00B52A8A">
        <w:t>aktivní energetický výdej</w:t>
      </w:r>
    </w:p>
    <w:p w:rsidR="00AA5CF6" w:rsidRPr="00B52A8A" w:rsidRDefault="00190EA9" w:rsidP="00D42B78">
      <w:pPr>
        <w:pStyle w:val="Odstavecseseznamem"/>
        <w:numPr>
          <w:ilvl w:val="0"/>
          <w:numId w:val="12"/>
        </w:numPr>
      </w:pPr>
      <w:r w:rsidRPr="00B52A8A">
        <w:t>počet kroků/den</w:t>
      </w:r>
    </w:p>
    <w:p w:rsidR="00BC0E12" w:rsidRPr="00B52A8A" w:rsidRDefault="00BC0E12" w:rsidP="00D42B78">
      <w:pPr>
        <w:pStyle w:val="Odstavecseseznamem"/>
        <w:numPr>
          <w:ilvl w:val="0"/>
          <w:numId w:val="12"/>
        </w:numPr>
      </w:pPr>
      <w:r w:rsidRPr="00B52A8A">
        <w:t>intenzita pohybové aktivity</w:t>
      </w:r>
    </w:p>
    <w:p w:rsidR="00190EA9" w:rsidRPr="00B52A8A" w:rsidRDefault="00190EA9" w:rsidP="00190EA9">
      <w:pPr>
        <w:pStyle w:val="Odstavecseseznamem"/>
        <w:ind w:left="1428"/>
      </w:pPr>
    </w:p>
    <w:p w:rsidR="00BC0E12" w:rsidRPr="00B52A8A" w:rsidRDefault="005016DA" w:rsidP="00190EA9">
      <w:pPr>
        <w:ind w:firstLine="360"/>
      </w:pPr>
      <w:r w:rsidRPr="00B52A8A">
        <w:t xml:space="preserve">Předkládané hodnocení bylo univerzálně vytvořeno pro dospělé </w:t>
      </w:r>
      <w:r w:rsidR="00B9348D" w:rsidRPr="00B52A8A">
        <w:br/>
      </w:r>
      <w:r w:rsidRPr="00B52A8A">
        <w:t>a seniory bez zdravotního omezení</w:t>
      </w:r>
      <w:r w:rsidR="00AA5CF6" w:rsidRPr="00B52A8A">
        <w:t xml:space="preserve">. Je proto </w:t>
      </w:r>
      <w:r w:rsidRPr="00B52A8A">
        <w:t>nutné přihlížet k individuálnímu zdravotnímu stavu a potřebám</w:t>
      </w:r>
      <w:r w:rsidR="00AA5CF6" w:rsidRPr="00B52A8A">
        <w:t xml:space="preserve"> jedince</w:t>
      </w:r>
      <w:r w:rsidRPr="00B52A8A">
        <w:t xml:space="preserve">. </w:t>
      </w:r>
    </w:p>
    <w:p w:rsidR="006F1A9D" w:rsidRPr="00B52A8A" w:rsidRDefault="00AA5CF6" w:rsidP="00D42B78">
      <w:pPr>
        <w:pStyle w:val="Odstavecseseznamem"/>
        <w:numPr>
          <w:ilvl w:val="0"/>
          <w:numId w:val="1"/>
        </w:numPr>
        <w:rPr>
          <w:rFonts w:cs="Calibri"/>
          <w:b/>
          <w:szCs w:val="24"/>
        </w:rPr>
      </w:pPr>
      <w:r w:rsidRPr="00B52A8A">
        <w:rPr>
          <w:rFonts w:cs="Calibri"/>
          <w:b/>
          <w:szCs w:val="24"/>
        </w:rPr>
        <w:t>Podíl aktivního a celkového výdeje energie (%)</w:t>
      </w:r>
    </w:p>
    <w:p w:rsidR="00646937" w:rsidRPr="00B52A8A" w:rsidRDefault="00AA5CF6" w:rsidP="00BC0E12">
      <w:pPr>
        <w:ind w:firstLine="360"/>
        <w:rPr>
          <w:rFonts w:cs="Calibri"/>
          <w:szCs w:val="24"/>
        </w:rPr>
      </w:pPr>
      <w:r w:rsidRPr="00B52A8A">
        <w:rPr>
          <w:rFonts w:cs="Calibri"/>
          <w:szCs w:val="24"/>
        </w:rPr>
        <w:t xml:space="preserve">Aktivní výdej energie (AVE) získáme ze součtu hodin průměrné pohybové aktivity a inaktivity, který je vyjádřen </w:t>
      </w:r>
      <w:r w:rsidR="005130F9" w:rsidRPr="00B52A8A">
        <w:rPr>
          <w:rFonts w:cs="Calibri"/>
          <w:szCs w:val="24"/>
        </w:rPr>
        <w:t xml:space="preserve">v </w:t>
      </w:r>
      <w:r w:rsidRPr="00B52A8A">
        <w:rPr>
          <w:rFonts w:cs="Calibri"/>
          <w:szCs w:val="24"/>
        </w:rPr>
        <w:t>kaloriích. AVE</w:t>
      </w:r>
      <w:r w:rsidR="005130F9" w:rsidRPr="00B52A8A">
        <w:rPr>
          <w:rFonts w:cs="Calibri"/>
          <w:szCs w:val="24"/>
        </w:rPr>
        <w:t xml:space="preserve"> se dělí na průměrný počet hodin za víkend, období od pondělí do pátku a za celý týden dohromady.</w:t>
      </w:r>
      <w:r w:rsidR="00463BCD" w:rsidRPr="00B52A8A">
        <w:rPr>
          <w:rFonts w:cs="Calibri"/>
          <w:szCs w:val="24"/>
        </w:rPr>
        <w:t xml:space="preserve"> Celkový výdej energie</w:t>
      </w:r>
      <w:r w:rsidR="00EC363E" w:rsidRPr="00B52A8A">
        <w:rPr>
          <w:rFonts w:cs="Calibri"/>
          <w:szCs w:val="24"/>
        </w:rPr>
        <w:t xml:space="preserve"> (CVE) </w:t>
      </w:r>
      <w:r w:rsidR="00463BCD" w:rsidRPr="00B52A8A">
        <w:t xml:space="preserve">je tvořen součtem aktivního výdeje energie a bazálního (klidového) metabolismu. </w:t>
      </w:r>
      <w:r w:rsidR="00EC363E" w:rsidRPr="00B52A8A">
        <w:rPr>
          <w:rFonts w:cs="Calibri"/>
          <w:szCs w:val="24"/>
        </w:rPr>
        <w:t xml:space="preserve">CVE </w:t>
      </w:r>
      <w:r w:rsidR="005130F9" w:rsidRPr="00B52A8A">
        <w:rPr>
          <w:rFonts w:cs="Calibri"/>
          <w:szCs w:val="24"/>
        </w:rPr>
        <w:t xml:space="preserve">je vypočítán z jednotlivých dob měření opět za víkend, období od pondělí do pátku a za celý týden dohromady. Následně je proveden výpočet spáleného množství kalorií celkem za 24 hodin. Konečným výsledkem, </w:t>
      </w:r>
      <w:r w:rsidR="005130F9" w:rsidRPr="00B52A8A">
        <w:rPr>
          <w:rFonts w:cs="Calibri"/>
          <w:szCs w:val="24"/>
        </w:rPr>
        <w:lastRenderedPageBreak/>
        <w:t>který hledáme je poměr AVE a CVE za 24 hodin vyjádřený v procentech. Níže je zobrazená vzorová tabulka.</w:t>
      </w:r>
    </w:p>
    <w:p w:rsidR="000524BF" w:rsidRPr="00B52A8A" w:rsidRDefault="0040042D" w:rsidP="00BC0E12">
      <w:pPr>
        <w:ind w:firstLine="360"/>
        <w:rPr>
          <w:rFonts w:cs="Calibri"/>
          <w:szCs w:val="24"/>
        </w:rPr>
      </w:pPr>
      <w:r w:rsidRPr="0040042D">
        <w:rPr>
          <w:noProof/>
          <w:lang w:eastAsia="cs-CZ"/>
        </w:rPr>
        <w:pict>
          <v:roundrect id="_x0000_s1027" style="position:absolute;left:0;text-align:left;margin-left:384.3pt;margin-top:22.5pt;width:42.1pt;height:99.5pt;z-index:251660288" arcsize="10923f" fillcolor="red" strokecolor="red" strokeweight="3pt">
            <v:fill opacity="14418f"/>
          </v:roundrect>
        </w:pict>
      </w:r>
      <w:r w:rsidR="00B336F3" w:rsidRPr="00B52A8A">
        <w:rPr>
          <w:noProof/>
          <w:lang w:eastAsia="cs-CZ"/>
        </w:rPr>
        <w:drawing>
          <wp:anchor distT="0" distB="0" distL="114300" distR="114300" simplePos="0" relativeHeight="251666432" behindDoc="1" locked="0" layoutInCell="1" allowOverlap="1">
            <wp:simplePos x="0" y="0"/>
            <wp:positionH relativeFrom="column">
              <wp:posOffset>-88900</wp:posOffset>
            </wp:positionH>
            <wp:positionV relativeFrom="paragraph">
              <wp:posOffset>168275</wp:posOffset>
            </wp:positionV>
            <wp:extent cx="5486400" cy="1247775"/>
            <wp:effectExtent l="19050" t="0" r="0" b="0"/>
            <wp:wrapNone/>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5486400" cy="1247775"/>
                    </a:xfrm>
                    <a:prstGeom prst="rect">
                      <a:avLst/>
                    </a:prstGeom>
                    <a:noFill/>
                    <a:ln w="9525">
                      <a:noFill/>
                      <a:miter lim="800000"/>
                      <a:headEnd/>
                      <a:tailEnd/>
                    </a:ln>
                  </pic:spPr>
                </pic:pic>
              </a:graphicData>
            </a:graphic>
          </wp:anchor>
        </w:drawing>
      </w:r>
    </w:p>
    <w:p w:rsidR="005130F9" w:rsidRPr="00B52A8A" w:rsidRDefault="0040042D" w:rsidP="005130F9">
      <w:pPr>
        <w:ind w:firstLine="708"/>
        <w:rPr>
          <w:rFonts w:cs="Calibri"/>
          <w:szCs w:val="24"/>
        </w:rPr>
      </w:pPr>
      <w:r w:rsidRPr="0040042D">
        <w:rPr>
          <w:noProof/>
          <w:lang w:eastAsia="cs-CZ"/>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9" type="#_x0000_t68" style="position:absolute;left:0;text-align:left;margin-left:309.3pt;margin-top:19.4pt;width:63.75pt;height:62.45pt;z-index:251662336" fillcolor="#7030a0">
            <v:fill opacity="26870f"/>
            <v:stroke dashstyle="1 1" endcap="round"/>
          </v:shape>
        </w:pict>
      </w:r>
      <w:r w:rsidRPr="0040042D">
        <w:rPr>
          <w:noProof/>
          <w:lang w:eastAsia="cs-CZ"/>
        </w:rPr>
        <w:pict>
          <v:shape id="_x0000_s1028" type="#_x0000_t68" style="position:absolute;left:0;text-align:left;margin-left:150.3pt;margin-top:15.65pt;width:63.75pt;height:66.2pt;z-index:251661312" fillcolor="#00b0f0">
            <v:fill opacity="26870f"/>
            <v:stroke dashstyle="1 1" endcap="round"/>
          </v:shape>
        </w:pict>
      </w:r>
    </w:p>
    <w:p w:rsidR="005130F9" w:rsidRPr="00B52A8A" w:rsidRDefault="005130F9" w:rsidP="005130F9">
      <w:pPr>
        <w:ind w:firstLine="708"/>
        <w:rPr>
          <w:rFonts w:cs="Calibri"/>
          <w:szCs w:val="24"/>
        </w:rPr>
      </w:pPr>
    </w:p>
    <w:p w:rsidR="005130F9" w:rsidRPr="00B52A8A" w:rsidRDefault="005130F9" w:rsidP="005130F9">
      <w:pPr>
        <w:ind w:firstLine="708"/>
        <w:rPr>
          <w:rFonts w:cs="Calibri"/>
          <w:szCs w:val="24"/>
        </w:rPr>
      </w:pPr>
    </w:p>
    <w:p w:rsidR="005130F9" w:rsidRPr="00B52A8A" w:rsidRDefault="005130F9" w:rsidP="005130F9">
      <w:pPr>
        <w:ind w:firstLine="708"/>
        <w:rPr>
          <w:rFonts w:cs="Calibri"/>
          <w:szCs w:val="24"/>
        </w:rPr>
      </w:pPr>
    </w:p>
    <w:p w:rsidR="00AC5A56" w:rsidRPr="00B52A8A" w:rsidRDefault="005130F9" w:rsidP="00B336F3">
      <w:pPr>
        <w:tabs>
          <w:tab w:val="left" w:pos="7155"/>
        </w:tabs>
        <w:spacing w:after="0"/>
        <w:rPr>
          <w:rFonts w:cs="Calibri"/>
          <w:i/>
          <w:sz w:val="20"/>
          <w:szCs w:val="20"/>
        </w:rPr>
      </w:pPr>
      <w:r w:rsidRPr="00B52A8A">
        <w:rPr>
          <w:rFonts w:cs="Calibri"/>
          <w:i/>
          <w:sz w:val="20"/>
          <w:szCs w:val="20"/>
        </w:rPr>
        <w:t xml:space="preserve">Obrázek </w:t>
      </w:r>
      <w:r w:rsidR="00AC5A56" w:rsidRPr="00B52A8A">
        <w:rPr>
          <w:rFonts w:cs="Calibri"/>
          <w:i/>
          <w:sz w:val="20"/>
          <w:szCs w:val="20"/>
        </w:rPr>
        <w:t xml:space="preserve">6. </w:t>
      </w:r>
      <w:r w:rsidR="00B336F3" w:rsidRPr="00B52A8A">
        <w:rPr>
          <w:rFonts w:cs="Calibri"/>
          <w:i/>
          <w:sz w:val="20"/>
          <w:szCs w:val="20"/>
        </w:rPr>
        <w:t>Vyhodnocení výsledků z Actigraphu</w:t>
      </w:r>
      <w:r w:rsidR="00B336F3" w:rsidRPr="00B52A8A">
        <w:rPr>
          <w:rFonts w:cs="Calibri"/>
          <w:i/>
          <w:sz w:val="20"/>
          <w:szCs w:val="20"/>
        </w:rPr>
        <w:tab/>
      </w:r>
    </w:p>
    <w:p w:rsidR="005130F9" w:rsidRPr="00B52A8A" w:rsidRDefault="00AC5A56" w:rsidP="00B336F3">
      <w:pPr>
        <w:spacing w:after="0"/>
        <w:rPr>
          <w:i/>
          <w:sz w:val="20"/>
          <w:szCs w:val="20"/>
        </w:rPr>
      </w:pPr>
      <w:r w:rsidRPr="00B52A8A">
        <w:rPr>
          <w:rFonts w:cs="Calibri"/>
          <w:i/>
          <w:sz w:val="20"/>
          <w:szCs w:val="20"/>
        </w:rPr>
        <w:t xml:space="preserve">(upraveno </w:t>
      </w:r>
      <w:r w:rsidR="005130F9" w:rsidRPr="00B52A8A">
        <w:rPr>
          <w:rFonts w:cs="Calibri"/>
          <w:i/>
          <w:sz w:val="20"/>
          <w:szCs w:val="20"/>
        </w:rPr>
        <w:t xml:space="preserve">dle </w:t>
      </w:r>
      <w:r w:rsidR="005130F9" w:rsidRPr="00B52A8A">
        <w:rPr>
          <w:i/>
          <w:sz w:val="20"/>
          <w:szCs w:val="20"/>
        </w:rPr>
        <w:t>Vyhodnocení výsledků z akcelerometru ActiGraph</w:t>
      </w:r>
      <w:r w:rsidRPr="00B52A8A">
        <w:rPr>
          <w:i/>
          <w:sz w:val="20"/>
          <w:szCs w:val="20"/>
        </w:rPr>
        <w:t>)</w:t>
      </w:r>
    </w:p>
    <w:p w:rsidR="00646937" w:rsidRPr="00B52A8A" w:rsidRDefault="00646937" w:rsidP="00B336F3">
      <w:pPr>
        <w:spacing w:after="0"/>
        <w:ind w:firstLine="708"/>
        <w:rPr>
          <w:i/>
          <w:sz w:val="20"/>
          <w:szCs w:val="20"/>
        </w:rPr>
      </w:pPr>
    </w:p>
    <w:p w:rsidR="00EC363E" w:rsidRPr="00B52A8A" w:rsidRDefault="00463BCD" w:rsidP="00B336F3">
      <w:pPr>
        <w:ind w:firstLine="426"/>
      </w:pPr>
      <w:r w:rsidRPr="00B52A8A">
        <w:t>Čím je člověk aktivnější, tím vyšší je procentuální hodnota podílu aktivního a celkového výdeje energie. Pro kvalitu života je důležitá zdravotně orientovaná pohybová aktivita prováděná pravidelně ve volném čase.</w:t>
      </w:r>
      <w:r w:rsidR="00EC363E" w:rsidRPr="00B52A8A">
        <w:t xml:space="preserve"> Optimální hodnoty podílu AVE a CVE pro dospělé </w:t>
      </w:r>
      <w:r w:rsidR="00B336F3" w:rsidRPr="00B52A8A">
        <w:br/>
      </w:r>
      <w:r w:rsidR="00EC363E" w:rsidRPr="00B52A8A">
        <w:t xml:space="preserve">a seniory bez zdravotního omezení jsou:  </w:t>
      </w:r>
    </w:p>
    <w:p w:rsidR="00EC363E" w:rsidRPr="00B52A8A" w:rsidRDefault="000524BF" w:rsidP="00EC363E">
      <w:pPr>
        <w:spacing w:after="0"/>
        <w:ind w:left="1416" w:firstLine="708"/>
        <w:rPr>
          <w:b/>
          <w:szCs w:val="24"/>
        </w:rPr>
      </w:pPr>
      <w:r w:rsidRPr="00B52A8A">
        <w:rPr>
          <w:b/>
          <w:szCs w:val="24"/>
        </w:rPr>
        <w:t>d</w:t>
      </w:r>
      <w:r w:rsidR="00EC363E" w:rsidRPr="00B52A8A">
        <w:rPr>
          <w:b/>
          <w:szCs w:val="24"/>
        </w:rPr>
        <w:t>ostatečná pohybová aktivita      ≥ 20 %</w:t>
      </w:r>
    </w:p>
    <w:p w:rsidR="00EC363E" w:rsidRPr="00B52A8A" w:rsidRDefault="000524BF" w:rsidP="00EC363E">
      <w:pPr>
        <w:spacing w:after="0"/>
        <w:ind w:left="1416" w:firstLine="708"/>
        <w:rPr>
          <w:b/>
          <w:szCs w:val="24"/>
        </w:rPr>
      </w:pPr>
      <w:r w:rsidRPr="00B52A8A">
        <w:rPr>
          <w:b/>
          <w:szCs w:val="24"/>
        </w:rPr>
        <w:t>n</w:t>
      </w:r>
      <w:r w:rsidR="00EC363E" w:rsidRPr="00B52A8A">
        <w:rPr>
          <w:b/>
          <w:szCs w:val="24"/>
        </w:rPr>
        <w:t xml:space="preserve">edostatečná pohybová aktivita   </w:t>
      </w:r>
      <w:r w:rsidR="00EC363E" w:rsidRPr="00B52A8A">
        <w:rPr>
          <w:b/>
          <w:szCs w:val="24"/>
        </w:rPr>
        <w:sym w:font="Symbol" w:char="F03C"/>
      </w:r>
      <w:r w:rsidR="00EC363E" w:rsidRPr="00B52A8A">
        <w:rPr>
          <w:b/>
          <w:szCs w:val="24"/>
        </w:rPr>
        <w:t xml:space="preserve"> 20 %</w:t>
      </w:r>
    </w:p>
    <w:p w:rsidR="00E949BD" w:rsidRPr="00B52A8A" w:rsidRDefault="00E949BD" w:rsidP="00EC363E">
      <w:pPr>
        <w:spacing w:after="0"/>
        <w:ind w:left="1416" w:firstLine="708"/>
        <w:rPr>
          <w:b/>
          <w:szCs w:val="24"/>
        </w:rPr>
      </w:pPr>
    </w:p>
    <w:p w:rsidR="00E949BD" w:rsidRPr="00B52A8A" w:rsidRDefault="00E949BD" w:rsidP="00D42B78">
      <w:pPr>
        <w:pStyle w:val="Odstavecseseznamem"/>
        <w:numPr>
          <w:ilvl w:val="0"/>
          <w:numId w:val="1"/>
        </w:numPr>
        <w:rPr>
          <w:b/>
          <w:szCs w:val="24"/>
        </w:rPr>
      </w:pPr>
      <w:r w:rsidRPr="00B52A8A">
        <w:rPr>
          <w:b/>
          <w:szCs w:val="24"/>
        </w:rPr>
        <w:t>Počet kroků/den</w:t>
      </w:r>
    </w:p>
    <w:p w:rsidR="00646937" w:rsidRPr="00B52A8A" w:rsidRDefault="00E949BD" w:rsidP="00C82490">
      <w:pPr>
        <w:ind w:firstLine="426"/>
        <w:rPr>
          <w:szCs w:val="24"/>
        </w:rPr>
      </w:pPr>
      <w:r w:rsidRPr="00B52A8A">
        <w:rPr>
          <w:bCs/>
        </w:rPr>
        <w:t>Univerzální</w:t>
      </w:r>
      <w:r w:rsidRPr="00B52A8A">
        <w:t xml:space="preserve"> doporučený počet kroků je 10</w:t>
      </w:r>
      <w:r w:rsidR="00C82490" w:rsidRPr="00B52A8A">
        <w:t xml:space="preserve"> </w:t>
      </w:r>
      <w:r w:rsidRPr="00B52A8A">
        <w:t>000 kroků za den. Pro zlepšení kondice a dosažení zdravotních efektů pohybové aktivity (bez ohledu na plnění doporučení) je doporučeno zvýšit postupně denní počet kroků o 2000.</w:t>
      </w:r>
    </w:p>
    <w:p w:rsidR="00E949BD" w:rsidRPr="00B52A8A" w:rsidRDefault="00E949BD" w:rsidP="00E949BD">
      <w:r w:rsidRPr="00B52A8A">
        <w:rPr>
          <w:szCs w:val="24"/>
        </w:rPr>
        <w:t xml:space="preserve">Hodnocení počtu kroků (podle </w:t>
      </w:r>
      <w:r w:rsidRPr="00B52A8A">
        <w:t>Tudor-Locka &amp; Bassetta, 2004) je:</w:t>
      </w:r>
    </w:p>
    <w:p w:rsidR="00E949BD" w:rsidRPr="00B52A8A" w:rsidRDefault="00E949BD" w:rsidP="00E949BD">
      <w:pPr>
        <w:pStyle w:val="DecimalAligned"/>
        <w:ind w:left="1418" w:firstLine="709"/>
        <w:jc w:val="both"/>
        <w:rPr>
          <w:rFonts w:ascii="Bookman Old Style" w:hAnsi="Bookman Old Style"/>
          <w:b/>
          <w:sz w:val="24"/>
          <w:szCs w:val="24"/>
        </w:rPr>
      </w:pPr>
      <w:r w:rsidRPr="00B52A8A">
        <w:rPr>
          <w:rFonts w:ascii="Bookman Old Style" w:hAnsi="Bookman Old Style"/>
          <w:b/>
          <w:sz w:val="24"/>
          <w:szCs w:val="24"/>
        </w:rPr>
        <w:t xml:space="preserve">Vysoce aktivní </w:t>
      </w:r>
      <w:r w:rsidR="00AA034E" w:rsidRPr="00B52A8A">
        <w:rPr>
          <w:rFonts w:ascii="Bookman Old Style" w:hAnsi="Bookman Old Style"/>
          <w:b/>
          <w:sz w:val="24"/>
          <w:szCs w:val="24"/>
        </w:rPr>
        <w:tab/>
      </w:r>
      <w:r w:rsidR="00AA034E" w:rsidRPr="00B52A8A">
        <w:rPr>
          <w:rFonts w:ascii="Bookman Old Style" w:hAnsi="Bookman Old Style"/>
          <w:b/>
          <w:sz w:val="24"/>
          <w:szCs w:val="24"/>
        </w:rPr>
        <w:tab/>
      </w:r>
      <w:r w:rsidRPr="00B52A8A">
        <w:rPr>
          <w:rFonts w:ascii="Bookman Old Style" w:hAnsi="Bookman Old Style"/>
          <w:b/>
          <w:sz w:val="24"/>
          <w:szCs w:val="24"/>
        </w:rPr>
        <w:t>&gt;12</w:t>
      </w:r>
      <w:r w:rsidR="00482CC1" w:rsidRPr="00B52A8A">
        <w:rPr>
          <w:rFonts w:ascii="Bookman Old Style" w:hAnsi="Bookman Old Style"/>
          <w:b/>
          <w:sz w:val="24"/>
          <w:szCs w:val="24"/>
        </w:rPr>
        <w:t xml:space="preserve"> </w:t>
      </w:r>
      <w:r w:rsidRPr="00B52A8A">
        <w:rPr>
          <w:rFonts w:ascii="Bookman Old Style" w:hAnsi="Bookman Old Style"/>
          <w:b/>
          <w:sz w:val="24"/>
          <w:szCs w:val="24"/>
        </w:rPr>
        <w:t>500 kroků/den</w:t>
      </w:r>
    </w:p>
    <w:p w:rsidR="00E949BD" w:rsidRPr="00B52A8A" w:rsidRDefault="00E949BD" w:rsidP="00E949BD">
      <w:pPr>
        <w:pStyle w:val="DecimalAligned"/>
        <w:jc w:val="both"/>
        <w:rPr>
          <w:rFonts w:ascii="Bookman Old Style" w:hAnsi="Bookman Old Style"/>
          <w:b/>
          <w:sz w:val="24"/>
          <w:szCs w:val="24"/>
        </w:rPr>
      </w:pPr>
      <w:r w:rsidRPr="00B52A8A">
        <w:rPr>
          <w:rFonts w:ascii="Bookman Old Style" w:hAnsi="Bookman Old Style"/>
          <w:b/>
          <w:sz w:val="24"/>
          <w:szCs w:val="24"/>
        </w:rPr>
        <w:tab/>
      </w:r>
      <w:r w:rsidRPr="00B52A8A">
        <w:rPr>
          <w:rFonts w:ascii="Bookman Old Style" w:hAnsi="Bookman Old Style"/>
          <w:b/>
          <w:sz w:val="24"/>
          <w:szCs w:val="24"/>
        </w:rPr>
        <w:tab/>
      </w:r>
      <w:r w:rsidRPr="00B52A8A">
        <w:rPr>
          <w:rFonts w:ascii="Bookman Old Style" w:hAnsi="Bookman Old Style"/>
          <w:b/>
          <w:sz w:val="24"/>
          <w:szCs w:val="24"/>
        </w:rPr>
        <w:tab/>
      </w:r>
      <w:r w:rsidRPr="00B52A8A">
        <w:rPr>
          <w:rFonts w:ascii="Bookman Old Style" w:hAnsi="Bookman Old Style"/>
          <w:b/>
          <w:sz w:val="24"/>
          <w:szCs w:val="24"/>
        </w:rPr>
        <w:tab/>
        <w:t xml:space="preserve">Aktivní </w:t>
      </w:r>
      <w:r w:rsidR="00AA034E" w:rsidRPr="00B52A8A">
        <w:rPr>
          <w:rFonts w:ascii="Bookman Old Style" w:hAnsi="Bookman Old Style"/>
          <w:b/>
          <w:sz w:val="24"/>
          <w:szCs w:val="24"/>
        </w:rPr>
        <w:tab/>
      </w:r>
      <w:r w:rsidR="00AA034E" w:rsidRPr="00B52A8A">
        <w:rPr>
          <w:rFonts w:ascii="Bookman Old Style" w:hAnsi="Bookman Old Style"/>
          <w:b/>
          <w:sz w:val="24"/>
          <w:szCs w:val="24"/>
        </w:rPr>
        <w:tab/>
      </w:r>
      <w:r w:rsidR="00AA034E" w:rsidRPr="00B52A8A">
        <w:rPr>
          <w:rFonts w:ascii="Bookman Old Style" w:hAnsi="Bookman Old Style"/>
          <w:b/>
          <w:sz w:val="24"/>
          <w:szCs w:val="24"/>
        </w:rPr>
        <w:tab/>
      </w:r>
      <w:r w:rsidRPr="00B52A8A">
        <w:rPr>
          <w:rFonts w:ascii="Bookman Old Style" w:hAnsi="Bookman Old Style"/>
          <w:b/>
          <w:sz w:val="24"/>
          <w:szCs w:val="24"/>
        </w:rPr>
        <w:t>≥ 10</w:t>
      </w:r>
      <w:r w:rsidR="00482CC1" w:rsidRPr="00B52A8A">
        <w:rPr>
          <w:rFonts w:ascii="Bookman Old Style" w:hAnsi="Bookman Old Style"/>
          <w:b/>
          <w:sz w:val="24"/>
          <w:szCs w:val="24"/>
        </w:rPr>
        <w:t xml:space="preserve"> </w:t>
      </w:r>
      <w:r w:rsidRPr="00B52A8A">
        <w:rPr>
          <w:rFonts w:ascii="Bookman Old Style" w:hAnsi="Bookman Old Style"/>
          <w:b/>
          <w:sz w:val="24"/>
          <w:szCs w:val="24"/>
        </w:rPr>
        <w:t>000 kroků/den</w:t>
      </w:r>
    </w:p>
    <w:p w:rsidR="00E949BD" w:rsidRPr="00B52A8A" w:rsidRDefault="00E949BD" w:rsidP="00E949BD">
      <w:pPr>
        <w:pStyle w:val="DecimalAligned"/>
        <w:jc w:val="both"/>
        <w:rPr>
          <w:rFonts w:ascii="Bookman Old Style" w:hAnsi="Bookman Old Style"/>
          <w:b/>
          <w:sz w:val="24"/>
          <w:szCs w:val="24"/>
        </w:rPr>
      </w:pPr>
      <w:r w:rsidRPr="00B52A8A">
        <w:rPr>
          <w:rFonts w:ascii="Bookman Old Style" w:hAnsi="Bookman Old Style"/>
          <w:b/>
          <w:sz w:val="24"/>
          <w:szCs w:val="24"/>
        </w:rPr>
        <w:tab/>
      </w:r>
      <w:r w:rsidRPr="00B52A8A">
        <w:rPr>
          <w:rFonts w:ascii="Bookman Old Style" w:hAnsi="Bookman Old Style"/>
          <w:b/>
          <w:sz w:val="24"/>
          <w:szCs w:val="24"/>
        </w:rPr>
        <w:tab/>
      </w:r>
      <w:r w:rsidRPr="00B52A8A">
        <w:rPr>
          <w:rFonts w:ascii="Bookman Old Style" w:hAnsi="Bookman Old Style"/>
          <w:b/>
          <w:sz w:val="24"/>
          <w:szCs w:val="24"/>
        </w:rPr>
        <w:tab/>
      </w:r>
      <w:r w:rsidRPr="00B52A8A">
        <w:rPr>
          <w:rFonts w:ascii="Bookman Old Style" w:hAnsi="Bookman Old Style"/>
          <w:b/>
          <w:sz w:val="24"/>
          <w:szCs w:val="24"/>
        </w:rPr>
        <w:tab/>
        <w:t xml:space="preserve">Částečně aktivní </w:t>
      </w:r>
      <w:r w:rsidR="000524BF" w:rsidRPr="00B52A8A">
        <w:rPr>
          <w:rFonts w:ascii="Bookman Old Style" w:hAnsi="Bookman Old Style"/>
          <w:b/>
          <w:sz w:val="24"/>
          <w:szCs w:val="24"/>
        </w:rPr>
        <w:tab/>
      </w:r>
      <w:r w:rsidRPr="00B52A8A">
        <w:rPr>
          <w:rFonts w:ascii="Bookman Old Style" w:hAnsi="Bookman Old Style"/>
          <w:b/>
          <w:sz w:val="24"/>
          <w:szCs w:val="24"/>
        </w:rPr>
        <w:t>7500 – 9999 kroků/den</w:t>
      </w:r>
    </w:p>
    <w:p w:rsidR="00E949BD" w:rsidRPr="00B52A8A" w:rsidRDefault="00E949BD" w:rsidP="00E949BD">
      <w:pPr>
        <w:pStyle w:val="DecimalAligned"/>
        <w:rPr>
          <w:rFonts w:ascii="Bookman Old Style" w:hAnsi="Bookman Old Style"/>
          <w:b/>
          <w:sz w:val="24"/>
          <w:szCs w:val="24"/>
        </w:rPr>
      </w:pPr>
      <w:r w:rsidRPr="00B52A8A">
        <w:rPr>
          <w:rFonts w:ascii="Bookman Old Style" w:hAnsi="Bookman Old Style"/>
          <w:b/>
          <w:sz w:val="24"/>
          <w:szCs w:val="24"/>
        </w:rPr>
        <w:tab/>
      </w:r>
      <w:r w:rsidRPr="00B52A8A">
        <w:rPr>
          <w:rFonts w:ascii="Bookman Old Style" w:hAnsi="Bookman Old Style"/>
          <w:b/>
          <w:sz w:val="24"/>
          <w:szCs w:val="24"/>
        </w:rPr>
        <w:tab/>
      </w:r>
      <w:r w:rsidRPr="00B52A8A">
        <w:rPr>
          <w:rFonts w:ascii="Bookman Old Style" w:hAnsi="Bookman Old Style"/>
          <w:b/>
          <w:sz w:val="24"/>
          <w:szCs w:val="24"/>
        </w:rPr>
        <w:tab/>
      </w:r>
      <w:r w:rsidRPr="00B52A8A">
        <w:rPr>
          <w:rFonts w:ascii="Bookman Old Style" w:hAnsi="Bookman Old Style"/>
          <w:b/>
          <w:sz w:val="24"/>
          <w:szCs w:val="24"/>
        </w:rPr>
        <w:tab/>
      </w:r>
      <w:r w:rsidR="00AA034E" w:rsidRPr="00B52A8A">
        <w:rPr>
          <w:rFonts w:ascii="Bookman Old Style" w:hAnsi="Bookman Old Style"/>
          <w:b/>
          <w:sz w:val="24"/>
          <w:szCs w:val="24"/>
        </w:rPr>
        <w:t xml:space="preserve">Málo aktivní </w:t>
      </w:r>
      <w:r w:rsidRPr="00B52A8A">
        <w:rPr>
          <w:rFonts w:ascii="Bookman Old Style" w:hAnsi="Bookman Old Style"/>
          <w:b/>
          <w:sz w:val="24"/>
          <w:szCs w:val="24"/>
        </w:rPr>
        <w:t xml:space="preserve"> </w:t>
      </w:r>
      <w:r w:rsidR="00AA034E" w:rsidRPr="00B52A8A">
        <w:rPr>
          <w:rFonts w:ascii="Bookman Old Style" w:hAnsi="Bookman Old Style"/>
          <w:b/>
          <w:sz w:val="24"/>
          <w:szCs w:val="24"/>
        </w:rPr>
        <w:tab/>
      </w:r>
      <w:r w:rsidR="00AA034E" w:rsidRPr="00B52A8A">
        <w:rPr>
          <w:rFonts w:ascii="Bookman Old Style" w:hAnsi="Bookman Old Style"/>
          <w:b/>
          <w:sz w:val="24"/>
          <w:szCs w:val="24"/>
        </w:rPr>
        <w:tab/>
      </w:r>
      <w:r w:rsidRPr="00B52A8A">
        <w:rPr>
          <w:rFonts w:ascii="Bookman Old Style" w:hAnsi="Bookman Old Style"/>
          <w:b/>
          <w:sz w:val="24"/>
          <w:szCs w:val="24"/>
        </w:rPr>
        <w:t>5000 – 7499 kroků/den</w:t>
      </w:r>
    </w:p>
    <w:p w:rsidR="00E949BD" w:rsidRPr="00B52A8A" w:rsidRDefault="00E949BD" w:rsidP="00E949BD">
      <w:pPr>
        <w:ind w:left="1416" w:firstLine="708"/>
        <w:rPr>
          <w:b/>
          <w:szCs w:val="24"/>
        </w:rPr>
      </w:pPr>
      <w:r w:rsidRPr="00B52A8A">
        <w:rPr>
          <w:b/>
          <w:szCs w:val="24"/>
        </w:rPr>
        <w:t xml:space="preserve">Sedavý způsob života </w:t>
      </w:r>
      <w:r w:rsidR="00AA034E" w:rsidRPr="00B52A8A">
        <w:rPr>
          <w:b/>
          <w:szCs w:val="24"/>
        </w:rPr>
        <w:tab/>
      </w:r>
      <w:r w:rsidRPr="00B52A8A">
        <w:rPr>
          <w:b/>
          <w:szCs w:val="24"/>
        </w:rPr>
        <w:sym w:font="Symbol" w:char="F03C"/>
      </w:r>
      <w:r w:rsidRPr="00B52A8A">
        <w:rPr>
          <w:b/>
          <w:szCs w:val="24"/>
        </w:rPr>
        <w:t xml:space="preserve"> 5000 kroků/den</w:t>
      </w:r>
    </w:p>
    <w:p w:rsidR="002C7B6D" w:rsidRPr="00B52A8A" w:rsidRDefault="002C7B6D" w:rsidP="00E949BD">
      <w:pPr>
        <w:ind w:left="1416" w:firstLine="708"/>
        <w:rPr>
          <w:b/>
          <w:szCs w:val="24"/>
        </w:rPr>
      </w:pPr>
    </w:p>
    <w:p w:rsidR="00C82490" w:rsidRPr="00B52A8A" w:rsidRDefault="00C82490" w:rsidP="00E949BD">
      <w:pPr>
        <w:ind w:left="1416" w:firstLine="708"/>
        <w:rPr>
          <w:b/>
          <w:szCs w:val="24"/>
        </w:rPr>
      </w:pPr>
    </w:p>
    <w:p w:rsidR="00EC363E" w:rsidRPr="00B52A8A" w:rsidRDefault="00AA034E" w:rsidP="00D42B78">
      <w:pPr>
        <w:pStyle w:val="Odstavecseseznamem"/>
        <w:numPr>
          <w:ilvl w:val="0"/>
          <w:numId w:val="1"/>
        </w:numPr>
        <w:spacing w:after="0"/>
        <w:rPr>
          <w:b/>
        </w:rPr>
      </w:pPr>
      <w:r w:rsidRPr="00B52A8A">
        <w:rPr>
          <w:b/>
        </w:rPr>
        <w:lastRenderedPageBreak/>
        <w:t>Intenzita pohybové aktivity</w:t>
      </w:r>
    </w:p>
    <w:p w:rsidR="002C7B6D" w:rsidRPr="00B52A8A" w:rsidRDefault="002C7B6D" w:rsidP="002C7B6D">
      <w:pPr>
        <w:spacing w:after="0"/>
        <w:ind w:firstLine="708"/>
      </w:pPr>
      <w:r w:rsidRPr="00B52A8A">
        <w:rPr>
          <w:bCs/>
        </w:rPr>
        <w:t xml:space="preserve">Pro udržení zdraví je podle výsledků z akcelerometru ActiGraph doporučeno denně, v průměru, </w:t>
      </w:r>
      <w:r w:rsidR="00ED2474" w:rsidRPr="00B52A8A">
        <w:t>provádět</w:t>
      </w:r>
      <w:r w:rsidRPr="00B52A8A">
        <w:t>:</w:t>
      </w:r>
    </w:p>
    <w:p w:rsidR="002C7B6D" w:rsidRPr="00B52A8A" w:rsidRDefault="002C7B6D" w:rsidP="002C7B6D">
      <w:pPr>
        <w:spacing w:after="0"/>
        <w:ind w:firstLine="708"/>
      </w:pPr>
    </w:p>
    <w:p w:rsidR="002C7B6D" w:rsidRPr="00B52A8A" w:rsidRDefault="002C7B6D" w:rsidP="00D42B78">
      <w:pPr>
        <w:pStyle w:val="Odstavecseseznamem"/>
        <w:numPr>
          <w:ilvl w:val="0"/>
          <w:numId w:val="20"/>
        </w:numPr>
        <w:spacing w:after="0"/>
      </w:pPr>
      <w:r w:rsidRPr="00B52A8A">
        <w:t>středně zatěžující pohybovou aktivitu (PA)</w:t>
      </w:r>
      <w:r w:rsidR="00CA5342" w:rsidRPr="00B52A8A">
        <w:t xml:space="preserve"> </w:t>
      </w:r>
      <w:r w:rsidRPr="00B52A8A">
        <w:t>3-6 METů</w:t>
      </w:r>
      <w:r w:rsidR="00ED2474" w:rsidRPr="00B52A8A">
        <w:t xml:space="preserve"> alespoň 30min</w:t>
      </w:r>
      <w:r w:rsidRPr="00B52A8A">
        <w:t>,</w:t>
      </w:r>
      <w:r w:rsidR="00ED2474" w:rsidRPr="00B52A8A">
        <w:t xml:space="preserve"> </w:t>
      </w:r>
    </w:p>
    <w:p w:rsidR="002C7B6D" w:rsidRPr="00B52A8A" w:rsidRDefault="00ED2474" w:rsidP="00B336F3">
      <w:pPr>
        <w:pStyle w:val="Odstavecseseznamem"/>
        <w:numPr>
          <w:ilvl w:val="0"/>
          <w:numId w:val="20"/>
        </w:numPr>
        <w:spacing w:after="0"/>
      </w:pPr>
      <w:r w:rsidRPr="00B52A8A">
        <w:t xml:space="preserve">dosáhnout alespoň několik minut intenzívní </w:t>
      </w:r>
      <w:r w:rsidR="002C7B6D" w:rsidRPr="00B52A8A">
        <w:t xml:space="preserve">PA, což odpovídá hodnotám asi </w:t>
      </w:r>
      <w:r w:rsidRPr="00B52A8A">
        <w:t>6-9 METů.</w:t>
      </w:r>
      <w:r w:rsidR="002C7B6D" w:rsidRPr="00B52A8A">
        <w:t xml:space="preserve"> </w:t>
      </w:r>
    </w:p>
    <w:p w:rsidR="002C7B6D" w:rsidRPr="00B52A8A" w:rsidRDefault="002C7B6D" w:rsidP="002C7B6D">
      <w:pPr>
        <w:spacing w:after="0"/>
        <w:ind w:firstLine="708"/>
      </w:pPr>
      <w:r w:rsidRPr="00B52A8A">
        <w:t xml:space="preserve">Podle Physical Activity Guidelines for Americans (2008) je obecně pro udržení zdraví doporučeno týdně </w:t>
      </w:r>
      <w:r w:rsidR="00ED2474" w:rsidRPr="00B52A8A">
        <w:t>p</w:t>
      </w:r>
      <w:r w:rsidRPr="00B52A8A">
        <w:t>rovádět:</w:t>
      </w:r>
    </w:p>
    <w:p w:rsidR="002C7B6D" w:rsidRPr="00B52A8A" w:rsidRDefault="002C7B6D" w:rsidP="002C7B6D">
      <w:pPr>
        <w:spacing w:after="0"/>
        <w:ind w:firstLine="708"/>
      </w:pPr>
    </w:p>
    <w:p w:rsidR="002C7B6D" w:rsidRPr="00B52A8A" w:rsidRDefault="002C7B6D" w:rsidP="00D42B78">
      <w:pPr>
        <w:pStyle w:val="Odstavecseseznamem"/>
        <w:numPr>
          <w:ilvl w:val="0"/>
          <w:numId w:val="21"/>
        </w:numPr>
        <w:spacing w:after="0"/>
      </w:pPr>
      <w:r w:rsidRPr="00B52A8A">
        <w:t>středně zatěžující PA 3 – 6 METů</w:t>
      </w:r>
      <w:r w:rsidR="00ED2474" w:rsidRPr="00B52A8A">
        <w:t xml:space="preserve">  alespoň 150 minut,</w:t>
      </w:r>
      <w:r w:rsidRPr="00B52A8A">
        <w:t xml:space="preserve"> </w:t>
      </w:r>
    </w:p>
    <w:p w:rsidR="002C7B6D" w:rsidRPr="00B52A8A" w:rsidRDefault="00ED2474" w:rsidP="00D42B78">
      <w:pPr>
        <w:pStyle w:val="Odstavecseseznamem"/>
        <w:numPr>
          <w:ilvl w:val="0"/>
          <w:numId w:val="21"/>
        </w:numPr>
        <w:spacing w:after="0"/>
      </w:pPr>
      <w:r w:rsidRPr="00B52A8A">
        <w:t xml:space="preserve">NEBO intenzívní PA 75 minut, </w:t>
      </w:r>
    </w:p>
    <w:p w:rsidR="00CA5342" w:rsidRPr="00B52A8A" w:rsidRDefault="002C7B6D" w:rsidP="00D42B78">
      <w:pPr>
        <w:pStyle w:val="Odstavecseseznamem"/>
        <w:numPr>
          <w:ilvl w:val="0"/>
          <w:numId w:val="21"/>
        </w:numPr>
        <w:spacing w:after="0"/>
      </w:pPr>
      <w:r w:rsidRPr="00B52A8A">
        <w:t xml:space="preserve">NEBO </w:t>
      </w:r>
      <w:r w:rsidR="00ED2474" w:rsidRPr="00B52A8A">
        <w:t xml:space="preserve">kombinaci PA v obou zmiňovaných intenzitách. </w:t>
      </w:r>
    </w:p>
    <w:p w:rsidR="00703238" w:rsidRPr="00B52A8A" w:rsidRDefault="00ED2474" w:rsidP="00CA5342">
      <w:pPr>
        <w:spacing w:after="0"/>
        <w:ind w:firstLine="708"/>
      </w:pPr>
      <w:r w:rsidRPr="00B52A8A">
        <w:t>P</w:t>
      </w:r>
      <w:r w:rsidR="00CA5342" w:rsidRPr="00B52A8A">
        <w:t xml:space="preserve">ohybová aktivita </w:t>
      </w:r>
      <w:r w:rsidRPr="00B52A8A">
        <w:t xml:space="preserve">aerobního charakteru by měla trvat </w:t>
      </w:r>
      <w:smartTag w:uri="urn:schemas-microsoft-com:office:smarttags" w:element="metricconverter">
        <w:smartTagPr>
          <w:attr w:name="ProductID" w:val="10 a"/>
        </w:smartTagPr>
        <w:r w:rsidRPr="00B52A8A">
          <w:t>10 a</w:t>
        </w:r>
      </w:smartTag>
      <w:r w:rsidRPr="00B52A8A">
        <w:t xml:space="preserve"> více minut. </w:t>
      </w:r>
    </w:p>
    <w:p w:rsidR="00703238" w:rsidRPr="00B52A8A" w:rsidRDefault="00703238" w:rsidP="00CA5342">
      <w:pPr>
        <w:spacing w:after="0"/>
        <w:ind w:firstLine="708"/>
      </w:pPr>
    </w:p>
    <w:p w:rsidR="009348D3" w:rsidRPr="00B52A8A" w:rsidRDefault="0040042D" w:rsidP="00CA5342">
      <w:pPr>
        <w:spacing w:after="0"/>
        <w:jc w:val="center"/>
        <w:rPr>
          <w:color w:val="FF0000"/>
          <w:szCs w:val="24"/>
        </w:rPr>
      </w:pPr>
      <w:r>
        <w:rPr>
          <w:noProof/>
          <w:color w:val="FF0000"/>
          <w:szCs w:val="24"/>
          <w:lang w:eastAsia="cs-CZ"/>
        </w:rPr>
        <w:pict>
          <v:roundrect id="_x0000_s1032" style="position:absolute;left:0;text-align:left;margin-left:1.9pt;margin-top:115.15pt;width:451.5pt;height:49.5pt;z-index:251672576" arcsize="10923f" fillcolor="red" strokecolor="red" strokeweight="2.25pt">
            <v:fill opacity="14418f"/>
          </v:roundrect>
        </w:pict>
      </w:r>
      <w:r w:rsidR="00ED2474" w:rsidRPr="00B52A8A">
        <w:rPr>
          <w:noProof/>
          <w:color w:val="FF0000"/>
          <w:szCs w:val="24"/>
          <w:lang w:eastAsia="cs-CZ"/>
        </w:rPr>
        <w:drawing>
          <wp:inline distT="0" distB="0" distL="0" distR="0">
            <wp:extent cx="5790052" cy="3316317"/>
            <wp:effectExtent l="19050" t="0" r="1148" b="0"/>
            <wp:docPr id="1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5814179" cy="3330136"/>
                    </a:xfrm>
                    <a:prstGeom prst="rect">
                      <a:avLst/>
                    </a:prstGeom>
                    <a:noFill/>
                    <a:ln w="9525">
                      <a:noFill/>
                      <a:miter lim="800000"/>
                      <a:headEnd/>
                      <a:tailEnd/>
                    </a:ln>
                  </pic:spPr>
                </pic:pic>
              </a:graphicData>
            </a:graphic>
          </wp:inline>
        </w:drawing>
      </w:r>
    </w:p>
    <w:p w:rsidR="001E6725" w:rsidRPr="00B52A8A" w:rsidRDefault="001E6725" w:rsidP="00ED2474">
      <w:pPr>
        <w:ind w:firstLine="708"/>
        <w:jc w:val="center"/>
        <w:rPr>
          <w:rFonts w:cs="Calibri"/>
          <w:i/>
          <w:sz w:val="20"/>
          <w:szCs w:val="20"/>
        </w:rPr>
      </w:pPr>
    </w:p>
    <w:p w:rsidR="00AC5A56" w:rsidRPr="00B52A8A" w:rsidRDefault="00ED2474" w:rsidP="00AC5A56">
      <w:pPr>
        <w:rPr>
          <w:rFonts w:cs="Calibri"/>
          <w:i/>
          <w:sz w:val="20"/>
          <w:szCs w:val="20"/>
        </w:rPr>
      </w:pPr>
      <w:r w:rsidRPr="00B52A8A">
        <w:rPr>
          <w:rFonts w:cs="Calibri"/>
          <w:i/>
          <w:sz w:val="20"/>
          <w:szCs w:val="20"/>
        </w:rPr>
        <w:t xml:space="preserve">Obrázek </w:t>
      </w:r>
      <w:r w:rsidR="00A33EC9" w:rsidRPr="00B52A8A">
        <w:rPr>
          <w:rFonts w:cs="Calibri"/>
          <w:i/>
          <w:sz w:val="20"/>
          <w:szCs w:val="20"/>
        </w:rPr>
        <w:t>7</w:t>
      </w:r>
      <w:r w:rsidR="00AC5A56" w:rsidRPr="00B52A8A">
        <w:rPr>
          <w:rFonts w:cs="Calibri"/>
          <w:i/>
          <w:sz w:val="20"/>
          <w:szCs w:val="20"/>
        </w:rPr>
        <w:t>.</w:t>
      </w:r>
      <w:r w:rsidR="00B336F3" w:rsidRPr="00B52A8A">
        <w:rPr>
          <w:rFonts w:cs="Calibri"/>
          <w:i/>
          <w:sz w:val="20"/>
          <w:szCs w:val="20"/>
        </w:rPr>
        <w:t xml:space="preserve"> Charakteristika průměrné denní PA</w:t>
      </w:r>
      <w:r w:rsidR="00AC5A56" w:rsidRPr="00B52A8A">
        <w:rPr>
          <w:rFonts w:cs="Calibri"/>
          <w:i/>
          <w:sz w:val="20"/>
          <w:szCs w:val="20"/>
        </w:rPr>
        <w:t xml:space="preserve"> </w:t>
      </w:r>
    </w:p>
    <w:p w:rsidR="001E6725" w:rsidRPr="00B52A8A" w:rsidRDefault="00ED2474" w:rsidP="00AC5A56">
      <w:pPr>
        <w:rPr>
          <w:i/>
          <w:sz w:val="20"/>
          <w:szCs w:val="20"/>
        </w:rPr>
      </w:pPr>
      <w:r w:rsidRPr="00B52A8A">
        <w:rPr>
          <w:rFonts w:cs="Calibri"/>
          <w:i/>
          <w:sz w:val="20"/>
          <w:szCs w:val="20"/>
        </w:rPr>
        <w:t>(</w:t>
      </w:r>
      <w:r w:rsidR="00AC5A56" w:rsidRPr="00B52A8A">
        <w:rPr>
          <w:rFonts w:cs="Calibri"/>
          <w:i/>
          <w:sz w:val="20"/>
          <w:szCs w:val="20"/>
        </w:rPr>
        <w:t xml:space="preserve">upraveno </w:t>
      </w:r>
      <w:r w:rsidRPr="00B52A8A">
        <w:rPr>
          <w:rFonts w:cs="Calibri"/>
          <w:i/>
          <w:sz w:val="20"/>
          <w:szCs w:val="20"/>
        </w:rPr>
        <w:t xml:space="preserve">dle </w:t>
      </w:r>
      <w:r w:rsidRPr="00B52A8A">
        <w:rPr>
          <w:i/>
          <w:sz w:val="20"/>
          <w:szCs w:val="20"/>
        </w:rPr>
        <w:t>Vyhodnocení výsledků z akcelerometru ActiGraph)</w:t>
      </w:r>
    </w:p>
    <w:p w:rsidR="000524BF" w:rsidRPr="00B52A8A" w:rsidRDefault="000524BF" w:rsidP="001E6725">
      <w:pPr>
        <w:ind w:firstLine="708"/>
        <w:jc w:val="center"/>
        <w:rPr>
          <w:i/>
          <w:sz w:val="20"/>
          <w:szCs w:val="20"/>
        </w:rPr>
      </w:pPr>
    </w:p>
    <w:p w:rsidR="00CA5342" w:rsidRPr="00B52A8A" w:rsidRDefault="002C7B6D" w:rsidP="00CA5342">
      <w:pPr>
        <w:spacing w:after="0"/>
        <w:ind w:firstLine="708"/>
      </w:pPr>
      <w:r w:rsidRPr="00B52A8A">
        <w:t xml:space="preserve">Pro dosažení zdravotních efektů je doporučeno </w:t>
      </w:r>
      <w:r w:rsidR="00CA5342" w:rsidRPr="00B52A8A">
        <w:t>(</w:t>
      </w:r>
      <w:r w:rsidRPr="00B52A8A">
        <w:t>Physical Activity Guidelines for Americans, 2008)</w:t>
      </w:r>
      <w:r w:rsidR="00CA5342" w:rsidRPr="00B52A8A">
        <w:t xml:space="preserve"> týdně:</w:t>
      </w:r>
    </w:p>
    <w:p w:rsidR="00CA5342" w:rsidRPr="00B52A8A" w:rsidRDefault="00CA5342" w:rsidP="00D42B78">
      <w:pPr>
        <w:pStyle w:val="Odstavecseseznamem"/>
        <w:numPr>
          <w:ilvl w:val="0"/>
          <w:numId w:val="2"/>
        </w:numPr>
        <w:spacing w:after="0"/>
      </w:pPr>
      <w:r w:rsidRPr="00B52A8A">
        <w:t>z</w:t>
      </w:r>
      <w:r w:rsidR="002C7B6D" w:rsidRPr="00B52A8A">
        <w:t>výšit středně zatěžující PA na 300 minut</w:t>
      </w:r>
      <w:r w:rsidRPr="00B52A8A">
        <w:t>,</w:t>
      </w:r>
      <w:r w:rsidR="002C7B6D" w:rsidRPr="00B52A8A">
        <w:t xml:space="preserve"> </w:t>
      </w:r>
    </w:p>
    <w:p w:rsidR="00CA5342" w:rsidRPr="00B52A8A" w:rsidRDefault="002C7B6D" w:rsidP="00D42B78">
      <w:pPr>
        <w:pStyle w:val="Odstavecseseznamem"/>
        <w:numPr>
          <w:ilvl w:val="0"/>
          <w:numId w:val="2"/>
        </w:numPr>
        <w:spacing w:after="0"/>
      </w:pPr>
      <w:r w:rsidRPr="00B52A8A">
        <w:t>nebo intenzívní PA na 150 minut</w:t>
      </w:r>
      <w:r w:rsidR="00CA5342" w:rsidRPr="00B52A8A">
        <w:t>,</w:t>
      </w:r>
      <w:r w:rsidRPr="00B52A8A">
        <w:t xml:space="preserve"> </w:t>
      </w:r>
    </w:p>
    <w:p w:rsidR="002C7B6D" w:rsidRPr="00B52A8A" w:rsidRDefault="002C7B6D" w:rsidP="00D42B78">
      <w:pPr>
        <w:pStyle w:val="Odstavecseseznamem"/>
        <w:numPr>
          <w:ilvl w:val="0"/>
          <w:numId w:val="2"/>
        </w:numPr>
        <w:spacing w:after="0"/>
      </w:pPr>
      <w:r w:rsidRPr="00B52A8A">
        <w:t>nebo PA adekvátně zkombinovat.</w:t>
      </w:r>
    </w:p>
    <w:p w:rsidR="00500D0C" w:rsidRPr="00B52A8A" w:rsidRDefault="00500D0C" w:rsidP="00482757">
      <w:pPr>
        <w:pStyle w:val="Nadpis1"/>
      </w:pPr>
    </w:p>
    <w:p w:rsidR="00500D0C" w:rsidRPr="00B52A8A" w:rsidRDefault="00500D0C" w:rsidP="00482757">
      <w:pPr>
        <w:pStyle w:val="Nadpis1"/>
      </w:pPr>
    </w:p>
    <w:p w:rsidR="00500D0C" w:rsidRPr="00B52A8A" w:rsidRDefault="00500D0C" w:rsidP="00482757">
      <w:pPr>
        <w:pStyle w:val="Nadpis1"/>
      </w:pPr>
    </w:p>
    <w:p w:rsidR="00500D0C" w:rsidRPr="00B52A8A" w:rsidRDefault="00500D0C">
      <w:pPr>
        <w:spacing w:after="200" w:line="276" w:lineRule="auto"/>
        <w:jc w:val="left"/>
        <w:rPr>
          <w:rFonts w:eastAsiaTheme="majorEastAsia" w:cstheme="majorBidi"/>
          <w:b/>
          <w:bCs/>
          <w:sz w:val="28"/>
          <w:szCs w:val="28"/>
        </w:rPr>
      </w:pPr>
      <w:r w:rsidRPr="00B52A8A">
        <w:br w:type="page"/>
      </w:r>
    </w:p>
    <w:p w:rsidR="00633087" w:rsidRPr="00B52A8A" w:rsidRDefault="00482757" w:rsidP="00482757">
      <w:pPr>
        <w:pStyle w:val="Nadpis1"/>
      </w:pPr>
      <w:bookmarkStart w:id="115" w:name="_Toc293057991"/>
      <w:bookmarkStart w:id="116" w:name="_Toc293153759"/>
      <w:r w:rsidRPr="00B52A8A">
        <w:lastRenderedPageBreak/>
        <w:t xml:space="preserve">5 </w:t>
      </w:r>
      <w:r w:rsidR="00D1483F" w:rsidRPr="00B52A8A">
        <w:t>VÝSLEDKY</w:t>
      </w:r>
      <w:bookmarkEnd w:id="115"/>
      <w:bookmarkEnd w:id="116"/>
    </w:p>
    <w:p w:rsidR="00561814" w:rsidRPr="00B52A8A" w:rsidRDefault="00843244" w:rsidP="00843244">
      <w:pPr>
        <w:rPr>
          <w:szCs w:val="24"/>
        </w:rPr>
      </w:pPr>
      <w:r w:rsidRPr="00B52A8A">
        <w:rPr>
          <w:szCs w:val="24"/>
        </w:rPr>
        <w:t xml:space="preserve">      </w:t>
      </w:r>
      <w:r w:rsidR="00561814" w:rsidRPr="00B52A8A">
        <w:rPr>
          <w:szCs w:val="24"/>
        </w:rPr>
        <w:t>Byly stanoveny základní statistické charakteristiky vybraných parametrů, které uvádím v tabulkách v te</w:t>
      </w:r>
      <w:r w:rsidR="00D557B9" w:rsidRPr="00B52A8A">
        <w:rPr>
          <w:szCs w:val="24"/>
        </w:rPr>
        <w:t>xtu práce. V tabulce</w:t>
      </w:r>
      <w:r w:rsidR="00431C63" w:rsidRPr="00B52A8A">
        <w:rPr>
          <w:szCs w:val="24"/>
        </w:rPr>
        <w:t xml:space="preserve"> 3</w:t>
      </w:r>
      <w:r w:rsidR="00561814" w:rsidRPr="00B52A8A">
        <w:rPr>
          <w:szCs w:val="24"/>
        </w:rPr>
        <w:t xml:space="preserve"> jsou uvedeny základní popisné charakteristiky souboru: věk, výška, hmotnost, BMI a BMR.</w:t>
      </w:r>
    </w:p>
    <w:p w:rsidR="00500D0C" w:rsidRPr="00B52A8A" w:rsidRDefault="00500D0C" w:rsidP="00431C63">
      <w:pPr>
        <w:rPr>
          <w:b/>
        </w:rPr>
      </w:pPr>
      <w:r w:rsidRPr="00B52A8A">
        <w:t xml:space="preserve">     </w:t>
      </w:r>
      <w:r w:rsidRPr="00B52A8A">
        <w:rPr>
          <w:b/>
        </w:rPr>
        <w:t xml:space="preserve">Tabulka </w:t>
      </w:r>
      <w:r w:rsidR="00E84D1B" w:rsidRPr="00B52A8A">
        <w:rPr>
          <w:b/>
        </w:rPr>
        <w:t>3</w:t>
      </w:r>
      <w:r w:rsidR="007522F7" w:rsidRPr="00B52A8A">
        <w:rPr>
          <w:b/>
        </w:rPr>
        <w:t>.</w:t>
      </w:r>
      <w:r w:rsidR="00561814" w:rsidRPr="00B52A8A">
        <w:rPr>
          <w:b/>
        </w:rPr>
        <w:t xml:space="preserve"> </w:t>
      </w:r>
    </w:p>
    <w:p w:rsidR="00561814" w:rsidRPr="00B52A8A" w:rsidRDefault="00500D0C" w:rsidP="00431C63">
      <w:r w:rsidRPr="00B52A8A">
        <w:rPr>
          <w:b/>
        </w:rPr>
        <w:t xml:space="preserve">     </w:t>
      </w:r>
      <w:r w:rsidR="00561814" w:rsidRPr="00B52A8A">
        <w:rPr>
          <w:b/>
        </w:rPr>
        <w:t xml:space="preserve">Základní popisné charakteristiky </w:t>
      </w:r>
      <w:r w:rsidR="00611F04" w:rsidRPr="00B52A8A">
        <w:rPr>
          <w:b/>
        </w:rPr>
        <w:t xml:space="preserve">vybraných parametrů </w:t>
      </w:r>
      <w:r w:rsidR="00561814" w:rsidRPr="00B52A8A">
        <w:rPr>
          <w:b/>
        </w:rPr>
        <w:t>souboru</w:t>
      </w:r>
    </w:p>
    <w:tbl>
      <w:tblPr>
        <w:tblStyle w:val="Svtlstnovn1"/>
        <w:tblW w:w="7675" w:type="dxa"/>
        <w:jc w:val="center"/>
        <w:tblLook w:val="06A0"/>
      </w:tblPr>
      <w:tblGrid>
        <w:gridCol w:w="1535"/>
        <w:gridCol w:w="1535"/>
        <w:gridCol w:w="1535"/>
        <w:gridCol w:w="1535"/>
        <w:gridCol w:w="1535"/>
      </w:tblGrid>
      <w:tr w:rsidR="00500D0C" w:rsidRPr="00B52A8A" w:rsidTr="00500D0C">
        <w:trPr>
          <w:cnfStyle w:val="100000000000"/>
          <w:jc w:val="center"/>
        </w:trPr>
        <w:tc>
          <w:tcPr>
            <w:cnfStyle w:val="001000000000"/>
            <w:tcW w:w="1535" w:type="dxa"/>
          </w:tcPr>
          <w:p w:rsidR="00561814" w:rsidRPr="00B52A8A" w:rsidRDefault="00561814" w:rsidP="00FF145F">
            <w:pPr>
              <w:spacing w:after="0"/>
              <w:jc w:val="left"/>
              <w:rPr>
                <w:i/>
                <w:szCs w:val="24"/>
              </w:rPr>
            </w:pPr>
          </w:p>
        </w:tc>
        <w:tc>
          <w:tcPr>
            <w:tcW w:w="1535" w:type="dxa"/>
          </w:tcPr>
          <w:p w:rsidR="00561814" w:rsidRPr="00B52A8A" w:rsidRDefault="00561814" w:rsidP="00FF145F">
            <w:pPr>
              <w:spacing w:after="0"/>
              <w:jc w:val="center"/>
              <w:cnfStyle w:val="100000000000"/>
              <w:rPr>
                <w:i/>
                <w:szCs w:val="24"/>
              </w:rPr>
            </w:pPr>
            <w:r w:rsidRPr="00B52A8A">
              <w:rPr>
                <w:i/>
                <w:szCs w:val="24"/>
              </w:rPr>
              <w:t>M</w:t>
            </w:r>
          </w:p>
        </w:tc>
        <w:tc>
          <w:tcPr>
            <w:tcW w:w="1535" w:type="dxa"/>
          </w:tcPr>
          <w:p w:rsidR="00561814" w:rsidRPr="00B52A8A" w:rsidRDefault="00561814" w:rsidP="00FF145F">
            <w:pPr>
              <w:spacing w:after="0"/>
              <w:jc w:val="center"/>
              <w:cnfStyle w:val="100000000000"/>
              <w:rPr>
                <w:i/>
                <w:szCs w:val="24"/>
              </w:rPr>
            </w:pPr>
            <w:r w:rsidRPr="00B52A8A">
              <w:rPr>
                <w:i/>
                <w:szCs w:val="24"/>
              </w:rPr>
              <w:t>MIN</w:t>
            </w:r>
          </w:p>
        </w:tc>
        <w:tc>
          <w:tcPr>
            <w:tcW w:w="1535" w:type="dxa"/>
          </w:tcPr>
          <w:p w:rsidR="00561814" w:rsidRPr="00B52A8A" w:rsidRDefault="00561814" w:rsidP="00FF145F">
            <w:pPr>
              <w:spacing w:after="0"/>
              <w:jc w:val="center"/>
              <w:cnfStyle w:val="100000000000"/>
              <w:rPr>
                <w:i/>
                <w:szCs w:val="24"/>
              </w:rPr>
            </w:pPr>
            <w:r w:rsidRPr="00B52A8A">
              <w:rPr>
                <w:i/>
                <w:szCs w:val="24"/>
              </w:rPr>
              <w:t>MAX</w:t>
            </w:r>
          </w:p>
        </w:tc>
        <w:tc>
          <w:tcPr>
            <w:tcW w:w="1535" w:type="dxa"/>
          </w:tcPr>
          <w:p w:rsidR="00561814" w:rsidRPr="00B52A8A" w:rsidRDefault="00561814" w:rsidP="00FF145F">
            <w:pPr>
              <w:jc w:val="center"/>
              <w:cnfStyle w:val="100000000000"/>
              <w:rPr>
                <w:i/>
                <w:szCs w:val="24"/>
              </w:rPr>
            </w:pPr>
            <w:r w:rsidRPr="00B52A8A">
              <w:rPr>
                <w:i/>
                <w:szCs w:val="24"/>
              </w:rPr>
              <w:t>SD</w:t>
            </w:r>
          </w:p>
        </w:tc>
      </w:tr>
      <w:tr w:rsidR="00500D0C" w:rsidRPr="00B52A8A" w:rsidTr="00500D0C">
        <w:trPr>
          <w:jc w:val="center"/>
        </w:trPr>
        <w:tc>
          <w:tcPr>
            <w:cnfStyle w:val="001000000000"/>
            <w:tcW w:w="1535" w:type="dxa"/>
          </w:tcPr>
          <w:p w:rsidR="00561814" w:rsidRPr="00B52A8A" w:rsidRDefault="00561814" w:rsidP="00FF145F">
            <w:pPr>
              <w:spacing w:after="0"/>
              <w:jc w:val="left"/>
              <w:rPr>
                <w:i/>
                <w:szCs w:val="24"/>
              </w:rPr>
            </w:pPr>
            <w:r w:rsidRPr="00B52A8A">
              <w:rPr>
                <w:i/>
                <w:szCs w:val="24"/>
              </w:rPr>
              <w:t>Věk</w:t>
            </w:r>
          </w:p>
        </w:tc>
        <w:tc>
          <w:tcPr>
            <w:tcW w:w="1535" w:type="dxa"/>
          </w:tcPr>
          <w:p w:rsidR="00561814" w:rsidRPr="00B52A8A" w:rsidRDefault="00561814" w:rsidP="00FF145F">
            <w:pPr>
              <w:spacing w:after="0"/>
              <w:jc w:val="center"/>
              <w:cnfStyle w:val="000000000000"/>
              <w:rPr>
                <w:i/>
                <w:szCs w:val="24"/>
              </w:rPr>
            </w:pPr>
            <w:r w:rsidRPr="00B52A8A">
              <w:rPr>
                <w:i/>
                <w:szCs w:val="24"/>
              </w:rPr>
              <w:t xml:space="preserve">  62,39</w:t>
            </w:r>
          </w:p>
        </w:tc>
        <w:tc>
          <w:tcPr>
            <w:tcW w:w="1535" w:type="dxa"/>
          </w:tcPr>
          <w:p w:rsidR="00561814" w:rsidRPr="00B52A8A" w:rsidRDefault="00561814" w:rsidP="00FF145F">
            <w:pPr>
              <w:spacing w:after="0"/>
              <w:jc w:val="center"/>
              <w:cnfStyle w:val="000000000000"/>
              <w:rPr>
                <w:i/>
                <w:szCs w:val="24"/>
              </w:rPr>
            </w:pPr>
            <w:r w:rsidRPr="00B52A8A">
              <w:rPr>
                <w:i/>
                <w:szCs w:val="24"/>
              </w:rPr>
              <w:t>55,00</w:t>
            </w:r>
          </w:p>
        </w:tc>
        <w:tc>
          <w:tcPr>
            <w:tcW w:w="1535" w:type="dxa"/>
          </w:tcPr>
          <w:p w:rsidR="00561814" w:rsidRPr="00B52A8A" w:rsidRDefault="00561814" w:rsidP="00FF145F">
            <w:pPr>
              <w:spacing w:after="0"/>
              <w:jc w:val="center"/>
              <w:cnfStyle w:val="000000000000"/>
              <w:rPr>
                <w:i/>
                <w:szCs w:val="24"/>
              </w:rPr>
            </w:pPr>
            <w:r w:rsidRPr="00B52A8A">
              <w:rPr>
                <w:i/>
                <w:szCs w:val="24"/>
              </w:rPr>
              <w:t>70,00</w:t>
            </w:r>
          </w:p>
        </w:tc>
        <w:tc>
          <w:tcPr>
            <w:tcW w:w="1535" w:type="dxa"/>
          </w:tcPr>
          <w:p w:rsidR="00561814" w:rsidRPr="00B52A8A" w:rsidRDefault="00561814" w:rsidP="00FF145F">
            <w:pPr>
              <w:jc w:val="center"/>
              <w:cnfStyle w:val="000000000000"/>
              <w:rPr>
                <w:i/>
                <w:szCs w:val="24"/>
              </w:rPr>
            </w:pPr>
            <w:r w:rsidRPr="00B52A8A">
              <w:rPr>
                <w:i/>
                <w:szCs w:val="24"/>
              </w:rPr>
              <w:t>4,66</w:t>
            </w:r>
          </w:p>
        </w:tc>
      </w:tr>
      <w:tr w:rsidR="00561814" w:rsidRPr="00B52A8A" w:rsidTr="00500D0C">
        <w:trPr>
          <w:jc w:val="center"/>
        </w:trPr>
        <w:tc>
          <w:tcPr>
            <w:cnfStyle w:val="001000000000"/>
            <w:tcW w:w="1535" w:type="dxa"/>
          </w:tcPr>
          <w:p w:rsidR="00561814" w:rsidRPr="00B52A8A" w:rsidRDefault="00561814" w:rsidP="00FF145F">
            <w:pPr>
              <w:spacing w:after="0"/>
              <w:jc w:val="left"/>
              <w:rPr>
                <w:i/>
                <w:szCs w:val="24"/>
              </w:rPr>
            </w:pPr>
            <w:r w:rsidRPr="00B52A8A">
              <w:rPr>
                <w:i/>
                <w:szCs w:val="24"/>
              </w:rPr>
              <w:t>Výška</w:t>
            </w:r>
          </w:p>
        </w:tc>
        <w:tc>
          <w:tcPr>
            <w:tcW w:w="1535" w:type="dxa"/>
          </w:tcPr>
          <w:p w:rsidR="00561814" w:rsidRPr="00B52A8A" w:rsidRDefault="00561814" w:rsidP="00FF145F">
            <w:pPr>
              <w:spacing w:after="0"/>
              <w:jc w:val="center"/>
              <w:cnfStyle w:val="000000000000"/>
              <w:rPr>
                <w:i/>
                <w:szCs w:val="24"/>
              </w:rPr>
            </w:pPr>
            <w:r w:rsidRPr="00B52A8A">
              <w:rPr>
                <w:i/>
                <w:szCs w:val="24"/>
              </w:rPr>
              <w:t>158,96</w:t>
            </w:r>
          </w:p>
        </w:tc>
        <w:tc>
          <w:tcPr>
            <w:tcW w:w="1535" w:type="dxa"/>
          </w:tcPr>
          <w:p w:rsidR="00561814" w:rsidRPr="00B52A8A" w:rsidRDefault="00561814" w:rsidP="00FF145F">
            <w:pPr>
              <w:spacing w:after="0"/>
              <w:jc w:val="center"/>
              <w:cnfStyle w:val="000000000000"/>
              <w:rPr>
                <w:i/>
                <w:szCs w:val="24"/>
              </w:rPr>
            </w:pPr>
            <w:r w:rsidRPr="00B52A8A">
              <w:rPr>
                <w:i/>
                <w:szCs w:val="24"/>
              </w:rPr>
              <w:t>144,00</w:t>
            </w:r>
          </w:p>
        </w:tc>
        <w:tc>
          <w:tcPr>
            <w:tcW w:w="1535" w:type="dxa"/>
          </w:tcPr>
          <w:p w:rsidR="00561814" w:rsidRPr="00B52A8A" w:rsidRDefault="00561814" w:rsidP="00FF145F">
            <w:pPr>
              <w:spacing w:after="0"/>
              <w:jc w:val="center"/>
              <w:cnfStyle w:val="000000000000"/>
              <w:rPr>
                <w:i/>
                <w:szCs w:val="24"/>
              </w:rPr>
            </w:pPr>
            <w:r w:rsidRPr="00B52A8A">
              <w:rPr>
                <w:i/>
                <w:szCs w:val="24"/>
              </w:rPr>
              <w:t>174,00</w:t>
            </w:r>
          </w:p>
        </w:tc>
        <w:tc>
          <w:tcPr>
            <w:tcW w:w="1535" w:type="dxa"/>
          </w:tcPr>
          <w:p w:rsidR="00561814" w:rsidRPr="00B52A8A" w:rsidRDefault="00561814" w:rsidP="00FF145F">
            <w:pPr>
              <w:jc w:val="center"/>
              <w:cnfStyle w:val="000000000000"/>
              <w:rPr>
                <w:i/>
                <w:szCs w:val="24"/>
              </w:rPr>
            </w:pPr>
            <w:r w:rsidRPr="00B52A8A">
              <w:rPr>
                <w:i/>
                <w:szCs w:val="24"/>
              </w:rPr>
              <w:t>5,75</w:t>
            </w:r>
          </w:p>
        </w:tc>
      </w:tr>
      <w:tr w:rsidR="00500D0C" w:rsidRPr="00B52A8A" w:rsidTr="00500D0C">
        <w:trPr>
          <w:jc w:val="center"/>
        </w:trPr>
        <w:tc>
          <w:tcPr>
            <w:cnfStyle w:val="001000000000"/>
            <w:tcW w:w="1535" w:type="dxa"/>
          </w:tcPr>
          <w:p w:rsidR="00561814" w:rsidRPr="00B52A8A" w:rsidRDefault="00561814" w:rsidP="00FF145F">
            <w:pPr>
              <w:spacing w:after="0"/>
              <w:jc w:val="left"/>
              <w:rPr>
                <w:i/>
                <w:szCs w:val="24"/>
              </w:rPr>
            </w:pPr>
            <w:r w:rsidRPr="00B52A8A">
              <w:rPr>
                <w:i/>
                <w:szCs w:val="24"/>
              </w:rPr>
              <w:t>Hmotnost</w:t>
            </w:r>
          </w:p>
        </w:tc>
        <w:tc>
          <w:tcPr>
            <w:tcW w:w="1535" w:type="dxa"/>
          </w:tcPr>
          <w:p w:rsidR="00561814" w:rsidRPr="00B52A8A" w:rsidRDefault="00561814" w:rsidP="00FF145F">
            <w:pPr>
              <w:spacing w:after="0"/>
              <w:jc w:val="center"/>
              <w:cnfStyle w:val="000000000000"/>
              <w:rPr>
                <w:i/>
                <w:szCs w:val="24"/>
              </w:rPr>
            </w:pPr>
            <w:r w:rsidRPr="00B52A8A">
              <w:rPr>
                <w:i/>
                <w:szCs w:val="24"/>
              </w:rPr>
              <w:t>70,63</w:t>
            </w:r>
          </w:p>
        </w:tc>
        <w:tc>
          <w:tcPr>
            <w:tcW w:w="1535" w:type="dxa"/>
          </w:tcPr>
          <w:p w:rsidR="00561814" w:rsidRPr="00B52A8A" w:rsidRDefault="00561814" w:rsidP="00FF145F">
            <w:pPr>
              <w:spacing w:after="0"/>
              <w:jc w:val="center"/>
              <w:cnfStyle w:val="000000000000"/>
              <w:rPr>
                <w:i/>
                <w:szCs w:val="24"/>
              </w:rPr>
            </w:pPr>
            <w:r w:rsidRPr="00B52A8A">
              <w:rPr>
                <w:i/>
                <w:szCs w:val="24"/>
              </w:rPr>
              <w:t>44,70</w:t>
            </w:r>
          </w:p>
        </w:tc>
        <w:tc>
          <w:tcPr>
            <w:tcW w:w="1535" w:type="dxa"/>
          </w:tcPr>
          <w:p w:rsidR="00561814" w:rsidRPr="00B52A8A" w:rsidRDefault="00561814" w:rsidP="00FF145F">
            <w:pPr>
              <w:spacing w:after="0"/>
              <w:jc w:val="center"/>
              <w:cnfStyle w:val="000000000000"/>
              <w:rPr>
                <w:i/>
                <w:szCs w:val="24"/>
              </w:rPr>
            </w:pPr>
            <w:r w:rsidRPr="00B52A8A">
              <w:rPr>
                <w:i/>
                <w:szCs w:val="24"/>
              </w:rPr>
              <w:t>109,00</w:t>
            </w:r>
          </w:p>
        </w:tc>
        <w:tc>
          <w:tcPr>
            <w:tcW w:w="1535" w:type="dxa"/>
          </w:tcPr>
          <w:p w:rsidR="00561814" w:rsidRPr="00B52A8A" w:rsidRDefault="00561814" w:rsidP="00FF145F">
            <w:pPr>
              <w:jc w:val="center"/>
              <w:cnfStyle w:val="000000000000"/>
              <w:rPr>
                <w:i/>
                <w:szCs w:val="24"/>
              </w:rPr>
            </w:pPr>
            <w:r w:rsidRPr="00B52A8A">
              <w:rPr>
                <w:i/>
                <w:szCs w:val="24"/>
              </w:rPr>
              <w:t>12,10</w:t>
            </w:r>
          </w:p>
        </w:tc>
      </w:tr>
      <w:tr w:rsidR="00561814" w:rsidRPr="00B52A8A" w:rsidTr="00500D0C">
        <w:trPr>
          <w:jc w:val="center"/>
        </w:trPr>
        <w:tc>
          <w:tcPr>
            <w:cnfStyle w:val="001000000000"/>
            <w:tcW w:w="1535" w:type="dxa"/>
          </w:tcPr>
          <w:p w:rsidR="00561814" w:rsidRPr="00B52A8A" w:rsidRDefault="00561814" w:rsidP="00FF145F">
            <w:pPr>
              <w:spacing w:after="0"/>
              <w:jc w:val="left"/>
              <w:rPr>
                <w:i/>
                <w:szCs w:val="24"/>
              </w:rPr>
            </w:pPr>
            <w:r w:rsidRPr="00B52A8A">
              <w:rPr>
                <w:i/>
                <w:szCs w:val="24"/>
              </w:rPr>
              <w:t>BMI</w:t>
            </w:r>
          </w:p>
        </w:tc>
        <w:tc>
          <w:tcPr>
            <w:tcW w:w="1535" w:type="dxa"/>
          </w:tcPr>
          <w:p w:rsidR="00561814" w:rsidRPr="00B52A8A" w:rsidRDefault="00561814" w:rsidP="00FF145F">
            <w:pPr>
              <w:spacing w:after="0"/>
              <w:jc w:val="center"/>
              <w:cnfStyle w:val="000000000000"/>
              <w:rPr>
                <w:i/>
                <w:szCs w:val="24"/>
              </w:rPr>
            </w:pPr>
            <w:r w:rsidRPr="00B52A8A">
              <w:rPr>
                <w:i/>
                <w:szCs w:val="24"/>
              </w:rPr>
              <w:t>27,</w:t>
            </w:r>
            <w:r w:rsidR="00A15383" w:rsidRPr="00B52A8A">
              <w:rPr>
                <w:i/>
                <w:szCs w:val="24"/>
              </w:rPr>
              <w:t>83</w:t>
            </w:r>
          </w:p>
        </w:tc>
        <w:tc>
          <w:tcPr>
            <w:tcW w:w="1535" w:type="dxa"/>
          </w:tcPr>
          <w:p w:rsidR="00561814" w:rsidRPr="00B52A8A" w:rsidRDefault="00561814" w:rsidP="00FF145F">
            <w:pPr>
              <w:spacing w:after="0"/>
              <w:jc w:val="center"/>
              <w:cnfStyle w:val="000000000000"/>
              <w:rPr>
                <w:i/>
                <w:szCs w:val="24"/>
              </w:rPr>
            </w:pPr>
            <w:r w:rsidRPr="00B52A8A">
              <w:rPr>
                <w:i/>
                <w:szCs w:val="24"/>
              </w:rPr>
              <w:t>17,</w:t>
            </w:r>
            <w:r w:rsidR="00A15383" w:rsidRPr="00B52A8A">
              <w:rPr>
                <w:i/>
                <w:szCs w:val="24"/>
              </w:rPr>
              <w:t>88</w:t>
            </w:r>
          </w:p>
        </w:tc>
        <w:tc>
          <w:tcPr>
            <w:tcW w:w="1535" w:type="dxa"/>
          </w:tcPr>
          <w:p w:rsidR="00561814" w:rsidRPr="00B52A8A" w:rsidRDefault="00561814" w:rsidP="00FF145F">
            <w:pPr>
              <w:spacing w:after="0"/>
              <w:jc w:val="center"/>
              <w:cnfStyle w:val="000000000000"/>
              <w:rPr>
                <w:i/>
                <w:szCs w:val="24"/>
              </w:rPr>
            </w:pPr>
            <w:r w:rsidRPr="00B52A8A">
              <w:rPr>
                <w:i/>
                <w:szCs w:val="24"/>
              </w:rPr>
              <w:t>40,</w:t>
            </w:r>
            <w:r w:rsidR="00A15383" w:rsidRPr="00B52A8A">
              <w:rPr>
                <w:i/>
                <w:szCs w:val="24"/>
              </w:rPr>
              <w:t>47</w:t>
            </w:r>
          </w:p>
        </w:tc>
        <w:tc>
          <w:tcPr>
            <w:tcW w:w="1535" w:type="dxa"/>
          </w:tcPr>
          <w:p w:rsidR="00561814" w:rsidRPr="00B52A8A" w:rsidRDefault="00561814" w:rsidP="00FF145F">
            <w:pPr>
              <w:jc w:val="center"/>
              <w:cnfStyle w:val="000000000000"/>
              <w:rPr>
                <w:i/>
                <w:szCs w:val="24"/>
              </w:rPr>
            </w:pPr>
            <w:r w:rsidRPr="00B52A8A">
              <w:rPr>
                <w:i/>
                <w:szCs w:val="24"/>
              </w:rPr>
              <w:t>4,6</w:t>
            </w:r>
            <w:r w:rsidR="00A15383" w:rsidRPr="00B52A8A">
              <w:rPr>
                <w:i/>
                <w:szCs w:val="24"/>
              </w:rPr>
              <w:t>5</w:t>
            </w:r>
          </w:p>
        </w:tc>
      </w:tr>
      <w:tr w:rsidR="00500D0C" w:rsidRPr="00B52A8A" w:rsidTr="00500D0C">
        <w:trPr>
          <w:jc w:val="center"/>
        </w:trPr>
        <w:tc>
          <w:tcPr>
            <w:cnfStyle w:val="001000000000"/>
            <w:tcW w:w="1535" w:type="dxa"/>
          </w:tcPr>
          <w:p w:rsidR="00561814" w:rsidRPr="00B52A8A" w:rsidRDefault="00561814" w:rsidP="00FF145F">
            <w:pPr>
              <w:spacing w:after="0"/>
              <w:jc w:val="left"/>
              <w:rPr>
                <w:i/>
                <w:szCs w:val="24"/>
              </w:rPr>
            </w:pPr>
            <w:r w:rsidRPr="00B52A8A">
              <w:rPr>
                <w:i/>
                <w:szCs w:val="24"/>
              </w:rPr>
              <w:t>BMR</w:t>
            </w:r>
          </w:p>
        </w:tc>
        <w:tc>
          <w:tcPr>
            <w:tcW w:w="1535" w:type="dxa"/>
          </w:tcPr>
          <w:p w:rsidR="00561814" w:rsidRPr="00B52A8A" w:rsidRDefault="00561814" w:rsidP="00FF145F">
            <w:pPr>
              <w:spacing w:after="0"/>
              <w:cnfStyle w:val="000000000000"/>
              <w:rPr>
                <w:i/>
                <w:szCs w:val="24"/>
              </w:rPr>
            </w:pPr>
            <w:r w:rsidRPr="00B52A8A">
              <w:rPr>
                <w:i/>
                <w:szCs w:val="24"/>
              </w:rPr>
              <w:t xml:space="preserve"> </w:t>
            </w:r>
            <w:r w:rsidR="00A15383" w:rsidRPr="00B52A8A">
              <w:rPr>
                <w:i/>
                <w:szCs w:val="24"/>
              </w:rPr>
              <w:t>1301</w:t>
            </w:r>
            <w:r w:rsidRPr="00B52A8A">
              <w:rPr>
                <w:i/>
                <w:szCs w:val="24"/>
              </w:rPr>
              <w:t>,</w:t>
            </w:r>
            <w:r w:rsidR="00A15383" w:rsidRPr="00B52A8A">
              <w:rPr>
                <w:i/>
                <w:szCs w:val="24"/>
              </w:rPr>
              <w:t>12</w:t>
            </w:r>
          </w:p>
        </w:tc>
        <w:tc>
          <w:tcPr>
            <w:tcW w:w="1535" w:type="dxa"/>
          </w:tcPr>
          <w:p w:rsidR="00561814" w:rsidRPr="00B52A8A" w:rsidRDefault="00A15383" w:rsidP="00FF145F">
            <w:pPr>
              <w:spacing w:after="0"/>
              <w:cnfStyle w:val="000000000000"/>
              <w:rPr>
                <w:i/>
                <w:szCs w:val="24"/>
              </w:rPr>
            </w:pPr>
            <w:r w:rsidRPr="00B52A8A">
              <w:rPr>
                <w:i/>
                <w:szCs w:val="24"/>
              </w:rPr>
              <w:t xml:space="preserve"> 1096</w:t>
            </w:r>
            <w:r w:rsidR="00561814" w:rsidRPr="00B52A8A">
              <w:rPr>
                <w:i/>
                <w:szCs w:val="24"/>
              </w:rPr>
              <w:t>,</w:t>
            </w:r>
            <w:r w:rsidRPr="00B52A8A">
              <w:rPr>
                <w:i/>
                <w:szCs w:val="24"/>
              </w:rPr>
              <w:t>50</w:t>
            </w:r>
          </w:p>
        </w:tc>
        <w:tc>
          <w:tcPr>
            <w:tcW w:w="1535" w:type="dxa"/>
          </w:tcPr>
          <w:p w:rsidR="00561814" w:rsidRPr="00B52A8A" w:rsidRDefault="00561814" w:rsidP="00FF145F">
            <w:pPr>
              <w:spacing w:after="0"/>
              <w:cnfStyle w:val="000000000000"/>
              <w:rPr>
                <w:i/>
                <w:szCs w:val="24"/>
              </w:rPr>
            </w:pPr>
            <w:r w:rsidRPr="00B52A8A">
              <w:rPr>
                <w:i/>
                <w:szCs w:val="24"/>
              </w:rPr>
              <w:t xml:space="preserve"> </w:t>
            </w:r>
            <w:r w:rsidR="00A15383" w:rsidRPr="00B52A8A">
              <w:rPr>
                <w:i/>
                <w:szCs w:val="24"/>
              </w:rPr>
              <w:t>1555</w:t>
            </w:r>
            <w:r w:rsidRPr="00B52A8A">
              <w:rPr>
                <w:i/>
                <w:szCs w:val="24"/>
              </w:rPr>
              <w:t>,</w:t>
            </w:r>
            <w:r w:rsidR="00A15383" w:rsidRPr="00B52A8A">
              <w:rPr>
                <w:i/>
                <w:szCs w:val="24"/>
              </w:rPr>
              <w:t>17</w:t>
            </w:r>
          </w:p>
        </w:tc>
        <w:tc>
          <w:tcPr>
            <w:tcW w:w="1535" w:type="dxa"/>
          </w:tcPr>
          <w:p w:rsidR="00561814" w:rsidRPr="00B52A8A" w:rsidRDefault="00561814" w:rsidP="00FF145F">
            <w:pPr>
              <w:cnfStyle w:val="000000000000"/>
              <w:rPr>
                <w:i/>
                <w:szCs w:val="24"/>
              </w:rPr>
            </w:pPr>
            <w:r w:rsidRPr="00B52A8A">
              <w:rPr>
                <w:i/>
                <w:szCs w:val="24"/>
              </w:rPr>
              <w:t xml:space="preserve">  </w:t>
            </w:r>
            <w:r w:rsidR="00A15383" w:rsidRPr="00B52A8A">
              <w:rPr>
                <w:i/>
                <w:szCs w:val="24"/>
              </w:rPr>
              <w:t>100</w:t>
            </w:r>
            <w:r w:rsidRPr="00B52A8A">
              <w:rPr>
                <w:i/>
                <w:szCs w:val="24"/>
              </w:rPr>
              <w:t>,65</w:t>
            </w:r>
          </w:p>
        </w:tc>
      </w:tr>
    </w:tbl>
    <w:p w:rsidR="00561814" w:rsidRPr="00B52A8A" w:rsidRDefault="00843244" w:rsidP="00DD5B7F">
      <w:pPr>
        <w:spacing w:after="0"/>
        <w:rPr>
          <w:szCs w:val="24"/>
        </w:rPr>
      </w:pPr>
      <w:r w:rsidRPr="00B52A8A">
        <w:rPr>
          <w:szCs w:val="24"/>
        </w:rPr>
        <w:t xml:space="preserve"> </w:t>
      </w:r>
    </w:p>
    <w:p w:rsidR="00C82490" w:rsidRPr="00B52A8A" w:rsidRDefault="00345DE0" w:rsidP="00C82490">
      <w:pPr>
        <w:spacing w:after="0"/>
        <w:ind w:firstLine="284"/>
        <w:rPr>
          <w:i/>
          <w:sz w:val="16"/>
          <w:szCs w:val="16"/>
        </w:rPr>
      </w:pPr>
      <w:proofErr w:type="gramStart"/>
      <w:r w:rsidRPr="00B52A8A">
        <w:rPr>
          <w:i/>
          <w:sz w:val="16"/>
          <w:szCs w:val="16"/>
        </w:rPr>
        <w:t>Vysvětlivky:</w:t>
      </w:r>
      <w:r w:rsidR="00C82490" w:rsidRPr="00B52A8A">
        <w:rPr>
          <w:i/>
          <w:sz w:val="16"/>
          <w:szCs w:val="16"/>
        </w:rPr>
        <w:tab/>
      </w:r>
      <w:r w:rsidR="008711F4" w:rsidRPr="00B52A8A">
        <w:rPr>
          <w:i/>
          <w:sz w:val="16"/>
          <w:szCs w:val="16"/>
        </w:rPr>
        <w:tab/>
      </w:r>
      <w:r w:rsidR="00C82490" w:rsidRPr="00B52A8A">
        <w:rPr>
          <w:i/>
          <w:sz w:val="16"/>
          <w:szCs w:val="16"/>
        </w:rPr>
        <w:t>M</w:t>
      </w:r>
      <w:r w:rsidR="008711F4" w:rsidRPr="00B52A8A">
        <w:rPr>
          <w:i/>
          <w:sz w:val="16"/>
          <w:szCs w:val="16"/>
        </w:rPr>
        <w:t xml:space="preserve">          </w:t>
      </w:r>
      <w:r w:rsidR="00C82490" w:rsidRPr="00B52A8A">
        <w:rPr>
          <w:sz w:val="16"/>
          <w:szCs w:val="16"/>
        </w:rPr>
        <w:t>–</w:t>
      </w:r>
      <w:r w:rsidR="008711F4" w:rsidRPr="00B52A8A">
        <w:rPr>
          <w:sz w:val="16"/>
          <w:szCs w:val="16"/>
        </w:rPr>
        <w:t xml:space="preserve"> aritmetický</w:t>
      </w:r>
      <w:proofErr w:type="gramEnd"/>
      <w:r w:rsidR="00C82490" w:rsidRPr="00B52A8A">
        <w:rPr>
          <w:i/>
          <w:sz w:val="16"/>
          <w:szCs w:val="16"/>
        </w:rPr>
        <w:t xml:space="preserve"> průměr</w:t>
      </w:r>
      <w:r w:rsidRPr="00B52A8A">
        <w:rPr>
          <w:i/>
          <w:sz w:val="16"/>
          <w:szCs w:val="16"/>
        </w:rPr>
        <w:tab/>
      </w:r>
    </w:p>
    <w:p w:rsidR="00C82490" w:rsidRPr="00B52A8A" w:rsidRDefault="00C82490" w:rsidP="00C82490">
      <w:pPr>
        <w:spacing w:after="0"/>
        <w:ind w:left="1416" w:firstLine="708"/>
        <w:rPr>
          <w:i/>
          <w:sz w:val="16"/>
          <w:szCs w:val="16"/>
        </w:rPr>
      </w:pPr>
      <w:r w:rsidRPr="00B52A8A">
        <w:rPr>
          <w:i/>
          <w:sz w:val="16"/>
          <w:szCs w:val="16"/>
        </w:rPr>
        <w:t xml:space="preserve">BMI      </w:t>
      </w:r>
      <w:r w:rsidRPr="00B52A8A">
        <w:rPr>
          <w:sz w:val="16"/>
          <w:szCs w:val="16"/>
        </w:rPr>
        <w:t>–</w:t>
      </w:r>
      <w:r w:rsidRPr="00B52A8A">
        <w:rPr>
          <w:i/>
          <w:sz w:val="16"/>
          <w:szCs w:val="16"/>
        </w:rPr>
        <w:t xml:space="preserve"> body mass index</w:t>
      </w:r>
      <w:r w:rsidRPr="00B52A8A">
        <w:rPr>
          <w:i/>
          <w:sz w:val="16"/>
          <w:szCs w:val="16"/>
        </w:rPr>
        <w:tab/>
      </w:r>
    </w:p>
    <w:p w:rsidR="00DD5B7F" w:rsidRPr="00B52A8A" w:rsidRDefault="00C82490" w:rsidP="00C82490">
      <w:pPr>
        <w:ind w:left="1416" w:firstLine="708"/>
        <w:rPr>
          <w:i/>
          <w:sz w:val="16"/>
          <w:szCs w:val="16"/>
        </w:rPr>
      </w:pPr>
      <w:r w:rsidRPr="00B52A8A">
        <w:rPr>
          <w:i/>
          <w:sz w:val="16"/>
          <w:szCs w:val="16"/>
        </w:rPr>
        <w:t xml:space="preserve">BMR    </w:t>
      </w:r>
      <w:r w:rsidRPr="00B52A8A">
        <w:rPr>
          <w:sz w:val="16"/>
          <w:szCs w:val="16"/>
        </w:rPr>
        <w:t>–</w:t>
      </w:r>
      <w:r w:rsidR="00DD5B7F" w:rsidRPr="00B52A8A">
        <w:rPr>
          <w:i/>
          <w:sz w:val="16"/>
          <w:szCs w:val="16"/>
        </w:rPr>
        <w:t xml:space="preserve"> bazální metabolismus</w:t>
      </w:r>
    </w:p>
    <w:p w:rsidR="00442CB6" w:rsidRPr="00B52A8A" w:rsidRDefault="00D33A47" w:rsidP="00C82490">
      <w:pPr>
        <w:spacing w:after="0"/>
        <w:ind w:firstLine="284"/>
        <w:rPr>
          <w:rFonts w:ascii="TimesNewRomanCE-Bold" w:hAnsi="TimesNewRomanCE-Bold" w:cs="TimesNewRomanCE-Bold"/>
          <w:b/>
          <w:bCs/>
          <w:sz w:val="21"/>
          <w:szCs w:val="21"/>
        </w:rPr>
      </w:pPr>
      <w:r w:rsidRPr="00B52A8A">
        <w:rPr>
          <w:szCs w:val="24"/>
        </w:rPr>
        <w:t xml:space="preserve">Průměrná </w:t>
      </w:r>
      <w:r w:rsidR="007522F7" w:rsidRPr="00B52A8A">
        <w:rPr>
          <w:szCs w:val="24"/>
        </w:rPr>
        <w:t>hodnota</w:t>
      </w:r>
      <w:r w:rsidR="007522F7" w:rsidRPr="00B52A8A">
        <w:rPr>
          <w:b/>
          <w:szCs w:val="24"/>
        </w:rPr>
        <w:t xml:space="preserve"> BMI</w:t>
      </w:r>
      <w:r w:rsidR="00892528" w:rsidRPr="00B52A8A">
        <w:rPr>
          <w:szCs w:val="24"/>
        </w:rPr>
        <w:t xml:space="preserve"> byla naměřena 27,83</w:t>
      </w:r>
      <w:r w:rsidRPr="00B52A8A">
        <w:rPr>
          <w:szCs w:val="24"/>
        </w:rPr>
        <w:t xml:space="preserve"> </w:t>
      </w:r>
      <w:r w:rsidRPr="00B52A8A">
        <w:t>kg/m</w:t>
      </w:r>
      <w:r w:rsidRPr="00B52A8A">
        <w:rPr>
          <w:szCs w:val="24"/>
          <w:vertAlign w:val="superscript"/>
        </w:rPr>
        <w:t>2</w:t>
      </w:r>
      <w:r w:rsidRPr="00B52A8A">
        <w:rPr>
          <w:szCs w:val="24"/>
        </w:rPr>
        <w:t>, které spadá do kategorie nadváhy.</w:t>
      </w:r>
      <w:r w:rsidR="00CF38DF" w:rsidRPr="00B52A8A">
        <w:t xml:space="preserve"> Hranice nadváhy</w:t>
      </w:r>
      <w:r w:rsidR="00105F02" w:rsidRPr="00B52A8A">
        <w:t xml:space="preserve"> je</w:t>
      </w:r>
      <w:r w:rsidR="00CF38DF" w:rsidRPr="00B52A8A">
        <w:t xml:space="preserve"> 25,0 – 29,9 kg/m</w:t>
      </w:r>
      <w:r w:rsidR="00CF38DF" w:rsidRPr="00B52A8A">
        <w:rPr>
          <w:vertAlign w:val="superscript"/>
        </w:rPr>
        <w:t>2</w:t>
      </w:r>
      <w:r w:rsidR="00CF38DF" w:rsidRPr="00B52A8A">
        <w:t xml:space="preserve">. Jak uvádí </w:t>
      </w:r>
      <w:r w:rsidR="00CF38DF" w:rsidRPr="00B52A8A">
        <w:rPr>
          <w:rFonts w:cs="TimesNewRomanCE-Bold"/>
          <w:bCs/>
          <w:szCs w:val="24"/>
        </w:rPr>
        <w:t xml:space="preserve">Gába, Přidalová, Pelclová, Riegerová </w:t>
      </w:r>
      <w:r w:rsidR="00611F04" w:rsidRPr="00B52A8A">
        <w:rPr>
          <w:rFonts w:cs="TimesNewRomanCE-Bold"/>
          <w:bCs/>
          <w:szCs w:val="24"/>
        </w:rPr>
        <w:t xml:space="preserve">a </w:t>
      </w:r>
      <w:r w:rsidR="00CF38DF" w:rsidRPr="00B52A8A">
        <w:rPr>
          <w:rFonts w:cs="TimesNewRomanCE-Bold"/>
          <w:bCs/>
          <w:szCs w:val="24"/>
        </w:rPr>
        <w:t>Tlučáková (2010</w:t>
      </w:r>
      <w:r w:rsidR="00CF38DF" w:rsidRPr="00B52A8A">
        <w:t>) BMI neumožňuje posoudit s věkem související proměnlivost tělesných frakcí. BMI byl lokalizován v pásmu vymezující nadváhu, ale % BFM přesahovala, u obou přístrojů, hranici 3</w:t>
      </w:r>
      <w:r w:rsidR="00442CB6" w:rsidRPr="00B52A8A">
        <w:t>5 % a ta vymezuje pásmo obezity (InBody 720, 2011).</w:t>
      </w:r>
    </w:p>
    <w:p w:rsidR="00345DE0" w:rsidRPr="00B52A8A" w:rsidRDefault="00345DE0" w:rsidP="00442CB6">
      <w:pPr>
        <w:ind w:firstLine="284"/>
        <w:rPr>
          <w:rFonts w:ascii="TimesNewRomanCE-Bold" w:hAnsi="TimesNewRomanCE-Bold" w:cs="TimesNewRomanCE-Bold"/>
          <w:b/>
          <w:bCs/>
          <w:sz w:val="21"/>
          <w:szCs w:val="21"/>
        </w:rPr>
      </w:pPr>
      <w:r w:rsidRPr="00B52A8A">
        <w:rPr>
          <w:b/>
          <w:szCs w:val="24"/>
        </w:rPr>
        <w:t>BMR</w:t>
      </w:r>
      <w:r w:rsidRPr="00B52A8A">
        <w:rPr>
          <w:szCs w:val="24"/>
        </w:rPr>
        <w:t xml:space="preserve"> je hodnota energie, která je nezbytná pro základní životní funkce organismu. Je to základní látková přeměna, která je ovlivněna řadou faktorů, jako jsou pohlaví, věk, tělesné proporce apod. (InBody 720). Průměrné</w:t>
      </w:r>
      <w:r w:rsidR="007522F7" w:rsidRPr="00B52A8A">
        <w:rPr>
          <w:szCs w:val="24"/>
        </w:rPr>
        <w:t xml:space="preserve"> hodnoty se pohybují v rozmezí </w:t>
      </w:r>
      <w:r w:rsidRPr="00B52A8A">
        <w:rPr>
          <w:szCs w:val="24"/>
        </w:rPr>
        <w:t>1400,8 – 1629,8</w:t>
      </w:r>
      <w:r w:rsidR="007522F7" w:rsidRPr="00B52A8A">
        <w:rPr>
          <w:szCs w:val="24"/>
        </w:rPr>
        <w:t xml:space="preserve"> kcal</w:t>
      </w:r>
      <w:r w:rsidRPr="00B52A8A">
        <w:rPr>
          <w:szCs w:val="24"/>
        </w:rPr>
        <w:t>.</w:t>
      </w:r>
      <w:r w:rsidR="007522F7" w:rsidRPr="00B52A8A">
        <w:rPr>
          <w:b/>
          <w:szCs w:val="24"/>
        </w:rPr>
        <w:t xml:space="preserve"> </w:t>
      </w:r>
      <w:r w:rsidR="007522F7" w:rsidRPr="00B52A8A">
        <w:rPr>
          <w:szCs w:val="24"/>
        </w:rPr>
        <w:t>S</w:t>
      </w:r>
      <w:r w:rsidRPr="00B52A8A">
        <w:rPr>
          <w:szCs w:val="24"/>
        </w:rPr>
        <w:t xml:space="preserve">oubor vykazuje průměrnou hodnotu 1301,12, která je podprůměrná vzhledem k optimálnímu rozpětí. Rovnice pro výpočet BMR je: </w:t>
      </w:r>
    </w:p>
    <w:p w:rsidR="00345DE0" w:rsidRPr="00B52A8A" w:rsidRDefault="00345DE0" w:rsidP="00345DE0">
      <w:pPr>
        <w:spacing w:after="0"/>
        <w:ind w:left="1416" w:firstLine="708"/>
        <w:rPr>
          <w:szCs w:val="24"/>
        </w:rPr>
      </w:pPr>
      <w:r w:rsidRPr="00B52A8A">
        <w:rPr>
          <w:szCs w:val="24"/>
        </w:rPr>
        <w:t>BMR (kcal) = 21,6 x FFM (ka) + 370</w:t>
      </w:r>
    </w:p>
    <w:p w:rsidR="000C22F8" w:rsidRPr="00B52A8A" w:rsidRDefault="000C22F8" w:rsidP="000C22F8">
      <w:pPr>
        <w:spacing w:after="0"/>
        <w:ind w:firstLine="426"/>
        <w:rPr>
          <w:bCs/>
          <w:szCs w:val="24"/>
        </w:rPr>
      </w:pPr>
      <w:r w:rsidRPr="00B52A8A">
        <w:rPr>
          <w:bCs/>
          <w:szCs w:val="24"/>
        </w:rPr>
        <w:lastRenderedPageBreak/>
        <w:t xml:space="preserve">BMR  se měří vleže, v klidu, </w:t>
      </w:r>
      <w:r w:rsidR="00105F02" w:rsidRPr="00B52A8A">
        <w:rPr>
          <w:bCs/>
          <w:szCs w:val="24"/>
        </w:rPr>
        <w:t xml:space="preserve">při neutrální teplotě okolí, 12 </w:t>
      </w:r>
      <w:r w:rsidR="00105F02" w:rsidRPr="00B52A8A">
        <w:rPr>
          <w:szCs w:val="24"/>
        </w:rPr>
        <w:t>–</w:t>
      </w:r>
      <w:r w:rsidR="00105F02" w:rsidRPr="00B52A8A">
        <w:rPr>
          <w:bCs/>
          <w:szCs w:val="24"/>
        </w:rPr>
        <w:t xml:space="preserve"> </w:t>
      </w:r>
      <w:r w:rsidRPr="00B52A8A">
        <w:rPr>
          <w:bCs/>
          <w:szCs w:val="24"/>
        </w:rPr>
        <w:t xml:space="preserve">14 hodin po jídle a 24 hodin bez vyčerpávající tělesné práce. Jeho hodnota je ovlivňována pohlavím a věkem. K nejmenšímu poklesu (BMR) dochází </w:t>
      </w:r>
      <w:r w:rsidR="00105F02" w:rsidRPr="00B52A8A">
        <w:rPr>
          <w:bCs/>
          <w:szCs w:val="24"/>
        </w:rPr>
        <w:br/>
        <w:t xml:space="preserve">u muže mezi 30 </w:t>
      </w:r>
      <w:r w:rsidR="00105F02" w:rsidRPr="00B52A8A">
        <w:rPr>
          <w:szCs w:val="24"/>
        </w:rPr>
        <w:t>–</w:t>
      </w:r>
      <w:r w:rsidR="00105F02" w:rsidRPr="00B52A8A">
        <w:rPr>
          <w:bCs/>
          <w:szCs w:val="24"/>
        </w:rPr>
        <w:t xml:space="preserve"> </w:t>
      </w:r>
      <w:r w:rsidR="007522F7" w:rsidRPr="00B52A8A">
        <w:rPr>
          <w:bCs/>
          <w:szCs w:val="24"/>
        </w:rPr>
        <w:t xml:space="preserve">50 rokem u ženy mezi 20 </w:t>
      </w:r>
      <w:r w:rsidR="007522F7" w:rsidRPr="00B52A8A">
        <w:rPr>
          <w:szCs w:val="24"/>
        </w:rPr>
        <w:t xml:space="preserve">– </w:t>
      </w:r>
      <w:r w:rsidRPr="00B52A8A">
        <w:rPr>
          <w:bCs/>
          <w:szCs w:val="24"/>
        </w:rPr>
        <w:t xml:space="preserve">40 rokem (Stejskal, 2011). </w:t>
      </w:r>
    </w:p>
    <w:p w:rsidR="000C22F8" w:rsidRPr="00B52A8A" w:rsidRDefault="000C22F8" w:rsidP="00CF38DF">
      <w:pPr>
        <w:spacing w:after="0"/>
        <w:rPr>
          <w:szCs w:val="24"/>
        </w:rPr>
      </w:pPr>
    </w:p>
    <w:p w:rsidR="00D33A47" w:rsidRPr="00B52A8A" w:rsidRDefault="00722B3F" w:rsidP="00D33A47">
      <w:pPr>
        <w:spacing w:after="0"/>
        <w:ind w:firstLine="284"/>
        <w:rPr>
          <w:szCs w:val="24"/>
        </w:rPr>
      </w:pPr>
      <w:r w:rsidRPr="00B52A8A">
        <w:rPr>
          <w:szCs w:val="24"/>
        </w:rPr>
        <w:t>V</w:t>
      </w:r>
      <w:r w:rsidR="007522F7" w:rsidRPr="00B52A8A">
        <w:rPr>
          <w:szCs w:val="24"/>
        </w:rPr>
        <w:t xml:space="preserve"> tabulce </w:t>
      </w:r>
      <w:r w:rsidRPr="00B52A8A">
        <w:rPr>
          <w:szCs w:val="24"/>
        </w:rPr>
        <w:t>4</w:t>
      </w:r>
      <w:r w:rsidR="00DD5B7F" w:rsidRPr="00B52A8A">
        <w:rPr>
          <w:szCs w:val="24"/>
        </w:rPr>
        <w:t xml:space="preserve"> je uvedeno četnostní rozložení hodnot BMI </w:t>
      </w:r>
      <w:r w:rsidR="00105F02" w:rsidRPr="00B52A8A">
        <w:rPr>
          <w:szCs w:val="24"/>
        </w:rPr>
        <w:br/>
      </w:r>
      <w:r w:rsidR="00B52A8A">
        <w:rPr>
          <w:szCs w:val="24"/>
        </w:rPr>
        <w:t>u jednotlivců.</w:t>
      </w:r>
      <w:r w:rsidR="00DD5B7F" w:rsidRPr="00B52A8A">
        <w:rPr>
          <w:szCs w:val="24"/>
        </w:rPr>
        <w:t xml:space="preserve"> 41 probandů, tedy 59 % probandů patří do kategorie nadváhy. 20 % vykazuje hodnoty obezity a pouze 21 % patří do průměru, tedy optimálních hodnot BMI.</w:t>
      </w:r>
    </w:p>
    <w:p w:rsidR="00345DE0" w:rsidRPr="00B52A8A" w:rsidRDefault="00500D0C" w:rsidP="00500D0C">
      <w:pPr>
        <w:spacing w:after="0"/>
        <w:rPr>
          <w:b/>
          <w:szCs w:val="24"/>
        </w:rPr>
      </w:pPr>
      <w:r w:rsidRPr="00B52A8A">
        <w:rPr>
          <w:b/>
          <w:szCs w:val="24"/>
        </w:rPr>
        <w:t xml:space="preserve"> </w:t>
      </w:r>
    </w:p>
    <w:p w:rsidR="007B6673" w:rsidRPr="00B52A8A" w:rsidRDefault="00345DE0" w:rsidP="00431C63">
      <w:pPr>
        <w:rPr>
          <w:b/>
        </w:rPr>
      </w:pPr>
      <w:r w:rsidRPr="00B52A8A">
        <w:rPr>
          <w:b/>
        </w:rPr>
        <w:t xml:space="preserve">     </w:t>
      </w:r>
      <w:r w:rsidR="00500D0C" w:rsidRPr="00B52A8A">
        <w:rPr>
          <w:b/>
        </w:rPr>
        <w:t xml:space="preserve">Tabulka </w:t>
      </w:r>
      <w:r w:rsidR="00E84D1B" w:rsidRPr="00B52A8A">
        <w:rPr>
          <w:b/>
        </w:rPr>
        <w:t>4</w:t>
      </w:r>
      <w:r w:rsidR="007522F7" w:rsidRPr="00B52A8A">
        <w:rPr>
          <w:b/>
        </w:rPr>
        <w:t>.</w:t>
      </w:r>
    </w:p>
    <w:p w:rsidR="00F13AF9" w:rsidRPr="00B52A8A" w:rsidRDefault="007B6673" w:rsidP="00431C63">
      <w:pPr>
        <w:rPr>
          <w:b/>
        </w:rPr>
      </w:pPr>
      <w:r w:rsidRPr="00B52A8A">
        <w:rPr>
          <w:b/>
        </w:rPr>
        <w:t xml:space="preserve">    </w:t>
      </w:r>
      <w:r w:rsidR="007522F7" w:rsidRPr="00B52A8A">
        <w:rPr>
          <w:b/>
        </w:rPr>
        <w:t xml:space="preserve"> </w:t>
      </w:r>
      <w:r w:rsidR="0001189E" w:rsidRPr="00B52A8A">
        <w:rPr>
          <w:b/>
        </w:rPr>
        <w:t>Četnostní</w:t>
      </w:r>
      <w:r w:rsidR="00F13AF9" w:rsidRPr="00B52A8A">
        <w:rPr>
          <w:b/>
        </w:rPr>
        <w:t xml:space="preserve"> rozložení</w:t>
      </w:r>
      <w:r w:rsidR="0001189E" w:rsidRPr="00B52A8A">
        <w:rPr>
          <w:b/>
        </w:rPr>
        <w:t xml:space="preserve"> hodnot BMI</w:t>
      </w:r>
    </w:p>
    <w:tbl>
      <w:tblPr>
        <w:tblStyle w:val="Svtlstnovn1"/>
        <w:tblW w:w="0" w:type="auto"/>
        <w:jc w:val="center"/>
        <w:tblLook w:val="0620"/>
      </w:tblPr>
      <w:tblGrid>
        <w:gridCol w:w="2485"/>
        <w:gridCol w:w="3071"/>
        <w:gridCol w:w="2159"/>
      </w:tblGrid>
      <w:tr w:rsidR="0001189E" w:rsidRPr="00B52A8A" w:rsidTr="00500D0C">
        <w:trPr>
          <w:cnfStyle w:val="100000000000"/>
          <w:jc w:val="center"/>
        </w:trPr>
        <w:tc>
          <w:tcPr>
            <w:tcW w:w="2485" w:type="dxa"/>
          </w:tcPr>
          <w:p w:rsidR="0001189E" w:rsidRPr="00B52A8A" w:rsidRDefault="003E7600" w:rsidP="00D33A47">
            <w:pPr>
              <w:spacing w:after="0"/>
              <w:rPr>
                <w:i/>
                <w:sz w:val="24"/>
                <w:szCs w:val="24"/>
              </w:rPr>
            </w:pPr>
            <w:r w:rsidRPr="00B52A8A">
              <w:rPr>
                <w:i/>
                <w:sz w:val="24"/>
                <w:szCs w:val="24"/>
              </w:rPr>
              <w:t>BMI</w:t>
            </w:r>
          </w:p>
        </w:tc>
        <w:tc>
          <w:tcPr>
            <w:tcW w:w="3071" w:type="dxa"/>
          </w:tcPr>
          <w:p w:rsidR="0001189E" w:rsidRPr="00B52A8A" w:rsidRDefault="0001189E" w:rsidP="0001189E">
            <w:pPr>
              <w:spacing w:after="0"/>
              <w:jc w:val="center"/>
              <w:rPr>
                <w:i/>
                <w:sz w:val="24"/>
                <w:szCs w:val="24"/>
              </w:rPr>
            </w:pPr>
            <w:r w:rsidRPr="00B52A8A">
              <w:rPr>
                <w:i/>
                <w:sz w:val="24"/>
                <w:szCs w:val="24"/>
              </w:rPr>
              <w:t>N</w:t>
            </w:r>
          </w:p>
        </w:tc>
        <w:tc>
          <w:tcPr>
            <w:tcW w:w="2159" w:type="dxa"/>
          </w:tcPr>
          <w:p w:rsidR="0001189E" w:rsidRPr="00B52A8A" w:rsidRDefault="0001189E" w:rsidP="0001189E">
            <w:pPr>
              <w:spacing w:after="0"/>
              <w:jc w:val="center"/>
              <w:rPr>
                <w:i/>
                <w:sz w:val="24"/>
                <w:szCs w:val="24"/>
              </w:rPr>
            </w:pPr>
            <w:r w:rsidRPr="00B52A8A">
              <w:rPr>
                <w:i/>
                <w:sz w:val="24"/>
                <w:szCs w:val="24"/>
              </w:rPr>
              <w:t>%</w:t>
            </w:r>
          </w:p>
        </w:tc>
      </w:tr>
      <w:tr w:rsidR="0001189E" w:rsidRPr="00B52A8A" w:rsidTr="00500D0C">
        <w:trPr>
          <w:jc w:val="center"/>
        </w:trPr>
        <w:tc>
          <w:tcPr>
            <w:tcW w:w="2485" w:type="dxa"/>
          </w:tcPr>
          <w:p w:rsidR="00345DE0" w:rsidRPr="00B52A8A" w:rsidRDefault="0001189E" w:rsidP="00D33A47">
            <w:pPr>
              <w:spacing w:after="0"/>
              <w:rPr>
                <w:b/>
                <w:i/>
                <w:sz w:val="24"/>
                <w:szCs w:val="24"/>
              </w:rPr>
            </w:pPr>
            <w:r w:rsidRPr="00B52A8A">
              <w:rPr>
                <w:b/>
                <w:i/>
                <w:sz w:val="24"/>
                <w:szCs w:val="24"/>
              </w:rPr>
              <w:t>Průměr</w:t>
            </w:r>
            <w:r w:rsidR="00345DE0" w:rsidRPr="00B52A8A">
              <w:rPr>
                <w:b/>
                <w:i/>
                <w:sz w:val="24"/>
                <w:szCs w:val="24"/>
              </w:rPr>
              <w:t xml:space="preserve"> </w:t>
            </w:r>
          </w:p>
          <w:p w:rsidR="0001189E" w:rsidRPr="00B52A8A" w:rsidRDefault="00345DE0" w:rsidP="00D33A47">
            <w:pPr>
              <w:spacing w:after="0"/>
              <w:rPr>
                <w:i/>
                <w:sz w:val="24"/>
                <w:szCs w:val="24"/>
              </w:rPr>
            </w:pPr>
            <w:r w:rsidRPr="00B52A8A">
              <w:rPr>
                <w:i/>
                <w:sz w:val="24"/>
                <w:szCs w:val="24"/>
              </w:rPr>
              <w:t>18,5 – 25,0 kg/m</w:t>
            </w:r>
            <w:r w:rsidRPr="00B52A8A">
              <w:rPr>
                <w:i/>
                <w:sz w:val="24"/>
                <w:szCs w:val="24"/>
                <w:vertAlign w:val="superscript"/>
              </w:rPr>
              <w:t>2</w:t>
            </w:r>
          </w:p>
        </w:tc>
        <w:tc>
          <w:tcPr>
            <w:tcW w:w="3071" w:type="dxa"/>
          </w:tcPr>
          <w:p w:rsidR="0001189E" w:rsidRPr="00B52A8A" w:rsidRDefault="0001189E" w:rsidP="0001189E">
            <w:pPr>
              <w:spacing w:after="0"/>
              <w:jc w:val="center"/>
              <w:rPr>
                <w:i/>
                <w:sz w:val="24"/>
                <w:szCs w:val="24"/>
              </w:rPr>
            </w:pPr>
            <w:r w:rsidRPr="00B52A8A">
              <w:rPr>
                <w:i/>
                <w:sz w:val="24"/>
                <w:szCs w:val="24"/>
              </w:rPr>
              <w:t>15</w:t>
            </w:r>
          </w:p>
        </w:tc>
        <w:tc>
          <w:tcPr>
            <w:tcW w:w="2159" w:type="dxa"/>
          </w:tcPr>
          <w:p w:rsidR="0001189E" w:rsidRPr="00B52A8A" w:rsidRDefault="0001189E" w:rsidP="0001189E">
            <w:pPr>
              <w:spacing w:after="0"/>
              <w:jc w:val="center"/>
              <w:rPr>
                <w:i/>
                <w:sz w:val="24"/>
                <w:szCs w:val="24"/>
              </w:rPr>
            </w:pPr>
            <w:r w:rsidRPr="00B52A8A">
              <w:rPr>
                <w:i/>
                <w:sz w:val="24"/>
                <w:szCs w:val="24"/>
              </w:rPr>
              <w:t>21</w:t>
            </w:r>
          </w:p>
        </w:tc>
      </w:tr>
      <w:tr w:rsidR="0001189E" w:rsidRPr="00B52A8A" w:rsidTr="00500D0C">
        <w:trPr>
          <w:jc w:val="center"/>
        </w:trPr>
        <w:tc>
          <w:tcPr>
            <w:tcW w:w="2485" w:type="dxa"/>
          </w:tcPr>
          <w:p w:rsidR="0001189E" w:rsidRPr="00B52A8A" w:rsidRDefault="0001189E" w:rsidP="00D33A47">
            <w:pPr>
              <w:spacing w:after="0"/>
              <w:rPr>
                <w:b/>
                <w:i/>
                <w:sz w:val="24"/>
                <w:szCs w:val="24"/>
              </w:rPr>
            </w:pPr>
            <w:r w:rsidRPr="00B52A8A">
              <w:rPr>
                <w:b/>
                <w:i/>
                <w:sz w:val="24"/>
                <w:szCs w:val="24"/>
              </w:rPr>
              <w:t>Nadváha</w:t>
            </w:r>
          </w:p>
          <w:p w:rsidR="00345DE0" w:rsidRPr="00B52A8A" w:rsidRDefault="00345DE0" w:rsidP="00D33A47">
            <w:pPr>
              <w:spacing w:after="0"/>
              <w:rPr>
                <w:i/>
                <w:sz w:val="24"/>
                <w:szCs w:val="24"/>
              </w:rPr>
            </w:pPr>
            <w:r w:rsidRPr="00B52A8A">
              <w:rPr>
                <w:i/>
                <w:sz w:val="24"/>
                <w:szCs w:val="24"/>
              </w:rPr>
              <w:t>25,0 – 29,9 kg/m</w:t>
            </w:r>
            <w:r w:rsidRPr="00B52A8A">
              <w:rPr>
                <w:i/>
                <w:sz w:val="24"/>
                <w:szCs w:val="24"/>
                <w:vertAlign w:val="superscript"/>
              </w:rPr>
              <w:t>2</w:t>
            </w:r>
          </w:p>
        </w:tc>
        <w:tc>
          <w:tcPr>
            <w:tcW w:w="3071" w:type="dxa"/>
          </w:tcPr>
          <w:p w:rsidR="0001189E" w:rsidRPr="00B52A8A" w:rsidRDefault="0001189E" w:rsidP="0001189E">
            <w:pPr>
              <w:spacing w:after="0"/>
              <w:jc w:val="center"/>
              <w:rPr>
                <w:i/>
                <w:sz w:val="24"/>
                <w:szCs w:val="24"/>
              </w:rPr>
            </w:pPr>
            <w:r w:rsidRPr="00B52A8A">
              <w:rPr>
                <w:i/>
                <w:sz w:val="24"/>
                <w:szCs w:val="24"/>
              </w:rPr>
              <w:t>41</w:t>
            </w:r>
          </w:p>
        </w:tc>
        <w:tc>
          <w:tcPr>
            <w:tcW w:w="2159" w:type="dxa"/>
          </w:tcPr>
          <w:p w:rsidR="0001189E" w:rsidRPr="00B52A8A" w:rsidRDefault="0001189E" w:rsidP="0001189E">
            <w:pPr>
              <w:spacing w:after="0"/>
              <w:jc w:val="center"/>
              <w:rPr>
                <w:i/>
                <w:sz w:val="24"/>
                <w:szCs w:val="24"/>
              </w:rPr>
            </w:pPr>
            <w:r w:rsidRPr="00B52A8A">
              <w:rPr>
                <w:i/>
                <w:sz w:val="24"/>
                <w:szCs w:val="24"/>
              </w:rPr>
              <w:t>59</w:t>
            </w:r>
          </w:p>
        </w:tc>
      </w:tr>
      <w:tr w:rsidR="0001189E" w:rsidRPr="00B52A8A" w:rsidTr="00500D0C">
        <w:trPr>
          <w:jc w:val="center"/>
        </w:trPr>
        <w:tc>
          <w:tcPr>
            <w:tcW w:w="2485" w:type="dxa"/>
          </w:tcPr>
          <w:p w:rsidR="0001189E" w:rsidRPr="00B52A8A" w:rsidRDefault="0001189E" w:rsidP="00D33A47">
            <w:pPr>
              <w:spacing w:after="0"/>
              <w:rPr>
                <w:b/>
                <w:i/>
                <w:sz w:val="24"/>
                <w:szCs w:val="24"/>
              </w:rPr>
            </w:pPr>
            <w:r w:rsidRPr="00B52A8A">
              <w:rPr>
                <w:b/>
                <w:i/>
                <w:sz w:val="24"/>
                <w:szCs w:val="24"/>
              </w:rPr>
              <w:t>Obezita</w:t>
            </w:r>
          </w:p>
          <w:p w:rsidR="00345DE0" w:rsidRPr="00B52A8A" w:rsidRDefault="00345DE0" w:rsidP="00D33A47">
            <w:pPr>
              <w:spacing w:after="0"/>
              <w:rPr>
                <w:i/>
                <w:sz w:val="24"/>
                <w:szCs w:val="24"/>
              </w:rPr>
            </w:pPr>
            <w:r w:rsidRPr="00B52A8A">
              <w:rPr>
                <w:i/>
                <w:sz w:val="24"/>
                <w:szCs w:val="24"/>
              </w:rPr>
              <w:t>&gt;30 kg/m</w:t>
            </w:r>
            <w:r w:rsidRPr="00B52A8A">
              <w:rPr>
                <w:i/>
                <w:sz w:val="24"/>
                <w:szCs w:val="24"/>
                <w:vertAlign w:val="superscript"/>
              </w:rPr>
              <w:t>2</w:t>
            </w:r>
          </w:p>
        </w:tc>
        <w:tc>
          <w:tcPr>
            <w:tcW w:w="3071" w:type="dxa"/>
          </w:tcPr>
          <w:p w:rsidR="0001189E" w:rsidRPr="00B52A8A" w:rsidRDefault="0001189E" w:rsidP="0001189E">
            <w:pPr>
              <w:spacing w:after="0"/>
              <w:jc w:val="center"/>
              <w:rPr>
                <w:i/>
                <w:sz w:val="24"/>
                <w:szCs w:val="24"/>
              </w:rPr>
            </w:pPr>
            <w:r w:rsidRPr="00B52A8A">
              <w:rPr>
                <w:i/>
                <w:sz w:val="24"/>
                <w:szCs w:val="24"/>
              </w:rPr>
              <w:t>14</w:t>
            </w:r>
          </w:p>
        </w:tc>
        <w:tc>
          <w:tcPr>
            <w:tcW w:w="2159" w:type="dxa"/>
          </w:tcPr>
          <w:p w:rsidR="0001189E" w:rsidRPr="00B52A8A" w:rsidRDefault="0001189E" w:rsidP="0001189E">
            <w:pPr>
              <w:spacing w:after="0"/>
              <w:jc w:val="center"/>
              <w:rPr>
                <w:i/>
                <w:sz w:val="24"/>
                <w:szCs w:val="24"/>
              </w:rPr>
            </w:pPr>
            <w:r w:rsidRPr="00B52A8A">
              <w:rPr>
                <w:i/>
                <w:sz w:val="24"/>
                <w:szCs w:val="24"/>
              </w:rPr>
              <w:t>20</w:t>
            </w:r>
          </w:p>
        </w:tc>
      </w:tr>
    </w:tbl>
    <w:p w:rsidR="00DD5B7F" w:rsidRPr="00B52A8A" w:rsidRDefault="00DD5B7F" w:rsidP="00D33A47">
      <w:pPr>
        <w:spacing w:after="0"/>
        <w:ind w:firstLine="284"/>
        <w:rPr>
          <w:i/>
          <w:sz w:val="16"/>
          <w:szCs w:val="16"/>
        </w:rPr>
      </w:pPr>
    </w:p>
    <w:p w:rsidR="00561814" w:rsidRPr="00B52A8A" w:rsidRDefault="00345DE0" w:rsidP="00442CB6">
      <w:pPr>
        <w:ind w:firstLine="360"/>
        <w:rPr>
          <w:i/>
          <w:sz w:val="16"/>
          <w:szCs w:val="16"/>
        </w:rPr>
      </w:pPr>
      <w:r w:rsidRPr="00B52A8A">
        <w:rPr>
          <w:i/>
          <w:sz w:val="16"/>
          <w:szCs w:val="16"/>
        </w:rPr>
        <w:t>Vysvětlivky</w:t>
      </w:r>
      <w:r w:rsidR="0001189E" w:rsidRPr="00B52A8A">
        <w:rPr>
          <w:i/>
          <w:sz w:val="16"/>
          <w:szCs w:val="16"/>
        </w:rPr>
        <w:t>:</w:t>
      </w:r>
      <w:r w:rsidR="0001189E" w:rsidRPr="00B52A8A">
        <w:rPr>
          <w:i/>
          <w:sz w:val="16"/>
          <w:szCs w:val="16"/>
        </w:rPr>
        <w:tab/>
        <w:t>N  - počet probandů</w:t>
      </w:r>
    </w:p>
    <w:p w:rsidR="00AF63FC" w:rsidRPr="00B52A8A" w:rsidRDefault="003B5E34" w:rsidP="007522F7">
      <w:pPr>
        <w:rPr>
          <w:szCs w:val="24"/>
        </w:rPr>
      </w:pPr>
      <w:r w:rsidRPr="00B52A8A">
        <w:rPr>
          <w:szCs w:val="24"/>
        </w:rPr>
        <w:tab/>
      </w:r>
      <w:r w:rsidRPr="00B52A8A">
        <w:t xml:space="preserve">BMI </w:t>
      </w:r>
      <w:r w:rsidR="00AF63FC" w:rsidRPr="00B52A8A">
        <w:t xml:space="preserve">rovný nebo vyšší </w:t>
      </w:r>
      <w:r w:rsidRPr="00B52A8A">
        <w:t>40.0 kg m</w:t>
      </w:r>
      <w:r w:rsidR="00973271" w:rsidRPr="00B52A8A">
        <w:rPr>
          <w:vertAlign w:val="superscript"/>
        </w:rPr>
        <w:t>2</w:t>
      </w:r>
      <w:r w:rsidR="00AF63FC" w:rsidRPr="00B52A8A">
        <w:t xml:space="preserve"> definujeme jako morbidní obezitu (Henry &amp; Pandita, 2009)</w:t>
      </w:r>
      <w:r w:rsidR="00973271" w:rsidRPr="00B52A8A">
        <w:t>, které bylo dosaženo</w:t>
      </w:r>
      <w:r w:rsidRPr="00B52A8A">
        <w:t xml:space="preserve"> </w:t>
      </w:r>
      <w:r w:rsidR="00973271" w:rsidRPr="00B52A8A">
        <w:t xml:space="preserve">maximální hodnotou souboru </w:t>
      </w:r>
      <w:r w:rsidRPr="00B52A8A">
        <w:t>40,47</w:t>
      </w:r>
      <w:r w:rsidR="00973271" w:rsidRPr="00B52A8A">
        <w:t>.</w:t>
      </w:r>
      <w:r w:rsidR="00B52A8A">
        <w:t xml:space="preserve"> </w:t>
      </w:r>
      <w:r w:rsidR="00E07D3A">
        <w:t>V příloze 1 najdeme graf rozložení četností hodnot BMI.</w:t>
      </w:r>
    </w:p>
    <w:p w:rsidR="00AF63FC" w:rsidRPr="00B52A8A" w:rsidRDefault="00AF63FC" w:rsidP="00AF63FC">
      <w:pPr>
        <w:autoSpaceDE w:val="0"/>
        <w:autoSpaceDN w:val="0"/>
        <w:adjustRightInd w:val="0"/>
        <w:spacing w:after="0" w:line="240" w:lineRule="auto"/>
        <w:jc w:val="left"/>
        <w:rPr>
          <w:szCs w:val="24"/>
        </w:rPr>
      </w:pPr>
    </w:p>
    <w:p w:rsidR="00843244" w:rsidRPr="00B52A8A" w:rsidRDefault="00843244" w:rsidP="00345DE0">
      <w:pPr>
        <w:rPr>
          <w:b/>
          <w:szCs w:val="24"/>
        </w:rPr>
      </w:pPr>
      <w:r w:rsidRPr="00B52A8A">
        <w:rPr>
          <w:b/>
          <w:szCs w:val="24"/>
        </w:rPr>
        <w:t>Parametry vybrané k</w:t>
      </w:r>
      <w:r w:rsidR="00345DE0" w:rsidRPr="00B52A8A">
        <w:rPr>
          <w:b/>
          <w:szCs w:val="24"/>
        </w:rPr>
        <w:t> </w:t>
      </w:r>
      <w:r w:rsidRPr="00B52A8A">
        <w:rPr>
          <w:b/>
          <w:szCs w:val="24"/>
        </w:rPr>
        <w:t>analýze</w:t>
      </w:r>
      <w:r w:rsidR="00345DE0" w:rsidRPr="00B52A8A">
        <w:rPr>
          <w:b/>
          <w:szCs w:val="24"/>
        </w:rPr>
        <w:t xml:space="preserve"> tělesného složení</w:t>
      </w:r>
      <w:r w:rsidRPr="00B52A8A">
        <w:rPr>
          <w:b/>
          <w:szCs w:val="24"/>
        </w:rPr>
        <w:t xml:space="preserve"> byly následující:</w:t>
      </w:r>
    </w:p>
    <w:p w:rsidR="00843244" w:rsidRPr="00B52A8A" w:rsidRDefault="00843244" w:rsidP="00345DE0">
      <w:pPr>
        <w:pStyle w:val="Odstavecseseznamem"/>
        <w:numPr>
          <w:ilvl w:val="0"/>
          <w:numId w:val="30"/>
        </w:numPr>
        <w:rPr>
          <w:szCs w:val="24"/>
        </w:rPr>
      </w:pPr>
      <w:r w:rsidRPr="00B52A8A">
        <w:rPr>
          <w:szCs w:val="24"/>
        </w:rPr>
        <w:t>celková tělesná voda, extracelulární a intracelulární voda [ℓ]</w:t>
      </w:r>
      <w:r w:rsidR="00464DA9" w:rsidRPr="00B52A8A">
        <w:rPr>
          <w:szCs w:val="24"/>
        </w:rPr>
        <w:t>, edema</w:t>
      </w:r>
    </w:p>
    <w:p w:rsidR="00843244" w:rsidRPr="00B52A8A" w:rsidRDefault="00843244" w:rsidP="00345DE0">
      <w:pPr>
        <w:pStyle w:val="Odstavecseseznamem"/>
        <w:numPr>
          <w:ilvl w:val="0"/>
          <w:numId w:val="30"/>
        </w:numPr>
        <w:rPr>
          <w:szCs w:val="24"/>
        </w:rPr>
      </w:pPr>
      <w:r w:rsidRPr="00B52A8A">
        <w:rPr>
          <w:szCs w:val="24"/>
        </w:rPr>
        <w:t>tuková hmota [kg], tuková hmota [%], tukuprostá hmota [kg]</w:t>
      </w:r>
    </w:p>
    <w:p w:rsidR="00464DA9" w:rsidRPr="00B52A8A" w:rsidRDefault="00E372D7" w:rsidP="00345DE0">
      <w:pPr>
        <w:pStyle w:val="Odstavecseseznamem"/>
        <w:numPr>
          <w:ilvl w:val="0"/>
          <w:numId w:val="30"/>
        </w:numPr>
        <w:rPr>
          <w:szCs w:val="24"/>
        </w:rPr>
      </w:pPr>
      <w:r w:rsidRPr="00B52A8A">
        <w:rPr>
          <w:szCs w:val="24"/>
        </w:rPr>
        <w:t>i</w:t>
      </w:r>
      <w:r w:rsidR="00464DA9" w:rsidRPr="00B52A8A">
        <w:rPr>
          <w:szCs w:val="24"/>
        </w:rPr>
        <w:t>ndex tukuprosté hmoty</w:t>
      </w:r>
      <w:r w:rsidR="00594C78" w:rsidRPr="00B52A8A">
        <w:rPr>
          <w:szCs w:val="24"/>
        </w:rPr>
        <w:t xml:space="preserve"> [kg/m</w:t>
      </w:r>
      <w:r w:rsidR="00594C78" w:rsidRPr="00B52A8A">
        <w:rPr>
          <w:szCs w:val="24"/>
          <w:vertAlign w:val="superscript"/>
        </w:rPr>
        <w:t>2</w:t>
      </w:r>
      <w:r w:rsidR="00594C78" w:rsidRPr="00B52A8A">
        <w:rPr>
          <w:szCs w:val="24"/>
        </w:rPr>
        <w:t>]</w:t>
      </w:r>
      <w:r w:rsidR="00464DA9" w:rsidRPr="00B52A8A">
        <w:rPr>
          <w:szCs w:val="24"/>
        </w:rPr>
        <w:t>, tukové hmoty</w:t>
      </w:r>
      <w:r w:rsidR="00594C78" w:rsidRPr="00B52A8A">
        <w:rPr>
          <w:szCs w:val="24"/>
        </w:rPr>
        <w:t xml:space="preserve"> [kg/m</w:t>
      </w:r>
      <w:r w:rsidR="00594C78" w:rsidRPr="00B52A8A">
        <w:rPr>
          <w:szCs w:val="24"/>
          <w:vertAlign w:val="superscript"/>
        </w:rPr>
        <w:t>2</w:t>
      </w:r>
      <w:r w:rsidRPr="00B52A8A">
        <w:rPr>
          <w:szCs w:val="24"/>
        </w:rPr>
        <w:t>]</w:t>
      </w:r>
    </w:p>
    <w:p w:rsidR="00464DA9" w:rsidRPr="00B52A8A" w:rsidRDefault="00E372D7" w:rsidP="00345DE0">
      <w:pPr>
        <w:pStyle w:val="Odstavecseseznamem"/>
        <w:numPr>
          <w:ilvl w:val="0"/>
          <w:numId w:val="30"/>
        </w:numPr>
        <w:rPr>
          <w:szCs w:val="24"/>
        </w:rPr>
      </w:pPr>
      <w:r w:rsidRPr="00B52A8A">
        <w:rPr>
          <w:szCs w:val="24"/>
        </w:rPr>
        <w:t>o</w:t>
      </w:r>
      <w:r w:rsidR="00464DA9" w:rsidRPr="00B52A8A">
        <w:rPr>
          <w:szCs w:val="24"/>
        </w:rPr>
        <w:t>blast viscerálního tuku [cm</w:t>
      </w:r>
      <w:r w:rsidR="00464DA9" w:rsidRPr="00B52A8A">
        <w:rPr>
          <w:szCs w:val="24"/>
          <w:vertAlign w:val="superscript"/>
        </w:rPr>
        <w:t>2</w:t>
      </w:r>
      <w:r w:rsidR="00464DA9" w:rsidRPr="00B52A8A">
        <w:rPr>
          <w:szCs w:val="24"/>
        </w:rPr>
        <w:t>]</w:t>
      </w:r>
    </w:p>
    <w:p w:rsidR="00464DA9" w:rsidRPr="00B52A8A" w:rsidRDefault="00E372D7" w:rsidP="00345DE0">
      <w:pPr>
        <w:pStyle w:val="Odstavecseseznamem"/>
        <w:numPr>
          <w:ilvl w:val="0"/>
          <w:numId w:val="30"/>
        </w:numPr>
        <w:rPr>
          <w:szCs w:val="24"/>
        </w:rPr>
      </w:pPr>
      <w:r w:rsidRPr="00B52A8A">
        <w:rPr>
          <w:szCs w:val="24"/>
        </w:rPr>
        <w:t>s</w:t>
      </w:r>
      <w:r w:rsidR="00464DA9" w:rsidRPr="00B52A8A">
        <w:rPr>
          <w:szCs w:val="24"/>
        </w:rPr>
        <w:t>tupeň obezity [%], stupeň abdominální obezity [%], fitness skóre</w:t>
      </w:r>
    </w:p>
    <w:p w:rsidR="00464DA9" w:rsidRPr="00B52A8A" w:rsidRDefault="00464DA9" w:rsidP="00464DA9">
      <w:pPr>
        <w:pStyle w:val="Odstavecseseznamem"/>
        <w:rPr>
          <w:szCs w:val="24"/>
        </w:rPr>
      </w:pPr>
    </w:p>
    <w:p w:rsidR="00843244" w:rsidRPr="00B52A8A" w:rsidRDefault="00464DA9" w:rsidP="00464DA9">
      <w:pPr>
        <w:ind w:firstLine="360"/>
        <w:rPr>
          <w:szCs w:val="24"/>
        </w:rPr>
      </w:pPr>
      <w:r w:rsidRPr="00B52A8A">
        <w:rPr>
          <w:szCs w:val="24"/>
        </w:rPr>
        <w:t>Srovnávali jsme</w:t>
      </w:r>
      <w:r w:rsidR="00843244" w:rsidRPr="00B52A8A">
        <w:rPr>
          <w:szCs w:val="24"/>
        </w:rPr>
        <w:t xml:space="preserve"> průmě</w:t>
      </w:r>
      <w:r w:rsidRPr="00B52A8A">
        <w:rPr>
          <w:szCs w:val="24"/>
        </w:rPr>
        <w:t>rné hodnoty</w:t>
      </w:r>
      <w:r w:rsidR="0083164B" w:rsidRPr="00B52A8A">
        <w:rPr>
          <w:szCs w:val="24"/>
        </w:rPr>
        <w:t xml:space="preserve"> s hodnota</w:t>
      </w:r>
      <w:r w:rsidR="00E372D7" w:rsidRPr="00B52A8A">
        <w:rPr>
          <w:szCs w:val="24"/>
        </w:rPr>
        <w:t xml:space="preserve">mi referenčními </w:t>
      </w:r>
      <w:r w:rsidR="00345DE0" w:rsidRPr="00B52A8A">
        <w:rPr>
          <w:szCs w:val="24"/>
        </w:rPr>
        <w:br/>
      </w:r>
      <w:r w:rsidR="00E372D7" w:rsidRPr="00B52A8A">
        <w:rPr>
          <w:szCs w:val="24"/>
        </w:rPr>
        <w:t>u vybraných</w:t>
      </w:r>
      <w:r w:rsidR="0083164B" w:rsidRPr="00B52A8A">
        <w:rPr>
          <w:szCs w:val="24"/>
        </w:rPr>
        <w:t xml:space="preserve"> parametrů</w:t>
      </w:r>
      <w:r w:rsidRPr="00B52A8A">
        <w:rPr>
          <w:szCs w:val="24"/>
        </w:rPr>
        <w:t xml:space="preserve">. Dále jsou zaznamenány minimální </w:t>
      </w:r>
      <w:r w:rsidR="00345DE0" w:rsidRPr="00B52A8A">
        <w:rPr>
          <w:szCs w:val="24"/>
        </w:rPr>
        <w:br/>
      </w:r>
      <w:r w:rsidRPr="00B52A8A">
        <w:rPr>
          <w:szCs w:val="24"/>
        </w:rPr>
        <w:t xml:space="preserve">a maximální naměřené hodnoty a směrodatná odchylka. </w:t>
      </w:r>
      <w:r w:rsidR="00843244" w:rsidRPr="00B52A8A">
        <w:rPr>
          <w:szCs w:val="24"/>
        </w:rPr>
        <w:t>Zpracované výsledky se týkají celého souboru, zahrnuty byly tedy</w:t>
      </w:r>
      <w:r w:rsidRPr="00B52A8A">
        <w:rPr>
          <w:szCs w:val="24"/>
        </w:rPr>
        <w:t xml:space="preserve"> naměřené hodnoty jak u žen, tak i u mužů.</w:t>
      </w:r>
    </w:p>
    <w:p w:rsidR="00561814" w:rsidRPr="00B52A8A" w:rsidRDefault="00561814" w:rsidP="00345DE0">
      <w:pPr>
        <w:rPr>
          <w:szCs w:val="24"/>
        </w:rPr>
      </w:pPr>
    </w:p>
    <w:p w:rsidR="00345DE0" w:rsidRPr="00B52A8A" w:rsidRDefault="00345DE0" w:rsidP="00345DE0">
      <w:pPr>
        <w:spacing w:after="200" w:line="276" w:lineRule="auto"/>
        <w:jc w:val="left"/>
        <w:rPr>
          <w:rFonts w:eastAsia="Times New Roman" w:cs="Times New Roman"/>
          <w:b/>
          <w:bCs/>
          <w:sz w:val="26"/>
          <w:szCs w:val="24"/>
        </w:rPr>
      </w:pPr>
      <w:bookmarkStart w:id="117" w:name="_Toc239411417"/>
      <w:r w:rsidRPr="00B52A8A">
        <w:br w:type="page"/>
      </w:r>
    </w:p>
    <w:p w:rsidR="000524BF" w:rsidRPr="00B52A8A" w:rsidRDefault="00561814" w:rsidP="00345DE0">
      <w:pPr>
        <w:pStyle w:val="P-nadpis2"/>
        <w:spacing w:after="240"/>
        <w:ind w:firstLine="0"/>
        <w:jc w:val="left"/>
      </w:pPr>
      <w:bookmarkStart w:id="118" w:name="_Toc293057992"/>
      <w:bookmarkStart w:id="119" w:name="_Toc293153760"/>
      <w:r w:rsidRPr="00B52A8A">
        <w:lastRenderedPageBreak/>
        <w:t xml:space="preserve">5.1 </w:t>
      </w:r>
      <w:r w:rsidR="006509CC" w:rsidRPr="00B52A8A">
        <w:t>ANALÝZA VÝSLEDKŮ ZÍSKANÝCH PŘÍSTROJEM TANITA</w:t>
      </w:r>
      <w:r w:rsidR="006509CC" w:rsidRPr="00B52A8A">
        <w:br/>
        <w:t xml:space="preserve">     </w:t>
      </w:r>
      <w:r w:rsidR="000524BF" w:rsidRPr="00B52A8A">
        <w:t xml:space="preserve"> BC-NC 418</w:t>
      </w:r>
      <w:bookmarkEnd w:id="117"/>
      <w:bookmarkEnd w:id="118"/>
      <w:bookmarkEnd w:id="119"/>
    </w:p>
    <w:p w:rsidR="007B6673" w:rsidRPr="00B52A8A" w:rsidRDefault="00345DE0" w:rsidP="00431C63">
      <w:pPr>
        <w:rPr>
          <w:b/>
        </w:rPr>
      </w:pPr>
      <w:r w:rsidRPr="00B52A8A">
        <w:t xml:space="preserve">     </w:t>
      </w:r>
      <w:r w:rsidRPr="00B52A8A">
        <w:rPr>
          <w:b/>
        </w:rPr>
        <w:t xml:space="preserve">Tabulka </w:t>
      </w:r>
      <w:r w:rsidR="00E84D1B" w:rsidRPr="00B52A8A">
        <w:rPr>
          <w:b/>
        </w:rPr>
        <w:t>5</w:t>
      </w:r>
      <w:r w:rsidR="007B6673" w:rsidRPr="00B52A8A">
        <w:rPr>
          <w:b/>
        </w:rPr>
        <w:t>.</w:t>
      </w:r>
      <w:r w:rsidR="007522F7" w:rsidRPr="00B52A8A">
        <w:rPr>
          <w:b/>
        </w:rPr>
        <w:t xml:space="preserve"> </w:t>
      </w:r>
    </w:p>
    <w:p w:rsidR="00A15383" w:rsidRPr="00B52A8A" w:rsidRDefault="007B6673" w:rsidP="007B6673">
      <w:pPr>
        <w:rPr>
          <w:b/>
        </w:rPr>
      </w:pPr>
      <w:r w:rsidRPr="00B52A8A">
        <w:rPr>
          <w:b/>
        </w:rPr>
        <w:t xml:space="preserve">     </w:t>
      </w:r>
      <w:r w:rsidR="007522F7" w:rsidRPr="00B52A8A">
        <w:rPr>
          <w:b/>
        </w:rPr>
        <w:t>Základní popisné charakteristiky vybraných parametrů souboru</w:t>
      </w:r>
    </w:p>
    <w:tbl>
      <w:tblPr>
        <w:tblStyle w:val="Svtlstnovn1"/>
        <w:tblW w:w="7675" w:type="dxa"/>
        <w:jc w:val="center"/>
        <w:tblLook w:val="0620"/>
      </w:tblPr>
      <w:tblGrid>
        <w:gridCol w:w="1535"/>
        <w:gridCol w:w="1535"/>
        <w:gridCol w:w="1535"/>
        <w:gridCol w:w="1535"/>
        <w:gridCol w:w="1535"/>
      </w:tblGrid>
      <w:tr w:rsidR="00E12A8C" w:rsidRPr="00B52A8A" w:rsidTr="00345DE0">
        <w:trPr>
          <w:cnfStyle w:val="100000000000"/>
          <w:jc w:val="center"/>
        </w:trPr>
        <w:tc>
          <w:tcPr>
            <w:tcW w:w="1535" w:type="dxa"/>
          </w:tcPr>
          <w:p w:rsidR="00222A6B" w:rsidRPr="00B52A8A" w:rsidRDefault="00222A6B" w:rsidP="00222A6B">
            <w:pPr>
              <w:spacing w:after="0"/>
              <w:jc w:val="left"/>
              <w:rPr>
                <w:i/>
                <w:sz w:val="24"/>
                <w:szCs w:val="24"/>
              </w:rPr>
            </w:pPr>
          </w:p>
        </w:tc>
        <w:tc>
          <w:tcPr>
            <w:tcW w:w="1535" w:type="dxa"/>
          </w:tcPr>
          <w:p w:rsidR="00222A6B" w:rsidRPr="00B52A8A" w:rsidRDefault="00222A6B" w:rsidP="00222A6B">
            <w:pPr>
              <w:spacing w:after="0"/>
              <w:jc w:val="center"/>
              <w:rPr>
                <w:i/>
                <w:sz w:val="24"/>
                <w:szCs w:val="24"/>
              </w:rPr>
            </w:pPr>
            <w:r w:rsidRPr="00B52A8A">
              <w:rPr>
                <w:i/>
                <w:sz w:val="24"/>
                <w:szCs w:val="24"/>
              </w:rPr>
              <w:t>M</w:t>
            </w:r>
          </w:p>
        </w:tc>
        <w:tc>
          <w:tcPr>
            <w:tcW w:w="1535" w:type="dxa"/>
          </w:tcPr>
          <w:p w:rsidR="00222A6B" w:rsidRPr="00B52A8A" w:rsidRDefault="00222A6B" w:rsidP="00222A6B">
            <w:pPr>
              <w:spacing w:after="0"/>
              <w:jc w:val="center"/>
              <w:rPr>
                <w:i/>
                <w:sz w:val="24"/>
                <w:szCs w:val="24"/>
              </w:rPr>
            </w:pPr>
            <w:r w:rsidRPr="00B52A8A">
              <w:rPr>
                <w:i/>
                <w:sz w:val="24"/>
                <w:szCs w:val="24"/>
              </w:rPr>
              <w:t>MIN</w:t>
            </w:r>
          </w:p>
        </w:tc>
        <w:tc>
          <w:tcPr>
            <w:tcW w:w="1535" w:type="dxa"/>
          </w:tcPr>
          <w:p w:rsidR="00222A6B" w:rsidRPr="00B52A8A" w:rsidRDefault="00222A6B" w:rsidP="00222A6B">
            <w:pPr>
              <w:spacing w:after="0"/>
              <w:jc w:val="center"/>
              <w:rPr>
                <w:i/>
                <w:sz w:val="24"/>
                <w:szCs w:val="24"/>
              </w:rPr>
            </w:pPr>
            <w:r w:rsidRPr="00B52A8A">
              <w:rPr>
                <w:i/>
                <w:sz w:val="24"/>
                <w:szCs w:val="24"/>
              </w:rPr>
              <w:t>MAX</w:t>
            </w:r>
          </w:p>
        </w:tc>
        <w:tc>
          <w:tcPr>
            <w:tcW w:w="1535" w:type="dxa"/>
          </w:tcPr>
          <w:p w:rsidR="00222A6B" w:rsidRPr="00B52A8A" w:rsidRDefault="00222A6B" w:rsidP="00222A6B">
            <w:pPr>
              <w:jc w:val="center"/>
              <w:rPr>
                <w:i/>
                <w:sz w:val="24"/>
                <w:szCs w:val="24"/>
              </w:rPr>
            </w:pPr>
            <w:r w:rsidRPr="00B52A8A">
              <w:rPr>
                <w:i/>
                <w:sz w:val="24"/>
                <w:szCs w:val="24"/>
              </w:rPr>
              <w:t>SD</w:t>
            </w:r>
          </w:p>
        </w:tc>
      </w:tr>
      <w:tr w:rsidR="00222A6B" w:rsidRPr="00B52A8A" w:rsidTr="00345DE0">
        <w:trPr>
          <w:jc w:val="center"/>
        </w:trPr>
        <w:tc>
          <w:tcPr>
            <w:tcW w:w="1535" w:type="dxa"/>
          </w:tcPr>
          <w:p w:rsidR="00222A6B" w:rsidRPr="00B52A8A" w:rsidRDefault="00222A6B" w:rsidP="00222A6B">
            <w:pPr>
              <w:spacing w:after="0"/>
              <w:jc w:val="left"/>
              <w:rPr>
                <w:b/>
                <w:i/>
                <w:sz w:val="24"/>
                <w:szCs w:val="24"/>
              </w:rPr>
            </w:pPr>
            <w:r w:rsidRPr="00B52A8A">
              <w:rPr>
                <w:b/>
                <w:i/>
                <w:sz w:val="24"/>
                <w:szCs w:val="24"/>
              </w:rPr>
              <w:t>TBW</w:t>
            </w:r>
          </w:p>
        </w:tc>
        <w:tc>
          <w:tcPr>
            <w:tcW w:w="1535" w:type="dxa"/>
          </w:tcPr>
          <w:p w:rsidR="00222A6B" w:rsidRPr="00B52A8A" w:rsidRDefault="006F3D13" w:rsidP="00E12A8C">
            <w:pPr>
              <w:spacing w:after="0"/>
              <w:jc w:val="center"/>
              <w:rPr>
                <w:i/>
                <w:sz w:val="24"/>
                <w:szCs w:val="24"/>
              </w:rPr>
            </w:pPr>
            <w:r w:rsidRPr="00B52A8A">
              <w:rPr>
                <w:i/>
                <w:sz w:val="24"/>
                <w:szCs w:val="24"/>
              </w:rPr>
              <w:t>32,92</w:t>
            </w:r>
          </w:p>
        </w:tc>
        <w:tc>
          <w:tcPr>
            <w:tcW w:w="1535" w:type="dxa"/>
          </w:tcPr>
          <w:p w:rsidR="00222A6B" w:rsidRPr="00B52A8A" w:rsidRDefault="006F3D13" w:rsidP="00E12A8C">
            <w:pPr>
              <w:spacing w:after="0"/>
              <w:jc w:val="center"/>
              <w:rPr>
                <w:i/>
                <w:sz w:val="24"/>
                <w:szCs w:val="24"/>
              </w:rPr>
            </w:pPr>
            <w:r w:rsidRPr="00B52A8A">
              <w:rPr>
                <w:i/>
                <w:sz w:val="24"/>
                <w:szCs w:val="24"/>
              </w:rPr>
              <w:t>26,8</w:t>
            </w:r>
            <w:r w:rsidR="00222A6B" w:rsidRPr="00B52A8A">
              <w:rPr>
                <w:i/>
                <w:sz w:val="24"/>
                <w:szCs w:val="24"/>
              </w:rPr>
              <w:t>0</w:t>
            </w:r>
          </w:p>
        </w:tc>
        <w:tc>
          <w:tcPr>
            <w:tcW w:w="1535" w:type="dxa"/>
          </w:tcPr>
          <w:p w:rsidR="00222A6B" w:rsidRPr="00B52A8A" w:rsidRDefault="006F3D13" w:rsidP="00E12A8C">
            <w:pPr>
              <w:spacing w:after="0"/>
              <w:jc w:val="center"/>
              <w:rPr>
                <w:i/>
                <w:sz w:val="24"/>
                <w:szCs w:val="24"/>
              </w:rPr>
            </w:pPr>
            <w:r w:rsidRPr="00B52A8A">
              <w:rPr>
                <w:i/>
                <w:sz w:val="24"/>
                <w:szCs w:val="24"/>
              </w:rPr>
              <w:t>44,4</w:t>
            </w:r>
            <w:r w:rsidR="00222A6B" w:rsidRPr="00B52A8A">
              <w:rPr>
                <w:i/>
                <w:sz w:val="24"/>
                <w:szCs w:val="24"/>
              </w:rPr>
              <w:t>0</w:t>
            </w:r>
          </w:p>
        </w:tc>
        <w:tc>
          <w:tcPr>
            <w:tcW w:w="1535" w:type="dxa"/>
          </w:tcPr>
          <w:p w:rsidR="00222A6B" w:rsidRPr="00B52A8A" w:rsidRDefault="006F3D13" w:rsidP="00E12A8C">
            <w:pPr>
              <w:jc w:val="center"/>
              <w:rPr>
                <w:i/>
                <w:sz w:val="24"/>
                <w:szCs w:val="24"/>
              </w:rPr>
            </w:pPr>
            <w:r w:rsidRPr="00B52A8A">
              <w:rPr>
                <w:i/>
                <w:sz w:val="24"/>
                <w:szCs w:val="24"/>
              </w:rPr>
              <w:t>3,44</w:t>
            </w:r>
          </w:p>
        </w:tc>
      </w:tr>
      <w:tr w:rsidR="00E12A8C" w:rsidRPr="00B52A8A" w:rsidTr="00345DE0">
        <w:trPr>
          <w:jc w:val="center"/>
        </w:trPr>
        <w:tc>
          <w:tcPr>
            <w:tcW w:w="1535" w:type="dxa"/>
          </w:tcPr>
          <w:p w:rsidR="00222A6B" w:rsidRPr="00B52A8A" w:rsidRDefault="00222A6B" w:rsidP="00222A6B">
            <w:pPr>
              <w:spacing w:after="0"/>
              <w:jc w:val="left"/>
              <w:rPr>
                <w:b/>
                <w:i/>
                <w:sz w:val="24"/>
                <w:szCs w:val="24"/>
              </w:rPr>
            </w:pPr>
            <w:r w:rsidRPr="00B52A8A">
              <w:rPr>
                <w:b/>
                <w:i/>
                <w:sz w:val="24"/>
                <w:szCs w:val="24"/>
              </w:rPr>
              <w:t>FFM</w:t>
            </w:r>
          </w:p>
        </w:tc>
        <w:tc>
          <w:tcPr>
            <w:tcW w:w="1535" w:type="dxa"/>
          </w:tcPr>
          <w:p w:rsidR="00222A6B" w:rsidRPr="00B52A8A" w:rsidRDefault="006F3D13" w:rsidP="006F3D13">
            <w:pPr>
              <w:spacing w:after="0"/>
              <w:jc w:val="center"/>
              <w:rPr>
                <w:i/>
                <w:sz w:val="24"/>
                <w:szCs w:val="24"/>
              </w:rPr>
            </w:pPr>
            <w:r w:rsidRPr="00B52A8A">
              <w:rPr>
                <w:i/>
                <w:sz w:val="24"/>
                <w:szCs w:val="24"/>
              </w:rPr>
              <w:t>44,96</w:t>
            </w:r>
          </w:p>
        </w:tc>
        <w:tc>
          <w:tcPr>
            <w:tcW w:w="1535" w:type="dxa"/>
          </w:tcPr>
          <w:p w:rsidR="00222A6B" w:rsidRPr="00B52A8A" w:rsidRDefault="006F3D13" w:rsidP="006F3D13">
            <w:pPr>
              <w:spacing w:after="0"/>
              <w:jc w:val="center"/>
              <w:rPr>
                <w:i/>
                <w:sz w:val="24"/>
                <w:szCs w:val="24"/>
              </w:rPr>
            </w:pPr>
            <w:r w:rsidRPr="00B52A8A">
              <w:rPr>
                <w:i/>
                <w:sz w:val="24"/>
                <w:szCs w:val="24"/>
              </w:rPr>
              <w:t>36,60</w:t>
            </w:r>
          </w:p>
        </w:tc>
        <w:tc>
          <w:tcPr>
            <w:tcW w:w="1535" w:type="dxa"/>
          </w:tcPr>
          <w:p w:rsidR="00222A6B" w:rsidRPr="00B52A8A" w:rsidRDefault="006F3D13" w:rsidP="006F3D13">
            <w:pPr>
              <w:spacing w:after="0"/>
              <w:jc w:val="center"/>
              <w:rPr>
                <w:i/>
                <w:sz w:val="24"/>
                <w:szCs w:val="24"/>
              </w:rPr>
            </w:pPr>
            <w:r w:rsidRPr="00B52A8A">
              <w:rPr>
                <w:i/>
                <w:sz w:val="24"/>
                <w:szCs w:val="24"/>
              </w:rPr>
              <w:t>60,70</w:t>
            </w:r>
          </w:p>
        </w:tc>
        <w:tc>
          <w:tcPr>
            <w:tcW w:w="1535" w:type="dxa"/>
          </w:tcPr>
          <w:p w:rsidR="00222A6B" w:rsidRPr="00B52A8A" w:rsidRDefault="006F3D13" w:rsidP="006F3D13">
            <w:pPr>
              <w:jc w:val="center"/>
              <w:rPr>
                <w:i/>
                <w:sz w:val="24"/>
                <w:szCs w:val="24"/>
              </w:rPr>
            </w:pPr>
            <w:r w:rsidRPr="00B52A8A">
              <w:rPr>
                <w:i/>
                <w:sz w:val="24"/>
                <w:szCs w:val="24"/>
              </w:rPr>
              <w:t>4,70</w:t>
            </w:r>
          </w:p>
        </w:tc>
      </w:tr>
      <w:tr w:rsidR="00222A6B" w:rsidRPr="00B52A8A" w:rsidTr="00345DE0">
        <w:trPr>
          <w:jc w:val="center"/>
        </w:trPr>
        <w:tc>
          <w:tcPr>
            <w:tcW w:w="1535" w:type="dxa"/>
          </w:tcPr>
          <w:p w:rsidR="00222A6B" w:rsidRPr="00B52A8A" w:rsidRDefault="00222A6B" w:rsidP="00222A6B">
            <w:pPr>
              <w:spacing w:after="0"/>
              <w:jc w:val="left"/>
              <w:rPr>
                <w:b/>
                <w:i/>
                <w:sz w:val="24"/>
                <w:szCs w:val="24"/>
              </w:rPr>
            </w:pPr>
            <w:r w:rsidRPr="00B52A8A">
              <w:rPr>
                <w:b/>
                <w:i/>
                <w:sz w:val="24"/>
                <w:szCs w:val="24"/>
              </w:rPr>
              <w:t>BFM</w:t>
            </w:r>
          </w:p>
        </w:tc>
        <w:tc>
          <w:tcPr>
            <w:tcW w:w="1535" w:type="dxa"/>
          </w:tcPr>
          <w:p w:rsidR="00222A6B" w:rsidRPr="00B52A8A" w:rsidRDefault="006F3D13" w:rsidP="006F3D13">
            <w:pPr>
              <w:spacing w:after="0"/>
              <w:jc w:val="center"/>
              <w:rPr>
                <w:i/>
                <w:sz w:val="24"/>
                <w:szCs w:val="24"/>
              </w:rPr>
            </w:pPr>
            <w:r w:rsidRPr="00B52A8A">
              <w:rPr>
                <w:i/>
                <w:sz w:val="24"/>
                <w:szCs w:val="24"/>
              </w:rPr>
              <w:t>25,68</w:t>
            </w:r>
          </w:p>
        </w:tc>
        <w:tc>
          <w:tcPr>
            <w:tcW w:w="1535" w:type="dxa"/>
          </w:tcPr>
          <w:p w:rsidR="00222A6B" w:rsidRPr="00B52A8A" w:rsidRDefault="006F3D13" w:rsidP="006F3D13">
            <w:pPr>
              <w:spacing w:after="0"/>
              <w:jc w:val="center"/>
              <w:rPr>
                <w:i/>
                <w:sz w:val="24"/>
                <w:szCs w:val="24"/>
              </w:rPr>
            </w:pPr>
            <w:r w:rsidRPr="00B52A8A">
              <w:rPr>
                <w:i/>
                <w:sz w:val="24"/>
                <w:szCs w:val="24"/>
              </w:rPr>
              <w:t>6,40</w:t>
            </w:r>
          </w:p>
        </w:tc>
        <w:tc>
          <w:tcPr>
            <w:tcW w:w="1535" w:type="dxa"/>
          </w:tcPr>
          <w:p w:rsidR="00222A6B" w:rsidRPr="00B52A8A" w:rsidRDefault="006F3D13" w:rsidP="006F3D13">
            <w:pPr>
              <w:spacing w:after="0"/>
              <w:jc w:val="center"/>
              <w:rPr>
                <w:i/>
                <w:sz w:val="24"/>
                <w:szCs w:val="24"/>
              </w:rPr>
            </w:pPr>
            <w:r w:rsidRPr="00B52A8A">
              <w:rPr>
                <w:i/>
                <w:sz w:val="24"/>
                <w:szCs w:val="24"/>
              </w:rPr>
              <w:t>48,30</w:t>
            </w:r>
          </w:p>
        </w:tc>
        <w:tc>
          <w:tcPr>
            <w:tcW w:w="1535" w:type="dxa"/>
          </w:tcPr>
          <w:p w:rsidR="00222A6B" w:rsidRPr="00B52A8A" w:rsidRDefault="006F3D13" w:rsidP="006F3D13">
            <w:pPr>
              <w:jc w:val="center"/>
              <w:rPr>
                <w:i/>
                <w:sz w:val="24"/>
                <w:szCs w:val="24"/>
              </w:rPr>
            </w:pPr>
            <w:r w:rsidRPr="00B52A8A">
              <w:rPr>
                <w:i/>
                <w:sz w:val="24"/>
                <w:szCs w:val="24"/>
              </w:rPr>
              <w:t>8,28</w:t>
            </w:r>
          </w:p>
        </w:tc>
      </w:tr>
      <w:tr w:rsidR="00E12A8C" w:rsidRPr="00B52A8A" w:rsidTr="00345DE0">
        <w:trPr>
          <w:jc w:val="center"/>
        </w:trPr>
        <w:tc>
          <w:tcPr>
            <w:tcW w:w="1535" w:type="dxa"/>
          </w:tcPr>
          <w:p w:rsidR="00222A6B" w:rsidRPr="00B52A8A" w:rsidRDefault="00222A6B" w:rsidP="00222A6B">
            <w:pPr>
              <w:spacing w:after="0"/>
              <w:jc w:val="left"/>
              <w:rPr>
                <w:b/>
                <w:i/>
                <w:sz w:val="24"/>
                <w:szCs w:val="24"/>
              </w:rPr>
            </w:pPr>
            <w:r w:rsidRPr="00B52A8A">
              <w:rPr>
                <w:b/>
                <w:i/>
                <w:sz w:val="24"/>
                <w:szCs w:val="24"/>
              </w:rPr>
              <w:t>% BF</w:t>
            </w:r>
          </w:p>
        </w:tc>
        <w:tc>
          <w:tcPr>
            <w:tcW w:w="1535" w:type="dxa"/>
          </w:tcPr>
          <w:p w:rsidR="00222A6B" w:rsidRPr="00B52A8A" w:rsidRDefault="006F3D13" w:rsidP="006F3D13">
            <w:pPr>
              <w:spacing w:after="0"/>
              <w:jc w:val="center"/>
              <w:rPr>
                <w:i/>
                <w:sz w:val="24"/>
                <w:szCs w:val="24"/>
              </w:rPr>
            </w:pPr>
            <w:r w:rsidRPr="00B52A8A">
              <w:rPr>
                <w:i/>
                <w:sz w:val="24"/>
                <w:szCs w:val="24"/>
              </w:rPr>
              <w:t>35,49</w:t>
            </w:r>
          </w:p>
        </w:tc>
        <w:tc>
          <w:tcPr>
            <w:tcW w:w="1535" w:type="dxa"/>
          </w:tcPr>
          <w:p w:rsidR="00222A6B" w:rsidRPr="00B52A8A" w:rsidRDefault="006F3D13" w:rsidP="006F3D13">
            <w:pPr>
              <w:spacing w:after="0"/>
              <w:jc w:val="center"/>
              <w:rPr>
                <w:i/>
                <w:sz w:val="24"/>
                <w:szCs w:val="24"/>
              </w:rPr>
            </w:pPr>
            <w:r w:rsidRPr="00B52A8A">
              <w:rPr>
                <w:i/>
                <w:sz w:val="24"/>
                <w:szCs w:val="24"/>
              </w:rPr>
              <w:t>14,20</w:t>
            </w:r>
          </w:p>
        </w:tc>
        <w:tc>
          <w:tcPr>
            <w:tcW w:w="1535" w:type="dxa"/>
          </w:tcPr>
          <w:p w:rsidR="00222A6B" w:rsidRPr="00B52A8A" w:rsidRDefault="006F3D13" w:rsidP="006F3D13">
            <w:pPr>
              <w:spacing w:after="0"/>
              <w:jc w:val="center"/>
              <w:rPr>
                <w:i/>
                <w:sz w:val="24"/>
                <w:szCs w:val="24"/>
              </w:rPr>
            </w:pPr>
            <w:r w:rsidRPr="00B52A8A">
              <w:rPr>
                <w:i/>
                <w:sz w:val="24"/>
                <w:szCs w:val="24"/>
              </w:rPr>
              <w:t>48,20</w:t>
            </w:r>
          </w:p>
        </w:tc>
        <w:tc>
          <w:tcPr>
            <w:tcW w:w="1535" w:type="dxa"/>
          </w:tcPr>
          <w:p w:rsidR="00222A6B" w:rsidRPr="00B52A8A" w:rsidRDefault="006F3D13" w:rsidP="006F3D13">
            <w:pPr>
              <w:jc w:val="center"/>
              <w:rPr>
                <w:i/>
                <w:sz w:val="24"/>
                <w:szCs w:val="24"/>
              </w:rPr>
            </w:pPr>
            <w:r w:rsidRPr="00B52A8A">
              <w:rPr>
                <w:i/>
                <w:sz w:val="24"/>
                <w:szCs w:val="24"/>
              </w:rPr>
              <w:t>6,35</w:t>
            </w:r>
          </w:p>
        </w:tc>
      </w:tr>
    </w:tbl>
    <w:p w:rsidR="00AD535B" w:rsidRPr="00B52A8A" w:rsidRDefault="00345DE0" w:rsidP="00345DE0">
      <w:pPr>
        <w:pStyle w:val="P-popisobr"/>
        <w:spacing w:before="240" w:after="0"/>
        <w:ind w:firstLine="0"/>
        <w:jc w:val="left"/>
        <w:rPr>
          <w:sz w:val="16"/>
          <w:szCs w:val="16"/>
        </w:rPr>
      </w:pPr>
      <w:r w:rsidRPr="00B52A8A">
        <w:rPr>
          <w:sz w:val="16"/>
          <w:szCs w:val="16"/>
        </w:rPr>
        <w:t xml:space="preserve">        </w:t>
      </w:r>
      <w:r w:rsidR="000524BF" w:rsidRPr="00B52A8A">
        <w:rPr>
          <w:sz w:val="16"/>
          <w:szCs w:val="16"/>
        </w:rPr>
        <w:t xml:space="preserve">Vysvětlivky:     </w:t>
      </w:r>
      <w:proofErr w:type="gramStart"/>
      <w:r w:rsidR="000524BF" w:rsidRPr="00B52A8A">
        <w:rPr>
          <w:sz w:val="16"/>
          <w:szCs w:val="16"/>
        </w:rPr>
        <w:t xml:space="preserve">M </w:t>
      </w:r>
      <w:r w:rsidR="00581919" w:rsidRPr="00B52A8A">
        <w:rPr>
          <w:sz w:val="16"/>
          <w:szCs w:val="16"/>
        </w:rPr>
        <w:t xml:space="preserve">         </w:t>
      </w:r>
      <w:r w:rsidR="00581919" w:rsidRPr="00B52A8A">
        <w:rPr>
          <w:i w:val="0"/>
          <w:sz w:val="16"/>
          <w:szCs w:val="16"/>
        </w:rPr>
        <w:t>–</w:t>
      </w:r>
      <w:r w:rsidR="00AD535B" w:rsidRPr="00B52A8A">
        <w:rPr>
          <w:sz w:val="16"/>
          <w:szCs w:val="16"/>
        </w:rPr>
        <w:t xml:space="preserve"> aritmetický</w:t>
      </w:r>
      <w:proofErr w:type="gramEnd"/>
      <w:r w:rsidR="00AD535B" w:rsidRPr="00B52A8A">
        <w:rPr>
          <w:sz w:val="16"/>
          <w:szCs w:val="16"/>
        </w:rPr>
        <w:t xml:space="preserve"> průměr</w:t>
      </w:r>
      <w:r w:rsidR="000524BF" w:rsidRPr="00B52A8A">
        <w:rPr>
          <w:sz w:val="16"/>
          <w:szCs w:val="16"/>
        </w:rPr>
        <w:t xml:space="preserve">        </w:t>
      </w:r>
      <w:r w:rsidR="00581919" w:rsidRPr="00B52A8A">
        <w:rPr>
          <w:sz w:val="16"/>
          <w:szCs w:val="16"/>
        </w:rPr>
        <w:tab/>
      </w:r>
      <w:r w:rsidR="00A15383" w:rsidRPr="00B52A8A">
        <w:rPr>
          <w:sz w:val="16"/>
          <w:szCs w:val="16"/>
        </w:rPr>
        <w:t xml:space="preserve">FFM       </w:t>
      </w:r>
      <w:r w:rsidR="00A15383" w:rsidRPr="00B52A8A">
        <w:rPr>
          <w:i w:val="0"/>
          <w:sz w:val="16"/>
          <w:szCs w:val="16"/>
        </w:rPr>
        <w:t>–</w:t>
      </w:r>
      <w:r w:rsidR="00A15383" w:rsidRPr="00B52A8A">
        <w:rPr>
          <w:sz w:val="16"/>
          <w:szCs w:val="16"/>
        </w:rPr>
        <w:t xml:space="preserve"> tukuprostá hmota</w:t>
      </w:r>
      <w:r w:rsidR="00AD535B" w:rsidRPr="00B52A8A">
        <w:rPr>
          <w:sz w:val="16"/>
          <w:szCs w:val="16"/>
        </w:rPr>
        <w:br/>
        <w:t xml:space="preserve">        </w:t>
      </w:r>
      <w:r w:rsidRPr="00B52A8A">
        <w:rPr>
          <w:sz w:val="16"/>
          <w:szCs w:val="16"/>
        </w:rPr>
        <w:t xml:space="preserve">       </w:t>
      </w:r>
      <w:r w:rsidR="00AD535B" w:rsidRPr="00B52A8A">
        <w:rPr>
          <w:sz w:val="16"/>
          <w:szCs w:val="16"/>
        </w:rPr>
        <w:t xml:space="preserve">                </w:t>
      </w:r>
      <w:r w:rsidR="00581919" w:rsidRPr="00B52A8A">
        <w:rPr>
          <w:sz w:val="16"/>
          <w:szCs w:val="16"/>
        </w:rPr>
        <w:t xml:space="preserve">SD         </w:t>
      </w:r>
      <w:r w:rsidR="00581919" w:rsidRPr="00B52A8A">
        <w:rPr>
          <w:i w:val="0"/>
          <w:sz w:val="16"/>
          <w:szCs w:val="16"/>
        </w:rPr>
        <w:t>–</w:t>
      </w:r>
      <w:r w:rsidR="00AD535B" w:rsidRPr="00B52A8A">
        <w:rPr>
          <w:sz w:val="16"/>
          <w:szCs w:val="16"/>
        </w:rPr>
        <w:t xml:space="preserve"> směrodatná odchylka      </w:t>
      </w:r>
      <w:r w:rsidR="00AD535B" w:rsidRPr="00B52A8A">
        <w:rPr>
          <w:sz w:val="16"/>
          <w:szCs w:val="16"/>
        </w:rPr>
        <w:tab/>
      </w:r>
      <w:r w:rsidR="00A15383" w:rsidRPr="00B52A8A">
        <w:rPr>
          <w:sz w:val="16"/>
          <w:szCs w:val="16"/>
        </w:rPr>
        <w:t xml:space="preserve">BFM        </w:t>
      </w:r>
      <w:r w:rsidR="00A15383" w:rsidRPr="00B52A8A">
        <w:rPr>
          <w:i w:val="0"/>
          <w:sz w:val="16"/>
          <w:szCs w:val="16"/>
        </w:rPr>
        <w:t>–</w:t>
      </w:r>
      <w:r w:rsidR="00A15383" w:rsidRPr="00B52A8A">
        <w:rPr>
          <w:sz w:val="16"/>
          <w:szCs w:val="16"/>
        </w:rPr>
        <w:t xml:space="preserve"> tuková hmota</w:t>
      </w:r>
      <w:r w:rsidR="00AD535B" w:rsidRPr="00B52A8A">
        <w:rPr>
          <w:sz w:val="16"/>
          <w:szCs w:val="16"/>
        </w:rPr>
        <w:br/>
      </w:r>
      <w:r w:rsidR="000524BF" w:rsidRPr="00B52A8A">
        <w:rPr>
          <w:sz w:val="16"/>
          <w:szCs w:val="16"/>
        </w:rPr>
        <w:tab/>
      </w:r>
      <w:r w:rsidRPr="00B52A8A">
        <w:rPr>
          <w:sz w:val="16"/>
          <w:szCs w:val="16"/>
        </w:rPr>
        <w:t xml:space="preserve">       </w:t>
      </w:r>
      <w:r w:rsidR="00AD535B" w:rsidRPr="00B52A8A">
        <w:rPr>
          <w:sz w:val="16"/>
          <w:szCs w:val="16"/>
        </w:rPr>
        <w:t xml:space="preserve">         </w:t>
      </w:r>
      <w:r w:rsidR="00581919" w:rsidRPr="00B52A8A">
        <w:rPr>
          <w:sz w:val="16"/>
          <w:szCs w:val="16"/>
        </w:rPr>
        <w:t xml:space="preserve">TBW      </w:t>
      </w:r>
      <w:r w:rsidR="00581919" w:rsidRPr="00B52A8A">
        <w:rPr>
          <w:i w:val="0"/>
          <w:sz w:val="16"/>
          <w:szCs w:val="16"/>
        </w:rPr>
        <w:t xml:space="preserve">– </w:t>
      </w:r>
      <w:r w:rsidR="000524BF" w:rsidRPr="00B52A8A">
        <w:rPr>
          <w:sz w:val="16"/>
          <w:szCs w:val="16"/>
        </w:rPr>
        <w:t>celková tělesná voda</w:t>
      </w:r>
      <w:r w:rsidR="00581919" w:rsidRPr="00B52A8A">
        <w:rPr>
          <w:sz w:val="16"/>
          <w:szCs w:val="16"/>
        </w:rPr>
        <w:tab/>
      </w:r>
      <w:r w:rsidR="00A15383" w:rsidRPr="00B52A8A">
        <w:rPr>
          <w:sz w:val="16"/>
          <w:szCs w:val="16"/>
        </w:rPr>
        <w:t xml:space="preserve">% BF       </w:t>
      </w:r>
      <w:r w:rsidR="00A15383" w:rsidRPr="00B52A8A">
        <w:rPr>
          <w:i w:val="0"/>
          <w:sz w:val="16"/>
          <w:szCs w:val="16"/>
        </w:rPr>
        <w:t xml:space="preserve">– </w:t>
      </w:r>
      <w:r w:rsidR="00A15383" w:rsidRPr="00B52A8A">
        <w:rPr>
          <w:sz w:val="16"/>
          <w:szCs w:val="16"/>
        </w:rPr>
        <w:t>procentuální vyjádření tukové hmoty</w:t>
      </w:r>
      <w:r w:rsidR="00581919" w:rsidRPr="00B52A8A">
        <w:rPr>
          <w:sz w:val="16"/>
          <w:szCs w:val="16"/>
        </w:rPr>
        <w:tab/>
      </w:r>
    </w:p>
    <w:p w:rsidR="009F09DA" w:rsidRPr="00B52A8A" w:rsidRDefault="00AD535B" w:rsidP="00345DE0">
      <w:pPr>
        <w:pStyle w:val="P-popisobr"/>
        <w:ind w:left="708" w:firstLine="0"/>
        <w:jc w:val="left"/>
        <w:rPr>
          <w:sz w:val="16"/>
          <w:szCs w:val="16"/>
        </w:rPr>
      </w:pPr>
      <w:r w:rsidRPr="00B52A8A">
        <w:rPr>
          <w:sz w:val="16"/>
          <w:szCs w:val="16"/>
        </w:rPr>
        <w:t xml:space="preserve">         </w:t>
      </w:r>
      <w:r w:rsidR="00581919" w:rsidRPr="00B52A8A">
        <w:rPr>
          <w:sz w:val="16"/>
          <w:szCs w:val="16"/>
        </w:rPr>
        <w:tab/>
      </w:r>
      <w:r w:rsidR="00581919" w:rsidRPr="00B52A8A">
        <w:rPr>
          <w:sz w:val="16"/>
          <w:szCs w:val="16"/>
        </w:rPr>
        <w:tab/>
      </w:r>
    </w:p>
    <w:p w:rsidR="004D0184" w:rsidRPr="00B52A8A" w:rsidRDefault="009871A8" w:rsidP="009B60C8">
      <w:pPr>
        <w:spacing w:after="0"/>
        <w:ind w:firstLine="284"/>
        <w:rPr>
          <w:szCs w:val="24"/>
        </w:rPr>
      </w:pPr>
      <w:r w:rsidRPr="00B52A8A">
        <w:rPr>
          <w:szCs w:val="24"/>
        </w:rPr>
        <w:t xml:space="preserve">Množství </w:t>
      </w:r>
      <w:r w:rsidRPr="00B52A8A">
        <w:rPr>
          <w:b/>
          <w:szCs w:val="24"/>
        </w:rPr>
        <w:t>TBW</w:t>
      </w:r>
      <w:r w:rsidRPr="00B52A8A">
        <w:rPr>
          <w:szCs w:val="24"/>
        </w:rPr>
        <w:t xml:space="preserve"> je určeno množstvím vody extra a intracelulární. Množství TBW je </w:t>
      </w:r>
      <w:r w:rsidR="007B6673" w:rsidRPr="00B52A8A">
        <w:rPr>
          <w:szCs w:val="24"/>
        </w:rPr>
        <w:t xml:space="preserve">u dospělého jedince </w:t>
      </w:r>
      <w:r w:rsidRPr="00B52A8A">
        <w:rPr>
          <w:szCs w:val="24"/>
        </w:rPr>
        <w:t>v tělesném zastoupení a</w:t>
      </w:r>
      <w:r w:rsidR="007B6673" w:rsidRPr="00B52A8A">
        <w:rPr>
          <w:szCs w:val="24"/>
        </w:rPr>
        <w:t>si z 60 % (InBody 720).</w:t>
      </w:r>
      <w:r w:rsidR="00457FAF" w:rsidRPr="00B52A8A">
        <w:rPr>
          <w:szCs w:val="24"/>
        </w:rPr>
        <w:t xml:space="preserve"> </w:t>
      </w:r>
      <w:r w:rsidR="00E66F30" w:rsidRPr="00B52A8A">
        <w:rPr>
          <w:szCs w:val="24"/>
        </w:rPr>
        <w:t xml:space="preserve">U žen je tato hodnota nižší, asi 50 % a s věkem se dále snižuje (Trojan et al., 1992). </w:t>
      </w:r>
      <w:r w:rsidRPr="00B52A8A">
        <w:rPr>
          <w:szCs w:val="24"/>
        </w:rPr>
        <w:t>Naše hodnota byla 32,92 ℓ</w:t>
      </w:r>
      <w:r w:rsidR="00611F04" w:rsidRPr="00B52A8A">
        <w:rPr>
          <w:szCs w:val="24"/>
        </w:rPr>
        <w:t>,</w:t>
      </w:r>
      <w:r w:rsidRPr="00B52A8A">
        <w:rPr>
          <w:szCs w:val="24"/>
        </w:rPr>
        <w:t xml:space="preserve"> což při průměrné hmotnosti 70,63 kg</w:t>
      </w:r>
      <w:r w:rsidR="007B6673" w:rsidRPr="00B52A8A">
        <w:rPr>
          <w:szCs w:val="24"/>
        </w:rPr>
        <w:t xml:space="preserve"> odpovídá </w:t>
      </w:r>
      <w:r w:rsidR="009F09DA" w:rsidRPr="00B52A8A">
        <w:rPr>
          <w:szCs w:val="24"/>
        </w:rPr>
        <w:t>47 % zastoupení TBW.</w:t>
      </w:r>
      <w:r w:rsidR="007B6673" w:rsidRPr="00B52A8A">
        <w:rPr>
          <w:szCs w:val="24"/>
        </w:rPr>
        <w:t xml:space="preserve"> </w:t>
      </w:r>
      <w:r w:rsidR="00E274D5" w:rsidRPr="00B52A8A">
        <w:rPr>
          <w:szCs w:val="24"/>
        </w:rPr>
        <w:t>Referenční h</w:t>
      </w:r>
      <w:r w:rsidR="00FD4CD5" w:rsidRPr="00B52A8A">
        <w:rPr>
          <w:szCs w:val="24"/>
        </w:rPr>
        <w:t>odnota</w:t>
      </w:r>
      <w:r w:rsidR="004D0184" w:rsidRPr="00B52A8A">
        <w:rPr>
          <w:szCs w:val="24"/>
        </w:rPr>
        <w:t xml:space="preserve"> </w:t>
      </w:r>
      <w:r w:rsidR="004D0184" w:rsidRPr="00B52A8A">
        <w:rPr>
          <w:b/>
          <w:szCs w:val="24"/>
        </w:rPr>
        <w:t>tukuprosté hmoty</w:t>
      </w:r>
      <w:r w:rsidR="004D0184" w:rsidRPr="00B52A8A">
        <w:rPr>
          <w:szCs w:val="24"/>
        </w:rPr>
        <w:t>, která je určena jako součet TBW a sušiny</w:t>
      </w:r>
      <w:r w:rsidR="00883CAE" w:rsidRPr="00B52A8A">
        <w:rPr>
          <w:szCs w:val="24"/>
        </w:rPr>
        <w:t>,</w:t>
      </w:r>
      <w:r w:rsidR="00883CAE" w:rsidRPr="00B52A8A">
        <w:rPr>
          <w:color w:val="FF0000"/>
          <w:szCs w:val="24"/>
        </w:rPr>
        <w:t xml:space="preserve"> </w:t>
      </w:r>
      <w:r w:rsidR="00FF145F" w:rsidRPr="00B52A8A">
        <w:rPr>
          <w:szCs w:val="24"/>
        </w:rPr>
        <w:t>jejichž součástí jsou proteiny</w:t>
      </w:r>
      <w:r w:rsidR="00FD4CD5" w:rsidRPr="00B52A8A">
        <w:rPr>
          <w:szCs w:val="24"/>
        </w:rPr>
        <w:t xml:space="preserve">, odpovídá </w:t>
      </w:r>
      <w:r w:rsidR="004D0184" w:rsidRPr="00B52A8A">
        <w:rPr>
          <w:szCs w:val="24"/>
        </w:rPr>
        <w:t>73 % celkové</w:t>
      </w:r>
      <w:r w:rsidR="00A15383" w:rsidRPr="00B52A8A">
        <w:rPr>
          <w:szCs w:val="24"/>
        </w:rPr>
        <w:t xml:space="preserve"> </w:t>
      </w:r>
      <w:r w:rsidR="004D0184" w:rsidRPr="00B52A8A">
        <w:rPr>
          <w:szCs w:val="24"/>
        </w:rPr>
        <w:t xml:space="preserve">tělesné hmotnosti. Průměrná hmotnost našich probandů byla 70 kg.  Námi naměřené průměrné hodnoty tukuprosté hmoty </w:t>
      </w:r>
      <w:r w:rsidR="00A15383" w:rsidRPr="00B52A8A">
        <w:rPr>
          <w:szCs w:val="24"/>
        </w:rPr>
        <w:t xml:space="preserve">jsou </w:t>
      </w:r>
      <w:r w:rsidR="004D0184" w:rsidRPr="00B52A8A">
        <w:rPr>
          <w:szCs w:val="24"/>
        </w:rPr>
        <w:t>44,96</w:t>
      </w:r>
      <w:r w:rsidR="00A15383" w:rsidRPr="00B52A8A">
        <w:rPr>
          <w:szCs w:val="24"/>
        </w:rPr>
        <w:t xml:space="preserve"> kg</w:t>
      </w:r>
      <w:r w:rsidR="00611F04" w:rsidRPr="00B52A8A">
        <w:rPr>
          <w:szCs w:val="24"/>
        </w:rPr>
        <w:t xml:space="preserve">, </w:t>
      </w:r>
      <w:r w:rsidR="004D0184" w:rsidRPr="00B52A8A">
        <w:rPr>
          <w:szCs w:val="24"/>
        </w:rPr>
        <w:t>odpovídají</w:t>
      </w:r>
      <w:r w:rsidR="00A15383" w:rsidRPr="00B52A8A">
        <w:rPr>
          <w:szCs w:val="24"/>
        </w:rPr>
        <w:t>cí</w:t>
      </w:r>
      <w:r w:rsidR="004D0184" w:rsidRPr="00B52A8A">
        <w:rPr>
          <w:szCs w:val="24"/>
        </w:rPr>
        <w:t xml:space="preserve"> 61 % celkové tělesné hmotnosti. Jsou tedy nižší než referenční hodnoty, což je pro nás ukazatelem úbytku tukuprosté hmoty v období stárnutí. </w:t>
      </w:r>
    </w:p>
    <w:p w:rsidR="0079466A" w:rsidRPr="00B52A8A" w:rsidRDefault="00FF145F" w:rsidP="009547A5">
      <w:pPr>
        <w:ind w:firstLine="284"/>
        <w:rPr>
          <w:szCs w:val="24"/>
        </w:rPr>
      </w:pPr>
      <w:r w:rsidRPr="00B52A8A">
        <w:rPr>
          <w:szCs w:val="24"/>
        </w:rPr>
        <w:t xml:space="preserve">Referenční </w:t>
      </w:r>
      <w:r w:rsidR="006F4344" w:rsidRPr="00B52A8A">
        <w:rPr>
          <w:szCs w:val="24"/>
        </w:rPr>
        <w:t xml:space="preserve">hodnoty </w:t>
      </w:r>
      <w:r w:rsidR="00FD4CD5" w:rsidRPr="00B52A8A">
        <w:rPr>
          <w:szCs w:val="24"/>
        </w:rPr>
        <w:t xml:space="preserve">% BF </w:t>
      </w:r>
      <w:r w:rsidRPr="00B52A8A">
        <w:rPr>
          <w:szCs w:val="24"/>
        </w:rPr>
        <w:t xml:space="preserve">se pohybují v rozmezí 18,0 – 28,0 %. </w:t>
      </w:r>
      <w:r w:rsidR="00E274D5" w:rsidRPr="00B52A8A">
        <w:rPr>
          <w:b/>
          <w:szCs w:val="24"/>
        </w:rPr>
        <w:t xml:space="preserve">Procentuální vyjádření tělesného tuku </w:t>
      </w:r>
      <w:r w:rsidR="00E274D5" w:rsidRPr="00B52A8A">
        <w:rPr>
          <w:szCs w:val="24"/>
        </w:rPr>
        <w:t>je u našeho souboru 35,49</w:t>
      </w:r>
      <w:r w:rsidR="009B60C8" w:rsidRPr="00B52A8A">
        <w:rPr>
          <w:szCs w:val="24"/>
        </w:rPr>
        <w:t xml:space="preserve"> </w:t>
      </w:r>
      <w:r w:rsidR="009547A5" w:rsidRPr="00B52A8A">
        <w:rPr>
          <w:szCs w:val="24"/>
        </w:rPr>
        <w:t>%</w:t>
      </w:r>
      <w:r w:rsidR="00E274D5" w:rsidRPr="00B52A8A">
        <w:rPr>
          <w:szCs w:val="24"/>
        </w:rPr>
        <w:t xml:space="preserve">. Můžeme tedy pozorovat zvýšené množství tělesného tuku, které přesahuje hranici průměrných hodnot více téměř o 10 %. Pokud bychom chtěli vyjádřit </w:t>
      </w:r>
      <w:r w:rsidR="00E274D5" w:rsidRPr="00B52A8A">
        <w:rPr>
          <w:b/>
          <w:szCs w:val="24"/>
        </w:rPr>
        <w:t>tělesný tuk v kg</w:t>
      </w:r>
      <w:r w:rsidR="00E274D5" w:rsidRPr="00B52A8A">
        <w:rPr>
          <w:szCs w:val="24"/>
        </w:rPr>
        <w:t xml:space="preserve"> tak průměrné hodnoty jsou </w:t>
      </w:r>
      <w:r w:rsidR="00E274D5" w:rsidRPr="00B52A8A">
        <w:rPr>
          <w:szCs w:val="24"/>
        </w:rPr>
        <w:lastRenderedPageBreak/>
        <w:t>12,3 – 19,7 kg</w:t>
      </w:r>
      <w:r w:rsidR="00457FAF" w:rsidRPr="00B52A8A">
        <w:rPr>
          <w:szCs w:val="24"/>
        </w:rPr>
        <w:t>. Zde</w:t>
      </w:r>
      <w:r w:rsidR="0079466A" w:rsidRPr="00B52A8A">
        <w:rPr>
          <w:szCs w:val="24"/>
        </w:rPr>
        <w:t xml:space="preserve"> </w:t>
      </w:r>
      <w:r w:rsidR="008B4881" w:rsidRPr="00B52A8A">
        <w:rPr>
          <w:szCs w:val="24"/>
        </w:rPr>
        <w:t xml:space="preserve">naměřená </w:t>
      </w:r>
      <w:r w:rsidR="0079466A" w:rsidRPr="00B52A8A">
        <w:rPr>
          <w:szCs w:val="24"/>
        </w:rPr>
        <w:t>hodno</w:t>
      </w:r>
      <w:r w:rsidR="006F4344" w:rsidRPr="00B52A8A">
        <w:rPr>
          <w:szCs w:val="24"/>
        </w:rPr>
        <w:t>ta 25,68 kg převyšuje průměr</w:t>
      </w:r>
      <w:r w:rsidR="0079466A" w:rsidRPr="00B52A8A">
        <w:rPr>
          <w:szCs w:val="24"/>
        </w:rPr>
        <w:t xml:space="preserve"> </w:t>
      </w:r>
      <w:r w:rsidR="009B60C8" w:rsidRPr="00B52A8A">
        <w:rPr>
          <w:szCs w:val="24"/>
        </w:rPr>
        <w:br/>
      </w:r>
      <w:r w:rsidR="0079466A" w:rsidRPr="00B52A8A">
        <w:rPr>
          <w:szCs w:val="24"/>
        </w:rPr>
        <w:t xml:space="preserve">téměř </w:t>
      </w:r>
      <w:r w:rsidR="006F4344" w:rsidRPr="00B52A8A">
        <w:rPr>
          <w:szCs w:val="24"/>
        </w:rPr>
        <w:t xml:space="preserve">o </w:t>
      </w:r>
      <w:r w:rsidR="0079466A" w:rsidRPr="00B52A8A">
        <w:rPr>
          <w:szCs w:val="24"/>
        </w:rPr>
        <w:t>6 kg.</w:t>
      </w:r>
    </w:p>
    <w:p w:rsidR="00633087" w:rsidRPr="00B52A8A" w:rsidRDefault="00633087" w:rsidP="00892528">
      <w:pPr>
        <w:pStyle w:val="P-popisobr"/>
        <w:ind w:firstLine="0"/>
        <w:jc w:val="left"/>
        <w:rPr>
          <w:sz w:val="16"/>
          <w:szCs w:val="16"/>
        </w:rPr>
      </w:pPr>
    </w:p>
    <w:p w:rsidR="006F324E" w:rsidRPr="00B52A8A" w:rsidRDefault="006F324E" w:rsidP="000524BF">
      <w:pPr>
        <w:pStyle w:val="P-nadpis2"/>
        <w:ind w:firstLine="0"/>
      </w:pPr>
      <w:bookmarkStart w:id="120" w:name="_Toc239411418"/>
      <w:bookmarkStart w:id="121" w:name="_Toc293057993"/>
      <w:bookmarkStart w:id="122" w:name="_Toc293153761"/>
      <w:r w:rsidRPr="00B52A8A">
        <w:t xml:space="preserve">5.2 </w:t>
      </w:r>
      <w:r w:rsidR="006509CC" w:rsidRPr="00B52A8A">
        <w:t>ANALÝZA VÝSLEDKŮ ZSKANÝCH PŘÍSTROJEM INBODY</w:t>
      </w:r>
      <w:r w:rsidR="009B60C8" w:rsidRPr="00B52A8A">
        <w:br/>
        <w:t xml:space="preserve">      </w:t>
      </w:r>
      <w:r w:rsidR="006509CC" w:rsidRPr="00B52A8A">
        <w:t xml:space="preserve"> 720</w:t>
      </w:r>
      <w:bookmarkEnd w:id="120"/>
      <w:bookmarkEnd w:id="121"/>
      <w:bookmarkEnd w:id="122"/>
    </w:p>
    <w:p w:rsidR="00457FAF" w:rsidRPr="00B52A8A" w:rsidRDefault="009B60C8" w:rsidP="005C7CD5">
      <w:pPr>
        <w:rPr>
          <w:b/>
        </w:rPr>
      </w:pPr>
      <w:r w:rsidRPr="00B52A8A">
        <w:t xml:space="preserve">    </w:t>
      </w:r>
      <w:r w:rsidR="00431C63" w:rsidRPr="00B52A8A">
        <w:t xml:space="preserve">  </w:t>
      </w:r>
      <w:r w:rsidRPr="00B52A8A">
        <w:rPr>
          <w:b/>
        </w:rPr>
        <w:t>Tabulka</w:t>
      </w:r>
      <w:r w:rsidR="00E84D1B" w:rsidRPr="00B52A8A">
        <w:rPr>
          <w:b/>
        </w:rPr>
        <w:t xml:space="preserve"> 6</w:t>
      </w:r>
      <w:r w:rsidR="00457FAF" w:rsidRPr="00B52A8A">
        <w:rPr>
          <w:b/>
        </w:rPr>
        <w:t xml:space="preserve">. </w:t>
      </w:r>
    </w:p>
    <w:p w:rsidR="000524BF" w:rsidRPr="00B52A8A" w:rsidRDefault="00457FAF" w:rsidP="005C7CD5">
      <w:pPr>
        <w:rPr>
          <w:b/>
        </w:rPr>
      </w:pPr>
      <w:r w:rsidRPr="00B52A8A">
        <w:rPr>
          <w:b/>
        </w:rPr>
        <w:t xml:space="preserve">      Základní popisné charakteristiky vybraných parametrů souboru</w:t>
      </w:r>
      <w:r w:rsidR="006F324E" w:rsidRPr="00B52A8A">
        <w:rPr>
          <w:b/>
        </w:rPr>
        <w:t xml:space="preserve"> </w:t>
      </w:r>
      <w:r w:rsidR="000524BF" w:rsidRPr="00B52A8A">
        <w:rPr>
          <w:b/>
        </w:rPr>
        <w:t xml:space="preserve"> </w:t>
      </w:r>
    </w:p>
    <w:tbl>
      <w:tblPr>
        <w:tblStyle w:val="Svtlstnovn1"/>
        <w:tblW w:w="7675" w:type="dxa"/>
        <w:jc w:val="center"/>
        <w:tblLook w:val="0620"/>
      </w:tblPr>
      <w:tblGrid>
        <w:gridCol w:w="1535"/>
        <w:gridCol w:w="1535"/>
        <w:gridCol w:w="1535"/>
        <w:gridCol w:w="1535"/>
        <w:gridCol w:w="1535"/>
      </w:tblGrid>
      <w:tr w:rsidR="00E12A8C" w:rsidRPr="00B52A8A" w:rsidTr="009B60C8">
        <w:trPr>
          <w:cnfStyle w:val="100000000000"/>
          <w:jc w:val="center"/>
        </w:trPr>
        <w:tc>
          <w:tcPr>
            <w:tcW w:w="1535" w:type="dxa"/>
          </w:tcPr>
          <w:p w:rsidR="00E12A8C" w:rsidRPr="00B52A8A" w:rsidRDefault="00E12A8C" w:rsidP="00222A6B">
            <w:pPr>
              <w:spacing w:after="0"/>
              <w:rPr>
                <w:szCs w:val="24"/>
              </w:rPr>
            </w:pPr>
          </w:p>
        </w:tc>
        <w:tc>
          <w:tcPr>
            <w:tcW w:w="1535" w:type="dxa"/>
          </w:tcPr>
          <w:p w:rsidR="00E12A8C" w:rsidRPr="00B52A8A" w:rsidRDefault="00E12A8C" w:rsidP="00222A6B">
            <w:pPr>
              <w:spacing w:after="0"/>
              <w:jc w:val="center"/>
              <w:rPr>
                <w:i/>
                <w:szCs w:val="24"/>
              </w:rPr>
            </w:pPr>
            <w:r w:rsidRPr="00B52A8A">
              <w:rPr>
                <w:i/>
                <w:szCs w:val="24"/>
              </w:rPr>
              <w:t>M</w:t>
            </w:r>
          </w:p>
        </w:tc>
        <w:tc>
          <w:tcPr>
            <w:tcW w:w="1535" w:type="dxa"/>
          </w:tcPr>
          <w:p w:rsidR="00E12A8C" w:rsidRPr="00B52A8A" w:rsidRDefault="00E12A8C" w:rsidP="00222A6B">
            <w:pPr>
              <w:spacing w:after="0"/>
              <w:jc w:val="center"/>
              <w:rPr>
                <w:i/>
                <w:szCs w:val="24"/>
              </w:rPr>
            </w:pPr>
            <w:r w:rsidRPr="00B52A8A">
              <w:rPr>
                <w:i/>
                <w:szCs w:val="24"/>
              </w:rPr>
              <w:t>MIN</w:t>
            </w:r>
          </w:p>
        </w:tc>
        <w:tc>
          <w:tcPr>
            <w:tcW w:w="1535" w:type="dxa"/>
          </w:tcPr>
          <w:p w:rsidR="00E12A8C" w:rsidRPr="00B52A8A" w:rsidRDefault="00E12A8C" w:rsidP="00222A6B">
            <w:pPr>
              <w:spacing w:after="0"/>
              <w:jc w:val="center"/>
              <w:rPr>
                <w:i/>
                <w:szCs w:val="24"/>
              </w:rPr>
            </w:pPr>
            <w:r w:rsidRPr="00B52A8A">
              <w:rPr>
                <w:i/>
                <w:szCs w:val="24"/>
              </w:rPr>
              <w:t>MAX</w:t>
            </w:r>
          </w:p>
        </w:tc>
        <w:tc>
          <w:tcPr>
            <w:tcW w:w="1535" w:type="dxa"/>
          </w:tcPr>
          <w:p w:rsidR="00E12A8C" w:rsidRPr="00B52A8A" w:rsidRDefault="00E12A8C" w:rsidP="00222A6B">
            <w:pPr>
              <w:jc w:val="center"/>
              <w:rPr>
                <w:i/>
                <w:szCs w:val="24"/>
              </w:rPr>
            </w:pPr>
            <w:r w:rsidRPr="00B52A8A">
              <w:rPr>
                <w:i/>
                <w:szCs w:val="24"/>
              </w:rPr>
              <w:t>SD</w:t>
            </w:r>
          </w:p>
        </w:tc>
      </w:tr>
      <w:tr w:rsidR="00E12A8C" w:rsidRPr="00B52A8A" w:rsidTr="009B60C8">
        <w:trPr>
          <w:jc w:val="center"/>
        </w:trPr>
        <w:tc>
          <w:tcPr>
            <w:tcW w:w="1535" w:type="dxa"/>
          </w:tcPr>
          <w:p w:rsidR="00E12A8C" w:rsidRPr="00B52A8A" w:rsidRDefault="00E12A8C" w:rsidP="00E12A8C">
            <w:pPr>
              <w:spacing w:after="0"/>
              <w:jc w:val="left"/>
              <w:rPr>
                <w:b/>
                <w:i/>
                <w:szCs w:val="24"/>
              </w:rPr>
            </w:pPr>
            <w:r w:rsidRPr="00B52A8A">
              <w:rPr>
                <w:b/>
                <w:i/>
                <w:szCs w:val="24"/>
              </w:rPr>
              <w:t>TBW</w:t>
            </w:r>
          </w:p>
        </w:tc>
        <w:tc>
          <w:tcPr>
            <w:tcW w:w="1535" w:type="dxa"/>
          </w:tcPr>
          <w:p w:rsidR="00E12A8C" w:rsidRPr="00B52A8A" w:rsidRDefault="004965E0" w:rsidP="00A03605">
            <w:pPr>
              <w:spacing w:after="0"/>
              <w:jc w:val="center"/>
              <w:rPr>
                <w:i/>
                <w:szCs w:val="24"/>
              </w:rPr>
            </w:pPr>
            <w:r w:rsidRPr="00B52A8A">
              <w:rPr>
                <w:i/>
                <w:szCs w:val="24"/>
              </w:rPr>
              <w:t>31,67</w:t>
            </w:r>
          </w:p>
        </w:tc>
        <w:tc>
          <w:tcPr>
            <w:tcW w:w="1535" w:type="dxa"/>
          </w:tcPr>
          <w:p w:rsidR="00E12A8C" w:rsidRPr="00B52A8A" w:rsidRDefault="004965E0" w:rsidP="00A03605">
            <w:pPr>
              <w:spacing w:after="0"/>
              <w:jc w:val="center"/>
              <w:rPr>
                <w:i/>
                <w:szCs w:val="24"/>
              </w:rPr>
            </w:pPr>
            <w:r w:rsidRPr="00B52A8A">
              <w:rPr>
                <w:i/>
                <w:szCs w:val="24"/>
              </w:rPr>
              <w:t>24,80</w:t>
            </w:r>
          </w:p>
        </w:tc>
        <w:tc>
          <w:tcPr>
            <w:tcW w:w="1535" w:type="dxa"/>
          </w:tcPr>
          <w:p w:rsidR="00E12A8C" w:rsidRPr="00B52A8A" w:rsidRDefault="004965E0" w:rsidP="00A03605">
            <w:pPr>
              <w:spacing w:after="0"/>
              <w:jc w:val="center"/>
              <w:rPr>
                <w:i/>
                <w:szCs w:val="24"/>
              </w:rPr>
            </w:pPr>
            <w:r w:rsidRPr="00B52A8A">
              <w:rPr>
                <w:i/>
                <w:szCs w:val="24"/>
              </w:rPr>
              <w:t>40,60</w:t>
            </w:r>
          </w:p>
        </w:tc>
        <w:tc>
          <w:tcPr>
            <w:tcW w:w="1535" w:type="dxa"/>
          </w:tcPr>
          <w:p w:rsidR="00E12A8C" w:rsidRPr="00B52A8A" w:rsidRDefault="004965E0" w:rsidP="00A03605">
            <w:pPr>
              <w:jc w:val="center"/>
              <w:rPr>
                <w:i/>
                <w:szCs w:val="24"/>
              </w:rPr>
            </w:pPr>
            <w:r w:rsidRPr="00B52A8A">
              <w:rPr>
                <w:i/>
                <w:szCs w:val="24"/>
              </w:rPr>
              <w:t>3,45</w:t>
            </w:r>
          </w:p>
        </w:tc>
      </w:tr>
      <w:tr w:rsidR="00E12A8C" w:rsidRPr="00B52A8A" w:rsidTr="009B60C8">
        <w:trPr>
          <w:jc w:val="center"/>
        </w:trPr>
        <w:tc>
          <w:tcPr>
            <w:tcW w:w="1535" w:type="dxa"/>
          </w:tcPr>
          <w:p w:rsidR="00E12A8C" w:rsidRPr="00B52A8A" w:rsidRDefault="00E12A8C" w:rsidP="00E12A8C">
            <w:pPr>
              <w:spacing w:after="0"/>
              <w:jc w:val="left"/>
              <w:rPr>
                <w:b/>
                <w:i/>
                <w:szCs w:val="24"/>
              </w:rPr>
            </w:pPr>
            <w:r w:rsidRPr="00B52A8A">
              <w:rPr>
                <w:b/>
                <w:i/>
                <w:szCs w:val="24"/>
              </w:rPr>
              <w:t>ECW</w:t>
            </w:r>
          </w:p>
        </w:tc>
        <w:tc>
          <w:tcPr>
            <w:tcW w:w="1535" w:type="dxa"/>
          </w:tcPr>
          <w:p w:rsidR="00E12A8C" w:rsidRPr="00B52A8A" w:rsidRDefault="004965E0" w:rsidP="00222A6B">
            <w:pPr>
              <w:spacing w:after="0"/>
              <w:jc w:val="center"/>
              <w:rPr>
                <w:i/>
                <w:szCs w:val="24"/>
              </w:rPr>
            </w:pPr>
            <w:r w:rsidRPr="00B52A8A">
              <w:rPr>
                <w:i/>
                <w:szCs w:val="24"/>
              </w:rPr>
              <w:t>12,23</w:t>
            </w:r>
          </w:p>
        </w:tc>
        <w:tc>
          <w:tcPr>
            <w:tcW w:w="1535" w:type="dxa"/>
          </w:tcPr>
          <w:p w:rsidR="00E12A8C" w:rsidRPr="00B52A8A" w:rsidRDefault="004965E0" w:rsidP="00222A6B">
            <w:pPr>
              <w:spacing w:after="0"/>
              <w:jc w:val="center"/>
              <w:rPr>
                <w:i/>
                <w:szCs w:val="24"/>
              </w:rPr>
            </w:pPr>
            <w:r w:rsidRPr="00B52A8A">
              <w:rPr>
                <w:i/>
                <w:szCs w:val="24"/>
              </w:rPr>
              <w:t>9,41</w:t>
            </w:r>
          </w:p>
        </w:tc>
        <w:tc>
          <w:tcPr>
            <w:tcW w:w="1535" w:type="dxa"/>
          </w:tcPr>
          <w:p w:rsidR="00E12A8C" w:rsidRPr="00B52A8A" w:rsidRDefault="004965E0" w:rsidP="00222A6B">
            <w:pPr>
              <w:spacing w:after="0"/>
              <w:jc w:val="center"/>
              <w:rPr>
                <w:i/>
                <w:szCs w:val="24"/>
              </w:rPr>
            </w:pPr>
            <w:r w:rsidRPr="00B52A8A">
              <w:rPr>
                <w:i/>
                <w:szCs w:val="24"/>
              </w:rPr>
              <w:t>16,00</w:t>
            </w:r>
          </w:p>
        </w:tc>
        <w:tc>
          <w:tcPr>
            <w:tcW w:w="1535" w:type="dxa"/>
          </w:tcPr>
          <w:p w:rsidR="00E12A8C" w:rsidRPr="00B52A8A" w:rsidRDefault="004965E0" w:rsidP="00222A6B">
            <w:pPr>
              <w:jc w:val="center"/>
              <w:rPr>
                <w:i/>
                <w:szCs w:val="24"/>
              </w:rPr>
            </w:pPr>
            <w:r w:rsidRPr="00B52A8A">
              <w:rPr>
                <w:i/>
                <w:szCs w:val="24"/>
              </w:rPr>
              <w:t>1,38</w:t>
            </w:r>
          </w:p>
        </w:tc>
      </w:tr>
      <w:tr w:rsidR="00E12A8C" w:rsidRPr="00B52A8A" w:rsidTr="009B60C8">
        <w:trPr>
          <w:jc w:val="center"/>
        </w:trPr>
        <w:tc>
          <w:tcPr>
            <w:tcW w:w="1535" w:type="dxa"/>
          </w:tcPr>
          <w:p w:rsidR="00E12A8C" w:rsidRPr="00B52A8A" w:rsidRDefault="00E12A8C" w:rsidP="00E12A8C">
            <w:pPr>
              <w:spacing w:after="0"/>
              <w:jc w:val="left"/>
              <w:rPr>
                <w:b/>
                <w:i/>
                <w:szCs w:val="24"/>
              </w:rPr>
            </w:pPr>
            <w:r w:rsidRPr="00B52A8A">
              <w:rPr>
                <w:b/>
                <w:i/>
                <w:szCs w:val="24"/>
              </w:rPr>
              <w:t>ICW</w:t>
            </w:r>
          </w:p>
        </w:tc>
        <w:tc>
          <w:tcPr>
            <w:tcW w:w="1535" w:type="dxa"/>
          </w:tcPr>
          <w:p w:rsidR="00E12A8C" w:rsidRPr="00B52A8A" w:rsidRDefault="004965E0" w:rsidP="00222A6B">
            <w:pPr>
              <w:spacing w:after="0"/>
              <w:jc w:val="center"/>
              <w:rPr>
                <w:i/>
                <w:szCs w:val="24"/>
              </w:rPr>
            </w:pPr>
            <w:r w:rsidRPr="00B52A8A">
              <w:rPr>
                <w:i/>
                <w:szCs w:val="24"/>
              </w:rPr>
              <w:t>19,44</w:t>
            </w:r>
          </w:p>
        </w:tc>
        <w:tc>
          <w:tcPr>
            <w:tcW w:w="1535" w:type="dxa"/>
          </w:tcPr>
          <w:p w:rsidR="00E12A8C" w:rsidRPr="00B52A8A" w:rsidRDefault="004965E0" w:rsidP="00222A6B">
            <w:pPr>
              <w:spacing w:after="0"/>
              <w:jc w:val="center"/>
              <w:rPr>
                <w:i/>
                <w:szCs w:val="24"/>
              </w:rPr>
            </w:pPr>
            <w:r w:rsidRPr="00B52A8A">
              <w:rPr>
                <w:i/>
                <w:szCs w:val="24"/>
              </w:rPr>
              <w:t>15,40</w:t>
            </w:r>
          </w:p>
        </w:tc>
        <w:tc>
          <w:tcPr>
            <w:tcW w:w="1535" w:type="dxa"/>
          </w:tcPr>
          <w:p w:rsidR="00E12A8C" w:rsidRPr="00B52A8A" w:rsidRDefault="004965E0" w:rsidP="00222A6B">
            <w:pPr>
              <w:spacing w:after="0"/>
              <w:jc w:val="center"/>
              <w:rPr>
                <w:i/>
                <w:szCs w:val="24"/>
              </w:rPr>
            </w:pPr>
            <w:r w:rsidRPr="00B52A8A">
              <w:rPr>
                <w:i/>
                <w:szCs w:val="24"/>
              </w:rPr>
              <w:t>24,60</w:t>
            </w:r>
          </w:p>
        </w:tc>
        <w:tc>
          <w:tcPr>
            <w:tcW w:w="1535" w:type="dxa"/>
          </w:tcPr>
          <w:p w:rsidR="00E12A8C" w:rsidRPr="00B52A8A" w:rsidRDefault="004965E0" w:rsidP="00222A6B">
            <w:pPr>
              <w:jc w:val="center"/>
              <w:rPr>
                <w:i/>
                <w:szCs w:val="24"/>
              </w:rPr>
            </w:pPr>
            <w:r w:rsidRPr="00B52A8A">
              <w:rPr>
                <w:i/>
                <w:szCs w:val="24"/>
              </w:rPr>
              <w:t>2,08</w:t>
            </w:r>
          </w:p>
        </w:tc>
      </w:tr>
      <w:tr w:rsidR="00E12A8C" w:rsidRPr="00B52A8A" w:rsidTr="009B60C8">
        <w:trPr>
          <w:jc w:val="center"/>
        </w:trPr>
        <w:tc>
          <w:tcPr>
            <w:tcW w:w="1535" w:type="dxa"/>
          </w:tcPr>
          <w:p w:rsidR="00E12A8C" w:rsidRPr="00B52A8A" w:rsidRDefault="00E12A8C" w:rsidP="00E12A8C">
            <w:pPr>
              <w:spacing w:after="0"/>
              <w:jc w:val="left"/>
              <w:rPr>
                <w:b/>
                <w:i/>
                <w:szCs w:val="24"/>
              </w:rPr>
            </w:pPr>
            <w:r w:rsidRPr="00B52A8A">
              <w:rPr>
                <w:b/>
                <w:i/>
                <w:szCs w:val="24"/>
              </w:rPr>
              <w:t>Edema 1</w:t>
            </w:r>
          </w:p>
        </w:tc>
        <w:tc>
          <w:tcPr>
            <w:tcW w:w="1535" w:type="dxa"/>
          </w:tcPr>
          <w:p w:rsidR="00E12A8C" w:rsidRPr="00B52A8A" w:rsidRDefault="004965E0" w:rsidP="00222A6B">
            <w:pPr>
              <w:spacing w:after="0"/>
              <w:jc w:val="center"/>
              <w:rPr>
                <w:i/>
                <w:szCs w:val="24"/>
              </w:rPr>
            </w:pPr>
            <w:r w:rsidRPr="00B52A8A">
              <w:rPr>
                <w:i/>
                <w:szCs w:val="24"/>
              </w:rPr>
              <w:t>0,34</w:t>
            </w:r>
          </w:p>
        </w:tc>
        <w:tc>
          <w:tcPr>
            <w:tcW w:w="1535" w:type="dxa"/>
          </w:tcPr>
          <w:p w:rsidR="00E12A8C" w:rsidRPr="00B52A8A" w:rsidRDefault="004965E0" w:rsidP="00222A6B">
            <w:pPr>
              <w:spacing w:after="0"/>
              <w:jc w:val="center"/>
              <w:rPr>
                <w:i/>
                <w:szCs w:val="24"/>
              </w:rPr>
            </w:pPr>
            <w:r w:rsidRPr="00B52A8A">
              <w:rPr>
                <w:i/>
                <w:szCs w:val="24"/>
              </w:rPr>
              <w:t>0,33</w:t>
            </w:r>
          </w:p>
        </w:tc>
        <w:tc>
          <w:tcPr>
            <w:tcW w:w="1535" w:type="dxa"/>
          </w:tcPr>
          <w:p w:rsidR="00E12A8C" w:rsidRPr="00B52A8A" w:rsidRDefault="004965E0" w:rsidP="00222A6B">
            <w:pPr>
              <w:spacing w:after="0"/>
              <w:jc w:val="center"/>
              <w:rPr>
                <w:i/>
                <w:szCs w:val="24"/>
              </w:rPr>
            </w:pPr>
            <w:r w:rsidRPr="00B52A8A">
              <w:rPr>
                <w:i/>
                <w:szCs w:val="24"/>
              </w:rPr>
              <w:t>0,35</w:t>
            </w:r>
          </w:p>
        </w:tc>
        <w:tc>
          <w:tcPr>
            <w:tcW w:w="1535" w:type="dxa"/>
          </w:tcPr>
          <w:p w:rsidR="00E12A8C" w:rsidRPr="00B52A8A" w:rsidRDefault="004965E0" w:rsidP="00222A6B">
            <w:pPr>
              <w:jc w:val="center"/>
              <w:rPr>
                <w:i/>
                <w:szCs w:val="24"/>
              </w:rPr>
            </w:pPr>
            <w:r w:rsidRPr="00B52A8A">
              <w:rPr>
                <w:i/>
                <w:szCs w:val="24"/>
              </w:rPr>
              <w:t>0,01</w:t>
            </w:r>
          </w:p>
        </w:tc>
      </w:tr>
      <w:tr w:rsidR="00E12A8C" w:rsidRPr="00B52A8A" w:rsidTr="009B60C8">
        <w:trPr>
          <w:jc w:val="center"/>
        </w:trPr>
        <w:tc>
          <w:tcPr>
            <w:tcW w:w="1535" w:type="dxa"/>
          </w:tcPr>
          <w:p w:rsidR="00E12A8C" w:rsidRPr="00B52A8A" w:rsidRDefault="00E12A8C" w:rsidP="00E12A8C">
            <w:pPr>
              <w:spacing w:after="0"/>
              <w:jc w:val="left"/>
              <w:rPr>
                <w:b/>
                <w:i/>
                <w:szCs w:val="24"/>
              </w:rPr>
            </w:pPr>
            <w:r w:rsidRPr="00B52A8A">
              <w:rPr>
                <w:b/>
                <w:i/>
                <w:szCs w:val="24"/>
              </w:rPr>
              <w:t>FFM</w:t>
            </w:r>
          </w:p>
        </w:tc>
        <w:tc>
          <w:tcPr>
            <w:tcW w:w="1535" w:type="dxa"/>
          </w:tcPr>
          <w:p w:rsidR="00E12A8C" w:rsidRPr="00B52A8A" w:rsidRDefault="004965E0" w:rsidP="00A03605">
            <w:pPr>
              <w:spacing w:after="0"/>
              <w:jc w:val="center"/>
              <w:rPr>
                <w:i/>
                <w:szCs w:val="24"/>
              </w:rPr>
            </w:pPr>
            <w:r w:rsidRPr="00B52A8A">
              <w:rPr>
                <w:i/>
                <w:szCs w:val="24"/>
              </w:rPr>
              <w:t>43,10</w:t>
            </w:r>
          </w:p>
        </w:tc>
        <w:tc>
          <w:tcPr>
            <w:tcW w:w="1535" w:type="dxa"/>
          </w:tcPr>
          <w:p w:rsidR="00E12A8C" w:rsidRPr="00B52A8A" w:rsidRDefault="004965E0" w:rsidP="00A03605">
            <w:pPr>
              <w:spacing w:after="0"/>
              <w:jc w:val="center"/>
              <w:rPr>
                <w:i/>
                <w:szCs w:val="24"/>
              </w:rPr>
            </w:pPr>
            <w:r w:rsidRPr="00B52A8A">
              <w:rPr>
                <w:i/>
                <w:szCs w:val="24"/>
              </w:rPr>
              <w:t>33,60</w:t>
            </w:r>
          </w:p>
        </w:tc>
        <w:tc>
          <w:tcPr>
            <w:tcW w:w="1535" w:type="dxa"/>
          </w:tcPr>
          <w:p w:rsidR="00E12A8C" w:rsidRPr="00B52A8A" w:rsidRDefault="004965E0" w:rsidP="00A03605">
            <w:pPr>
              <w:spacing w:after="0"/>
              <w:jc w:val="center"/>
              <w:rPr>
                <w:i/>
                <w:szCs w:val="24"/>
              </w:rPr>
            </w:pPr>
            <w:r w:rsidRPr="00B52A8A">
              <w:rPr>
                <w:i/>
                <w:szCs w:val="24"/>
              </w:rPr>
              <w:t>54,90</w:t>
            </w:r>
          </w:p>
        </w:tc>
        <w:tc>
          <w:tcPr>
            <w:tcW w:w="1535" w:type="dxa"/>
          </w:tcPr>
          <w:p w:rsidR="00E12A8C" w:rsidRPr="00B52A8A" w:rsidRDefault="004965E0" w:rsidP="00A03605">
            <w:pPr>
              <w:jc w:val="center"/>
              <w:rPr>
                <w:i/>
                <w:szCs w:val="24"/>
              </w:rPr>
            </w:pPr>
            <w:r w:rsidRPr="00B52A8A">
              <w:rPr>
                <w:i/>
                <w:szCs w:val="24"/>
              </w:rPr>
              <w:t>4,66</w:t>
            </w:r>
          </w:p>
        </w:tc>
      </w:tr>
      <w:tr w:rsidR="00E12A8C" w:rsidRPr="00B52A8A" w:rsidTr="009B60C8">
        <w:trPr>
          <w:jc w:val="center"/>
        </w:trPr>
        <w:tc>
          <w:tcPr>
            <w:tcW w:w="1535" w:type="dxa"/>
          </w:tcPr>
          <w:p w:rsidR="00E12A8C" w:rsidRPr="00B52A8A" w:rsidRDefault="00E12A8C" w:rsidP="00E12A8C">
            <w:pPr>
              <w:spacing w:after="0"/>
              <w:jc w:val="left"/>
              <w:rPr>
                <w:b/>
                <w:i/>
                <w:szCs w:val="24"/>
              </w:rPr>
            </w:pPr>
            <w:r w:rsidRPr="00B52A8A">
              <w:rPr>
                <w:b/>
                <w:i/>
                <w:szCs w:val="24"/>
              </w:rPr>
              <w:t>BFM</w:t>
            </w:r>
          </w:p>
        </w:tc>
        <w:tc>
          <w:tcPr>
            <w:tcW w:w="1535" w:type="dxa"/>
          </w:tcPr>
          <w:p w:rsidR="00E12A8C" w:rsidRPr="00B52A8A" w:rsidRDefault="004965E0" w:rsidP="00A03605">
            <w:pPr>
              <w:spacing w:after="0"/>
              <w:jc w:val="center"/>
              <w:rPr>
                <w:i/>
                <w:color w:val="auto"/>
                <w:szCs w:val="24"/>
              </w:rPr>
            </w:pPr>
            <w:r w:rsidRPr="00B52A8A">
              <w:rPr>
                <w:i/>
                <w:color w:val="auto"/>
                <w:szCs w:val="24"/>
              </w:rPr>
              <w:t>27,22</w:t>
            </w:r>
          </w:p>
        </w:tc>
        <w:tc>
          <w:tcPr>
            <w:tcW w:w="1535" w:type="dxa"/>
          </w:tcPr>
          <w:p w:rsidR="00E12A8C" w:rsidRPr="00B52A8A" w:rsidRDefault="004965E0" w:rsidP="00A03605">
            <w:pPr>
              <w:spacing w:after="0"/>
              <w:jc w:val="center"/>
              <w:rPr>
                <w:i/>
                <w:color w:val="auto"/>
                <w:szCs w:val="24"/>
              </w:rPr>
            </w:pPr>
            <w:r w:rsidRPr="00B52A8A">
              <w:rPr>
                <w:i/>
                <w:color w:val="auto"/>
                <w:szCs w:val="24"/>
              </w:rPr>
              <w:t>6,60</w:t>
            </w:r>
          </w:p>
        </w:tc>
        <w:tc>
          <w:tcPr>
            <w:tcW w:w="1535" w:type="dxa"/>
          </w:tcPr>
          <w:p w:rsidR="00E12A8C" w:rsidRPr="00B52A8A" w:rsidRDefault="004965E0" w:rsidP="00A03605">
            <w:pPr>
              <w:spacing w:after="0"/>
              <w:jc w:val="center"/>
              <w:rPr>
                <w:i/>
                <w:color w:val="auto"/>
                <w:szCs w:val="24"/>
              </w:rPr>
            </w:pPr>
            <w:r w:rsidRPr="00B52A8A">
              <w:rPr>
                <w:i/>
                <w:color w:val="auto"/>
                <w:szCs w:val="24"/>
              </w:rPr>
              <w:t>54</w:t>
            </w:r>
            <w:r w:rsidR="00E12A8C" w:rsidRPr="00B52A8A">
              <w:rPr>
                <w:i/>
                <w:color w:val="auto"/>
                <w:szCs w:val="24"/>
              </w:rPr>
              <w:t>,00</w:t>
            </w:r>
          </w:p>
        </w:tc>
        <w:tc>
          <w:tcPr>
            <w:tcW w:w="1535" w:type="dxa"/>
          </w:tcPr>
          <w:p w:rsidR="00E12A8C" w:rsidRPr="00B52A8A" w:rsidRDefault="004965E0" w:rsidP="00A03605">
            <w:pPr>
              <w:jc w:val="center"/>
              <w:rPr>
                <w:i/>
                <w:color w:val="auto"/>
                <w:szCs w:val="24"/>
              </w:rPr>
            </w:pPr>
            <w:r w:rsidRPr="00B52A8A">
              <w:rPr>
                <w:i/>
                <w:color w:val="auto"/>
                <w:szCs w:val="24"/>
              </w:rPr>
              <w:t>8,99</w:t>
            </w:r>
          </w:p>
        </w:tc>
      </w:tr>
      <w:tr w:rsidR="00E12A8C" w:rsidRPr="00B52A8A" w:rsidTr="009B60C8">
        <w:trPr>
          <w:jc w:val="center"/>
        </w:trPr>
        <w:tc>
          <w:tcPr>
            <w:tcW w:w="1535" w:type="dxa"/>
          </w:tcPr>
          <w:p w:rsidR="00E12A8C" w:rsidRPr="00B52A8A" w:rsidRDefault="00E12A8C" w:rsidP="00E12A8C">
            <w:pPr>
              <w:spacing w:after="0"/>
              <w:jc w:val="left"/>
              <w:rPr>
                <w:b/>
                <w:i/>
                <w:szCs w:val="24"/>
              </w:rPr>
            </w:pPr>
            <w:r w:rsidRPr="00B52A8A">
              <w:rPr>
                <w:b/>
                <w:i/>
                <w:szCs w:val="24"/>
              </w:rPr>
              <w:t>% BF</w:t>
            </w:r>
          </w:p>
        </w:tc>
        <w:tc>
          <w:tcPr>
            <w:tcW w:w="1535" w:type="dxa"/>
          </w:tcPr>
          <w:p w:rsidR="00E12A8C" w:rsidRPr="00B52A8A" w:rsidRDefault="004965E0" w:rsidP="00A03605">
            <w:pPr>
              <w:spacing w:after="0"/>
              <w:jc w:val="center"/>
              <w:rPr>
                <w:i/>
                <w:szCs w:val="24"/>
              </w:rPr>
            </w:pPr>
            <w:r w:rsidRPr="00B52A8A">
              <w:rPr>
                <w:i/>
                <w:szCs w:val="24"/>
              </w:rPr>
              <w:t>37,81</w:t>
            </w:r>
          </w:p>
        </w:tc>
        <w:tc>
          <w:tcPr>
            <w:tcW w:w="1535" w:type="dxa"/>
          </w:tcPr>
          <w:p w:rsidR="00E12A8C" w:rsidRPr="00B52A8A" w:rsidRDefault="004965E0" w:rsidP="00A03605">
            <w:pPr>
              <w:spacing w:after="0"/>
              <w:jc w:val="center"/>
              <w:rPr>
                <w:i/>
                <w:szCs w:val="24"/>
              </w:rPr>
            </w:pPr>
            <w:r w:rsidRPr="00B52A8A">
              <w:rPr>
                <w:i/>
                <w:szCs w:val="24"/>
              </w:rPr>
              <w:t>14,8</w:t>
            </w:r>
            <w:r w:rsidR="00E12A8C" w:rsidRPr="00B52A8A">
              <w:rPr>
                <w:i/>
                <w:szCs w:val="24"/>
              </w:rPr>
              <w:t>0</w:t>
            </w:r>
          </w:p>
        </w:tc>
        <w:tc>
          <w:tcPr>
            <w:tcW w:w="1535" w:type="dxa"/>
          </w:tcPr>
          <w:p w:rsidR="00E12A8C" w:rsidRPr="00B52A8A" w:rsidRDefault="004965E0" w:rsidP="00A03605">
            <w:pPr>
              <w:spacing w:after="0"/>
              <w:jc w:val="center"/>
              <w:rPr>
                <w:i/>
                <w:szCs w:val="24"/>
              </w:rPr>
            </w:pPr>
            <w:r w:rsidRPr="00B52A8A">
              <w:rPr>
                <w:i/>
                <w:szCs w:val="24"/>
              </w:rPr>
              <w:t>50,82</w:t>
            </w:r>
          </w:p>
        </w:tc>
        <w:tc>
          <w:tcPr>
            <w:tcW w:w="1535" w:type="dxa"/>
          </w:tcPr>
          <w:p w:rsidR="00E12A8C" w:rsidRPr="00B52A8A" w:rsidRDefault="004965E0" w:rsidP="00A03605">
            <w:pPr>
              <w:jc w:val="center"/>
              <w:rPr>
                <w:i/>
                <w:szCs w:val="24"/>
              </w:rPr>
            </w:pPr>
            <w:r w:rsidRPr="00B52A8A">
              <w:rPr>
                <w:i/>
                <w:szCs w:val="24"/>
              </w:rPr>
              <w:t>6,91</w:t>
            </w:r>
          </w:p>
        </w:tc>
      </w:tr>
    </w:tbl>
    <w:p w:rsidR="006F324E" w:rsidRPr="00B52A8A" w:rsidRDefault="009B60C8" w:rsidP="000360A8">
      <w:pPr>
        <w:pStyle w:val="P-popisobr"/>
        <w:spacing w:before="240" w:after="0"/>
        <w:ind w:firstLine="0"/>
        <w:jc w:val="left"/>
        <w:rPr>
          <w:sz w:val="16"/>
          <w:szCs w:val="16"/>
        </w:rPr>
      </w:pPr>
      <w:r w:rsidRPr="00B52A8A">
        <w:rPr>
          <w:sz w:val="16"/>
          <w:szCs w:val="16"/>
        </w:rPr>
        <w:t xml:space="preserve">        </w:t>
      </w:r>
      <w:r w:rsidR="00581919" w:rsidRPr="00B52A8A">
        <w:rPr>
          <w:sz w:val="16"/>
          <w:szCs w:val="16"/>
        </w:rPr>
        <w:t xml:space="preserve">Vysvětlivky:    </w:t>
      </w:r>
      <w:proofErr w:type="gramStart"/>
      <w:r w:rsidR="000524BF" w:rsidRPr="00B52A8A">
        <w:rPr>
          <w:sz w:val="16"/>
          <w:szCs w:val="16"/>
        </w:rPr>
        <w:t xml:space="preserve">M      </w:t>
      </w:r>
      <w:r w:rsidR="00581919" w:rsidRPr="00B52A8A">
        <w:rPr>
          <w:sz w:val="16"/>
          <w:szCs w:val="16"/>
        </w:rPr>
        <w:t xml:space="preserve">       </w:t>
      </w:r>
      <w:r w:rsidR="00581919" w:rsidRPr="00B52A8A">
        <w:rPr>
          <w:i w:val="0"/>
          <w:sz w:val="16"/>
          <w:szCs w:val="16"/>
        </w:rPr>
        <w:t>–</w:t>
      </w:r>
      <w:r w:rsidRPr="00B52A8A">
        <w:rPr>
          <w:sz w:val="16"/>
          <w:szCs w:val="16"/>
        </w:rPr>
        <w:t xml:space="preserve"> aritmetický</w:t>
      </w:r>
      <w:proofErr w:type="gramEnd"/>
      <w:r w:rsidRPr="00B52A8A">
        <w:rPr>
          <w:sz w:val="16"/>
          <w:szCs w:val="16"/>
        </w:rPr>
        <w:t xml:space="preserve"> průměr</w:t>
      </w:r>
      <w:r w:rsidRPr="00B52A8A">
        <w:rPr>
          <w:sz w:val="16"/>
          <w:szCs w:val="16"/>
        </w:rPr>
        <w:tab/>
        <w:t xml:space="preserve">           </w:t>
      </w:r>
      <w:r w:rsidR="006F324E" w:rsidRPr="00B52A8A">
        <w:rPr>
          <w:sz w:val="16"/>
          <w:szCs w:val="16"/>
        </w:rPr>
        <w:t xml:space="preserve">Edema 1   </w:t>
      </w:r>
      <w:r w:rsidR="006F324E" w:rsidRPr="00B52A8A">
        <w:rPr>
          <w:i w:val="0"/>
          <w:sz w:val="16"/>
          <w:szCs w:val="16"/>
        </w:rPr>
        <w:t>–</w:t>
      </w:r>
      <w:r w:rsidR="006F324E" w:rsidRPr="00B52A8A">
        <w:rPr>
          <w:sz w:val="16"/>
          <w:szCs w:val="16"/>
        </w:rPr>
        <w:t xml:space="preserve"> otok</w:t>
      </w:r>
    </w:p>
    <w:p w:rsidR="000360A8" w:rsidRPr="00B52A8A" w:rsidRDefault="00581919" w:rsidP="000360A8">
      <w:pPr>
        <w:pStyle w:val="P-popisobr"/>
        <w:spacing w:after="0"/>
        <w:ind w:firstLine="0"/>
        <w:jc w:val="left"/>
        <w:rPr>
          <w:sz w:val="16"/>
          <w:szCs w:val="16"/>
        </w:rPr>
      </w:pPr>
      <w:r w:rsidRPr="00B52A8A">
        <w:rPr>
          <w:sz w:val="16"/>
          <w:szCs w:val="16"/>
        </w:rPr>
        <w:t xml:space="preserve"> </w:t>
      </w:r>
      <w:r w:rsidR="006F324E" w:rsidRPr="00B52A8A">
        <w:rPr>
          <w:sz w:val="16"/>
          <w:szCs w:val="16"/>
        </w:rPr>
        <w:tab/>
        <w:t xml:space="preserve">       </w:t>
      </w:r>
      <w:r w:rsidR="009B60C8" w:rsidRPr="00B52A8A">
        <w:rPr>
          <w:sz w:val="16"/>
          <w:szCs w:val="16"/>
        </w:rPr>
        <w:t xml:space="preserve">        </w:t>
      </w:r>
      <w:r w:rsidR="006F324E" w:rsidRPr="00B52A8A">
        <w:rPr>
          <w:sz w:val="16"/>
          <w:szCs w:val="16"/>
        </w:rPr>
        <w:t xml:space="preserve"> </w:t>
      </w:r>
      <w:r w:rsidRPr="00B52A8A">
        <w:rPr>
          <w:sz w:val="16"/>
          <w:szCs w:val="16"/>
        </w:rPr>
        <w:t xml:space="preserve"> </w:t>
      </w:r>
      <w:proofErr w:type="gramStart"/>
      <w:r w:rsidRPr="00B52A8A">
        <w:rPr>
          <w:sz w:val="16"/>
          <w:szCs w:val="16"/>
        </w:rPr>
        <w:t xml:space="preserve">SD           </w:t>
      </w:r>
      <w:r w:rsidRPr="00B52A8A">
        <w:rPr>
          <w:i w:val="0"/>
          <w:sz w:val="16"/>
          <w:szCs w:val="16"/>
        </w:rPr>
        <w:t>–</w:t>
      </w:r>
      <w:r w:rsidR="000360A8" w:rsidRPr="00B52A8A">
        <w:rPr>
          <w:sz w:val="16"/>
          <w:szCs w:val="16"/>
        </w:rPr>
        <w:t xml:space="preserve"> směrodatná</w:t>
      </w:r>
      <w:proofErr w:type="gramEnd"/>
      <w:r w:rsidR="000360A8" w:rsidRPr="00B52A8A">
        <w:rPr>
          <w:sz w:val="16"/>
          <w:szCs w:val="16"/>
        </w:rPr>
        <w:t xml:space="preserve"> odchylka</w:t>
      </w:r>
      <w:r w:rsidR="000524BF" w:rsidRPr="00B52A8A">
        <w:rPr>
          <w:sz w:val="16"/>
          <w:szCs w:val="16"/>
        </w:rPr>
        <w:tab/>
        <w:t xml:space="preserve">    </w:t>
      </w:r>
      <w:r w:rsidR="009B60C8" w:rsidRPr="00B52A8A">
        <w:rPr>
          <w:sz w:val="16"/>
          <w:szCs w:val="16"/>
        </w:rPr>
        <w:t xml:space="preserve">       </w:t>
      </w:r>
      <w:r w:rsidR="006F324E" w:rsidRPr="00B52A8A">
        <w:rPr>
          <w:sz w:val="16"/>
          <w:szCs w:val="16"/>
        </w:rPr>
        <w:t xml:space="preserve">FFM          </w:t>
      </w:r>
      <w:r w:rsidR="006F324E" w:rsidRPr="00B52A8A">
        <w:rPr>
          <w:i w:val="0"/>
          <w:sz w:val="16"/>
          <w:szCs w:val="16"/>
        </w:rPr>
        <w:t xml:space="preserve">– </w:t>
      </w:r>
      <w:r w:rsidR="006F324E" w:rsidRPr="00B52A8A">
        <w:rPr>
          <w:sz w:val="16"/>
          <w:szCs w:val="16"/>
        </w:rPr>
        <w:t xml:space="preserve"> tukuprostá hmota</w:t>
      </w:r>
      <w:r w:rsidR="000360A8" w:rsidRPr="00B52A8A">
        <w:rPr>
          <w:sz w:val="16"/>
          <w:szCs w:val="16"/>
        </w:rPr>
        <w:tab/>
      </w:r>
      <w:r w:rsidR="000360A8" w:rsidRPr="00B52A8A">
        <w:rPr>
          <w:sz w:val="16"/>
          <w:szCs w:val="16"/>
        </w:rPr>
        <w:tab/>
      </w:r>
    </w:p>
    <w:p w:rsidR="000360A8" w:rsidRPr="00B52A8A" w:rsidRDefault="000360A8" w:rsidP="000360A8">
      <w:pPr>
        <w:pStyle w:val="P-popisobr"/>
        <w:spacing w:after="0"/>
        <w:ind w:firstLine="0"/>
        <w:jc w:val="left"/>
        <w:rPr>
          <w:sz w:val="16"/>
          <w:szCs w:val="16"/>
        </w:rPr>
      </w:pPr>
      <w:r w:rsidRPr="00B52A8A">
        <w:rPr>
          <w:sz w:val="16"/>
          <w:szCs w:val="16"/>
        </w:rPr>
        <w:t xml:space="preserve">  </w:t>
      </w:r>
      <w:r w:rsidR="00581919" w:rsidRPr="00B52A8A">
        <w:rPr>
          <w:sz w:val="16"/>
          <w:szCs w:val="16"/>
        </w:rPr>
        <w:t xml:space="preserve">                     </w:t>
      </w:r>
      <w:r w:rsidR="009B60C8" w:rsidRPr="00B52A8A">
        <w:rPr>
          <w:sz w:val="16"/>
          <w:szCs w:val="16"/>
        </w:rPr>
        <w:t xml:space="preserve">        </w:t>
      </w:r>
      <w:r w:rsidR="00581919" w:rsidRPr="00B52A8A">
        <w:rPr>
          <w:sz w:val="16"/>
          <w:szCs w:val="16"/>
        </w:rPr>
        <w:t xml:space="preserve">TBW         </w:t>
      </w:r>
      <w:r w:rsidR="00581919" w:rsidRPr="00B52A8A">
        <w:rPr>
          <w:i w:val="0"/>
          <w:sz w:val="16"/>
          <w:szCs w:val="16"/>
        </w:rPr>
        <w:t>–</w:t>
      </w:r>
      <w:r w:rsidRPr="00B52A8A">
        <w:rPr>
          <w:sz w:val="16"/>
          <w:szCs w:val="16"/>
        </w:rPr>
        <w:t xml:space="preserve"> celková tělesná voa</w:t>
      </w:r>
      <w:r w:rsidR="009B60C8" w:rsidRPr="00B52A8A">
        <w:rPr>
          <w:sz w:val="16"/>
          <w:szCs w:val="16"/>
        </w:rPr>
        <w:tab/>
        <w:t xml:space="preserve">          </w:t>
      </w:r>
      <w:r w:rsidR="006F324E" w:rsidRPr="00B52A8A">
        <w:rPr>
          <w:sz w:val="16"/>
          <w:szCs w:val="16"/>
        </w:rPr>
        <w:t xml:space="preserve">BFM          </w:t>
      </w:r>
      <w:r w:rsidR="006F324E" w:rsidRPr="00B52A8A">
        <w:rPr>
          <w:i w:val="0"/>
          <w:sz w:val="16"/>
          <w:szCs w:val="16"/>
        </w:rPr>
        <w:t xml:space="preserve">– </w:t>
      </w:r>
      <w:r w:rsidR="006F324E" w:rsidRPr="00B52A8A">
        <w:rPr>
          <w:sz w:val="16"/>
          <w:szCs w:val="16"/>
        </w:rPr>
        <w:t>tuková hmota</w:t>
      </w:r>
    </w:p>
    <w:p w:rsidR="000360A8" w:rsidRPr="00B52A8A" w:rsidRDefault="00581919" w:rsidP="000360A8">
      <w:pPr>
        <w:pStyle w:val="P-popisobr"/>
        <w:spacing w:after="0"/>
        <w:jc w:val="left"/>
        <w:rPr>
          <w:sz w:val="16"/>
          <w:szCs w:val="16"/>
        </w:rPr>
      </w:pPr>
      <w:r w:rsidRPr="00B52A8A">
        <w:rPr>
          <w:sz w:val="16"/>
          <w:szCs w:val="16"/>
        </w:rPr>
        <w:t xml:space="preserve">       </w:t>
      </w:r>
      <w:r w:rsidR="009B60C8" w:rsidRPr="00B52A8A">
        <w:rPr>
          <w:sz w:val="16"/>
          <w:szCs w:val="16"/>
        </w:rPr>
        <w:t xml:space="preserve">        </w:t>
      </w:r>
      <w:r w:rsidRPr="00B52A8A">
        <w:rPr>
          <w:sz w:val="16"/>
          <w:szCs w:val="16"/>
        </w:rPr>
        <w:t xml:space="preserve"> ECW         </w:t>
      </w:r>
      <w:r w:rsidRPr="00B52A8A">
        <w:rPr>
          <w:i w:val="0"/>
          <w:sz w:val="16"/>
          <w:szCs w:val="16"/>
        </w:rPr>
        <w:t xml:space="preserve">– </w:t>
      </w:r>
      <w:r w:rsidR="000360A8" w:rsidRPr="00B52A8A">
        <w:rPr>
          <w:sz w:val="16"/>
          <w:szCs w:val="16"/>
        </w:rPr>
        <w:t>ex</w:t>
      </w:r>
      <w:r w:rsidR="000524BF" w:rsidRPr="00B52A8A">
        <w:rPr>
          <w:sz w:val="16"/>
          <w:szCs w:val="16"/>
        </w:rPr>
        <w:t>tracelulární voda</w:t>
      </w:r>
      <w:r w:rsidR="009B60C8" w:rsidRPr="00B52A8A">
        <w:rPr>
          <w:sz w:val="16"/>
          <w:szCs w:val="16"/>
        </w:rPr>
        <w:tab/>
        <w:t xml:space="preserve">          </w:t>
      </w:r>
      <w:r w:rsidR="006F324E" w:rsidRPr="00B52A8A">
        <w:rPr>
          <w:sz w:val="16"/>
          <w:szCs w:val="16"/>
        </w:rPr>
        <w:t xml:space="preserve">% BF         </w:t>
      </w:r>
      <w:r w:rsidR="006F324E" w:rsidRPr="00B52A8A">
        <w:rPr>
          <w:i w:val="0"/>
          <w:sz w:val="16"/>
          <w:szCs w:val="16"/>
        </w:rPr>
        <w:t>–</w:t>
      </w:r>
      <w:r w:rsidR="006F324E" w:rsidRPr="00B52A8A">
        <w:rPr>
          <w:sz w:val="16"/>
          <w:szCs w:val="16"/>
        </w:rPr>
        <w:t xml:space="preserve"> procentuální vyjádření tukové hmoty</w:t>
      </w:r>
      <w:r w:rsidR="000524BF" w:rsidRPr="00B52A8A">
        <w:rPr>
          <w:sz w:val="16"/>
          <w:szCs w:val="16"/>
        </w:rPr>
        <w:br/>
      </w:r>
      <w:r w:rsidRPr="00B52A8A">
        <w:rPr>
          <w:sz w:val="16"/>
          <w:szCs w:val="16"/>
        </w:rPr>
        <w:tab/>
        <w:t xml:space="preserve">    </w:t>
      </w:r>
      <w:r w:rsidR="009B60C8" w:rsidRPr="00B52A8A">
        <w:rPr>
          <w:sz w:val="16"/>
          <w:szCs w:val="16"/>
        </w:rPr>
        <w:t xml:space="preserve">        </w:t>
      </w:r>
      <w:r w:rsidRPr="00B52A8A">
        <w:rPr>
          <w:sz w:val="16"/>
          <w:szCs w:val="16"/>
        </w:rPr>
        <w:t xml:space="preserve">    ICW          </w:t>
      </w:r>
      <w:r w:rsidRPr="00B52A8A">
        <w:rPr>
          <w:i w:val="0"/>
          <w:sz w:val="16"/>
          <w:szCs w:val="16"/>
        </w:rPr>
        <w:t>–</w:t>
      </w:r>
      <w:r w:rsidR="000360A8" w:rsidRPr="00B52A8A">
        <w:rPr>
          <w:sz w:val="16"/>
          <w:szCs w:val="16"/>
        </w:rPr>
        <w:t xml:space="preserve"> i</w:t>
      </w:r>
      <w:r w:rsidRPr="00B52A8A">
        <w:rPr>
          <w:sz w:val="16"/>
          <w:szCs w:val="16"/>
        </w:rPr>
        <w:t>ntracelulární voda</w:t>
      </w:r>
      <w:r w:rsidRPr="00B52A8A">
        <w:rPr>
          <w:sz w:val="16"/>
          <w:szCs w:val="16"/>
        </w:rPr>
        <w:tab/>
      </w:r>
      <w:r w:rsidRPr="00B52A8A">
        <w:rPr>
          <w:sz w:val="16"/>
          <w:szCs w:val="16"/>
        </w:rPr>
        <w:tab/>
      </w:r>
      <w:r w:rsidRPr="00B52A8A">
        <w:rPr>
          <w:sz w:val="16"/>
          <w:szCs w:val="16"/>
        </w:rPr>
        <w:tab/>
      </w:r>
    </w:p>
    <w:p w:rsidR="000524BF" w:rsidRPr="00B52A8A" w:rsidRDefault="00581919" w:rsidP="000360A8">
      <w:pPr>
        <w:pStyle w:val="P-popisobr"/>
        <w:spacing w:after="0"/>
        <w:jc w:val="left"/>
        <w:rPr>
          <w:sz w:val="16"/>
          <w:szCs w:val="16"/>
        </w:rPr>
      </w:pPr>
      <w:r w:rsidRPr="00B52A8A">
        <w:rPr>
          <w:sz w:val="16"/>
          <w:szCs w:val="16"/>
        </w:rPr>
        <w:t xml:space="preserve">        </w:t>
      </w:r>
    </w:p>
    <w:p w:rsidR="000360A8" w:rsidRPr="00B52A8A" w:rsidRDefault="000360A8" w:rsidP="000360A8">
      <w:pPr>
        <w:pStyle w:val="P-popisobr"/>
        <w:spacing w:after="0"/>
        <w:jc w:val="left"/>
        <w:rPr>
          <w:i w:val="0"/>
          <w:sz w:val="16"/>
          <w:szCs w:val="16"/>
        </w:rPr>
      </w:pPr>
    </w:p>
    <w:p w:rsidR="00274C60" w:rsidRPr="00B52A8A" w:rsidRDefault="009871A8" w:rsidP="009B60C8">
      <w:pPr>
        <w:spacing w:after="0"/>
        <w:ind w:firstLine="284"/>
        <w:rPr>
          <w:szCs w:val="24"/>
        </w:rPr>
      </w:pPr>
      <w:r w:rsidRPr="00B52A8A">
        <w:rPr>
          <w:szCs w:val="24"/>
        </w:rPr>
        <w:t xml:space="preserve">InBody 720 nám </w:t>
      </w:r>
      <w:r w:rsidR="00B128C8" w:rsidRPr="00B52A8A">
        <w:rPr>
          <w:szCs w:val="24"/>
        </w:rPr>
        <w:t xml:space="preserve">kromě </w:t>
      </w:r>
      <w:r w:rsidR="00B128C8" w:rsidRPr="00B52A8A">
        <w:rPr>
          <w:b/>
          <w:szCs w:val="24"/>
        </w:rPr>
        <w:t>TBW</w:t>
      </w:r>
      <w:r w:rsidR="00693ADC" w:rsidRPr="00B52A8A">
        <w:rPr>
          <w:szCs w:val="24"/>
        </w:rPr>
        <w:t>, jejíž hodnota byla 31,67 ℓ což při průměrné hmotnosti 70,33 kg odpovídá asi 45 % zastoupení TBW,</w:t>
      </w:r>
      <w:r w:rsidR="00B128C8" w:rsidRPr="00B52A8A">
        <w:rPr>
          <w:szCs w:val="24"/>
        </w:rPr>
        <w:t xml:space="preserve"> </w:t>
      </w:r>
      <w:r w:rsidRPr="00B52A8A">
        <w:rPr>
          <w:szCs w:val="24"/>
        </w:rPr>
        <w:t xml:space="preserve">navíc poskytuje množství vody extracelulární a intracelulární. </w:t>
      </w:r>
      <w:r w:rsidR="00B25C04" w:rsidRPr="00B52A8A">
        <w:t>K vyššímu zastoupení tukové frakce mají ženy nižší podíl vody. ECW u žen vytváří 21</w:t>
      </w:r>
      <w:r w:rsidR="004C7C91" w:rsidRPr="00B52A8A">
        <w:t xml:space="preserve"> </w:t>
      </w:r>
      <w:r w:rsidR="00B25C04" w:rsidRPr="00B52A8A">
        <w:t>% a 32 % ICW</w:t>
      </w:r>
      <w:r w:rsidR="00B25C04" w:rsidRPr="00B52A8A">
        <w:tab/>
        <w:t xml:space="preserve"> (Rokyta et al., 2000).</w:t>
      </w:r>
    </w:p>
    <w:p w:rsidR="0079466A" w:rsidRPr="00B52A8A" w:rsidRDefault="00D33A47" w:rsidP="009B60C8">
      <w:pPr>
        <w:spacing w:after="0"/>
        <w:ind w:firstLine="284"/>
        <w:rPr>
          <w:szCs w:val="24"/>
        </w:rPr>
      </w:pPr>
      <w:r w:rsidRPr="00B52A8A">
        <w:rPr>
          <w:szCs w:val="24"/>
        </w:rPr>
        <w:t xml:space="preserve">Referenční hodnoty pro </w:t>
      </w:r>
      <w:r w:rsidRPr="00B52A8A">
        <w:rPr>
          <w:b/>
          <w:szCs w:val="24"/>
        </w:rPr>
        <w:t xml:space="preserve">ECW </w:t>
      </w:r>
      <w:r w:rsidRPr="00B52A8A">
        <w:rPr>
          <w:szCs w:val="24"/>
        </w:rPr>
        <w:t>jsou 12,1 – 14,7 ℓ. Prů</w:t>
      </w:r>
      <w:r w:rsidR="00B25C04" w:rsidRPr="00B52A8A">
        <w:rPr>
          <w:szCs w:val="24"/>
        </w:rPr>
        <w:t xml:space="preserve">měrná hodnota dosáhla 12,23 ℓ. Hodnota se pohybuje u spodní hranice normy. Procentuální vypočítaná hodnota ukazuje </w:t>
      </w:r>
      <w:r w:rsidRPr="00B52A8A">
        <w:rPr>
          <w:szCs w:val="24"/>
        </w:rPr>
        <w:t>nižší zastoupení vody v organismu, které odpovídá dle hmotnosti p</w:t>
      </w:r>
      <w:r w:rsidR="00B25C04" w:rsidRPr="00B52A8A">
        <w:rPr>
          <w:szCs w:val="24"/>
        </w:rPr>
        <w:t>robandů asi 17 % z průměrných 21</w:t>
      </w:r>
      <w:r w:rsidRPr="00B52A8A">
        <w:rPr>
          <w:szCs w:val="24"/>
        </w:rPr>
        <w:t xml:space="preserve"> % ECW. Minimální naměřená hodnota byla 9,41 ℓ. Maximální hodnota dosáhla </w:t>
      </w:r>
      <w:r w:rsidR="0079466A" w:rsidRPr="00B52A8A">
        <w:rPr>
          <w:szCs w:val="24"/>
        </w:rPr>
        <w:t>16,00</w:t>
      </w:r>
      <w:r w:rsidR="009871A8" w:rsidRPr="00B52A8A">
        <w:rPr>
          <w:szCs w:val="24"/>
        </w:rPr>
        <w:t xml:space="preserve"> ℓ</w:t>
      </w:r>
      <w:r w:rsidR="0079466A" w:rsidRPr="00B52A8A">
        <w:rPr>
          <w:szCs w:val="24"/>
        </w:rPr>
        <w:t>.</w:t>
      </w:r>
      <w:r w:rsidR="006F324E" w:rsidRPr="00B52A8A">
        <w:rPr>
          <w:szCs w:val="24"/>
        </w:rPr>
        <w:t xml:space="preserve"> </w:t>
      </w:r>
    </w:p>
    <w:p w:rsidR="009871A8" w:rsidRPr="00B52A8A" w:rsidRDefault="006F4344" w:rsidP="00D33A47">
      <w:pPr>
        <w:ind w:firstLine="284"/>
        <w:rPr>
          <w:szCs w:val="24"/>
        </w:rPr>
      </w:pPr>
      <w:r w:rsidRPr="00B52A8A">
        <w:rPr>
          <w:szCs w:val="24"/>
        </w:rPr>
        <w:lastRenderedPageBreak/>
        <w:t xml:space="preserve"> P</w:t>
      </w:r>
      <w:r w:rsidR="00D33A47" w:rsidRPr="00B52A8A">
        <w:rPr>
          <w:szCs w:val="24"/>
        </w:rPr>
        <w:t xml:space="preserve">ro </w:t>
      </w:r>
      <w:r w:rsidR="00D33A47" w:rsidRPr="00B52A8A">
        <w:rPr>
          <w:b/>
          <w:szCs w:val="24"/>
        </w:rPr>
        <w:t>ICW</w:t>
      </w:r>
      <w:r w:rsidR="00D33A47" w:rsidRPr="00B52A8A">
        <w:rPr>
          <w:szCs w:val="24"/>
        </w:rPr>
        <w:t xml:space="preserve"> jsou </w:t>
      </w:r>
      <w:r w:rsidRPr="00B52A8A">
        <w:rPr>
          <w:szCs w:val="24"/>
        </w:rPr>
        <w:t xml:space="preserve">referenční hodnoty </w:t>
      </w:r>
      <w:r w:rsidR="00D33A47" w:rsidRPr="00B52A8A">
        <w:rPr>
          <w:szCs w:val="24"/>
        </w:rPr>
        <w:t xml:space="preserve">19,6 – 24,0 ℓ. </w:t>
      </w:r>
      <w:r w:rsidR="0079466A" w:rsidRPr="00B52A8A">
        <w:rPr>
          <w:szCs w:val="24"/>
        </w:rPr>
        <w:t xml:space="preserve">Průměrná hodnota </w:t>
      </w:r>
      <w:r w:rsidRPr="00B52A8A">
        <w:rPr>
          <w:szCs w:val="24"/>
        </w:rPr>
        <w:t xml:space="preserve">souboru </w:t>
      </w:r>
      <w:r w:rsidR="0079466A" w:rsidRPr="00B52A8A">
        <w:rPr>
          <w:szCs w:val="24"/>
        </w:rPr>
        <w:t>byla 19,44</w:t>
      </w:r>
      <w:r w:rsidR="009871A8" w:rsidRPr="00B52A8A">
        <w:rPr>
          <w:szCs w:val="24"/>
        </w:rPr>
        <w:t xml:space="preserve"> ℓ. Množství intracelulární vody svou prům</w:t>
      </w:r>
      <w:r w:rsidR="00892528" w:rsidRPr="00B52A8A">
        <w:rPr>
          <w:szCs w:val="24"/>
        </w:rPr>
        <w:t xml:space="preserve">ěrnou hodnotou spadá </w:t>
      </w:r>
      <w:r w:rsidR="00B25C04" w:rsidRPr="00B52A8A">
        <w:rPr>
          <w:szCs w:val="24"/>
        </w:rPr>
        <w:t xml:space="preserve">mírně </w:t>
      </w:r>
      <w:r w:rsidR="00892528" w:rsidRPr="00B52A8A">
        <w:rPr>
          <w:szCs w:val="24"/>
        </w:rPr>
        <w:t>pod obecný průměr</w:t>
      </w:r>
      <w:r w:rsidR="009871A8" w:rsidRPr="00B52A8A">
        <w:rPr>
          <w:szCs w:val="24"/>
        </w:rPr>
        <w:t>.</w:t>
      </w:r>
      <w:r w:rsidR="00B25C04" w:rsidRPr="00B52A8A">
        <w:rPr>
          <w:szCs w:val="24"/>
        </w:rPr>
        <w:t xml:space="preserve"> Procentuální zastoupení ICW je 27 % z průměrných 32</w:t>
      </w:r>
      <w:r w:rsidR="0079466A" w:rsidRPr="00B52A8A">
        <w:rPr>
          <w:szCs w:val="24"/>
        </w:rPr>
        <w:t xml:space="preserve"> % ICW.</w:t>
      </w:r>
      <w:r w:rsidR="00892528" w:rsidRPr="00B52A8A">
        <w:rPr>
          <w:szCs w:val="24"/>
        </w:rPr>
        <w:t xml:space="preserve"> Hodnota ICW soboru se pohybovala v rozmezí od 15,40 ℓ do 24,6 ℓ. Nižší zastoupení ICW bylo způsobeno minimální</w:t>
      </w:r>
      <w:r w:rsidRPr="00B52A8A">
        <w:rPr>
          <w:szCs w:val="24"/>
        </w:rPr>
        <w:t xml:space="preserve">mi hodnotami, které byly značně </w:t>
      </w:r>
      <w:r w:rsidR="00892528" w:rsidRPr="00B52A8A">
        <w:rPr>
          <w:szCs w:val="24"/>
        </w:rPr>
        <w:t>podprůměrné.</w:t>
      </w:r>
      <w:r w:rsidR="00B25C04" w:rsidRPr="00B52A8A">
        <w:rPr>
          <w:szCs w:val="24"/>
        </w:rPr>
        <w:t xml:space="preserve"> </w:t>
      </w:r>
    </w:p>
    <w:p w:rsidR="0079466A" w:rsidRPr="00B52A8A" w:rsidRDefault="0079466A" w:rsidP="00274C60">
      <w:pPr>
        <w:ind w:firstLine="284"/>
      </w:pPr>
      <w:r w:rsidRPr="00B52A8A">
        <w:rPr>
          <w:b/>
        </w:rPr>
        <w:t>Edema1 index</w:t>
      </w:r>
      <w:r w:rsidRPr="00B52A8A">
        <w:t xml:space="preserve"> nám ukazuje vztah mezi ECW a TBW. Standard</w:t>
      </w:r>
      <w:r w:rsidR="006F4344" w:rsidRPr="00B52A8A">
        <w:t>ní hodnoty indexu jsou 0,36 – 0,</w:t>
      </w:r>
      <w:r w:rsidRPr="00B52A8A">
        <w:t>40</w:t>
      </w:r>
      <w:r w:rsidR="008711F4" w:rsidRPr="00B52A8A">
        <w:t xml:space="preserve"> (InBo</w:t>
      </w:r>
      <w:r w:rsidR="004C7C91" w:rsidRPr="00B52A8A">
        <w:t>dy 720, 2011)</w:t>
      </w:r>
      <w:r w:rsidRPr="00B52A8A">
        <w:t>. Měřený soubor dosáhl hodnoty 0,34. Při hodnotách vyšších může docházet k tvorbě otoků, které se i při našich maximálních hodnotách 0,35 nevyskytují.</w:t>
      </w:r>
    </w:p>
    <w:p w:rsidR="004D0184" w:rsidRPr="00B52A8A" w:rsidRDefault="004D0184" w:rsidP="00274C60">
      <w:pPr>
        <w:ind w:firstLine="284"/>
        <w:rPr>
          <w:szCs w:val="24"/>
        </w:rPr>
      </w:pPr>
      <w:r w:rsidRPr="00B52A8A">
        <w:rPr>
          <w:szCs w:val="24"/>
        </w:rPr>
        <w:t xml:space="preserve">Námi naměřené průměrné hodnoty </w:t>
      </w:r>
      <w:r w:rsidRPr="00B52A8A">
        <w:rPr>
          <w:b/>
          <w:szCs w:val="24"/>
        </w:rPr>
        <w:t>tukuprosté hmoty</w:t>
      </w:r>
      <w:r w:rsidRPr="00B52A8A">
        <w:rPr>
          <w:szCs w:val="24"/>
        </w:rPr>
        <w:t xml:space="preserve"> </w:t>
      </w:r>
      <w:r w:rsidR="00FF145F" w:rsidRPr="00B52A8A">
        <w:rPr>
          <w:szCs w:val="24"/>
        </w:rPr>
        <w:t>byly</w:t>
      </w:r>
      <w:r w:rsidRPr="00B52A8A">
        <w:rPr>
          <w:szCs w:val="24"/>
        </w:rPr>
        <w:t xml:space="preserve"> 43,10</w:t>
      </w:r>
      <w:r w:rsidR="00FF145F" w:rsidRPr="00B52A8A">
        <w:rPr>
          <w:szCs w:val="24"/>
        </w:rPr>
        <w:t xml:space="preserve"> kg a</w:t>
      </w:r>
      <w:r w:rsidRPr="00B52A8A">
        <w:rPr>
          <w:szCs w:val="24"/>
        </w:rPr>
        <w:t xml:space="preserve"> odpovídají 59 % celkové tělesné hmotnosti, potvrzují tedy úbytek</w:t>
      </w:r>
      <w:r w:rsidR="006F4344" w:rsidRPr="00B52A8A">
        <w:rPr>
          <w:szCs w:val="24"/>
        </w:rPr>
        <w:t xml:space="preserve"> FFM s zvyšujícím se věkem ve vztahu k referenční hodnotě 73 % FFM z celkové tělesné hmotnosti.</w:t>
      </w:r>
    </w:p>
    <w:p w:rsidR="00621DC9" w:rsidRPr="00B52A8A" w:rsidRDefault="00FF145F" w:rsidP="00274C60">
      <w:pPr>
        <w:ind w:firstLine="284"/>
        <w:rPr>
          <w:szCs w:val="24"/>
        </w:rPr>
      </w:pPr>
      <w:r w:rsidRPr="00B52A8A">
        <w:rPr>
          <w:szCs w:val="24"/>
        </w:rPr>
        <w:t xml:space="preserve">Referenční hodnoty %BF se pohybují v rozmezí 18,0 </w:t>
      </w:r>
      <w:r w:rsidRPr="00B52A8A">
        <w:t xml:space="preserve">– </w:t>
      </w:r>
      <w:r w:rsidRPr="00B52A8A">
        <w:rPr>
          <w:szCs w:val="24"/>
        </w:rPr>
        <w:t>28,0 %</w:t>
      </w:r>
      <w:r w:rsidR="004C7C91" w:rsidRPr="00B52A8A">
        <w:rPr>
          <w:szCs w:val="24"/>
        </w:rPr>
        <w:t xml:space="preserve"> (InBody 720, 2011)</w:t>
      </w:r>
      <w:r w:rsidRPr="00B52A8A">
        <w:rPr>
          <w:szCs w:val="24"/>
        </w:rPr>
        <w:t xml:space="preserve">. </w:t>
      </w:r>
      <w:r w:rsidR="0079466A" w:rsidRPr="00B52A8A">
        <w:rPr>
          <w:b/>
          <w:szCs w:val="24"/>
        </w:rPr>
        <w:t xml:space="preserve">Procentuální vyjádření tělesného tuku </w:t>
      </w:r>
      <w:r w:rsidR="0079466A" w:rsidRPr="00B52A8A">
        <w:rPr>
          <w:szCs w:val="24"/>
        </w:rPr>
        <w:t>je u</w:t>
      </w:r>
      <w:r w:rsidRPr="00B52A8A">
        <w:rPr>
          <w:szCs w:val="24"/>
        </w:rPr>
        <w:t xml:space="preserve"> měření </w:t>
      </w:r>
      <w:r w:rsidR="00FD4CD5" w:rsidRPr="00B52A8A">
        <w:rPr>
          <w:szCs w:val="24"/>
        </w:rPr>
        <w:t xml:space="preserve">přístrojem </w:t>
      </w:r>
      <w:r w:rsidRPr="00B52A8A">
        <w:rPr>
          <w:szCs w:val="24"/>
        </w:rPr>
        <w:t>InBody 720</w:t>
      </w:r>
      <w:r w:rsidR="00693ADC" w:rsidRPr="00B52A8A">
        <w:rPr>
          <w:szCs w:val="24"/>
        </w:rPr>
        <w:t xml:space="preserve"> </w:t>
      </w:r>
      <w:r w:rsidR="0079466A" w:rsidRPr="00B52A8A">
        <w:rPr>
          <w:szCs w:val="24"/>
        </w:rPr>
        <w:t>37,81</w:t>
      </w:r>
      <w:r w:rsidR="00693ADC" w:rsidRPr="00B52A8A">
        <w:rPr>
          <w:szCs w:val="24"/>
        </w:rPr>
        <w:t xml:space="preserve"> %</w:t>
      </w:r>
      <w:r w:rsidR="0079466A" w:rsidRPr="00B52A8A">
        <w:rPr>
          <w:szCs w:val="24"/>
        </w:rPr>
        <w:t xml:space="preserve">. Opět je potvrzeno zvýšené množství tělesného tuku, které přesahuje hranici průměrných hodnot téměř o 10 %. </w:t>
      </w:r>
      <w:r w:rsidR="0079466A" w:rsidRPr="00B52A8A">
        <w:rPr>
          <w:b/>
          <w:szCs w:val="24"/>
        </w:rPr>
        <w:t>Tělesný tuk vyjádřený v</w:t>
      </w:r>
      <w:r w:rsidR="009A60D2" w:rsidRPr="00B52A8A">
        <w:rPr>
          <w:b/>
          <w:szCs w:val="24"/>
        </w:rPr>
        <w:t> </w:t>
      </w:r>
      <w:r w:rsidR="0079466A" w:rsidRPr="00B52A8A">
        <w:rPr>
          <w:b/>
          <w:szCs w:val="24"/>
        </w:rPr>
        <w:t>kg</w:t>
      </w:r>
      <w:r w:rsidR="009A60D2" w:rsidRPr="00B52A8A">
        <w:rPr>
          <w:szCs w:val="24"/>
        </w:rPr>
        <w:t xml:space="preserve"> je pro náš soubor 27,22 kg, který je podle průměru 1</w:t>
      </w:r>
      <w:r w:rsidR="0079466A" w:rsidRPr="00B52A8A">
        <w:rPr>
          <w:szCs w:val="24"/>
        </w:rPr>
        <w:t>2,3 – 19,7 kg</w:t>
      </w:r>
      <w:r w:rsidR="009A60D2" w:rsidRPr="00B52A8A">
        <w:rPr>
          <w:szCs w:val="24"/>
        </w:rPr>
        <w:t xml:space="preserve"> vyšší </w:t>
      </w:r>
      <w:r w:rsidR="0079466A" w:rsidRPr="00B52A8A">
        <w:rPr>
          <w:szCs w:val="24"/>
        </w:rPr>
        <w:t xml:space="preserve">o téměř </w:t>
      </w:r>
      <w:r w:rsidR="009A60D2" w:rsidRPr="00B52A8A">
        <w:rPr>
          <w:szCs w:val="24"/>
        </w:rPr>
        <w:t>8</w:t>
      </w:r>
      <w:r w:rsidR="0079466A" w:rsidRPr="00B52A8A">
        <w:rPr>
          <w:szCs w:val="24"/>
        </w:rPr>
        <w:t xml:space="preserve"> kg.</w:t>
      </w:r>
    </w:p>
    <w:p w:rsidR="00F04C91" w:rsidRPr="00B52A8A" w:rsidRDefault="00F04C91" w:rsidP="00F04C91">
      <w:pPr>
        <w:ind w:firstLine="708"/>
      </w:pPr>
    </w:p>
    <w:p w:rsidR="00F04C91" w:rsidRPr="00B52A8A" w:rsidRDefault="00FD4CD5" w:rsidP="009B60C8">
      <w:pPr>
        <w:spacing w:after="0"/>
        <w:ind w:firstLine="284"/>
      </w:pPr>
      <w:r w:rsidRPr="00B52A8A">
        <w:t>U obou přístrojů bylo zjiš</w:t>
      </w:r>
      <w:r w:rsidR="00457FAF" w:rsidRPr="00B52A8A">
        <w:t>těno nižší zastoupení TBW</w:t>
      </w:r>
      <w:r w:rsidRPr="00B52A8A">
        <w:t xml:space="preserve"> i jejich složek (EXW a ICW). Referenční hodnota pro TBW odpovídá </w:t>
      </w:r>
      <w:r w:rsidR="00E66F30" w:rsidRPr="00B52A8A">
        <w:t xml:space="preserve">u seniorů </w:t>
      </w:r>
      <w:r w:rsidRPr="00B52A8A">
        <w:t xml:space="preserve">asi </w:t>
      </w:r>
      <w:r w:rsidR="00105F02" w:rsidRPr="00B52A8A">
        <w:br/>
      </w:r>
      <w:r w:rsidR="00457FAF" w:rsidRPr="00B52A8A">
        <w:t>50</w:t>
      </w:r>
      <w:r w:rsidRPr="00B52A8A">
        <w:t xml:space="preserve"> % celkové tělesné hmotnosti</w:t>
      </w:r>
      <w:r w:rsidR="00E66F30" w:rsidRPr="00B52A8A">
        <w:t xml:space="preserve"> (Trojan et al., 1992). U </w:t>
      </w:r>
      <w:r w:rsidRPr="00B52A8A">
        <w:t>přístroje Tanita odpovídalo procentuální vyjádření celkové tělesné vody asi 47 % a u Inbody to bylo ještě méně</w:t>
      </w:r>
      <w:r w:rsidR="00457FAF" w:rsidRPr="00B52A8A">
        <w:t>,</w:t>
      </w:r>
      <w:r w:rsidRPr="00B52A8A">
        <w:t xml:space="preserve"> 45 %.</w:t>
      </w:r>
    </w:p>
    <w:p w:rsidR="00FD4CD5" w:rsidRPr="00B52A8A" w:rsidRDefault="00FD4CD5" w:rsidP="009B60C8">
      <w:pPr>
        <w:spacing w:after="0"/>
        <w:ind w:firstLine="284"/>
      </w:pPr>
      <w:r w:rsidRPr="00B52A8A">
        <w:t>FFM by měla být v lidském organismu v průměru zastoupena 73 % z celkové tělesné hmotnosti</w:t>
      </w:r>
      <w:r w:rsidR="00457FAF" w:rsidRPr="00B52A8A">
        <w:t xml:space="preserve"> (InBody, 2011). Při </w:t>
      </w:r>
      <w:r w:rsidRPr="00B52A8A">
        <w:t>průměrné h</w:t>
      </w:r>
      <w:r w:rsidR="00457FAF" w:rsidRPr="00B52A8A">
        <w:t xml:space="preserve">motnosti </w:t>
      </w:r>
      <w:r w:rsidRPr="00B52A8A">
        <w:t>probandů, která byla 70 kg</w:t>
      </w:r>
      <w:r w:rsidR="002378A8" w:rsidRPr="00B52A8A">
        <w:t>,</w:t>
      </w:r>
      <w:r w:rsidR="00457FAF" w:rsidRPr="00B52A8A">
        <w:t xml:space="preserve"> byly </w:t>
      </w:r>
      <w:r w:rsidRPr="00B52A8A">
        <w:t>naměřené průměrné hodnoty FFM nižší než je jejich referenční hodnota</w:t>
      </w:r>
      <w:r w:rsidR="002378A8" w:rsidRPr="00B52A8A">
        <w:t xml:space="preserve">. U Tanity byla FFM zastoupena </w:t>
      </w:r>
      <w:r w:rsidR="004E44D2" w:rsidRPr="00B52A8A">
        <w:br/>
      </w:r>
      <w:r w:rsidR="002378A8" w:rsidRPr="00B52A8A">
        <w:t>z </w:t>
      </w:r>
      <w:r w:rsidRPr="00B52A8A">
        <w:t>61</w:t>
      </w:r>
      <w:r w:rsidR="002378A8" w:rsidRPr="00B52A8A">
        <w:t xml:space="preserve"> % a u</w:t>
      </w:r>
      <w:r w:rsidRPr="00B52A8A">
        <w:t xml:space="preserve"> InBody 59 %</w:t>
      </w:r>
      <w:r w:rsidR="002378A8" w:rsidRPr="00B52A8A">
        <w:t>. Pokles FFM je tedy asi o 10 % od normy.</w:t>
      </w:r>
    </w:p>
    <w:p w:rsidR="009B60C8" w:rsidRPr="00B52A8A" w:rsidRDefault="002378A8" w:rsidP="002445C2">
      <w:pPr>
        <w:ind w:firstLine="284"/>
      </w:pPr>
      <w:r w:rsidRPr="00B52A8A">
        <w:lastRenderedPageBreak/>
        <w:t>Procentuální vyjádření množství tělesného tuku u obou přístrojů převyšovalo referenční hodnoty 18 – 28 % o 10</w:t>
      </w:r>
      <w:r w:rsidR="008711F4" w:rsidRPr="00B52A8A">
        <w:t xml:space="preserve"> </w:t>
      </w:r>
      <w:r w:rsidRPr="00B52A8A">
        <w:t xml:space="preserve">%.  Pro Tanitu to odpovídá průměrným hodnotám 35,49 % a pro InBody </w:t>
      </w:r>
      <w:r w:rsidR="004E44D2" w:rsidRPr="00B52A8A">
        <w:br/>
      </w:r>
      <w:r w:rsidRPr="00B52A8A">
        <w:t>37,81 % celkového tělesného tuku.</w:t>
      </w:r>
      <w:r w:rsidRPr="00B52A8A">
        <w:tab/>
      </w:r>
    </w:p>
    <w:p w:rsidR="00140DD7" w:rsidRPr="00B52A8A" w:rsidRDefault="00140DD7" w:rsidP="005C7CD5">
      <w:r w:rsidRPr="00B52A8A">
        <w:rPr>
          <w:b/>
        </w:rPr>
        <w:t xml:space="preserve">Segmentální analýza </w:t>
      </w:r>
      <w:r w:rsidRPr="00B52A8A">
        <w:t xml:space="preserve">poskytuje podrobné informace o </w:t>
      </w:r>
      <w:r w:rsidR="008B4881" w:rsidRPr="00B52A8A">
        <w:t>zastoupení svalů v rámci jednotlivých tělesných segmentů</w:t>
      </w:r>
      <w:r w:rsidR="003E3875" w:rsidRPr="00B52A8A">
        <w:t>. Rozsah normy pro rovnováhu bez-tukové tkán</w:t>
      </w:r>
      <w:r w:rsidR="003E3875" w:rsidRPr="00B52A8A">
        <w:rPr>
          <w:rFonts w:cs="TTE1617B60t00"/>
        </w:rPr>
        <w:t xml:space="preserve">ě </w:t>
      </w:r>
      <w:r w:rsidR="003E3875" w:rsidRPr="00B52A8A">
        <w:t>je 80 – 120</w:t>
      </w:r>
      <w:r w:rsidR="008B4881" w:rsidRPr="00B52A8A">
        <w:t xml:space="preserve"> </w:t>
      </w:r>
      <w:r w:rsidR="003E3875" w:rsidRPr="00B52A8A">
        <w:t>% pro pravou a levou paži a 90 – 110</w:t>
      </w:r>
      <w:r w:rsidR="008B4881" w:rsidRPr="00B52A8A">
        <w:t xml:space="preserve"> </w:t>
      </w:r>
      <w:r w:rsidR="008711F4" w:rsidRPr="00B52A8A">
        <w:t>% pro trup a pravou a levou dolní končetinu</w:t>
      </w:r>
      <w:r w:rsidR="003E3875" w:rsidRPr="00B52A8A">
        <w:t xml:space="preserve">. </w:t>
      </w:r>
    </w:p>
    <w:p w:rsidR="00FA7BB8" w:rsidRPr="00B52A8A" w:rsidRDefault="009B60C8" w:rsidP="005C7CD5">
      <w:pPr>
        <w:rPr>
          <w:b/>
        </w:rPr>
      </w:pPr>
      <w:r w:rsidRPr="00B52A8A">
        <w:rPr>
          <w:b/>
        </w:rPr>
        <w:t xml:space="preserve">Tabulka </w:t>
      </w:r>
      <w:r w:rsidR="00E84D1B" w:rsidRPr="00B52A8A">
        <w:rPr>
          <w:b/>
        </w:rPr>
        <w:t>7</w:t>
      </w:r>
      <w:r w:rsidR="00457FAF" w:rsidRPr="00B52A8A">
        <w:rPr>
          <w:b/>
        </w:rPr>
        <w:t>.</w:t>
      </w:r>
      <w:r w:rsidR="00FA7BB8" w:rsidRPr="00B52A8A">
        <w:rPr>
          <w:b/>
        </w:rPr>
        <w:t xml:space="preserve"> </w:t>
      </w:r>
    </w:p>
    <w:p w:rsidR="009B60C8" w:rsidRPr="00B52A8A" w:rsidRDefault="009B60C8" w:rsidP="005C7CD5">
      <w:pPr>
        <w:rPr>
          <w:b/>
        </w:rPr>
      </w:pPr>
      <w:r w:rsidRPr="00B52A8A">
        <w:rPr>
          <w:b/>
        </w:rPr>
        <w:t>Segment</w:t>
      </w:r>
      <w:r w:rsidR="00457FAF" w:rsidRPr="00B52A8A">
        <w:rPr>
          <w:b/>
        </w:rPr>
        <w:t xml:space="preserve">ální analýza bez-tukové </w:t>
      </w:r>
      <w:r w:rsidRPr="00B52A8A">
        <w:rPr>
          <w:b/>
        </w:rPr>
        <w:t>hmoty</w:t>
      </w:r>
    </w:p>
    <w:tbl>
      <w:tblPr>
        <w:tblStyle w:val="Svtlstnovn1"/>
        <w:tblW w:w="0" w:type="auto"/>
        <w:tblLook w:val="0620"/>
      </w:tblPr>
      <w:tblGrid>
        <w:gridCol w:w="1805"/>
        <w:gridCol w:w="1919"/>
        <w:gridCol w:w="1690"/>
        <w:gridCol w:w="1723"/>
        <w:gridCol w:w="1582"/>
      </w:tblGrid>
      <w:tr w:rsidR="00FA7BB8" w:rsidRPr="00B52A8A" w:rsidTr="00264695">
        <w:trPr>
          <w:cnfStyle w:val="100000000000"/>
          <w:trHeight w:val="484"/>
        </w:trPr>
        <w:tc>
          <w:tcPr>
            <w:tcW w:w="1905" w:type="dxa"/>
          </w:tcPr>
          <w:p w:rsidR="00FA7BB8" w:rsidRPr="00B52A8A" w:rsidRDefault="00FA7BB8" w:rsidP="00536982">
            <w:pPr>
              <w:rPr>
                <w:b w:val="0"/>
                <w:i/>
                <w:sz w:val="24"/>
                <w:szCs w:val="24"/>
              </w:rPr>
            </w:pPr>
          </w:p>
        </w:tc>
        <w:tc>
          <w:tcPr>
            <w:tcW w:w="2023" w:type="dxa"/>
          </w:tcPr>
          <w:p w:rsidR="00FA7BB8" w:rsidRPr="00B52A8A" w:rsidRDefault="00FA7BB8" w:rsidP="00FA7BB8">
            <w:pPr>
              <w:jc w:val="center"/>
              <w:rPr>
                <w:i/>
                <w:sz w:val="24"/>
                <w:szCs w:val="24"/>
              </w:rPr>
            </w:pPr>
            <w:r w:rsidRPr="00B52A8A">
              <w:rPr>
                <w:i/>
                <w:sz w:val="24"/>
                <w:szCs w:val="24"/>
              </w:rPr>
              <w:t>M</w:t>
            </w:r>
          </w:p>
        </w:tc>
        <w:tc>
          <w:tcPr>
            <w:tcW w:w="1784" w:type="dxa"/>
          </w:tcPr>
          <w:p w:rsidR="00FA7BB8" w:rsidRPr="00B52A8A" w:rsidRDefault="00FA7BB8" w:rsidP="00FA7BB8">
            <w:pPr>
              <w:jc w:val="center"/>
              <w:rPr>
                <w:i/>
                <w:sz w:val="24"/>
                <w:szCs w:val="24"/>
              </w:rPr>
            </w:pPr>
            <w:r w:rsidRPr="00B52A8A">
              <w:rPr>
                <w:i/>
                <w:sz w:val="24"/>
                <w:szCs w:val="24"/>
              </w:rPr>
              <w:t>MIN</w:t>
            </w:r>
          </w:p>
        </w:tc>
        <w:tc>
          <w:tcPr>
            <w:tcW w:w="1804" w:type="dxa"/>
          </w:tcPr>
          <w:p w:rsidR="00FA7BB8" w:rsidRPr="00B52A8A" w:rsidRDefault="00FA7BB8" w:rsidP="00FA7BB8">
            <w:pPr>
              <w:jc w:val="center"/>
              <w:rPr>
                <w:i/>
                <w:sz w:val="24"/>
                <w:szCs w:val="24"/>
              </w:rPr>
            </w:pPr>
            <w:r w:rsidRPr="00B52A8A">
              <w:rPr>
                <w:i/>
                <w:sz w:val="24"/>
                <w:szCs w:val="24"/>
              </w:rPr>
              <w:t>MAX</w:t>
            </w:r>
          </w:p>
        </w:tc>
        <w:tc>
          <w:tcPr>
            <w:tcW w:w="1664" w:type="dxa"/>
          </w:tcPr>
          <w:p w:rsidR="00FA7BB8" w:rsidRPr="00B52A8A" w:rsidRDefault="00FA7BB8" w:rsidP="00FA7BB8">
            <w:pPr>
              <w:jc w:val="center"/>
              <w:rPr>
                <w:i/>
                <w:sz w:val="24"/>
                <w:szCs w:val="24"/>
              </w:rPr>
            </w:pPr>
            <w:r w:rsidRPr="00B52A8A">
              <w:rPr>
                <w:i/>
                <w:sz w:val="24"/>
                <w:szCs w:val="24"/>
              </w:rPr>
              <w:t>SD</w:t>
            </w:r>
          </w:p>
        </w:tc>
      </w:tr>
      <w:tr w:rsidR="00FA7BB8" w:rsidRPr="00B52A8A" w:rsidTr="00264695">
        <w:trPr>
          <w:trHeight w:val="484"/>
        </w:trPr>
        <w:tc>
          <w:tcPr>
            <w:tcW w:w="1905" w:type="dxa"/>
          </w:tcPr>
          <w:p w:rsidR="00FA7BB8" w:rsidRPr="00B52A8A" w:rsidRDefault="00FA7BB8" w:rsidP="00536982">
            <w:pPr>
              <w:rPr>
                <w:b/>
                <w:i/>
                <w:sz w:val="24"/>
                <w:szCs w:val="24"/>
              </w:rPr>
            </w:pPr>
            <w:r w:rsidRPr="00B52A8A">
              <w:rPr>
                <w:b/>
                <w:i/>
                <w:sz w:val="24"/>
                <w:szCs w:val="24"/>
              </w:rPr>
              <w:t>Pravá paže</w:t>
            </w:r>
          </w:p>
        </w:tc>
        <w:tc>
          <w:tcPr>
            <w:tcW w:w="2023" w:type="dxa"/>
          </w:tcPr>
          <w:p w:rsidR="00FA7BB8" w:rsidRPr="00B52A8A" w:rsidRDefault="00FA7BB8" w:rsidP="00140DD7">
            <w:pPr>
              <w:jc w:val="center"/>
              <w:rPr>
                <w:i/>
                <w:sz w:val="24"/>
                <w:szCs w:val="24"/>
              </w:rPr>
            </w:pPr>
            <w:r w:rsidRPr="00B52A8A">
              <w:rPr>
                <w:i/>
                <w:sz w:val="24"/>
                <w:szCs w:val="24"/>
              </w:rPr>
              <w:t>120,36</w:t>
            </w:r>
          </w:p>
        </w:tc>
        <w:tc>
          <w:tcPr>
            <w:tcW w:w="1784" w:type="dxa"/>
          </w:tcPr>
          <w:p w:rsidR="00FA7BB8" w:rsidRPr="00B52A8A" w:rsidRDefault="00140DD7" w:rsidP="00140DD7">
            <w:pPr>
              <w:jc w:val="center"/>
              <w:rPr>
                <w:i/>
                <w:sz w:val="24"/>
                <w:szCs w:val="24"/>
              </w:rPr>
            </w:pPr>
            <w:r w:rsidRPr="00B52A8A">
              <w:rPr>
                <w:i/>
                <w:sz w:val="24"/>
                <w:szCs w:val="24"/>
              </w:rPr>
              <w:t>92,50</w:t>
            </w:r>
          </w:p>
        </w:tc>
        <w:tc>
          <w:tcPr>
            <w:tcW w:w="1804" w:type="dxa"/>
          </w:tcPr>
          <w:p w:rsidR="00FA7BB8" w:rsidRPr="00B52A8A" w:rsidRDefault="00140DD7" w:rsidP="00140DD7">
            <w:pPr>
              <w:jc w:val="center"/>
              <w:rPr>
                <w:i/>
                <w:sz w:val="24"/>
                <w:szCs w:val="24"/>
              </w:rPr>
            </w:pPr>
            <w:r w:rsidRPr="00B52A8A">
              <w:rPr>
                <w:i/>
                <w:sz w:val="24"/>
                <w:szCs w:val="24"/>
              </w:rPr>
              <w:t>148,95</w:t>
            </w:r>
          </w:p>
        </w:tc>
        <w:tc>
          <w:tcPr>
            <w:tcW w:w="1664" w:type="dxa"/>
          </w:tcPr>
          <w:p w:rsidR="00FA7BB8" w:rsidRPr="00B52A8A" w:rsidRDefault="00140DD7" w:rsidP="00140DD7">
            <w:pPr>
              <w:jc w:val="center"/>
              <w:rPr>
                <w:i/>
                <w:sz w:val="24"/>
                <w:szCs w:val="24"/>
              </w:rPr>
            </w:pPr>
            <w:r w:rsidRPr="00B52A8A">
              <w:rPr>
                <w:i/>
                <w:sz w:val="24"/>
                <w:szCs w:val="24"/>
              </w:rPr>
              <w:t>12,78</w:t>
            </w:r>
          </w:p>
        </w:tc>
      </w:tr>
      <w:tr w:rsidR="00FA7BB8" w:rsidRPr="00B52A8A" w:rsidTr="00264695">
        <w:trPr>
          <w:trHeight w:val="484"/>
        </w:trPr>
        <w:tc>
          <w:tcPr>
            <w:tcW w:w="1905" w:type="dxa"/>
          </w:tcPr>
          <w:p w:rsidR="00FA7BB8" w:rsidRPr="00B52A8A" w:rsidRDefault="00FA7BB8" w:rsidP="00536982">
            <w:pPr>
              <w:rPr>
                <w:b/>
                <w:i/>
                <w:sz w:val="24"/>
                <w:szCs w:val="24"/>
              </w:rPr>
            </w:pPr>
            <w:r w:rsidRPr="00B52A8A">
              <w:rPr>
                <w:b/>
                <w:i/>
                <w:sz w:val="24"/>
                <w:szCs w:val="24"/>
              </w:rPr>
              <w:t>Levá paže</w:t>
            </w:r>
          </w:p>
        </w:tc>
        <w:tc>
          <w:tcPr>
            <w:tcW w:w="2023" w:type="dxa"/>
          </w:tcPr>
          <w:p w:rsidR="00FA7BB8" w:rsidRPr="00B52A8A" w:rsidRDefault="00FA7BB8" w:rsidP="00140DD7">
            <w:pPr>
              <w:jc w:val="center"/>
              <w:rPr>
                <w:i/>
                <w:sz w:val="24"/>
                <w:szCs w:val="24"/>
              </w:rPr>
            </w:pPr>
            <w:r w:rsidRPr="00B52A8A">
              <w:rPr>
                <w:i/>
                <w:sz w:val="24"/>
                <w:szCs w:val="24"/>
              </w:rPr>
              <w:t>118,44</w:t>
            </w:r>
          </w:p>
        </w:tc>
        <w:tc>
          <w:tcPr>
            <w:tcW w:w="1784" w:type="dxa"/>
          </w:tcPr>
          <w:p w:rsidR="00FA7BB8" w:rsidRPr="00B52A8A" w:rsidRDefault="00140DD7" w:rsidP="00140DD7">
            <w:pPr>
              <w:jc w:val="center"/>
              <w:rPr>
                <w:i/>
                <w:sz w:val="24"/>
                <w:szCs w:val="24"/>
              </w:rPr>
            </w:pPr>
            <w:r w:rsidRPr="00B52A8A">
              <w:rPr>
                <w:i/>
                <w:sz w:val="24"/>
                <w:szCs w:val="24"/>
              </w:rPr>
              <w:t>89,32</w:t>
            </w:r>
          </w:p>
        </w:tc>
        <w:tc>
          <w:tcPr>
            <w:tcW w:w="1804" w:type="dxa"/>
          </w:tcPr>
          <w:p w:rsidR="00FA7BB8" w:rsidRPr="00B52A8A" w:rsidRDefault="00140DD7" w:rsidP="00140DD7">
            <w:pPr>
              <w:jc w:val="center"/>
              <w:rPr>
                <w:i/>
                <w:sz w:val="24"/>
                <w:szCs w:val="24"/>
              </w:rPr>
            </w:pPr>
            <w:r w:rsidRPr="00B52A8A">
              <w:rPr>
                <w:i/>
                <w:sz w:val="24"/>
                <w:szCs w:val="24"/>
              </w:rPr>
              <w:t>148,71</w:t>
            </w:r>
          </w:p>
        </w:tc>
        <w:tc>
          <w:tcPr>
            <w:tcW w:w="1664" w:type="dxa"/>
          </w:tcPr>
          <w:p w:rsidR="00FA7BB8" w:rsidRPr="00B52A8A" w:rsidRDefault="00140DD7" w:rsidP="00140DD7">
            <w:pPr>
              <w:jc w:val="center"/>
              <w:rPr>
                <w:i/>
                <w:sz w:val="24"/>
                <w:szCs w:val="24"/>
              </w:rPr>
            </w:pPr>
            <w:r w:rsidRPr="00B52A8A">
              <w:rPr>
                <w:i/>
                <w:sz w:val="24"/>
                <w:szCs w:val="24"/>
              </w:rPr>
              <w:t>13,54</w:t>
            </w:r>
          </w:p>
        </w:tc>
      </w:tr>
      <w:tr w:rsidR="00FA7BB8" w:rsidRPr="00B52A8A" w:rsidTr="00264695">
        <w:trPr>
          <w:trHeight w:val="499"/>
        </w:trPr>
        <w:tc>
          <w:tcPr>
            <w:tcW w:w="1905" w:type="dxa"/>
          </w:tcPr>
          <w:p w:rsidR="00FA7BB8" w:rsidRPr="00B52A8A" w:rsidRDefault="00FA7BB8" w:rsidP="00536982">
            <w:pPr>
              <w:rPr>
                <w:b/>
                <w:i/>
                <w:sz w:val="24"/>
                <w:szCs w:val="24"/>
              </w:rPr>
            </w:pPr>
            <w:r w:rsidRPr="00B52A8A">
              <w:rPr>
                <w:b/>
                <w:i/>
                <w:sz w:val="24"/>
                <w:szCs w:val="24"/>
              </w:rPr>
              <w:t>Trup</w:t>
            </w:r>
          </w:p>
        </w:tc>
        <w:tc>
          <w:tcPr>
            <w:tcW w:w="2023" w:type="dxa"/>
          </w:tcPr>
          <w:p w:rsidR="00FA7BB8" w:rsidRPr="00B52A8A" w:rsidRDefault="00FA7BB8" w:rsidP="00140DD7">
            <w:pPr>
              <w:jc w:val="center"/>
              <w:rPr>
                <w:i/>
                <w:sz w:val="24"/>
                <w:szCs w:val="24"/>
              </w:rPr>
            </w:pPr>
            <w:r w:rsidRPr="00B52A8A">
              <w:rPr>
                <w:i/>
                <w:sz w:val="24"/>
                <w:szCs w:val="24"/>
              </w:rPr>
              <w:t>102,96</w:t>
            </w:r>
          </w:p>
        </w:tc>
        <w:tc>
          <w:tcPr>
            <w:tcW w:w="1784" w:type="dxa"/>
          </w:tcPr>
          <w:p w:rsidR="00FA7BB8" w:rsidRPr="00B52A8A" w:rsidRDefault="00FA7BB8" w:rsidP="00140DD7">
            <w:pPr>
              <w:jc w:val="center"/>
              <w:rPr>
                <w:i/>
                <w:sz w:val="24"/>
                <w:szCs w:val="24"/>
              </w:rPr>
            </w:pPr>
            <w:r w:rsidRPr="00B52A8A">
              <w:rPr>
                <w:i/>
                <w:sz w:val="24"/>
                <w:szCs w:val="24"/>
              </w:rPr>
              <w:t>79,50</w:t>
            </w:r>
          </w:p>
        </w:tc>
        <w:tc>
          <w:tcPr>
            <w:tcW w:w="1804" w:type="dxa"/>
          </w:tcPr>
          <w:p w:rsidR="00FA7BB8" w:rsidRPr="00B52A8A" w:rsidRDefault="00140DD7" w:rsidP="00140DD7">
            <w:pPr>
              <w:jc w:val="center"/>
              <w:rPr>
                <w:i/>
                <w:sz w:val="24"/>
                <w:szCs w:val="24"/>
              </w:rPr>
            </w:pPr>
            <w:r w:rsidRPr="00B52A8A">
              <w:rPr>
                <w:i/>
                <w:sz w:val="24"/>
                <w:szCs w:val="24"/>
              </w:rPr>
              <w:t>131,68</w:t>
            </w:r>
          </w:p>
        </w:tc>
        <w:tc>
          <w:tcPr>
            <w:tcW w:w="1664" w:type="dxa"/>
          </w:tcPr>
          <w:p w:rsidR="00FA7BB8" w:rsidRPr="00B52A8A" w:rsidRDefault="00140DD7" w:rsidP="00140DD7">
            <w:pPr>
              <w:jc w:val="center"/>
              <w:rPr>
                <w:i/>
                <w:sz w:val="24"/>
                <w:szCs w:val="24"/>
              </w:rPr>
            </w:pPr>
            <w:r w:rsidRPr="00B52A8A">
              <w:rPr>
                <w:i/>
                <w:sz w:val="24"/>
                <w:szCs w:val="24"/>
              </w:rPr>
              <w:t>11,25</w:t>
            </w:r>
          </w:p>
        </w:tc>
      </w:tr>
      <w:tr w:rsidR="00FA7BB8" w:rsidRPr="00B52A8A" w:rsidTr="00264695">
        <w:trPr>
          <w:trHeight w:val="484"/>
        </w:trPr>
        <w:tc>
          <w:tcPr>
            <w:tcW w:w="1905" w:type="dxa"/>
          </w:tcPr>
          <w:p w:rsidR="00FA7BB8" w:rsidRPr="00B52A8A" w:rsidRDefault="00FA7BB8" w:rsidP="00536982">
            <w:pPr>
              <w:rPr>
                <w:b/>
                <w:i/>
                <w:sz w:val="24"/>
                <w:szCs w:val="24"/>
              </w:rPr>
            </w:pPr>
            <w:r w:rsidRPr="00B52A8A">
              <w:rPr>
                <w:b/>
                <w:i/>
                <w:sz w:val="24"/>
                <w:szCs w:val="24"/>
              </w:rPr>
              <w:t>Pravá noha</w:t>
            </w:r>
          </w:p>
        </w:tc>
        <w:tc>
          <w:tcPr>
            <w:tcW w:w="2023" w:type="dxa"/>
          </w:tcPr>
          <w:p w:rsidR="00FA7BB8" w:rsidRPr="00B52A8A" w:rsidRDefault="00FA7BB8" w:rsidP="00140DD7">
            <w:pPr>
              <w:jc w:val="center"/>
              <w:rPr>
                <w:i/>
                <w:sz w:val="24"/>
                <w:szCs w:val="24"/>
              </w:rPr>
            </w:pPr>
            <w:r w:rsidRPr="00B52A8A">
              <w:rPr>
                <w:i/>
                <w:sz w:val="24"/>
                <w:szCs w:val="24"/>
              </w:rPr>
              <w:t>97,05</w:t>
            </w:r>
          </w:p>
        </w:tc>
        <w:tc>
          <w:tcPr>
            <w:tcW w:w="1784" w:type="dxa"/>
          </w:tcPr>
          <w:p w:rsidR="00FA7BB8" w:rsidRPr="00B52A8A" w:rsidRDefault="00FA7BB8" w:rsidP="00140DD7">
            <w:pPr>
              <w:jc w:val="center"/>
              <w:rPr>
                <w:i/>
                <w:sz w:val="24"/>
                <w:szCs w:val="24"/>
              </w:rPr>
            </w:pPr>
            <w:r w:rsidRPr="00B52A8A">
              <w:rPr>
                <w:i/>
                <w:sz w:val="24"/>
                <w:szCs w:val="24"/>
              </w:rPr>
              <w:t>83,60</w:t>
            </w:r>
          </w:p>
        </w:tc>
        <w:tc>
          <w:tcPr>
            <w:tcW w:w="1804" w:type="dxa"/>
          </w:tcPr>
          <w:p w:rsidR="00FA7BB8" w:rsidRPr="00B52A8A" w:rsidRDefault="00FA7BB8" w:rsidP="00140DD7">
            <w:pPr>
              <w:jc w:val="center"/>
              <w:rPr>
                <w:i/>
                <w:sz w:val="24"/>
                <w:szCs w:val="24"/>
              </w:rPr>
            </w:pPr>
            <w:r w:rsidRPr="00B52A8A">
              <w:rPr>
                <w:i/>
                <w:sz w:val="24"/>
                <w:szCs w:val="24"/>
              </w:rPr>
              <w:t>121,79</w:t>
            </w:r>
          </w:p>
        </w:tc>
        <w:tc>
          <w:tcPr>
            <w:tcW w:w="1664" w:type="dxa"/>
          </w:tcPr>
          <w:p w:rsidR="00FA7BB8" w:rsidRPr="00B52A8A" w:rsidRDefault="00FA7BB8" w:rsidP="00140DD7">
            <w:pPr>
              <w:jc w:val="center"/>
              <w:rPr>
                <w:i/>
                <w:sz w:val="24"/>
                <w:szCs w:val="24"/>
              </w:rPr>
            </w:pPr>
            <w:r w:rsidRPr="00B52A8A">
              <w:rPr>
                <w:i/>
                <w:sz w:val="24"/>
                <w:szCs w:val="24"/>
              </w:rPr>
              <w:t>8,25</w:t>
            </w:r>
          </w:p>
        </w:tc>
      </w:tr>
      <w:tr w:rsidR="00FA7BB8" w:rsidRPr="00B52A8A" w:rsidTr="00264695">
        <w:trPr>
          <w:trHeight w:val="499"/>
        </w:trPr>
        <w:tc>
          <w:tcPr>
            <w:tcW w:w="1905" w:type="dxa"/>
          </w:tcPr>
          <w:p w:rsidR="00FA7BB8" w:rsidRPr="00B52A8A" w:rsidRDefault="00FA7BB8" w:rsidP="00536982">
            <w:pPr>
              <w:rPr>
                <w:b/>
                <w:i/>
                <w:sz w:val="24"/>
                <w:szCs w:val="24"/>
              </w:rPr>
            </w:pPr>
            <w:r w:rsidRPr="00B52A8A">
              <w:rPr>
                <w:b/>
                <w:i/>
                <w:sz w:val="24"/>
                <w:szCs w:val="24"/>
              </w:rPr>
              <w:t>Levá noha</w:t>
            </w:r>
          </w:p>
        </w:tc>
        <w:tc>
          <w:tcPr>
            <w:tcW w:w="2023" w:type="dxa"/>
          </w:tcPr>
          <w:p w:rsidR="00FA7BB8" w:rsidRPr="00B52A8A" w:rsidRDefault="00FA7BB8" w:rsidP="00140DD7">
            <w:pPr>
              <w:jc w:val="center"/>
              <w:rPr>
                <w:i/>
                <w:sz w:val="24"/>
                <w:szCs w:val="24"/>
              </w:rPr>
            </w:pPr>
            <w:r w:rsidRPr="00B52A8A">
              <w:rPr>
                <w:i/>
                <w:sz w:val="24"/>
                <w:szCs w:val="24"/>
              </w:rPr>
              <w:t>96,99</w:t>
            </w:r>
          </w:p>
        </w:tc>
        <w:tc>
          <w:tcPr>
            <w:tcW w:w="1784" w:type="dxa"/>
          </w:tcPr>
          <w:p w:rsidR="00FA7BB8" w:rsidRPr="00B52A8A" w:rsidRDefault="00140DD7" w:rsidP="00140DD7">
            <w:pPr>
              <w:jc w:val="center"/>
              <w:rPr>
                <w:i/>
                <w:sz w:val="24"/>
                <w:szCs w:val="24"/>
              </w:rPr>
            </w:pPr>
            <w:r w:rsidRPr="00B52A8A">
              <w:rPr>
                <w:i/>
                <w:sz w:val="24"/>
                <w:szCs w:val="24"/>
              </w:rPr>
              <w:t>84,02</w:t>
            </w:r>
          </w:p>
        </w:tc>
        <w:tc>
          <w:tcPr>
            <w:tcW w:w="1804" w:type="dxa"/>
          </w:tcPr>
          <w:p w:rsidR="00FA7BB8" w:rsidRPr="00B52A8A" w:rsidRDefault="00140DD7" w:rsidP="00140DD7">
            <w:pPr>
              <w:jc w:val="center"/>
              <w:rPr>
                <w:i/>
                <w:sz w:val="24"/>
                <w:szCs w:val="24"/>
              </w:rPr>
            </w:pPr>
            <w:r w:rsidRPr="00B52A8A">
              <w:rPr>
                <w:i/>
                <w:sz w:val="24"/>
                <w:szCs w:val="24"/>
              </w:rPr>
              <w:t>122,66</w:t>
            </w:r>
          </w:p>
        </w:tc>
        <w:tc>
          <w:tcPr>
            <w:tcW w:w="1664" w:type="dxa"/>
          </w:tcPr>
          <w:p w:rsidR="00FA7BB8" w:rsidRPr="00B52A8A" w:rsidRDefault="00140DD7" w:rsidP="00140DD7">
            <w:pPr>
              <w:jc w:val="center"/>
              <w:rPr>
                <w:i/>
                <w:sz w:val="24"/>
                <w:szCs w:val="24"/>
              </w:rPr>
            </w:pPr>
            <w:r w:rsidRPr="00B52A8A">
              <w:rPr>
                <w:i/>
                <w:sz w:val="24"/>
                <w:szCs w:val="24"/>
              </w:rPr>
              <w:t>8,52</w:t>
            </w:r>
          </w:p>
        </w:tc>
      </w:tr>
    </w:tbl>
    <w:p w:rsidR="009B60C8" w:rsidRPr="00B52A8A" w:rsidRDefault="009B60C8" w:rsidP="009B60C8">
      <w:pPr>
        <w:pStyle w:val="P-popisobr"/>
        <w:spacing w:before="240" w:after="0"/>
        <w:ind w:firstLine="0"/>
        <w:jc w:val="left"/>
        <w:rPr>
          <w:sz w:val="16"/>
          <w:szCs w:val="16"/>
        </w:rPr>
      </w:pPr>
      <w:r w:rsidRPr="00B52A8A">
        <w:rPr>
          <w:sz w:val="16"/>
          <w:szCs w:val="16"/>
        </w:rPr>
        <w:t xml:space="preserve">Vysvětlivky:    </w:t>
      </w:r>
      <w:proofErr w:type="gramStart"/>
      <w:r w:rsidRPr="00B52A8A">
        <w:rPr>
          <w:sz w:val="16"/>
          <w:szCs w:val="16"/>
        </w:rPr>
        <w:t xml:space="preserve">M        </w:t>
      </w:r>
      <w:r w:rsidRPr="00B52A8A">
        <w:rPr>
          <w:i w:val="0"/>
          <w:sz w:val="16"/>
          <w:szCs w:val="16"/>
        </w:rPr>
        <w:t>–</w:t>
      </w:r>
      <w:r w:rsidRPr="00B52A8A">
        <w:rPr>
          <w:sz w:val="16"/>
          <w:szCs w:val="16"/>
        </w:rPr>
        <w:t xml:space="preserve"> aritmetický</w:t>
      </w:r>
      <w:proofErr w:type="gramEnd"/>
      <w:r w:rsidRPr="00B52A8A">
        <w:rPr>
          <w:sz w:val="16"/>
          <w:szCs w:val="16"/>
        </w:rPr>
        <w:t xml:space="preserve"> průměr</w:t>
      </w:r>
      <w:r w:rsidRPr="00B52A8A">
        <w:rPr>
          <w:sz w:val="16"/>
          <w:szCs w:val="16"/>
        </w:rPr>
        <w:tab/>
        <w:t xml:space="preserve">           </w:t>
      </w:r>
    </w:p>
    <w:p w:rsidR="009B60C8" w:rsidRPr="00B52A8A" w:rsidRDefault="009B60C8" w:rsidP="009B60C8">
      <w:pPr>
        <w:ind w:firstLine="284"/>
      </w:pPr>
      <w:r w:rsidRPr="00B52A8A">
        <w:rPr>
          <w:sz w:val="16"/>
          <w:szCs w:val="16"/>
        </w:rPr>
        <w:t xml:space="preserve"> </w:t>
      </w:r>
      <w:r w:rsidRPr="00B52A8A">
        <w:rPr>
          <w:sz w:val="16"/>
          <w:szCs w:val="16"/>
        </w:rPr>
        <w:tab/>
        <w:t xml:space="preserve">       </w:t>
      </w:r>
      <w:proofErr w:type="gramStart"/>
      <w:r w:rsidRPr="00B52A8A">
        <w:rPr>
          <w:sz w:val="16"/>
          <w:szCs w:val="16"/>
        </w:rPr>
        <w:t xml:space="preserve">SD    </w:t>
      </w:r>
      <w:r w:rsidRPr="00B52A8A">
        <w:rPr>
          <w:i/>
          <w:sz w:val="16"/>
          <w:szCs w:val="16"/>
        </w:rPr>
        <w:t>–</w:t>
      </w:r>
      <w:r w:rsidRPr="00B52A8A">
        <w:rPr>
          <w:sz w:val="16"/>
          <w:szCs w:val="16"/>
        </w:rPr>
        <w:t xml:space="preserve"> směrodatná</w:t>
      </w:r>
      <w:proofErr w:type="gramEnd"/>
      <w:r w:rsidRPr="00B52A8A">
        <w:rPr>
          <w:sz w:val="16"/>
          <w:szCs w:val="16"/>
        </w:rPr>
        <w:t xml:space="preserve"> odchylka</w:t>
      </w:r>
    </w:p>
    <w:p w:rsidR="003E3875" w:rsidRPr="00B52A8A" w:rsidRDefault="003E3875" w:rsidP="00805D5E">
      <w:pPr>
        <w:tabs>
          <w:tab w:val="left" w:pos="284"/>
        </w:tabs>
      </w:pPr>
      <w:r w:rsidRPr="00B52A8A">
        <w:rPr>
          <w:color w:val="FF0000"/>
        </w:rPr>
        <w:tab/>
      </w:r>
      <w:r w:rsidRPr="00B52A8A">
        <w:t>Paže vykazují</w:t>
      </w:r>
      <w:r w:rsidR="00B82E9A" w:rsidRPr="00B52A8A">
        <w:t xml:space="preserve"> mírnou </w:t>
      </w:r>
      <w:r w:rsidRPr="00B52A8A">
        <w:t>nerovnováhu horní části těla</w:t>
      </w:r>
      <w:r w:rsidR="00457FAF" w:rsidRPr="00B52A8A">
        <w:t>.</w:t>
      </w:r>
      <w:r w:rsidRPr="00B52A8A">
        <w:t xml:space="preserve"> </w:t>
      </w:r>
      <w:r w:rsidR="00457FAF" w:rsidRPr="00B52A8A">
        <w:t>H</w:t>
      </w:r>
      <w:r w:rsidRPr="00B52A8A">
        <w:t>odnot</w:t>
      </w:r>
      <w:r w:rsidR="00B82E9A" w:rsidRPr="00B52A8A">
        <w:t>a</w:t>
      </w:r>
      <w:r w:rsidR="00805D5E" w:rsidRPr="00B52A8A">
        <w:t xml:space="preserve"> pravé paže</w:t>
      </w:r>
      <w:r w:rsidR="00B82E9A" w:rsidRPr="00B52A8A">
        <w:t xml:space="preserve"> je</w:t>
      </w:r>
      <w:r w:rsidR="00805D5E" w:rsidRPr="00B52A8A">
        <w:t xml:space="preserve"> 120,36 %</w:t>
      </w:r>
      <w:r w:rsidRPr="00B52A8A">
        <w:t xml:space="preserve"> </w:t>
      </w:r>
      <w:r w:rsidR="00805D5E" w:rsidRPr="00B52A8A">
        <w:t xml:space="preserve">a levé paže </w:t>
      </w:r>
      <w:r w:rsidR="00457FAF" w:rsidRPr="00B52A8A">
        <w:t xml:space="preserve">118,44 %, </w:t>
      </w:r>
      <w:r w:rsidR="00B82E9A" w:rsidRPr="00B52A8A">
        <w:t>což je v rozmezí normy</w:t>
      </w:r>
      <w:r w:rsidR="00805D5E" w:rsidRPr="00B52A8A">
        <w:t xml:space="preserve"> </w:t>
      </w:r>
      <w:r w:rsidR="006509CC" w:rsidRPr="00B52A8A">
        <w:t>80 – 12</w:t>
      </w:r>
      <w:r w:rsidR="00805D5E" w:rsidRPr="00B52A8A">
        <w:t>0</w:t>
      </w:r>
      <w:r w:rsidR="00457FAF" w:rsidRPr="00B52A8A">
        <w:t xml:space="preserve"> </w:t>
      </w:r>
      <w:r w:rsidR="00805D5E" w:rsidRPr="00B52A8A">
        <w:t xml:space="preserve">%. </w:t>
      </w:r>
      <w:r w:rsidRPr="00B52A8A">
        <w:t xml:space="preserve">Hodnoty ukazují, že pravá </w:t>
      </w:r>
      <w:r w:rsidR="00457FAF" w:rsidRPr="00B52A8A">
        <w:t>horní končetina</w:t>
      </w:r>
      <w:r w:rsidR="00B82E9A" w:rsidRPr="00B52A8A">
        <w:t xml:space="preserve"> nepatrně převyšuje rozmezí normy a také dosahuje vyšší hodnoty než levá končetina.</w:t>
      </w:r>
      <w:r w:rsidRPr="00B52A8A">
        <w:t xml:space="preserve"> </w:t>
      </w:r>
      <w:r w:rsidR="00B82E9A" w:rsidRPr="00B52A8A">
        <w:t xml:space="preserve">Při obecné pravoruké orientaci populace je zřejmé, že pravá končetina </w:t>
      </w:r>
      <w:r w:rsidRPr="00B52A8A">
        <w:t>je více používaná</w:t>
      </w:r>
      <w:r w:rsidR="00B82E9A" w:rsidRPr="00B52A8A">
        <w:t xml:space="preserve"> a tedy i více vyvinutá</w:t>
      </w:r>
      <w:r w:rsidRPr="00B52A8A">
        <w:t xml:space="preserve"> než levá</w:t>
      </w:r>
      <w:r w:rsidR="00B82E9A" w:rsidRPr="00B52A8A">
        <w:t>.</w:t>
      </w:r>
    </w:p>
    <w:p w:rsidR="00805D5E" w:rsidRPr="00B52A8A" w:rsidRDefault="00805D5E" w:rsidP="00805D5E">
      <w:pPr>
        <w:ind w:firstLine="284"/>
      </w:pPr>
      <w:r w:rsidRPr="00B52A8A">
        <w:t>Naproti tomu, dolní část těla vykazuje rovnováhu</w:t>
      </w:r>
      <w:r w:rsidR="002445C2" w:rsidRPr="00B52A8A">
        <w:t>, dle průměrných hodnot, pravé dolní končetiny 97,05 %, levé dolní končetiny</w:t>
      </w:r>
      <w:r w:rsidRPr="00B52A8A">
        <w:t xml:space="preserve"> 96,99 % a trupu 102,96 %, které se pohybují v rozmezí normy 90 – 110%.</w:t>
      </w:r>
    </w:p>
    <w:p w:rsidR="00805D5E" w:rsidRPr="00B52A8A" w:rsidRDefault="00805D5E" w:rsidP="00805D5E">
      <w:pPr>
        <w:ind w:firstLine="284"/>
      </w:pPr>
      <w:r w:rsidRPr="00B52A8A">
        <w:t>Sledovaný soubor lze tedy podle výsledků segmentální analýzy klasifikovat jako typ se slabou horní částí těla a je typický pro osoby, kter</w:t>
      </w:r>
      <w:r w:rsidR="00F64D3D" w:rsidRPr="00B52A8A">
        <w:t>é cvičí jen zřídka (www.biospace.cz).</w:t>
      </w:r>
    </w:p>
    <w:p w:rsidR="00FF145F" w:rsidRPr="00B52A8A" w:rsidRDefault="009B60C8" w:rsidP="006509CC">
      <w:pPr>
        <w:pStyle w:val="P-nadpis2"/>
        <w:tabs>
          <w:tab w:val="left" w:pos="7513"/>
        </w:tabs>
        <w:ind w:firstLine="0"/>
      </w:pPr>
      <w:bookmarkStart w:id="123" w:name="_Toc293057994"/>
      <w:bookmarkStart w:id="124" w:name="_Toc293153762"/>
      <w:r w:rsidRPr="00B52A8A">
        <w:lastRenderedPageBreak/>
        <w:t xml:space="preserve">5.3 </w:t>
      </w:r>
      <w:r w:rsidR="006509CC" w:rsidRPr="00B52A8A">
        <w:t xml:space="preserve">ANALÝZA PARAMETRŮ ZDRAVOTNÍ </w:t>
      </w:r>
      <w:r w:rsidRPr="00B52A8A">
        <w:t xml:space="preserve">RIZIKOVOSTI </w:t>
      </w:r>
      <w:r w:rsidRPr="00B52A8A">
        <w:br/>
        <w:t xml:space="preserve">         ZÍSKANÝCH </w:t>
      </w:r>
      <w:r w:rsidR="006509CC" w:rsidRPr="00B52A8A">
        <w:t>PŘÍSTROJEM INBODY 720</w:t>
      </w:r>
      <w:bookmarkEnd w:id="123"/>
      <w:bookmarkEnd w:id="124"/>
    </w:p>
    <w:p w:rsidR="00FF145F" w:rsidRPr="00B52A8A" w:rsidRDefault="00FF145F" w:rsidP="005C7CD5">
      <w:pPr>
        <w:rPr>
          <w:b/>
        </w:rPr>
      </w:pPr>
      <w:r w:rsidRPr="00B52A8A">
        <w:rPr>
          <w:b/>
        </w:rPr>
        <w:t>Tabulka</w:t>
      </w:r>
      <w:r w:rsidR="009B60C8" w:rsidRPr="00B52A8A">
        <w:rPr>
          <w:b/>
        </w:rPr>
        <w:t xml:space="preserve"> </w:t>
      </w:r>
      <w:r w:rsidR="00E84D1B" w:rsidRPr="00B52A8A">
        <w:rPr>
          <w:b/>
        </w:rPr>
        <w:t>8</w:t>
      </w:r>
      <w:r w:rsidR="002445C2" w:rsidRPr="00B52A8A">
        <w:rPr>
          <w:b/>
        </w:rPr>
        <w:t>.</w:t>
      </w:r>
    </w:p>
    <w:p w:rsidR="002445C2" w:rsidRPr="00B52A8A" w:rsidRDefault="002445C2" w:rsidP="005C7CD5">
      <w:pPr>
        <w:rPr>
          <w:b/>
        </w:rPr>
      </w:pPr>
      <w:r w:rsidRPr="00B52A8A">
        <w:rPr>
          <w:b/>
        </w:rPr>
        <w:t>Základní popisná charakteristika vybraných zdravotních ukazatelů souboru</w:t>
      </w:r>
    </w:p>
    <w:tbl>
      <w:tblPr>
        <w:tblStyle w:val="Svtlstnovn1"/>
        <w:tblW w:w="0" w:type="auto"/>
        <w:jc w:val="center"/>
        <w:tblLook w:val="0620"/>
      </w:tblPr>
      <w:tblGrid>
        <w:gridCol w:w="1869"/>
        <w:gridCol w:w="1784"/>
        <w:gridCol w:w="1670"/>
        <w:gridCol w:w="1784"/>
        <w:gridCol w:w="1612"/>
      </w:tblGrid>
      <w:tr w:rsidR="00E12A8C" w:rsidRPr="00B52A8A" w:rsidTr="009B60C8">
        <w:trPr>
          <w:cnfStyle w:val="100000000000"/>
          <w:jc w:val="center"/>
        </w:trPr>
        <w:tc>
          <w:tcPr>
            <w:tcW w:w="1951" w:type="dxa"/>
          </w:tcPr>
          <w:p w:rsidR="00E12A8C" w:rsidRPr="00B52A8A" w:rsidRDefault="00E12A8C" w:rsidP="002B69BE">
            <w:pPr>
              <w:spacing w:after="0"/>
              <w:jc w:val="center"/>
              <w:rPr>
                <w:b w:val="0"/>
                <w:sz w:val="24"/>
                <w:szCs w:val="24"/>
              </w:rPr>
            </w:pPr>
          </w:p>
        </w:tc>
        <w:tc>
          <w:tcPr>
            <w:tcW w:w="1843" w:type="dxa"/>
          </w:tcPr>
          <w:p w:rsidR="00E12A8C" w:rsidRPr="00B52A8A" w:rsidRDefault="00E12A8C" w:rsidP="002B69BE">
            <w:pPr>
              <w:spacing w:after="0"/>
              <w:jc w:val="center"/>
              <w:rPr>
                <w:i/>
                <w:sz w:val="24"/>
                <w:szCs w:val="24"/>
              </w:rPr>
            </w:pPr>
            <w:r w:rsidRPr="00B52A8A">
              <w:rPr>
                <w:i/>
                <w:sz w:val="24"/>
                <w:szCs w:val="24"/>
              </w:rPr>
              <w:t>M</w:t>
            </w:r>
          </w:p>
        </w:tc>
        <w:tc>
          <w:tcPr>
            <w:tcW w:w="1732" w:type="dxa"/>
          </w:tcPr>
          <w:p w:rsidR="00E12A8C" w:rsidRPr="00B52A8A" w:rsidRDefault="00E12A8C" w:rsidP="002B69BE">
            <w:pPr>
              <w:spacing w:after="0"/>
              <w:jc w:val="center"/>
              <w:rPr>
                <w:i/>
                <w:sz w:val="24"/>
                <w:szCs w:val="24"/>
              </w:rPr>
            </w:pPr>
            <w:r w:rsidRPr="00B52A8A">
              <w:rPr>
                <w:i/>
                <w:sz w:val="24"/>
                <w:szCs w:val="24"/>
              </w:rPr>
              <w:t>MIN</w:t>
            </w:r>
          </w:p>
        </w:tc>
        <w:tc>
          <w:tcPr>
            <w:tcW w:w="1843" w:type="dxa"/>
          </w:tcPr>
          <w:p w:rsidR="00E12A8C" w:rsidRPr="00B52A8A" w:rsidRDefault="00E12A8C" w:rsidP="002B69BE">
            <w:pPr>
              <w:spacing w:after="0"/>
              <w:jc w:val="center"/>
              <w:rPr>
                <w:i/>
                <w:sz w:val="24"/>
                <w:szCs w:val="24"/>
              </w:rPr>
            </w:pPr>
            <w:r w:rsidRPr="00B52A8A">
              <w:rPr>
                <w:i/>
                <w:sz w:val="24"/>
                <w:szCs w:val="24"/>
              </w:rPr>
              <w:t>MAX</w:t>
            </w:r>
          </w:p>
        </w:tc>
        <w:tc>
          <w:tcPr>
            <w:tcW w:w="1670" w:type="dxa"/>
          </w:tcPr>
          <w:p w:rsidR="00E12A8C" w:rsidRPr="00B52A8A" w:rsidRDefault="00E12A8C" w:rsidP="002B69BE">
            <w:pPr>
              <w:spacing w:after="0"/>
              <w:jc w:val="center"/>
              <w:rPr>
                <w:i/>
                <w:sz w:val="24"/>
                <w:szCs w:val="24"/>
              </w:rPr>
            </w:pPr>
            <w:r w:rsidRPr="00B52A8A">
              <w:rPr>
                <w:i/>
                <w:sz w:val="24"/>
                <w:szCs w:val="24"/>
              </w:rPr>
              <w:t>SD</w:t>
            </w:r>
          </w:p>
        </w:tc>
      </w:tr>
      <w:tr w:rsidR="009B60C8" w:rsidRPr="00B52A8A" w:rsidTr="009B60C8">
        <w:trPr>
          <w:jc w:val="center"/>
        </w:trPr>
        <w:tc>
          <w:tcPr>
            <w:tcW w:w="1951" w:type="dxa"/>
          </w:tcPr>
          <w:p w:rsidR="00E12A8C" w:rsidRPr="00B52A8A" w:rsidRDefault="00E12A8C" w:rsidP="0018420E">
            <w:pPr>
              <w:spacing w:after="0"/>
              <w:rPr>
                <w:b/>
                <w:i/>
                <w:sz w:val="24"/>
                <w:szCs w:val="24"/>
              </w:rPr>
            </w:pPr>
            <w:r w:rsidRPr="00B52A8A">
              <w:rPr>
                <w:b/>
                <w:i/>
                <w:sz w:val="24"/>
                <w:szCs w:val="24"/>
              </w:rPr>
              <w:t>FFMI</w:t>
            </w:r>
          </w:p>
        </w:tc>
        <w:tc>
          <w:tcPr>
            <w:tcW w:w="1843" w:type="dxa"/>
          </w:tcPr>
          <w:p w:rsidR="00E12A8C" w:rsidRPr="00B52A8A" w:rsidRDefault="00B304B3" w:rsidP="00270CDE">
            <w:pPr>
              <w:spacing w:after="0"/>
              <w:jc w:val="center"/>
              <w:rPr>
                <w:i/>
                <w:sz w:val="24"/>
                <w:szCs w:val="24"/>
              </w:rPr>
            </w:pPr>
            <w:r w:rsidRPr="00B52A8A">
              <w:rPr>
                <w:i/>
                <w:sz w:val="24"/>
                <w:szCs w:val="24"/>
              </w:rPr>
              <w:t>17,03</w:t>
            </w:r>
          </w:p>
        </w:tc>
        <w:tc>
          <w:tcPr>
            <w:tcW w:w="1732" w:type="dxa"/>
          </w:tcPr>
          <w:p w:rsidR="00E12A8C" w:rsidRPr="00B52A8A" w:rsidRDefault="00B304B3" w:rsidP="00270CDE">
            <w:pPr>
              <w:spacing w:after="0"/>
              <w:jc w:val="center"/>
              <w:rPr>
                <w:i/>
                <w:sz w:val="24"/>
                <w:szCs w:val="24"/>
              </w:rPr>
            </w:pPr>
            <w:r w:rsidRPr="00B52A8A">
              <w:rPr>
                <w:i/>
                <w:sz w:val="24"/>
                <w:szCs w:val="24"/>
              </w:rPr>
              <w:t>13,48</w:t>
            </w:r>
          </w:p>
        </w:tc>
        <w:tc>
          <w:tcPr>
            <w:tcW w:w="1843" w:type="dxa"/>
          </w:tcPr>
          <w:p w:rsidR="00E12A8C" w:rsidRPr="00B52A8A" w:rsidRDefault="00B304B3" w:rsidP="00270CDE">
            <w:pPr>
              <w:spacing w:after="0"/>
              <w:jc w:val="center"/>
              <w:rPr>
                <w:i/>
                <w:sz w:val="24"/>
                <w:szCs w:val="24"/>
              </w:rPr>
            </w:pPr>
            <w:r w:rsidRPr="00B52A8A">
              <w:rPr>
                <w:i/>
                <w:sz w:val="24"/>
                <w:szCs w:val="24"/>
              </w:rPr>
              <w:t>20,74</w:t>
            </w:r>
          </w:p>
        </w:tc>
        <w:tc>
          <w:tcPr>
            <w:tcW w:w="1670" w:type="dxa"/>
          </w:tcPr>
          <w:p w:rsidR="00E12A8C" w:rsidRPr="00B52A8A" w:rsidRDefault="00B304B3" w:rsidP="00270CDE">
            <w:pPr>
              <w:spacing w:after="0"/>
              <w:jc w:val="center"/>
              <w:rPr>
                <w:i/>
                <w:sz w:val="24"/>
                <w:szCs w:val="24"/>
              </w:rPr>
            </w:pPr>
            <w:r w:rsidRPr="00B52A8A">
              <w:rPr>
                <w:i/>
                <w:sz w:val="24"/>
                <w:szCs w:val="24"/>
              </w:rPr>
              <w:t>1,38</w:t>
            </w:r>
          </w:p>
        </w:tc>
      </w:tr>
      <w:tr w:rsidR="00E12A8C" w:rsidRPr="00B52A8A" w:rsidTr="009B60C8">
        <w:trPr>
          <w:jc w:val="center"/>
        </w:trPr>
        <w:tc>
          <w:tcPr>
            <w:tcW w:w="1951" w:type="dxa"/>
          </w:tcPr>
          <w:p w:rsidR="00E12A8C" w:rsidRPr="00B52A8A" w:rsidRDefault="00E12A8C" w:rsidP="0018420E">
            <w:pPr>
              <w:spacing w:after="0"/>
              <w:rPr>
                <w:b/>
                <w:i/>
                <w:sz w:val="24"/>
                <w:szCs w:val="24"/>
              </w:rPr>
            </w:pPr>
            <w:r w:rsidRPr="00B52A8A">
              <w:rPr>
                <w:b/>
                <w:i/>
                <w:sz w:val="24"/>
                <w:szCs w:val="24"/>
              </w:rPr>
              <w:t>BFMI</w:t>
            </w:r>
          </w:p>
        </w:tc>
        <w:tc>
          <w:tcPr>
            <w:tcW w:w="1843" w:type="dxa"/>
          </w:tcPr>
          <w:p w:rsidR="00E12A8C" w:rsidRPr="00B52A8A" w:rsidRDefault="00B304B3" w:rsidP="00270CDE">
            <w:pPr>
              <w:spacing w:after="0"/>
              <w:jc w:val="center"/>
              <w:rPr>
                <w:i/>
                <w:sz w:val="24"/>
                <w:szCs w:val="24"/>
              </w:rPr>
            </w:pPr>
            <w:r w:rsidRPr="00B52A8A">
              <w:rPr>
                <w:i/>
                <w:sz w:val="24"/>
                <w:szCs w:val="24"/>
              </w:rPr>
              <w:t>10,80</w:t>
            </w:r>
          </w:p>
        </w:tc>
        <w:tc>
          <w:tcPr>
            <w:tcW w:w="1732" w:type="dxa"/>
          </w:tcPr>
          <w:p w:rsidR="00E12A8C" w:rsidRPr="00B52A8A" w:rsidRDefault="00B304B3" w:rsidP="00270CDE">
            <w:pPr>
              <w:spacing w:after="0"/>
              <w:jc w:val="center"/>
              <w:rPr>
                <w:i/>
                <w:sz w:val="24"/>
                <w:szCs w:val="24"/>
              </w:rPr>
            </w:pPr>
            <w:r w:rsidRPr="00B52A8A">
              <w:rPr>
                <w:i/>
                <w:sz w:val="24"/>
                <w:szCs w:val="24"/>
              </w:rPr>
              <w:t>2,64</w:t>
            </w:r>
          </w:p>
        </w:tc>
        <w:tc>
          <w:tcPr>
            <w:tcW w:w="1843" w:type="dxa"/>
          </w:tcPr>
          <w:p w:rsidR="00E12A8C" w:rsidRPr="00B52A8A" w:rsidRDefault="00B304B3" w:rsidP="00270CDE">
            <w:pPr>
              <w:spacing w:after="0"/>
              <w:jc w:val="center"/>
              <w:rPr>
                <w:i/>
                <w:sz w:val="24"/>
                <w:szCs w:val="24"/>
              </w:rPr>
            </w:pPr>
            <w:r w:rsidRPr="00B52A8A">
              <w:rPr>
                <w:i/>
                <w:sz w:val="24"/>
                <w:szCs w:val="24"/>
              </w:rPr>
              <w:t>20,10</w:t>
            </w:r>
          </w:p>
        </w:tc>
        <w:tc>
          <w:tcPr>
            <w:tcW w:w="1670" w:type="dxa"/>
          </w:tcPr>
          <w:p w:rsidR="00E12A8C" w:rsidRPr="00B52A8A" w:rsidRDefault="00B304B3" w:rsidP="00270CDE">
            <w:pPr>
              <w:spacing w:after="0"/>
              <w:jc w:val="center"/>
              <w:rPr>
                <w:i/>
                <w:sz w:val="24"/>
                <w:szCs w:val="24"/>
              </w:rPr>
            </w:pPr>
            <w:r w:rsidRPr="00B52A8A">
              <w:rPr>
                <w:i/>
                <w:sz w:val="24"/>
                <w:szCs w:val="24"/>
              </w:rPr>
              <w:t>3,65</w:t>
            </w:r>
          </w:p>
        </w:tc>
      </w:tr>
      <w:tr w:rsidR="009B60C8" w:rsidRPr="00B52A8A" w:rsidTr="009B60C8">
        <w:trPr>
          <w:jc w:val="center"/>
        </w:trPr>
        <w:tc>
          <w:tcPr>
            <w:tcW w:w="1951" w:type="dxa"/>
          </w:tcPr>
          <w:p w:rsidR="00E12A8C" w:rsidRPr="00B52A8A" w:rsidRDefault="00E12A8C" w:rsidP="0018420E">
            <w:pPr>
              <w:spacing w:after="0"/>
              <w:rPr>
                <w:b/>
                <w:i/>
                <w:sz w:val="24"/>
                <w:szCs w:val="24"/>
              </w:rPr>
            </w:pPr>
            <w:r w:rsidRPr="00B52A8A">
              <w:rPr>
                <w:b/>
                <w:i/>
                <w:sz w:val="24"/>
                <w:szCs w:val="24"/>
              </w:rPr>
              <w:t>VFA</w:t>
            </w:r>
          </w:p>
        </w:tc>
        <w:tc>
          <w:tcPr>
            <w:tcW w:w="1843" w:type="dxa"/>
          </w:tcPr>
          <w:p w:rsidR="00E12A8C" w:rsidRPr="00B52A8A" w:rsidRDefault="00270CDE" w:rsidP="00270CDE">
            <w:pPr>
              <w:spacing w:after="0"/>
              <w:rPr>
                <w:i/>
                <w:sz w:val="24"/>
                <w:szCs w:val="24"/>
              </w:rPr>
            </w:pPr>
            <w:r w:rsidRPr="00B52A8A">
              <w:rPr>
                <w:i/>
                <w:sz w:val="24"/>
                <w:szCs w:val="24"/>
              </w:rPr>
              <w:t xml:space="preserve">     </w:t>
            </w:r>
            <w:r w:rsidR="00B304B3" w:rsidRPr="00B52A8A">
              <w:rPr>
                <w:i/>
                <w:sz w:val="24"/>
                <w:szCs w:val="24"/>
              </w:rPr>
              <w:t>139,78</w:t>
            </w:r>
          </w:p>
        </w:tc>
        <w:tc>
          <w:tcPr>
            <w:tcW w:w="1732" w:type="dxa"/>
          </w:tcPr>
          <w:p w:rsidR="00E12A8C" w:rsidRPr="00B52A8A" w:rsidRDefault="00270CDE" w:rsidP="00270CDE">
            <w:pPr>
              <w:spacing w:after="0"/>
              <w:rPr>
                <w:i/>
                <w:sz w:val="24"/>
                <w:szCs w:val="24"/>
              </w:rPr>
            </w:pPr>
            <w:r w:rsidRPr="00B52A8A">
              <w:rPr>
                <w:i/>
                <w:sz w:val="24"/>
                <w:szCs w:val="24"/>
              </w:rPr>
              <w:t xml:space="preserve">     </w:t>
            </w:r>
            <w:r w:rsidR="00B304B3" w:rsidRPr="00B52A8A">
              <w:rPr>
                <w:i/>
                <w:sz w:val="24"/>
                <w:szCs w:val="24"/>
              </w:rPr>
              <w:t>65,26</w:t>
            </w:r>
          </w:p>
        </w:tc>
        <w:tc>
          <w:tcPr>
            <w:tcW w:w="1843" w:type="dxa"/>
          </w:tcPr>
          <w:p w:rsidR="00E12A8C" w:rsidRPr="00B52A8A" w:rsidRDefault="00270CDE" w:rsidP="00270CDE">
            <w:pPr>
              <w:spacing w:after="0"/>
              <w:rPr>
                <w:i/>
                <w:sz w:val="24"/>
                <w:szCs w:val="24"/>
              </w:rPr>
            </w:pPr>
            <w:r w:rsidRPr="00B52A8A">
              <w:rPr>
                <w:i/>
                <w:sz w:val="24"/>
                <w:szCs w:val="24"/>
              </w:rPr>
              <w:t xml:space="preserve">    </w:t>
            </w:r>
            <w:r w:rsidR="00B304B3" w:rsidRPr="00B52A8A">
              <w:rPr>
                <w:i/>
                <w:sz w:val="24"/>
                <w:szCs w:val="24"/>
              </w:rPr>
              <w:t>224,34</w:t>
            </w:r>
          </w:p>
        </w:tc>
        <w:tc>
          <w:tcPr>
            <w:tcW w:w="1670" w:type="dxa"/>
          </w:tcPr>
          <w:p w:rsidR="00E12A8C" w:rsidRPr="00B52A8A" w:rsidRDefault="00270CDE" w:rsidP="00270CDE">
            <w:pPr>
              <w:spacing w:after="0"/>
              <w:rPr>
                <w:i/>
                <w:sz w:val="24"/>
                <w:szCs w:val="24"/>
              </w:rPr>
            </w:pPr>
            <w:r w:rsidRPr="00B52A8A">
              <w:rPr>
                <w:i/>
                <w:sz w:val="24"/>
                <w:szCs w:val="24"/>
              </w:rPr>
              <w:t xml:space="preserve">    </w:t>
            </w:r>
            <w:r w:rsidR="00B304B3" w:rsidRPr="00B52A8A">
              <w:rPr>
                <w:i/>
                <w:sz w:val="24"/>
                <w:szCs w:val="24"/>
              </w:rPr>
              <w:t>32,98</w:t>
            </w:r>
          </w:p>
        </w:tc>
      </w:tr>
      <w:tr w:rsidR="00E12A8C" w:rsidRPr="00B52A8A" w:rsidTr="009B60C8">
        <w:trPr>
          <w:jc w:val="center"/>
        </w:trPr>
        <w:tc>
          <w:tcPr>
            <w:tcW w:w="1951" w:type="dxa"/>
          </w:tcPr>
          <w:p w:rsidR="00E12A8C" w:rsidRPr="00B52A8A" w:rsidRDefault="009B60C8" w:rsidP="0018420E">
            <w:pPr>
              <w:spacing w:after="0"/>
              <w:rPr>
                <w:b/>
                <w:i/>
                <w:sz w:val="24"/>
                <w:szCs w:val="24"/>
              </w:rPr>
            </w:pPr>
            <w:r w:rsidRPr="00B52A8A">
              <w:rPr>
                <w:b/>
                <w:i/>
                <w:sz w:val="24"/>
                <w:szCs w:val="24"/>
              </w:rPr>
              <w:t>OD</w:t>
            </w:r>
          </w:p>
        </w:tc>
        <w:tc>
          <w:tcPr>
            <w:tcW w:w="1843" w:type="dxa"/>
          </w:tcPr>
          <w:p w:rsidR="00E12A8C" w:rsidRPr="00B52A8A" w:rsidRDefault="00270CDE" w:rsidP="00270CDE">
            <w:pPr>
              <w:spacing w:after="0"/>
              <w:rPr>
                <w:i/>
                <w:sz w:val="24"/>
                <w:szCs w:val="24"/>
              </w:rPr>
            </w:pPr>
            <w:r w:rsidRPr="00B52A8A">
              <w:rPr>
                <w:i/>
                <w:sz w:val="24"/>
                <w:szCs w:val="24"/>
              </w:rPr>
              <w:t xml:space="preserve">     </w:t>
            </w:r>
            <w:r w:rsidR="00B304B3" w:rsidRPr="00B52A8A">
              <w:rPr>
                <w:i/>
                <w:sz w:val="24"/>
                <w:szCs w:val="24"/>
              </w:rPr>
              <w:t>129,47</w:t>
            </w:r>
          </w:p>
        </w:tc>
        <w:tc>
          <w:tcPr>
            <w:tcW w:w="1732" w:type="dxa"/>
          </w:tcPr>
          <w:p w:rsidR="00E12A8C" w:rsidRPr="00B52A8A" w:rsidRDefault="00270CDE" w:rsidP="00270CDE">
            <w:pPr>
              <w:spacing w:after="0"/>
              <w:rPr>
                <w:i/>
                <w:sz w:val="24"/>
                <w:szCs w:val="24"/>
              </w:rPr>
            </w:pPr>
            <w:r w:rsidRPr="00B52A8A">
              <w:rPr>
                <w:i/>
                <w:sz w:val="24"/>
                <w:szCs w:val="24"/>
              </w:rPr>
              <w:t xml:space="preserve">     83,10</w:t>
            </w:r>
          </w:p>
        </w:tc>
        <w:tc>
          <w:tcPr>
            <w:tcW w:w="1843" w:type="dxa"/>
          </w:tcPr>
          <w:p w:rsidR="00E12A8C" w:rsidRPr="00B52A8A" w:rsidRDefault="00270CDE" w:rsidP="00270CDE">
            <w:pPr>
              <w:spacing w:after="0"/>
              <w:rPr>
                <w:i/>
                <w:sz w:val="24"/>
                <w:szCs w:val="24"/>
              </w:rPr>
            </w:pPr>
            <w:r w:rsidRPr="00B52A8A">
              <w:rPr>
                <w:i/>
                <w:sz w:val="24"/>
                <w:szCs w:val="24"/>
              </w:rPr>
              <w:t xml:space="preserve">    188,34</w:t>
            </w:r>
          </w:p>
        </w:tc>
        <w:tc>
          <w:tcPr>
            <w:tcW w:w="1670" w:type="dxa"/>
          </w:tcPr>
          <w:p w:rsidR="00E12A8C" w:rsidRPr="00B52A8A" w:rsidRDefault="00270CDE" w:rsidP="00270CDE">
            <w:pPr>
              <w:spacing w:after="0"/>
              <w:rPr>
                <w:i/>
                <w:sz w:val="24"/>
                <w:szCs w:val="24"/>
              </w:rPr>
            </w:pPr>
            <w:r w:rsidRPr="00B52A8A">
              <w:rPr>
                <w:i/>
                <w:sz w:val="24"/>
                <w:szCs w:val="24"/>
              </w:rPr>
              <w:t xml:space="preserve">    21,66</w:t>
            </w:r>
          </w:p>
        </w:tc>
      </w:tr>
      <w:tr w:rsidR="009B60C8" w:rsidRPr="00B52A8A" w:rsidTr="009B60C8">
        <w:trPr>
          <w:jc w:val="center"/>
        </w:trPr>
        <w:tc>
          <w:tcPr>
            <w:tcW w:w="1951" w:type="dxa"/>
          </w:tcPr>
          <w:p w:rsidR="00270CDE" w:rsidRPr="00B52A8A" w:rsidRDefault="00270CDE" w:rsidP="009B60C8">
            <w:pPr>
              <w:spacing w:after="0"/>
              <w:rPr>
                <w:b/>
                <w:i/>
                <w:sz w:val="24"/>
                <w:szCs w:val="24"/>
              </w:rPr>
            </w:pPr>
            <w:r w:rsidRPr="00B52A8A">
              <w:rPr>
                <w:b/>
                <w:i/>
                <w:sz w:val="24"/>
                <w:szCs w:val="24"/>
              </w:rPr>
              <w:t>F</w:t>
            </w:r>
            <w:r w:rsidR="009B60C8" w:rsidRPr="00B52A8A">
              <w:rPr>
                <w:b/>
                <w:i/>
                <w:sz w:val="24"/>
                <w:szCs w:val="24"/>
              </w:rPr>
              <w:t>S</w:t>
            </w:r>
          </w:p>
        </w:tc>
        <w:tc>
          <w:tcPr>
            <w:tcW w:w="1843" w:type="dxa"/>
          </w:tcPr>
          <w:p w:rsidR="00270CDE" w:rsidRPr="00B52A8A" w:rsidRDefault="00270CDE" w:rsidP="00270CDE">
            <w:pPr>
              <w:spacing w:after="0"/>
              <w:rPr>
                <w:i/>
                <w:sz w:val="24"/>
                <w:szCs w:val="24"/>
              </w:rPr>
            </w:pPr>
            <w:r w:rsidRPr="00B52A8A">
              <w:rPr>
                <w:i/>
                <w:sz w:val="24"/>
                <w:szCs w:val="24"/>
              </w:rPr>
              <w:t xml:space="preserve">      66,89</w:t>
            </w:r>
          </w:p>
        </w:tc>
        <w:tc>
          <w:tcPr>
            <w:tcW w:w="1732" w:type="dxa"/>
          </w:tcPr>
          <w:p w:rsidR="00270CDE" w:rsidRPr="00B52A8A" w:rsidRDefault="00270CDE" w:rsidP="00270CDE">
            <w:pPr>
              <w:spacing w:after="0"/>
              <w:rPr>
                <w:i/>
                <w:sz w:val="24"/>
                <w:szCs w:val="24"/>
              </w:rPr>
            </w:pPr>
            <w:r w:rsidRPr="00B52A8A">
              <w:rPr>
                <w:i/>
                <w:sz w:val="24"/>
                <w:szCs w:val="24"/>
              </w:rPr>
              <w:t xml:space="preserve">    51,00</w:t>
            </w:r>
          </w:p>
        </w:tc>
        <w:tc>
          <w:tcPr>
            <w:tcW w:w="1843" w:type="dxa"/>
          </w:tcPr>
          <w:p w:rsidR="00270CDE" w:rsidRPr="00B52A8A" w:rsidRDefault="00270CDE" w:rsidP="00270CDE">
            <w:pPr>
              <w:spacing w:after="0"/>
              <w:rPr>
                <w:i/>
                <w:sz w:val="24"/>
                <w:szCs w:val="24"/>
              </w:rPr>
            </w:pPr>
            <w:r w:rsidRPr="00B52A8A">
              <w:rPr>
                <w:i/>
                <w:sz w:val="24"/>
                <w:szCs w:val="24"/>
              </w:rPr>
              <w:t xml:space="preserve">     78,00</w:t>
            </w:r>
          </w:p>
        </w:tc>
        <w:tc>
          <w:tcPr>
            <w:tcW w:w="1670" w:type="dxa"/>
          </w:tcPr>
          <w:p w:rsidR="00270CDE" w:rsidRPr="00B52A8A" w:rsidRDefault="00270CDE" w:rsidP="00270CDE">
            <w:pPr>
              <w:spacing w:after="0"/>
              <w:rPr>
                <w:i/>
                <w:sz w:val="24"/>
                <w:szCs w:val="24"/>
              </w:rPr>
            </w:pPr>
            <w:r w:rsidRPr="00B52A8A">
              <w:rPr>
                <w:i/>
                <w:sz w:val="24"/>
                <w:szCs w:val="24"/>
              </w:rPr>
              <w:t xml:space="preserve">     6,66</w:t>
            </w:r>
          </w:p>
        </w:tc>
      </w:tr>
    </w:tbl>
    <w:p w:rsidR="00581919" w:rsidRPr="00B52A8A" w:rsidRDefault="00581919" w:rsidP="0018420E">
      <w:pPr>
        <w:spacing w:after="0"/>
        <w:rPr>
          <w:i/>
          <w:sz w:val="16"/>
          <w:szCs w:val="16"/>
        </w:rPr>
      </w:pPr>
    </w:p>
    <w:p w:rsidR="00581919" w:rsidRPr="00B52A8A" w:rsidRDefault="00581919" w:rsidP="00FF145F">
      <w:pPr>
        <w:spacing w:after="0"/>
        <w:rPr>
          <w:i/>
          <w:sz w:val="16"/>
          <w:szCs w:val="16"/>
        </w:rPr>
      </w:pPr>
      <w:r w:rsidRPr="00B52A8A">
        <w:rPr>
          <w:i/>
          <w:sz w:val="16"/>
          <w:szCs w:val="16"/>
        </w:rPr>
        <w:t xml:space="preserve">Vysvětlivky:    </w:t>
      </w:r>
      <w:r w:rsidR="00DA3503" w:rsidRPr="00B52A8A">
        <w:rPr>
          <w:i/>
          <w:sz w:val="16"/>
          <w:szCs w:val="16"/>
        </w:rPr>
        <w:t>FFMI      – index tukuprosté hmoty</w:t>
      </w:r>
      <w:r w:rsidR="00DA3503" w:rsidRPr="00B52A8A">
        <w:rPr>
          <w:i/>
          <w:sz w:val="16"/>
          <w:szCs w:val="16"/>
        </w:rPr>
        <w:tab/>
      </w:r>
      <w:r w:rsidR="00A475EA" w:rsidRPr="00B52A8A">
        <w:rPr>
          <w:i/>
          <w:sz w:val="16"/>
          <w:szCs w:val="16"/>
        </w:rPr>
        <w:t xml:space="preserve"> </w:t>
      </w:r>
      <w:r w:rsidR="009B60C8" w:rsidRPr="00B52A8A">
        <w:rPr>
          <w:i/>
          <w:sz w:val="16"/>
          <w:szCs w:val="16"/>
        </w:rPr>
        <w:tab/>
      </w:r>
      <w:proofErr w:type="gramStart"/>
      <w:r w:rsidR="009B60C8" w:rsidRPr="00B52A8A">
        <w:rPr>
          <w:i/>
          <w:sz w:val="16"/>
          <w:szCs w:val="16"/>
        </w:rPr>
        <w:t>OD</w:t>
      </w:r>
      <w:r w:rsidR="00DA3503" w:rsidRPr="00B52A8A">
        <w:rPr>
          <w:i/>
          <w:sz w:val="16"/>
          <w:szCs w:val="16"/>
        </w:rPr>
        <w:t xml:space="preserve"> </w:t>
      </w:r>
      <w:r w:rsidR="009B60C8" w:rsidRPr="00B52A8A">
        <w:rPr>
          <w:i/>
          <w:sz w:val="16"/>
          <w:szCs w:val="16"/>
        </w:rPr>
        <w:t xml:space="preserve">   </w:t>
      </w:r>
      <w:r w:rsidR="00DA3503" w:rsidRPr="00B52A8A">
        <w:rPr>
          <w:i/>
          <w:sz w:val="16"/>
          <w:szCs w:val="16"/>
        </w:rPr>
        <w:t xml:space="preserve">    – stupeň</w:t>
      </w:r>
      <w:proofErr w:type="gramEnd"/>
      <w:r w:rsidR="00DA3503" w:rsidRPr="00B52A8A">
        <w:rPr>
          <w:i/>
          <w:sz w:val="16"/>
          <w:szCs w:val="16"/>
        </w:rPr>
        <w:t xml:space="preserve"> obezity</w:t>
      </w:r>
    </w:p>
    <w:p w:rsidR="00581919" w:rsidRPr="00B52A8A" w:rsidRDefault="00581919" w:rsidP="00581919">
      <w:pPr>
        <w:spacing w:after="0"/>
        <w:ind w:hanging="567"/>
        <w:rPr>
          <w:i/>
          <w:sz w:val="16"/>
          <w:szCs w:val="16"/>
        </w:rPr>
      </w:pPr>
      <w:r w:rsidRPr="00B52A8A">
        <w:rPr>
          <w:i/>
          <w:sz w:val="16"/>
          <w:szCs w:val="16"/>
        </w:rPr>
        <w:tab/>
      </w:r>
      <w:r w:rsidR="00570A2A" w:rsidRPr="00B52A8A">
        <w:rPr>
          <w:i/>
          <w:sz w:val="16"/>
          <w:szCs w:val="16"/>
        </w:rPr>
        <w:t xml:space="preserve">           </w:t>
      </w:r>
      <w:r w:rsidRPr="00B52A8A">
        <w:rPr>
          <w:i/>
          <w:sz w:val="16"/>
          <w:szCs w:val="16"/>
        </w:rPr>
        <w:t xml:space="preserve">             </w:t>
      </w:r>
      <w:r w:rsidR="00DA3503" w:rsidRPr="00B52A8A">
        <w:rPr>
          <w:i/>
          <w:sz w:val="16"/>
          <w:szCs w:val="16"/>
        </w:rPr>
        <w:t>BFMI      – index tukové hmoty</w:t>
      </w:r>
      <w:r w:rsidRPr="00B52A8A">
        <w:rPr>
          <w:i/>
          <w:sz w:val="16"/>
          <w:szCs w:val="16"/>
        </w:rPr>
        <w:tab/>
      </w:r>
      <w:r w:rsidRPr="00B52A8A">
        <w:rPr>
          <w:i/>
          <w:sz w:val="16"/>
          <w:szCs w:val="16"/>
        </w:rPr>
        <w:tab/>
      </w:r>
      <w:r w:rsidR="00570A2A" w:rsidRPr="00B52A8A">
        <w:rPr>
          <w:i/>
          <w:sz w:val="16"/>
          <w:szCs w:val="16"/>
        </w:rPr>
        <w:tab/>
      </w:r>
      <w:proofErr w:type="gramStart"/>
      <w:r w:rsidR="009B60C8" w:rsidRPr="00B52A8A">
        <w:rPr>
          <w:i/>
          <w:sz w:val="16"/>
          <w:szCs w:val="16"/>
        </w:rPr>
        <w:t>FS</w:t>
      </w:r>
      <w:r w:rsidR="00DA3503" w:rsidRPr="00B52A8A">
        <w:rPr>
          <w:i/>
          <w:sz w:val="16"/>
          <w:szCs w:val="16"/>
        </w:rPr>
        <w:t xml:space="preserve">         – fitness</w:t>
      </w:r>
      <w:proofErr w:type="gramEnd"/>
      <w:r w:rsidR="00DA3503" w:rsidRPr="00B52A8A">
        <w:rPr>
          <w:i/>
          <w:sz w:val="16"/>
          <w:szCs w:val="16"/>
        </w:rPr>
        <w:t xml:space="preserve"> skóre</w:t>
      </w:r>
    </w:p>
    <w:p w:rsidR="00DA3503" w:rsidRPr="00B52A8A" w:rsidRDefault="00581919" w:rsidP="00DA3503">
      <w:pPr>
        <w:spacing w:after="0"/>
        <w:ind w:hanging="567"/>
        <w:rPr>
          <w:i/>
          <w:sz w:val="16"/>
          <w:szCs w:val="16"/>
        </w:rPr>
      </w:pPr>
      <w:r w:rsidRPr="00B52A8A">
        <w:rPr>
          <w:i/>
          <w:sz w:val="16"/>
          <w:szCs w:val="16"/>
        </w:rPr>
        <w:tab/>
        <w:t xml:space="preserve">           </w:t>
      </w:r>
      <w:r w:rsidR="00570A2A" w:rsidRPr="00B52A8A">
        <w:rPr>
          <w:i/>
          <w:sz w:val="16"/>
          <w:szCs w:val="16"/>
        </w:rPr>
        <w:tab/>
        <w:t xml:space="preserve">       </w:t>
      </w:r>
      <w:r w:rsidRPr="00B52A8A">
        <w:rPr>
          <w:i/>
          <w:sz w:val="16"/>
          <w:szCs w:val="16"/>
        </w:rPr>
        <w:t xml:space="preserve">  </w:t>
      </w:r>
      <w:r w:rsidR="00DA3503" w:rsidRPr="00B52A8A">
        <w:rPr>
          <w:i/>
          <w:sz w:val="16"/>
          <w:szCs w:val="16"/>
        </w:rPr>
        <w:t xml:space="preserve">VFA        – oblast viscerálního tuku  </w:t>
      </w:r>
    </w:p>
    <w:p w:rsidR="00581919" w:rsidRPr="00B52A8A" w:rsidRDefault="00DA3503" w:rsidP="00581919">
      <w:pPr>
        <w:spacing w:after="0"/>
        <w:ind w:hanging="567"/>
        <w:rPr>
          <w:i/>
          <w:sz w:val="16"/>
          <w:szCs w:val="16"/>
        </w:rPr>
      </w:pPr>
      <w:r w:rsidRPr="00B52A8A">
        <w:rPr>
          <w:i/>
          <w:sz w:val="16"/>
          <w:szCs w:val="16"/>
        </w:rPr>
        <w:tab/>
      </w:r>
      <w:r w:rsidRPr="00B52A8A">
        <w:rPr>
          <w:i/>
          <w:sz w:val="16"/>
          <w:szCs w:val="16"/>
        </w:rPr>
        <w:tab/>
      </w:r>
      <w:r w:rsidRPr="00B52A8A">
        <w:rPr>
          <w:i/>
          <w:sz w:val="16"/>
          <w:szCs w:val="16"/>
        </w:rPr>
        <w:tab/>
      </w:r>
      <w:r w:rsidRPr="00B52A8A">
        <w:rPr>
          <w:i/>
          <w:sz w:val="16"/>
          <w:szCs w:val="16"/>
        </w:rPr>
        <w:tab/>
      </w:r>
      <w:r w:rsidR="00581919" w:rsidRPr="00B52A8A">
        <w:rPr>
          <w:i/>
          <w:sz w:val="16"/>
          <w:szCs w:val="16"/>
        </w:rPr>
        <w:tab/>
      </w:r>
      <w:r w:rsidR="00581919" w:rsidRPr="00B52A8A">
        <w:rPr>
          <w:i/>
          <w:sz w:val="16"/>
          <w:szCs w:val="16"/>
        </w:rPr>
        <w:tab/>
      </w:r>
    </w:p>
    <w:p w:rsidR="009A60D2" w:rsidRPr="00B52A8A" w:rsidRDefault="00581919" w:rsidP="00DA3503">
      <w:pPr>
        <w:spacing w:after="0"/>
        <w:ind w:hanging="567"/>
        <w:rPr>
          <w:i/>
          <w:sz w:val="16"/>
          <w:szCs w:val="16"/>
        </w:rPr>
      </w:pPr>
      <w:r w:rsidRPr="00B52A8A">
        <w:rPr>
          <w:i/>
          <w:sz w:val="16"/>
          <w:szCs w:val="16"/>
        </w:rPr>
        <w:tab/>
        <w:t xml:space="preserve">            </w:t>
      </w:r>
    </w:p>
    <w:p w:rsidR="00E83BD4" w:rsidRPr="00B52A8A" w:rsidRDefault="00C953D3" w:rsidP="00DA3503">
      <w:pPr>
        <w:ind w:firstLine="284"/>
        <w:rPr>
          <w:szCs w:val="24"/>
        </w:rPr>
      </w:pPr>
      <w:r w:rsidRPr="00B52A8A">
        <w:rPr>
          <w:szCs w:val="24"/>
        </w:rPr>
        <w:t>Při analýze rizikových parametrů zdraví</w:t>
      </w:r>
      <w:r w:rsidR="00594C78" w:rsidRPr="00B52A8A">
        <w:rPr>
          <w:szCs w:val="24"/>
        </w:rPr>
        <w:t xml:space="preserve"> jsme porovnali optimální hodnoty </w:t>
      </w:r>
      <w:r w:rsidR="00594C78" w:rsidRPr="00B52A8A">
        <w:rPr>
          <w:b/>
          <w:szCs w:val="24"/>
        </w:rPr>
        <w:t>FFMI</w:t>
      </w:r>
      <w:r w:rsidR="00594C78" w:rsidRPr="00B52A8A">
        <w:rPr>
          <w:szCs w:val="24"/>
        </w:rPr>
        <w:t xml:space="preserve"> </w:t>
      </w:r>
      <w:r w:rsidR="00594C78" w:rsidRPr="00B52A8A">
        <w:t>14,6</w:t>
      </w:r>
      <w:r w:rsidR="00FF145F" w:rsidRPr="00B52A8A">
        <w:t xml:space="preserve"> </w:t>
      </w:r>
      <w:r w:rsidR="00594C78" w:rsidRPr="00B52A8A">
        <w:t>–</w:t>
      </w:r>
      <w:r w:rsidR="00FF145F" w:rsidRPr="00B52A8A">
        <w:t xml:space="preserve"> </w:t>
      </w:r>
      <w:r w:rsidR="00594C78" w:rsidRPr="00B52A8A">
        <w:t>16,7 kg/m</w:t>
      </w:r>
      <w:r w:rsidR="009A60D2" w:rsidRPr="00B52A8A">
        <w:rPr>
          <w:szCs w:val="24"/>
          <w:vertAlign w:val="superscript"/>
        </w:rPr>
        <w:t>2</w:t>
      </w:r>
      <w:r w:rsidR="008711F4" w:rsidRPr="00B52A8A">
        <w:rPr>
          <w:szCs w:val="24"/>
          <w:vertAlign w:val="superscript"/>
        </w:rPr>
        <w:t xml:space="preserve"> </w:t>
      </w:r>
      <w:r w:rsidR="008711F4" w:rsidRPr="00B52A8A">
        <w:t xml:space="preserve">(Kyle et al., 2004a). </w:t>
      </w:r>
      <w:r w:rsidR="002445C2" w:rsidRPr="00B52A8A">
        <w:t>P</w:t>
      </w:r>
      <w:r w:rsidR="00594C78" w:rsidRPr="00B52A8A">
        <w:t>růměrná hodnota souboru byla naměřena jen mírně nad tímto optim</w:t>
      </w:r>
      <w:r w:rsidR="009A60D2" w:rsidRPr="00B52A8A">
        <w:t>álním rozpětím, průměrná hodnota souboru</w:t>
      </w:r>
      <w:r w:rsidR="00594C78" w:rsidRPr="00B52A8A">
        <w:t xml:space="preserve"> byla 17,03</w:t>
      </w:r>
      <w:r w:rsidR="009A60D2" w:rsidRPr="00B52A8A">
        <w:t xml:space="preserve"> kg</w:t>
      </w:r>
      <w:r w:rsidR="009A60D2" w:rsidRPr="00B52A8A">
        <w:rPr>
          <w:szCs w:val="24"/>
        </w:rPr>
        <w:t>/m</w:t>
      </w:r>
      <w:r w:rsidR="009A60D2" w:rsidRPr="00B52A8A">
        <w:rPr>
          <w:szCs w:val="24"/>
          <w:vertAlign w:val="superscript"/>
        </w:rPr>
        <w:t>2</w:t>
      </w:r>
      <w:r w:rsidR="008711F4" w:rsidRPr="00B52A8A">
        <w:rPr>
          <w:szCs w:val="24"/>
        </w:rPr>
        <w:t xml:space="preserve">. Což potvrzuje poměrně konstantní hodnoty FFMI do věku 74 let oproti úbytku FFM (Kyle, Genton, Gremion, Slosman &amp; Richard, 2004),  </w:t>
      </w:r>
    </w:p>
    <w:p w:rsidR="00581919" w:rsidRPr="00B52A8A" w:rsidRDefault="00594C78" w:rsidP="00DA3503">
      <w:pPr>
        <w:ind w:firstLine="284"/>
        <w:rPr>
          <w:szCs w:val="24"/>
        </w:rPr>
      </w:pPr>
      <w:r w:rsidRPr="00B52A8A">
        <w:rPr>
          <w:szCs w:val="24"/>
        </w:rPr>
        <w:t xml:space="preserve">Zdravotně bezpečné pásmo </w:t>
      </w:r>
      <w:r w:rsidR="002445C2" w:rsidRPr="00B52A8A">
        <w:rPr>
          <w:szCs w:val="24"/>
        </w:rPr>
        <w:t xml:space="preserve">pro </w:t>
      </w:r>
      <w:r w:rsidRPr="00B52A8A">
        <w:rPr>
          <w:b/>
          <w:szCs w:val="24"/>
        </w:rPr>
        <w:t>BFMI</w:t>
      </w:r>
      <w:r w:rsidR="00FF145F" w:rsidRPr="00B52A8A">
        <w:rPr>
          <w:szCs w:val="24"/>
        </w:rPr>
        <w:t xml:space="preserve"> </w:t>
      </w:r>
      <w:r w:rsidR="002445C2" w:rsidRPr="00B52A8A">
        <w:rPr>
          <w:szCs w:val="24"/>
        </w:rPr>
        <w:t xml:space="preserve">je </w:t>
      </w:r>
      <w:r w:rsidRPr="00B52A8A">
        <w:rPr>
          <w:szCs w:val="24"/>
        </w:rPr>
        <w:t>3,9</w:t>
      </w:r>
      <w:r w:rsidR="00FF145F" w:rsidRPr="00B52A8A">
        <w:rPr>
          <w:szCs w:val="24"/>
        </w:rPr>
        <w:t xml:space="preserve"> </w:t>
      </w:r>
      <w:r w:rsidRPr="00B52A8A">
        <w:rPr>
          <w:szCs w:val="24"/>
        </w:rPr>
        <w:t>–</w:t>
      </w:r>
      <w:r w:rsidR="00FF145F" w:rsidRPr="00B52A8A">
        <w:rPr>
          <w:szCs w:val="24"/>
        </w:rPr>
        <w:t xml:space="preserve"> </w:t>
      </w:r>
      <w:r w:rsidRPr="00B52A8A">
        <w:rPr>
          <w:szCs w:val="24"/>
        </w:rPr>
        <w:t>8,1 kg/m</w:t>
      </w:r>
      <w:r w:rsidR="00E83BD4" w:rsidRPr="00B52A8A">
        <w:rPr>
          <w:szCs w:val="24"/>
          <w:vertAlign w:val="superscript"/>
        </w:rPr>
        <w:t>2</w:t>
      </w:r>
      <w:r w:rsidR="002445C2" w:rsidRPr="00B52A8A">
        <w:rPr>
          <w:szCs w:val="24"/>
          <w:vertAlign w:val="superscript"/>
        </w:rPr>
        <w:t xml:space="preserve"> </w:t>
      </w:r>
      <w:r w:rsidR="002445C2" w:rsidRPr="00B52A8A">
        <w:t xml:space="preserve">(Kyle et al., 2004a). </w:t>
      </w:r>
      <w:r w:rsidR="002445C2" w:rsidRPr="00B52A8A">
        <w:rPr>
          <w:szCs w:val="24"/>
        </w:rPr>
        <w:t>P</w:t>
      </w:r>
      <w:r w:rsidRPr="00B52A8A">
        <w:t xml:space="preserve">růměrné hodnoty </w:t>
      </w:r>
      <w:r w:rsidR="002445C2" w:rsidRPr="00B52A8A">
        <w:t xml:space="preserve">souboru </w:t>
      </w:r>
      <w:r w:rsidRPr="00B52A8A">
        <w:t>jsou nad tímto zdravotně bezpečným pás</w:t>
      </w:r>
      <w:r w:rsidR="002445C2" w:rsidRPr="00B52A8A">
        <w:t xml:space="preserve">mem a dosahovaly </w:t>
      </w:r>
      <w:r w:rsidRPr="00B52A8A">
        <w:t xml:space="preserve">10,80 </w:t>
      </w:r>
      <w:r w:rsidRPr="00B52A8A">
        <w:rPr>
          <w:szCs w:val="24"/>
        </w:rPr>
        <w:t>kg/m</w:t>
      </w:r>
      <w:r w:rsidR="00E83BD4" w:rsidRPr="00B52A8A">
        <w:rPr>
          <w:szCs w:val="24"/>
          <w:vertAlign w:val="superscript"/>
        </w:rPr>
        <w:t>2</w:t>
      </w:r>
      <w:r w:rsidRPr="00B52A8A">
        <w:rPr>
          <w:szCs w:val="24"/>
        </w:rPr>
        <w:t>.</w:t>
      </w:r>
      <w:r w:rsidR="002445C2" w:rsidRPr="00B52A8A">
        <w:rPr>
          <w:szCs w:val="24"/>
        </w:rPr>
        <w:t xml:space="preserve"> </w:t>
      </w:r>
    </w:p>
    <w:p w:rsidR="00C4666A" w:rsidRPr="00B52A8A" w:rsidRDefault="00570A2A" w:rsidP="00C4666A">
      <w:pPr>
        <w:spacing w:after="0"/>
        <w:ind w:firstLine="284"/>
        <w:rPr>
          <w:szCs w:val="24"/>
        </w:rPr>
      </w:pPr>
      <w:r w:rsidRPr="00B52A8A">
        <w:rPr>
          <w:szCs w:val="24"/>
        </w:rPr>
        <w:t>Optimální h</w:t>
      </w:r>
      <w:r w:rsidR="00594C78" w:rsidRPr="00B52A8A">
        <w:rPr>
          <w:szCs w:val="24"/>
        </w:rPr>
        <w:t xml:space="preserve">ranice rizikovosti pro </w:t>
      </w:r>
      <w:r w:rsidR="00594C78" w:rsidRPr="00B52A8A">
        <w:rPr>
          <w:b/>
          <w:szCs w:val="24"/>
        </w:rPr>
        <w:t>oblast viscerálního tuku</w:t>
      </w:r>
      <w:r w:rsidRPr="00B52A8A">
        <w:rPr>
          <w:b/>
          <w:szCs w:val="24"/>
        </w:rPr>
        <w:t xml:space="preserve"> </w:t>
      </w:r>
      <w:r w:rsidRPr="00B52A8A">
        <w:rPr>
          <w:szCs w:val="24"/>
        </w:rPr>
        <w:t>je 100</w:t>
      </w:r>
      <w:r w:rsidRPr="00B52A8A">
        <w:rPr>
          <w:b/>
          <w:szCs w:val="24"/>
        </w:rPr>
        <w:t xml:space="preserve"> </w:t>
      </w:r>
      <w:r w:rsidRPr="00B52A8A">
        <w:rPr>
          <w:szCs w:val="24"/>
        </w:rPr>
        <w:t>cm</w:t>
      </w:r>
      <w:r w:rsidRPr="00B52A8A">
        <w:rPr>
          <w:szCs w:val="24"/>
          <w:vertAlign w:val="superscript"/>
        </w:rPr>
        <w:t>2</w:t>
      </w:r>
      <w:r w:rsidR="002908BF" w:rsidRPr="00B52A8A">
        <w:rPr>
          <w:szCs w:val="24"/>
          <w:vertAlign w:val="superscript"/>
        </w:rPr>
        <w:t xml:space="preserve"> </w:t>
      </w:r>
      <w:r w:rsidR="002908BF" w:rsidRPr="00B52A8A">
        <w:rPr>
          <w:szCs w:val="24"/>
        </w:rPr>
        <w:t>(InBody 720, 2011</w:t>
      </w:r>
      <w:r w:rsidRPr="00B52A8A">
        <w:rPr>
          <w:szCs w:val="24"/>
        </w:rPr>
        <w:t>.</w:t>
      </w:r>
      <w:r w:rsidR="002908BF" w:rsidRPr="00B52A8A">
        <w:rPr>
          <w:szCs w:val="24"/>
        </w:rPr>
        <w:t xml:space="preserve">) </w:t>
      </w:r>
      <w:r w:rsidRPr="00B52A8A">
        <w:rPr>
          <w:szCs w:val="24"/>
        </w:rPr>
        <w:t>Průměrná hodnota souboru 139,78 cm</w:t>
      </w:r>
      <w:r w:rsidRPr="00B52A8A">
        <w:rPr>
          <w:szCs w:val="24"/>
          <w:vertAlign w:val="superscript"/>
        </w:rPr>
        <w:t>2</w:t>
      </w:r>
      <w:r w:rsidRPr="00B52A8A">
        <w:rPr>
          <w:szCs w:val="24"/>
        </w:rPr>
        <w:t xml:space="preserve"> o</w:t>
      </w:r>
      <w:r w:rsidR="00594C78" w:rsidRPr="00B52A8A">
        <w:rPr>
          <w:szCs w:val="24"/>
        </w:rPr>
        <w:t>dpovídá abdominální obezitě, byla překročena téměř o 40 cm</w:t>
      </w:r>
      <w:r w:rsidR="00594C78" w:rsidRPr="00B52A8A">
        <w:rPr>
          <w:szCs w:val="24"/>
          <w:vertAlign w:val="superscript"/>
        </w:rPr>
        <w:t>2</w:t>
      </w:r>
      <w:r w:rsidR="00594C78" w:rsidRPr="00B52A8A">
        <w:rPr>
          <w:szCs w:val="24"/>
        </w:rPr>
        <w:t xml:space="preserve">. </w:t>
      </w:r>
      <w:r w:rsidR="002445C2" w:rsidRPr="00B52A8A">
        <w:rPr>
          <w:szCs w:val="24"/>
        </w:rPr>
        <w:t>Minimální hodnota 65,26 cm</w:t>
      </w:r>
      <w:r w:rsidR="002445C2" w:rsidRPr="00B52A8A">
        <w:rPr>
          <w:szCs w:val="24"/>
          <w:vertAlign w:val="superscript"/>
        </w:rPr>
        <w:t>2</w:t>
      </w:r>
      <w:r w:rsidR="002445C2" w:rsidRPr="00B52A8A">
        <w:rPr>
          <w:szCs w:val="24"/>
        </w:rPr>
        <w:t>, a maximální hodnota 224,34 cm</w:t>
      </w:r>
      <w:r w:rsidR="002445C2" w:rsidRPr="00B52A8A">
        <w:rPr>
          <w:szCs w:val="24"/>
          <w:vertAlign w:val="superscript"/>
        </w:rPr>
        <w:t xml:space="preserve">2 </w:t>
      </w:r>
      <w:r w:rsidR="002445C2" w:rsidRPr="00B52A8A">
        <w:rPr>
          <w:szCs w:val="24"/>
        </w:rPr>
        <w:t>vykazují velký rozptyl</w:t>
      </w:r>
      <w:r w:rsidR="002908BF" w:rsidRPr="00B52A8A">
        <w:rPr>
          <w:szCs w:val="24"/>
        </w:rPr>
        <w:t xml:space="preserve"> souboru a rozdíl v zastoupení viscerálního tuku u jednotlivců.</w:t>
      </w:r>
    </w:p>
    <w:p w:rsidR="00154094" w:rsidRPr="00B52A8A" w:rsidRDefault="00154094" w:rsidP="00DA3503">
      <w:pPr>
        <w:spacing w:after="0"/>
        <w:ind w:firstLine="284"/>
        <w:rPr>
          <w:b/>
          <w:szCs w:val="24"/>
        </w:rPr>
      </w:pPr>
    </w:p>
    <w:p w:rsidR="00A475EA" w:rsidRPr="00B52A8A" w:rsidRDefault="00A475EA" w:rsidP="00DA3503">
      <w:pPr>
        <w:spacing w:after="0"/>
        <w:ind w:firstLine="284"/>
        <w:rPr>
          <w:b/>
          <w:szCs w:val="24"/>
        </w:rPr>
      </w:pPr>
      <w:r w:rsidRPr="00B52A8A">
        <w:rPr>
          <w:b/>
          <w:szCs w:val="24"/>
        </w:rPr>
        <w:lastRenderedPageBreak/>
        <w:t>Stupeň obezity</w:t>
      </w:r>
      <w:r w:rsidRPr="00B52A8A">
        <w:rPr>
          <w:szCs w:val="24"/>
        </w:rPr>
        <w:t xml:space="preserve">, který je založen na vztahu hmotnosti aktuální </w:t>
      </w:r>
      <w:r w:rsidR="009B60C8" w:rsidRPr="00B52A8A">
        <w:rPr>
          <w:szCs w:val="24"/>
        </w:rPr>
        <w:br/>
      </w:r>
      <w:r w:rsidRPr="00B52A8A">
        <w:rPr>
          <w:szCs w:val="24"/>
        </w:rPr>
        <w:t>a ideální, které jsou pro náš soubor popsány hodnotami</w:t>
      </w:r>
      <w:r w:rsidRPr="00B52A8A">
        <w:rPr>
          <w:b/>
          <w:color w:val="FF0000"/>
          <w:szCs w:val="24"/>
        </w:rPr>
        <w:t xml:space="preserve"> </w:t>
      </w:r>
      <w:r w:rsidRPr="00B52A8A">
        <w:rPr>
          <w:szCs w:val="24"/>
        </w:rPr>
        <w:t>70 kg a 57 kg.</w:t>
      </w:r>
      <w:r w:rsidRPr="00B52A8A">
        <w:rPr>
          <w:color w:val="FF0000"/>
          <w:szCs w:val="24"/>
        </w:rPr>
        <w:t xml:space="preserve"> </w:t>
      </w:r>
      <w:r w:rsidRPr="00B52A8A">
        <w:rPr>
          <w:szCs w:val="24"/>
        </w:rPr>
        <w:t>Hodnota 129,47 % je stupeň obezity, který je nad hranicí 120 %, která je již indikátorem ob</w:t>
      </w:r>
      <w:r w:rsidR="00DA3503" w:rsidRPr="00B52A8A">
        <w:rPr>
          <w:szCs w:val="24"/>
        </w:rPr>
        <w:t>ezity</w:t>
      </w:r>
      <w:r w:rsidR="002908BF" w:rsidRPr="00B52A8A">
        <w:rPr>
          <w:szCs w:val="24"/>
        </w:rPr>
        <w:t xml:space="preserve"> (InBody 720, 2011)</w:t>
      </w:r>
      <w:r w:rsidRPr="00B52A8A">
        <w:rPr>
          <w:szCs w:val="24"/>
        </w:rPr>
        <w:t xml:space="preserve">. </w:t>
      </w:r>
    </w:p>
    <w:p w:rsidR="00F04C91" w:rsidRPr="00B52A8A" w:rsidRDefault="00F04C91" w:rsidP="00DA3503">
      <w:pPr>
        <w:spacing w:after="0"/>
        <w:ind w:firstLine="284"/>
        <w:rPr>
          <w:color w:val="FF0000"/>
          <w:szCs w:val="24"/>
        </w:rPr>
      </w:pPr>
      <w:r w:rsidRPr="00B52A8A">
        <w:rPr>
          <w:b/>
          <w:szCs w:val="24"/>
        </w:rPr>
        <w:t>Fitness skóre</w:t>
      </w:r>
      <w:r w:rsidR="002908BF" w:rsidRPr="00B52A8A">
        <w:rPr>
          <w:szCs w:val="24"/>
        </w:rPr>
        <w:t xml:space="preserve"> popisuje typologii jedince dle</w:t>
      </w:r>
      <w:r w:rsidRPr="00B52A8A">
        <w:rPr>
          <w:szCs w:val="24"/>
        </w:rPr>
        <w:t> zastoupení tukové a svalové frakce vzhledem k</w:t>
      </w:r>
      <w:r w:rsidR="002908BF" w:rsidRPr="00B52A8A">
        <w:rPr>
          <w:szCs w:val="24"/>
        </w:rPr>
        <w:t> </w:t>
      </w:r>
      <w:r w:rsidRPr="00B52A8A">
        <w:rPr>
          <w:szCs w:val="24"/>
        </w:rPr>
        <w:t>hmotnosti</w:t>
      </w:r>
      <w:r w:rsidR="002908BF" w:rsidRPr="00B52A8A">
        <w:rPr>
          <w:szCs w:val="24"/>
        </w:rPr>
        <w:t>. Hranice normy je 70 – 90 (InBody, 720, 2011). V</w:t>
      </w:r>
      <w:r w:rsidRPr="00B52A8A">
        <w:rPr>
          <w:szCs w:val="24"/>
        </w:rPr>
        <w:t xml:space="preserve"> průměru </w:t>
      </w:r>
      <w:r w:rsidR="002908BF" w:rsidRPr="00B52A8A">
        <w:rPr>
          <w:szCs w:val="24"/>
        </w:rPr>
        <w:t>byla dosažena hodnota 66,89, která je pod hranicí 70, a</w:t>
      </w:r>
      <w:r w:rsidRPr="00B52A8A">
        <w:rPr>
          <w:szCs w:val="24"/>
        </w:rPr>
        <w:t xml:space="preserve"> popisuje jedince jako typ slabý, mírně obézní.</w:t>
      </w:r>
    </w:p>
    <w:p w:rsidR="0029436F" w:rsidRPr="00B52A8A" w:rsidRDefault="0029436F" w:rsidP="0018420E">
      <w:pPr>
        <w:spacing w:after="0"/>
        <w:rPr>
          <w:szCs w:val="24"/>
        </w:rPr>
      </w:pPr>
    </w:p>
    <w:p w:rsidR="00EA0511" w:rsidRPr="00B52A8A" w:rsidRDefault="00EA0511" w:rsidP="00EA0511">
      <w:pPr>
        <w:pStyle w:val="P-nadpis2"/>
        <w:ind w:firstLine="0"/>
      </w:pPr>
      <w:bookmarkStart w:id="125" w:name="_Toc293057995"/>
      <w:bookmarkStart w:id="126" w:name="_Toc293153763"/>
      <w:r w:rsidRPr="00B52A8A">
        <w:t xml:space="preserve">5.4 ANALÝZA HODNOT NAMĚŘENÝCH PŘÍSTROJEM </w:t>
      </w:r>
      <w:r w:rsidR="00431C63" w:rsidRPr="00B52A8A">
        <w:t xml:space="preserve">  </w:t>
      </w:r>
      <w:r w:rsidR="00431C63" w:rsidRPr="00B52A8A">
        <w:br/>
        <w:t xml:space="preserve">          </w:t>
      </w:r>
      <w:r w:rsidRPr="00B52A8A">
        <w:t>ACTIGRAPH</w:t>
      </w:r>
      <w:r w:rsidR="002908BF" w:rsidRPr="00B52A8A">
        <w:t xml:space="preserve"> GT1M</w:t>
      </w:r>
      <w:bookmarkEnd w:id="125"/>
      <w:bookmarkEnd w:id="126"/>
    </w:p>
    <w:p w:rsidR="00041100" w:rsidRPr="00B52A8A" w:rsidRDefault="0083164B" w:rsidP="00DA3503">
      <w:pPr>
        <w:spacing w:after="0"/>
        <w:ind w:firstLine="284"/>
        <w:rPr>
          <w:szCs w:val="24"/>
        </w:rPr>
      </w:pPr>
      <w:r w:rsidRPr="00B52A8A">
        <w:rPr>
          <w:szCs w:val="24"/>
        </w:rPr>
        <w:t xml:space="preserve">Dalšími sledovanými parametry naší práce byly hodnoty vztahující se k pohybové aktivitě. </w:t>
      </w:r>
      <w:r w:rsidR="00DA3503" w:rsidRPr="00B52A8A">
        <w:rPr>
          <w:szCs w:val="24"/>
        </w:rPr>
        <w:t>Parametry</w:t>
      </w:r>
      <w:r w:rsidRPr="00B52A8A">
        <w:rPr>
          <w:szCs w:val="24"/>
        </w:rPr>
        <w:t xml:space="preserve"> vybrané k analýze byly následující:</w:t>
      </w:r>
    </w:p>
    <w:p w:rsidR="0029436F" w:rsidRPr="00B52A8A" w:rsidRDefault="0029436F" w:rsidP="0018420E">
      <w:pPr>
        <w:spacing w:after="0"/>
        <w:rPr>
          <w:szCs w:val="24"/>
        </w:rPr>
      </w:pPr>
    </w:p>
    <w:p w:rsidR="004A5BAE" w:rsidRPr="00B52A8A" w:rsidRDefault="00154094" w:rsidP="00D42B78">
      <w:pPr>
        <w:pStyle w:val="Odstavecseseznamem"/>
        <w:numPr>
          <w:ilvl w:val="0"/>
          <w:numId w:val="22"/>
        </w:numPr>
        <w:spacing w:after="0"/>
        <w:rPr>
          <w:szCs w:val="24"/>
        </w:rPr>
      </w:pPr>
      <w:r w:rsidRPr="00B52A8A">
        <w:rPr>
          <w:szCs w:val="24"/>
        </w:rPr>
        <w:t>p</w:t>
      </w:r>
      <w:r w:rsidR="0083164B" w:rsidRPr="00B52A8A">
        <w:rPr>
          <w:szCs w:val="24"/>
        </w:rPr>
        <w:t>ohybová aktivita a inaktivita</w:t>
      </w:r>
      <w:r w:rsidR="004A5BAE" w:rsidRPr="00B52A8A">
        <w:rPr>
          <w:szCs w:val="24"/>
        </w:rPr>
        <w:t xml:space="preserve"> [hod/den]</w:t>
      </w:r>
    </w:p>
    <w:p w:rsidR="0083164B" w:rsidRPr="00B52A8A" w:rsidRDefault="00DA3503" w:rsidP="00D42B78">
      <w:pPr>
        <w:pStyle w:val="Odstavecseseznamem"/>
        <w:numPr>
          <w:ilvl w:val="0"/>
          <w:numId w:val="22"/>
        </w:numPr>
        <w:spacing w:after="0"/>
        <w:rPr>
          <w:szCs w:val="24"/>
        </w:rPr>
      </w:pPr>
      <w:r w:rsidRPr="00B52A8A">
        <w:rPr>
          <w:szCs w:val="24"/>
        </w:rPr>
        <w:t>celková pohybová aktivita</w:t>
      </w:r>
      <w:r w:rsidR="0083164B" w:rsidRPr="00B52A8A">
        <w:rPr>
          <w:szCs w:val="24"/>
        </w:rPr>
        <w:t xml:space="preserve"> [hod</w:t>
      </w:r>
      <w:r w:rsidR="004A5BAE" w:rsidRPr="00B52A8A">
        <w:rPr>
          <w:szCs w:val="24"/>
        </w:rPr>
        <w:t>/den</w:t>
      </w:r>
      <w:r w:rsidR="0083164B" w:rsidRPr="00B52A8A">
        <w:rPr>
          <w:szCs w:val="24"/>
        </w:rPr>
        <w:t>]</w:t>
      </w:r>
    </w:p>
    <w:p w:rsidR="004A5BAE" w:rsidRPr="00B52A8A" w:rsidRDefault="004A5BAE" w:rsidP="004A5BAE">
      <w:pPr>
        <w:pStyle w:val="Odstavecseseznamem"/>
        <w:numPr>
          <w:ilvl w:val="0"/>
          <w:numId w:val="22"/>
        </w:numPr>
        <w:spacing w:after="0"/>
        <w:rPr>
          <w:szCs w:val="24"/>
        </w:rPr>
      </w:pPr>
      <w:r w:rsidRPr="00B52A8A">
        <w:rPr>
          <w:szCs w:val="24"/>
        </w:rPr>
        <w:t xml:space="preserve">aktivní výdej energie [kcal/den] </w:t>
      </w:r>
    </w:p>
    <w:p w:rsidR="0083164B" w:rsidRPr="00B52A8A" w:rsidRDefault="00DA3503" w:rsidP="00D42B78">
      <w:pPr>
        <w:pStyle w:val="Odstavecseseznamem"/>
        <w:numPr>
          <w:ilvl w:val="0"/>
          <w:numId w:val="22"/>
        </w:numPr>
        <w:spacing w:after="0"/>
        <w:rPr>
          <w:szCs w:val="24"/>
        </w:rPr>
      </w:pPr>
      <w:r w:rsidRPr="00B52A8A">
        <w:rPr>
          <w:szCs w:val="24"/>
        </w:rPr>
        <w:t>celkový výdej energie</w:t>
      </w:r>
      <w:r w:rsidR="004A5BAE" w:rsidRPr="00B52A8A">
        <w:rPr>
          <w:szCs w:val="24"/>
        </w:rPr>
        <w:t xml:space="preserve"> za 24 h</w:t>
      </w:r>
      <w:r w:rsidR="0083164B" w:rsidRPr="00B52A8A">
        <w:rPr>
          <w:szCs w:val="24"/>
        </w:rPr>
        <w:t xml:space="preserve"> [kcal</w:t>
      </w:r>
      <w:r w:rsidR="004A5BAE" w:rsidRPr="00B52A8A">
        <w:rPr>
          <w:szCs w:val="24"/>
        </w:rPr>
        <w:t>/den</w:t>
      </w:r>
      <w:r w:rsidR="0083164B" w:rsidRPr="00B52A8A">
        <w:rPr>
          <w:szCs w:val="24"/>
        </w:rPr>
        <w:t>]</w:t>
      </w:r>
      <w:r w:rsidR="00BB3CA4" w:rsidRPr="00B52A8A">
        <w:rPr>
          <w:szCs w:val="24"/>
        </w:rPr>
        <w:t xml:space="preserve"> </w:t>
      </w:r>
    </w:p>
    <w:p w:rsidR="00BB3CA4" w:rsidRPr="00B52A8A" w:rsidRDefault="00DA3503" w:rsidP="00D42B78">
      <w:pPr>
        <w:pStyle w:val="Odstavecseseznamem"/>
        <w:numPr>
          <w:ilvl w:val="0"/>
          <w:numId w:val="22"/>
        </w:numPr>
        <w:spacing w:after="0"/>
        <w:rPr>
          <w:szCs w:val="24"/>
        </w:rPr>
      </w:pPr>
      <w:r w:rsidRPr="00B52A8A">
        <w:rPr>
          <w:szCs w:val="24"/>
        </w:rPr>
        <w:t>p</w:t>
      </w:r>
      <w:r w:rsidR="00BB3CA4" w:rsidRPr="00B52A8A">
        <w:rPr>
          <w:szCs w:val="24"/>
        </w:rPr>
        <w:t>oměr aktivního a celkového výdeje energie [%]</w:t>
      </w:r>
    </w:p>
    <w:p w:rsidR="00DA3503" w:rsidRPr="00B52A8A" w:rsidRDefault="00BB3CA4" w:rsidP="00236B90">
      <w:pPr>
        <w:pStyle w:val="Odstavecseseznamem"/>
        <w:numPr>
          <w:ilvl w:val="0"/>
          <w:numId w:val="22"/>
        </w:numPr>
        <w:spacing w:after="0"/>
        <w:rPr>
          <w:szCs w:val="24"/>
        </w:rPr>
      </w:pPr>
      <w:r w:rsidRPr="00B52A8A">
        <w:rPr>
          <w:szCs w:val="24"/>
        </w:rPr>
        <w:t>kroky za den [počet]</w:t>
      </w:r>
    </w:p>
    <w:p w:rsidR="00431C63" w:rsidRPr="00B52A8A" w:rsidRDefault="00431C63" w:rsidP="00431C63">
      <w:pPr>
        <w:pStyle w:val="Odstavecseseznamem"/>
        <w:spacing w:after="0"/>
        <w:rPr>
          <w:szCs w:val="24"/>
        </w:rPr>
      </w:pPr>
    </w:p>
    <w:p w:rsidR="00236B90" w:rsidRPr="00B52A8A" w:rsidRDefault="00236B90" w:rsidP="005C7CD5">
      <w:pPr>
        <w:rPr>
          <w:b/>
        </w:rPr>
      </w:pPr>
      <w:r w:rsidRPr="00B52A8A">
        <w:rPr>
          <w:b/>
        </w:rPr>
        <w:t>Tabulka</w:t>
      </w:r>
      <w:r w:rsidR="00EA0511" w:rsidRPr="00B52A8A">
        <w:rPr>
          <w:b/>
        </w:rPr>
        <w:t xml:space="preserve"> </w:t>
      </w:r>
      <w:r w:rsidR="00E84D1B" w:rsidRPr="00B52A8A">
        <w:rPr>
          <w:b/>
        </w:rPr>
        <w:t>9</w:t>
      </w:r>
      <w:r w:rsidR="002908BF" w:rsidRPr="00B52A8A">
        <w:rPr>
          <w:b/>
        </w:rPr>
        <w:t>.</w:t>
      </w:r>
    </w:p>
    <w:p w:rsidR="002908BF" w:rsidRPr="00B52A8A" w:rsidRDefault="002908BF" w:rsidP="005C7CD5">
      <w:pPr>
        <w:rPr>
          <w:b/>
        </w:rPr>
      </w:pPr>
      <w:r w:rsidRPr="00B52A8A">
        <w:rPr>
          <w:b/>
        </w:rPr>
        <w:t xml:space="preserve">Popisná charakteristika vybraných </w:t>
      </w:r>
      <w:r w:rsidR="009D60D7" w:rsidRPr="00B52A8A">
        <w:rPr>
          <w:b/>
        </w:rPr>
        <w:t>parametrů souboru</w:t>
      </w:r>
    </w:p>
    <w:tbl>
      <w:tblPr>
        <w:tblStyle w:val="Svtlstnovn1"/>
        <w:tblW w:w="0" w:type="auto"/>
        <w:jc w:val="center"/>
        <w:tblLook w:val="0620"/>
      </w:tblPr>
      <w:tblGrid>
        <w:gridCol w:w="1961"/>
        <w:gridCol w:w="1761"/>
        <w:gridCol w:w="1644"/>
        <w:gridCol w:w="1761"/>
        <w:gridCol w:w="1592"/>
      </w:tblGrid>
      <w:tr w:rsidR="00BB3CA4" w:rsidRPr="00B52A8A" w:rsidTr="00EA0511">
        <w:trPr>
          <w:cnfStyle w:val="100000000000"/>
          <w:jc w:val="center"/>
        </w:trPr>
        <w:tc>
          <w:tcPr>
            <w:tcW w:w="2025" w:type="dxa"/>
          </w:tcPr>
          <w:p w:rsidR="00BB3CA4" w:rsidRPr="00B52A8A" w:rsidRDefault="00BB3CA4" w:rsidP="000D4A69">
            <w:pPr>
              <w:spacing w:after="0"/>
              <w:jc w:val="center"/>
              <w:rPr>
                <w:b w:val="0"/>
                <w:i/>
                <w:sz w:val="24"/>
                <w:szCs w:val="24"/>
              </w:rPr>
            </w:pPr>
          </w:p>
        </w:tc>
        <w:tc>
          <w:tcPr>
            <w:tcW w:w="1843" w:type="dxa"/>
          </w:tcPr>
          <w:p w:rsidR="00BB3CA4" w:rsidRPr="00B52A8A" w:rsidRDefault="00BB3CA4" w:rsidP="000D4A69">
            <w:pPr>
              <w:spacing w:after="0"/>
              <w:jc w:val="center"/>
              <w:rPr>
                <w:i/>
                <w:sz w:val="24"/>
                <w:szCs w:val="24"/>
              </w:rPr>
            </w:pPr>
            <w:r w:rsidRPr="00B52A8A">
              <w:rPr>
                <w:i/>
                <w:sz w:val="24"/>
                <w:szCs w:val="24"/>
              </w:rPr>
              <w:t>M</w:t>
            </w:r>
          </w:p>
        </w:tc>
        <w:tc>
          <w:tcPr>
            <w:tcW w:w="1732" w:type="dxa"/>
          </w:tcPr>
          <w:p w:rsidR="00BB3CA4" w:rsidRPr="00B52A8A" w:rsidRDefault="00BB3CA4" w:rsidP="000D4A69">
            <w:pPr>
              <w:spacing w:after="0"/>
              <w:jc w:val="center"/>
              <w:rPr>
                <w:i/>
                <w:sz w:val="24"/>
                <w:szCs w:val="24"/>
              </w:rPr>
            </w:pPr>
            <w:r w:rsidRPr="00B52A8A">
              <w:rPr>
                <w:i/>
                <w:sz w:val="24"/>
                <w:szCs w:val="24"/>
              </w:rPr>
              <w:t>MIN</w:t>
            </w:r>
          </w:p>
        </w:tc>
        <w:tc>
          <w:tcPr>
            <w:tcW w:w="1843" w:type="dxa"/>
          </w:tcPr>
          <w:p w:rsidR="00BB3CA4" w:rsidRPr="00B52A8A" w:rsidRDefault="00BB3CA4" w:rsidP="000D4A69">
            <w:pPr>
              <w:spacing w:after="0"/>
              <w:jc w:val="center"/>
              <w:rPr>
                <w:i/>
                <w:sz w:val="24"/>
                <w:szCs w:val="24"/>
              </w:rPr>
            </w:pPr>
            <w:r w:rsidRPr="00B52A8A">
              <w:rPr>
                <w:i/>
                <w:sz w:val="24"/>
                <w:szCs w:val="24"/>
              </w:rPr>
              <w:t>MAX</w:t>
            </w:r>
          </w:p>
        </w:tc>
        <w:tc>
          <w:tcPr>
            <w:tcW w:w="1670" w:type="dxa"/>
          </w:tcPr>
          <w:p w:rsidR="00BB3CA4" w:rsidRPr="00B52A8A" w:rsidRDefault="00BB3CA4" w:rsidP="000D4A69">
            <w:pPr>
              <w:spacing w:after="0"/>
              <w:jc w:val="center"/>
              <w:rPr>
                <w:i/>
                <w:sz w:val="24"/>
                <w:szCs w:val="24"/>
              </w:rPr>
            </w:pPr>
            <w:r w:rsidRPr="00B52A8A">
              <w:rPr>
                <w:i/>
                <w:sz w:val="24"/>
                <w:szCs w:val="24"/>
              </w:rPr>
              <w:t>SD</w:t>
            </w:r>
          </w:p>
        </w:tc>
      </w:tr>
      <w:tr w:rsidR="00BB3CA4" w:rsidRPr="00B52A8A" w:rsidTr="00EA0511">
        <w:trPr>
          <w:jc w:val="center"/>
        </w:trPr>
        <w:tc>
          <w:tcPr>
            <w:tcW w:w="2025" w:type="dxa"/>
          </w:tcPr>
          <w:p w:rsidR="00BB3CA4" w:rsidRPr="00B52A8A" w:rsidRDefault="00BB3CA4" w:rsidP="000D4A69">
            <w:pPr>
              <w:spacing w:after="0"/>
              <w:rPr>
                <w:b/>
                <w:i/>
                <w:sz w:val="24"/>
                <w:szCs w:val="24"/>
              </w:rPr>
            </w:pPr>
            <w:r w:rsidRPr="00B52A8A">
              <w:rPr>
                <w:b/>
                <w:i/>
                <w:sz w:val="24"/>
                <w:szCs w:val="24"/>
              </w:rPr>
              <w:t>PA</w:t>
            </w:r>
          </w:p>
        </w:tc>
        <w:tc>
          <w:tcPr>
            <w:tcW w:w="1843" w:type="dxa"/>
          </w:tcPr>
          <w:p w:rsidR="00BB3CA4" w:rsidRPr="00B52A8A" w:rsidRDefault="003D3CB6" w:rsidP="003D3CB6">
            <w:pPr>
              <w:spacing w:after="0"/>
              <w:jc w:val="center"/>
              <w:rPr>
                <w:i/>
                <w:sz w:val="24"/>
                <w:szCs w:val="24"/>
              </w:rPr>
            </w:pPr>
            <w:r w:rsidRPr="00B52A8A">
              <w:rPr>
                <w:i/>
                <w:sz w:val="24"/>
                <w:szCs w:val="24"/>
              </w:rPr>
              <w:t xml:space="preserve">   </w:t>
            </w:r>
            <w:r w:rsidR="00D805F4" w:rsidRPr="00B52A8A">
              <w:rPr>
                <w:i/>
                <w:sz w:val="24"/>
                <w:szCs w:val="24"/>
              </w:rPr>
              <w:t>9,29</w:t>
            </w:r>
            <w:r w:rsidRPr="00B52A8A">
              <w:rPr>
                <w:i/>
                <w:sz w:val="24"/>
                <w:szCs w:val="24"/>
              </w:rPr>
              <w:t xml:space="preserve"> </w:t>
            </w:r>
          </w:p>
        </w:tc>
        <w:tc>
          <w:tcPr>
            <w:tcW w:w="1732" w:type="dxa"/>
          </w:tcPr>
          <w:p w:rsidR="00BB3CA4" w:rsidRPr="00B52A8A" w:rsidRDefault="003D3CB6" w:rsidP="003D3CB6">
            <w:pPr>
              <w:spacing w:after="0"/>
              <w:jc w:val="center"/>
              <w:rPr>
                <w:i/>
                <w:sz w:val="24"/>
                <w:szCs w:val="24"/>
              </w:rPr>
            </w:pPr>
            <w:r w:rsidRPr="00B52A8A">
              <w:rPr>
                <w:i/>
                <w:sz w:val="24"/>
                <w:szCs w:val="24"/>
              </w:rPr>
              <w:t xml:space="preserve">   </w:t>
            </w:r>
            <w:r w:rsidR="00D805F4" w:rsidRPr="00B52A8A">
              <w:rPr>
                <w:i/>
                <w:sz w:val="24"/>
                <w:szCs w:val="24"/>
              </w:rPr>
              <w:t>3,89</w:t>
            </w:r>
          </w:p>
        </w:tc>
        <w:tc>
          <w:tcPr>
            <w:tcW w:w="1843" w:type="dxa"/>
          </w:tcPr>
          <w:p w:rsidR="00BB3CA4" w:rsidRPr="00B52A8A" w:rsidRDefault="003D3CB6" w:rsidP="003D3CB6">
            <w:pPr>
              <w:spacing w:after="0"/>
              <w:jc w:val="center"/>
              <w:rPr>
                <w:i/>
                <w:sz w:val="24"/>
                <w:szCs w:val="24"/>
              </w:rPr>
            </w:pPr>
            <w:r w:rsidRPr="00B52A8A">
              <w:rPr>
                <w:i/>
                <w:sz w:val="24"/>
                <w:szCs w:val="24"/>
              </w:rPr>
              <w:t xml:space="preserve">  </w:t>
            </w:r>
            <w:r w:rsidR="00D805F4" w:rsidRPr="00B52A8A">
              <w:rPr>
                <w:i/>
                <w:sz w:val="24"/>
                <w:szCs w:val="24"/>
              </w:rPr>
              <w:t>13,36</w:t>
            </w:r>
          </w:p>
        </w:tc>
        <w:tc>
          <w:tcPr>
            <w:tcW w:w="1670" w:type="dxa"/>
          </w:tcPr>
          <w:p w:rsidR="00BB3CA4" w:rsidRPr="00B52A8A" w:rsidRDefault="003D3CB6" w:rsidP="003D3CB6">
            <w:pPr>
              <w:spacing w:after="0"/>
              <w:jc w:val="center"/>
              <w:rPr>
                <w:i/>
                <w:sz w:val="24"/>
                <w:szCs w:val="24"/>
              </w:rPr>
            </w:pPr>
            <w:r w:rsidRPr="00B52A8A">
              <w:rPr>
                <w:i/>
                <w:sz w:val="24"/>
                <w:szCs w:val="24"/>
              </w:rPr>
              <w:t xml:space="preserve">  </w:t>
            </w:r>
            <w:r w:rsidR="00D805F4" w:rsidRPr="00B52A8A">
              <w:rPr>
                <w:i/>
                <w:sz w:val="24"/>
                <w:szCs w:val="24"/>
              </w:rPr>
              <w:t>1,95</w:t>
            </w:r>
          </w:p>
        </w:tc>
      </w:tr>
      <w:tr w:rsidR="00BB3CA4" w:rsidRPr="00B52A8A" w:rsidTr="00EA0511">
        <w:trPr>
          <w:jc w:val="center"/>
        </w:trPr>
        <w:tc>
          <w:tcPr>
            <w:tcW w:w="2025" w:type="dxa"/>
          </w:tcPr>
          <w:p w:rsidR="00BB3CA4" w:rsidRPr="00B52A8A" w:rsidRDefault="00BB3CA4" w:rsidP="000D4A69">
            <w:pPr>
              <w:spacing w:after="0"/>
              <w:rPr>
                <w:b/>
                <w:i/>
                <w:sz w:val="24"/>
                <w:szCs w:val="24"/>
              </w:rPr>
            </w:pPr>
            <w:r w:rsidRPr="00B52A8A">
              <w:rPr>
                <w:b/>
                <w:i/>
                <w:sz w:val="24"/>
                <w:szCs w:val="24"/>
              </w:rPr>
              <w:t>PI</w:t>
            </w:r>
          </w:p>
        </w:tc>
        <w:tc>
          <w:tcPr>
            <w:tcW w:w="1843" w:type="dxa"/>
          </w:tcPr>
          <w:p w:rsidR="00BB3CA4" w:rsidRPr="00B52A8A" w:rsidRDefault="003D3CB6" w:rsidP="003D3CB6">
            <w:pPr>
              <w:spacing w:after="0"/>
              <w:jc w:val="center"/>
              <w:rPr>
                <w:i/>
                <w:sz w:val="24"/>
                <w:szCs w:val="24"/>
              </w:rPr>
            </w:pPr>
            <w:r w:rsidRPr="00B52A8A">
              <w:rPr>
                <w:i/>
                <w:sz w:val="24"/>
                <w:szCs w:val="24"/>
              </w:rPr>
              <w:t xml:space="preserve">   </w:t>
            </w:r>
            <w:r w:rsidR="00D805F4" w:rsidRPr="00B52A8A">
              <w:rPr>
                <w:i/>
                <w:sz w:val="24"/>
                <w:szCs w:val="24"/>
              </w:rPr>
              <w:t>4,78</w:t>
            </w:r>
          </w:p>
        </w:tc>
        <w:tc>
          <w:tcPr>
            <w:tcW w:w="1732" w:type="dxa"/>
          </w:tcPr>
          <w:p w:rsidR="00BB3CA4" w:rsidRPr="00B52A8A" w:rsidRDefault="003D3CB6" w:rsidP="003D3CB6">
            <w:pPr>
              <w:spacing w:after="0"/>
              <w:jc w:val="center"/>
              <w:rPr>
                <w:i/>
                <w:sz w:val="24"/>
                <w:szCs w:val="24"/>
              </w:rPr>
            </w:pPr>
            <w:r w:rsidRPr="00B52A8A">
              <w:rPr>
                <w:i/>
                <w:sz w:val="24"/>
                <w:szCs w:val="24"/>
              </w:rPr>
              <w:t xml:space="preserve">   </w:t>
            </w:r>
            <w:r w:rsidR="00D805F4" w:rsidRPr="00B52A8A">
              <w:rPr>
                <w:i/>
                <w:sz w:val="24"/>
                <w:szCs w:val="24"/>
              </w:rPr>
              <w:t>1,80</w:t>
            </w:r>
          </w:p>
        </w:tc>
        <w:tc>
          <w:tcPr>
            <w:tcW w:w="1843" w:type="dxa"/>
          </w:tcPr>
          <w:p w:rsidR="00BB3CA4" w:rsidRPr="00B52A8A" w:rsidRDefault="003D3CB6" w:rsidP="003D3CB6">
            <w:pPr>
              <w:spacing w:after="0"/>
              <w:jc w:val="center"/>
              <w:rPr>
                <w:i/>
                <w:sz w:val="24"/>
                <w:szCs w:val="24"/>
              </w:rPr>
            </w:pPr>
            <w:r w:rsidRPr="00B52A8A">
              <w:rPr>
                <w:i/>
                <w:sz w:val="24"/>
                <w:szCs w:val="24"/>
              </w:rPr>
              <w:t xml:space="preserve">  </w:t>
            </w:r>
            <w:r w:rsidR="00D805F4" w:rsidRPr="00B52A8A">
              <w:rPr>
                <w:i/>
                <w:sz w:val="24"/>
                <w:szCs w:val="24"/>
              </w:rPr>
              <w:t>11,86</w:t>
            </w:r>
          </w:p>
        </w:tc>
        <w:tc>
          <w:tcPr>
            <w:tcW w:w="1670" w:type="dxa"/>
          </w:tcPr>
          <w:p w:rsidR="00BB3CA4" w:rsidRPr="00B52A8A" w:rsidRDefault="003D3CB6" w:rsidP="003D3CB6">
            <w:pPr>
              <w:spacing w:after="0"/>
              <w:jc w:val="center"/>
              <w:rPr>
                <w:i/>
                <w:sz w:val="24"/>
                <w:szCs w:val="24"/>
              </w:rPr>
            </w:pPr>
            <w:r w:rsidRPr="00B52A8A">
              <w:rPr>
                <w:i/>
                <w:sz w:val="24"/>
                <w:szCs w:val="24"/>
              </w:rPr>
              <w:t xml:space="preserve">  </w:t>
            </w:r>
            <w:r w:rsidR="00D805F4" w:rsidRPr="00B52A8A">
              <w:rPr>
                <w:i/>
                <w:sz w:val="24"/>
                <w:szCs w:val="24"/>
              </w:rPr>
              <w:t>1,76</w:t>
            </w:r>
          </w:p>
        </w:tc>
      </w:tr>
      <w:tr w:rsidR="00BB3CA4" w:rsidRPr="00B52A8A" w:rsidTr="00EA0511">
        <w:trPr>
          <w:jc w:val="center"/>
        </w:trPr>
        <w:tc>
          <w:tcPr>
            <w:tcW w:w="2025" w:type="dxa"/>
          </w:tcPr>
          <w:p w:rsidR="00BB3CA4" w:rsidRPr="00B52A8A" w:rsidRDefault="00BB3CA4" w:rsidP="000D4A69">
            <w:pPr>
              <w:spacing w:after="0"/>
              <w:rPr>
                <w:b/>
                <w:i/>
                <w:sz w:val="24"/>
                <w:szCs w:val="24"/>
              </w:rPr>
            </w:pPr>
            <w:r w:rsidRPr="00B52A8A">
              <w:rPr>
                <w:b/>
                <w:i/>
                <w:sz w:val="24"/>
                <w:szCs w:val="24"/>
              </w:rPr>
              <w:t>Celková PA</w:t>
            </w:r>
          </w:p>
        </w:tc>
        <w:tc>
          <w:tcPr>
            <w:tcW w:w="1843" w:type="dxa"/>
          </w:tcPr>
          <w:p w:rsidR="00BB3CA4" w:rsidRPr="00B52A8A" w:rsidRDefault="003D3CB6" w:rsidP="003D3CB6">
            <w:pPr>
              <w:spacing w:after="0"/>
              <w:rPr>
                <w:i/>
                <w:sz w:val="24"/>
                <w:szCs w:val="24"/>
              </w:rPr>
            </w:pPr>
            <w:r w:rsidRPr="00B52A8A">
              <w:rPr>
                <w:i/>
                <w:sz w:val="24"/>
                <w:szCs w:val="24"/>
              </w:rPr>
              <w:t xml:space="preserve">       </w:t>
            </w:r>
            <w:r w:rsidR="00D805F4" w:rsidRPr="00B52A8A">
              <w:rPr>
                <w:i/>
                <w:sz w:val="24"/>
                <w:szCs w:val="24"/>
              </w:rPr>
              <w:t>14,07</w:t>
            </w:r>
          </w:p>
        </w:tc>
        <w:tc>
          <w:tcPr>
            <w:tcW w:w="1732" w:type="dxa"/>
          </w:tcPr>
          <w:p w:rsidR="00BB3CA4" w:rsidRPr="00B52A8A" w:rsidRDefault="003D3CB6" w:rsidP="003D3CB6">
            <w:pPr>
              <w:spacing w:after="0"/>
              <w:rPr>
                <w:i/>
                <w:sz w:val="24"/>
                <w:szCs w:val="24"/>
              </w:rPr>
            </w:pPr>
            <w:r w:rsidRPr="00B52A8A">
              <w:rPr>
                <w:i/>
                <w:sz w:val="24"/>
                <w:szCs w:val="24"/>
              </w:rPr>
              <w:t xml:space="preserve">        </w:t>
            </w:r>
            <w:r w:rsidR="00D805F4" w:rsidRPr="00B52A8A">
              <w:rPr>
                <w:i/>
                <w:sz w:val="24"/>
                <w:szCs w:val="24"/>
              </w:rPr>
              <w:t>8,55</w:t>
            </w:r>
          </w:p>
        </w:tc>
        <w:tc>
          <w:tcPr>
            <w:tcW w:w="1843" w:type="dxa"/>
          </w:tcPr>
          <w:p w:rsidR="00BB3CA4" w:rsidRPr="00B52A8A" w:rsidRDefault="003D3CB6" w:rsidP="003D3CB6">
            <w:pPr>
              <w:spacing w:after="0"/>
              <w:jc w:val="center"/>
              <w:rPr>
                <w:i/>
                <w:sz w:val="24"/>
                <w:szCs w:val="24"/>
              </w:rPr>
            </w:pPr>
            <w:r w:rsidRPr="00B52A8A">
              <w:rPr>
                <w:i/>
                <w:sz w:val="24"/>
                <w:szCs w:val="24"/>
              </w:rPr>
              <w:t xml:space="preserve"> </w:t>
            </w:r>
            <w:r w:rsidR="00D805F4" w:rsidRPr="00B52A8A">
              <w:rPr>
                <w:i/>
                <w:sz w:val="24"/>
                <w:szCs w:val="24"/>
              </w:rPr>
              <w:t>23,16</w:t>
            </w:r>
          </w:p>
        </w:tc>
        <w:tc>
          <w:tcPr>
            <w:tcW w:w="1670" w:type="dxa"/>
          </w:tcPr>
          <w:p w:rsidR="00BB3CA4" w:rsidRPr="00B52A8A" w:rsidRDefault="003D3CB6" w:rsidP="003D3CB6">
            <w:pPr>
              <w:spacing w:after="0"/>
              <w:jc w:val="center"/>
              <w:rPr>
                <w:i/>
                <w:sz w:val="24"/>
                <w:szCs w:val="24"/>
              </w:rPr>
            </w:pPr>
            <w:r w:rsidRPr="00B52A8A">
              <w:rPr>
                <w:i/>
                <w:sz w:val="24"/>
                <w:szCs w:val="24"/>
              </w:rPr>
              <w:t xml:space="preserve">  </w:t>
            </w:r>
            <w:r w:rsidR="00D805F4" w:rsidRPr="00B52A8A">
              <w:rPr>
                <w:i/>
                <w:sz w:val="24"/>
                <w:szCs w:val="24"/>
              </w:rPr>
              <w:t>2,20</w:t>
            </w:r>
          </w:p>
        </w:tc>
      </w:tr>
      <w:tr w:rsidR="00686017" w:rsidRPr="00B52A8A" w:rsidTr="00EA0511">
        <w:trPr>
          <w:jc w:val="center"/>
        </w:trPr>
        <w:tc>
          <w:tcPr>
            <w:tcW w:w="2025" w:type="dxa"/>
          </w:tcPr>
          <w:p w:rsidR="00686017" w:rsidRPr="00B52A8A" w:rsidRDefault="00686017" w:rsidP="000D4A69">
            <w:pPr>
              <w:spacing w:after="0"/>
              <w:rPr>
                <w:b/>
                <w:i/>
                <w:sz w:val="24"/>
                <w:szCs w:val="24"/>
              </w:rPr>
            </w:pPr>
            <w:r w:rsidRPr="00B52A8A">
              <w:rPr>
                <w:b/>
                <w:i/>
                <w:sz w:val="24"/>
                <w:szCs w:val="24"/>
              </w:rPr>
              <w:t>ACV</w:t>
            </w:r>
          </w:p>
        </w:tc>
        <w:tc>
          <w:tcPr>
            <w:tcW w:w="1843" w:type="dxa"/>
          </w:tcPr>
          <w:p w:rsidR="00686017" w:rsidRPr="00B52A8A" w:rsidRDefault="003D3CB6" w:rsidP="003D3CB6">
            <w:pPr>
              <w:spacing w:after="0"/>
              <w:rPr>
                <w:i/>
                <w:sz w:val="24"/>
                <w:szCs w:val="24"/>
              </w:rPr>
            </w:pPr>
            <w:r w:rsidRPr="00B52A8A">
              <w:rPr>
                <w:i/>
                <w:sz w:val="24"/>
                <w:szCs w:val="24"/>
              </w:rPr>
              <w:t xml:space="preserve">     </w:t>
            </w:r>
            <w:r w:rsidR="00BD3966" w:rsidRPr="00B52A8A">
              <w:rPr>
                <w:i/>
                <w:sz w:val="24"/>
                <w:szCs w:val="24"/>
              </w:rPr>
              <w:t>480,88</w:t>
            </w:r>
          </w:p>
        </w:tc>
        <w:tc>
          <w:tcPr>
            <w:tcW w:w="1732" w:type="dxa"/>
          </w:tcPr>
          <w:p w:rsidR="00686017" w:rsidRPr="00B52A8A" w:rsidRDefault="003D3CB6" w:rsidP="003D3CB6">
            <w:pPr>
              <w:spacing w:after="0"/>
              <w:rPr>
                <w:i/>
                <w:sz w:val="24"/>
                <w:szCs w:val="24"/>
              </w:rPr>
            </w:pPr>
            <w:r w:rsidRPr="00B52A8A">
              <w:rPr>
                <w:i/>
                <w:sz w:val="24"/>
                <w:szCs w:val="24"/>
              </w:rPr>
              <w:t xml:space="preserve">    </w:t>
            </w:r>
            <w:r w:rsidR="00BD3966" w:rsidRPr="00B52A8A">
              <w:rPr>
                <w:i/>
                <w:sz w:val="24"/>
                <w:szCs w:val="24"/>
              </w:rPr>
              <w:t>200,14</w:t>
            </w:r>
          </w:p>
        </w:tc>
        <w:tc>
          <w:tcPr>
            <w:tcW w:w="1843" w:type="dxa"/>
          </w:tcPr>
          <w:p w:rsidR="00686017" w:rsidRPr="00B52A8A" w:rsidRDefault="003D3CB6" w:rsidP="003D3CB6">
            <w:pPr>
              <w:spacing w:after="0"/>
              <w:rPr>
                <w:i/>
                <w:sz w:val="24"/>
                <w:szCs w:val="24"/>
              </w:rPr>
            </w:pPr>
            <w:r w:rsidRPr="00B52A8A">
              <w:rPr>
                <w:i/>
                <w:sz w:val="24"/>
                <w:szCs w:val="24"/>
              </w:rPr>
              <w:t xml:space="preserve">     </w:t>
            </w:r>
            <w:r w:rsidR="00BD3966" w:rsidRPr="00B52A8A">
              <w:rPr>
                <w:i/>
                <w:sz w:val="24"/>
                <w:szCs w:val="24"/>
              </w:rPr>
              <w:t>870,43</w:t>
            </w:r>
          </w:p>
        </w:tc>
        <w:tc>
          <w:tcPr>
            <w:tcW w:w="1670" w:type="dxa"/>
          </w:tcPr>
          <w:p w:rsidR="00686017" w:rsidRPr="00B52A8A" w:rsidRDefault="003D3CB6" w:rsidP="003D3CB6">
            <w:pPr>
              <w:spacing w:after="0"/>
              <w:rPr>
                <w:i/>
                <w:sz w:val="24"/>
                <w:szCs w:val="24"/>
              </w:rPr>
            </w:pPr>
            <w:r w:rsidRPr="00B52A8A">
              <w:rPr>
                <w:i/>
                <w:sz w:val="24"/>
                <w:szCs w:val="24"/>
              </w:rPr>
              <w:t xml:space="preserve">   </w:t>
            </w:r>
            <w:r w:rsidR="00BD3966" w:rsidRPr="00B52A8A">
              <w:rPr>
                <w:i/>
                <w:sz w:val="24"/>
                <w:szCs w:val="24"/>
              </w:rPr>
              <w:t>166,37</w:t>
            </w:r>
          </w:p>
        </w:tc>
      </w:tr>
      <w:tr w:rsidR="00BB3CA4" w:rsidRPr="00B52A8A" w:rsidTr="00EA0511">
        <w:trPr>
          <w:jc w:val="center"/>
        </w:trPr>
        <w:tc>
          <w:tcPr>
            <w:tcW w:w="2025" w:type="dxa"/>
          </w:tcPr>
          <w:p w:rsidR="00BB3CA4" w:rsidRPr="00B52A8A" w:rsidRDefault="00BB3CA4" w:rsidP="000D4A69">
            <w:pPr>
              <w:spacing w:after="0"/>
              <w:rPr>
                <w:b/>
                <w:i/>
                <w:sz w:val="24"/>
                <w:szCs w:val="24"/>
              </w:rPr>
            </w:pPr>
            <w:r w:rsidRPr="00B52A8A">
              <w:rPr>
                <w:b/>
                <w:i/>
                <w:sz w:val="24"/>
                <w:szCs w:val="24"/>
              </w:rPr>
              <w:t>CVE</w:t>
            </w:r>
            <w:r w:rsidR="004A5BAE" w:rsidRPr="00B52A8A">
              <w:rPr>
                <w:b/>
                <w:i/>
                <w:sz w:val="24"/>
                <w:szCs w:val="24"/>
              </w:rPr>
              <w:t>24</w:t>
            </w:r>
          </w:p>
        </w:tc>
        <w:tc>
          <w:tcPr>
            <w:tcW w:w="1843" w:type="dxa"/>
          </w:tcPr>
          <w:p w:rsidR="00BB3CA4" w:rsidRPr="00B52A8A" w:rsidRDefault="003D3CB6" w:rsidP="003D3CB6">
            <w:pPr>
              <w:spacing w:after="0"/>
              <w:rPr>
                <w:i/>
                <w:sz w:val="24"/>
                <w:szCs w:val="24"/>
              </w:rPr>
            </w:pPr>
            <w:r w:rsidRPr="00B52A8A">
              <w:rPr>
                <w:i/>
                <w:sz w:val="24"/>
                <w:szCs w:val="24"/>
              </w:rPr>
              <w:t xml:space="preserve">   </w:t>
            </w:r>
            <w:r w:rsidR="004A5BAE" w:rsidRPr="00B52A8A">
              <w:rPr>
                <w:i/>
                <w:sz w:val="24"/>
                <w:szCs w:val="24"/>
              </w:rPr>
              <w:t>2087,20</w:t>
            </w:r>
          </w:p>
        </w:tc>
        <w:tc>
          <w:tcPr>
            <w:tcW w:w="1732" w:type="dxa"/>
          </w:tcPr>
          <w:p w:rsidR="00BB3CA4" w:rsidRPr="00B52A8A" w:rsidRDefault="003D3CB6" w:rsidP="003D3CB6">
            <w:pPr>
              <w:spacing w:after="0"/>
              <w:rPr>
                <w:i/>
                <w:sz w:val="24"/>
                <w:szCs w:val="24"/>
              </w:rPr>
            </w:pPr>
            <w:r w:rsidRPr="00B52A8A">
              <w:rPr>
                <w:i/>
                <w:sz w:val="24"/>
                <w:szCs w:val="24"/>
              </w:rPr>
              <w:t xml:space="preserve">  </w:t>
            </w:r>
            <w:r w:rsidR="004A5BAE" w:rsidRPr="00B52A8A">
              <w:rPr>
                <w:i/>
                <w:sz w:val="24"/>
                <w:szCs w:val="24"/>
              </w:rPr>
              <w:t>1534,14</w:t>
            </w:r>
          </w:p>
        </w:tc>
        <w:tc>
          <w:tcPr>
            <w:tcW w:w="1843" w:type="dxa"/>
          </w:tcPr>
          <w:p w:rsidR="00BB3CA4" w:rsidRPr="00B52A8A" w:rsidRDefault="003D3CB6" w:rsidP="003D3CB6">
            <w:pPr>
              <w:spacing w:after="0"/>
              <w:rPr>
                <w:i/>
                <w:sz w:val="24"/>
                <w:szCs w:val="24"/>
              </w:rPr>
            </w:pPr>
            <w:r w:rsidRPr="00B52A8A">
              <w:rPr>
                <w:i/>
                <w:sz w:val="24"/>
                <w:szCs w:val="24"/>
              </w:rPr>
              <w:t xml:space="preserve">   </w:t>
            </w:r>
            <w:r w:rsidR="00D805F4" w:rsidRPr="00B52A8A">
              <w:rPr>
                <w:i/>
                <w:sz w:val="24"/>
                <w:szCs w:val="24"/>
              </w:rPr>
              <w:t>2</w:t>
            </w:r>
            <w:r w:rsidR="004A5BAE" w:rsidRPr="00B52A8A">
              <w:rPr>
                <w:i/>
                <w:sz w:val="24"/>
                <w:szCs w:val="24"/>
              </w:rPr>
              <w:t>728</w:t>
            </w:r>
            <w:r w:rsidR="00BB3CA4" w:rsidRPr="00B52A8A">
              <w:rPr>
                <w:i/>
                <w:sz w:val="24"/>
                <w:szCs w:val="24"/>
              </w:rPr>
              <w:t>,</w:t>
            </w:r>
            <w:r w:rsidR="004A5BAE" w:rsidRPr="00B52A8A">
              <w:rPr>
                <w:i/>
                <w:sz w:val="24"/>
                <w:szCs w:val="24"/>
              </w:rPr>
              <w:t>29</w:t>
            </w:r>
          </w:p>
        </w:tc>
        <w:tc>
          <w:tcPr>
            <w:tcW w:w="1670" w:type="dxa"/>
          </w:tcPr>
          <w:p w:rsidR="00BB3CA4" w:rsidRPr="00B52A8A" w:rsidRDefault="003D3CB6" w:rsidP="003D3CB6">
            <w:pPr>
              <w:spacing w:after="0"/>
              <w:rPr>
                <w:i/>
                <w:sz w:val="24"/>
                <w:szCs w:val="24"/>
              </w:rPr>
            </w:pPr>
            <w:r w:rsidRPr="00B52A8A">
              <w:rPr>
                <w:i/>
                <w:sz w:val="24"/>
                <w:szCs w:val="24"/>
              </w:rPr>
              <w:t xml:space="preserve">   </w:t>
            </w:r>
            <w:r w:rsidR="004A5BAE" w:rsidRPr="00B52A8A">
              <w:rPr>
                <w:i/>
                <w:sz w:val="24"/>
                <w:szCs w:val="24"/>
              </w:rPr>
              <w:t>284</w:t>
            </w:r>
            <w:r w:rsidR="00D805F4" w:rsidRPr="00B52A8A">
              <w:rPr>
                <w:i/>
                <w:sz w:val="24"/>
                <w:szCs w:val="24"/>
              </w:rPr>
              <w:t>,</w:t>
            </w:r>
            <w:r w:rsidR="004A5BAE" w:rsidRPr="00B52A8A">
              <w:rPr>
                <w:i/>
                <w:sz w:val="24"/>
                <w:szCs w:val="24"/>
              </w:rPr>
              <w:t>89</w:t>
            </w:r>
          </w:p>
        </w:tc>
      </w:tr>
      <w:tr w:rsidR="00BB3CA4" w:rsidRPr="00B52A8A" w:rsidTr="00EA0511">
        <w:trPr>
          <w:jc w:val="center"/>
        </w:trPr>
        <w:tc>
          <w:tcPr>
            <w:tcW w:w="2025" w:type="dxa"/>
          </w:tcPr>
          <w:p w:rsidR="00BB3CA4" w:rsidRPr="00B52A8A" w:rsidRDefault="00BB3CA4" w:rsidP="000D4A69">
            <w:pPr>
              <w:spacing w:after="0"/>
              <w:rPr>
                <w:b/>
                <w:i/>
                <w:sz w:val="24"/>
                <w:szCs w:val="24"/>
              </w:rPr>
            </w:pPr>
            <w:r w:rsidRPr="00B52A8A">
              <w:rPr>
                <w:b/>
                <w:i/>
                <w:sz w:val="24"/>
                <w:szCs w:val="24"/>
              </w:rPr>
              <w:t>ACV/CVE</w:t>
            </w:r>
            <w:r w:rsidR="004A5BAE" w:rsidRPr="00B52A8A">
              <w:rPr>
                <w:b/>
                <w:i/>
                <w:sz w:val="24"/>
                <w:szCs w:val="24"/>
              </w:rPr>
              <w:t>24</w:t>
            </w:r>
          </w:p>
        </w:tc>
        <w:tc>
          <w:tcPr>
            <w:tcW w:w="1843" w:type="dxa"/>
          </w:tcPr>
          <w:p w:rsidR="00BB3CA4" w:rsidRPr="00B52A8A" w:rsidRDefault="003D3CB6" w:rsidP="003D3CB6">
            <w:pPr>
              <w:spacing w:after="0"/>
              <w:rPr>
                <w:i/>
                <w:sz w:val="24"/>
                <w:szCs w:val="24"/>
              </w:rPr>
            </w:pPr>
            <w:r w:rsidRPr="00B52A8A">
              <w:rPr>
                <w:i/>
                <w:sz w:val="24"/>
                <w:szCs w:val="24"/>
              </w:rPr>
              <w:t xml:space="preserve">      </w:t>
            </w:r>
            <w:r w:rsidR="00D805F4" w:rsidRPr="00B52A8A">
              <w:rPr>
                <w:i/>
                <w:sz w:val="24"/>
                <w:szCs w:val="24"/>
              </w:rPr>
              <w:t>36,00</w:t>
            </w:r>
          </w:p>
        </w:tc>
        <w:tc>
          <w:tcPr>
            <w:tcW w:w="1732" w:type="dxa"/>
          </w:tcPr>
          <w:p w:rsidR="00BB3CA4" w:rsidRPr="00B52A8A" w:rsidRDefault="003D3CB6" w:rsidP="003D3CB6">
            <w:pPr>
              <w:spacing w:after="0"/>
              <w:rPr>
                <w:i/>
                <w:sz w:val="24"/>
                <w:szCs w:val="24"/>
              </w:rPr>
            </w:pPr>
            <w:r w:rsidRPr="00B52A8A">
              <w:rPr>
                <w:i/>
                <w:sz w:val="24"/>
                <w:szCs w:val="24"/>
              </w:rPr>
              <w:t xml:space="preserve">     </w:t>
            </w:r>
            <w:r w:rsidR="00D805F4" w:rsidRPr="00B52A8A">
              <w:rPr>
                <w:i/>
                <w:sz w:val="24"/>
                <w:szCs w:val="24"/>
              </w:rPr>
              <w:t>20,10</w:t>
            </w:r>
          </w:p>
        </w:tc>
        <w:tc>
          <w:tcPr>
            <w:tcW w:w="1843" w:type="dxa"/>
          </w:tcPr>
          <w:p w:rsidR="00BB3CA4" w:rsidRPr="00B52A8A" w:rsidRDefault="003D3CB6" w:rsidP="003D3CB6">
            <w:pPr>
              <w:spacing w:after="0"/>
              <w:jc w:val="center"/>
              <w:rPr>
                <w:i/>
                <w:sz w:val="24"/>
                <w:szCs w:val="24"/>
              </w:rPr>
            </w:pPr>
            <w:r w:rsidRPr="00B52A8A">
              <w:rPr>
                <w:i/>
                <w:sz w:val="24"/>
                <w:szCs w:val="24"/>
              </w:rPr>
              <w:t xml:space="preserve"> </w:t>
            </w:r>
            <w:r w:rsidR="00D805F4" w:rsidRPr="00B52A8A">
              <w:rPr>
                <w:i/>
                <w:sz w:val="24"/>
                <w:szCs w:val="24"/>
              </w:rPr>
              <w:t>53,00</w:t>
            </w:r>
          </w:p>
        </w:tc>
        <w:tc>
          <w:tcPr>
            <w:tcW w:w="1670" w:type="dxa"/>
          </w:tcPr>
          <w:p w:rsidR="00BB3CA4" w:rsidRPr="00B52A8A" w:rsidRDefault="00D805F4" w:rsidP="003D3CB6">
            <w:pPr>
              <w:spacing w:after="0"/>
              <w:jc w:val="center"/>
              <w:rPr>
                <w:i/>
                <w:sz w:val="24"/>
                <w:szCs w:val="24"/>
              </w:rPr>
            </w:pPr>
            <w:r w:rsidRPr="00B52A8A">
              <w:rPr>
                <w:i/>
                <w:sz w:val="24"/>
                <w:szCs w:val="24"/>
              </w:rPr>
              <w:t>7,50</w:t>
            </w:r>
          </w:p>
        </w:tc>
      </w:tr>
      <w:tr w:rsidR="00BB3CA4" w:rsidRPr="00B52A8A" w:rsidTr="00EA0511">
        <w:trPr>
          <w:jc w:val="center"/>
        </w:trPr>
        <w:tc>
          <w:tcPr>
            <w:tcW w:w="2025" w:type="dxa"/>
          </w:tcPr>
          <w:p w:rsidR="00BB3CA4" w:rsidRPr="00B52A8A" w:rsidRDefault="003D3CB6" w:rsidP="000D4A69">
            <w:pPr>
              <w:spacing w:after="0"/>
              <w:rPr>
                <w:b/>
                <w:i/>
                <w:sz w:val="24"/>
                <w:szCs w:val="24"/>
              </w:rPr>
            </w:pPr>
            <w:r w:rsidRPr="00B52A8A">
              <w:rPr>
                <w:b/>
                <w:i/>
                <w:sz w:val="24"/>
                <w:szCs w:val="24"/>
              </w:rPr>
              <w:t>K</w:t>
            </w:r>
            <w:r w:rsidR="00BB3CA4" w:rsidRPr="00B52A8A">
              <w:rPr>
                <w:b/>
                <w:i/>
                <w:sz w:val="24"/>
                <w:szCs w:val="24"/>
              </w:rPr>
              <w:t>roky</w:t>
            </w:r>
            <w:r w:rsidR="00686017" w:rsidRPr="00B52A8A">
              <w:rPr>
                <w:b/>
                <w:i/>
                <w:sz w:val="24"/>
                <w:szCs w:val="24"/>
              </w:rPr>
              <w:t>/den</w:t>
            </w:r>
          </w:p>
        </w:tc>
        <w:tc>
          <w:tcPr>
            <w:tcW w:w="1843" w:type="dxa"/>
          </w:tcPr>
          <w:p w:rsidR="00BB3CA4" w:rsidRPr="00B52A8A" w:rsidRDefault="00D805F4" w:rsidP="003D3CB6">
            <w:pPr>
              <w:spacing w:after="0"/>
              <w:rPr>
                <w:i/>
                <w:sz w:val="24"/>
                <w:szCs w:val="24"/>
              </w:rPr>
            </w:pPr>
            <w:r w:rsidRPr="00B52A8A">
              <w:rPr>
                <w:i/>
                <w:sz w:val="24"/>
                <w:szCs w:val="24"/>
              </w:rPr>
              <w:t>10398,49</w:t>
            </w:r>
          </w:p>
        </w:tc>
        <w:tc>
          <w:tcPr>
            <w:tcW w:w="1732" w:type="dxa"/>
          </w:tcPr>
          <w:p w:rsidR="00BB3CA4" w:rsidRPr="00B52A8A" w:rsidRDefault="003D3CB6" w:rsidP="003D3CB6">
            <w:pPr>
              <w:spacing w:after="0"/>
              <w:rPr>
                <w:i/>
                <w:sz w:val="24"/>
                <w:szCs w:val="24"/>
              </w:rPr>
            </w:pPr>
            <w:r w:rsidRPr="00B52A8A">
              <w:rPr>
                <w:i/>
                <w:sz w:val="24"/>
                <w:szCs w:val="24"/>
              </w:rPr>
              <w:t xml:space="preserve"> </w:t>
            </w:r>
            <w:r w:rsidR="00D805F4" w:rsidRPr="00B52A8A">
              <w:rPr>
                <w:i/>
                <w:sz w:val="24"/>
                <w:szCs w:val="24"/>
              </w:rPr>
              <w:t>3637,57</w:t>
            </w:r>
          </w:p>
        </w:tc>
        <w:tc>
          <w:tcPr>
            <w:tcW w:w="1843" w:type="dxa"/>
          </w:tcPr>
          <w:p w:rsidR="00BB3CA4" w:rsidRPr="00B52A8A" w:rsidRDefault="003D3CB6" w:rsidP="003D3CB6">
            <w:pPr>
              <w:spacing w:after="0"/>
              <w:rPr>
                <w:i/>
                <w:sz w:val="24"/>
                <w:szCs w:val="24"/>
              </w:rPr>
            </w:pPr>
            <w:r w:rsidRPr="00B52A8A">
              <w:rPr>
                <w:i/>
                <w:sz w:val="24"/>
                <w:szCs w:val="24"/>
              </w:rPr>
              <w:t xml:space="preserve"> </w:t>
            </w:r>
            <w:r w:rsidR="00D805F4" w:rsidRPr="00B52A8A">
              <w:rPr>
                <w:i/>
                <w:sz w:val="24"/>
                <w:szCs w:val="24"/>
              </w:rPr>
              <w:t>17705,43</w:t>
            </w:r>
          </w:p>
        </w:tc>
        <w:tc>
          <w:tcPr>
            <w:tcW w:w="1670" w:type="dxa"/>
          </w:tcPr>
          <w:p w:rsidR="00BB3CA4" w:rsidRPr="00B52A8A" w:rsidRDefault="00D805F4" w:rsidP="003D3CB6">
            <w:pPr>
              <w:spacing w:after="0"/>
              <w:rPr>
                <w:i/>
                <w:sz w:val="24"/>
                <w:szCs w:val="24"/>
              </w:rPr>
            </w:pPr>
            <w:r w:rsidRPr="00B52A8A">
              <w:rPr>
                <w:i/>
                <w:sz w:val="24"/>
                <w:szCs w:val="24"/>
              </w:rPr>
              <w:t>3264,00</w:t>
            </w:r>
          </w:p>
        </w:tc>
      </w:tr>
    </w:tbl>
    <w:p w:rsidR="0083164B" w:rsidRPr="00B52A8A" w:rsidRDefault="0083164B" w:rsidP="0018420E">
      <w:pPr>
        <w:spacing w:after="0"/>
        <w:rPr>
          <w:b/>
          <w:szCs w:val="24"/>
        </w:rPr>
      </w:pPr>
    </w:p>
    <w:p w:rsidR="00686017" w:rsidRPr="00B52A8A" w:rsidRDefault="00686017" w:rsidP="0018420E">
      <w:pPr>
        <w:spacing w:after="0"/>
        <w:rPr>
          <w:sz w:val="16"/>
          <w:szCs w:val="16"/>
        </w:rPr>
      </w:pPr>
      <w:r w:rsidRPr="00B52A8A">
        <w:rPr>
          <w:sz w:val="16"/>
          <w:szCs w:val="16"/>
        </w:rPr>
        <w:lastRenderedPageBreak/>
        <w:t>Vysvětlivky:</w:t>
      </w:r>
      <w:r w:rsidRPr="00B52A8A">
        <w:rPr>
          <w:sz w:val="16"/>
          <w:szCs w:val="16"/>
        </w:rPr>
        <w:tab/>
        <w:t xml:space="preserve">PA  </w:t>
      </w:r>
      <w:r w:rsidRPr="00B52A8A">
        <w:rPr>
          <w:sz w:val="16"/>
          <w:szCs w:val="16"/>
        </w:rPr>
        <w:tab/>
        <w:t xml:space="preserve">    </w:t>
      </w:r>
      <w:r w:rsidR="006355D7" w:rsidRPr="00B52A8A">
        <w:rPr>
          <w:sz w:val="16"/>
          <w:szCs w:val="16"/>
        </w:rPr>
        <w:t xml:space="preserve">   </w:t>
      </w:r>
      <w:r w:rsidR="004A5BAE" w:rsidRPr="00B52A8A">
        <w:rPr>
          <w:sz w:val="16"/>
          <w:szCs w:val="16"/>
        </w:rPr>
        <w:t xml:space="preserve">   </w:t>
      </w:r>
      <w:r w:rsidRPr="00B52A8A">
        <w:rPr>
          <w:sz w:val="16"/>
          <w:szCs w:val="16"/>
        </w:rPr>
        <w:t>– pohybová aktivita</w:t>
      </w:r>
    </w:p>
    <w:p w:rsidR="00686017" w:rsidRPr="00B52A8A" w:rsidRDefault="00686017" w:rsidP="0018420E">
      <w:pPr>
        <w:spacing w:after="0"/>
        <w:rPr>
          <w:sz w:val="16"/>
          <w:szCs w:val="16"/>
        </w:rPr>
      </w:pPr>
      <w:r w:rsidRPr="00B52A8A">
        <w:rPr>
          <w:sz w:val="16"/>
          <w:szCs w:val="16"/>
        </w:rPr>
        <w:tab/>
        <w:t xml:space="preserve">     </w:t>
      </w:r>
      <w:r w:rsidRPr="00B52A8A">
        <w:rPr>
          <w:sz w:val="16"/>
          <w:szCs w:val="16"/>
        </w:rPr>
        <w:tab/>
        <w:t xml:space="preserve">PI   </w:t>
      </w:r>
      <w:r w:rsidRPr="00B52A8A">
        <w:rPr>
          <w:sz w:val="16"/>
          <w:szCs w:val="16"/>
        </w:rPr>
        <w:tab/>
        <w:t xml:space="preserve">    </w:t>
      </w:r>
      <w:r w:rsidR="006355D7" w:rsidRPr="00B52A8A">
        <w:rPr>
          <w:sz w:val="16"/>
          <w:szCs w:val="16"/>
        </w:rPr>
        <w:t xml:space="preserve">   </w:t>
      </w:r>
      <w:r w:rsidR="004A5BAE" w:rsidRPr="00B52A8A">
        <w:rPr>
          <w:sz w:val="16"/>
          <w:szCs w:val="16"/>
        </w:rPr>
        <w:t xml:space="preserve">   </w:t>
      </w:r>
      <w:r w:rsidRPr="00B52A8A">
        <w:rPr>
          <w:sz w:val="16"/>
          <w:szCs w:val="16"/>
        </w:rPr>
        <w:t>– pohybová inaktivita</w:t>
      </w:r>
    </w:p>
    <w:p w:rsidR="00686017" w:rsidRPr="00B52A8A" w:rsidRDefault="00686017" w:rsidP="0018420E">
      <w:pPr>
        <w:spacing w:after="0"/>
        <w:rPr>
          <w:sz w:val="16"/>
          <w:szCs w:val="16"/>
        </w:rPr>
      </w:pPr>
      <w:r w:rsidRPr="00B52A8A">
        <w:rPr>
          <w:sz w:val="16"/>
          <w:szCs w:val="16"/>
        </w:rPr>
        <w:tab/>
      </w:r>
      <w:r w:rsidRPr="00B52A8A">
        <w:rPr>
          <w:sz w:val="16"/>
          <w:szCs w:val="16"/>
        </w:rPr>
        <w:tab/>
        <w:t xml:space="preserve">ACV </w:t>
      </w:r>
      <w:r w:rsidRPr="00B52A8A">
        <w:rPr>
          <w:sz w:val="16"/>
          <w:szCs w:val="16"/>
        </w:rPr>
        <w:tab/>
        <w:t xml:space="preserve">    </w:t>
      </w:r>
      <w:r w:rsidR="006355D7" w:rsidRPr="00B52A8A">
        <w:rPr>
          <w:sz w:val="16"/>
          <w:szCs w:val="16"/>
        </w:rPr>
        <w:t xml:space="preserve">   </w:t>
      </w:r>
      <w:r w:rsidR="004A5BAE" w:rsidRPr="00B52A8A">
        <w:rPr>
          <w:sz w:val="16"/>
          <w:szCs w:val="16"/>
        </w:rPr>
        <w:t xml:space="preserve">   </w:t>
      </w:r>
      <w:r w:rsidRPr="00B52A8A">
        <w:rPr>
          <w:sz w:val="16"/>
          <w:szCs w:val="16"/>
        </w:rPr>
        <w:t>– aktivní výdej energie</w:t>
      </w:r>
      <w:r w:rsidR="004A5BAE" w:rsidRPr="00B52A8A">
        <w:rPr>
          <w:sz w:val="16"/>
          <w:szCs w:val="16"/>
        </w:rPr>
        <w:t xml:space="preserve"> </w:t>
      </w:r>
    </w:p>
    <w:p w:rsidR="00686017" w:rsidRPr="00B52A8A" w:rsidRDefault="00686017" w:rsidP="0018420E">
      <w:pPr>
        <w:spacing w:after="0"/>
        <w:rPr>
          <w:sz w:val="16"/>
          <w:szCs w:val="16"/>
        </w:rPr>
      </w:pPr>
      <w:r w:rsidRPr="00B52A8A">
        <w:rPr>
          <w:sz w:val="16"/>
          <w:szCs w:val="16"/>
        </w:rPr>
        <w:tab/>
      </w:r>
      <w:r w:rsidRPr="00B52A8A">
        <w:rPr>
          <w:sz w:val="16"/>
          <w:szCs w:val="16"/>
        </w:rPr>
        <w:tab/>
        <w:t>CVE</w:t>
      </w:r>
      <w:r w:rsidR="004A5BAE" w:rsidRPr="00B52A8A">
        <w:rPr>
          <w:sz w:val="16"/>
          <w:szCs w:val="16"/>
        </w:rPr>
        <w:t>24</w:t>
      </w:r>
      <w:r w:rsidRPr="00B52A8A">
        <w:rPr>
          <w:sz w:val="16"/>
          <w:szCs w:val="16"/>
        </w:rPr>
        <w:tab/>
        <w:t xml:space="preserve">    </w:t>
      </w:r>
      <w:r w:rsidR="006355D7" w:rsidRPr="00B52A8A">
        <w:rPr>
          <w:sz w:val="16"/>
          <w:szCs w:val="16"/>
        </w:rPr>
        <w:t xml:space="preserve"> </w:t>
      </w:r>
      <w:r w:rsidR="004A5BAE" w:rsidRPr="00B52A8A">
        <w:rPr>
          <w:sz w:val="16"/>
          <w:szCs w:val="16"/>
        </w:rPr>
        <w:t xml:space="preserve">   </w:t>
      </w:r>
      <w:r w:rsidR="006355D7" w:rsidRPr="00B52A8A">
        <w:rPr>
          <w:sz w:val="16"/>
          <w:szCs w:val="16"/>
        </w:rPr>
        <w:t xml:space="preserve">  </w:t>
      </w:r>
      <w:r w:rsidRPr="00B52A8A">
        <w:rPr>
          <w:sz w:val="16"/>
          <w:szCs w:val="16"/>
        </w:rPr>
        <w:t>– celkový výdej energie</w:t>
      </w:r>
      <w:r w:rsidR="004A5BAE" w:rsidRPr="00B52A8A">
        <w:rPr>
          <w:sz w:val="16"/>
          <w:szCs w:val="16"/>
        </w:rPr>
        <w:t xml:space="preserve"> za 24 h</w:t>
      </w:r>
    </w:p>
    <w:p w:rsidR="00686017" w:rsidRPr="00B52A8A" w:rsidRDefault="00686017" w:rsidP="0018420E">
      <w:pPr>
        <w:spacing w:after="0"/>
        <w:rPr>
          <w:sz w:val="16"/>
          <w:szCs w:val="16"/>
        </w:rPr>
      </w:pPr>
      <w:r w:rsidRPr="00B52A8A">
        <w:rPr>
          <w:sz w:val="16"/>
          <w:szCs w:val="16"/>
        </w:rPr>
        <w:tab/>
      </w:r>
      <w:r w:rsidRPr="00B52A8A">
        <w:rPr>
          <w:sz w:val="16"/>
          <w:szCs w:val="16"/>
        </w:rPr>
        <w:tab/>
        <w:t>ACV/CVE</w:t>
      </w:r>
      <w:r w:rsidR="004A5BAE" w:rsidRPr="00B52A8A">
        <w:rPr>
          <w:sz w:val="16"/>
          <w:szCs w:val="16"/>
        </w:rPr>
        <w:t>24</w:t>
      </w:r>
      <w:r w:rsidRPr="00B52A8A">
        <w:rPr>
          <w:sz w:val="16"/>
          <w:szCs w:val="16"/>
        </w:rPr>
        <w:t xml:space="preserve">  </w:t>
      </w:r>
      <w:r w:rsidR="00B03374" w:rsidRPr="00B52A8A">
        <w:rPr>
          <w:sz w:val="16"/>
          <w:szCs w:val="16"/>
        </w:rPr>
        <w:t xml:space="preserve">   </w:t>
      </w:r>
      <w:r w:rsidRPr="00B52A8A">
        <w:rPr>
          <w:sz w:val="16"/>
          <w:szCs w:val="16"/>
        </w:rPr>
        <w:t>– poměr energií</w:t>
      </w:r>
      <w:r w:rsidR="004A5BAE" w:rsidRPr="00B52A8A">
        <w:rPr>
          <w:sz w:val="16"/>
          <w:szCs w:val="16"/>
        </w:rPr>
        <w:t xml:space="preserve"> </w:t>
      </w:r>
    </w:p>
    <w:p w:rsidR="0083164B" w:rsidRPr="00B52A8A" w:rsidRDefault="0083164B" w:rsidP="0018420E">
      <w:pPr>
        <w:spacing w:after="0"/>
        <w:rPr>
          <w:b/>
          <w:szCs w:val="24"/>
        </w:rPr>
      </w:pPr>
    </w:p>
    <w:p w:rsidR="008718FA" w:rsidRPr="00B52A8A" w:rsidRDefault="008B3241" w:rsidP="00931673">
      <w:pPr>
        <w:ind w:firstLine="284"/>
        <w:rPr>
          <w:szCs w:val="24"/>
        </w:rPr>
      </w:pPr>
      <w:r w:rsidRPr="00B52A8A">
        <w:rPr>
          <w:szCs w:val="24"/>
        </w:rPr>
        <w:t>V tabulce 9</w:t>
      </w:r>
      <w:r w:rsidR="00236B90" w:rsidRPr="00B52A8A">
        <w:rPr>
          <w:szCs w:val="24"/>
        </w:rPr>
        <w:t xml:space="preserve"> je zaznamenáno</w:t>
      </w:r>
      <w:r w:rsidR="00686017" w:rsidRPr="00B52A8A">
        <w:rPr>
          <w:szCs w:val="24"/>
        </w:rPr>
        <w:t xml:space="preserve"> množství </w:t>
      </w:r>
      <w:r w:rsidR="00686017" w:rsidRPr="00B52A8A">
        <w:rPr>
          <w:b/>
          <w:szCs w:val="24"/>
        </w:rPr>
        <w:t>pohybové aktivity</w:t>
      </w:r>
      <w:r w:rsidR="00686017" w:rsidRPr="00B52A8A">
        <w:rPr>
          <w:szCs w:val="24"/>
        </w:rPr>
        <w:t>, která byla v průměru vykonávána 9,29 hod</w:t>
      </w:r>
      <w:r w:rsidR="009D60D7" w:rsidRPr="00B52A8A">
        <w:rPr>
          <w:szCs w:val="24"/>
        </w:rPr>
        <w:t xml:space="preserve"> za den</w:t>
      </w:r>
      <w:r w:rsidR="00686017" w:rsidRPr="00B52A8A">
        <w:rPr>
          <w:szCs w:val="24"/>
        </w:rPr>
        <w:t xml:space="preserve">. </w:t>
      </w:r>
      <w:r w:rsidR="00686017" w:rsidRPr="00B52A8A">
        <w:rPr>
          <w:b/>
          <w:szCs w:val="24"/>
        </w:rPr>
        <w:t>Pohybová inaktivita</w:t>
      </w:r>
      <w:r w:rsidR="00686017" w:rsidRPr="00B52A8A">
        <w:rPr>
          <w:szCs w:val="24"/>
        </w:rPr>
        <w:t xml:space="preserve"> byla </w:t>
      </w:r>
      <w:r w:rsidR="009D60D7" w:rsidRPr="00B52A8A">
        <w:rPr>
          <w:szCs w:val="24"/>
        </w:rPr>
        <w:t xml:space="preserve">během </w:t>
      </w:r>
      <w:r w:rsidR="00BD3966" w:rsidRPr="00B52A8A">
        <w:rPr>
          <w:szCs w:val="24"/>
        </w:rPr>
        <w:t>dne</w:t>
      </w:r>
      <w:r w:rsidR="00686017" w:rsidRPr="00B52A8A">
        <w:rPr>
          <w:szCs w:val="24"/>
        </w:rPr>
        <w:t xml:space="preserve"> asi o polovinu nižší, 4,78 hod. </w:t>
      </w:r>
    </w:p>
    <w:p w:rsidR="00F34213" w:rsidRPr="00B52A8A" w:rsidRDefault="00931673" w:rsidP="00EA0511">
      <w:pPr>
        <w:ind w:firstLine="284"/>
        <w:rPr>
          <w:rFonts w:eastAsia="TimesNewRomanPSMT" w:cs="TimesNewRomanPSMT"/>
        </w:rPr>
      </w:pPr>
      <w:r w:rsidRPr="00B52A8A">
        <w:t>Doporučené množství PA je minimálně</w:t>
      </w:r>
      <w:r w:rsidR="00F34213" w:rsidRPr="00B52A8A">
        <w:t xml:space="preserve"> 150 min/týden</w:t>
      </w:r>
      <w:r w:rsidR="008718FA" w:rsidRPr="00B52A8A">
        <w:t xml:space="preserve"> o střední až vysoké intenzitě (Engelová, Pelclová,  Šalplachtová</w:t>
      </w:r>
      <w:r w:rsidR="008B4881" w:rsidRPr="00B52A8A">
        <w:t>,</w:t>
      </w:r>
      <w:r w:rsidR="008718FA" w:rsidRPr="00B52A8A">
        <w:t xml:space="preserve"> &amp; Lepková, 2010). </w:t>
      </w:r>
      <w:r w:rsidR="00EA0511" w:rsidRPr="00B52A8A">
        <w:br/>
      </w:r>
      <w:r w:rsidR="00F34213" w:rsidRPr="00B52A8A">
        <w:t>Z celkového průměrného množs</w:t>
      </w:r>
      <w:r w:rsidR="005E7CA6" w:rsidRPr="00B52A8A">
        <w:t xml:space="preserve">tví PA/týden vykonávala skupina </w:t>
      </w:r>
      <w:r w:rsidR="00F34213" w:rsidRPr="00B52A8A">
        <w:t xml:space="preserve">seniorů </w:t>
      </w:r>
      <w:r w:rsidR="005E7CA6" w:rsidRPr="00B52A8A">
        <w:t xml:space="preserve">převážně lehkou PA = 397 min/týden (intenzita 1–3 MET) a </w:t>
      </w:r>
      <w:r w:rsidR="00F34213" w:rsidRPr="00B52A8A">
        <w:t xml:space="preserve">středně </w:t>
      </w:r>
      <w:r w:rsidR="005E7CA6" w:rsidRPr="00B52A8A">
        <w:t>zatěžující PA = 299 min/týden (</w:t>
      </w:r>
      <w:r w:rsidR="00F34213" w:rsidRPr="00B52A8A">
        <w:t>intenzitě 3–6 MET</w:t>
      </w:r>
      <w:r w:rsidR="005E7CA6" w:rsidRPr="00B52A8A">
        <w:t xml:space="preserve">). </w:t>
      </w:r>
      <w:r w:rsidR="008718FA" w:rsidRPr="00B52A8A">
        <w:t>Nejméně byla prováděna PA vysoké intenzity = 5 min/týden (intenzita 6–9 MET).</w:t>
      </w:r>
      <w:r w:rsidRPr="00B52A8A">
        <w:t xml:space="preserve"> </w:t>
      </w:r>
      <w:r w:rsidRPr="00B52A8A">
        <w:rPr>
          <w:rFonts w:eastAsia="TimesNewRomanPSMT" w:cs="TimesNewRomanPSMT"/>
        </w:rPr>
        <w:t>Plnění doporučení vztahujícímu se k středně zatěžující pohybové aktivitě je tedy účinný</w:t>
      </w:r>
      <w:r w:rsidR="00EA0511" w:rsidRPr="00B52A8A">
        <w:rPr>
          <w:rFonts w:eastAsia="TimesNewRomanPSMT" w:cs="TimesNewRomanPSMT"/>
        </w:rPr>
        <w:t xml:space="preserve"> </w:t>
      </w:r>
      <w:r w:rsidRPr="00B52A8A">
        <w:rPr>
          <w:rFonts w:eastAsia="TimesNewRomanPSMT" w:cs="TimesNewRomanPSMT"/>
        </w:rPr>
        <w:t>prostředek pro s</w:t>
      </w:r>
      <w:r w:rsidR="00C23E18" w:rsidRPr="00B52A8A">
        <w:rPr>
          <w:rFonts w:eastAsia="TimesNewRomanPSMT" w:cs="TimesNewRomanPSMT"/>
        </w:rPr>
        <w:t>nížení rizika nadváhy a obezity.</w:t>
      </w:r>
    </w:p>
    <w:p w:rsidR="00304332" w:rsidRPr="00B52A8A" w:rsidRDefault="00BD3966" w:rsidP="00B77DD0">
      <w:pPr>
        <w:spacing w:after="0"/>
        <w:ind w:firstLine="284"/>
      </w:pPr>
      <w:r w:rsidRPr="00B52A8A">
        <w:rPr>
          <w:b/>
        </w:rPr>
        <w:t>AVE</w:t>
      </w:r>
      <w:r w:rsidRPr="00B52A8A">
        <w:t xml:space="preserve"> byl v průměru </w:t>
      </w:r>
      <w:r w:rsidR="00304332" w:rsidRPr="00B52A8A">
        <w:t xml:space="preserve">480,88 kcal a u některých probandů dosahoval až 870,43 kcal. </w:t>
      </w:r>
    </w:p>
    <w:p w:rsidR="00304332" w:rsidRPr="00B52A8A" w:rsidRDefault="00BD3966" w:rsidP="00154094">
      <w:pPr>
        <w:ind w:firstLine="284"/>
        <w:rPr>
          <w:rFonts w:cs="Calibri"/>
          <w:szCs w:val="24"/>
        </w:rPr>
      </w:pPr>
      <w:r w:rsidRPr="00B52A8A">
        <w:rPr>
          <w:b/>
        </w:rPr>
        <w:t>C</w:t>
      </w:r>
      <w:r w:rsidR="00154094" w:rsidRPr="00B52A8A">
        <w:rPr>
          <w:b/>
        </w:rPr>
        <w:t>VE</w:t>
      </w:r>
      <w:r w:rsidRPr="00B52A8A">
        <w:t xml:space="preserve"> tvoří součet AVE + BMR. Čím je člověk aktivnější, tím vyšší je procentuální hodnota podílu aktivního a celkového výdeje energie. Naše výsledná procentuální hodnota </w:t>
      </w:r>
      <w:r w:rsidR="00B128C8" w:rsidRPr="00B52A8A">
        <w:t>byl</w:t>
      </w:r>
      <w:r w:rsidRPr="00B52A8A">
        <w:t>a</w:t>
      </w:r>
      <w:r w:rsidR="00B128C8" w:rsidRPr="00B52A8A">
        <w:t xml:space="preserve"> 36 % což podle optimálních hodnot pro </w:t>
      </w:r>
      <w:r w:rsidR="0083164B" w:rsidRPr="00B52A8A">
        <w:t>seniory</w:t>
      </w:r>
      <w:r w:rsidR="00B128C8" w:rsidRPr="00B52A8A">
        <w:t xml:space="preserve"> bez zdravotního omezení </w:t>
      </w:r>
      <w:r w:rsidR="00B128C8" w:rsidRPr="00B52A8A">
        <w:rPr>
          <w:szCs w:val="24"/>
        </w:rPr>
        <w:t>≥ 20 %</w:t>
      </w:r>
      <w:r w:rsidR="00B128C8" w:rsidRPr="00B52A8A">
        <w:t xml:space="preserve"> vykazuje dostatečné množství PA</w:t>
      </w:r>
      <w:r w:rsidR="009D60D7" w:rsidRPr="00B52A8A">
        <w:t xml:space="preserve"> (</w:t>
      </w:r>
      <w:r w:rsidR="00D557B9" w:rsidRPr="00B52A8A">
        <w:t>Vyhodnocení výsledků z akcelerometru ActiGraph, 2011)</w:t>
      </w:r>
      <w:r w:rsidR="00B128C8" w:rsidRPr="00B52A8A">
        <w:t>.</w:t>
      </w:r>
      <w:r w:rsidR="00D557B9" w:rsidRPr="00B52A8A">
        <w:t xml:space="preserve"> </w:t>
      </w:r>
      <w:r w:rsidRPr="00B52A8A">
        <w:t>Je pozitivní, že ani minimální hodnota CVE neklesla pod 20</w:t>
      </w:r>
      <w:r w:rsidR="00D557B9" w:rsidRPr="00B52A8A">
        <w:t xml:space="preserve"> </w:t>
      </w:r>
      <w:r w:rsidRPr="00B52A8A">
        <w:t>%. Minimální hodnota souboru</w:t>
      </w:r>
      <w:r w:rsidR="00304332" w:rsidRPr="00B52A8A">
        <w:t xml:space="preserve"> 20,10 %</w:t>
      </w:r>
      <w:r w:rsidRPr="00B52A8A">
        <w:t xml:space="preserve"> se udržela těsně nad hranicí pro nedostačující pohybovou aktivitu</w:t>
      </w:r>
      <w:r w:rsidR="00D557B9" w:rsidRPr="00B52A8A">
        <w:t xml:space="preserve">. </w:t>
      </w:r>
    </w:p>
    <w:p w:rsidR="00766902" w:rsidRPr="00B52A8A" w:rsidRDefault="0083164B" w:rsidP="00482CC1">
      <w:pPr>
        <w:ind w:firstLine="426"/>
        <w:rPr>
          <w:rFonts w:cs="Calibri"/>
          <w:szCs w:val="24"/>
        </w:rPr>
      </w:pPr>
      <w:r w:rsidRPr="00B52A8A">
        <w:rPr>
          <w:bCs/>
        </w:rPr>
        <w:t>Univerzální</w:t>
      </w:r>
      <w:r w:rsidRPr="00B52A8A">
        <w:t xml:space="preserve"> doporučený </w:t>
      </w:r>
      <w:r w:rsidRPr="00B52A8A">
        <w:rPr>
          <w:b/>
        </w:rPr>
        <w:t>počet kroků</w:t>
      </w:r>
      <w:r w:rsidRPr="00B52A8A">
        <w:t xml:space="preserve"> je 10</w:t>
      </w:r>
      <w:r w:rsidR="00D557B9" w:rsidRPr="00B52A8A">
        <w:t xml:space="preserve"> </w:t>
      </w:r>
      <w:r w:rsidRPr="00B52A8A">
        <w:t xml:space="preserve">000 kroků za den. </w:t>
      </w:r>
      <w:r w:rsidR="00B128C8" w:rsidRPr="00B52A8A">
        <w:t>Průměrná hodnota získaná přístrojem ActiGraph</w:t>
      </w:r>
      <w:r w:rsidR="00D557B9" w:rsidRPr="00B52A8A">
        <w:t xml:space="preserve"> GT1M</w:t>
      </w:r>
      <w:r w:rsidR="00B128C8" w:rsidRPr="00B52A8A">
        <w:t xml:space="preserve"> byla 10</w:t>
      </w:r>
      <w:r w:rsidR="00D557B9" w:rsidRPr="00B52A8A">
        <w:t xml:space="preserve"> </w:t>
      </w:r>
      <w:r w:rsidR="00B128C8" w:rsidRPr="00B52A8A">
        <w:t>398,49 kroků za den. Tento počet spadá do rozmezí, podle kterého můžeme jedince charakterizovat jako aktivní = ≥ 10</w:t>
      </w:r>
      <w:r w:rsidR="00482CC1" w:rsidRPr="00B52A8A">
        <w:t xml:space="preserve"> </w:t>
      </w:r>
      <w:r w:rsidR="00B128C8" w:rsidRPr="00B52A8A">
        <w:t>000 kroků/den.</w:t>
      </w:r>
      <w:r w:rsidR="006355D7" w:rsidRPr="00B52A8A">
        <w:t xml:space="preserve"> Přesto se v měření objevily a hodnoty, které nedosahovaly ani 4000 kroků, což bylo naměřené minimum kroků</w:t>
      </w:r>
      <w:r w:rsidR="00304332" w:rsidRPr="00B52A8A">
        <w:t xml:space="preserve"> a je charakterizováno jako sedavý způsob života</w:t>
      </w:r>
      <w:r w:rsidR="006355D7" w:rsidRPr="00B52A8A">
        <w:t xml:space="preserve">. Naopak velmi dobrým výsledkem je maximální počet </w:t>
      </w:r>
      <w:r w:rsidR="006355D7" w:rsidRPr="00B52A8A">
        <w:lastRenderedPageBreak/>
        <w:t>kroků, který dosáhl téměř 18</w:t>
      </w:r>
      <w:r w:rsidR="00482CC1" w:rsidRPr="00B52A8A">
        <w:t xml:space="preserve"> </w:t>
      </w:r>
      <w:r w:rsidR="006355D7" w:rsidRPr="00B52A8A">
        <w:t>000 kroků za den.</w:t>
      </w:r>
      <w:r w:rsidR="00304332" w:rsidRPr="00B52A8A">
        <w:t xml:space="preserve"> Tento výsledek značí velmi aktivní jedince, kteří již dosahují PA zdravotních efektů a mnoh</w:t>
      </w:r>
      <w:r w:rsidR="00482CC1" w:rsidRPr="00B52A8A">
        <w:t>em více upevňují svoji kondici (Vyhodnocení výsledků z akcelerometru ActiGraph, 2011).</w:t>
      </w:r>
    </w:p>
    <w:p w:rsidR="00482CC1" w:rsidRPr="00B52A8A" w:rsidRDefault="00482CC1" w:rsidP="00482CC1">
      <w:pPr>
        <w:ind w:firstLine="426"/>
        <w:rPr>
          <w:rFonts w:cs="Calibri"/>
          <w:szCs w:val="24"/>
        </w:rPr>
      </w:pPr>
    </w:p>
    <w:p w:rsidR="00F466CB" w:rsidRPr="00B52A8A" w:rsidRDefault="00F466CB" w:rsidP="007B4E43">
      <w:pPr>
        <w:pStyle w:val="Zkladntext"/>
        <w:spacing w:line="360" w:lineRule="auto"/>
        <w:jc w:val="both"/>
        <w:rPr>
          <w:rFonts w:ascii="Bookman Old Style" w:eastAsia="Calibri" w:hAnsi="Bookman Old Style"/>
          <w:b/>
          <w:szCs w:val="24"/>
          <w:lang w:eastAsia="en-US"/>
        </w:rPr>
      </w:pPr>
      <w:r w:rsidRPr="00B52A8A">
        <w:rPr>
          <w:rFonts w:ascii="Bookman Old Style" w:eastAsia="Calibri" w:hAnsi="Bookman Old Style"/>
          <w:b/>
          <w:szCs w:val="24"/>
          <w:lang w:eastAsia="en-US"/>
        </w:rPr>
        <w:t>Tabulka 10</w:t>
      </w:r>
      <w:r w:rsidR="00482CC1" w:rsidRPr="00B52A8A">
        <w:rPr>
          <w:rFonts w:ascii="Bookman Old Style" w:eastAsia="Calibri" w:hAnsi="Bookman Old Style"/>
          <w:b/>
          <w:szCs w:val="24"/>
          <w:lang w:eastAsia="en-US"/>
        </w:rPr>
        <w:t>.</w:t>
      </w:r>
    </w:p>
    <w:p w:rsidR="00F466CB" w:rsidRPr="00B52A8A" w:rsidRDefault="00F466CB" w:rsidP="00F466CB">
      <w:pPr>
        <w:pStyle w:val="Zkladntext"/>
        <w:spacing w:line="360" w:lineRule="auto"/>
        <w:jc w:val="both"/>
        <w:rPr>
          <w:rFonts w:ascii="Bookman Old Style" w:eastAsia="Calibri" w:hAnsi="Bookman Old Style"/>
          <w:b/>
          <w:szCs w:val="24"/>
          <w:lang w:eastAsia="en-US"/>
        </w:rPr>
      </w:pPr>
      <w:r w:rsidRPr="00B52A8A">
        <w:rPr>
          <w:rFonts w:ascii="Bookman Old Style" w:eastAsia="Calibri" w:hAnsi="Bookman Old Style"/>
          <w:b/>
          <w:szCs w:val="24"/>
          <w:lang w:eastAsia="en-US"/>
        </w:rPr>
        <w:t>Vztah počtu kroků a intenzity PA ke zdravotním ukazatelům</w:t>
      </w:r>
      <w:r w:rsidR="00482CC1" w:rsidRPr="00B52A8A">
        <w:rPr>
          <w:rFonts w:ascii="Bookman Old Style" w:eastAsia="Calibri" w:hAnsi="Bookman Old Style"/>
          <w:b/>
          <w:szCs w:val="24"/>
          <w:lang w:eastAsia="en-US"/>
        </w:rPr>
        <w:t xml:space="preserve"> dle korelačního koeficientu</w:t>
      </w:r>
    </w:p>
    <w:p w:rsidR="00F466CB" w:rsidRPr="00B52A8A" w:rsidRDefault="00F466CB" w:rsidP="00F466CB">
      <w:pPr>
        <w:pStyle w:val="Zkladntext"/>
        <w:spacing w:line="360" w:lineRule="auto"/>
        <w:jc w:val="both"/>
        <w:rPr>
          <w:rFonts w:ascii="Bookman Old Style" w:eastAsia="Calibri" w:hAnsi="Bookman Old Style"/>
          <w:b/>
          <w:szCs w:val="24"/>
          <w:lang w:eastAsia="en-US"/>
        </w:rPr>
      </w:pPr>
      <w:r w:rsidRPr="00B52A8A">
        <w:rPr>
          <w:rFonts w:ascii="Bookman Old Style" w:eastAsia="Calibri" w:hAnsi="Bookman Old Style"/>
          <w:b/>
          <w:szCs w:val="24"/>
          <w:lang w:eastAsia="en-US"/>
        </w:rPr>
        <w:tab/>
      </w:r>
    </w:p>
    <w:tbl>
      <w:tblPr>
        <w:tblStyle w:val="Svtlstnovn1"/>
        <w:tblW w:w="0" w:type="auto"/>
        <w:jc w:val="center"/>
        <w:tblLook w:val="0620"/>
      </w:tblPr>
      <w:tblGrid>
        <w:gridCol w:w="1537"/>
        <w:gridCol w:w="1218"/>
        <w:gridCol w:w="1218"/>
        <w:gridCol w:w="1213"/>
        <w:gridCol w:w="1208"/>
      </w:tblGrid>
      <w:tr w:rsidR="00F466CB" w:rsidRPr="00B52A8A" w:rsidTr="00F466CB">
        <w:trPr>
          <w:cnfStyle w:val="100000000000"/>
          <w:jc w:val="center"/>
        </w:trPr>
        <w:tc>
          <w:tcPr>
            <w:tcW w:w="1463" w:type="dxa"/>
          </w:tcPr>
          <w:p w:rsidR="00F466CB" w:rsidRPr="00B52A8A" w:rsidRDefault="00F466CB" w:rsidP="00F466CB">
            <w:pPr>
              <w:pStyle w:val="Zkladntext"/>
              <w:spacing w:line="360" w:lineRule="auto"/>
              <w:jc w:val="both"/>
              <w:rPr>
                <w:rFonts w:ascii="Bookman Old Style" w:eastAsia="Calibri" w:hAnsi="Bookman Old Style"/>
                <w:b w:val="0"/>
                <w:sz w:val="24"/>
                <w:szCs w:val="24"/>
                <w:lang w:eastAsia="en-US"/>
              </w:rPr>
            </w:pPr>
          </w:p>
        </w:tc>
        <w:tc>
          <w:tcPr>
            <w:tcW w:w="1218" w:type="dxa"/>
          </w:tcPr>
          <w:p w:rsidR="00F466CB" w:rsidRPr="00B52A8A" w:rsidRDefault="00F466CB"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FFMI</w:t>
            </w:r>
          </w:p>
        </w:tc>
        <w:tc>
          <w:tcPr>
            <w:tcW w:w="1218" w:type="dxa"/>
          </w:tcPr>
          <w:p w:rsidR="00F466CB" w:rsidRPr="00B52A8A" w:rsidRDefault="00F466CB"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BFMI</w:t>
            </w:r>
          </w:p>
        </w:tc>
        <w:tc>
          <w:tcPr>
            <w:tcW w:w="1213" w:type="dxa"/>
          </w:tcPr>
          <w:p w:rsidR="00F466CB" w:rsidRPr="00B52A8A" w:rsidRDefault="00F466CB"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VFA</w:t>
            </w:r>
          </w:p>
        </w:tc>
        <w:tc>
          <w:tcPr>
            <w:tcW w:w="1208" w:type="dxa"/>
          </w:tcPr>
          <w:p w:rsidR="00F466CB" w:rsidRPr="00B52A8A" w:rsidRDefault="00F466CB"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OD</w:t>
            </w:r>
          </w:p>
        </w:tc>
      </w:tr>
      <w:tr w:rsidR="00F466CB" w:rsidRPr="00B52A8A" w:rsidTr="00F466CB">
        <w:trPr>
          <w:jc w:val="center"/>
        </w:trPr>
        <w:tc>
          <w:tcPr>
            <w:tcW w:w="1463" w:type="dxa"/>
          </w:tcPr>
          <w:p w:rsidR="0080002B" w:rsidRPr="00B52A8A" w:rsidRDefault="00F466CB" w:rsidP="00F466CB">
            <w:pPr>
              <w:pStyle w:val="Zkladntext"/>
              <w:spacing w:line="360" w:lineRule="auto"/>
              <w:jc w:val="both"/>
              <w:rPr>
                <w:rFonts w:ascii="Bookman Old Style" w:eastAsia="Calibri" w:hAnsi="Bookman Old Style"/>
                <w:b/>
                <w:i/>
                <w:sz w:val="24"/>
                <w:szCs w:val="24"/>
                <w:lang w:eastAsia="en-US"/>
              </w:rPr>
            </w:pPr>
            <w:r w:rsidRPr="00B52A8A">
              <w:rPr>
                <w:rFonts w:ascii="Bookman Old Style" w:eastAsia="Calibri" w:hAnsi="Bookman Old Style"/>
                <w:b/>
                <w:i/>
                <w:sz w:val="24"/>
                <w:szCs w:val="24"/>
                <w:lang w:eastAsia="en-US"/>
              </w:rPr>
              <w:t>Kroky/den</w:t>
            </w:r>
          </w:p>
        </w:tc>
        <w:tc>
          <w:tcPr>
            <w:tcW w:w="1218" w:type="dxa"/>
          </w:tcPr>
          <w:p w:rsidR="00F466CB" w:rsidRPr="00B52A8A" w:rsidRDefault="00F466CB"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-0,09</w:t>
            </w:r>
          </w:p>
        </w:tc>
        <w:tc>
          <w:tcPr>
            <w:tcW w:w="1218" w:type="dxa"/>
          </w:tcPr>
          <w:p w:rsidR="00F466CB" w:rsidRPr="00B52A8A" w:rsidRDefault="00F466CB"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-0,43</w:t>
            </w:r>
          </w:p>
        </w:tc>
        <w:tc>
          <w:tcPr>
            <w:tcW w:w="1213" w:type="dxa"/>
          </w:tcPr>
          <w:p w:rsidR="00F466CB" w:rsidRPr="00B52A8A" w:rsidRDefault="00F466CB"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-0,44</w:t>
            </w:r>
          </w:p>
        </w:tc>
        <w:tc>
          <w:tcPr>
            <w:tcW w:w="1208" w:type="dxa"/>
          </w:tcPr>
          <w:p w:rsidR="00F466CB" w:rsidRPr="00B52A8A" w:rsidRDefault="00F466CB"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-0,39</w:t>
            </w:r>
          </w:p>
        </w:tc>
      </w:tr>
      <w:tr w:rsidR="00F466CB" w:rsidRPr="00B52A8A" w:rsidTr="00F466CB">
        <w:trPr>
          <w:jc w:val="center"/>
        </w:trPr>
        <w:tc>
          <w:tcPr>
            <w:tcW w:w="1463" w:type="dxa"/>
          </w:tcPr>
          <w:p w:rsidR="00F466CB" w:rsidRPr="00B52A8A" w:rsidRDefault="00F466CB" w:rsidP="00F466CB">
            <w:pPr>
              <w:pStyle w:val="Zkladntext"/>
              <w:spacing w:line="360" w:lineRule="auto"/>
              <w:jc w:val="both"/>
              <w:rPr>
                <w:rFonts w:ascii="Bookman Old Style" w:eastAsia="Calibri" w:hAnsi="Bookman Old Style"/>
                <w:b/>
                <w:i/>
                <w:sz w:val="24"/>
                <w:szCs w:val="24"/>
                <w:lang w:eastAsia="en-US"/>
              </w:rPr>
            </w:pPr>
            <w:r w:rsidRPr="00B52A8A">
              <w:rPr>
                <w:rFonts w:ascii="Bookman Old Style" w:eastAsia="Calibri" w:hAnsi="Bookman Old Style"/>
                <w:b/>
                <w:i/>
                <w:sz w:val="24"/>
                <w:szCs w:val="24"/>
                <w:lang w:eastAsia="en-US"/>
              </w:rPr>
              <w:t>PA</w:t>
            </w:r>
            <w:r w:rsidR="00766902" w:rsidRPr="00B52A8A">
              <w:rPr>
                <w:rFonts w:ascii="Bookman Old Style" w:eastAsia="Calibri" w:hAnsi="Bookman Old Style"/>
                <w:b/>
                <w:i/>
                <w:sz w:val="24"/>
                <w:szCs w:val="24"/>
                <w:lang w:eastAsia="en-US"/>
              </w:rPr>
              <w:t>/mírná</w:t>
            </w:r>
          </w:p>
          <w:p w:rsidR="0080002B" w:rsidRPr="00B52A8A" w:rsidRDefault="0080002B"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(1 – 3 MET)</w:t>
            </w:r>
          </w:p>
        </w:tc>
        <w:tc>
          <w:tcPr>
            <w:tcW w:w="1218" w:type="dxa"/>
          </w:tcPr>
          <w:p w:rsidR="00F466CB" w:rsidRPr="00B52A8A" w:rsidRDefault="00766902"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-0,02</w:t>
            </w:r>
          </w:p>
        </w:tc>
        <w:tc>
          <w:tcPr>
            <w:tcW w:w="1218" w:type="dxa"/>
          </w:tcPr>
          <w:p w:rsidR="00F466CB" w:rsidRPr="00B52A8A" w:rsidRDefault="00766902"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-0,23</w:t>
            </w:r>
          </w:p>
        </w:tc>
        <w:tc>
          <w:tcPr>
            <w:tcW w:w="1213" w:type="dxa"/>
          </w:tcPr>
          <w:p w:rsidR="00F466CB" w:rsidRPr="00B52A8A" w:rsidRDefault="00766902"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-0,28</w:t>
            </w:r>
          </w:p>
        </w:tc>
        <w:tc>
          <w:tcPr>
            <w:tcW w:w="1208" w:type="dxa"/>
          </w:tcPr>
          <w:p w:rsidR="00F466CB" w:rsidRPr="00B52A8A" w:rsidRDefault="00766902"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-0,21</w:t>
            </w:r>
          </w:p>
        </w:tc>
      </w:tr>
      <w:tr w:rsidR="00F466CB" w:rsidRPr="00B52A8A" w:rsidTr="00F466CB">
        <w:trPr>
          <w:jc w:val="center"/>
        </w:trPr>
        <w:tc>
          <w:tcPr>
            <w:tcW w:w="1463" w:type="dxa"/>
          </w:tcPr>
          <w:p w:rsidR="00F466CB" w:rsidRPr="00B52A8A" w:rsidRDefault="00F466CB" w:rsidP="00F466CB">
            <w:pPr>
              <w:pStyle w:val="Zkladntext"/>
              <w:spacing w:line="360" w:lineRule="auto"/>
              <w:jc w:val="both"/>
              <w:rPr>
                <w:rFonts w:ascii="Bookman Old Style" w:eastAsia="Calibri" w:hAnsi="Bookman Old Style"/>
                <w:b/>
                <w:i/>
                <w:sz w:val="24"/>
                <w:szCs w:val="24"/>
                <w:lang w:eastAsia="en-US"/>
              </w:rPr>
            </w:pPr>
            <w:r w:rsidRPr="00B52A8A">
              <w:rPr>
                <w:rFonts w:ascii="Bookman Old Style" w:eastAsia="Calibri" w:hAnsi="Bookman Old Style"/>
                <w:b/>
                <w:i/>
                <w:sz w:val="24"/>
                <w:szCs w:val="24"/>
                <w:lang w:eastAsia="en-US"/>
              </w:rPr>
              <w:t>PA</w:t>
            </w:r>
            <w:r w:rsidR="00766902" w:rsidRPr="00B52A8A">
              <w:rPr>
                <w:rFonts w:ascii="Bookman Old Style" w:eastAsia="Calibri" w:hAnsi="Bookman Old Style"/>
                <w:b/>
                <w:i/>
                <w:sz w:val="24"/>
                <w:szCs w:val="24"/>
                <w:lang w:eastAsia="en-US"/>
              </w:rPr>
              <w:t>/střední</w:t>
            </w:r>
          </w:p>
          <w:p w:rsidR="0080002B" w:rsidRPr="00B52A8A" w:rsidRDefault="0080002B"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(3 – 6 MET)</w:t>
            </w:r>
          </w:p>
        </w:tc>
        <w:tc>
          <w:tcPr>
            <w:tcW w:w="1218" w:type="dxa"/>
          </w:tcPr>
          <w:p w:rsidR="00F466CB" w:rsidRPr="00B52A8A" w:rsidRDefault="00766902"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 xml:space="preserve"> 0,11</w:t>
            </w:r>
          </w:p>
        </w:tc>
        <w:tc>
          <w:tcPr>
            <w:tcW w:w="1218" w:type="dxa"/>
          </w:tcPr>
          <w:p w:rsidR="00F466CB" w:rsidRPr="00B52A8A" w:rsidRDefault="00766902"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-0,12</w:t>
            </w:r>
          </w:p>
        </w:tc>
        <w:tc>
          <w:tcPr>
            <w:tcW w:w="1213" w:type="dxa"/>
          </w:tcPr>
          <w:p w:rsidR="00F466CB" w:rsidRPr="00B52A8A" w:rsidRDefault="00766902"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-0,08</w:t>
            </w:r>
          </w:p>
        </w:tc>
        <w:tc>
          <w:tcPr>
            <w:tcW w:w="1208" w:type="dxa"/>
          </w:tcPr>
          <w:p w:rsidR="00F466CB" w:rsidRPr="00B52A8A" w:rsidRDefault="00766902"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-0,07</w:t>
            </w:r>
          </w:p>
        </w:tc>
      </w:tr>
      <w:tr w:rsidR="00F466CB" w:rsidRPr="00B52A8A" w:rsidTr="00F466CB">
        <w:trPr>
          <w:jc w:val="center"/>
        </w:trPr>
        <w:tc>
          <w:tcPr>
            <w:tcW w:w="1463" w:type="dxa"/>
          </w:tcPr>
          <w:p w:rsidR="00F466CB" w:rsidRPr="00B52A8A" w:rsidRDefault="00F466CB" w:rsidP="00766902">
            <w:pPr>
              <w:pStyle w:val="Zkladntext"/>
              <w:spacing w:line="360" w:lineRule="auto"/>
              <w:jc w:val="both"/>
              <w:rPr>
                <w:rFonts w:ascii="Bookman Old Style" w:eastAsia="Calibri" w:hAnsi="Bookman Old Style"/>
                <w:b/>
                <w:i/>
                <w:sz w:val="24"/>
                <w:szCs w:val="24"/>
                <w:lang w:eastAsia="en-US"/>
              </w:rPr>
            </w:pPr>
            <w:r w:rsidRPr="00B52A8A">
              <w:rPr>
                <w:rFonts w:ascii="Bookman Old Style" w:eastAsia="Calibri" w:hAnsi="Bookman Old Style"/>
                <w:b/>
                <w:i/>
                <w:sz w:val="24"/>
                <w:szCs w:val="24"/>
                <w:lang w:eastAsia="en-US"/>
              </w:rPr>
              <w:t>PA</w:t>
            </w:r>
            <w:r w:rsidR="00766902" w:rsidRPr="00B52A8A">
              <w:rPr>
                <w:rFonts w:ascii="Bookman Old Style" w:eastAsia="Calibri" w:hAnsi="Bookman Old Style"/>
                <w:b/>
                <w:i/>
                <w:sz w:val="24"/>
                <w:szCs w:val="24"/>
                <w:lang w:eastAsia="en-US"/>
              </w:rPr>
              <w:t>/vysoká</w:t>
            </w:r>
          </w:p>
          <w:p w:rsidR="0080002B" w:rsidRPr="00B52A8A" w:rsidRDefault="0080002B" w:rsidP="00766902">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(6 – 9 MET)</w:t>
            </w:r>
          </w:p>
        </w:tc>
        <w:tc>
          <w:tcPr>
            <w:tcW w:w="1218" w:type="dxa"/>
          </w:tcPr>
          <w:p w:rsidR="00F466CB" w:rsidRPr="00B52A8A" w:rsidRDefault="00766902"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 xml:space="preserve"> 0,12</w:t>
            </w:r>
          </w:p>
        </w:tc>
        <w:tc>
          <w:tcPr>
            <w:tcW w:w="1218" w:type="dxa"/>
          </w:tcPr>
          <w:p w:rsidR="00F466CB" w:rsidRPr="00B52A8A" w:rsidRDefault="00766902"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0,07</w:t>
            </w:r>
          </w:p>
        </w:tc>
        <w:tc>
          <w:tcPr>
            <w:tcW w:w="1213" w:type="dxa"/>
          </w:tcPr>
          <w:p w:rsidR="00F466CB" w:rsidRPr="00B52A8A" w:rsidRDefault="00766902"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 xml:space="preserve"> 0,06</w:t>
            </w:r>
          </w:p>
        </w:tc>
        <w:tc>
          <w:tcPr>
            <w:tcW w:w="1208" w:type="dxa"/>
          </w:tcPr>
          <w:p w:rsidR="00F466CB" w:rsidRPr="00B52A8A" w:rsidRDefault="00766902" w:rsidP="00F466CB">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 xml:space="preserve"> 0,02</w:t>
            </w:r>
          </w:p>
        </w:tc>
      </w:tr>
    </w:tbl>
    <w:p w:rsidR="00F466CB" w:rsidRPr="00B52A8A" w:rsidRDefault="00F466CB" w:rsidP="00F466CB">
      <w:pPr>
        <w:pStyle w:val="Zkladntext"/>
        <w:spacing w:line="360" w:lineRule="auto"/>
        <w:jc w:val="both"/>
        <w:rPr>
          <w:rFonts w:ascii="Bookman Old Style" w:eastAsia="Calibri" w:hAnsi="Bookman Old Style"/>
          <w:b/>
          <w:szCs w:val="24"/>
          <w:lang w:eastAsia="en-US"/>
        </w:rPr>
      </w:pPr>
    </w:p>
    <w:p w:rsidR="005A3D29" w:rsidRPr="00B52A8A" w:rsidRDefault="005A3D29" w:rsidP="005A3D29">
      <w:pPr>
        <w:spacing w:after="0"/>
        <w:ind w:left="708"/>
        <w:rPr>
          <w:i/>
          <w:sz w:val="16"/>
          <w:szCs w:val="16"/>
        </w:rPr>
      </w:pPr>
      <w:r w:rsidRPr="00B52A8A">
        <w:rPr>
          <w:i/>
          <w:sz w:val="16"/>
          <w:szCs w:val="16"/>
        </w:rPr>
        <w:t xml:space="preserve">       Vysvětlivky:    FFMI      – index tukuprosté hmoty</w:t>
      </w:r>
      <w:r w:rsidRPr="00B52A8A">
        <w:rPr>
          <w:i/>
          <w:sz w:val="16"/>
          <w:szCs w:val="16"/>
        </w:rPr>
        <w:tab/>
        <w:t xml:space="preserve"> </w:t>
      </w:r>
      <w:r w:rsidRPr="00B52A8A">
        <w:rPr>
          <w:i/>
          <w:sz w:val="16"/>
          <w:szCs w:val="16"/>
        </w:rPr>
        <w:tab/>
      </w:r>
    </w:p>
    <w:p w:rsidR="005A3D29" w:rsidRPr="00B52A8A" w:rsidRDefault="005A3D29" w:rsidP="005A3D29">
      <w:pPr>
        <w:spacing w:after="0"/>
        <w:ind w:hanging="567"/>
        <w:rPr>
          <w:i/>
          <w:sz w:val="16"/>
          <w:szCs w:val="16"/>
        </w:rPr>
      </w:pPr>
      <w:r w:rsidRPr="00B52A8A">
        <w:rPr>
          <w:i/>
          <w:sz w:val="16"/>
          <w:szCs w:val="16"/>
        </w:rPr>
        <w:tab/>
        <w:t xml:space="preserve">                     </w:t>
      </w:r>
      <w:r w:rsidRPr="00B52A8A">
        <w:rPr>
          <w:i/>
          <w:sz w:val="16"/>
          <w:szCs w:val="16"/>
        </w:rPr>
        <w:tab/>
        <w:t xml:space="preserve">               </w:t>
      </w:r>
      <w:r w:rsidR="004E44D2" w:rsidRPr="00B52A8A">
        <w:rPr>
          <w:i/>
          <w:sz w:val="16"/>
          <w:szCs w:val="16"/>
        </w:rPr>
        <w:t xml:space="preserve"> </w:t>
      </w:r>
      <w:r w:rsidRPr="00B52A8A">
        <w:rPr>
          <w:i/>
          <w:sz w:val="16"/>
          <w:szCs w:val="16"/>
        </w:rPr>
        <w:t>BFMI      – index tukové hmoty</w:t>
      </w:r>
      <w:r w:rsidRPr="00B52A8A">
        <w:rPr>
          <w:i/>
          <w:sz w:val="16"/>
          <w:szCs w:val="16"/>
        </w:rPr>
        <w:tab/>
      </w:r>
      <w:r w:rsidRPr="00B52A8A">
        <w:rPr>
          <w:i/>
          <w:sz w:val="16"/>
          <w:szCs w:val="16"/>
        </w:rPr>
        <w:tab/>
      </w:r>
      <w:r w:rsidRPr="00B52A8A">
        <w:rPr>
          <w:i/>
          <w:sz w:val="16"/>
          <w:szCs w:val="16"/>
        </w:rPr>
        <w:tab/>
      </w:r>
    </w:p>
    <w:p w:rsidR="005A3D29" w:rsidRPr="00B52A8A" w:rsidRDefault="005A3D29" w:rsidP="005A3D29">
      <w:pPr>
        <w:spacing w:after="0"/>
        <w:ind w:hanging="567"/>
        <w:rPr>
          <w:i/>
          <w:sz w:val="16"/>
          <w:szCs w:val="16"/>
        </w:rPr>
      </w:pPr>
      <w:r w:rsidRPr="00B52A8A">
        <w:rPr>
          <w:i/>
          <w:sz w:val="16"/>
          <w:szCs w:val="16"/>
        </w:rPr>
        <w:tab/>
      </w:r>
      <w:r w:rsidR="004E44D2" w:rsidRPr="00B52A8A">
        <w:rPr>
          <w:i/>
          <w:sz w:val="16"/>
          <w:szCs w:val="16"/>
        </w:rPr>
        <w:t xml:space="preserve"> </w:t>
      </w:r>
      <w:r w:rsidRPr="00B52A8A">
        <w:rPr>
          <w:i/>
          <w:sz w:val="16"/>
          <w:szCs w:val="16"/>
        </w:rPr>
        <w:t xml:space="preserve">           </w:t>
      </w:r>
      <w:r w:rsidRPr="00B52A8A">
        <w:rPr>
          <w:i/>
          <w:sz w:val="16"/>
          <w:szCs w:val="16"/>
        </w:rPr>
        <w:tab/>
        <w:t xml:space="preserve">         </w:t>
      </w:r>
      <w:r w:rsidRPr="00B52A8A">
        <w:rPr>
          <w:i/>
          <w:sz w:val="16"/>
          <w:szCs w:val="16"/>
        </w:rPr>
        <w:tab/>
        <w:t xml:space="preserve">              </w:t>
      </w:r>
      <w:r w:rsidR="004E44D2" w:rsidRPr="00B52A8A">
        <w:rPr>
          <w:i/>
          <w:sz w:val="16"/>
          <w:szCs w:val="16"/>
        </w:rPr>
        <w:t xml:space="preserve"> </w:t>
      </w:r>
      <w:r w:rsidRPr="00B52A8A">
        <w:rPr>
          <w:i/>
          <w:sz w:val="16"/>
          <w:szCs w:val="16"/>
        </w:rPr>
        <w:t>VFA        – oblast viscerálního tuku</w:t>
      </w:r>
    </w:p>
    <w:p w:rsidR="005A3D29" w:rsidRPr="00B52A8A" w:rsidRDefault="005A3D29" w:rsidP="005A3D29">
      <w:pPr>
        <w:spacing w:after="0"/>
        <w:rPr>
          <w:i/>
          <w:sz w:val="16"/>
          <w:szCs w:val="16"/>
        </w:rPr>
      </w:pPr>
      <w:r w:rsidRPr="00B52A8A">
        <w:rPr>
          <w:i/>
          <w:sz w:val="16"/>
          <w:szCs w:val="16"/>
        </w:rPr>
        <w:tab/>
        <w:t xml:space="preserve">         </w:t>
      </w:r>
      <w:r w:rsidRPr="00B52A8A">
        <w:rPr>
          <w:i/>
          <w:sz w:val="16"/>
          <w:szCs w:val="16"/>
        </w:rPr>
        <w:tab/>
        <w:t xml:space="preserve">               </w:t>
      </w:r>
      <w:r w:rsidR="004E44D2" w:rsidRPr="00B52A8A">
        <w:rPr>
          <w:i/>
          <w:sz w:val="16"/>
          <w:szCs w:val="16"/>
        </w:rPr>
        <w:t xml:space="preserve"> </w:t>
      </w:r>
      <w:proofErr w:type="gramStart"/>
      <w:r w:rsidRPr="00B52A8A">
        <w:rPr>
          <w:i/>
          <w:sz w:val="16"/>
          <w:szCs w:val="16"/>
        </w:rPr>
        <w:t>OD        – stupeň</w:t>
      </w:r>
      <w:proofErr w:type="gramEnd"/>
      <w:r w:rsidRPr="00B52A8A">
        <w:rPr>
          <w:i/>
          <w:sz w:val="16"/>
          <w:szCs w:val="16"/>
        </w:rPr>
        <w:t xml:space="preserve"> obezity</w:t>
      </w:r>
    </w:p>
    <w:p w:rsidR="007B4E43" w:rsidRPr="00B52A8A" w:rsidRDefault="007B4E43" w:rsidP="005A3D29">
      <w:pPr>
        <w:spacing w:after="0"/>
        <w:rPr>
          <w:i/>
          <w:sz w:val="16"/>
          <w:szCs w:val="16"/>
        </w:rPr>
      </w:pPr>
    </w:p>
    <w:p w:rsidR="00294F4C" w:rsidRPr="00B52A8A" w:rsidRDefault="00482CC1" w:rsidP="00FB2F0A">
      <w:pPr>
        <w:tabs>
          <w:tab w:val="left" w:pos="284"/>
          <w:tab w:val="left" w:pos="426"/>
        </w:tabs>
      </w:pPr>
      <w:r w:rsidRPr="00B52A8A">
        <w:tab/>
        <w:t xml:space="preserve">Tabulka </w:t>
      </w:r>
      <w:r w:rsidR="00294F4C" w:rsidRPr="00B52A8A">
        <w:t>10 vyjadřuje pomocí korelačního koeficientu míru závislosti počtu kroků a intenzity PA ke zdravotním parametrům.</w:t>
      </w:r>
      <w:r w:rsidR="00F73889" w:rsidRPr="00B52A8A">
        <w:t xml:space="preserve"> Počet kroků vyjadřuje nejvyšší závislost k hodnotě FFMI, která se nejvíce přibližuje hodnotě 1, udávající nejvyšší míru závislosti. FFMI je parametr, který je dále nejvíce ovlivněn jednotlivými intenzitami PA.</w:t>
      </w:r>
    </w:p>
    <w:p w:rsidR="000F2BF5" w:rsidRPr="00B52A8A" w:rsidRDefault="000F2BF5" w:rsidP="00294F4C">
      <w:pPr>
        <w:rPr>
          <w:b/>
        </w:rPr>
      </w:pPr>
    </w:p>
    <w:p w:rsidR="000F2BF5" w:rsidRPr="00B52A8A" w:rsidRDefault="000F2BF5" w:rsidP="00294F4C">
      <w:pPr>
        <w:rPr>
          <w:b/>
        </w:rPr>
      </w:pPr>
    </w:p>
    <w:p w:rsidR="000F2BF5" w:rsidRPr="00B52A8A" w:rsidRDefault="000F2BF5" w:rsidP="00294F4C">
      <w:pPr>
        <w:rPr>
          <w:b/>
        </w:rPr>
      </w:pPr>
    </w:p>
    <w:p w:rsidR="000F2BF5" w:rsidRPr="00B52A8A" w:rsidRDefault="000F2BF5" w:rsidP="00294F4C">
      <w:pPr>
        <w:rPr>
          <w:b/>
        </w:rPr>
      </w:pPr>
    </w:p>
    <w:p w:rsidR="000F2BF5" w:rsidRPr="00B52A8A" w:rsidRDefault="000F2BF5" w:rsidP="00294F4C">
      <w:pPr>
        <w:rPr>
          <w:b/>
        </w:rPr>
      </w:pPr>
    </w:p>
    <w:p w:rsidR="000F2BF5" w:rsidRPr="00B52A8A" w:rsidRDefault="000F2BF5" w:rsidP="00294F4C">
      <w:pPr>
        <w:rPr>
          <w:b/>
        </w:rPr>
      </w:pPr>
    </w:p>
    <w:p w:rsidR="000F2BF5" w:rsidRPr="00B52A8A" w:rsidRDefault="000F2BF5" w:rsidP="00294F4C">
      <w:pPr>
        <w:rPr>
          <w:b/>
        </w:rPr>
      </w:pPr>
    </w:p>
    <w:p w:rsidR="00482CC1" w:rsidRPr="00B52A8A" w:rsidRDefault="00072B9F" w:rsidP="00294F4C">
      <w:pPr>
        <w:rPr>
          <w:b/>
        </w:rPr>
      </w:pPr>
      <w:r w:rsidRPr="00B52A8A">
        <w:rPr>
          <w:b/>
        </w:rPr>
        <w:t>Tabulka 11</w:t>
      </w:r>
      <w:r w:rsidR="00482CC1" w:rsidRPr="00B52A8A">
        <w:rPr>
          <w:b/>
        </w:rPr>
        <w:t>.</w:t>
      </w:r>
    </w:p>
    <w:p w:rsidR="00482CC1" w:rsidRPr="00B52A8A" w:rsidRDefault="0080002B" w:rsidP="00294F4C">
      <w:pPr>
        <w:rPr>
          <w:rFonts w:eastAsia="Calibri"/>
          <w:b/>
          <w:szCs w:val="24"/>
        </w:rPr>
      </w:pPr>
      <w:r w:rsidRPr="00B52A8A">
        <w:rPr>
          <w:rFonts w:eastAsia="Calibri"/>
          <w:b/>
          <w:szCs w:val="24"/>
        </w:rPr>
        <w:t>Vztah</w:t>
      </w:r>
      <w:r w:rsidR="000F2BF5" w:rsidRPr="00B52A8A">
        <w:rPr>
          <w:rFonts w:eastAsia="Calibri"/>
          <w:b/>
          <w:szCs w:val="24"/>
        </w:rPr>
        <w:t xml:space="preserve"> počtu kroků</w:t>
      </w:r>
      <w:r w:rsidR="00482CC1" w:rsidRPr="00B52A8A">
        <w:rPr>
          <w:rFonts w:eastAsia="Calibri"/>
          <w:b/>
          <w:szCs w:val="24"/>
        </w:rPr>
        <w:t xml:space="preserve"> ke zdravotním ukazatelům</w:t>
      </w:r>
      <w:r w:rsidRPr="00B52A8A">
        <w:rPr>
          <w:rFonts w:eastAsia="Calibri"/>
          <w:b/>
          <w:szCs w:val="24"/>
        </w:rPr>
        <w:t xml:space="preserve"> </w:t>
      </w:r>
    </w:p>
    <w:tbl>
      <w:tblPr>
        <w:tblStyle w:val="Svtlstnovn1"/>
        <w:tblW w:w="0" w:type="auto"/>
        <w:jc w:val="center"/>
        <w:tblLook w:val="0620"/>
      </w:tblPr>
      <w:tblGrid>
        <w:gridCol w:w="1528"/>
        <w:gridCol w:w="1133"/>
        <w:gridCol w:w="1134"/>
        <w:gridCol w:w="1148"/>
        <w:gridCol w:w="1143"/>
        <w:gridCol w:w="1107"/>
      </w:tblGrid>
      <w:tr w:rsidR="000F2BF5" w:rsidRPr="00B52A8A" w:rsidTr="000F2BF5">
        <w:trPr>
          <w:cnfStyle w:val="100000000000"/>
          <w:jc w:val="center"/>
        </w:trPr>
        <w:tc>
          <w:tcPr>
            <w:tcW w:w="1528" w:type="dxa"/>
          </w:tcPr>
          <w:p w:rsidR="000F2BF5" w:rsidRPr="00B52A8A" w:rsidRDefault="000F2BF5" w:rsidP="00482CC1">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 xml:space="preserve">        M Kroky/den</w:t>
            </w:r>
          </w:p>
        </w:tc>
        <w:tc>
          <w:tcPr>
            <w:tcW w:w="1133" w:type="dxa"/>
          </w:tcPr>
          <w:p w:rsidR="000F2BF5" w:rsidRPr="00B52A8A" w:rsidRDefault="000F2BF5" w:rsidP="00482CC1">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FFMI</w:t>
            </w:r>
          </w:p>
        </w:tc>
        <w:tc>
          <w:tcPr>
            <w:tcW w:w="1134" w:type="dxa"/>
          </w:tcPr>
          <w:p w:rsidR="000F2BF5" w:rsidRPr="00B52A8A" w:rsidRDefault="000F2BF5" w:rsidP="00482CC1">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BFMI</w:t>
            </w:r>
          </w:p>
        </w:tc>
        <w:tc>
          <w:tcPr>
            <w:tcW w:w="1148" w:type="dxa"/>
          </w:tcPr>
          <w:p w:rsidR="000F2BF5" w:rsidRPr="00B52A8A" w:rsidRDefault="000F2BF5" w:rsidP="00482CC1">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VFA</w:t>
            </w:r>
          </w:p>
        </w:tc>
        <w:tc>
          <w:tcPr>
            <w:tcW w:w="1143" w:type="dxa"/>
          </w:tcPr>
          <w:p w:rsidR="000F2BF5" w:rsidRPr="00B52A8A" w:rsidRDefault="000F2BF5" w:rsidP="00482CC1">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 xml:space="preserve">OD </w:t>
            </w:r>
          </w:p>
        </w:tc>
        <w:tc>
          <w:tcPr>
            <w:tcW w:w="1107" w:type="dxa"/>
          </w:tcPr>
          <w:p w:rsidR="000F2BF5" w:rsidRPr="00B52A8A" w:rsidRDefault="000F2BF5" w:rsidP="00482CC1">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FS</w:t>
            </w:r>
          </w:p>
        </w:tc>
      </w:tr>
      <w:tr w:rsidR="000F2BF5" w:rsidRPr="00B52A8A" w:rsidTr="000F2BF5">
        <w:trPr>
          <w:jc w:val="center"/>
        </w:trPr>
        <w:tc>
          <w:tcPr>
            <w:tcW w:w="1528" w:type="dxa"/>
          </w:tcPr>
          <w:p w:rsidR="000F2BF5" w:rsidRPr="00B52A8A" w:rsidRDefault="000F2BF5" w:rsidP="00482CC1">
            <w:pPr>
              <w:pStyle w:val="Zkladntext"/>
              <w:spacing w:line="360" w:lineRule="auto"/>
              <w:jc w:val="both"/>
              <w:rPr>
                <w:rFonts w:ascii="Bookman Old Style" w:eastAsia="Calibri" w:hAnsi="Bookman Old Style"/>
                <w:b/>
                <w:i/>
                <w:sz w:val="24"/>
                <w:szCs w:val="24"/>
                <w:lang w:eastAsia="en-US"/>
              </w:rPr>
            </w:pPr>
            <w:r w:rsidRPr="00B52A8A">
              <w:rPr>
                <w:rFonts w:ascii="Bookman Old Style" w:eastAsia="Calibri" w:hAnsi="Bookman Old Style"/>
                <w:b/>
                <w:i/>
                <w:sz w:val="24"/>
                <w:szCs w:val="24"/>
                <w:lang w:eastAsia="en-US"/>
              </w:rPr>
              <w:t>Kroky/den</w:t>
            </w:r>
          </w:p>
          <w:p w:rsidR="000F2BF5" w:rsidRPr="00B52A8A" w:rsidRDefault="000F2BF5" w:rsidP="00482CC1">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11 482,78</w:t>
            </w:r>
          </w:p>
        </w:tc>
        <w:tc>
          <w:tcPr>
            <w:tcW w:w="1133" w:type="dxa"/>
          </w:tcPr>
          <w:p w:rsidR="000F2BF5" w:rsidRPr="00B52A8A" w:rsidRDefault="000F2BF5" w:rsidP="00482CC1">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15,77</w:t>
            </w:r>
          </w:p>
        </w:tc>
        <w:tc>
          <w:tcPr>
            <w:tcW w:w="1134" w:type="dxa"/>
          </w:tcPr>
          <w:p w:rsidR="000F2BF5" w:rsidRPr="00B52A8A" w:rsidRDefault="000F2BF5" w:rsidP="00482CC1">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6,76</w:t>
            </w:r>
          </w:p>
        </w:tc>
        <w:tc>
          <w:tcPr>
            <w:tcW w:w="1148" w:type="dxa"/>
          </w:tcPr>
          <w:p w:rsidR="000F2BF5" w:rsidRPr="00B52A8A" w:rsidRDefault="000F2BF5" w:rsidP="00482CC1">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101,90</w:t>
            </w:r>
          </w:p>
        </w:tc>
        <w:tc>
          <w:tcPr>
            <w:tcW w:w="1143" w:type="dxa"/>
          </w:tcPr>
          <w:p w:rsidR="000F2BF5" w:rsidRPr="00B52A8A" w:rsidRDefault="000F2BF5" w:rsidP="00482CC1">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104,82</w:t>
            </w:r>
          </w:p>
        </w:tc>
        <w:tc>
          <w:tcPr>
            <w:tcW w:w="1107" w:type="dxa"/>
          </w:tcPr>
          <w:p w:rsidR="000F2BF5" w:rsidRPr="00B52A8A" w:rsidRDefault="000F2BF5" w:rsidP="00482CC1">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72,40</w:t>
            </w:r>
          </w:p>
        </w:tc>
      </w:tr>
      <w:tr w:rsidR="000F2BF5" w:rsidRPr="00B52A8A" w:rsidTr="000F2BF5">
        <w:trPr>
          <w:jc w:val="center"/>
        </w:trPr>
        <w:tc>
          <w:tcPr>
            <w:tcW w:w="1528" w:type="dxa"/>
          </w:tcPr>
          <w:p w:rsidR="000F2BF5" w:rsidRPr="00B52A8A" w:rsidRDefault="000F2BF5" w:rsidP="000F2BF5">
            <w:pPr>
              <w:pStyle w:val="Zkladntext"/>
              <w:spacing w:line="360" w:lineRule="auto"/>
              <w:jc w:val="both"/>
              <w:rPr>
                <w:rFonts w:ascii="Bookman Old Style" w:eastAsia="Calibri" w:hAnsi="Bookman Old Style"/>
                <w:b/>
                <w:i/>
                <w:sz w:val="24"/>
                <w:szCs w:val="24"/>
                <w:lang w:eastAsia="en-US"/>
              </w:rPr>
            </w:pPr>
            <w:r w:rsidRPr="00B52A8A">
              <w:rPr>
                <w:rFonts w:ascii="Bookman Old Style" w:eastAsia="Calibri" w:hAnsi="Bookman Old Style"/>
                <w:b/>
                <w:i/>
                <w:sz w:val="24"/>
                <w:szCs w:val="24"/>
                <w:lang w:eastAsia="en-US"/>
              </w:rPr>
              <w:t>Kroky/den</w:t>
            </w:r>
          </w:p>
          <w:p w:rsidR="000F2BF5" w:rsidRPr="00B52A8A" w:rsidRDefault="000F2BF5" w:rsidP="00482CC1">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10 646,90</w:t>
            </w:r>
          </w:p>
        </w:tc>
        <w:tc>
          <w:tcPr>
            <w:tcW w:w="1133" w:type="dxa"/>
          </w:tcPr>
          <w:p w:rsidR="000F2BF5" w:rsidRPr="00B52A8A" w:rsidRDefault="000F2BF5" w:rsidP="00072B9F">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 xml:space="preserve"> 16,84</w:t>
            </w:r>
          </w:p>
        </w:tc>
        <w:tc>
          <w:tcPr>
            <w:tcW w:w="1134" w:type="dxa"/>
          </w:tcPr>
          <w:p w:rsidR="000F2BF5" w:rsidRPr="00B52A8A" w:rsidRDefault="000F2BF5" w:rsidP="00482CC1">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10,36</w:t>
            </w:r>
          </w:p>
        </w:tc>
        <w:tc>
          <w:tcPr>
            <w:tcW w:w="1148" w:type="dxa"/>
          </w:tcPr>
          <w:p w:rsidR="000F2BF5" w:rsidRPr="00B52A8A" w:rsidRDefault="000F2BF5" w:rsidP="00482CC1">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137,41</w:t>
            </w:r>
          </w:p>
        </w:tc>
        <w:tc>
          <w:tcPr>
            <w:tcW w:w="1143" w:type="dxa"/>
          </w:tcPr>
          <w:p w:rsidR="000F2BF5" w:rsidRPr="00B52A8A" w:rsidRDefault="000F2BF5" w:rsidP="00482CC1">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126,53</w:t>
            </w:r>
          </w:p>
        </w:tc>
        <w:tc>
          <w:tcPr>
            <w:tcW w:w="1107" w:type="dxa"/>
          </w:tcPr>
          <w:p w:rsidR="000F2BF5" w:rsidRPr="00B52A8A" w:rsidRDefault="000F2BF5" w:rsidP="00482CC1">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67,34</w:t>
            </w:r>
          </w:p>
        </w:tc>
      </w:tr>
      <w:tr w:rsidR="000F2BF5" w:rsidRPr="00B52A8A" w:rsidTr="000F2BF5">
        <w:trPr>
          <w:jc w:val="center"/>
        </w:trPr>
        <w:tc>
          <w:tcPr>
            <w:tcW w:w="1528" w:type="dxa"/>
          </w:tcPr>
          <w:p w:rsidR="000F2BF5" w:rsidRPr="00B52A8A" w:rsidRDefault="000F2BF5" w:rsidP="000F2BF5">
            <w:pPr>
              <w:pStyle w:val="Zkladntext"/>
              <w:spacing w:line="360" w:lineRule="auto"/>
              <w:jc w:val="both"/>
              <w:rPr>
                <w:rFonts w:ascii="Bookman Old Style" w:eastAsia="Calibri" w:hAnsi="Bookman Old Style"/>
                <w:b/>
                <w:i/>
                <w:sz w:val="24"/>
                <w:szCs w:val="24"/>
                <w:lang w:eastAsia="en-US"/>
              </w:rPr>
            </w:pPr>
            <w:r w:rsidRPr="00B52A8A">
              <w:rPr>
                <w:rFonts w:ascii="Bookman Old Style" w:eastAsia="Calibri" w:hAnsi="Bookman Old Style"/>
                <w:b/>
                <w:i/>
                <w:sz w:val="24"/>
                <w:szCs w:val="24"/>
                <w:lang w:eastAsia="en-US"/>
              </w:rPr>
              <w:t>Kroky/den</w:t>
            </w:r>
          </w:p>
          <w:p w:rsidR="000F2BF5" w:rsidRPr="00B52A8A" w:rsidRDefault="000F2BF5" w:rsidP="00482CC1">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8509,26</w:t>
            </w:r>
          </w:p>
        </w:tc>
        <w:tc>
          <w:tcPr>
            <w:tcW w:w="1133" w:type="dxa"/>
          </w:tcPr>
          <w:p w:rsidR="000F2BF5" w:rsidRPr="00B52A8A" w:rsidRDefault="000F2BF5" w:rsidP="00072B9F">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 xml:space="preserve"> 18,94</w:t>
            </w:r>
          </w:p>
        </w:tc>
        <w:tc>
          <w:tcPr>
            <w:tcW w:w="1134" w:type="dxa"/>
          </w:tcPr>
          <w:p w:rsidR="000F2BF5" w:rsidRPr="00B52A8A" w:rsidRDefault="000F2BF5" w:rsidP="00510648">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 xml:space="preserve"> 16,40</w:t>
            </w:r>
          </w:p>
        </w:tc>
        <w:tc>
          <w:tcPr>
            <w:tcW w:w="1148" w:type="dxa"/>
          </w:tcPr>
          <w:p w:rsidR="000F2BF5" w:rsidRPr="00B52A8A" w:rsidRDefault="000F2BF5" w:rsidP="00510648">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 xml:space="preserve"> 187,30</w:t>
            </w:r>
          </w:p>
        </w:tc>
        <w:tc>
          <w:tcPr>
            <w:tcW w:w="1143" w:type="dxa"/>
          </w:tcPr>
          <w:p w:rsidR="000F2BF5" w:rsidRPr="00B52A8A" w:rsidRDefault="000F2BF5" w:rsidP="00510648">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 xml:space="preserve"> 164,48</w:t>
            </w:r>
          </w:p>
        </w:tc>
        <w:tc>
          <w:tcPr>
            <w:tcW w:w="1107" w:type="dxa"/>
          </w:tcPr>
          <w:p w:rsidR="000F2BF5" w:rsidRPr="00B52A8A" w:rsidRDefault="000F2BF5" w:rsidP="00482CC1">
            <w:pPr>
              <w:pStyle w:val="Zkladntext"/>
              <w:spacing w:line="360" w:lineRule="auto"/>
              <w:jc w:val="both"/>
              <w:rPr>
                <w:rFonts w:ascii="Bookman Old Style" w:eastAsia="Calibri" w:hAnsi="Bookman Old Style"/>
                <w:i/>
                <w:sz w:val="24"/>
                <w:szCs w:val="24"/>
                <w:lang w:eastAsia="en-US"/>
              </w:rPr>
            </w:pPr>
            <w:r w:rsidRPr="00B52A8A">
              <w:rPr>
                <w:rFonts w:ascii="Bookman Old Style" w:eastAsia="Calibri" w:hAnsi="Bookman Old Style"/>
                <w:i/>
                <w:sz w:val="24"/>
                <w:szCs w:val="24"/>
                <w:lang w:eastAsia="en-US"/>
              </w:rPr>
              <w:t>59,64</w:t>
            </w:r>
          </w:p>
        </w:tc>
      </w:tr>
    </w:tbl>
    <w:p w:rsidR="00482CC1" w:rsidRPr="00B52A8A" w:rsidRDefault="00482CC1" w:rsidP="00294F4C"/>
    <w:p w:rsidR="000F2BF5" w:rsidRPr="00B52A8A" w:rsidRDefault="000F2BF5" w:rsidP="000F2BF5">
      <w:pPr>
        <w:spacing w:after="0"/>
        <w:ind w:left="708"/>
        <w:rPr>
          <w:i/>
          <w:sz w:val="16"/>
          <w:szCs w:val="16"/>
        </w:rPr>
      </w:pPr>
      <w:r w:rsidRPr="00B52A8A">
        <w:rPr>
          <w:i/>
          <w:sz w:val="16"/>
          <w:szCs w:val="16"/>
        </w:rPr>
        <w:t xml:space="preserve">Vysvětlivky:  </w:t>
      </w:r>
      <w:r w:rsidRPr="00B52A8A">
        <w:rPr>
          <w:i/>
          <w:sz w:val="16"/>
          <w:szCs w:val="16"/>
        </w:rPr>
        <w:tab/>
        <w:t>M</w:t>
      </w:r>
      <w:r w:rsidRPr="00B52A8A">
        <w:rPr>
          <w:i/>
          <w:sz w:val="16"/>
          <w:szCs w:val="16"/>
        </w:rPr>
        <w:tab/>
        <w:t xml:space="preserve">– průměr </w:t>
      </w:r>
    </w:p>
    <w:p w:rsidR="000F2BF5" w:rsidRPr="00B52A8A" w:rsidRDefault="000F2BF5" w:rsidP="000F2BF5">
      <w:pPr>
        <w:spacing w:after="0"/>
        <w:ind w:left="1416" w:firstLine="708"/>
        <w:rPr>
          <w:i/>
          <w:sz w:val="16"/>
          <w:szCs w:val="16"/>
        </w:rPr>
      </w:pPr>
      <w:r w:rsidRPr="00B52A8A">
        <w:rPr>
          <w:i/>
          <w:sz w:val="16"/>
          <w:szCs w:val="16"/>
        </w:rPr>
        <w:t>FFMI      – index tukuprosté hmoty</w:t>
      </w:r>
      <w:r w:rsidRPr="00B52A8A">
        <w:rPr>
          <w:i/>
          <w:sz w:val="16"/>
          <w:szCs w:val="16"/>
        </w:rPr>
        <w:tab/>
        <w:t xml:space="preserve"> </w:t>
      </w:r>
      <w:r w:rsidRPr="00B52A8A">
        <w:rPr>
          <w:i/>
          <w:sz w:val="16"/>
          <w:szCs w:val="16"/>
        </w:rPr>
        <w:tab/>
      </w:r>
    </w:p>
    <w:p w:rsidR="000F2BF5" w:rsidRPr="00B52A8A" w:rsidRDefault="000F2BF5" w:rsidP="000F2BF5">
      <w:pPr>
        <w:spacing w:after="0"/>
        <w:ind w:hanging="567"/>
        <w:rPr>
          <w:i/>
          <w:sz w:val="16"/>
          <w:szCs w:val="16"/>
        </w:rPr>
      </w:pPr>
      <w:r w:rsidRPr="00B52A8A">
        <w:rPr>
          <w:i/>
          <w:sz w:val="16"/>
          <w:szCs w:val="16"/>
        </w:rPr>
        <w:tab/>
        <w:t xml:space="preserve">                     </w:t>
      </w:r>
      <w:r w:rsidRPr="00B52A8A">
        <w:rPr>
          <w:i/>
          <w:sz w:val="16"/>
          <w:szCs w:val="16"/>
        </w:rPr>
        <w:tab/>
        <w:t xml:space="preserve">               BFMI     – index tukové hmoty</w:t>
      </w:r>
      <w:r w:rsidRPr="00B52A8A">
        <w:rPr>
          <w:i/>
          <w:sz w:val="16"/>
          <w:szCs w:val="16"/>
        </w:rPr>
        <w:tab/>
      </w:r>
      <w:r w:rsidRPr="00B52A8A">
        <w:rPr>
          <w:i/>
          <w:sz w:val="16"/>
          <w:szCs w:val="16"/>
        </w:rPr>
        <w:tab/>
      </w:r>
      <w:r w:rsidRPr="00B52A8A">
        <w:rPr>
          <w:i/>
          <w:sz w:val="16"/>
          <w:szCs w:val="16"/>
        </w:rPr>
        <w:tab/>
      </w:r>
    </w:p>
    <w:p w:rsidR="000F2BF5" w:rsidRPr="00B52A8A" w:rsidRDefault="000F2BF5" w:rsidP="000F2BF5">
      <w:pPr>
        <w:spacing w:after="0"/>
        <w:ind w:hanging="567"/>
        <w:rPr>
          <w:i/>
          <w:sz w:val="16"/>
          <w:szCs w:val="16"/>
        </w:rPr>
      </w:pPr>
      <w:r w:rsidRPr="00B52A8A">
        <w:rPr>
          <w:i/>
          <w:sz w:val="16"/>
          <w:szCs w:val="16"/>
        </w:rPr>
        <w:tab/>
        <w:t xml:space="preserve">            </w:t>
      </w:r>
      <w:r w:rsidRPr="00B52A8A">
        <w:rPr>
          <w:i/>
          <w:sz w:val="16"/>
          <w:szCs w:val="16"/>
        </w:rPr>
        <w:tab/>
        <w:t xml:space="preserve">         </w:t>
      </w:r>
      <w:r w:rsidRPr="00B52A8A">
        <w:rPr>
          <w:i/>
          <w:sz w:val="16"/>
          <w:szCs w:val="16"/>
        </w:rPr>
        <w:tab/>
        <w:t xml:space="preserve">              VFA       – oblast viscerálního tuku</w:t>
      </w:r>
    </w:p>
    <w:p w:rsidR="000F2BF5" w:rsidRPr="00B52A8A" w:rsidRDefault="000F2BF5" w:rsidP="000F2BF5">
      <w:pPr>
        <w:spacing w:after="0"/>
        <w:rPr>
          <w:i/>
          <w:sz w:val="16"/>
          <w:szCs w:val="16"/>
        </w:rPr>
      </w:pPr>
      <w:r w:rsidRPr="00B52A8A">
        <w:rPr>
          <w:i/>
          <w:sz w:val="16"/>
          <w:szCs w:val="16"/>
        </w:rPr>
        <w:tab/>
        <w:t xml:space="preserve">         </w:t>
      </w:r>
      <w:r w:rsidRPr="00B52A8A">
        <w:rPr>
          <w:i/>
          <w:sz w:val="16"/>
          <w:szCs w:val="16"/>
        </w:rPr>
        <w:tab/>
        <w:t xml:space="preserve">              </w:t>
      </w:r>
      <w:proofErr w:type="gramStart"/>
      <w:r w:rsidRPr="00B52A8A">
        <w:rPr>
          <w:i/>
          <w:sz w:val="16"/>
          <w:szCs w:val="16"/>
        </w:rPr>
        <w:t>OD        – stupeň</w:t>
      </w:r>
      <w:proofErr w:type="gramEnd"/>
      <w:r w:rsidRPr="00B52A8A">
        <w:rPr>
          <w:i/>
          <w:sz w:val="16"/>
          <w:szCs w:val="16"/>
        </w:rPr>
        <w:t xml:space="preserve"> obezity</w:t>
      </w:r>
    </w:p>
    <w:p w:rsidR="000F2BF5" w:rsidRPr="00B52A8A" w:rsidRDefault="000F2BF5" w:rsidP="00FB2F0A">
      <w:pPr>
        <w:rPr>
          <w:i/>
          <w:sz w:val="16"/>
          <w:szCs w:val="16"/>
        </w:rPr>
      </w:pPr>
      <w:r w:rsidRPr="00B52A8A">
        <w:rPr>
          <w:i/>
          <w:sz w:val="16"/>
          <w:szCs w:val="16"/>
        </w:rPr>
        <w:tab/>
      </w:r>
      <w:r w:rsidRPr="00B52A8A">
        <w:rPr>
          <w:i/>
          <w:sz w:val="16"/>
          <w:szCs w:val="16"/>
        </w:rPr>
        <w:tab/>
        <w:t xml:space="preserve">             </w:t>
      </w:r>
      <w:proofErr w:type="gramStart"/>
      <w:r w:rsidRPr="00B52A8A">
        <w:rPr>
          <w:i/>
          <w:sz w:val="16"/>
          <w:szCs w:val="16"/>
        </w:rPr>
        <w:t>FS          – fitness</w:t>
      </w:r>
      <w:proofErr w:type="gramEnd"/>
      <w:r w:rsidRPr="00B52A8A">
        <w:rPr>
          <w:i/>
          <w:sz w:val="16"/>
          <w:szCs w:val="16"/>
        </w:rPr>
        <w:t xml:space="preserve"> skóre</w:t>
      </w:r>
    </w:p>
    <w:p w:rsidR="00784301" w:rsidRPr="00B52A8A" w:rsidRDefault="000F2BF5" w:rsidP="004C7C91">
      <w:pPr>
        <w:ind w:firstLine="426"/>
      </w:pPr>
      <w:r w:rsidRPr="00B52A8A">
        <w:t xml:space="preserve">Počet kroků vykonaných za den ovlivňuje hodnoty jednotlivých ukazatelů zdravotního rizika. Čím vyšší je počet kroků, tím více jsou pozitivně ovlivněny hodnoty zdravotních ukazatelů. </w:t>
      </w:r>
    </w:p>
    <w:p w:rsidR="00412569" w:rsidRPr="00B52A8A" w:rsidRDefault="00412569" w:rsidP="007B4E43">
      <w:pPr>
        <w:spacing w:after="0"/>
        <w:rPr>
          <w:b/>
        </w:rPr>
      </w:pPr>
    </w:p>
    <w:p w:rsidR="00154094" w:rsidRPr="00B52A8A" w:rsidRDefault="00154094" w:rsidP="007B4E43">
      <w:pPr>
        <w:spacing w:after="0"/>
        <w:rPr>
          <w:b/>
        </w:rPr>
      </w:pPr>
    </w:p>
    <w:p w:rsidR="00154094" w:rsidRPr="00B52A8A" w:rsidRDefault="00154094" w:rsidP="007B4E43">
      <w:pPr>
        <w:spacing w:after="0"/>
        <w:rPr>
          <w:b/>
        </w:rPr>
      </w:pPr>
    </w:p>
    <w:p w:rsidR="00154094" w:rsidRPr="00B52A8A" w:rsidRDefault="00154094" w:rsidP="007B4E43">
      <w:pPr>
        <w:spacing w:after="0"/>
        <w:rPr>
          <w:b/>
        </w:rPr>
      </w:pPr>
    </w:p>
    <w:p w:rsidR="00154094" w:rsidRPr="00B52A8A" w:rsidRDefault="00154094" w:rsidP="007B4E43">
      <w:pPr>
        <w:spacing w:after="0"/>
        <w:rPr>
          <w:b/>
        </w:rPr>
      </w:pPr>
    </w:p>
    <w:p w:rsidR="00154094" w:rsidRPr="00B52A8A" w:rsidRDefault="00154094" w:rsidP="007B4E43">
      <w:pPr>
        <w:spacing w:after="0"/>
        <w:rPr>
          <w:b/>
        </w:rPr>
      </w:pPr>
    </w:p>
    <w:p w:rsidR="00154094" w:rsidRPr="00B52A8A" w:rsidRDefault="00154094" w:rsidP="007B4E43">
      <w:pPr>
        <w:spacing w:after="0"/>
        <w:rPr>
          <w:b/>
        </w:rPr>
      </w:pPr>
    </w:p>
    <w:p w:rsidR="00154094" w:rsidRPr="00B52A8A" w:rsidRDefault="00154094" w:rsidP="007B4E43">
      <w:pPr>
        <w:spacing w:after="0"/>
        <w:rPr>
          <w:b/>
        </w:rPr>
      </w:pPr>
    </w:p>
    <w:p w:rsidR="00154094" w:rsidRPr="00B52A8A" w:rsidRDefault="00154094" w:rsidP="007B4E43">
      <w:pPr>
        <w:spacing w:after="0"/>
        <w:rPr>
          <w:b/>
        </w:rPr>
      </w:pPr>
    </w:p>
    <w:p w:rsidR="00154094" w:rsidRPr="00B52A8A" w:rsidRDefault="00154094" w:rsidP="007B4E43">
      <w:pPr>
        <w:spacing w:after="0"/>
        <w:rPr>
          <w:b/>
        </w:rPr>
      </w:pPr>
    </w:p>
    <w:p w:rsidR="00154094" w:rsidRPr="00B52A8A" w:rsidRDefault="00154094" w:rsidP="007B4E43">
      <w:pPr>
        <w:spacing w:after="0"/>
        <w:rPr>
          <w:b/>
        </w:rPr>
      </w:pPr>
    </w:p>
    <w:p w:rsidR="00154094" w:rsidRPr="00B52A8A" w:rsidRDefault="00154094" w:rsidP="007B4E43">
      <w:pPr>
        <w:spacing w:after="0"/>
        <w:rPr>
          <w:b/>
        </w:rPr>
      </w:pPr>
    </w:p>
    <w:p w:rsidR="007B4E43" w:rsidRPr="00B52A8A" w:rsidRDefault="007B4E43" w:rsidP="007B4E43">
      <w:pPr>
        <w:spacing w:after="0"/>
        <w:rPr>
          <w:b/>
        </w:rPr>
      </w:pPr>
      <w:r w:rsidRPr="00B52A8A">
        <w:rPr>
          <w:b/>
        </w:rPr>
        <w:lastRenderedPageBreak/>
        <w:t>Tabulka 12</w:t>
      </w:r>
      <w:r w:rsidR="004C7C91" w:rsidRPr="00B52A8A">
        <w:rPr>
          <w:b/>
        </w:rPr>
        <w:t>.</w:t>
      </w:r>
    </w:p>
    <w:p w:rsidR="007B4E43" w:rsidRPr="00B52A8A" w:rsidRDefault="007B4E43" w:rsidP="007B4E43">
      <w:pPr>
        <w:rPr>
          <w:b/>
        </w:rPr>
      </w:pPr>
      <w:r w:rsidRPr="00B52A8A">
        <w:rPr>
          <w:b/>
        </w:rPr>
        <w:t>Vztah mezi počtem kroků</w:t>
      </w:r>
      <w:r w:rsidR="00F73889" w:rsidRPr="00B52A8A">
        <w:rPr>
          <w:b/>
        </w:rPr>
        <w:t>, intenzitou PA</w:t>
      </w:r>
      <w:r w:rsidRPr="00B52A8A">
        <w:rPr>
          <w:b/>
        </w:rPr>
        <w:t xml:space="preserve"> a BMI</w:t>
      </w:r>
    </w:p>
    <w:tbl>
      <w:tblPr>
        <w:tblStyle w:val="Svtlstnovn1"/>
        <w:tblW w:w="0" w:type="auto"/>
        <w:tblLook w:val="0620"/>
      </w:tblPr>
      <w:tblGrid>
        <w:gridCol w:w="1298"/>
        <w:gridCol w:w="1616"/>
        <w:gridCol w:w="1679"/>
        <w:gridCol w:w="1299"/>
        <w:gridCol w:w="1427"/>
        <w:gridCol w:w="1400"/>
      </w:tblGrid>
      <w:tr w:rsidR="00F73889" w:rsidRPr="00B52A8A" w:rsidTr="00B66C87">
        <w:trPr>
          <w:cnfStyle w:val="100000000000"/>
        </w:trPr>
        <w:tc>
          <w:tcPr>
            <w:tcW w:w="1515" w:type="dxa"/>
          </w:tcPr>
          <w:p w:rsidR="00B66C87" w:rsidRPr="00B52A8A" w:rsidRDefault="00B66C87" w:rsidP="00B16665">
            <w:pPr>
              <w:jc w:val="center"/>
              <w:rPr>
                <w:i/>
              </w:rPr>
            </w:pPr>
            <w:r w:rsidRPr="00B52A8A">
              <w:rPr>
                <w:i/>
              </w:rPr>
              <w:t>BMI</w:t>
            </w:r>
          </w:p>
        </w:tc>
        <w:tc>
          <w:tcPr>
            <w:tcW w:w="1491" w:type="dxa"/>
          </w:tcPr>
          <w:p w:rsidR="00B66C87" w:rsidRPr="00B52A8A" w:rsidRDefault="00B66C87" w:rsidP="00F73889">
            <w:pPr>
              <w:jc w:val="center"/>
              <w:rPr>
                <w:i/>
              </w:rPr>
            </w:pPr>
            <w:r w:rsidRPr="00B52A8A">
              <w:rPr>
                <w:i/>
              </w:rPr>
              <w:t>Kroky/počet r</w:t>
            </w:r>
          </w:p>
        </w:tc>
        <w:tc>
          <w:tcPr>
            <w:tcW w:w="1964" w:type="dxa"/>
          </w:tcPr>
          <w:p w:rsidR="00B66C87" w:rsidRPr="00B52A8A" w:rsidRDefault="00B66C87" w:rsidP="00B16665">
            <w:pPr>
              <w:jc w:val="center"/>
              <w:rPr>
                <w:i/>
              </w:rPr>
            </w:pPr>
            <w:r w:rsidRPr="00B52A8A">
              <w:rPr>
                <w:i/>
              </w:rPr>
              <w:t>Kroky/počet</w:t>
            </w:r>
          </w:p>
        </w:tc>
        <w:tc>
          <w:tcPr>
            <w:tcW w:w="1250" w:type="dxa"/>
          </w:tcPr>
          <w:p w:rsidR="00B66C87" w:rsidRPr="00B52A8A" w:rsidRDefault="00B66C87" w:rsidP="00F73889">
            <w:pPr>
              <w:jc w:val="center"/>
              <w:rPr>
                <w:i/>
              </w:rPr>
            </w:pPr>
            <w:r w:rsidRPr="00B52A8A">
              <w:rPr>
                <w:i/>
              </w:rPr>
              <w:t>PA/mírná</w:t>
            </w:r>
          </w:p>
          <w:p w:rsidR="00F73889" w:rsidRPr="00B52A8A" w:rsidRDefault="00F73889" w:rsidP="00F73889">
            <w:pPr>
              <w:jc w:val="center"/>
              <w:rPr>
                <w:i/>
              </w:rPr>
            </w:pPr>
            <w:r w:rsidRPr="00B52A8A">
              <w:rPr>
                <w:i/>
              </w:rPr>
              <w:t>r</w:t>
            </w:r>
          </w:p>
        </w:tc>
        <w:tc>
          <w:tcPr>
            <w:tcW w:w="1250" w:type="dxa"/>
          </w:tcPr>
          <w:p w:rsidR="00B66C87" w:rsidRPr="00B52A8A" w:rsidRDefault="00B66C87" w:rsidP="00F73889">
            <w:pPr>
              <w:jc w:val="center"/>
              <w:rPr>
                <w:i/>
              </w:rPr>
            </w:pPr>
            <w:r w:rsidRPr="00B52A8A">
              <w:rPr>
                <w:i/>
              </w:rPr>
              <w:t>PA/střední</w:t>
            </w:r>
          </w:p>
          <w:p w:rsidR="00F73889" w:rsidRPr="00B52A8A" w:rsidRDefault="00F73889" w:rsidP="00F73889">
            <w:pPr>
              <w:jc w:val="center"/>
              <w:rPr>
                <w:i/>
              </w:rPr>
            </w:pPr>
            <w:r w:rsidRPr="00B52A8A">
              <w:rPr>
                <w:i/>
              </w:rPr>
              <w:t>r</w:t>
            </w:r>
          </w:p>
        </w:tc>
        <w:tc>
          <w:tcPr>
            <w:tcW w:w="1250" w:type="dxa"/>
          </w:tcPr>
          <w:p w:rsidR="00B66C87" w:rsidRPr="00B52A8A" w:rsidRDefault="00B66C87" w:rsidP="00F73889">
            <w:pPr>
              <w:jc w:val="center"/>
              <w:rPr>
                <w:i/>
              </w:rPr>
            </w:pPr>
            <w:r w:rsidRPr="00B52A8A">
              <w:rPr>
                <w:i/>
              </w:rPr>
              <w:t>PA/vysoká</w:t>
            </w:r>
          </w:p>
          <w:p w:rsidR="00F73889" w:rsidRPr="00B52A8A" w:rsidRDefault="00F73889" w:rsidP="00F73889">
            <w:pPr>
              <w:jc w:val="center"/>
              <w:rPr>
                <w:i/>
              </w:rPr>
            </w:pPr>
            <w:r w:rsidRPr="00B52A8A">
              <w:rPr>
                <w:i/>
              </w:rPr>
              <w:t>r</w:t>
            </w:r>
          </w:p>
        </w:tc>
      </w:tr>
      <w:tr w:rsidR="00F73889" w:rsidRPr="00B52A8A" w:rsidTr="00B66C87">
        <w:tc>
          <w:tcPr>
            <w:tcW w:w="1515" w:type="dxa"/>
          </w:tcPr>
          <w:p w:rsidR="00B66C87" w:rsidRPr="00B52A8A" w:rsidRDefault="00B66C87" w:rsidP="00B66C87">
            <w:pPr>
              <w:spacing w:after="0"/>
              <w:jc w:val="center"/>
              <w:rPr>
                <w:b/>
                <w:i/>
              </w:rPr>
            </w:pPr>
            <w:r w:rsidRPr="00B52A8A">
              <w:rPr>
                <w:b/>
                <w:i/>
              </w:rPr>
              <w:t>Průměr</w:t>
            </w:r>
          </w:p>
          <w:p w:rsidR="00B66C87" w:rsidRPr="00B52A8A" w:rsidRDefault="00154094" w:rsidP="00154094">
            <w:pPr>
              <w:spacing w:after="0"/>
              <w:jc w:val="center"/>
              <w:rPr>
                <w:b/>
                <w:i/>
                <w:sz w:val="18"/>
                <w:szCs w:val="18"/>
              </w:rPr>
            </w:pPr>
            <w:r w:rsidRPr="00B52A8A">
              <w:rPr>
                <w:i/>
                <w:sz w:val="18"/>
                <w:szCs w:val="18"/>
              </w:rPr>
              <w:t xml:space="preserve">18,5 – </w:t>
            </w:r>
            <w:r w:rsidR="00B66C87" w:rsidRPr="00B52A8A">
              <w:rPr>
                <w:i/>
                <w:sz w:val="18"/>
                <w:szCs w:val="18"/>
              </w:rPr>
              <w:t>25,0</w:t>
            </w:r>
          </w:p>
        </w:tc>
        <w:tc>
          <w:tcPr>
            <w:tcW w:w="1491" w:type="dxa"/>
          </w:tcPr>
          <w:p w:rsidR="00B66C87" w:rsidRPr="00B52A8A" w:rsidRDefault="00B66C87" w:rsidP="00B16665">
            <w:pPr>
              <w:jc w:val="center"/>
              <w:rPr>
                <w:i/>
              </w:rPr>
            </w:pPr>
            <w:r w:rsidRPr="00B52A8A">
              <w:rPr>
                <w:i/>
              </w:rPr>
              <w:t>0,38</w:t>
            </w:r>
          </w:p>
        </w:tc>
        <w:tc>
          <w:tcPr>
            <w:tcW w:w="1964" w:type="dxa"/>
          </w:tcPr>
          <w:p w:rsidR="00B66C87" w:rsidRPr="00B52A8A" w:rsidRDefault="00B66C87" w:rsidP="00B16665">
            <w:pPr>
              <w:jc w:val="center"/>
              <w:rPr>
                <w:i/>
              </w:rPr>
            </w:pPr>
            <w:r w:rsidRPr="00B52A8A">
              <w:rPr>
                <w:i/>
              </w:rPr>
              <w:t>11482,78</w:t>
            </w:r>
          </w:p>
        </w:tc>
        <w:tc>
          <w:tcPr>
            <w:tcW w:w="1250" w:type="dxa"/>
          </w:tcPr>
          <w:p w:rsidR="00B66C87" w:rsidRPr="00B52A8A" w:rsidRDefault="00B66C87" w:rsidP="00B16665">
            <w:pPr>
              <w:jc w:val="center"/>
              <w:rPr>
                <w:i/>
              </w:rPr>
            </w:pPr>
            <w:r w:rsidRPr="00B52A8A">
              <w:rPr>
                <w:i/>
              </w:rPr>
              <w:t>0,01</w:t>
            </w:r>
          </w:p>
        </w:tc>
        <w:tc>
          <w:tcPr>
            <w:tcW w:w="1250" w:type="dxa"/>
          </w:tcPr>
          <w:p w:rsidR="00B66C87" w:rsidRPr="00B52A8A" w:rsidRDefault="00B66C87" w:rsidP="00B16665">
            <w:pPr>
              <w:jc w:val="center"/>
              <w:rPr>
                <w:i/>
              </w:rPr>
            </w:pPr>
            <w:r w:rsidRPr="00B52A8A">
              <w:rPr>
                <w:i/>
              </w:rPr>
              <w:t>0,03</w:t>
            </w:r>
          </w:p>
        </w:tc>
        <w:tc>
          <w:tcPr>
            <w:tcW w:w="1250" w:type="dxa"/>
          </w:tcPr>
          <w:p w:rsidR="00B66C87" w:rsidRPr="00B52A8A" w:rsidRDefault="00B66C87" w:rsidP="00B16665">
            <w:pPr>
              <w:jc w:val="center"/>
              <w:rPr>
                <w:i/>
              </w:rPr>
            </w:pPr>
            <w:r w:rsidRPr="00B52A8A">
              <w:rPr>
                <w:i/>
              </w:rPr>
              <w:t>0,87</w:t>
            </w:r>
          </w:p>
        </w:tc>
      </w:tr>
      <w:tr w:rsidR="00F73889" w:rsidRPr="00B52A8A" w:rsidTr="00B66C87">
        <w:tc>
          <w:tcPr>
            <w:tcW w:w="1515" w:type="dxa"/>
          </w:tcPr>
          <w:p w:rsidR="00B66C87" w:rsidRPr="00B52A8A" w:rsidRDefault="00B66C87" w:rsidP="00B66C87">
            <w:pPr>
              <w:spacing w:after="0"/>
              <w:jc w:val="center"/>
              <w:rPr>
                <w:b/>
                <w:i/>
              </w:rPr>
            </w:pPr>
            <w:r w:rsidRPr="00B52A8A">
              <w:rPr>
                <w:b/>
                <w:i/>
              </w:rPr>
              <w:t>Nadváha</w:t>
            </w:r>
          </w:p>
          <w:p w:rsidR="00B66C87" w:rsidRPr="00B52A8A" w:rsidRDefault="00B66C87" w:rsidP="00B66C87">
            <w:pPr>
              <w:jc w:val="center"/>
              <w:rPr>
                <w:b/>
                <w:i/>
                <w:sz w:val="18"/>
                <w:szCs w:val="18"/>
              </w:rPr>
            </w:pPr>
            <w:r w:rsidRPr="00B52A8A">
              <w:rPr>
                <w:i/>
                <w:sz w:val="18"/>
                <w:szCs w:val="18"/>
              </w:rPr>
              <w:t>25,0 – 29,9</w:t>
            </w:r>
          </w:p>
        </w:tc>
        <w:tc>
          <w:tcPr>
            <w:tcW w:w="1491" w:type="dxa"/>
          </w:tcPr>
          <w:p w:rsidR="00B66C87" w:rsidRPr="00B52A8A" w:rsidRDefault="00B66C87" w:rsidP="00B16665">
            <w:pPr>
              <w:jc w:val="center"/>
              <w:rPr>
                <w:i/>
              </w:rPr>
            </w:pPr>
            <w:r w:rsidRPr="00B52A8A">
              <w:rPr>
                <w:i/>
              </w:rPr>
              <w:t>0,01</w:t>
            </w:r>
          </w:p>
        </w:tc>
        <w:tc>
          <w:tcPr>
            <w:tcW w:w="1964" w:type="dxa"/>
          </w:tcPr>
          <w:p w:rsidR="00B66C87" w:rsidRPr="00B52A8A" w:rsidRDefault="00B66C87" w:rsidP="00B16665">
            <w:pPr>
              <w:jc w:val="center"/>
              <w:rPr>
                <w:i/>
              </w:rPr>
            </w:pPr>
            <w:r w:rsidRPr="00B52A8A">
              <w:rPr>
                <w:i/>
              </w:rPr>
              <w:t>10646,90</w:t>
            </w:r>
          </w:p>
        </w:tc>
        <w:tc>
          <w:tcPr>
            <w:tcW w:w="1250" w:type="dxa"/>
          </w:tcPr>
          <w:p w:rsidR="00B66C87" w:rsidRPr="00B52A8A" w:rsidRDefault="00B66C87" w:rsidP="00B16665">
            <w:pPr>
              <w:jc w:val="center"/>
              <w:rPr>
                <w:i/>
              </w:rPr>
            </w:pPr>
            <w:r w:rsidRPr="00B52A8A">
              <w:rPr>
                <w:i/>
              </w:rPr>
              <w:t>0,01</w:t>
            </w:r>
          </w:p>
        </w:tc>
        <w:tc>
          <w:tcPr>
            <w:tcW w:w="1250" w:type="dxa"/>
          </w:tcPr>
          <w:p w:rsidR="00B66C87" w:rsidRPr="00B52A8A" w:rsidRDefault="00B66C87" w:rsidP="00B16665">
            <w:pPr>
              <w:jc w:val="center"/>
              <w:rPr>
                <w:i/>
              </w:rPr>
            </w:pPr>
            <w:r w:rsidRPr="00B52A8A">
              <w:rPr>
                <w:i/>
              </w:rPr>
              <w:t>0,76</w:t>
            </w:r>
          </w:p>
        </w:tc>
        <w:tc>
          <w:tcPr>
            <w:tcW w:w="1250" w:type="dxa"/>
          </w:tcPr>
          <w:p w:rsidR="00B66C87" w:rsidRPr="00B52A8A" w:rsidRDefault="00B66C87" w:rsidP="00B16665">
            <w:pPr>
              <w:jc w:val="center"/>
              <w:rPr>
                <w:i/>
              </w:rPr>
            </w:pPr>
            <w:r w:rsidRPr="00B52A8A">
              <w:rPr>
                <w:i/>
              </w:rPr>
              <w:t>0,64</w:t>
            </w:r>
          </w:p>
        </w:tc>
      </w:tr>
      <w:tr w:rsidR="00F73889" w:rsidRPr="00B52A8A" w:rsidTr="00B66C87">
        <w:tc>
          <w:tcPr>
            <w:tcW w:w="1515" w:type="dxa"/>
          </w:tcPr>
          <w:p w:rsidR="00B66C87" w:rsidRPr="00B52A8A" w:rsidRDefault="00B66C87" w:rsidP="00B66C87">
            <w:pPr>
              <w:spacing w:after="0"/>
              <w:jc w:val="center"/>
              <w:rPr>
                <w:b/>
                <w:i/>
              </w:rPr>
            </w:pPr>
            <w:r w:rsidRPr="00B52A8A">
              <w:rPr>
                <w:b/>
                <w:i/>
              </w:rPr>
              <w:t>Obezita</w:t>
            </w:r>
          </w:p>
          <w:p w:rsidR="00B66C87" w:rsidRPr="00B52A8A" w:rsidRDefault="00B66C87" w:rsidP="00B66C87">
            <w:pPr>
              <w:jc w:val="center"/>
              <w:rPr>
                <w:b/>
                <w:i/>
                <w:sz w:val="18"/>
                <w:szCs w:val="18"/>
              </w:rPr>
            </w:pPr>
            <w:r w:rsidRPr="00B52A8A">
              <w:rPr>
                <w:i/>
                <w:sz w:val="18"/>
                <w:szCs w:val="18"/>
              </w:rPr>
              <w:t>&gt;30</w:t>
            </w:r>
          </w:p>
        </w:tc>
        <w:tc>
          <w:tcPr>
            <w:tcW w:w="1491" w:type="dxa"/>
          </w:tcPr>
          <w:p w:rsidR="00B66C87" w:rsidRPr="00B52A8A" w:rsidRDefault="00B66C87" w:rsidP="00B16665">
            <w:pPr>
              <w:jc w:val="center"/>
              <w:rPr>
                <w:i/>
              </w:rPr>
            </w:pPr>
            <w:r w:rsidRPr="00B52A8A">
              <w:rPr>
                <w:i/>
              </w:rPr>
              <w:t>0,03</w:t>
            </w:r>
          </w:p>
        </w:tc>
        <w:tc>
          <w:tcPr>
            <w:tcW w:w="1964" w:type="dxa"/>
          </w:tcPr>
          <w:p w:rsidR="00B66C87" w:rsidRPr="00B52A8A" w:rsidRDefault="00B66C87" w:rsidP="00B16665">
            <w:pPr>
              <w:jc w:val="center"/>
              <w:rPr>
                <w:i/>
              </w:rPr>
            </w:pPr>
            <w:r w:rsidRPr="00B52A8A">
              <w:rPr>
                <w:i/>
              </w:rPr>
              <w:t xml:space="preserve"> 8509,26</w:t>
            </w:r>
          </w:p>
        </w:tc>
        <w:tc>
          <w:tcPr>
            <w:tcW w:w="1250" w:type="dxa"/>
          </w:tcPr>
          <w:p w:rsidR="00B66C87" w:rsidRPr="00B52A8A" w:rsidRDefault="00B66C87" w:rsidP="00B16665">
            <w:pPr>
              <w:jc w:val="center"/>
              <w:rPr>
                <w:i/>
              </w:rPr>
            </w:pPr>
            <w:r w:rsidRPr="00B52A8A">
              <w:rPr>
                <w:i/>
              </w:rPr>
              <w:t>0,69</w:t>
            </w:r>
          </w:p>
        </w:tc>
        <w:tc>
          <w:tcPr>
            <w:tcW w:w="1250" w:type="dxa"/>
          </w:tcPr>
          <w:p w:rsidR="00B66C87" w:rsidRPr="00B52A8A" w:rsidRDefault="00B66C87" w:rsidP="00B16665">
            <w:pPr>
              <w:jc w:val="center"/>
              <w:rPr>
                <w:i/>
              </w:rPr>
            </w:pPr>
            <w:r w:rsidRPr="00B52A8A">
              <w:rPr>
                <w:i/>
              </w:rPr>
              <w:t>0,07</w:t>
            </w:r>
          </w:p>
        </w:tc>
        <w:tc>
          <w:tcPr>
            <w:tcW w:w="1250" w:type="dxa"/>
          </w:tcPr>
          <w:p w:rsidR="00B66C87" w:rsidRPr="00B52A8A" w:rsidRDefault="00B66C87" w:rsidP="00B16665">
            <w:pPr>
              <w:jc w:val="center"/>
              <w:rPr>
                <w:i/>
              </w:rPr>
            </w:pPr>
            <w:r w:rsidRPr="00B52A8A">
              <w:rPr>
                <w:i/>
              </w:rPr>
              <w:t>0,47</w:t>
            </w:r>
          </w:p>
        </w:tc>
      </w:tr>
    </w:tbl>
    <w:p w:rsidR="000D086B" w:rsidRPr="00B52A8A" w:rsidRDefault="000D086B" w:rsidP="00042638">
      <w:pPr>
        <w:ind w:firstLine="426"/>
      </w:pPr>
    </w:p>
    <w:p w:rsidR="00B16665" w:rsidRPr="00B52A8A" w:rsidRDefault="00B16665" w:rsidP="00B66C87">
      <w:pPr>
        <w:rPr>
          <w:i/>
          <w:sz w:val="16"/>
          <w:szCs w:val="16"/>
        </w:rPr>
      </w:pPr>
      <w:r w:rsidRPr="00B52A8A">
        <w:rPr>
          <w:i/>
          <w:sz w:val="16"/>
          <w:szCs w:val="16"/>
        </w:rPr>
        <w:t>Vysvětlivky:</w:t>
      </w:r>
      <w:r w:rsidRPr="00B52A8A">
        <w:rPr>
          <w:i/>
          <w:sz w:val="16"/>
          <w:szCs w:val="16"/>
        </w:rPr>
        <w:tab/>
        <w:t>BMI</w:t>
      </w:r>
      <w:r w:rsidRPr="00B52A8A">
        <w:rPr>
          <w:i/>
          <w:sz w:val="16"/>
          <w:szCs w:val="16"/>
        </w:rPr>
        <w:tab/>
        <w:t>- body mass index</w:t>
      </w:r>
    </w:p>
    <w:p w:rsidR="00B16665" w:rsidRPr="00B52A8A" w:rsidRDefault="00154094" w:rsidP="00042638">
      <w:pPr>
        <w:ind w:firstLine="426"/>
        <w:rPr>
          <w:sz w:val="16"/>
          <w:szCs w:val="16"/>
        </w:rPr>
      </w:pPr>
      <w:r w:rsidRPr="00B52A8A">
        <w:rPr>
          <w:i/>
          <w:sz w:val="16"/>
          <w:szCs w:val="16"/>
        </w:rPr>
        <w:tab/>
      </w:r>
      <w:r w:rsidRPr="00B52A8A">
        <w:rPr>
          <w:i/>
          <w:sz w:val="16"/>
          <w:szCs w:val="16"/>
        </w:rPr>
        <w:tab/>
      </w:r>
      <w:r w:rsidR="00B16665" w:rsidRPr="00B52A8A">
        <w:rPr>
          <w:i/>
          <w:sz w:val="16"/>
          <w:szCs w:val="16"/>
        </w:rPr>
        <w:t>r</w:t>
      </w:r>
      <w:r w:rsidR="00B16665" w:rsidRPr="00B52A8A">
        <w:rPr>
          <w:i/>
          <w:sz w:val="16"/>
          <w:szCs w:val="16"/>
        </w:rPr>
        <w:tab/>
        <w:t>- korelační koeficient</w:t>
      </w:r>
    </w:p>
    <w:p w:rsidR="00154094" w:rsidRPr="00B52A8A" w:rsidRDefault="00154094" w:rsidP="00154094">
      <w:pPr>
        <w:spacing w:after="0"/>
        <w:ind w:firstLine="426"/>
      </w:pPr>
      <w:r w:rsidRPr="00B52A8A">
        <w:t>V tabulce 12 můžeme vidět závislost intenzity PA na jednotlivých kategoriích BMI. Mírná PA nejvíce ovlivňuje kategorii &gt;30, která je klasifikována jako obézní. Naopak norma pro BMI vykazuje nejvyšší závislost na prováděné PA vysoké intenzity. Můžeme tedy konstatovat, že intenzita PA značně ovlivňuje hodnoty BMI ve vztahu k zdravotnímu hledisku a určení míry obezity.</w:t>
      </w:r>
    </w:p>
    <w:p w:rsidR="00B66C87" w:rsidRPr="00B52A8A" w:rsidRDefault="00F73889" w:rsidP="00B66C87">
      <w:pPr>
        <w:ind w:firstLine="426"/>
      </w:pPr>
      <w:r w:rsidRPr="00B52A8A">
        <w:t>Korelační koeficient počtu kroků ukazuje závislost</w:t>
      </w:r>
      <w:r w:rsidR="00412569" w:rsidRPr="00B52A8A">
        <w:t xml:space="preserve"> především </w:t>
      </w:r>
      <w:r w:rsidR="004C7C91" w:rsidRPr="00B52A8A">
        <w:br/>
      </w:r>
      <w:r w:rsidR="00412569" w:rsidRPr="00B52A8A">
        <w:t>u normy</w:t>
      </w:r>
      <w:r w:rsidRPr="00B52A8A">
        <w:t xml:space="preserve"> pro</w:t>
      </w:r>
      <w:r w:rsidR="00412569" w:rsidRPr="00B52A8A">
        <w:t xml:space="preserve"> BMI</w:t>
      </w:r>
      <w:r w:rsidRPr="00B52A8A">
        <w:t>, kde se hodnota 0,38 nejvíce blíží 1</w:t>
      </w:r>
      <w:r w:rsidR="00412569" w:rsidRPr="00B52A8A">
        <w:t xml:space="preserve"> a je zanedbatelná u kategorie obezity</w:t>
      </w:r>
      <w:r w:rsidRPr="00B52A8A">
        <w:t>, kde je korelační koeficient 0,03</w:t>
      </w:r>
      <w:r w:rsidR="00412569" w:rsidRPr="00B52A8A">
        <w:t xml:space="preserve">. </w:t>
      </w:r>
      <w:r w:rsidR="00FB2F0A" w:rsidRPr="00B52A8A">
        <w:t>Hodnotě BMI připadá průměrný provedený</w:t>
      </w:r>
      <w:r w:rsidR="00154094" w:rsidRPr="00B52A8A">
        <w:t xml:space="preserve"> počet kroků za den, který se snižuje se</w:t>
      </w:r>
      <w:r w:rsidR="00FB2F0A" w:rsidRPr="00B52A8A">
        <w:t xml:space="preserve"> zvyšující hodnotou BMI.</w:t>
      </w:r>
    </w:p>
    <w:p w:rsidR="00B66C87" w:rsidRPr="00B52A8A" w:rsidRDefault="00FB2F0A" w:rsidP="00B66C87">
      <w:pPr>
        <w:ind w:firstLine="426"/>
      </w:pPr>
      <w:r w:rsidRPr="00B52A8A">
        <w:t xml:space="preserve">Další uvedené hodnoty ukazují závislost </w:t>
      </w:r>
      <w:r w:rsidR="00B66C87" w:rsidRPr="00B52A8A">
        <w:t xml:space="preserve">intenzity PA na jednotlivých kategoriích BMI. </w:t>
      </w:r>
      <w:r w:rsidRPr="00B52A8A">
        <w:t>Mírná PA je nejvíce závislá na</w:t>
      </w:r>
      <w:r w:rsidR="00B66C87" w:rsidRPr="00B52A8A">
        <w:t xml:space="preserve"> kategorii &gt;30, která je klasifikována jako obézní.</w:t>
      </w:r>
      <w:r w:rsidRPr="00B52A8A">
        <w:t xml:space="preserve"> Mírná intenzita zatížení je tedy pro tuto kategorii signifikantní.</w:t>
      </w:r>
      <w:r w:rsidR="00B66C87" w:rsidRPr="00B52A8A">
        <w:t xml:space="preserve"> Naopak norma pro BMI vykazuje nejvyšší závislost na prováděné PA vysoké intenzity. Můžeme tedy konstatovat, že intenzita PA značně ovlivňuje hodnoty BMI ve vztahu k zdravotnímu hledisku a určení míry obezity.</w:t>
      </w:r>
    </w:p>
    <w:p w:rsidR="00412569" w:rsidRPr="00B52A8A" w:rsidRDefault="00412569" w:rsidP="00042638">
      <w:pPr>
        <w:ind w:firstLine="426"/>
      </w:pPr>
    </w:p>
    <w:p w:rsidR="00766902" w:rsidRPr="00B52A8A" w:rsidRDefault="00766902" w:rsidP="00833DF7">
      <w:pPr>
        <w:pStyle w:val="P-nadpis2"/>
        <w:spacing w:before="0"/>
        <w:ind w:firstLine="0"/>
      </w:pPr>
    </w:p>
    <w:p w:rsidR="00833DF7" w:rsidRPr="00B52A8A" w:rsidRDefault="00D117C1" w:rsidP="00833DF7">
      <w:pPr>
        <w:pStyle w:val="P-nadpis2"/>
        <w:spacing w:before="0"/>
        <w:ind w:firstLine="0"/>
      </w:pPr>
      <w:bookmarkStart w:id="127" w:name="_Toc293057996"/>
      <w:bookmarkStart w:id="128" w:name="_Toc293153764"/>
      <w:r w:rsidRPr="00B52A8A">
        <w:t>5.5</w:t>
      </w:r>
      <w:r w:rsidR="00150590" w:rsidRPr="00B52A8A">
        <w:t xml:space="preserve"> SROVNÁNÍ </w:t>
      </w:r>
      <w:r w:rsidR="00FB2F0A" w:rsidRPr="00B52A8A">
        <w:t>VYBRANÝCH</w:t>
      </w:r>
      <w:r w:rsidR="008B4881" w:rsidRPr="00B52A8A">
        <w:t xml:space="preserve"> </w:t>
      </w:r>
      <w:r w:rsidR="00150590" w:rsidRPr="00B52A8A">
        <w:t>NAMĚŘENÝCH PARAMETRŮ</w:t>
      </w:r>
      <w:r w:rsidR="00A259EB" w:rsidRPr="00B52A8A">
        <w:t xml:space="preserve"> </w:t>
      </w:r>
      <w:r w:rsidR="00A259EB" w:rsidRPr="00B52A8A">
        <w:br/>
        <w:t xml:space="preserve">        S REFERENČNÍMI HODNOTAMI</w:t>
      </w:r>
      <w:r w:rsidR="00150590" w:rsidRPr="00B52A8A">
        <w:t xml:space="preserve"> </w:t>
      </w:r>
      <w:r w:rsidR="00A259EB" w:rsidRPr="00B52A8A">
        <w:t xml:space="preserve">U PŘÍSTROJŮ TANITA </w:t>
      </w:r>
      <w:r w:rsidR="00A259EB" w:rsidRPr="00B52A8A">
        <w:br/>
        <w:t xml:space="preserve">        A INBODY</w:t>
      </w:r>
      <w:bookmarkEnd w:id="127"/>
      <w:bookmarkEnd w:id="128"/>
    </w:p>
    <w:p w:rsidR="00833DF7" w:rsidRPr="00B52A8A" w:rsidRDefault="00833DF7" w:rsidP="00833DF7">
      <w:pPr>
        <w:pStyle w:val="P-nadpis2"/>
        <w:spacing w:before="0"/>
        <w:ind w:firstLine="0"/>
      </w:pPr>
    </w:p>
    <w:p w:rsidR="00150590" w:rsidRPr="00B52A8A" w:rsidRDefault="00C82318" w:rsidP="00C82318">
      <w:pPr>
        <w:spacing w:after="0"/>
        <w:jc w:val="center"/>
        <w:rPr>
          <w:szCs w:val="24"/>
        </w:rPr>
      </w:pPr>
      <w:r w:rsidRPr="00B52A8A">
        <w:rPr>
          <w:noProof/>
          <w:szCs w:val="24"/>
          <w:lang w:eastAsia="cs-CZ"/>
        </w:rPr>
        <w:drawing>
          <wp:inline distT="0" distB="0" distL="0" distR="0">
            <wp:extent cx="4572000" cy="2743200"/>
            <wp:effectExtent l="0" t="0" r="0"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50590" w:rsidRPr="00B52A8A" w:rsidRDefault="00E84D1B" w:rsidP="00252FB8">
      <w:pPr>
        <w:spacing w:before="240"/>
        <w:rPr>
          <w:i/>
          <w:sz w:val="20"/>
          <w:szCs w:val="20"/>
        </w:rPr>
      </w:pPr>
      <w:r w:rsidRPr="00B52A8A">
        <w:rPr>
          <w:i/>
          <w:sz w:val="20"/>
          <w:szCs w:val="20"/>
        </w:rPr>
        <w:t>Obrázek 8</w:t>
      </w:r>
      <w:r w:rsidR="00C82318" w:rsidRPr="00B52A8A">
        <w:rPr>
          <w:i/>
          <w:sz w:val="20"/>
          <w:szCs w:val="20"/>
        </w:rPr>
        <w:t>.</w:t>
      </w:r>
      <w:r w:rsidR="00150590" w:rsidRPr="00B52A8A">
        <w:rPr>
          <w:i/>
          <w:sz w:val="20"/>
          <w:szCs w:val="20"/>
        </w:rPr>
        <w:t xml:space="preserve"> </w:t>
      </w:r>
      <w:r w:rsidR="00D117C1" w:rsidRPr="00B52A8A">
        <w:rPr>
          <w:i/>
          <w:sz w:val="20"/>
          <w:szCs w:val="20"/>
        </w:rPr>
        <w:t>Srovnání celkové tělesné vody u přístrojů Tanita a InBody ve vztahu k referenčním hodnotám</w:t>
      </w:r>
    </w:p>
    <w:p w:rsidR="00420BC7" w:rsidRPr="00B52A8A" w:rsidRDefault="00AC5A56" w:rsidP="00420BC7">
      <w:pPr>
        <w:spacing w:after="0"/>
        <w:ind w:firstLine="284"/>
        <w:rPr>
          <w:szCs w:val="24"/>
        </w:rPr>
      </w:pPr>
      <w:r w:rsidRPr="00B52A8A">
        <w:rPr>
          <w:szCs w:val="24"/>
        </w:rPr>
        <w:t xml:space="preserve">První graf </w:t>
      </w:r>
      <w:r w:rsidR="00420BC7" w:rsidRPr="00B52A8A">
        <w:rPr>
          <w:szCs w:val="24"/>
        </w:rPr>
        <w:t xml:space="preserve">srovnává množství </w:t>
      </w:r>
      <w:r w:rsidR="00744868" w:rsidRPr="00B52A8A">
        <w:rPr>
          <w:szCs w:val="24"/>
        </w:rPr>
        <w:t>TBW, které je určeno z množství vody extra a intracelulární.</w:t>
      </w:r>
      <w:r w:rsidR="00420BC7" w:rsidRPr="00B52A8A">
        <w:rPr>
          <w:szCs w:val="24"/>
        </w:rPr>
        <w:t xml:space="preserve"> Průměrné hodnoty u obou přístrojů Tanita</w:t>
      </w:r>
      <w:r w:rsidR="004C7C91" w:rsidRPr="00B52A8A">
        <w:rPr>
          <w:szCs w:val="24"/>
        </w:rPr>
        <w:t xml:space="preserve"> NC-BC 418  47 % a InBody 720 </w:t>
      </w:r>
      <w:r w:rsidR="00420BC7" w:rsidRPr="00B52A8A">
        <w:rPr>
          <w:szCs w:val="24"/>
        </w:rPr>
        <w:t xml:space="preserve"> 45 % vykazují nižší za</w:t>
      </w:r>
      <w:r w:rsidRPr="00B52A8A">
        <w:rPr>
          <w:szCs w:val="24"/>
        </w:rPr>
        <w:t>stoupení v</w:t>
      </w:r>
      <w:r w:rsidR="00E84D1B" w:rsidRPr="00B52A8A">
        <w:rPr>
          <w:szCs w:val="24"/>
        </w:rPr>
        <w:t>ody u našich probandů (Obrázek 8</w:t>
      </w:r>
      <w:r w:rsidRPr="00B52A8A">
        <w:rPr>
          <w:szCs w:val="24"/>
        </w:rPr>
        <w:t>).</w:t>
      </w:r>
    </w:p>
    <w:p w:rsidR="00744868" w:rsidRPr="00B52A8A" w:rsidRDefault="00744868" w:rsidP="00F013C3">
      <w:pPr>
        <w:spacing w:after="0"/>
        <w:rPr>
          <w:i/>
          <w:sz w:val="20"/>
          <w:szCs w:val="20"/>
        </w:rPr>
      </w:pPr>
      <w:r w:rsidRPr="00B52A8A">
        <w:rPr>
          <w:szCs w:val="24"/>
        </w:rPr>
        <w:t xml:space="preserve"> </w:t>
      </w:r>
    </w:p>
    <w:p w:rsidR="00C82318" w:rsidRPr="00B52A8A" w:rsidRDefault="00F013C3" w:rsidP="00F013C3">
      <w:pPr>
        <w:spacing w:after="0"/>
        <w:jc w:val="center"/>
        <w:rPr>
          <w:i/>
          <w:sz w:val="20"/>
          <w:szCs w:val="20"/>
        </w:rPr>
      </w:pPr>
      <w:r w:rsidRPr="00B52A8A">
        <w:rPr>
          <w:i/>
          <w:noProof/>
          <w:sz w:val="20"/>
          <w:szCs w:val="20"/>
          <w:lang w:eastAsia="cs-CZ"/>
        </w:rPr>
        <w:lastRenderedPageBreak/>
        <w:drawing>
          <wp:inline distT="0" distB="0" distL="0" distR="0">
            <wp:extent cx="4572000" cy="2743200"/>
            <wp:effectExtent l="0" t="0" r="0" b="0"/>
            <wp:docPr id="10"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82318" w:rsidRPr="00B52A8A" w:rsidRDefault="00C82318" w:rsidP="00150590">
      <w:pPr>
        <w:spacing w:after="0"/>
        <w:rPr>
          <w:szCs w:val="24"/>
        </w:rPr>
      </w:pPr>
    </w:p>
    <w:p w:rsidR="00150590" w:rsidRPr="00B52A8A" w:rsidRDefault="00E84D1B" w:rsidP="00150590">
      <w:pPr>
        <w:spacing w:after="0"/>
        <w:rPr>
          <w:i/>
          <w:sz w:val="20"/>
          <w:szCs w:val="20"/>
        </w:rPr>
      </w:pPr>
      <w:r w:rsidRPr="00B52A8A">
        <w:rPr>
          <w:i/>
          <w:sz w:val="20"/>
          <w:szCs w:val="20"/>
        </w:rPr>
        <w:t>Obrázek 9</w:t>
      </w:r>
      <w:r w:rsidR="005D632B" w:rsidRPr="00B52A8A">
        <w:rPr>
          <w:i/>
          <w:sz w:val="20"/>
          <w:szCs w:val="20"/>
        </w:rPr>
        <w:t>.</w:t>
      </w:r>
      <w:r w:rsidR="00150590" w:rsidRPr="00B52A8A">
        <w:rPr>
          <w:i/>
          <w:sz w:val="20"/>
          <w:szCs w:val="20"/>
        </w:rPr>
        <w:t xml:space="preserve"> </w:t>
      </w:r>
      <w:r w:rsidR="00D117C1" w:rsidRPr="00B52A8A">
        <w:rPr>
          <w:i/>
          <w:sz w:val="20"/>
          <w:szCs w:val="20"/>
        </w:rPr>
        <w:t>Srovnání extracelulární a intracelulární vody u přístroje InBody ve vztahu k referenčním hodnotám</w:t>
      </w:r>
      <w:r w:rsidR="00150590" w:rsidRPr="00B52A8A">
        <w:rPr>
          <w:i/>
          <w:sz w:val="20"/>
          <w:szCs w:val="20"/>
        </w:rPr>
        <w:t xml:space="preserve"> </w:t>
      </w:r>
    </w:p>
    <w:p w:rsidR="005D632B" w:rsidRPr="00B52A8A" w:rsidRDefault="00420BC7" w:rsidP="004C7C91">
      <w:pPr>
        <w:spacing w:after="0"/>
        <w:ind w:firstLine="284"/>
        <w:rPr>
          <w:szCs w:val="24"/>
        </w:rPr>
      </w:pPr>
      <w:r w:rsidRPr="00B52A8A">
        <w:rPr>
          <w:szCs w:val="24"/>
        </w:rPr>
        <w:t xml:space="preserve">Množství vody extra a </w:t>
      </w:r>
      <w:r w:rsidR="00D054CB" w:rsidRPr="00B52A8A">
        <w:rPr>
          <w:szCs w:val="24"/>
        </w:rPr>
        <w:t>intracelulární nám poskytuje pouze</w:t>
      </w:r>
      <w:r w:rsidRPr="00B52A8A">
        <w:rPr>
          <w:szCs w:val="24"/>
        </w:rPr>
        <w:t xml:space="preserve"> přís</w:t>
      </w:r>
      <w:r w:rsidR="00AC5A56" w:rsidRPr="00B52A8A">
        <w:rPr>
          <w:szCs w:val="24"/>
        </w:rPr>
        <w:t xml:space="preserve">troj InBody 720. </w:t>
      </w:r>
      <w:r w:rsidRPr="00B52A8A">
        <w:rPr>
          <w:szCs w:val="24"/>
        </w:rPr>
        <w:t xml:space="preserve">ECW </w:t>
      </w:r>
      <w:r w:rsidR="00D054CB" w:rsidRPr="00B52A8A">
        <w:rPr>
          <w:szCs w:val="24"/>
        </w:rPr>
        <w:t xml:space="preserve">tvoří 20 % celkové tělesné vody. </w:t>
      </w:r>
      <w:r w:rsidRPr="00B52A8A">
        <w:rPr>
          <w:szCs w:val="24"/>
        </w:rPr>
        <w:t>ICW</w:t>
      </w:r>
      <w:r w:rsidR="00D054CB" w:rsidRPr="00B52A8A">
        <w:rPr>
          <w:szCs w:val="24"/>
        </w:rPr>
        <w:t xml:space="preserve"> tvoří </w:t>
      </w:r>
      <w:r w:rsidR="00EA0511" w:rsidRPr="00B52A8A">
        <w:rPr>
          <w:szCs w:val="24"/>
        </w:rPr>
        <w:br/>
      </w:r>
      <w:r w:rsidR="00D054CB" w:rsidRPr="00B52A8A">
        <w:rPr>
          <w:szCs w:val="24"/>
        </w:rPr>
        <w:t>40 % celkové tělesné v</w:t>
      </w:r>
      <w:r w:rsidR="004C7C91" w:rsidRPr="00B52A8A">
        <w:rPr>
          <w:szCs w:val="24"/>
        </w:rPr>
        <w:t xml:space="preserve">ody. </w:t>
      </w:r>
      <w:r w:rsidR="00B14949" w:rsidRPr="00B52A8A">
        <w:t xml:space="preserve">ECW u žen vytváří 21 % a 32 % tvoří ICW (Rokyta et al., 2000). </w:t>
      </w:r>
      <w:r w:rsidR="00B14949" w:rsidRPr="00B52A8A">
        <w:rPr>
          <w:szCs w:val="24"/>
        </w:rPr>
        <w:t>P</w:t>
      </w:r>
      <w:r w:rsidR="004C7C91" w:rsidRPr="00B52A8A">
        <w:rPr>
          <w:szCs w:val="24"/>
        </w:rPr>
        <w:t>růměrné hodnoty ECW 17 % a ICW</w:t>
      </w:r>
      <w:r w:rsidR="004C7C91" w:rsidRPr="00B52A8A">
        <w:rPr>
          <w:szCs w:val="24"/>
        </w:rPr>
        <w:br/>
      </w:r>
      <w:r w:rsidR="00B14949" w:rsidRPr="00B52A8A">
        <w:rPr>
          <w:szCs w:val="24"/>
        </w:rPr>
        <w:t xml:space="preserve">27 % potvrzují </w:t>
      </w:r>
      <w:r w:rsidR="00D054CB" w:rsidRPr="00B52A8A">
        <w:rPr>
          <w:szCs w:val="24"/>
        </w:rPr>
        <w:t>ni</w:t>
      </w:r>
      <w:r w:rsidR="00AC5A56" w:rsidRPr="00B52A8A">
        <w:rPr>
          <w:szCs w:val="24"/>
        </w:rPr>
        <w:t>žší zastou</w:t>
      </w:r>
      <w:r w:rsidR="00E84D1B" w:rsidRPr="00B52A8A">
        <w:rPr>
          <w:szCs w:val="24"/>
        </w:rPr>
        <w:t>pení vody v organismu (Obrázek 9</w:t>
      </w:r>
      <w:r w:rsidR="00AC5A56" w:rsidRPr="00B52A8A">
        <w:rPr>
          <w:szCs w:val="24"/>
        </w:rPr>
        <w:t>).</w:t>
      </w:r>
    </w:p>
    <w:p w:rsidR="00F013C3" w:rsidRPr="00B52A8A" w:rsidRDefault="00F013C3" w:rsidP="00150590">
      <w:pPr>
        <w:spacing w:after="0"/>
        <w:rPr>
          <w:i/>
          <w:sz w:val="20"/>
          <w:szCs w:val="20"/>
        </w:rPr>
      </w:pPr>
    </w:p>
    <w:p w:rsidR="00F013C3" w:rsidRPr="00B52A8A" w:rsidRDefault="00452D3B" w:rsidP="00452D3B">
      <w:pPr>
        <w:spacing w:after="0"/>
        <w:jc w:val="center"/>
        <w:rPr>
          <w:i/>
          <w:sz w:val="20"/>
          <w:szCs w:val="20"/>
        </w:rPr>
      </w:pPr>
      <w:r w:rsidRPr="00B52A8A">
        <w:rPr>
          <w:i/>
          <w:noProof/>
          <w:sz w:val="20"/>
          <w:szCs w:val="20"/>
          <w:lang w:eastAsia="cs-CZ"/>
        </w:rPr>
        <w:drawing>
          <wp:inline distT="0" distB="0" distL="0" distR="0">
            <wp:extent cx="4572000" cy="2743200"/>
            <wp:effectExtent l="0" t="0" r="0" b="0"/>
            <wp:docPr id="11"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013C3" w:rsidRPr="00B52A8A" w:rsidRDefault="00F013C3" w:rsidP="00150590">
      <w:pPr>
        <w:spacing w:after="0"/>
        <w:rPr>
          <w:i/>
          <w:sz w:val="20"/>
          <w:szCs w:val="20"/>
        </w:rPr>
      </w:pPr>
    </w:p>
    <w:p w:rsidR="00150590" w:rsidRPr="00B52A8A" w:rsidRDefault="00E84D1B" w:rsidP="00150590">
      <w:pPr>
        <w:rPr>
          <w:i/>
          <w:sz w:val="20"/>
          <w:szCs w:val="20"/>
        </w:rPr>
      </w:pPr>
      <w:r w:rsidRPr="00B52A8A">
        <w:rPr>
          <w:i/>
          <w:sz w:val="20"/>
          <w:szCs w:val="20"/>
        </w:rPr>
        <w:t>Obrázek 10</w:t>
      </w:r>
      <w:r w:rsidR="005D632B" w:rsidRPr="00B52A8A">
        <w:rPr>
          <w:i/>
          <w:sz w:val="20"/>
          <w:szCs w:val="20"/>
        </w:rPr>
        <w:t>.</w:t>
      </w:r>
      <w:r w:rsidR="00150590" w:rsidRPr="00B52A8A">
        <w:rPr>
          <w:i/>
          <w:sz w:val="20"/>
          <w:szCs w:val="20"/>
        </w:rPr>
        <w:t xml:space="preserve"> </w:t>
      </w:r>
      <w:r w:rsidR="00D117C1" w:rsidRPr="00B52A8A">
        <w:rPr>
          <w:i/>
          <w:sz w:val="20"/>
          <w:szCs w:val="20"/>
        </w:rPr>
        <w:t>Srovnání tukuprosté hmoty u přístrojů Tanita a InBody ve vztahu k referenčním hodnotám</w:t>
      </w:r>
    </w:p>
    <w:p w:rsidR="00452D3B" w:rsidRPr="00B52A8A" w:rsidRDefault="00AC5A56" w:rsidP="00744868">
      <w:pPr>
        <w:spacing w:after="0"/>
        <w:ind w:firstLine="284"/>
        <w:rPr>
          <w:i/>
          <w:sz w:val="20"/>
          <w:szCs w:val="20"/>
        </w:rPr>
      </w:pPr>
      <w:r w:rsidRPr="00B52A8A">
        <w:lastRenderedPageBreak/>
        <w:t>T</w:t>
      </w:r>
      <w:r w:rsidRPr="00B52A8A">
        <w:rPr>
          <w:szCs w:val="24"/>
        </w:rPr>
        <w:t>ukuprostá hmota</w:t>
      </w:r>
      <w:r w:rsidR="00744868" w:rsidRPr="00B52A8A">
        <w:rPr>
          <w:szCs w:val="24"/>
        </w:rPr>
        <w:t xml:space="preserve"> je určena jako součet celkové vody v organismu </w:t>
      </w:r>
      <w:r w:rsidR="00EA0511" w:rsidRPr="00B52A8A">
        <w:rPr>
          <w:szCs w:val="24"/>
        </w:rPr>
        <w:br/>
      </w:r>
      <w:r w:rsidR="00744868" w:rsidRPr="00B52A8A">
        <w:rPr>
          <w:szCs w:val="24"/>
        </w:rPr>
        <w:t>a sušiny, jejichž součástí jsou proteiny. Referenční hodnoty tukuprosté hmoty běžně odpovídají 73 % celkové tělesné hmotnosti</w:t>
      </w:r>
      <w:r w:rsidR="007457E6" w:rsidRPr="00B52A8A">
        <w:rPr>
          <w:szCs w:val="24"/>
        </w:rPr>
        <w:t xml:space="preserve"> (InBody 720, 2011). Průměrná hmotnost </w:t>
      </w:r>
      <w:r w:rsidR="00744868" w:rsidRPr="00B52A8A">
        <w:rPr>
          <w:szCs w:val="24"/>
        </w:rPr>
        <w:t>probandů byla 70 kg.  Námi naměřené průměrné hodnoty tukuprosté hmoty odpovídají 61 % u Tanity NC-BC 418 a 59 % u InBody 720 celkové tělesné hmotnosti. Jsou tedy nižší než referenční hodnoty, což je pro nás ukazatelem úbytku tuk</w:t>
      </w:r>
      <w:r w:rsidRPr="00B52A8A">
        <w:rPr>
          <w:szCs w:val="24"/>
        </w:rPr>
        <w:t>uprosté hm</w:t>
      </w:r>
      <w:r w:rsidR="00E84D1B" w:rsidRPr="00B52A8A">
        <w:rPr>
          <w:szCs w:val="24"/>
        </w:rPr>
        <w:t>oty v období stárnutí (Obrázek 10</w:t>
      </w:r>
      <w:r w:rsidRPr="00B52A8A">
        <w:rPr>
          <w:szCs w:val="24"/>
        </w:rPr>
        <w:t>).</w:t>
      </w:r>
    </w:p>
    <w:p w:rsidR="00744868" w:rsidRPr="00B52A8A" w:rsidRDefault="00744868" w:rsidP="00150590">
      <w:pPr>
        <w:spacing w:after="0"/>
        <w:rPr>
          <w:i/>
          <w:sz w:val="20"/>
          <w:szCs w:val="20"/>
        </w:rPr>
      </w:pPr>
    </w:p>
    <w:p w:rsidR="00452D3B" w:rsidRPr="00B52A8A" w:rsidRDefault="005D632B" w:rsidP="005D632B">
      <w:pPr>
        <w:spacing w:after="0"/>
        <w:jc w:val="center"/>
        <w:rPr>
          <w:i/>
          <w:sz w:val="20"/>
          <w:szCs w:val="20"/>
        </w:rPr>
      </w:pPr>
      <w:r w:rsidRPr="00B52A8A">
        <w:rPr>
          <w:i/>
          <w:noProof/>
          <w:sz w:val="20"/>
          <w:szCs w:val="20"/>
          <w:lang w:eastAsia="cs-CZ"/>
        </w:rPr>
        <w:drawing>
          <wp:inline distT="0" distB="0" distL="0" distR="0">
            <wp:extent cx="4572000" cy="2743200"/>
            <wp:effectExtent l="0" t="0" r="0" b="0"/>
            <wp:docPr id="16"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52D3B" w:rsidRPr="00B52A8A" w:rsidRDefault="00452D3B" w:rsidP="00150590">
      <w:pPr>
        <w:spacing w:after="0"/>
        <w:rPr>
          <w:i/>
          <w:sz w:val="20"/>
          <w:szCs w:val="20"/>
        </w:rPr>
      </w:pPr>
    </w:p>
    <w:p w:rsidR="00150590" w:rsidRPr="00B52A8A" w:rsidRDefault="00E84D1B" w:rsidP="00150590">
      <w:pPr>
        <w:spacing w:after="0"/>
        <w:rPr>
          <w:i/>
          <w:sz w:val="20"/>
          <w:szCs w:val="20"/>
        </w:rPr>
      </w:pPr>
      <w:r w:rsidRPr="00B52A8A">
        <w:rPr>
          <w:i/>
          <w:sz w:val="20"/>
          <w:szCs w:val="20"/>
        </w:rPr>
        <w:t>Obrázek 11</w:t>
      </w:r>
      <w:r w:rsidR="005D632B" w:rsidRPr="00B52A8A">
        <w:rPr>
          <w:i/>
          <w:sz w:val="20"/>
          <w:szCs w:val="20"/>
        </w:rPr>
        <w:t>.</w:t>
      </w:r>
      <w:r w:rsidR="00150590" w:rsidRPr="00B52A8A">
        <w:rPr>
          <w:i/>
          <w:sz w:val="20"/>
          <w:szCs w:val="20"/>
        </w:rPr>
        <w:t xml:space="preserve"> </w:t>
      </w:r>
      <w:r w:rsidR="00D117C1" w:rsidRPr="00B52A8A">
        <w:rPr>
          <w:i/>
          <w:sz w:val="20"/>
          <w:szCs w:val="20"/>
        </w:rPr>
        <w:t>Srovnání tukové hmoty u přístrojů Tanita a InBody ve vztahu k referenčním hodnotám</w:t>
      </w:r>
      <w:r w:rsidR="00150590" w:rsidRPr="00B52A8A">
        <w:rPr>
          <w:i/>
          <w:sz w:val="20"/>
          <w:szCs w:val="20"/>
        </w:rPr>
        <w:t xml:space="preserve"> </w:t>
      </w:r>
    </w:p>
    <w:p w:rsidR="00744868" w:rsidRPr="00B52A8A" w:rsidRDefault="00AC5A56" w:rsidP="00744868">
      <w:pPr>
        <w:ind w:firstLine="284"/>
      </w:pPr>
      <w:r w:rsidRPr="00B52A8A">
        <w:t xml:space="preserve">Graf </w:t>
      </w:r>
      <w:r w:rsidR="00744868" w:rsidRPr="00B52A8A">
        <w:t>znázorňuje procentuální vyjádření tělesného tuku. Referenční hodnoty to</w:t>
      </w:r>
      <w:r w:rsidR="004C7C91" w:rsidRPr="00B52A8A">
        <w:t>hoto parametru jsou 18 – 28 %</w:t>
      </w:r>
      <w:r w:rsidR="007457E6" w:rsidRPr="00B52A8A">
        <w:t xml:space="preserve"> (InBody 720, 2011)</w:t>
      </w:r>
      <w:r w:rsidR="004C7C91" w:rsidRPr="00B52A8A">
        <w:t>.</w:t>
      </w:r>
      <w:r w:rsidR="00744868" w:rsidRPr="00B52A8A">
        <w:t xml:space="preserve"> Množství tělesného tuku je ovlivněno především realizovanou pohybovou aktivitou, ve smyslu intenzity a objemu spektra, výživovými aspekty, genetickými vlivy. Důležitou roli zde hraje věk. S věkem dochází k nárůstu tukové hmoty, což potvrzují průměrné hodnoty našeho souboru přesahující referenční téměř o deset procent a vypovídají tedy o vysokém zastoupení tukové frakce</w:t>
      </w:r>
      <w:r w:rsidR="00E84D1B" w:rsidRPr="00B52A8A">
        <w:t xml:space="preserve"> (Obrázek 11</w:t>
      </w:r>
      <w:r w:rsidRPr="00B52A8A">
        <w:t>).</w:t>
      </w:r>
    </w:p>
    <w:p w:rsidR="00833DF7" w:rsidRPr="00B52A8A" w:rsidRDefault="00833DF7" w:rsidP="00744868">
      <w:pPr>
        <w:ind w:firstLine="284"/>
      </w:pPr>
    </w:p>
    <w:p w:rsidR="005D632B" w:rsidRPr="00B52A8A" w:rsidRDefault="005D632B" w:rsidP="00185177">
      <w:pPr>
        <w:spacing w:after="0"/>
        <w:jc w:val="center"/>
        <w:rPr>
          <w:i/>
          <w:sz w:val="20"/>
          <w:szCs w:val="20"/>
        </w:rPr>
      </w:pPr>
    </w:p>
    <w:p w:rsidR="004363DA" w:rsidRPr="00B52A8A" w:rsidRDefault="004363DA" w:rsidP="00DD0356">
      <w:pPr>
        <w:rPr>
          <w:i/>
          <w:sz w:val="20"/>
          <w:szCs w:val="20"/>
        </w:rPr>
      </w:pPr>
    </w:p>
    <w:p w:rsidR="00185177" w:rsidRPr="00B52A8A" w:rsidRDefault="00252FB8" w:rsidP="00252FB8">
      <w:pPr>
        <w:spacing w:before="240"/>
        <w:jc w:val="center"/>
        <w:rPr>
          <w:i/>
          <w:sz w:val="20"/>
          <w:szCs w:val="20"/>
        </w:rPr>
      </w:pPr>
      <w:r w:rsidRPr="00B52A8A">
        <w:rPr>
          <w:i/>
          <w:noProof/>
          <w:sz w:val="20"/>
          <w:szCs w:val="20"/>
          <w:lang w:eastAsia="cs-CZ"/>
        </w:rPr>
        <w:lastRenderedPageBreak/>
        <w:drawing>
          <wp:inline distT="0" distB="0" distL="0" distR="0">
            <wp:extent cx="4572000" cy="2743200"/>
            <wp:effectExtent l="19050" t="0" r="19050" b="0"/>
            <wp:docPr id="9"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50590" w:rsidRPr="00B52A8A" w:rsidRDefault="00CF38DF" w:rsidP="00252FB8">
      <w:pPr>
        <w:spacing w:before="240"/>
        <w:rPr>
          <w:i/>
          <w:sz w:val="20"/>
          <w:szCs w:val="20"/>
        </w:rPr>
      </w:pPr>
      <w:r w:rsidRPr="00B52A8A">
        <w:rPr>
          <w:i/>
          <w:sz w:val="20"/>
          <w:szCs w:val="20"/>
        </w:rPr>
        <w:t>Obrázek 12</w:t>
      </w:r>
      <w:r w:rsidR="005D632B" w:rsidRPr="00B52A8A">
        <w:rPr>
          <w:i/>
          <w:sz w:val="20"/>
          <w:szCs w:val="20"/>
        </w:rPr>
        <w:t>.</w:t>
      </w:r>
      <w:r w:rsidR="00D117C1" w:rsidRPr="00B52A8A">
        <w:rPr>
          <w:i/>
          <w:sz w:val="20"/>
          <w:szCs w:val="20"/>
        </w:rPr>
        <w:t xml:space="preserve"> Srovnání i</w:t>
      </w:r>
      <w:r w:rsidR="00150590" w:rsidRPr="00B52A8A">
        <w:rPr>
          <w:i/>
          <w:sz w:val="20"/>
          <w:szCs w:val="20"/>
        </w:rPr>
        <w:t>ndex</w:t>
      </w:r>
      <w:r w:rsidR="00D117C1" w:rsidRPr="00B52A8A">
        <w:rPr>
          <w:i/>
          <w:sz w:val="20"/>
          <w:szCs w:val="20"/>
        </w:rPr>
        <w:t>u</w:t>
      </w:r>
      <w:r w:rsidR="00150590" w:rsidRPr="00B52A8A">
        <w:rPr>
          <w:i/>
          <w:sz w:val="20"/>
          <w:szCs w:val="20"/>
        </w:rPr>
        <w:t xml:space="preserve"> tukuprosté hmoty</w:t>
      </w:r>
      <w:r w:rsidR="00D117C1" w:rsidRPr="00B52A8A">
        <w:rPr>
          <w:i/>
          <w:sz w:val="20"/>
          <w:szCs w:val="20"/>
        </w:rPr>
        <w:t xml:space="preserve"> u přístroje InBody ve vztahu k referenčním hodnotám</w:t>
      </w:r>
      <w:r w:rsidR="00150590" w:rsidRPr="00B52A8A">
        <w:rPr>
          <w:i/>
          <w:sz w:val="20"/>
          <w:szCs w:val="20"/>
        </w:rPr>
        <w:t xml:space="preserve"> </w:t>
      </w:r>
    </w:p>
    <w:p w:rsidR="00833DF7" w:rsidRPr="00B52A8A" w:rsidRDefault="0013434E" w:rsidP="00833DF7">
      <w:pPr>
        <w:ind w:firstLine="426"/>
        <w:rPr>
          <w:szCs w:val="24"/>
        </w:rPr>
      </w:pPr>
      <w:bookmarkStart w:id="129" w:name="_Toc239411421"/>
      <w:r w:rsidRPr="00B52A8A">
        <w:rPr>
          <w:szCs w:val="24"/>
        </w:rPr>
        <w:t>K určení množství tukuprosté hmoty slouží také index FFMI, který jsme získali přístrojem InBody 720. FFMI vyjadřuje relativní množství tukuprosté hmoty a umožňuje srovnání jedinců s rozdílnou výškou</w:t>
      </w:r>
      <w:r w:rsidR="00D117C1" w:rsidRPr="00B52A8A">
        <w:rPr>
          <w:szCs w:val="24"/>
        </w:rPr>
        <w:t>.</w:t>
      </w:r>
      <w:r w:rsidRPr="00B52A8A">
        <w:rPr>
          <w:szCs w:val="24"/>
        </w:rPr>
        <w:t xml:space="preserve"> Optimální hodnoty jsou pro FFMI</w:t>
      </w:r>
      <w:r w:rsidR="007457E6" w:rsidRPr="00B52A8A">
        <w:rPr>
          <w:szCs w:val="24"/>
        </w:rPr>
        <w:t xml:space="preserve"> </w:t>
      </w:r>
      <w:r w:rsidRPr="00B52A8A">
        <w:t>14,6</w:t>
      </w:r>
      <w:r w:rsidR="00D117C1" w:rsidRPr="00B52A8A">
        <w:t xml:space="preserve"> </w:t>
      </w:r>
      <w:r w:rsidRPr="00B52A8A">
        <w:t>–</w:t>
      </w:r>
      <w:r w:rsidR="00D117C1" w:rsidRPr="00B52A8A">
        <w:t xml:space="preserve"> </w:t>
      </w:r>
      <w:r w:rsidRPr="00B52A8A">
        <w:t>16,7 kg/m</w:t>
      </w:r>
      <w:r w:rsidRPr="00B52A8A">
        <w:rPr>
          <w:szCs w:val="24"/>
          <w:vertAlign w:val="superscript"/>
        </w:rPr>
        <w:t>2</w:t>
      </w:r>
      <w:r w:rsidR="007457E6" w:rsidRPr="00B52A8A">
        <w:rPr>
          <w:szCs w:val="24"/>
          <w:vertAlign w:val="superscript"/>
        </w:rPr>
        <w:t xml:space="preserve"> </w:t>
      </w:r>
      <w:r w:rsidR="007457E6" w:rsidRPr="00B52A8A">
        <w:t>(Kyle at al., (2004a)</w:t>
      </w:r>
      <w:r w:rsidR="00D117C1" w:rsidRPr="00B52A8A">
        <w:rPr>
          <w:szCs w:val="24"/>
        </w:rPr>
        <w:t xml:space="preserve">. Průměrná hodnota </w:t>
      </w:r>
      <w:r w:rsidRPr="00B52A8A">
        <w:rPr>
          <w:szCs w:val="24"/>
        </w:rPr>
        <w:t>i hodnota minimální spadají do tohoto optima. Pouze hodnota maximální mírn</w:t>
      </w:r>
      <w:r w:rsidR="00EB2947" w:rsidRPr="00B52A8A">
        <w:rPr>
          <w:szCs w:val="24"/>
        </w:rPr>
        <w:t xml:space="preserve">ě převyšuje toto rozmezí. Zhodnocení množství tukuprosté hmoty na </w:t>
      </w:r>
      <w:r w:rsidR="00EB2947" w:rsidRPr="00B52A8A">
        <w:t>kg/m</w:t>
      </w:r>
      <w:r w:rsidR="00EB2947" w:rsidRPr="00B52A8A">
        <w:rPr>
          <w:szCs w:val="24"/>
          <w:vertAlign w:val="superscript"/>
        </w:rPr>
        <w:t xml:space="preserve">2 </w:t>
      </w:r>
      <w:r w:rsidR="00EB2947" w:rsidRPr="00B52A8A">
        <w:rPr>
          <w:szCs w:val="24"/>
        </w:rPr>
        <w:t xml:space="preserve">vykazuje tedy optimální hodnoty, přestože naměřená FFM vykazuje hodnoty nižší. </w:t>
      </w:r>
      <w:r w:rsidR="00833DF7" w:rsidRPr="00B52A8A">
        <w:rPr>
          <w:szCs w:val="24"/>
        </w:rPr>
        <w:t>Hodnota</w:t>
      </w:r>
      <w:r w:rsidRPr="00B52A8A">
        <w:rPr>
          <w:szCs w:val="24"/>
        </w:rPr>
        <w:t xml:space="preserve"> našeho souboru byla nepatrně vyšší 17,03 </w:t>
      </w:r>
      <w:r w:rsidRPr="00B52A8A">
        <w:t>kg</w:t>
      </w:r>
      <w:r w:rsidRPr="00B52A8A">
        <w:rPr>
          <w:szCs w:val="24"/>
        </w:rPr>
        <w:t xml:space="preserve"> </w:t>
      </w:r>
      <w:r w:rsidR="00CF38DF" w:rsidRPr="00B52A8A">
        <w:rPr>
          <w:szCs w:val="24"/>
        </w:rPr>
        <w:t>(Obrázek 12</w:t>
      </w:r>
      <w:r w:rsidR="00D117C1" w:rsidRPr="00B52A8A">
        <w:rPr>
          <w:szCs w:val="24"/>
        </w:rPr>
        <w:t>).</w:t>
      </w:r>
    </w:p>
    <w:p w:rsidR="00252FB8" w:rsidRPr="00B52A8A" w:rsidRDefault="00252FB8" w:rsidP="00252FB8">
      <w:pPr>
        <w:pStyle w:val="P-nadpis1"/>
        <w:jc w:val="center"/>
      </w:pPr>
      <w:r w:rsidRPr="00B52A8A">
        <w:rPr>
          <w:noProof/>
          <w:lang w:eastAsia="cs-CZ"/>
        </w:rPr>
        <w:lastRenderedPageBreak/>
        <w:drawing>
          <wp:inline distT="0" distB="0" distL="0" distR="0">
            <wp:extent cx="4572000" cy="2743200"/>
            <wp:effectExtent l="19050" t="0" r="19050" b="0"/>
            <wp:docPr id="12"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52FB8" w:rsidRPr="00B52A8A" w:rsidRDefault="00252FB8" w:rsidP="00252FB8">
      <w:pPr>
        <w:pStyle w:val="P-nadpis1"/>
        <w:spacing w:before="0"/>
        <w:jc w:val="center"/>
      </w:pPr>
    </w:p>
    <w:p w:rsidR="00F61D5F" w:rsidRPr="00B52A8A" w:rsidRDefault="00CF38DF" w:rsidP="00F61D5F">
      <w:pPr>
        <w:spacing w:before="240"/>
        <w:rPr>
          <w:i/>
          <w:sz w:val="20"/>
          <w:szCs w:val="20"/>
        </w:rPr>
      </w:pPr>
      <w:r w:rsidRPr="00B52A8A">
        <w:rPr>
          <w:i/>
          <w:sz w:val="20"/>
          <w:szCs w:val="20"/>
        </w:rPr>
        <w:t>Obrázek 13</w:t>
      </w:r>
      <w:r w:rsidR="00252FB8" w:rsidRPr="00B52A8A">
        <w:rPr>
          <w:i/>
          <w:sz w:val="20"/>
          <w:szCs w:val="20"/>
        </w:rPr>
        <w:t xml:space="preserve">. </w:t>
      </w:r>
      <w:r w:rsidR="00F61D5F" w:rsidRPr="00B52A8A">
        <w:rPr>
          <w:i/>
          <w:sz w:val="20"/>
          <w:szCs w:val="20"/>
        </w:rPr>
        <w:t xml:space="preserve">Srovnání indexu tukové hmoty u přístroje InBody ve vztahu k referenčním hodnotám </w:t>
      </w:r>
    </w:p>
    <w:p w:rsidR="00EB2947" w:rsidRPr="00B52A8A" w:rsidRDefault="00F61D5F" w:rsidP="00EB2947">
      <w:pPr>
        <w:ind w:firstLine="426"/>
        <w:rPr>
          <w:szCs w:val="24"/>
        </w:rPr>
      </w:pPr>
      <w:r w:rsidRPr="00B52A8A">
        <w:rPr>
          <w:szCs w:val="24"/>
        </w:rPr>
        <w:t>N</w:t>
      </w:r>
      <w:r w:rsidR="00EB2947" w:rsidRPr="00B52A8A">
        <w:rPr>
          <w:szCs w:val="24"/>
        </w:rPr>
        <w:t>ásledující graf</w:t>
      </w:r>
      <w:r w:rsidRPr="00B52A8A">
        <w:rPr>
          <w:szCs w:val="24"/>
        </w:rPr>
        <w:t xml:space="preserve"> s</w:t>
      </w:r>
      <w:r w:rsidR="00EB2947" w:rsidRPr="00B52A8A">
        <w:rPr>
          <w:szCs w:val="24"/>
        </w:rPr>
        <w:t>rovnává hodnoty BFMI, které jsme získali přístrojem InBody 720. Podobně jako FFMI vyjadřuje BFMI relativní množství tukové hmoty a umožňuje srovnání jedinců s rozdílnou výškou. Průměrná hodnota našeh</w:t>
      </w:r>
      <w:r w:rsidR="00EA0511" w:rsidRPr="00B52A8A">
        <w:rPr>
          <w:szCs w:val="24"/>
        </w:rPr>
        <w:t xml:space="preserve">o souboru byla nepatrně vyšší </w:t>
      </w:r>
      <w:r w:rsidR="00EA0511" w:rsidRPr="00B52A8A">
        <w:rPr>
          <w:szCs w:val="24"/>
        </w:rPr>
        <w:br/>
      </w:r>
      <w:r w:rsidR="00EB2947" w:rsidRPr="00B52A8A">
        <w:rPr>
          <w:szCs w:val="24"/>
        </w:rPr>
        <w:t>10,8 kg/m</w:t>
      </w:r>
      <w:r w:rsidR="00EB2947" w:rsidRPr="00B52A8A">
        <w:rPr>
          <w:szCs w:val="24"/>
          <w:vertAlign w:val="superscript"/>
        </w:rPr>
        <w:t>2</w:t>
      </w:r>
      <w:r w:rsidR="00EB2947" w:rsidRPr="00B52A8A">
        <w:rPr>
          <w:szCs w:val="24"/>
        </w:rPr>
        <w:t xml:space="preserve"> než je zdravotní rozmezí 3,9</w:t>
      </w:r>
      <w:r w:rsidR="007457E6" w:rsidRPr="00B52A8A">
        <w:rPr>
          <w:szCs w:val="24"/>
        </w:rPr>
        <w:t xml:space="preserve"> </w:t>
      </w:r>
      <w:r w:rsidR="00EB2947" w:rsidRPr="00B52A8A">
        <w:rPr>
          <w:szCs w:val="24"/>
        </w:rPr>
        <w:t>–</w:t>
      </w:r>
      <w:r w:rsidR="007457E6" w:rsidRPr="00B52A8A">
        <w:rPr>
          <w:szCs w:val="24"/>
        </w:rPr>
        <w:t xml:space="preserve"> </w:t>
      </w:r>
      <w:r w:rsidR="00EB2947" w:rsidRPr="00B52A8A">
        <w:rPr>
          <w:szCs w:val="24"/>
        </w:rPr>
        <w:t>8,1 kg/m</w:t>
      </w:r>
      <w:r w:rsidR="00EB2947" w:rsidRPr="00B52A8A">
        <w:rPr>
          <w:szCs w:val="24"/>
          <w:vertAlign w:val="superscript"/>
        </w:rPr>
        <w:t>2</w:t>
      </w:r>
      <w:r w:rsidR="007457E6" w:rsidRPr="00B52A8A">
        <w:rPr>
          <w:szCs w:val="24"/>
          <w:vertAlign w:val="superscript"/>
        </w:rPr>
        <w:t xml:space="preserve"> </w:t>
      </w:r>
      <w:r w:rsidR="007457E6" w:rsidRPr="00B52A8A">
        <w:rPr>
          <w:szCs w:val="24"/>
        </w:rPr>
        <w:t>(</w:t>
      </w:r>
      <w:r w:rsidR="007457E6" w:rsidRPr="00B52A8A">
        <w:t xml:space="preserve">Kyle et al., 2004a), </w:t>
      </w:r>
      <w:r w:rsidR="00CF38DF" w:rsidRPr="00B52A8A">
        <w:rPr>
          <w:szCs w:val="24"/>
        </w:rPr>
        <w:t>(Obrázek 13</w:t>
      </w:r>
      <w:r w:rsidRPr="00B52A8A">
        <w:rPr>
          <w:szCs w:val="24"/>
        </w:rPr>
        <w:t>).</w:t>
      </w:r>
    </w:p>
    <w:p w:rsidR="00F409BA" w:rsidRPr="00B52A8A" w:rsidRDefault="00F409BA" w:rsidP="00252FB8">
      <w:pPr>
        <w:spacing w:after="0"/>
      </w:pPr>
    </w:p>
    <w:p w:rsidR="00F409BA" w:rsidRPr="00B52A8A" w:rsidRDefault="00F409BA" w:rsidP="00252FB8">
      <w:pPr>
        <w:spacing w:after="0"/>
      </w:pPr>
    </w:p>
    <w:p w:rsidR="00F409BA" w:rsidRPr="00B52A8A" w:rsidRDefault="00F409BA" w:rsidP="00252FB8">
      <w:pPr>
        <w:spacing w:after="0"/>
      </w:pPr>
    </w:p>
    <w:p w:rsidR="00F409BA" w:rsidRPr="00B52A8A" w:rsidRDefault="00F409BA" w:rsidP="00252FB8">
      <w:pPr>
        <w:spacing w:after="0"/>
      </w:pPr>
    </w:p>
    <w:p w:rsidR="00F409BA" w:rsidRPr="00B52A8A" w:rsidRDefault="00F409BA" w:rsidP="00252FB8">
      <w:pPr>
        <w:spacing w:after="0"/>
      </w:pPr>
    </w:p>
    <w:p w:rsidR="00F409BA" w:rsidRPr="00B52A8A" w:rsidRDefault="00F409BA" w:rsidP="00252FB8">
      <w:pPr>
        <w:spacing w:after="0"/>
      </w:pPr>
    </w:p>
    <w:p w:rsidR="00F409BA" w:rsidRPr="00B52A8A" w:rsidRDefault="00354B00" w:rsidP="00F409BA">
      <w:pPr>
        <w:jc w:val="center"/>
      </w:pPr>
      <w:r w:rsidRPr="00B52A8A">
        <w:rPr>
          <w:noProof/>
          <w:lang w:eastAsia="cs-CZ"/>
        </w:rPr>
        <w:lastRenderedPageBreak/>
        <w:drawing>
          <wp:inline distT="0" distB="0" distL="0" distR="0">
            <wp:extent cx="4572000" cy="2743200"/>
            <wp:effectExtent l="19050" t="0" r="19050" b="0"/>
            <wp:docPr id="1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61D5F" w:rsidRPr="00B52A8A" w:rsidRDefault="00B03374" w:rsidP="00F61D5F">
      <w:pPr>
        <w:spacing w:before="240"/>
        <w:rPr>
          <w:i/>
          <w:sz w:val="20"/>
          <w:szCs w:val="20"/>
        </w:rPr>
      </w:pPr>
      <w:r w:rsidRPr="00B52A8A">
        <w:rPr>
          <w:i/>
          <w:sz w:val="20"/>
          <w:szCs w:val="20"/>
        </w:rPr>
        <w:t xml:space="preserve">Obrázek </w:t>
      </w:r>
      <w:r w:rsidR="00CF38DF" w:rsidRPr="00B52A8A">
        <w:rPr>
          <w:i/>
          <w:sz w:val="20"/>
          <w:szCs w:val="20"/>
        </w:rPr>
        <w:t>14</w:t>
      </w:r>
      <w:r w:rsidRPr="00B52A8A">
        <w:rPr>
          <w:i/>
          <w:sz w:val="20"/>
          <w:szCs w:val="20"/>
        </w:rPr>
        <w:t xml:space="preserve">. </w:t>
      </w:r>
      <w:r w:rsidR="00F61D5F" w:rsidRPr="00B52A8A">
        <w:rPr>
          <w:i/>
          <w:sz w:val="20"/>
          <w:szCs w:val="20"/>
        </w:rPr>
        <w:t xml:space="preserve">Srovnání oblasti viscerálního tuku u přístroje InBody ve vztahu k referenčním hodnotám </w:t>
      </w:r>
    </w:p>
    <w:p w:rsidR="00B03374" w:rsidRPr="00B52A8A" w:rsidRDefault="00B03374" w:rsidP="00B03374">
      <w:pPr>
        <w:spacing w:after="0"/>
        <w:ind w:firstLine="284"/>
      </w:pPr>
      <w:r w:rsidRPr="00B52A8A">
        <w:t>VFA překročila průměrnými hodnotami 139,78 cm</w:t>
      </w:r>
      <w:r w:rsidRPr="00B52A8A">
        <w:rPr>
          <w:vertAlign w:val="superscript"/>
        </w:rPr>
        <w:t>2</w:t>
      </w:r>
      <w:r w:rsidRPr="00B52A8A">
        <w:t xml:space="preserve"> optimum, které je 100 cm</w:t>
      </w:r>
      <w:r w:rsidRPr="00B52A8A">
        <w:rPr>
          <w:vertAlign w:val="superscript"/>
        </w:rPr>
        <w:t>2</w:t>
      </w:r>
      <w:r w:rsidR="007457E6" w:rsidRPr="00B52A8A">
        <w:rPr>
          <w:vertAlign w:val="superscript"/>
        </w:rPr>
        <w:t xml:space="preserve"> </w:t>
      </w:r>
      <w:r w:rsidR="007457E6" w:rsidRPr="00B52A8A">
        <w:t xml:space="preserve">(InBody 720, 2011) </w:t>
      </w:r>
      <w:r w:rsidRPr="00B52A8A">
        <w:t>téměř o 40. Hodnoty VFA ukazu</w:t>
      </w:r>
      <w:r w:rsidR="00F61D5F" w:rsidRPr="00B52A8A">
        <w:t>jí zvýšeno</w:t>
      </w:r>
      <w:r w:rsidR="00E84D1B" w:rsidRPr="00B52A8A">
        <w:t>u</w:t>
      </w:r>
      <w:r w:rsidR="00CF38DF" w:rsidRPr="00B52A8A">
        <w:t xml:space="preserve"> abdominální obezitu (Obrázek 14</w:t>
      </w:r>
      <w:r w:rsidR="00F61D5F" w:rsidRPr="00B52A8A">
        <w:t>).</w:t>
      </w:r>
    </w:p>
    <w:p w:rsidR="00B03374" w:rsidRPr="00B52A8A" w:rsidRDefault="00B03374" w:rsidP="00252FB8">
      <w:pPr>
        <w:spacing w:after="0"/>
        <w:rPr>
          <w:sz w:val="20"/>
          <w:szCs w:val="20"/>
        </w:rPr>
      </w:pPr>
      <w:r w:rsidRPr="00B52A8A">
        <w:rPr>
          <w:sz w:val="20"/>
          <w:szCs w:val="20"/>
        </w:rPr>
        <w:t xml:space="preserve"> </w:t>
      </w:r>
    </w:p>
    <w:p w:rsidR="00B03374" w:rsidRPr="00B52A8A" w:rsidRDefault="00354B00" w:rsidP="00354B00">
      <w:pPr>
        <w:spacing w:after="0"/>
        <w:jc w:val="center"/>
        <w:rPr>
          <w:i/>
          <w:sz w:val="20"/>
          <w:szCs w:val="20"/>
        </w:rPr>
      </w:pPr>
      <w:r w:rsidRPr="00B52A8A">
        <w:rPr>
          <w:i/>
          <w:noProof/>
          <w:sz w:val="20"/>
          <w:szCs w:val="20"/>
          <w:lang w:eastAsia="cs-CZ"/>
        </w:rPr>
        <w:drawing>
          <wp:inline distT="0" distB="0" distL="0" distR="0">
            <wp:extent cx="4572000" cy="2743200"/>
            <wp:effectExtent l="19050" t="0" r="19050" b="0"/>
            <wp:docPr id="20"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61D5F" w:rsidRPr="00B52A8A" w:rsidRDefault="00CF38DF" w:rsidP="00F61D5F">
      <w:pPr>
        <w:spacing w:before="240"/>
        <w:rPr>
          <w:i/>
          <w:sz w:val="20"/>
          <w:szCs w:val="20"/>
        </w:rPr>
      </w:pPr>
      <w:r w:rsidRPr="00B52A8A">
        <w:rPr>
          <w:i/>
          <w:sz w:val="20"/>
          <w:szCs w:val="20"/>
        </w:rPr>
        <w:t>Obrázek 15</w:t>
      </w:r>
      <w:r w:rsidR="00B03374" w:rsidRPr="00B52A8A">
        <w:rPr>
          <w:i/>
          <w:sz w:val="20"/>
          <w:szCs w:val="20"/>
        </w:rPr>
        <w:t xml:space="preserve">. </w:t>
      </w:r>
      <w:r w:rsidR="00F61D5F" w:rsidRPr="00B52A8A">
        <w:rPr>
          <w:i/>
          <w:sz w:val="20"/>
          <w:szCs w:val="20"/>
        </w:rPr>
        <w:t xml:space="preserve">Srovnání stupně obezity u přístroje InBody ve vztahu k referenčním hodnotám </w:t>
      </w:r>
    </w:p>
    <w:p w:rsidR="00B03374" w:rsidRPr="00B52A8A" w:rsidRDefault="00B03374" w:rsidP="00252FB8">
      <w:pPr>
        <w:spacing w:after="0"/>
        <w:rPr>
          <w:i/>
          <w:sz w:val="20"/>
          <w:szCs w:val="20"/>
        </w:rPr>
      </w:pPr>
    </w:p>
    <w:p w:rsidR="00B03374" w:rsidRPr="00B52A8A" w:rsidRDefault="00C23E18" w:rsidP="00354B00">
      <w:pPr>
        <w:spacing w:after="0"/>
        <w:ind w:firstLine="284"/>
      </w:pPr>
      <w:r w:rsidRPr="00B52A8A">
        <w:t>Hranice obezity 120 % byla v průměru</w:t>
      </w:r>
      <w:r w:rsidR="00253E9A" w:rsidRPr="00B52A8A">
        <w:t xml:space="preserve"> 129,47 %</w:t>
      </w:r>
      <w:r w:rsidR="00354B00" w:rsidRPr="00B52A8A">
        <w:t xml:space="preserve"> překročena </w:t>
      </w:r>
      <w:r w:rsidR="00253E9A" w:rsidRPr="00B52A8A">
        <w:br/>
      </w:r>
      <w:r w:rsidR="00354B00" w:rsidRPr="00B52A8A">
        <w:t>a klasifikuje soubor jako obézní</w:t>
      </w:r>
      <w:r w:rsidR="004C7C91" w:rsidRPr="00B52A8A">
        <w:t xml:space="preserve"> (Obrázek 15</w:t>
      </w:r>
      <w:r w:rsidR="00F61D5F" w:rsidRPr="00B52A8A">
        <w:t>).</w:t>
      </w:r>
    </w:p>
    <w:p w:rsidR="00354B00" w:rsidRPr="00B52A8A" w:rsidRDefault="00354B00" w:rsidP="00354B00">
      <w:pPr>
        <w:spacing w:after="0"/>
        <w:rPr>
          <w:i/>
          <w:sz w:val="20"/>
          <w:szCs w:val="20"/>
        </w:rPr>
      </w:pPr>
    </w:p>
    <w:p w:rsidR="00354B00" w:rsidRPr="00B52A8A" w:rsidRDefault="00354B00" w:rsidP="00354B00">
      <w:pPr>
        <w:spacing w:after="0"/>
        <w:rPr>
          <w:i/>
          <w:sz w:val="20"/>
          <w:szCs w:val="20"/>
        </w:rPr>
      </w:pPr>
    </w:p>
    <w:p w:rsidR="00354B00" w:rsidRPr="00B52A8A" w:rsidRDefault="00F34213" w:rsidP="00F34213">
      <w:pPr>
        <w:spacing w:after="0"/>
        <w:jc w:val="center"/>
        <w:rPr>
          <w:i/>
          <w:sz w:val="20"/>
          <w:szCs w:val="20"/>
        </w:rPr>
      </w:pPr>
      <w:r w:rsidRPr="00B52A8A">
        <w:rPr>
          <w:i/>
          <w:noProof/>
          <w:sz w:val="20"/>
          <w:szCs w:val="20"/>
          <w:lang w:eastAsia="cs-CZ"/>
        </w:rPr>
        <w:drawing>
          <wp:inline distT="0" distB="0" distL="0" distR="0">
            <wp:extent cx="4572000" cy="2743200"/>
            <wp:effectExtent l="19050" t="0" r="19050" b="0"/>
            <wp:docPr id="21"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54B00" w:rsidRPr="00B52A8A" w:rsidRDefault="00354B00" w:rsidP="00EA0511">
      <w:pPr>
        <w:spacing w:before="240"/>
        <w:rPr>
          <w:i/>
          <w:sz w:val="20"/>
          <w:szCs w:val="20"/>
        </w:rPr>
      </w:pPr>
      <w:r w:rsidRPr="00B52A8A">
        <w:rPr>
          <w:i/>
          <w:sz w:val="20"/>
          <w:szCs w:val="20"/>
        </w:rPr>
        <w:t xml:space="preserve">Obrázek </w:t>
      </w:r>
      <w:r w:rsidR="00CF38DF" w:rsidRPr="00B52A8A">
        <w:rPr>
          <w:i/>
          <w:sz w:val="20"/>
          <w:szCs w:val="20"/>
        </w:rPr>
        <w:t>16</w:t>
      </w:r>
      <w:r w:rsidRPr="00B52A8A">
        <w:rPr>
          <w:i/>
          <w:sz w:val="20"/>
          <w:szCs w:val="20"/>
        </w:rPr>
        <w:t xml:space="preserve">. </w:t>
      </w:r>
      <w:r w:rsidR="00F61D5F" w:rsidRPr="00B52A8A">
        <w:rPr>
          <w:i/>
          <w:sz w:val="20"/>
          <w:szCs w:val="20"/>
        </w:rPr>
        <w:t xml:space="preserve">Srovnání fitness skóre u přístroje InBody ve vztahu k referenčním hodnotám </w:t>
      </w:r>
    </w:p>
    <w:p w:rsidR="00253E9A" w:rsidRPr="00B52A8A" w:rsidRDefault="00F61D5F" w:rsidP="00253E9A">
      <w:pPr>
        <w:ind w:firstLine="284"/>
      </w:pPr>
      <w:r w:rsidRPr="00B52A8A">
        <w:t>Podle fitness skóre znázorněné na posledním grafu</w:t>
      </w:r>
      <w:r w:rsidR="00253E9A" w:rsidRPr="00B52A8A">
        <w:t>, které svým průměrem 66,89 spadá pod hranici 70, klasifikujem</w:t>
      </w:r>
      <w:r w:rsidRPr="00B52A8A">
        <w:t>e soubor ja</w:t>
      </w:r>
      <w:r w:rsidR="00CF38DF" w:rsidRPr="00B52A8A">
        <w:t>ko obézní, slabý typ</w:t>
      </w:r>
      <w:r w:rsidR="007457E6" w:rsidRPr="00B52A8A">
        <w:t xml:space="preserve"> (InBody 720, 2011),</w:t>
      </w:r>
      <w:r w:rsidR="00CF38DF" w:rsidRPr="00B52A8A">
        <w:t xml:space="preserve"> (Obrázek 16</w:t>
      </w:r>
      <w:r w:rsidRPr="00B52A8A">
        <w:t>).</w:t>
      </w:r>
    </w:p>
    <w:p w:rsidR="00354B00" w:rsidRPr="00B52A8A" w:rsidRDefault="00354B00" w:rsidP="00252FB8">
      <w:pPr>
        <w:spacing w:after="0"/>
      </w:pPr>
    </w:p>
    <w:p w:rsidR="00354B00" w:rsidRPr="00B52A8A" w:rsidRDefault="00354B00" w:rsidP="00252FB8">
      <w:pPr>
        <w:spacing w:after="0"/>
      </w:pPr>
    </w:p>
    <w:p w:rsidR="00354B00" w:rsidRPr="00B52A8A" w:rsidRDefault="00354B00" w:rsidP="00252FB8">
      <w:pPr>
        <w:spacing w:after="0"/>
      </w:pPr>
    </w:p>
    <w:p w:rsidR="00150590" w:rsidRPr="00B52A8A" w:rsidRDefault="00150590" w:rsidP="00F409BA">
      <w:pPr>
        <w:rPr>
          <w:rFonts w:eastAsia="Times New Roman" w:cs="Times New Roman"/>
          <w:b/>
          <w:bCs/>
          <w:sz w:val="28"/>
          <w:szCs w:val="28"/>
        </w:rPr>
      </w:pPr>
      <w:r w:rsidRPr="00B52A8A">
        <w:br w:type="page"/>
      </w:r>
    </w:p>
    <w:p w:rsidR="005B5F68" w:rsidRPr="00B52A8A" w:rsidRDefault="00B91952" w:rsidP="005B5F68">
      <w:pPr>
        <w:pStyle w:val="Nadpis1"/>
      </w:pPr>
      <w:bookmarkStart w:id="130" w:name="_Toc293057997"/>
      <w:bookmarkStart w:id="131" w:name="_Toc293153765"/>
      <w:r w:rsidRPr="00B52A8A">
        <w:lastRenderedPageBreak/>
        <w:t>6</w:t>
      </w:r>
      <w:r w:rsidR="005B5F68" w:rsidRPr="00B52A8A">
        <w:t xml:space="preserve"> DISKUZE</w:t>
      </w:r>
      <w:bookmarkEnd w:id="130"/>
      <w:bookmarkEnd w:id="131"/>
    </w:p>
    <w:p w:rsidR="00C66F8F" w:rsidRPr="00B52A8A" w:rsidRDefault="00C66F8F" w:rsidP="00C66F8F">
      <w:pPr>
        <w:ind w:firstLine="426"/>
      </w:pPr>
      <w:r w:rsidRPr="00B52A8A">
        <w:rPr>
          <w:szCs w:val="24"/>
        </w:rPr>
        <w:t xml:space="preserve">Jak vypovídají studie (Riegerová, Přidalová, Valenta </w:t>
      </w:r>
      <w:r w:rsidRPr="00B52A8A">
        <w:rPr>
          <w:rFonts w:cs="Calibri"/>
          <w:szCs w:val="24"/>
        </w:rPr>
        <w:t>&amp;</w:t>
      </w:r>
      <w:r w:rsidRPr="00B52A8A">
        <w:rPr>
          <w:szCs w:val="24"/>
        </w:rPr>
        <w:t xml:space="preserve"> Dostálová, 2008) </w:t>
      </w:r>
      <w:r w:rsidRPr="00B52A8A">
        <w:t xml:space="preserve">Základní složkou zdravého stárnutí je vhodně zvolená pohybová aktivita. PA pozitivně ovlivňuje tělesné i duševní zdraví a pomáhá předcházet komplikacím ve stáří. Spolu se správnou dietou je významnou prevencí proti obezitě. Morfologické projevy stárnutí sledujeme ve změně hmotnosti, v poměru komponent tělesného složení, ve smyslu úbytku beztukové hmoty (FFM), nárůstu tukové frakce, úbytku celkové tělesné vody (TBW). Změny proporcí trupu souvisejí se zvýšeným ukládáním viscerálního tuku. Bylo zjištěno, že využití několikaměsíčních cvičebních programů dochází ke statisticky významným změnám ve smyslu zvýšení FFM v kg, ICW i TBW v litrech </w:t>
      </w:r>
      <w:r w:rsidR="004E44D2" w:rsidRPr="00B52A8A">
        <w:br/>
      </w:r>
      <w:r w:rsidRPr="00B52A8A">
        <w:t xml:space="preserve">i procentech a v nárůstu BCM. Signifikantní je také snížení procentuálního podílu ECW. Dochází také ke snížení procentuálního podílu tuku a k navýšení absolutní hmotnosti, která není způsobena nárůstem tuku. </w:t>
      </w:r>
    </w:p>
    <w:p w:rsidR="00C66F8F" w:rsidRPr="00B52A8A" w:rsidRDefault="00C66F8F" w:rsidP="00CF38DF">
      <w:pPr>
        <w:ind w:firstLine="426"/>
      </w:pPr>
      <w:r w:rsidRPr="00B52A8A">
        <w:t xml:space="preserve"> Můžeme tedy konstatovat, že tělesná cvičení má komplexní pozitivní vliv na složení těla, na úpravu svalových funkcí</w:t>
      </w:r>
      <w:r w:rsidR="00CF38DF" w:rsidRPr="00B52A8A">
        <w:t xml:space="preserve">, </w:t>
      </w:r>
      <w:r w:rsidRPr="00B52A8A">
        <w:t>držení těla, stability stoje i chůze. Subjektivní pocity seniorek byly také velmi příznivé, což potvrzuje vliv PA i na psychickou stránku jedince.</w:t>
      </w:r>
    </w:p>
    <w:p w:rsidR="005B5F68" w:rsidRPr="00B52A8A" w:rsidRDefault="00722B3F" w:rsidP="00FC4A56">
      <w:pPr>
        <w:ind w:firstLine="426"/>
      </w:pPr>
      <w:r w:rsidRPr="00B52A8A">
        <w:t xml:space="preserve">Senioři zapojení do výzkumu navštěvovali programy nabízené </w:t>
      </w:r>
      <w:r w:rsidR="00C5355B" w:rsidRPr="00B52A8A">
        <w:br/>
      </w:r>
      <w:r w:rsidRPr="00B52A8A">
        <w:t>v rámci Univerzity t</w:t>
      </w:r>
      <w:r w:rsidRPr="00B52A8A">
        <w:rPr>
          <w:rFonts w:ascii="TTE182BB38t00" w:hAnsi="TTE182BB38t00" w:cs="TTE182BB38t00"/>
        </w:rPr>
        <w:t>ř</w:t>
      </w:r>
      <w:r w:rsidRPr="00B52A8A">
        <w:t>etího věku. Nepředstavují tudíž typický popula</w:t>
      </w:r>
      <w:r w:rsidRPr="00B52A8A">
        <w:rPr>
          <w:rFonts w:ascii="TTE182BB38t00" w:hAnsi="TTE182BB38t00" w:cs="TTE182BB38t00"/>
        </w:rPr>
        <w:t>č</w:t>
      </w:r>
      <w:r w:rsidRPr="00B52A8A">
        <w:t>ní vzorek příslušné v</w:t>
      </w:r>
      <w:r w:rsidRPr="00B52A8A">
        <w:rPr>
          <w:rFonts w:ascii="TTE182BB38t00" w:hAnsi="TTE182BB38t00" w:cs="TTE182BB38t00"/>
        </w:rPr>
        <w:t>ě</w:t>
      </w:r>
      <w:r w:rsidRPr="00B52A8A">
        <w:t>kové skupiny (Pelclová et al., 2009). Pr</w:t>
      </w:r>
      <w:r w:rsidRPr="00B52A8A">
        <w:rPr>
          <w:rFonts w:cs="TTE182BB38t00"/>
        </w:rPr>
        <w:t>ů</w:t>
      </w:r>
      <w:r w:rsidRPr="00B52A8A">
        <w:t>m</w:t>
      </w:r>
      <w:r w:rsidRPr="00B52A8A">
        <w:rPr>
          <w:rFonts w:cs="TTE182BB38t00"/>
        </w:rPr>
        <w:t>ě</w:t>
      </w:r>
      <w:r w:rsidRPr="00B52A8A">
        <w:t>rný denní po</w:t>
      </w:r>
      <w:r w:rsidRPr="00B52A8A">
        <w:rPr>
          <w:rFonts w:cs="TTE182BB38t00"/>
        </w:rPr>
        <w:t>č</w:t>
      </w:r>
      <w:r w:rsidRPr="00B52A8A">
        <w:t>et krok</w:t>
      </w:r>
      <w:r w:rsidRPr="00B52A8A">
        <w:rPr>
          <w:rFonts w:cs="TTE182BB38t00"/>
        </w:rPr>
        <w:t xml:space="preserve">ů </w:t>
      </w:r>
      <w:r w:rsidRPr="00B52A8A">
        <w:t>byl 10</w:t>
      </w:r>
      <w:r w:rsidR="005E4DAC" w:rsidRPr="00B52A8A">
        <w:t xml:space="preserve"> </w:t>
      </w:r>
      <w:r w:rsidRPr="00B52A8A">
        <w:t>398. I p</w:t>
      </w:r>
      <w:r w:rsidRPr="00B52A8A">
        <w:rPr>
          <w:rFonts w:cs="TTE182BB38t00"/>
        </w:rPr>
        <w:t>ř</w:t>
      </w:r>
      <w:r w:rsidRPr="00B52A8A">
        <w:t>es relativn</w:t>
      </w:r>
      <w:r w:rsidRPr="00B52A8A">
        <w:rPr>
          <w:rFonts w:cs="TTE182BB38t00"/>
        </w:rPr>
        <w:t xml:space="preserve">ě </w:t>
      </w:r>
      <w:r w:rsidRPr="00B52A8A">
        <w:t>velký objem denní pohybové aktivity a po</w:t>
      </w:r>
      <w:r w:rsidRPr="00B52A8A">
        <w:rPr>
          <w:rFonts w:cs="TTE182BB38t00"/>
        </w:rPr>
        <w:t>č</w:t>
      </w:r>
      <w:r w:rsidRPr="00B52A8A">
        <w:t>et krok</w:t>
      </w:r>
      <w:r w:rsidRPr="00B52A8A">
        <w:rPr>
          <w:rFonts w:cs="TTE182BB38t00"/>
        </w:rPr>
        <w:t xml:space="preserve">u </w:t>
      </w:r>
      <w:r w:rsidRPr="00B52A8A">
        <w:t>dosáhl</w:t>
      </w:r>
      <w:r w:rsidR="0005305A" w:rsidRPr="00B52A8A">
        <w:t>o</w:t>
      </w:r>
      <w:r w:rsidRPr="00B52A8A">
        <w:t xml:space="preserve"> </w:t>
      </w:r>
      <w:r w:rsidR="0005305A" w:rsidRPr="00B52A8A">
        <w:t>59 %</w:t>
      </w:r>
      <w:r w:rsidRPr="00B52A8A">
        <w:t xml:space="preserve"> seniorů</w:t>
      </w:r>
      <w:r w:rsidR="00CF38DF" w:rsidRPr="00B52A8A">
        <w:t xml:space="preserve"> kategorie</w:t>
      </w:r>
      <w:r w:rsidR="0005305A" w:rsidRPr="00B52A8A">
        <w:t xml:space="preserve"> nadváhy a 20 % bylo obézní. </w:t>
      </w:r>
      <w:r w:rsidR="00CF38DF" w:rsidRPr="00B52A8A">
        <w:t>Přestože bylo splněno optimální množství kroků 10</w:t>
      </w:r>
      <w:r w:rsidR="00F0589D" w:rsidRPr="00B52A8A">
        <w:t xml:space="preserve"> </w:t>
      </w:r>
      <w:r w:rsidR="00CF38DF" w:rsidRPr="00B52A8A">
        <w:t>000, které klasifikuje soubor jako aktivní</w:t>
      </w:r>
      <w:r w:rsidR="00F0589D" w:rsidRPr="00B52A8A">
        <w:t xml:space="preserve">, byly </w:t>
      </w:r>
      <w:r w:rsidR="00CF38DF" w:rsidRPr="00B52A8A">
        <w:t>dle hodnot BMI</w:t>
      </w:r>
      <w:r w:rsidR="00FC4A56" w:rsidRPr="00B52A8A">
        <w:t xml:space="preserve">, %BF </w:t>
      </w:r>
      <w:r w:rsidR="00C5355B" w:rsidRPr="00B52A8A">
        <w:br/>
      </w:r>
      <w:r w:rsidR="00FC4A56" w:rsidRPr="00B52A8A">
        <w:t>a BFMI</w:t>
      </w:r>
      <w:r w:rsidR="00CF38DF" w:rsidRPr="00B52A8A">
        <w:t xml:space="preserve"> dvě třetiny v nadváze nebo obézní. </w:t>
      </w:r>
    </w:p>
    <w:p w:rsidR="005B5F68" w:rsidRPr="00B52A8A" w:rsidRDefault="00221E3B" w:rsidP="00F0589D">
      <w:pPr>
        <w:ind w:firstLine="426"/>
      </w:pPr>
      <w:r w:rsidRPr="00B52A8A">
        <w:t xml:space="preserve">Jako vhodnější se tedy k zhodnocení rizika poškození zdraví jeví využití indexů FFMI a BFMI. Ty se přímo vztahují k množství tukuprosté hmoty a tělesnému tuku. Výsledky této práce tedy částečně potvrzují zjištění Kyle et al. (2004a), který tvrdí že pohybově aktivní </w:t>
      </w:r>
      <w:r w:rsidRPr="00B52A8A">
        <w:lastRenderedPageBreak/>
        <w:t>jedinci mají nižší BFMI a vyšší FFMI. Náš soubor vykazoval hodnoty FF</w:t>
      </w:r>
      <w:r w:rsidR="007457E6" w:rsidRPr="00B52A8A">
        <w:t>MI mírně vyšší než je norma</w:t>
      </w:r>
      <w:r w:rsidR="00F0589D" w:rsidRPr="00B52A8A">
        <w:t>. H</w:t>
      </w:r>
      <w:r w:rsidR="00075FAE" w:rsidRPr="00B52A8A">
        <w:t xml:space="preserve">odnoty BFMI byly značně vyšší než je stanovená norma a tedy vykazovaly </w:t>
      </w:r>
      <w:r w:rsidR="00F0589D" w:rsidRPr="00B52A8A">
        <w:t>vyšší zastoupení tělesného tuku, což bylo způsobeno přirozeným nárůstem tukové hmoty s věkem a tedy i přes optimální množství vykonávané pohybové aktivity bylo množství tuku zvýšené.</w:t>
      </w:r>
    </w:p>
    <w:p w:rsidR="005B5F68" w:rsidRPr="00B52A8A" w:rsidRDefault="005B5F68" w:rsidP="00B91952">
      <w:pPr>
        <w:pStyle w:val="P-nadpis1"/>
      </w:pPr>
    </w:p>
    <w:p w:rsidR="005B5F68" w:rsidRPr="00B52A8A" w:rsidRDefault="005B5F68" w:rsidP="00B91952">
      <w:pPr>
        <w:pStyle w:val="P-nadpis1"/>
      </w:pPr>
    </w:p>
    <w:p w:rsidR="005B5F68" w:rsidRPr="00B52A8A" w:rsidRDefault="005B5F68" w:rsidP="00B91952">
      <w:pPr>
        <w:pStyle w:val="P-nadpis1"/>
      </w:pPr>
    </w:p>
    <w:p w:rsidR="00F0589D" w:rsidRPr="00B52A8A" w:rsidRDefault="00F0589D" w:rsidP="00B91952">
      <w:pPr>
        <w:pStyle w:val="P-nadpis1"/>
      </w:pPr>
    </w:p>
    <w:p w:rsidR="00F0589D" w:rsidRPr="00B52A8A" w:rsidRDefault="00F0589D" w:rsidP="00B91952">
      <w:pPr>
        <w:pStyle w:val="P-nadpis1"/>
      </w:pPr>
    </w:p>
    <w:p w:rsidR="00F0589D" w:rsidRPr="00B52A8A" w:rsidRDefault="00F0589D" w:rsidP="00B91952">
      <w:pPr>
        <w:pStyle w:val="P-nadpis1"/>
      </w:pPr>
    </w:p>
    <w:p w:rsidR="00F0589D" w:rsidRPr="00B52A8A" w:rsidRDefault="00F0589D" w:rsidP="00B91952">
      <w:pPr>
        <w:pStyle w:val="P-nadpis1"/>
      </w:pPr>
    </w:p>
    <w:p w:rsidR="00F0589D" w:rsidRPr="00B52A8A" w:rsidRDefault="00F0589D" w:rsidP="00B91952">
      <w:pPr>
        <w:pStyle w:val="P-nadpis1"/>
      </w:pPr>
    </w:p>
    <w:p w:rsidR="00F0589D" w:rsidRPr="00B52A8A" w:rsidRDefault="00F0589D" w:rsidP="00B91952">
      <w:pPr>
        <w:pStyle w:val="P-nadpis1"/>
      </w:pPr>
    </w:p>
    <w:p w:rsidR="00F0589D" w:rsidRPr="00B52A8A" w:rsidRDefault="00F0589D" w:rsidP="00B91952">
      <w:pPr>
        <w:pStyle w:val="P-nadpis1"/>
      </w:pPr>
    </w:p>
    <w:p w:rsidR="00F0589D" w:rsidRPr="00B52A8A" w:rsidRDefault="00F0589D">
      <w:pPr>
        <w:spacing w:after="200" w:line="276" w:lineRule="auto"/>
        <w:jc w:val="left"/>
        <w:rPr>
          <w:rFonts w:eastAsia="Times New Roman" w:cs="Times New Roman"/>
          <w:b/>
          <w:bCs/>
          <w:sz w:val="28"/>
          <w:szCs w:val="28"/>
        </w:rPr>
      </w:pPr>
      <w:r w:rsidRPr="00B52A8A">
        <w:br w:type="page"/>
      </w:r>
    </w:p>
    <w:p w:rsidR="00B91952" w:rsidRPr="00B52A8A" w:rsidRDefault="005B5F68" w:rsidP="00B91952">
      <w:pPr>
        <w:pStyle w:val="P-nadpis1"/>
      </w:pPr>
      <w:bookmarkStart w:id="132" w:name="_Toc293057998"/>
      <w:bookmarkStart w:id="133" w:name="_Toc293153766"/>
      <w:r w:rsidRPr="00B52A8A">
        <w:lastRenderedPageBreak/>
        <w:t xml:space="preserve">7 </w:t>
      </w:r>
      <w:r w:rsidR="00B91952" w:rsidRPr="00B52A8A">
        <w:t>ZÁVĚR</w:t>
      </w:r>
      <w:bookmarkEnd w:id="129"/>
      <w:bookmarkEnd w:id="132"/>
      <w:bookmarkEnd w:id="133"/>
    </w:p>
    <w:p w:rsidR="00B91952" w:rsidRPr="00B52A8A" w:rsidRDefault="00F0589D" w:rsidP="003F6207">
      <w:pPr>
        <w:spacing w:after="0"/>
        <w:ind w:firstLine="284"/>
      </w:pPr>
      <w:r w:rsidRPr="00B52A8A">
        <w:t>Snahou této</w:t>
      </w:r>
      <w:r w:rsidR="00150590" w:rsidRPr="00B52A8A">
        <w:t xml:space="preserve"> </w:t>
      </w:r>
      <w:r w:rsidR="00B77DD0" w:rsidRPr="00B52A8A">
        <w:t>magisterské</w:t>
      </w:r>
      <w:r w:rsidR="00B91952" w:rsidRPr="00B52A8A">
        <w:t xml:space="preserve"> práce bylo stanovit tělesné složení</w:t>
      </w:r>
      <w:r w:rsidR="00150590" w:rsidRPr="00B52A8A">
        <w:t xml:space="preserve"> s</w:t>
      </w:r>
      <w:r w:rsidR="00EB2947" w:rsidRPr="00B52A8A">
        <w:t xml:space="preserve">eniorů </w:t>
      </w:r>
      <w:r w:rsidR="00B91952" w:rsidRPr="00B52A8A">
        <w:t>přístroji Tanit</w:t>
      </w:r>
      <w:r w:rsidR="00EB2947" w:rsidRPr="00B52A8A">
        <w:t xml:space="preserve">a BC-NC 418 a InBody 720, využitím metody </w:t>
      </w:r>
      <w:r w:rsidR="004421D9" w:rsidRPr="00B52A8A">
        <w:t>bioelektrické impedance a pomocí akcelerometru ActiGraph</w:t>
      </w:r>
      <w:r w:rsidRPr="00B52A8A">
        <w:t xml:space="preserve"> GT1M</w:t>
      </w:r>
      <w:r w:rsidR="004421D9" w:rsidRPr="00B52A8A">
        <w:t xml:space="preserve"> zhodnotit jejich pohybovou aktivitu.</w:t>
      </w:r>
      <w:r w:rsidR="003F6207" w:rsidRPr="00B52A8A">
        <w:t xml:space="preserve"> </w:t>
      </w:r>
      <w:r w:rsidR="00B91952" w:rsidRPr="00B52A8A">
        <w:t>Vybrané parametry jsme</w:t>
      </w:r>
      <w:r w:rsidR="00EA0511" w:rsidRPr="00B52A8A">
        <w:t xml:space="preserve"> se snažily posoudit ve vztahu </w:t>
      </w:r>
      <w:r w:rsidR="00B91952" w:rsidRPr="00B52A8A">
        <w:t xml:space="preserve">k jejich referenčním hodnotám a porovnat, zda naměřené výsledky korespondují s poznatky týkající se změn tělesného složení </w:t>
      </w:r>
      <w:r w:rsidR="00EA0511" w:rsidRPr="00B52A8A">
        <w:br/>
      </w:r>
      <w:r w:rsidR="00B91952" w:rsidRPr="00B52A8A">
        <w:t>u seniorů. Rozdíly mezi oběma přístroji byly minimální.</w:t>
      </w:r>
    </w:p>
    <w:p w:rsidR="003F6207" w:rsidRPr="00B52A8A" w:rsidRDefault="003F6207" w:rsidP="00E667F2">
      <w:pPr>
        <w:spacing w:after="0"/>
        <w:ind w:firstLine="284"/>
        <w:rPr>
          <w:rFonts w:eastAsia="Calibri"/>
          <w:szCs w:val="24"/>
        </w:rPr>
      </w:pPr>
      <w:r w:rsidRPr="00B52A8A">
        <w:rPr>
          <w:rFonts w:eastAsia="Calibri"/>
          <w:szCs w:val="24"/>
        </w:rPr>
        <w:t>Prvním sledovaným parametrem, bylo množství celkové tělesné vody, kde náš soubor vykazuje v průměru pokles. Norma pro tento parametr</w:t>
      </w:r>
      <w:r w:rsidR="00F0589D" w:rsidRPr="00B52A8A">
        <w:rPr>
          <w:rFonts w:eastAsia="Calibri"/>
          <w:szCs w:val="24"/>
        </w:rPr>
        <w:t xml:space="preserve"> je u seniorů asi 5</w:t>
      </w:r>
      <w:r w:rsidRPr="00B52A8A">
        <w:rPr>
          <w:rFonts w:eastAsia="Calibri"/>
          <w:szCs w:val="24"/>
        </w:rPr>
        <w:t>0 %. Námi měřen</w:t>
      </w:r>
      <w:r w:rsidR="00F0589D" w:rsidRPr="00B52A8A">
        <w:rPr>
          <w:rFonts w:eastAsia="Calibri"/>
          <w:szCs w:val="24"/>
        </w:rPr>
        <w:t xml:space="preserve">ý soubor vykazoval v průměru o </w:t>
      </w:r>
      <w:r w:rsidRPr="00B52A8A">
        <w:rPr>
          <w:rFonts w:eastAsia="Calibri"/>
          <w:szCs w:val="24"/>
        </w:rPr>
        <w:t>5 % nižší hodnoty. Nečekaný výsledek byl naměřen u parametru edema, který nevykazuje žádné diference od normy a tedy je vynechaný rizikový faktor</w:t>
      </w:r>
      <w:r w:rsidR="00B77DD0" w:rsidRPr="00B52A8A">
        <w:rPr>
          <w:rFonts w:eastAsia="Calibri"/>
          <w:szCs w:val="24"/>
        </w:rPr>
        <w:t xml:space="preserve"> otoků.</w:t>
      </w:r>
    </w:p>
    <w:p w:rsidR="00395705" w:rsidRPr="00B52A8A" w:rsidRDefault="00B91952" w:rsidP="00B91952">
      <w:pPr>
        <w:pStyle w:val="Zkladntext"/>
        <w:spacing w:line="360" w:lineRule="auto"/>
        <w:jc w:val="both"/>
        <w:rPr>
          <w:rFonts w:ascii="Bookman Old Style" w:eastAsia="Calibri" w:hAnsi="Bookman Old Style"/>
          <w:szCs w:val="24"/>
          <w:lang w:eastAsia="en-US"/>
        </w:rPr>
      </w:pPr>
      <w:r w:rsidRPr="00B52A8A">
        <w:rPr>
          <w:rFonts w:ascii="Bookman Old Style" w:eastAsia="Calibri" w:hAnsi="Bookman Old Style"/>
          <w:szCs w:val="24"/>
          <w:lang w:eastAsia="en-US"/>
        </w:rPr>
        <w:t xml:space="preserve">    </w:t>
      </w:r>
      <w:r w:rsidR="003F6207" w:rsidRPr="00B52A8A">
        <w:rPr>
          <w:rFonts w:ascii="Bookman Old Style" w:eastAsia="Calibri" w:hAnsi="Bookman Old Style"/>
          <w:szCs w:val="24"/>
          <w:lang w:eastAsia="en-US"/>
        </w:rPr>
        <w:t>Tukuprostá hmota je určována na základě rovnice FFM=TBW*0,732</w:t>
      </w:r>
      <w:r w:rsidR="003F6207" w:rsidRPr="00B52A8A">
        <w:rPr>
          <w:rFonts w:ascii="Bookman Old Style" w:eastAsia="Calibri" w:hAnsi="Bookman Old Style"/>
          <w:szCs w:val="24"/>
          <w:vertAlign w:val="superscript"/>
          <w:lang w:eastAsia="en-US"/>
        </w:rPr>
        <w:t>-1</w:t>
      </w:r>
      <w:r w:rsidR="003F6207" w:rsidRPr="00B52A8A">
        <w:rPr>
          <w:szCs w:val="24"/>
        </w:rPr>
        <w:t xml:space="preserve"> </w:t>
      </w:r>
      <w:r w:rsidR="003F6207" w:rsidRPr="00B52A8A">
        <w:rPr>
          <w:rFonts w:ascii="Bookman Old Style" w:hAnsi="Bookman Old Style"/>
          <w:szCs w:val="24"/>
        </w:rPr>
        <w:t>kde hodnota 0,732 představuje 73 % tukuprosté hmoty</w:t>
      </w:r>
      <w:r w:rsidR="00F0589D" w:rsidRPr="00B52A8A">
        <w:rPr>
          <w:rFonts w:ascii="Bookman Old Style" w:hAnsi="Bookman Old Style"/>
          <w:szCs w:val="24"/>
        </w:rPr>
        <w:t xml:space="preserve"> (InBody 720, 2011)</w:t>
      </w:r>
      <w:r w:rsidR="003F6207" w:rsidRPr="00B52A8A">
        <w:rPr>
          <w:rFonts w:ascii="Bookman Old Style" w:hAnsi="Bookman Old Style"/>
          <w:szCs w:val="24"/>
        </w:rPr>
        <w:t xml:space="preserve">. </w:t>
      </w:r>
      <w:r w:rsidR="003F6207" w:rsidRPr="00B52A8A">
        <w:rPr>
          <w:rFonts w:ascii="Bookman Old Style" w:eastAsia="Calibri" w:hAnsi="Bookman Old Style"/>
          <w:szCs w:val="24"/>
          <w:lang w:eastAsia="en-US"/>
        </w:rPr>
        <w:t>Tukuprostá hmota, by měla s věkem ubývat, což se potvrdilo. Naš</w:t>
      </w:r>
      <w:r w:rsidR="00395705" w:rsidRPr="00B52A8A">
        <w:rPr>
          <w:rFonts w:ascii="Bookman Old Style" w:eastAsia="Calibri" w:hAnsi="Bookman Old Style"/>
          <w:szCs w:val="24"/>
          <w:lang w:eastAsia="en-US"/>
        </w:rPr>
        <w:t>e hodnoty se pohybovaly v průměru okolo 45</w:t>
      </w:r>
      <w:r w:rsidR="003F6207" w:rsidRPr="00B52A8A">
        <w:rPr>
          <w:rFonts w:ascii="Bookman Old Style" w:eastAsia="Calibri" w:hAnsi="Bookman Old Style"/>
          <w:szCs w:val="24"/>
          <w:lang w:eastAsia="en-US"/>
        </w:rPr>
        <w:t xml:space="preserve"> % výjimečně</w:t>
      </w:r>
      <w:r w:rsidR="00395705" w:rsidRPr="00B52A8A">
        <w:rPr>
          <w:rFonts w:ascii="Bookman Old Style" w:eastAsia="Calibri" w:hAnsi="Bookman Old Style"/>
          <w:szCs w:val="24"/>
          <w:lang w:eastAsia="en-US"/>
        </w:rPr>
        <w:t xml:space="preserve"> až 6</w:t>
      </w:r>
      <w:r w:rsidR="003F6207" w:rsidRPr="00B52A8A">
        <w:rPr>
          <w:rFonts w:ascii="Bookman Old Style" w:eastAsia="Calibri" w:hAnsi="Bookman Old Style"/>
          <w:szCs w:val="24"/>
          <w:lang w:eastAsia="en-US"/>
        </w:rPr>
        <w:t>0 %</w:t>
      </w:r>
      <w:r w:rsidR="00395705" w:rsidRPr="00B52A8A">
        <w:rPr>
          <w:rFonts w:ascii="Bookman Old Style" w:eastAsia="Calibri" w:hAnsi="Bookman Old Style"/>
          <w:szCs w:val="24"/>
          <w:lang w:eastAsia="en-US"/>
        </w:rPr>
        <w:t xml:space="preserve"> u maximálních naměřených hodnot</w:t>
      </w:r>
      <w:r w:rsidR="003F6207" w:rsidRPr="00B52A8A">
        <w:rPr>
          <w:rFonts w:ascii="Bookman Old Style" w:eastAsia="Calibri" w:hAnsi="Bookman Old Style"/>
          <w:szCs w:val="24"/>
          <w:lang w:eastAsia="en-US"/>
        </w:rPr>
        <w:t>.</w:t>
      </w:r>
    </w:p>
    <w:p w:rsidR="00B91952" w:rsidRPr="00B52A8A" w:rsidRDefault="003F6207" w:rsidP="00B91952">
      <w:pPr>
        <w:pStyle w:val="Zkladntext"/>
        <w:spacing w:line="360" w:lineRule="auto"/>
        <w:jc w:val="both"/>
        <w:rPr>
          <w:rFonts w:ascii="Bookman Old Style" w:eastAsia="Calibri" w:hAnsi="Bookman Old Style"/>
          <w:szCs w:val="24"/>
          <w:lang w:eastAsia="en-US"/>
        </w:rPr>
      </w:pPr>
      <w:r w:rsidRPr="00B52A8A">
        <w:rPr>
          <w:rFonts w:ascii="Bookman Old Style" w:eastAsia="Calibri" w:hAnsi="Bookman Old Style"/>
          <w:szCs w:val="24"/>
          <w:lang w:eastAsia="en-US"/>
        </w:rPr>
        <w:t xml:space="preserve">  </w:t>
      </w:r>
      <w:r w:rsidR="00B91952" w:rsidRPr="00B52A8A">
        <w:rPr>
          <w:rFonts w:ascii="Bookman Old Style" w:eastAsia="Calibri" w:hAnsi="Bookman Old Style"/>
          <w:szCs w:val="24"/>
          <w:lang w:eastAsia="en-US"/>
        </w:rPr>
        <w:t xml:space="preserve"> Diference tukové frakce, která byla vyjádřena v kilogramech </w:t>
      </w:r>
      <w:r w:rsidR="00B91952" w:rsidRPr="00B52A8A">
        <w:rPr>
          <w:rFonts w:ascii="Bookman Old Style" w:eastAsia="Calibri" w:hAnsi="Bookman Old Style"/>
          <w:szCs w:val="24"/>
          <w:lang w:eastAsia="en-US"/>
        </w:rPr>
        <w:br/>
        <w:t>a v procentech odpovídala tendencím změn tělesného složení v období stárnutí. Tuková hmota, která v tomto období narůstá, byla zvýšená</w:t>
      </w:r>
      <w:r w:rsidR="00395705" w:rsidRPr="00B52A8A">
        <w:rPr>
          <w:rFonts w:ascii="Bookman Old Style" w:eastAsia="Calibri" w:hAnsi="Bookman Old Style"/>
          <w:szCs w:val="24"/>
          <w:lang w:eastAsia="en-US"/>
        </w:rPr>
        <w:t xml:space="preserve">. </w:t>
      </w:r>
      <w:r w:rsidR="00B91952" w:rsidRPr="00B52A8A">
        <w:rPr>
          <w:rFonts w:ascii="Bookman Old Style" w:eastAsia="Calibri" w:hAnsi="Bookman Old Style"/>
          <w:szCs w:val="24"/>
          <w:lang w:eastAsia="en-US"/>
        </w:rPr>
        <w:t xml:space="preserve">Průměrné hodnoty převyšovaly referenční v průměru o deset kilogramů </w:t>
      </w:r>
      <w:r w:rsidR="00E667F2" w:rsidRPr="00B52A8A">
        <w:rPr>
          <w:rFonts w:ascii="Bookman Old Style" w:eastAsia="Calibri" w:hAnsi="Bookman Old Style"/>
          <w:szCs w:val="24"/>
          <w:lang w:eastAsia="en-US"/>
        </w:rPr>
        <w:br/>
      </w:r>
      <w:r w:rsidR="00B91952" w:rsidRPr="00B52A8A">
        <w:rPr>
          <w:rFonts w:ascii="Bookman Old Style" w:eastAsia="Calibri" w:hAnsi="Bookman Old Style"/>
          <w:szCs w:val="24"/>
          <w:lang w:eastAsia="en-US"/>
        </w:rPr>
        <w:t xml:space="preserve">u tukové hmoty a o deset procent u jejího procentuálního vyjádření. </w:t>
      </w:r>
    </w:p>
    <w:p w:rsidR="00810432" w:rsidRPr="00B52A8A" w:rsidRDefault="00E72592" w:rsidP="00E72592">
      <w:pPr>
        <w:spacing w:after="0"/>
        <w:ind w:firstLine="284"/>
        <w:rPr>
          <w:szCs w:val="24"/>
          <w:vertAlign w:val="superscript"/>
        </w:rPr>
      </w:pPr>
      <w:r w:rsidRPr="00B52A8A">
        <w:rPr>
          <w:szCs w:val="24"/>
        </w:rPr>
        <w:t>FFMI pro náš soubor</w:t>
      </w:r>
      <w:r w:rsidRPr="00B52A8A">
        <w:rPr>
          <w:b/>
          <w:szCs w:val="24"/>
        </w:rPr>
        <w:t xml:space="preserve"> </w:t>
      </w:r>
      <w:r w:rsidRPr="00B52A8A">
        <w:rPr>
          <w:szCs w:val="24"/>
        </w:rPr>
        <w:t>byl</w:t>
      </w:r>
      <w:r w:rsidRPr="00B52A8A">
        <w:rPr>
          <w:b/>
          <w:szCs w:val="24"/>
        </w:rPr>
        <w:t xml:space="preserve"> </w:t>
      </w:r>
      <w:r w:rsidR="00810432" w:rsidRPr="00B52A8A">
        <w:t>n</w:t>
      </w:r>
      <w:r w:rsidRPr="00B52A8A">
        <w:t xml:space="preserve">aměřen jen mírně nad </w:t>
      </w:r>
      <w:r w:rsidR="00810432" w:rsidRPr="00B52A8A">
        <w:t>optimálním rozpětím</w:t>
      </w:r>
      <w:r w:rsidRPr="00B52A8A">
        <w:t xml:space="preserve"> (14,6 – 16,7 kg/m</w:t>
      </w:r>
      <w:r w:rsidRPr="00B52A8A">
        <w:rPr>
          <w:szCs w:val="24"/>
          <w:vertAlign w:val="superscript"/>
        </w:rPr>
        <w:t>2</w:t>
      </w:r>
      <w:r w:rsidRPr="00B52A8A">
        <w:rPr>
          <w:szCs w:val="24"/>
        </w:rPr>
        <w:t>)</w:t>
      </w:r>
      <w:r w:rsidR="00810432" w:rsidRPr="00B52A8A">
        <w:t>, průměrná hodnota souboru byla 17,03 kg</w:t>
      </w:r>
      <w:r w:rsidR="00810432" w:rsidRPr="00B52A8A">
        <w:rPr>
          <w:szCs w:val="24"/>
        </w:rPr>
        <w:t>/m</w:t>
      </w:r>
      <w:r w:rsidR="00810432" w:rsidRPr="00B52A8A">
        <w:rPr>
          <w:szCs w:val="24"/>
          <w:vertAlign w:val="superscript"/>
        </w:rPr>
        <w:t>2</w:t>
      </w:r>
      <w:r w:rsidRPr="00B52A8A">
        <w:rPr>
          <w:szCs w:val="24"/>
        </w:rPr>
        <w:t>, tedy kladně ovlivňující zdravotní stav, ale naopak</w:t>
      </w:r>
      <w:r w:rsidR="00810432" w:rsidRPr="00B52A8A">
        <w:rPr>
          <w:szCs w:val="24"/>
        </w:rPr>
        <w:t xml:space="preserve"> </w:t>
      </w:r>
      <w:r w:rsidRPr="00B52A8A">
        <w:rPr>
          <w:szCs w:val="24"/>
        </w:rPr>
        <w:t>z</w:t>
      </w:r>
      <w:r w:rsidR="00810432" w:rsidRPr="00B52A8A">
        <w:rPr>
          <w:szCs w:val="24"/>
        </w:rPr>
        <w:t>dravotně bezpečné pásmo BFMI (3,9</w:t>
      </w:r>
      <w:r w:rsidR="00F30F81" w:rsidRPr="00B52A8A">
        <w:rPr>
          <w:szCs w:val="24"/>
        </w:rPr>
        <w:t xml:space="preserve"> </w:t>
      </w:r>
      <w:r w:rsidR="00810432" w:rsidRPr="00B52A8A">
        <w:rPr>
          <w:szCs w:val="24"/>
        </w:rPr>
        <w:t>–</w:t>
      </w:r>
      <w:r w:rsidR="00F30F81" w:rsidRPr="00B52A8A">
        <w:rPr>
          <w:szCs w:val="24"/>
        </w:rPr>
        <w:t xml:space="preserve"> </w:t>
      </w:r>
      <w:r w:rsidR="00810432" w:rsidRPr="00B52A8A">
        <w:rPr>
          <w:szCs w:val="24"/>
        </w:rPr>
        <w:t>8,1 kg/m</w:t>
      </w:r>
      <w:r w:rsidR="00810432" w:rsidRPr="00B52A8A">
        <w:rPr>
          <w:szCs w:val="24"/>
          <w:vertAlign w:val="superscript"/>
        </w:rPr>
        <w:t>2</w:t>
      </w:r>
      <w:r w:rsidR="00810432" w:rsidRPr="00B52A8A">
        <w:rPr>
          <w:szCs w:val="24"/>
        </w:rPr>
        <w:t xml:space="preserve">) </w:t>
      </w:r>
      <w:r w:rsidRPr="00B52A8A">
        <w:rPr>
          <w:szCs w:val="24"/>
        </w:rPr>
        <w:t>bylo překročeno.</w:t>
      </w:r>
      <w:r w:rsidRPr="00B52A8A">
        <w:t xml:space="preserve"> Průměrná hodnota dosáhla</w:t>
      </w:r>
      <w:r w:rsidR="00810432" w:rsidRPr="00B52A8A">
        <w:t xml:space="preserve"> 10,80 </w:t>
      </w:r>
      <w:r w:rsidR="00810432" w:rsidRPr="00B52A8A">
        <w:rPr>
          <w:szCs w:val="24"/>
        </w:rPr>
        <w:t>kg/m</w:t>
      </w:r>
      <w:r w:rsidR="00810432" w:rsidRPr="00B52A8A">
        <w:rPr>
          <w:szCs w:val="24"/>
          <w:vertAlign w:val="superscript"/>
        </w:rPr>
        <w:t>2</w:t>
      </w:r>
      <w:r w:rsidR="00810432" w:rsidRPr="00B52A8A">
        <w:rPr>
          <w:szCs w:val="24"/>
        </w:rPr>
        <w:t>.</w:t>
      </w:r>
      <w:r w:rsidRPr="00B52A8A">
        <w:rPr>
          <w:szCs w:val="24"/>
        </w:rPr>
        <w:t xml:space="preserve"> </w:t>
      </w:r>
      <w:r w:rsidR="00F30F81" w:rsidRPr="00B52A8A">
        <w:rPr>
          <w:szCs w:val="24"/>
        </w:rPr>
        <w:t>Nejen BFMI, ale i další z</w:t>
      </w:r>
      <w:r w:rsidRPr="00B52A8A">
        <w:rPr>
          <w:rFonts w:eastAsia="Calibri"/>
          <w:szCs w:val="24"/>
        </w:rPr>
        <w:t xml:space="preserve">dravotní ukazatelé klasifikují náš soubor jako obézní. Dle naměřeného stupně obezity, který je </w:t>
      </w:r>
      <w:r w:rsidRPr="00B52A8A">
        <w:rPr>
          <w:szCs w:val="24"/>
        </w:rPr>
        <w:t xml:space="preserve">129,47 % tedy nad hranicí 120 %, která je již indikátorem obezity. Toto tvrzení potvrzuje i fitness skóre, které ukazuje typologii jedince vzhledem k zastoupení tukové a svalové frakce </w:t>
      </w:r>
      <w:r w:rsidRPr="00B52A8A">
        <w:rPr>
          <w:szCs w:val="24"/>
        </w:rPr>
        <w:lastRenderedPageBreak/>
        <w:t xml:space="preserve">k hmotnosti a v průměru dosáhlo hodnot 66,89. Což je pod hranicí 70 </w:t>
      </w:r>
      <w:r w:rsidR="004E44D2" w:rsidRPr="00B52A8A">
        <w:rPr>
          <w:szCs w:val="24"/>
        </w:rPr>
        <w:br/>
      </w:r>
      <w:r w:rsidRPr="00B52A8A">
        <w:rPr>
          <w:szCs w:val="24"/>
        </w:rPr>
        <w:t>a popisuje jedince jako typ slabý, mírně obézní. Abdominální obezita byla potvrzena hodnotou VFA, která byla překročena téměř o 40 cm</w:t>
      </w:r>
      <w:r w:rsidRPr="00B52A8A">
        <w:rPr>
          <w:szCs w:val="24"/>
          <w:vertAlign w:val="superscript"/>
        </w:rPr>
        <w:t>2</w:t>
      </w:r>
      <w:r w:rsidRPr="00B52A8A">
        <w:rPr>
          <w:szCs w:val="24"/>
        </w:rPr>
        <w:t>. Naměřená průměrná hodnota dosahovala až 139,78 cm</w:t>
      </w:r>
      <w:r w:rsidRPr="00B52A8A">
        <w:rPr>
          <w:szCs w:val="24"/>
          <w:vertAlign w:val="superscript"/>
        </w:rPr>
        <w:t>2</w:t>
      </w:r>
      <w:r w:rsidR="00C23E18" w:rsidRPr="00B52A8A">
        <w:rPr>
          <w:szCs w:val="24"/>
        </w:rPr>
        <w:t>, což je</w:t>
      </w:r>
      <w:r w:rsidRPr="00B52A8A">
        <w:rPr>
          <w:szCs w:val="24"/>
        </w:rPr>
        <w:t xml:space="preserve"> nad optimální hranici 100 cm</w:t>
      </w:r>
      <w:r w:rsidRPr="00B52A8A">
        <w:rPr>
          <w:szCs w:val="24"/>
          <w:vertAlign w:val="superscript"/>
        </w:rPr>
        <w:t>2.</w:t>
      </w:r>
    </w:p>
    <w:p w:rsidR="00810432" w:rsidRPr="00B52A8A" w:rsidRDefault="00EB74D8" w:rsidP="000F4814">
      <w:pPr>
        <w:spacing w:after="0"/>
        <w:ind w:firstLine="284"/>
        <w:rPr>
          <w:szCs w:val="24"/>
        </w:rPr>
      </w:pPr>
      <w:r w:rsidRPr="00B52A8A">
        <w:rPr>
          <w:szCs w:val="24"/>
        </w:rPr>
        <w:t xml:space="preserve">Analýza pohybové aktivity byla stanovena dle norem jako dostačující. Intenzita zatížení byla u </w:t>
      </w:r>
      <w:r w:rsidR="00373611" w:rsidRPr="00B52A8A">
        <w:rPr>
          <w:szCs w:val="24"/>
        </w:rPr>
        <w:t>pozorovaného souboru především nízká (397 min/týden) až střední (299 min/týden). Optimálně je doporučováno provádět středně zatěžující PA 150 min/týdně.</w:t>
      </w:r>
      <w:r w:rsidR="000F4814" w:rsidRPr="00B52A8A">
        <w:rPr>
          <w:szCs w:val="24"/>
        </w:rPr>
        <w:t xml:space="preserve"> </w:t>
      </w:r>
      <w:r w:rsidR="000F4814" w:rsidRPr="00B52A8A">
        <w:t>10</w:t>
      </w:r>
      <w:r w:rsidR="00F0589D" w:rsidRPr="00B52A8A">
        <w:t xml:space="preserve"> 398 </w:t>
      </w:r>
      <w:r w:rsidR="000F4814" w:rsidRPr="00B52A8A">
        <w:t>je hodnota kroků/den získaná akcelerometrem. Doporučené množství je 10</w:t>
      </w:r>
      <w:r w:rsidR="00F0589D" w:rsidRPr="00B52A8A">
        <w:t xml:space="preserve"> </w:t>
      </w:r>
      <w:r w:rsidR="000F4814" w:rsidRPr="00B52A8A">
        <w:t xml:space="preserve">000 kroků/den. Tento počet spadá do rozmezí, podle kterého můžeme jedince charakterizovat jako </w:t>
      </w:r>
      <w:r w:rsidR="00C5355B" w:rsidRPr="00B52A8A">
        <w:t xml:space="preserve">pohybově </w:t>
      </w:r>
      <w:r w:rsidR="000F4814" w:rsidRPr="00B52A8A">
        <w:t>aktivní = ≥ 10</w:t>
      </w:r>
      <w:r w:rsidR="00F0589D" w:rsidRPr="00B52A8A">
        <w:t xml:space="preserve"> </w:t>
      </w:r>
      <w:r w:rsidR="000F4814" w:rsidRPr="00B52A8A">
        <w:t>000 kroků/den</w:t>
      </w:r>
      <w:bookmarkStart w:id="134" w:name="_GoBack"/>
      <w:bookmarkEnd w:id="134"/>
      <w:r w:rsidR="000F4814" w:rsidRPr="00B52A8A">
        <w:t xml:space="preserve">. </w:t>
      </w:r>
    </w:p>
    <w:p w:rsidR="00E84D1B" w:rsidRPr="00B52A8A" w:rsidRDefault="00E84D1B" w:rsidP="00395705">
      <w:pPr>
        <w:pStyle w:val="Zkladntext"/>
        <w:spacing w:line="360" w:lineRule="auto"/>
        <w:ind w:firstLine="284"/>
        <w:jc w:val="both"/>
        <w:rPr>
          <w:rFonts w:ascii="Bookman Old Style" w:eastAsia="Calibri" w:hAnsi="Bookman Old Style"/>
          <w:szCs w:val="24"/>
          <w:lang w:eastAsia="en-US"/>
        </w:rPr>
      </w:pPr>
      <w:r w:rsidRPr="00B52A8A">
        <w:rPr>
          <w:rFonts w:ascii="Bookman Old Style" w:eastAsia="Calibri" w:hAnsi="Bookman Old Style"/>
          <w:szCs w:val="24"/>
          <w:lang w:eastAsia="en-US"/>
        </w:rPr>
        <w:t xml:space="preserve"> </w:t>
      </w:r>
    </w:p>
    <w:p w:rsidR="003F6207" w:rsidRPr="00B52A8A" w:rsidRDefault="00E84D1B" w:rsidP="00F466CB">
      <w:pPr>
        <w:pStyle w:val="Zkladntext"/>
        <w:spacing w:line="360" w:lineRule="auto"/>
        <w:ind w:firstLine="284"/>
        <w:jc w:val="both"/>
        <w:rPr>
          <w:rFonts w:ascii="Bookman Old Style" w:eastAsia="Calibri" w:hAnsi="Bookman Old Style"/>
          <w:b/>
          <w:szCs w:val="24"/>
          <w:lang w:eastAsia="en-US"/>
        </w:rPr>
      </w:pPr>
      <w:r w:rsidRPr="00B52A8A">
        <w:rPr>
          <w:rFonts w:ascii="Bookman Old Style" w:eastAsia="Calibri" w:hAnsi="Bookman Old Style"/>
          <w:szCs w:val="24"/>
          <w:lang w:eastAsia="en-US"/>
        </w:rPr>
        <w:t xml:space="preserve"> </w:t>
      </w:r>
    </w:p>
    <w:p w:rsidR="003F6207" w:rsidRPr="00B52A8A" w:rsidRDefault="003F6207" w:rsidP="00B91952">
      <w:pPr>
        <w:pStyle w:val="Zkladntext"/>
        <w:spacing w:line="360" w:lineRule="auto"/>
        <w:jc w:val="both"/>
        <w:rPr>
          <w:rFonts w:ascii="Bookman Old Style" w:eastAsia="Calibri" w:hAnsi="Bookman Old Style"/>
          <w:szCs w:val="24"/>
          <w:lang w:eastAsia="en-US"/>
        </w:rPr>
      </w:pPr>
    </w:p>
    <w:p w:rsidR="00030359" w:rsidRPr="00B52A8A" w:rsidRDefault="00E667F2" w:rsidP="00E667F2">
      <w:pPr>
        <w:pStyle w:val="Zkladntext"/>
        <w:spacing w:line="360" w:lineRule="auto"/>
        <w:jc w:val="both"/>
      </w:pPr>
      <w:r w:rsidRPr="00B52A8A">
        <w:rPr>
          <w:rFonts w:ascii="Bookman Old Style" w:eastAsia="Calibri" w:hAnsi="Bookman Old Style"/>
          <w:szCs w:val="24"/>
          <w:lang w:eastAsia="en-US"/>
        </w:rPr>
        <w:t xml:space="preserve">    </w:t>
      </w:r>
      <w:bookmarkStart w:id="135" w:name="_Toc239411422"/>
    </w:p>
    <w:p w:rsidR="00030359" w:rsidRPr="00B52A8A" w:rsidRDefault="00030359" w:rsidP="00B91952">
      <w:pPr>
        <w:pStyle w:val="P-nadpis1"/>
        <w:spacing w:before="0"/>
      </w:pPr>
    </w:p>
    <w:p w:rsidR="00030359" w:rsidRPr="00B52A8A" w:rsidRDefault="00030359" w:rsidP="00B91952">
      <w:pPr>
        <w:pStyle w:val="P-nadpis1"/>
        <w:spacing w:before="0"/>
      </w:pPr>
    </w:p>
    <w:p w:rsidR="00030359" w:rsidRPr="00B52A8A" w:rsidRDefault="00030359" w:rsidP="00B91952">
      <w:pPr>
        <w:pStyle w:val="P-nadpis1"/>
        <w:spacing w:before="0"/>
      </w:pPr>
    </w:p>
    <w:p w:rsidR="00030359" w:rsidRPr="00B52A8A" w:rsidRDefault="00030359" w:rsidP="00B91952">
      <w:pPr>
        <w:pStyle w:val="P-nadpis1"/>
        <w:spacing w:before="0"/>
      </w:pPr>
    </w:p>
    <w:p w:rsidR="00030359" w:rsidRPr="00B52A8A" w:rsidRDefault="00030359">
      <w:pPr>
        <w:spacing w:after="200" w:line="276" w:lineRule="auto"/>
        <w:jc w:val="left"/>
        <w:rPr>
          <w:rFonts w:eastAsia="Times New Roman" w:cs="Times New Roman"/>
          <w:b/>
          <w:bCs/>
          <w:sz w:val="28"/>
          <w:szCs w:val="28"/>
        </w:rPr>
      </w:pPr>
      <w:r w:rsidRPr="00B52A8A">
        <w:br w:type="page"/>
      </w:r>
    </w:p>
    <w:p w:rsidR="00B91952" w:rsidRPr="00B52A8A" w:rsidRDefault="002D7EE0" w:rsidP="00B91952">
      <w:pPr>
        <w:pStyle w:val="P-nadpis1"/>
        <w:spacing w:before="0"/>
      </w:pPr>
      <w:bookmarkStart w:id="136" w:name="_Toc293057999"/>
      <w:bookmarkStart w:id="137" w:name="_Toc293153767"/>
      <w:r>
        <w:lastRenderedPageBreak/>
        <w:t>8</w:t>
      </w:r>
      <w:r w:rsidR="00B91952" w:rsidRPr="00B52A8A">
        <w:t xml:space="preserve"> SOUHRN</w:t>
      </w:r>
      <w:bookmarkEnd w:id="135"/>
      <w:bookmarkEnd w:id="136"/>
      <w:bookmarkEnd w:id="137"/>
    </w:p>
    <w:p w:rsidR="00030359" w:rsidRPr="00B52A8A" w:rsidRDefault="00364A49" w:rsidP="00B91952">
      <w:pPr>
        <w:pStyle w:val="P-text"/>
        <w:spacing w:after="0"/>
      </w:pPr>
      <w:r w:rsidRPr="00B52A8A">
        <w:t>Cílem této magisterské</w:t>
      </w:r>
      <w:r w:rsidR="00B91952" w:rsidRPr="00B52A8A">
        <w:t xml:space="preserve"> práce bylo stanovit tělesné složení seniorů metodou bioelektrické impedance na základě špičkové moderní přístrojové techniky. Toto měření proběhlo u polských seniorů Univerzity třetího věku v Katovicích. Prů</w:t>
      </w:r>
      <w:r w:rsidR="00395705" w:rsidRPr="00B52A8A">
        <w:t xml:space="preserve">měrný věk u měřených osob byl </w:t>
      </w:r>
      <w:r w:rsidR="00067136" w:rsidRPr="00B52A8A">
        <w:t>62</w:t>
      </w:r>
      <w:r w:rsidR="00B91952" w:rsidRPr="00B52A8A">
        <w:t xml:space="preserve"> let, těle</w:t>
      </w:r>
      <w:r w:rsidR="00395705" w:rsidRPr="00B52A8A">
        <w:t>sná hmotnost 70 kg a výška 158</w:t>
      </w:r>
      <w:r w:rsidR="00B91952" w:rsidRPr="00B52A8A">
        <w:t xml:space="preserve">,9 cm. Měření tělesného složení bylo prováděno s využitím přístrojů Tanita NC-BC 418 a InBody 720. </w:t>
      </w:r>
      <w:r w:rsidR="00395705" w:rsidRPr="00B52A8A">
        <w:t xml:space="preserve">Sledovali jsme množství celkové tělesné vody, vody extra </w:t>
      </w:r>
      <w:r w:rsidR="00EA0511" w:rsidRPr="00B52A8A">
        <w:br/>
      </w:r>
      <w:r w:rsidR="00395705" w:rsidRPr="00B52A8A">
        <w:t xml:space="preserve">a intracelulární, které vykazuje v průměru pokles. Vypočtené výsledky množství tukuprosté hmoty jsou jasným ukazatelem jejího úbytku. Výsledné množství tukuprosté hmoty u našeho souboru bylo </w:t>
      </w:r>
      <w:r w:rsidR="00030359" w:rsidRPr="00B52A8A">
        <w:t xml:space="preserve">v průměru 60 % oproti běžným </w:t>
      </w:r>
      <w:r w:rsidR="00395705" w:rsidRPr="00B52A8A">
        <w:t xml:space="preserve">73 %.  </w:t>
      </w:r>
      <w:r w:rsidR="00B91952" w:rsidRPr="00B52A8A">
        <w:t>Sledovali jsme vypočtené hodnoty celkové tukové hmoty, kt</w:t>
      </w:r>
      <w:r w:rsidR="00395705" w:rsidRPr="00B52A8A">
        <w:t>eré výsledným průměrem a</w:t>
      </w:r>
      <w:r w:rsidR="00B91952" w:rsidRPr="00B52A8A">
        <w:t xml:space="preserve"> maximální</w:t>
      </w:r>
      <w:r w:rsidR="00395705" w:rsidRPr="00B52A8A">
        <w:t xml:space="preserve">mi hodnotami přesahovaly </w:t>
      </w:r>
      <w:r w:rsidR="000F4814" w:rsidRPr="00B52A8A">
        <w:t xml:space="preserve">hodnoty referenční 12,3 – </w:t>
      </w:r>
      <w:r w:rsidRPr="00B52A8A">
        <w:t>19,7 kg o šest</w:t>
      </w:r>
      <w:r w:rsidR="00030359" w:rsidRPr="00B52A8A">
        <w:t xml:space="preserve"> kg,</w:t>
      </w:r>
      <w:r w:rsidR="00B91952" w:rsidRPr="00B52A8A">
        <w:t xml:space="preserve"> stejně jako její procentuální vyjádření</w:t>
      </w:r>
      <w:r w:rsidR="00030359" w:rsidRPr="00B52A8A">
        <w:t xml:space="preserve">, které bylo v průměru </w:t>
      </w:r>
      <w:r w:rsidR="00B91952" w:rsidRPr="00B52A8A">
        <w:t xml:space="preserve">o 10 % vyšší než referenční hodnoty. </w:t>
      </w:r>
      <w:r w:rsidRPr="00B52A8A">
        <w:t xml:space="preserve">Zdravotní ukazatelé, které byly analyzovány </w:t>
      </w:r>
      <w:r w:rsidR="00EA0511" w:rsidRPr="00B52A8A">
        <w:br/>
      </w:r>
      <w:r w:rsidR="00EB74D8" w:rsidRPr="00B52A8A">
        <w:t xml:space="preserve">a </w:t>
      </w:r>
      <w:r w:rsidRPr="00B52A8A">
        <w:t>klasifik</w:t>
      </w:r>
      <w:r w:rsidR="00EB74D8" w:rsidRPr="00B52A8A">
        <w:t>ovaly</w:t>
      </w:r>
      <w:r w:rsidRPr="00B52A8A">
        <w:t xml:space="preserve"> náš soubor jako obézní a podle typologie slabý typ</w:t>
      </w:r>
      <w:r w:rsidR="00EB74D8" w:rsidRPr="00B52A8A">
        <w:t>, přestože PA byla vymezena jako dostačující prováděna v optimálním rozsahu.</w:t>
      </w:r>
    </w:p>
    <w:p w:rsidR="00030359" w:rsidRPr="00B52A8A" w:rsidRDefault="00B91952" w:rsidP="00030359">
      <w:pPr>
        <w:pStyle w:val="P-text"/>
        <w:spacing w:after="0"/>
        <w:ind w:firstLine="284"/>
      </w:pPr>
      <w:r w:rsidRPr="00B52A8A">
        <w:t>V syntéze poznatků uvádím definice základních pojmů, které se vztahují k zvolenému tématu. Dále jsem shrnula některé modely tělesného složení a podrobněji popisuji jednotlivé složky</w:t>
      </w:r>
      <w:r w:rsidR="00030359" w:rsidRPr="00B52A8A">
        <w:t xml:space="preserve"> tělesného složení spolu se zdravotními ukazateli. S</w:t>
      </w:r>
      <w:r w:rsidRPr="00B52A8A">
        <w:t>ložení těla je proměnlivé bylo nezbytné také uvést obecné charakteristiky stárnutí</w:t>
      </w:r>
      <w:r w:rsidR="00030359" w:rsidRPr="00B52A8A">
        <w:t xml:space="preserve"> a změny, které s sebou přináší a také vliv pohybové aktivity na změny tělesného složení a rizika vzniku civilizačních chorob.</w:t>
      </w:r>
      <w:r w:rsidR="000F4814" w:rsidRPr="00B52A8A">
        <w:t xml:space="preserve"> Byly popsány změny tělesného složení v závislosti na věku a pohlaví. V neposlední řadě byla popsána pohybová aktivita seniorů.</w:t>
      </w:r>
      <w:r w:rsidR="00030359" w:rsidRPr="00B52A8A">
        <w:t xml:space="preserve"> </w:t>
      </w:r>
    </w:p>
    <w:p w:rsidR="00030359" w:rsidRPr="00B52A8A" w:rsidRDefault="00B91952" w:rsidP="00030359">
      <w:pPr>
        <w:pStyle w:val="P-text"/>
        <w:spacing w:after="0"/>
        <w:ind w:firstLine="284"/>
      </w:pPr>
      <w:r w:rsidRPr="00B52A8A">
        <w:t>Důležitou součástí syntézy poznatků byl popis vlastní metody bioelektrické impedance, kterou jsme použili. Dílčí částí této práce</w:t>
      </w:r>
      <w:r w:rsidR="00030359" w:rsidRPr="00B52A8A">
        <w:t xml:space="preserve"> bylo také zmínit významné evropské grantové projekty zaměřené na seniory, které se svojí tematikou také zajímají o populaci seniorů, jakožto </w:t>
      </w:r>
      <w:r w:rsidR="00030359" w:rsidRPr="00B52A8A">
        <w:lastRenderedPageBreak/>
        <w:t>opomíjenou</w:t>
      </w:r>
      <w:r w:rsidR="00883CAE" w:rsidRPr="00B52A8A">
        <w:t xml:space="preserve"> </w:t>
      </w:r>
      <w:proofErr w:type="gramStart"/>
      <w:r w:rsidR="00030359" w:rsidRPr="00B52A8A">
        <w:t>skupinu</w:t>
      </w:r>
      <w:proofErr w:type="gramEnd"/>
      <w:r w:rsidR="00030359" w:rsidRPr="00B52A8A">
        <w:t xml:space="preserve"> a snaží se o zlepšení a zkvalitnění kvality jejich života a zároveň životního stylu. </w:t>
      </w:r>
    </w:p>
    <w:p w:rsidR="00482757" w:rsidRPr="00B52A8A" w:rsidRDefault="00B91952" w:rsidP="007873AA">
      <w:pPr>
        <w:pStyle w:val="P-text"/>
        <w:ind w:firstLine="0"/>
      </w:pPr>
      <w:r w:rsidRPr="00B52A8A">
        <w:t xml:space="preserve">      Ve výzkumné části jsem s</w:t>
      </w:r>
      <w:r w:rsidR="007873AA" w:rsidRPr="00B52A8A">
        <w:t>tanovila cíle práce, které byly, stanovení tělesného složení na základě metody bioelektrické impedance a jeho analýza ve</w:t>
      </w:r>
      <w:r w:rsidR="000F4814" w:rsidRPr="00B52A8A">
        <w:t xml:space="preserve"> všech sledovaných parametrech</w:t>
      </w:r>
      <w:r w:rsidR="006D7FD0" w:rsidRPr="00B52A8A">
        <w:t>. Dále byly analyzovány ukazatelé zdravotní rizikovosti a v neposlední řadě popsána</w:t>
      </w:r>
      <w:r w:rsidR="000F4814" w:rsidRPr="00B52A8A">
        <w:t xml:space="preserve"> </w:t>
      </w:r>
      <w:r w:rsidR="006D7FD0" w:rsidRPr="00B52A8A">
        <w:t xml:space="preserve">naměřená </w:t>
      </w:r>
      <w:r w:rsidR="000F4814" w:rsidRPr="00B52A8A">
        <w:t>pohybov</w:t>
      </w:r>
      <w:r w:rsidR="006D7FD0" w:rsidRPr="00B52A8A">
        <w:t>á</w:t>
      </w:r>
      <w:r w:rsidR="000F4814" w:rsidRPr="00B52A8A">
        <w:t xml:space="preserve"> aktivit</w:t>
      </w:r>
      <w:r w:rsidR="006D7FD0" w:rsidRPr="00B52A8A">
        <w:t>a</w:t>
      </w:r>
      <w:r w:rsidR="00C5355B" w:rsidRPr="00B52A8A">
        <w:t xml:space="preserve"> ve vztahu k tělesnému složení.</w:t>
      </w:r>
    </w:p>
    <w:p w:rsidR="00364A49" w:rsidRPr="00B52A8A" w:rsidRDefault="00364A49" w:rsidP="007873AA">
      <w:pPr>
        <w:pStyle w:val="P-text"/>
        <w:ind w:firstLine="0"/>
      </w:pPr>
    </w:p>
    <w:p w:rsidR="00FE0CFE" w:rsidRPr="00B52A8A" w:rsidRDefault="00FE0CFE" w:rsidP="007873AA">
      <w:pPr>
        <w:pStyle w:val="P-text"/>
        <w:ind w:firstLine="0"/>
      </w:pPr>
    </w:p>
    <w:p w:rsidR="00177BDC" w:rsidRPr="00B52A8A" w:rsidRDefault="00177BDC" w:rsidP="002A480A"/>
    <w:p w:rsidR="00FE0CFE" w:rsidRPr="00B52A8A" w:rsidRDefault="00FE0CFE" w:rsidP="002A480A"/>
    <w:p w:rsidR="00FE0CFE" w:rsidRPr="00B52A8A" w:rsidRDefault="00FE0CFE" w:rsidP="002A480A"/>
    <w:p w:rsidR="00FE0CFE" w:rsidRPr="00B52A8A" w:rsidRDefault="00FE0CFE" w:rsidP="007873AA">
      <w:pPr>
        <w:pStyle w:val="P-text"/>
        <w:ind w:firstLine="0"/>
      </w:pPr>
    </w:p>
    <w:p w:rsidR="00FE0CFE" w:rsidRPr="00B52A8A" w:rsidRDefault="00FE0CFE" w:rsidP="007873AA">
      <w:pPr>
        <w:pStyle w:val="P-text"/>
        <w:ind w:firstLine="0"/>
      </w:pPr>
    </w:p>
    <w:p w:rsidR="00FE0CFE" w:rsidRPr="00B52A8A" w:rsidRDefault="00FE0CFE" w:rsidP="007873AA">
      <w:pPr>
        <w:pStyle w:val="P-text"/>
        <w:ind w:firstLine="0"/>
      </w:pPr>
    </w:p>
    <w:p w:rsidR="00FE0CFE" w:rsidRPr="00B52A8A" w:rsidRDefault="00FE0CFE" w:rsidP="007873AA">
      <w:pPr>
        <w:pStyle w:val="P-text"/>
        <w:ind w:firstLine="0"/>
      </w:pPr>
    </w:p>
    <w:p w:rsidR="00FE0CFE" w:rsidRPr="00B52A8A" w:rsidRDefault="00FE0CFE" w:rsidP="007873AA">
      <w:pPr>
        <w:pStyle w:val="P-text"/>
        <w:ind w:firstLine="0"/>
      </w:pPr>
    </w:p>
    <w:p w:rsidR="00FE0CFE" w:rsidRPr="00B52A8A" w:rsidRDefault="00FE0CFE" w:rsidP="007873AA">
      <w:pPr>
        <w:pStyle w:val="P-text"/>
        <w:ind w:firstLine="0"/>
      </w:pPr>
    </w:p>
    <w:p w:rsidR="00FE0CFE" w:rsidRPr="00B52A8A" w:rsidRDefault="00FE0CFE" w:rsidP="007873AA">
      <w:pPr>
        <w:pStyle w:val="P-text"/>
        <w:ind w:firstLine="0"/>
      </w:pPr>
    </w:p>
    <w:p w:rsidR="00FE0CFE" w:rsidRPr="00B52A8A" w:rsidRDefault="00FE0CFE" w:rsidP="007873AA">
      <w:pPr>
        <w:pStyle w:val="P-text"/>
        <w:ind w:firstLine="0"/>
      </w:pPr>
    </w:p>
    <w:p w:rsidR="00FE0CFE" w:rsidRPr="00B52A8A" w:rsidRDefault="00FE0CFE" w:rsidP="007873AA">
      <w:pPr>
        <w:pStyle w:val="P-text"/>
        <w:ind w:firstLine="0"/>
      </w:pPr>
    </w:p>
    <w:p w:rsidR="00FE0CFE" w:rsidRPr="00B52A8A" w:rsidRDefault="00FE0CFE" w:rsidP="007873AA">
      <w:pPr>
        <w:pStyle w:val="P-text"/>
        <w:ind w:firstLine="0"/>
      </w:pPr>
    </w:p>
    <w:p w:rsidR="00FE0CFE" w:rsidRPr="00B52A8A" w:rsidRDefault="00FE0CFE" w:rsidP="007873AA">
      <w:pPr>
        <w:pStyle w:val="P-text"/>
        <w:ind w:firstLine="0"/>
      </w:pPr>
    </w:p>
    <w:p w:rsidR="00FE0CFE" w:rsidRPr="00B52A8A" w:rsidRDefault="00FE0CFE" w:rsidP="007873AA">
      <w:pPr>
        <w:pStyle w:val="P-text"/>
        <w:ind w:firstLine="0"/>
      </w:pPr>
    </w:p>
    <w:p w:rsidR="00FE0CFE" w:rsidRPr="00B52A8A" w:rsidRDefault="00FE0CFE" w:rsidP="007873AA">
      <w:pPr>
        <w:pStyle w:val="P-text"/>
        <w:ind w:firstLine="0"/>
      </w:pPr>
    </w:p>
    <w:p w:rsidR="00FE0CFE" w:rsidRPr="00B52A8A" w:rsidRDefault="00FE0CFE" w:rsidP="007873AA">
      <w:pPr>
        <w:pStyle w:val="P-text"/>
        <w:ind w:firstLine="0"/>
      </w:pPr>
    </w:p>
    <w:p w:rsidR="00FE0CFE" w:rsidRPr="00B52A8A" w:rsidRDefault="00FE0CFE" w:rsidP="007873AA">
      <w:pPr>
        <w:pStyle w:val="P-text"/>
        <w:ind w:firstLine="0"/>
      </w:pPr>
    </w:p>
    <w:p w:rsidR="00FE0CFE" w:rsidRPr="00B52A8A" w:rsidRDefault="00FE0CFE" w:rsidP="007873AA">
      <w:pPr>
        <w:pStyle w:val="P-text"/>
        <w:ind w:firstLine="0"/>
      </w:pPr>
    </w:p>
    <w:p w:rsidR="00FE0CFE" w:rsidRPr="00B52A8A" w:rsidRDefault="00FE0CFE" w:rsidP="007873AA">
      <w:pPr>
        <w:pStyle w:val="P-text"/>
        <w:ind w:firstLine="0"/>
      </w:pPr>
    </w:p>
    <w:p w:rsidR="00FE0CFE" w:rsidRPr="00B52A8A" w:rsidRDefault="002D7EE0" w:rsidP="00FE0CFE">
      <w:pPr>
        <w:pStyle w:val="Nadpis1"/>
      </w:pPr>
      <w:bookmarkStart w:id="138" w:name="_Toc293058000"/>
      <w:bookmarkStart w:id="139" w:name="_Toc293153768"/>
      <w:r>
        <w:lastRenderedPageBreak/>
        <w:t>9</w:t>
      </w:r>
      <w:r w:rsidR="00FE0CFE" w:rsidRPr="00B52A8A">
        <w:t xml:space="preserve"> SUMMARY</w:t>
      </w:r>
      <w:bookmarkEnd w:id="138"/>
      <w:bookmarkEnd w:id="139"/>
    </w:p>
    <w:p w:rsidR="00364A49" w:rsidRPr="00B52A8A" w:rsidRDefault="002100FA" w:rsidP="002100FA">
      <w:pPr>
        <w:pStyle w:val="P-text"/>
        <w:tabs>
          <w:tab w:val="left" w:pos="426"/>
        </w:tabs>
        <w:ind w:firstLine="0"/>
      </w:pPr>
      <w:r w:rsidRPr="00B52A8A">
        <w:tab/>
        <w:t>The aim of the thesis was to determine the body composition at senior population by the method of bioelectrical impedance using the modern devices. We measured senior Polish population, the</w:t>
      </w:r>
      <w:r w:rsidR="00D201D2" w:rsidRPr="00B52A8A">
        <w:t xml:space="preserve"> students of the University of the Third Age</w:t>
      </w:r>
      <w:r w:rsidRPr="00B52A8A">
        <w:t xml:space="preserve"> in Katowice. The average age of </w:t>
      </w:r>
      <w:r w:rsidR="00D201D2" w:rsidRPr="00B52A8A">
        <w:t>measured</w:t>
      </w:r>
      <w:r w:rsidRPr="00B52A8A">
        <w:t xml:space="preserve"> persons was 62 yrs, the weight 70 kg and height 158,9 cm. The measurements were accomplished by using the Tanita NC-BC 418 and InBody 720 devices.</w:t>
      </w:r>
    </w:p>
    <w:p w:rsidR="004C7C91" w:rsidRPr="00B52A8A" w:rsidRDefault="002100FA" w:rsidP="00486A29">
      <w:pPr>
        <w:pStyle w:val="P-text"/>
        <w:tabs>
          <w:tab w:val="left" w:pos="426"/>
        </w:tabs>
        <w:ind w:firstLine="0"/>
      </w:pPr>
      <w:r w:rsidRPr="00B52A8A">
        <w:tab/>
        <w:t xml:space="preserve">We monitored </w:t>
      </w:r>
      <w:r w:rsidR="004E4A88" w:rsidRPr="00B52A8A">
        <w:t xml:space="preserve">volume of </w:t>
      </w:r>
      <w:r w:rsidRPr="00B52A8A">
        <w:t>total body water</w:t>
      </w:r>
      <w:r w:rsidR="004E4A88" w:rsidRPr="00B52A8A">
        <w:t>, extracellular and intracellular, that were on the decrease.</w:t>
      </w:r>
      <w:r w:rsidR="00486A29" w:rsidRPr="00B52A8A">
        <w:t xml:space="preserve"> </w:t>
      </w:r>
      <w:r w:rsidR="00886F2F" w:rsidRPr="00B52A8A">
        <w:t>Reckoned</w:t>
      </w:r>
      <w:r w:rsidR="00486A29" w:rsidRPr="00B52A8A">
        <w:t xml:space="preserve"> results of the volume of fat free mass suggest its decrease. The volume of fat free mass was 60 %</w:t>
      </w:r>
      <w:r w:rsidR="00886F2F" w:rsidRPr="00B52A8A">
        <w:t xml:space="preserve">; the average value is 73 %. We </w:t>
      </w:r>
      <w:r w:rsidR="00486A29" w:rsidRPr="00B52A8A">
        <w:t xml:space="preserve">monitored values of </w:t>
      </w:r>
      <w:r w:rsidR="00886F2F" w:rsidRPr="00B52A8A">
        <w:t xml:space="preserve">the </w:t>
      </w:r>
      <w:r w:rsidR="00486A29" w:rsidRPr="00B52A8A">
        <w:t xml:space="preserve">fat mass that with its maximal and average values exceeded reference values </w:t>
      </w:r>
      <w:r w:rsidR="00886F2F" w:rsidRPr="00B52A8A">
        <w:br/>
      </w:r>
      <w:r w:rsidR="00486A29" w:rsidRPr="00B52A8A">
        <w:t>12</w:t>
      </w:r>
      <w:r w:rsidR="00886F2F" w:rsidRPr="00B52A8A">
        <w:t>,3</w:t>
      </w:r>
      <w:r w:rsidR="00486A29" w:rsidRPr="00B52A8A">
        <w:t xml:space="preserve"> – 19,7 % b</w:t>
      </w:r>
      <w:r w:rsidR="00886F2F" w:rsidRPr="00B52A8A">
        <w:t>y 6 kg. The values of percentage</w:t>
      </w:r>
      <w:r w:rsidR="00486A29" w:rsidRPr="00B52A8A">
        <w:t xml:space="preserve"> formulation exceeded the average by 10 %. The health parameters classified the group as obese and weak</w:t>
      </w:r>
      <w:r w:rsidR="00886F2F" w:rsidRPr="00B52A8A">
        <w:t xml:space="preserve"> typology type despite the physical ac</w:t>
      </w:r>
      <w:r w:rsidR="00486A29" w:rsidRPr="00B52A8A">
        <w:t>tivity was assessed as sufficient accomplished in the optimal extent</w:t>
      </w:r>
      <w:r w:rsidR="004C7C91" w:rsidRPr="00B52A8A">
        <w:t>.</w:t>
      </w:r>
    </w:p>
    <w:p w:rsidR="00D201D2" w:rsidRPr="00B52A8A" w:rsidRDefault="00221946" w:rsidP="00D201D2">
      <w:pPr>
        <w:pStyle w:val="P-text"/>
        <w:spacing w:after="0"/>
      </w:pPr>
      <w:r w:rsidRPr="00B52A8A">
        <w:t>The synthesis of knowledge gives basic terms definitions that are related to the chosen topic. I also summarised some body composition models and I describe individual components of the body composition in details as well as health parameters. As the body composition is inconstant it was necessary to mention basic characteristics and changes that ageing causes. The effect of physical</w:t>
      </w:r>
      <w:r w:rsidR="00886F2F" w:rsidRPr="00B52A8A">
        <w:t xml:space="preserve"> activity</w:t>
      </w:r>
      <w:r w:rsidRPr="00B52A8A">
        <w:t xml:space="preserve"> on the body composition changes and the risk of </w:t>
      </w:r>
      <w:r w:rsidR="00886F2F" w:rsidRPr="00B52A8A">
        <w:t>civilization</w:t>
      </w:r>
      <w:r w:rsidRPr="00B52A8A">
        <w:t xml:space="preserve"> diseases</w:t>
      </w:r>
      <w:r w:rsidR="00886F2F" w:rsidRPr="00B52A8A">
        <w:t xml:space="preserve"> were described</w:t>
      </w:r>
      <w:r w:rsidRPr="00B52A8A">
        <w:t xml:space="preserve">. The changes of the body composition in relation to the age and </w:t>
      </w:r>
      <w:r w:rsidR="00B52A8A" w:rsidRPr="00B52A8A">
        <w:t>gender</w:t>
      </w:r>
      <w:r w:rsidRPr="00B52A8A">
        <w:t xml:space="preserve"> were described</w:t>
      </w:r>
      <w:r w:rsidR="00D201D2" w:rsidRPr="00B52A8A">
        <w:t xml:space="preserve">. Finally, the physical activity of </w:t>
      </w:r>
      <w:proofErr w:type="gramStart"/>
      <w:r w:rsidR="00D201D2" w:rsidRPr="00B52A8A">
        <w:t>senior</w:t>
      </w:r>
      <w:proofErr w:type="gramEnd"/>
      <w:r w:rsidR="00D201D2" w:rsidRPr="00B52A8A">
        <w:t xml:space="preserve"> population was described. The important part of synthesis of knowledge was the characterization of bioelectrical impedance method that was used. The part of the thesis was also to mention prominent European projects of grants interested in seniors as a neglected group and their attempt to improve their quality of life and the life style.</w:t>
      </w:r>
    </w:p>
    <w:p w:rsidR="004C7C91" w:rsidRPr="00B52A8A" w:rsidRDefault="00D201D2" w:rsidP="004C7C91">
      <w:pPr>
        <w:pStyle w:val="P-text"/>
        <w:ind w:firstLine="0"/>
      </w:pPr>
      <w:r w:rsidRPr="00B52A8A">
        <w:lastRenderedPageBreak/>
        <w:t xml:space="preserve">     The research part determined objects of the thesis that included the body composition analysis of selected </w:t>
      </w:r>
      <w:r w:rsidR="00B52A8A" w:rsidRPr="00B52A8A">
        <w:t>parameters</w:t>
      </w:r>
      <w:r w:rsidRPr="00B52A8A">
        <w:t xml:space="preserve">. The health </w:t>
      </w:r>
      <w:r w:rsidR="00B52A8A" w:rsidRPr="00B52A8A">
        <w:t>parameters</w:t>
      </w:r>
      <w:r w:rsidRPr="00B52A8A">
        <w:t xml:space="preserve"> were analysed and the physical </w:t>
      </w:r>
      <w:r w:rsidR="00B52A8A" w:rsidRPr="00B52A8A">
        <w:t>activity</w:t>
      </w:r>
      <w:r w:rsidRPr="00B52A8A">
        <w:t xml:space="preserve"> in the relation to the body composition was described.</w:t>
      </w:r>
    </w:p>
    <w:p w:rsidR="00364A49" w:rsidRPr="00B52A8A" w:rsidRDefault="00364A49" w:rsidP="007873AA">
      <w:pPr>
        <w:pStyle w:val="P-text"/>
        <w:ind w:firstLine="0"/>
      </w:pPr>
    </w:p>
    <w:p w:rsidR="00364A49" w:rsidRPr="00B52A8A" w:rsidRDefault="00364A49" w:rsidP="007873AA">
      <w:pPr>
        <w:pStyle w:val="P-text"/>
        <w:ind w:firstLine="0"/>
      </w:pPr>
    </w:p>
    <w:p w:rsidR="00364A49" w:rsidRPr="00B52A8A" w:rsidRDefault="00364A49" w:rsidP="007873AA">
      <w:pPr>
        <w:pStyle w:val="P-text"/>
        <w:ind w:firstLine="0"/>
      </w:pPr>
    </w:p>
    <w:p w:rsidR="00364A49" w:rsidRPr="00B52A8A" w:rsidRDefault="00364A49" w:rsidP="007873AA">
      <w:pPr>
        <w:pStyle w:val="P-text"/>
        <w:ind w:firstLine="0"/>
      </w:pPr>
    </w:p>
    <w:p w:rsidR="00364A49" w:rsidRPr="00B52A8A" w:rsidRDefault="00364A49" w:rsidP="007873AA">
      <w:pPr>
        <w:pStyle w:val="P-text"/>
        <w:ind w:firstLine="0"/>
      </w:pPr>
    </w:p>
    <w:p w:rsidR="00364A49" w:rsidRPr="00B52A8A" w:rsidRDefault="00364A49" w:rsidP="007873AA">
      <w:pPr>
        <w:pStyle w:val="P-text"/>
        <w:ind w:firstLine="0"/>
        <w:rPr>
          <w:b/>
          <w:sz w:val="28"/>
          <w:szCs w:val="28"/>
        </w:rPr>
      </w:pPr>
    </w:p>
    <w:p w:rsidR="00373611" w:rsidRPr="00B52A8A" w:rsidRDefault="00373611" w:rsidP="009348D3">
      <w:pPr>
        <w:spacing w:after="0"/>
        <w:rPr>
          <w:szCs w:val="24"/>
        </w:rPr>
      </w:pPr>
    </w:p>
    <w:p w:rsidR="00373611" w:rsidRPr="00B52A8A" w:rsidRDefault="00373611" w:rsidP="009348D3">
      <w:pPr>
        <w:spacing w:after="0"/>
        <w:rPr>
          <w:szCs w:val="24"/>
        </w:rPr>
      </w:pPr>
    </w:p>
    <w:p w:rsidR="00373611" w:rsidRPr="00B52A8A" w:rsidRDefault="00373611" w:rsidP="009348D3">
      <w:pPr>
        <w:spacing w:after="0"/>
        <w:rPr>
          <w:szCs w:val="24"/>
        </w:rPr>
      </w:pPr>
    </w:p>
    <w:p w:rsidR="00373611" w:rsidRPr="00B52A8A" w:rsidRDefault="00373611" w:rsidP="009348D3">
      <w:pPr>
        <w:spacing w:after="0"/>
        <w:rPr>
          <w:szCs w:val="24"/>
        </w:rPr>
      </w:pPr>
    </w:p>
    <w:p w:rsidR="00373611" w:rsidRPr="00B52A8A" w:rsidRDefault="00373611" w:rsidP="009348D3">
      <w:pPr>
        <w:spacing w:after="0"/>
        <w:rPr>
          <w:szCs w:val="24"/>
        </w:rPr>
      </w:pPr>
    </w:p>
    <w:p w:rsidR="00373611" w:rsidRPr="00B52A8A" w:rsidRDefault="00373611" w:rsidP="009348D3">
      <w:pPr>
        <w:spacing w:after="0"/>
        <w:rPr>
          <w:szCs w:val="24"/>
        </w:rPr>
      </w:pPr>
    </w:p>
    <w:p w:rsidR="00373611" w:rsidRPr="00B52A8A" w:rsidRDefault="00373611" w:rsidP="009348D3">
      <w:pPr>
        <w:spacing w:after="0"/>
        <w:rPr>
          <w:szCs w:val="24"/>
        </w:rPr>
      </w:pPr>
    </w:p>
    <w:p w:rsidR="00373611" w:rsidRPr="00B52A8A" w:rsidRDefault="00373611" w:rsidP="009348D3">
      <w:pPr>
        <w:spacing w:after="0"/>
        <w:rPr>
          <w:szCs w:val="24"/>
        </w:rPr>
      </w:pPr>
    </w:p>
    <w:p w:rsidR="00373611" w:rsidRPr="00B52A8A" w:rsidRDefault="00373611" w:rsidP="009348D3">
      <w:pPr>
        <w:spacing w:after="0"/>
        <w:rPr>
          <w:szCs w:val="24"/>
        </w:rPr>
      </w:pPr>
    </w:p>
    <w:p w:rsidR="00373611" w:rsidRPr="00B52A8A" w:rsidRDefault="00373611" w:rsidP="009348D3">
      <w:pPr>
        <w:spacing w:after="0"/>
        <w:rPr>
          <w:szCs w:val="24"/>
        </w:rPr>
      </w:pPr>
    </w:p>
    <w:p w:rsidR="00373611" w:rsidRPr="00B52A8A" w:rsidRDefault="00373611" w:rsidP="009348D3">
      <w:pPr>
        <w:spacing w:after="0"/>
        <w:rPr>
          <w:szCs w:val="24"/>
        </w:rPr>
      </w:pPr>
    </w:p>
    <w:p w:rsidR="00373611" w:rsidRPr="00B52A8A" w:rsidRDefault="00373611" w:rsidP="009348D3">
      <w:pPr>
        <w:spacing w:after="0"/>
        <w:rPr>
          <w:szCs w:val="24"/>
        </w:rPr>
      </w:pPr>
    </w:p>
    <w:p w:rsidR="00373611" w:rsidRPr="00B52A8A" w:rsidRDefault="00373611" w:rsidP="009348D3">
      <w:pPr>
        <w:spacing w:after="0"/>
        <w:rPr>
          <w:szCs w:val="24"/>
        </w:rPr>
      </w:pPr>
    </w:p>
    <w:p w:rsidR="00373611" w:rsidRPr="00B52A8A" w:rsidRDefault="00373611" w:rsidP="009348D3">
      <w:pPr>
        <w:spacing w:after="0"/>
        <w:rPr>
          <w:szCs w:val="24"/>
        </w:rPr>
      </w:pPr>
    </w:p>
    <w:p w:rsidR="00373611" w:rsidRPr="00B52A8A" w:rsidRDefault="00373611" w:rsidP="009348D3">
      <w:pPr>
        <w:spacing w:after="0"/>
        <w:rPr>
          <w:szCs w:val="24"/>
        </w:rPr>
      </w:pPr>
    </w:p>
    <w:p w:rsidR="00373611" w:rsidRPr="00B52A8A" w:rsidRDefault="00373611" w:rsidP="009348D3">
      <w:pPr>
        <w:spacing w:after="0"/>
        <w:rPr>
          <w:szCs w:val="24"/>
        </w:rPr>
      </w:pPr>
    </w:p>
    <w:p w:rsidR="00373611" w:rsidRPr="00B52A8A" w:rsidRDefault="00373611" w:rsidP="009348D3">
      <w:pPr>
        <w:spacing w:after="0"/>
        <w:rPr>
          <w:szCs w:val="24"/>
        </w:rPr>
      </w:pPr>
    </w:p>
    <w:p w:rsidR="00373611" w:rsidRPr="00B52A8A" w:rsidRDefault="00373611" w:rsidP="009348D3">
      <w:pPr>
        <w:spacing w:after="0"/>
        <w:rPr>
          <w:szCs w:val="24"/>
        </w:rPr>
      </w:pPr>
    </w:p>
    <w:p w:rsidR="00373611" w:rsidRPr="00B52A8A" w:rsidRDefault="00373611" w:rsidP="009348D3">
      <w:pPr>
        <w:spacing w:after="0"/>
        <w:rPr>
          <w:szCs w:val="24"/>
        </w:rPr>
      </w:pPr>
    </w:p>
    <w:p w:rsidR="00373611" w:rsidRPr="00B52A8A" w:rsidRDefault="00373611" w:rsidP="009348D3">
      <w:pPr>
        <w:spacing w:after="0"/>
        <w:rPr>
          <w:szCs w:val="24"/>
        </w:rPr>
      </w:pPr>
    </w:p>
    <w:p w:rsidR="001154F9" w:rsidRPr="00B52A8A" w:rsidRDefault="001154F9" w:rsidP="001154F9">
      <w:pPr>
        <w:pStyle w:val="P-text"/>
        <w:spacing w:after="240" w:line="240" w:lineRule="auto"/>
        <w:ind w:firstLine="0"/>
      </w:pPr>
    </w:p>
    <w:p w:rsidR="00FE0CFE" w:rsidRPr="00B52A8A" w:rsidRDefault="002D7EE0" w:rsidP="00FE0CFE">
      <w:pPr>
        <w:pStyle w:val="Nadpis1"/>
      </w:pPr>
      <w:bookmarkStart w:id="140" w:name="_Toc293058001"/>
      <w:bookmarkStart w:id="141" w:name="_Toc293153769"/>
      <w:r>
        <w:lastRenderedPageBreak/>
        <w:t>10</w:t>
      </w:r>
      <w:r w:rsidR="00FE0CFE" w:rsidRPr="00B52A8A">
        <w:t xml:space="preserve"> REFERENČNÍ SEZNAM</w:t>
      </w:r>
      <w:bookmarkEnd w:id="140"/>
      <w:bookmarkEnd w:id="141"/>
    </w:p>
    <w:p w:rsidR="001154F9" w:rsidRPr="00B52A8A" w:rsidRDefault="001154F9" w:rsidP="00FE0CFE">
      <w:r w:rsidRPr="00B52A8A">
        <w:t xml:space="preserve">Anonymous (n. d.). Retrieved 1. 6. from the World Wide Web: </w:t>
      </w:r>
    </w:p>
    <w:p w:rsidR="001154F9" w:rsidRPr="00B52A8A" w:rsidRDefault="001154F9" w:rsidP="00FE0CFE">
      <w:r w:rsidRPr="00B52A8A">
        <w:t xml:space="preserve">  http://www.biospace.cz/technologie.php.</w:t>
      </w:r>
    </w:p>
    <w:p w:rsidR="001154F9" w:rsidRPr="00B52A8A" w:rsidRDefault="001154F9" w:rsidP="00FE0CFE">
      <w:r w:rsidRPr="00B52A8A">
        <w:t>Anonymous (n. d.). Retrieved 1. 6. from the World Wide Web:</w:t>
      </w:r>
    </w:p>
    <w:p w:rsidR="001154F9" w:rsidRPr="00B52A8A" w:rsidRDefault="001154F9" w:rsidP="00FE0CFE">
      <w:bookmarkStart w:id="142" w:name="_Toc233197947"/>
      <w:r w:rsidRPr="00B52A8A">
        <w:t xml:space="preserve">  http://www.biospace.cz/inbody-720-pb4.php</w:t>
      </w:r>
      <w:bookmarkEnd w:id="142"/>
      <w:r w:rsidRPr="00B52A8A">
        <w:t>.</w:t>
      </w:r>
    </w:p>
    <w:p w:rsidR="001154F9" w:rsidRPr="00B52A8A" w:rsidRDefault="001154F9" w:rsidP="00FE0CFE">
      <w:pPr>
        <w:spacing w:after="0"/>
        <w:rPr>
          <w:szCs w:val="24"/>
        </w:rPr>
      </w:pPr>
      <w:r w:rsidRPr="00B52A8A">
        <w:rPr>
          <w:szCs w:val="24"/>
        </w:rPr>
        <w:t>Anonymous (n. d.). Retrieved 26. 4. 2011 from the World Wide Web:</w:t>
      </w:r>
      <w:r w:rsidRPr="00B52A8A">
        <w:rPr>
          <w:szCs w:val="24"/>
        </w:rPr>
        <w:br/>
        <w:t xml:space="preserve">   http://www.biospace.cz/soubory/pdf/vyklad-vysledku-a-aplikace </w:t>
      </w:r>
      <w:r w:rsidRPr="00B52A8A">
        <w:rPr>
          <w:szCs w:val="24"/>
        </w:rPr>
        <w:br/>
        <w:t xml:space="preserve">   inbody720.pdf. </w:t>
      </w:r>
    </w:p>
    <w:p w:rsidR="001154F9" w:rsidRPr="00B52A8A" w:rsidRDefault="001154F9" w:rsidP="00FE0CFE">
      <w:bookmarkStart w:id="143" w:name="_Toc233197948"/>
      <w:r w:rsidRPr="00B52A8A">
        <w:t>Anonymous (n. d.). Retrieved 27. 5. 2009 from the World Wide Web:</w:t>
      </w:r>
      <w:bookmarkEnd w:id="143"/>
    </w:p>
    <w:p w:rsidR="001154F9" w:rsidRPr="00B52A8A" w:rsidRDefault="001154F9" w:rsidP="00FE0CFE">
      <w:bookmarkStart w:id="144" w:name="_Toc233197949"/>
      <w:r w:rsidRPr="00B52A8A">
        <w:t xml:space="preserve">  http://www.bodyanalyse.no/dsm-bia.htm</w:t>
      </w:r>
      <w:bookmarkEnd w:id="144"/>
      <w:r w:rsidRPr="00B52A8A">
        <w:t xml:space="preserve">. </w:t>
      </w:r>
    </w:p>
    <w:p w:rsidR="001154F9" w:rsidRPr="00B52A8A" w:rsidRDefault="001154F9" w:rsidP="00FE0CFE">
      <w:r w:rsidRPr="00B52A8A">
        <w:t>Anonymous (n. d.), Retrieved 27. 5. 2009 from the World Wide Web:</w:t>
      </w:r>
    </w:p>
    <w:p w:rsidR="001154F9" w:rsidRPr="00B52A8A" w:rsidRDefault="001154F9" w:rsidP="00FE0CFE">
      <w:r w:rsidRPr="00B52A8A">
        <w:t xml:space="preserve">  </w:t>
      </w:r>
      <w:r w:rsidR="005956A4" w:rsidRPr="00B52A8A">
        <w:t>http://www.bodystat.com/segmental.html</w:t>
      </w:r>
      <w:r w:rsidRPr="00B52A8A">
        <w:t>.</w:t>
      </w:r>
    </w:p>
    <w:p w:rsidR="005956A4" w:rsidRPr="00B52A8A" w:rsidRDefault="005956A4" w:rsidP="00FE0CFE">
      <w:r w:rsidRPr="00B52A8A">
        <w:rPr>
          <w:szCs w:val="24"/>
        </w:rPr>
        <w:t>Anonymous (n. d.). Retrieved 26. 4. 2011 from the World Wide Web:</w:t>
      </w:r>
      <w:r w:rsidRPr="00B52A8A">
        <w:rPr>
          <w:szCs w:val="24"/>
        </w:rPr>
        <w:br/>
        <w:t xml:space="preserve">    http://www.indares.com/user/u_pa-charts.asp?chart=1</w:t>
      </w:r>
    </w:p>
    <w:p w:rsidR="001154F9" w:rsidRPr="00B52A8A" w:rsidRDefault="001154F9" w:rsidP="00FE0CFE">
      <w:pPr>
        <w:spacing w:after="0"/>
        <w:rPr>
          <w:szCs w:val="24"/>
        </w:rPr>
      </w:pPr>
      <w:bookmarkStart w:id="145" w:name="_Toc233197950"/>
      <w:r w:rsidRPr="00B52A8A">
        <w:rPr>
          <w:szCs w:val="24"/>
        </w:rPr>
        <w:t xml:space="preserve">Anonymous (n. d.). Retrieved 26. 4. 2011 from the World Wide Web:  </w:t>
      </w:r>
      <w:r w:rsidRPr="00B52A8A">
        <w:rPr>
          <w:szCs w:val="24"/>
        </w:rPr>
        <w:br/>
        <w:t xml:space="preserve">   http://www.mpsv.cz/cs/1111.</w:t>
      </w:r>
    </w:p>
    <w:p w:rsidR="001154F9" w:rsidRPr="00B52A8A" w:rsidRDefault="001154F9" w:rsidP="00FE0CFE">
      <w:r w:rsidRPr="00B52A8A">
        <w:t>Anonymous (n. d.). Retrieved 18. 5. 2009 from the World Wide Web:</w:t>
      </w:r>
      <w:bookmarkEnd w:id="145"/>
    </w:p>
    <w:p w:rsidR="001154F9" w:rsidRPr="00B52A8A" w:rsidRDefault="001154F9" w:rsidP="00FE0CFE">
      <w:r w:rsidRPr="00B52A8A">
        <w:t xml:space="preserve">  </w:t>
      </w:r>
      <w:hyperlink r:id="rId31" w:history="1">
        <w:bookmarkStart w:id="146" w:name="_Toc233197951"/>
        <w:r w:rsidRPr="00B52A8A">
          <w:rPr>
            <w:rStyle w:val="Hypertextovodkaz"/>
            <w:color w:val="auto"/>
            <w:u w:val="none"/>
          </w:rPr>
          <w:t>http://www.mpsv.cz/cs/5045</w:t>
        </w:r>
        <w:bookmarkEnd w:id="146"/>
      </w:hyperlink>
      <w:r w:rsidRPr="00B52A8A">
        <w:t>.</w:t>
      </w:r>
    </w:p>
    <w:p w:rsidR="001154F9" w:rsidRPr="00B52A8A" w:rsidRDefault="001154F9" w:rsidP="00FE0CFE">
      <w:r w:rsidRPr="00B52A8A">
        <w:t>Anonymous (n. d.). Retrieved 25. 8. 2009 from the World Wide Web:</w:t>
      </w:r>
    </w:p>
    <w:p w:rsidR="001154F9" w:rsidRPr="00B52A8A" w:rsidRDefault="001154F9" w:rsidP="00FE0CFE">
      <w:r w:rsidRPr="00B52A8A">
        <w:t xml:space="preserve">  http:// www.projektpaseo.cz.</w:t>
      </w:r>
    </w:p>
    <w:p w:rsidR="001154F9" w:rsidRPr="00B52A8A" w:rsidRDefault="001154F9" w:rsidP="00FE0CFE">
      <w:r w:rsidRPr="00B52A8A">
        <w:t>Anonymous (n. d.). Retrieved 3. 5. 2009 from the World Wide Web:</w:t>
      </w:r>
      <w:r w:rsidRPr="00B52A8A">
        <w:tab/>
      </w:r>
    </w:p>
    <w:p w:rsidR="001154F9" w:rsidRPr="00B52A8A" w:rsidRDefault="001154F9" w:rsidP="00FE0CFE">
      <w:r w:rsidRPr="00B52A8A">
        <w:t xml:space="preserve">  http://www.tanita.com/en/bc-418/184-catId.</w:t>
      </w:r>
      <w:proofErr w:type="gramStart"/>
      <w:r w:rsidRPr="00B52A8A">
        <w:t>520093719.html</w:t>
      </w:r>
      <w:proofErr w:type="gramEnd"/>
    </w:p>
    <w:p w:rsidR="00F64D3D" w:rsidRPr="00B52A8A" w:rsidRDefault="009348D3" w:rsidP="00FE0CFE">
      <w:pPr>
        <w:spacing w:after="0"/>
        <w:rPr>
          <w:szCs w:val="24"/>
        </w:rPr>
      </w:pPr>
      <w:r w:rsidRPr="00B52A8A">
        <w:rPr>
          <w:szCs w:val="24"/>
        </w:rPr>
        <w:t>Anonymo</w:t>
      </w:r>
      <w:r w:rsidR="0001227A" w:rsidRPr="00B52A8A">
        <w:rPr>
          <w:szCs w:val="24"/>
        </w:rPr>
        <w:t>us (n. d.). Retrieved 11. 3. 201</w:t>
      </w:r>
      <w:r w:rsidRPr="00B52A8A">
        <w:rPr>
          <w:szCs w:val="24"/>
        </w:rPr>
        <w:t>1 from the World Wide Web:</w:t>
      </w:r>
      <w:r w:rsidRPr="00B52A8A">
        <w:rPr>
          <w:szCs w:val="24"/>
        </w:rPr>
        <w:br/>
        <w:t xml:space="preserve">  http://www.tuxmed.com/store/bodystat-quadscan-4000- </w:t>
      </w:r>
      <w:r w:rsidRPr="00B52A8A">
        <w:rPr>
          <w:szCs w:val="24"/>
        </w:rPr>
        <w:br/>
        <w:t xml:space="preserve">  bodycomposition-analyzer.html</w:t>
      </w:r>
      <w:r w:rsidR="00280EBA" w:rsidRPr="00B52A8A">
        <w:rPr>
          <w:szCs w:val="24"/>
        </w:rPr>
        <w:t>.</w:t>
      </w:r>
      <w:r w:rsidRPr="00B52A8A">
        <w:rPr>
          <w:szCs w:val="24"/>
        </w:rPr>
        <w:t xml:space="preserve"> </w:t>
      </w:r>
    </w:p>
    <w:p w:rsidR="00DA25AC" w:rsidRPr="00B52A8A" w:rsidRDefault="00950040" w:rsidP="00FE0CFE">
      <w:pPr>
        <w:spacing w:after="0"/>
        <w:rPr>
          <w:szCs w:val="24"/>
        </w:rPr>
      </w:pPr>
      <w:r w:rsidRPr="00B52A8A">
        <w:rPr>
          <w:szCs w:val="24"/>
        </w:rPr>
        <w:t>Adamírová, J. (2007). Péče o pohybové aktivity seniorů v rámci české</w:t>
      </w:r>
      <w:r w:rsidR="00D07B2F" w:rsidRPr="00B52A8A">
        <w:rPr>
          <w:szCs w:val="24"/>
        </w:rPr>
        <w:br/>
        <w:t xml:space="preserve">  </w:t>
      </w:r>
      <w:r w:rsidRPr="00B52A8A">
        <w:rPr>
          <w:szCs w:val="24"/>
        </w:rPr>
        <w:t xml:space="preserve"> asociace sport pro všechny (ČASPV). In Wittmannová, J.</w:t>
      </w:r>
      <w:r w:rsidR="007D32A6" w:rsidRPr="00B52A8A">
        <w:rPr>
          <w:szCs w:val="24"/>
        </w:rPr>
        <w:t xml:space="preserve"> (Ed.),</w:t>
      </w:r>
      <w:r w:rsidRPr="00B52A8A">
        <w:rPr>
          <w:szCs w:val="24"/>
        </w:rPr>
        <w:t xml:space="preserve"> </w:t>
      </w:r>
      <w:r w:rsidRPr="00B52A8A">
        <w:rPr>
          <w:rStyle w:val="Zvraznn"/>
        </w:rPr>
        <w:t>Aktivní</w:t>
      </w:r>
      <w:r w:rsidRPr="00B52A8A">
        <w:t xml:space="preserve"> </w:t>
      </w:r>
      <w:r w:rsidR="008F633A" w:rsidRPr="00B52A8A">
        <w:t xml:space="preserve">  </w:t>
      </w:r>
      <w:r w:rsidR="008F633A" w:rsidRPr="00B52A8A">
        <w:br/>
        <w:t xml:space="preserve">   </w:t>
      </w:r>
      <w:r w:rsidRPr="00B52A8A">
        <w:t xml:space="preserve">v </w:t>
      </w:r>
      <w:r w:rsidRPr="00B52A8A">
        <w:rPr>
          <w:rStyle w:val="Zvraznn"/>
        </w:rPr>
        <w:t>každém věku</w:t>
      </w:r>
      <w:r w:rsidRPr="00B52A8A">
        <w:t xml:space="preserve">: </w:t>
      </w:r>
      <w:r w:rsidRPr="00B52A8A">
        <w:rPr>
          <w:i/>
        </w:rPr>
        <w:t xml:space="preserve">pracovní seminář odborníků v oblasti pohybových </w:t>
      </w:r>
      <w:r w:rsidR="008F633A" w:rsidRPr="00B52A8A">
        <w:rPr>
          <w:i/>
        </w:rPr>
        <w:br/>
        <w:t xml:space="preserve">   </w:t>
      </w:r>
      <w:r w:rsidRPr="00B52A8A">
        <w:rPr>
          <w:i/>
        </w:rPr>
        <w:t xml:space="preserve">aktivit seniorů, Olomouc, </w:t>
      </w:r>
      <w:r w:rsidR="007D32A6" w:rsidRPr="00B52A8A">
        <w:rPr>
          <w:i/>
        </w:rPr>
        <w:t>31.11. -1. 12. 2006</w:t>
      </w:r>
      <w:r w:rsidRPr="00B52A8A">
        <w:rPr>
          <w:i/>
        </w:rPr>
        <w:t xml:space="preserve"> : sborník textů</w:t>
      </w:r>
      <w:r w:rsidRPr="00B52A8A">
        <w:t xml:space="preserve"> (pp. 1</w:t>
      </w:r>
      <w:r w:rsidR="007D32A6" w:rsidRPr="00B52A8A">
        <w:t>9</w:t>
      </w:r>
      <w:r w:rsidRPr="00B52A8A">
        <w:t>-</w:t>
      </w:r>
      <w:r w:rsidR="008F633A" w:rsidRPr="00B52A8A">
        <w:br/>
        <w:t xml:space="preserve">   </w:t>
      </w:r>
      <w:r w:rsidRPr="00B52A8A">
        <w:t>20).</w:t>
      </w:r>
      <w:r w:rsidR="007D32A6" w:rsidRPr="00B52A8A">
        <w:t xml:space="preserve"> Olomouc: Univerzita Palackého. </w:t>
      </w:r>
      <w:r w:rsidR="009348D3" w:rsidRPr="00B52A8A">
        <w:rPr>
          <w:szCs w:val="24"/>
        </w:rPr>
        <w:t xml:space="preserve"> </w:t>
      </w:r>
    </w:p>
    <w:p w:rsidR="001154F9" w:rsidRPr="00B52A8A" w:rsidRDefault="001154F9" w:rsidP="00EA0511">
      <w:r w:rsidRPr="00B52A8A">
        <w:lastRenderedPageBreak/>
        <w:t xml:space="preserve">Behnke, A., R. (1963). Anthropometric evaluation of body composition     </w:t>
      </w:r>
      <w:r w:rsidRPr="00B52A8A">
        <w:br/>
        <w:t xml:space="preserve">  through life: </w:t>
      </w:r>
      <w:r w:rsidRPr="00B52A8A">
        <w:rPr>
          <w:i/>
        </w:rPr>
        <w:t>Ann. N. J. Acad. Sci. 110</w:t>
      </w:r>
      <w:r w:rsidRPr="00B52A8A">
        <w:t>, 450-464.</w:t>
      </w:r>
    </w:p>
    <w:p w:rsidR="00417F9A" w:rsidRPr="00B52A8A" w:rsidRDefault="00417F9A" w:rsidP="00EA0511">
      <w:pPr>
        <w:rPr>
          <w:szCs w:val="24"/>
        </w:rPr>
      </w:pPr>
      <w:r w:rsidRPr="00B52A8A">
        <w:rPr>
          <w:rFonts w:cs="AdvP8585"/>
          <w:szCs w:val="24"/>
        </w:rPr>
        <w:t xml:space="preserve">Demura, S &amp; Sato, S. (2007). </w:t>
      </w:r>
      <w:r w:rsidRPr="00B52A8A">
        <w:rPr>
          <w:szCs w:val="24"/>
        </w:rPr>
        <w:t xml:space="preserve">Prediction of visceral fat area at the </w:t>
      </w:r>
      <w:r w:rsidRPr="00B52A8A">
        <w:rPr>
          <w:szCs w:val="24"/>
        </w:rPr>
        <w:br/>
        <w:t xml:space="preserve">   umbilicus level usingfat mass of the trunk: The validity of bioelectrical          </w:t>
      </w:r>
      <w:r w:rsidRPr="00B52A8A">
        <w:rPr>
          <w:szCs w:val="24"/>
        </w:rPr>
        <w:br/>
        <w:t xml:space="preserve">   impedance analysis. </w:t>
      </w:r>
      <w:r w:rsidRPr="00B52A8A">
        <w:rPr>
          <w:rFonts w:cs="AdvP8588"/>
          <w:i/>
          <w:szCs w:val="24"/>
        </w:rPr>
        <w:t>Journal of Sports Sciences</w:t>
      </w:r>
      <w:r w:rsidRPr="00B52A8A">
        <w:rPr>
          <w:rFonts w:cs="AdvP8585"/>
          <w:i/>
          <w:szCs w:val="24"/>
        </w:rPr>
        <w:t>, 25(7),</w:t>
      </w:r>
      <w:r w:rsidRPr="00B52A8A">
        <w:rPr>
          <w:rFonts w:cs="AdvP8585"/>
          <w:szCs w:val="24"/>
        </w:rPr>
        <w:t xml:space="preserve"> 823-833.</w:t>
      </w:r>
      <w:r w:rsidRPr="00B52A8A">
        <w:rPr>
          <w:szCs w:val="24"/>
        </w:rPr>
        <w:t xml:space="preserve"> </w:t>
      </w:r>
    </w:p>
    <w:p w:rsidR="0088546D" w:rsidRPr="00B52A8A" w:rsidRDefault="00DA25AC" w:rsidP="00FE0CFE">
      <w:r w:rsidRPr="00B52A8A">
        <w:t xml:space="preserve">Dutta, C. (1997). Significance of sarcopenia in the elderly. </w:t>
      </w:r>
      <w:r w:rsidRPr="00B52A8A">
        <w:rPr>
          <w:i/>
        </w:rPr>
        <w:t>Journal of</w:t>
      </w:r>
      <w:r w:rsidR="00D07B2F" w:rsidRPr="00B52A8A">
        <w:rPr>
          <w:i/>
        </w:rPr>
        <w:br/>
        <w:t xml:space="preserve">   </w:t>
      </w:r>
      <w:r w:rsidRPr="00B52A8A">
        <w:rPr>
          <w:i/>
        </w:rPr>
        <w:t>Nutrition</w:t>
      </w:r>
      <w:r w:rsidRPr="00B52A8A">
        <w:rPr>
          <w:rFonts w:ascii="Times-Italic" w:hAnsi="Times-Italic" w:cs="Times-Italic"/>
          <w:i/>
          <w:iCs/>
        </w:rPr>
        <w:t xml:space="preserve">, </w:t>
      </w:r>
      <w:r w:rsidRPr="00B52A8A">
        <w:rPr>
          <w:i/>
        </w:rPr>
        <w:t>127</w:t>
      </w:r>
      <w:r w:rsidRPr="00B52A8A">
        <w:t>, 992–993.</w:t>
      </w:r>
    </w:p>
    <w:p w:rsidR="001154F9" w:rsidRPr="00B52A8A" w:rsidRDefault="001154F9" w:rsidP="00FE0CFE">
      <w:r w:rsidRPr="00B52A8A">
        <w:t>Dziura, J. &amp; DiPietro, L. (2003). The importanc</w:t>
      </w:r>
      <w:r w:rsidR="008F633A" w:rsidRPr="00B52A8A">
        <w:t xml:space="preserve">e of body weight </w:t>
      </w:r>
      <w:r w:rsidR="008F633A" w:rsidRPr="00B52A8A">
        <w:br/>
        <w:t xml:space="preserve">   maintenance </w:t>
      </w:r>
      <w:r w:rsidRPr="00B52A8A">
        <w:t xml:space="preserve">in successful aging. In R., E. Andersen (Ed.), </w:t>
      </w:r>
      <w:r w:rsidR="008F633A" w:rsidRPr="00B52A8A">
        <w:rPr>
          <w:i/>
        </w:rPr>
        <w:t xml:space="preserve">Obesity: </w:t>
      </w:r>
      <w:r w:rsidR="008F633A" w:rsidRPr="00B52A8A">
        <w:rPr>
          <w:i/>
        </w:rPr>
        <w:br/>
        <w:t xml:space="preserve">   etiology, </w:t>
      </w:r>
      <w:r w:rsidRPr="00B52A8A">
        <w:rPr>
          <w:i/>
        </w:rPr>
        <w:t>ass</w:t>
      </w:r>
      <w:r w:rsidR="008F633A" w:rsidRPr="00B52A8A">
        <w:rPr>
          <w:i/>
        </w:rPr>
        <w:t xml:space="preserve">essment, </w:t>
      </w:r>
      <w:r w:rsidRPr="00B52A8A">
        <w:rPr>
          <w:i/>
        </w:rPr>
        <w:t xml:space="preserve">treatment and prevention </w:t>
      </w:r>
      <w:r w:rsidRPr="00B52A8A">
        <w:t xml:space="preserve">(pp. 141-149). </w:t>
      </w:r>
      <w:r w:rsidR="008F633A" w:rsidRPr="00B52A8A">
        <w:br/>
        <w:t xml:space="preserve">   </w:t>
      </w:r>
      <w:r w:rsidRPr="00B52A8A">
        <w:t xml:space="preserve">Champaign: Human Kinetics. </w:t>
      </w:r>
    </w:p>
    <w:p w:rsidR="00F34213" w:rsidRPr="00B52A8A" w:rsidRDefault="00F34213" w:rsidP="00FE0CFE">
      <w:pPr>
        <w:rPr>
          <w:rFonts w:cs="TimesNewRomanCE"/>
          <w:szCs w:val="24"/>
        </w:rPr>
      </w:pPr>
      <w:r w:rsidRPr="00B52A8A">
        <w:rPr>
          <w:szCs w:val="24"/>
        </w:rPr>
        <w:t>Engelová, L., Pelclová, J., Šalplachtová, P. &amp; Lepková, H. (2010).</w:t>
      </w:r>
      <w:r w:rsidR="00EA0511" w:rsidRPr="00B52A8A">
        <w:rPr>
          <w:szCs w:val="24"/>
        </w:rPr>
        <w:br/>
        <w:t xml:space="preserve">  </w:t>
      </w:r>
      <w:r w:rsidRPr="00B52A8A">
        <w:rPr>
          <w:szCs w:val="24"/>
        </w:rPr>
        <w:t xml:space="preserve"> Hodnocení pohybové aktivity vybraných intenzitu seniorů pomocí </w:t>
      </w:r>
      <w:r w:rsidR="00EA0511" w:rsidRPr="00B52A8A">
        <w:rPr>
          <w:szCs w:val="24"/>
        </w:rPr>
        <w:br/>
        <w:t xml:space="preserve">   </w:t>
      </w:r>
      <w:r w:rsidRPr="00B52A8A">
        <w:rPr>
          <w:szCs w:val="24"/>
        </w:rPr>
        <w:t xml:space="preserve">akcelerometru ActiGraph . </w:t>
      </w:r>
      <w:r w:rsidRPr="00B52A8A">
        <w:rPr>
          <w:rFonts w:cs="TimesNewRomanCE"/>
          <w:i/>
          <w:szCs w:val="24"/>
        </w:rPr>
        <w:t>Med. Sport. Boh. Slov. 19(4),</w:t>
      </w:r>
      <w:r w:rsidRPr="00B52A8A">
        <w:rPr>
          <w:rFonts w:cs="TimesNewRomanCE"/>
          <w:szCs w:val="24"/>
        </w:rPr>
        <w:t xml:space="preserve"> 201–204.</w:t>
      </w:r>
    </w:p>
    <w:p w:rsidR="003354AD" w:rsidRPr="00B52A8A" w:rsidRDefault="003354AD" w:rsidP="00FE0CFE">
      <w:r w:rsidRPr="00B52A8A">
        <w:t>Gallagher, J. M. et al. (2000). To determine the pe</w:t>
      </w:r>
      <w:r w:rsidR="00EA0511" w:rsidRPr="00B52A8A">
        <w:t>rcentage of body fat</w:t>
      </w:r>
      <w:r w:rsidR="00EA0511" w:rsidRPr="00B52A8A">
        <w:br/>
        <w:t xml:space="preserve">   that is</w:t>
      </w:r>
      <w:r w:rsidRPr="00B52A8A">
        <w:t xml:space="preserve">appropriate for your body, consult for your physician. </w:t>
      </w:r>
      <w:r w:rsidR="00EA0511" w:rsidRPr="00B52A8A">
        <w:rPr>
          <w:i/>
        </w:rPr>
        <w:t>Am. J.</w:t>
      </w:r>
      <w:r w:rsidR="00EA0511" w:rsidRPr="00B52A8A">
        <w:rPr>
          <w:i/>
        </w:rPr>
        <w:br/>
        <w:t xml:space="preserve">   Clin. Nutr., </w:t>
      </w:r>
      <w:r w:rsidRPr="00B52A8A">
        <w:rPr>
          <w:i/>
        </w:rPr>
        <w:t>72,</w:t>
      </w:r>
      <w:r w:rsidRPr="00B52A8A">
        <w:t xml:space="preserve"> 694</w:t>
      </w:r>
      <w:r w:rsidRPr="00B52A8A">
        <w:rPr>
          <w:szCs w:val="24"/>
        </w:rPr>
        <w:t>–</w:t>
      </w:r>
      <w:r w:rsidRPr="00B52A8A">
        <w:t>701.</w:t>
      </w:r>
    </w:p>
    <w:p w:rsidR="00FE0CFE" w:rsidRPr="00B52A8A" w:rsidRDefault="00FE0CFE" w:rsidP="00FE0CFE">
      <w:pPr>
        <w:pStyle w:val="P-text"/>
        <w:ind w:firstLine="0"/>
      </w:pPr>
      <w:bookmarkStart w:id="147" w:name="_Toc233197952"/>
      <w:r w:rsidRPr="00B52A8A">
        <w:t xml:space="preserve">Hopman-Rock, M. A warm welcome to the new website of the EUropean </w:t>
      </w:r>
      <w:r w:rsidRPr="00B52A8A">
        <w:br/>
        <w:t xml:space="preserve">  </w:t>
      </w:r>
      <w:r w:rsidR="00EA0511" w:rsidRPr="00B52A8A">
        <w:t xml:space="preserve"> </w:t>
      </w:r>
      <w:r w:rsidRPr="00B52A8A">
        <w:t xml:space="preserve">Network for Action on Ageing and Physical </w:t>
      </w:r>
      <w:r w:rsidR="008F633A" w:rsidRPr="00B52A8A">
        <w:t xml:space="preserve">Activity (EUNAAPA). </w:t>
      </w:r>
      <w:r w:rsidR="008F633A" w:rsidRPr="00B52A8A">
        <w:br/>
        <w:t xml:space="preserve">   Retrieved</w:t>
      </w:r>
      <w:r w:rsidRPr="00B52A8A">
        <w:t>18. 5. 2009 from the World Wide Web:</w:t>
      </w:r>
      <w:bookmarkEnd w:id="147"/>
      <w:r w:rsidRPr="00B52A8A">
        <w:t xml:space="preserve"> </w:t>
      </w:r>
      <w:bookmarkStart w:id="148" w:name="_Toc233197953"/>
      <w:r w:rsidRPr="00B52A8A">
        <w:t xml:space="preserve">http:// </w:t>
      </w:r>
      <w:r w:rsidR="008F633A" w:rsidRPr="00B52A8A">
        <w:br/>
        <w:t xml:space="preserve">   </w:t>
      </w:r>
      <w:r w:rsidRPr="00B52A8A">
        <w:t>www.eunaapa.eu</w:t>
      </w:r>
      <w:bookmarkEnd w:id="148"/>
      <w:r w:rsidR="008F633A" w:rsidRPr="00B52A8A">
        <w:t>.</w:t>
      </w:r>
    </w:p>
    <w:p w:rsidR="005C0F72" w:rsidRPr="00B52A8A" w:rsidRDefault="005C0F72" w:rsidP="00FE0CFE">
      <w:pPr>
        <w:ind w:left="170" w:hanging="170"/>
        <w:rPr>
          <w:szCs w:val="24"/>
        </w:rPr>
      </w:pPr>
      <w:r w:rsidRPr="00B52A8A">
        <w:rPr>
          <w:szCs w:val="24"/>
        </w:rPr>
        <w:t xml:space="preserve">Hu, G., Tuomilehto, J., Silventoinen, K., Barengo, N., &amp; Jousilahti, P. (2004). Joint effects of physical activity, body mass index, waist circumference and waist-to-hip ratio with the risk of cardiovascular disease among middle-aged Finnish men and women. </w:t>
      </w:r>
      <w:r w:rsidRPr="00B52A8A">
        <w:rPr>
          <w:i/>
          <w:szCs w:val="24"/>
        </w:rPr>
        <w:t>European Heart Journal, 25(24)</w:t>
      </w:r>
      <w:r w:rsidRPr="00B52A8A">
        <w:rPr>
          <w:szCs w:val="24"/>
        </w:rPr>
        <w:t>, 2212–2219.</w:t>
      </w:r>
    </w:p>
    <w:p w:rsidR="00FE0CFE" w:rsidRPr="00B52A8A" w:rsidRDefault="00FE0CFE" w:rsidP="00FE0CFE">
      <w:pPr>
        <w:rPr>
          <w:szCs w:val="24"/>
        </w:rPr>
      </w:pPr>
      <w:r w:rsidRPr="00B52A8A">
        <w:rPr>
          <w:szCs w:val="24"/>
        </w:rPr>
        <w:t xml:space="preserve">Chytráčková, J. (2001). Metody vyšetření tukové komponenty tělesného </w:t>
      </w:r>
      <w:r w:rsidRPr="00B52A8A">
        <w:rPr>
          <w:szCs w:val="24"/>
        </w:rPr>
        <w:br/>
        <w:t xml:space="preserve">  složení ve sportovní praxi. In P. Tilinger, A. Rychtecký &amp; T. Perič (Eds.) </w:t>
      </w:r>
      <w:r w:rsidRPr="00B52A8A">
        <w:rPr>
          <w:szCs w:val="24"/>
        </w:rPr>
        <w:br/>
        <w:t xml:space="preserve">  </w:t>
      </w:r>
      <w:r w:rsidRPr="00B52A8A">
        <w:rPr>
          <w:i/>
          <w:szCs w:val="24"/>
        </w:rPr>
        <w:t xml:space="preserve">Sport v České republice na začátku nového tisíciletí </w:t>
      </w:r>
      <w:r w:rsidRPr="00B52A8A">
        <w:rPr>
          <w:szCs w:val="24"/>
        </w:rPr>
        <w:t>(Vol. 2, pp. 125-</w:t>
      </w:r>
      <w:r w:rsidRPr="00B52A8A">
        <w:rPr>
          <w:szCs w:val="24"/>
        </w:rPr>
        <w:br/>
        <w:t xml:space="preserve">  127.)Praha: Univerzita Karlova.</w:t>
      </w:r>
    </w:p>
    <w:p w:rsidR="00527D92" w:rsidRPr="00B52A8A" w:rsidRDefault="00527D92" w:rsidP="00FE0CFE">
      <w:pPr>
        <w:rPr>
          <w:sz w:val="26"/>
        </w:rPr>
      </w:pPr>
      <w:r w:rsidRPr="00B52A8A">
        <w:lastRenderedPageBreak/>
        <w:t xml:space="preserve">Chmelík, F et al. (2008). The Verification of the lability if the online </w:t>
      </w:r>
      <w:r w:rsidR="00EA0511" w:rsidRPr="00B52A8A">
        <w:br/>
        <w:t xml:space="preserve">   </w:t>
      </w:r>
      <w:r w:rsidRPr="00B52A8A">
        <w:t xml:space="preserve">indares.com system in collecting data on physical activtiyb – pilot </w:t>
      </w:r>
      <w:r w:rsidR="00EA0511" w:rsidRPr="00B52A8A">
        <w:br/>
        <w:t xml:space="preserve">   </w:t>
      </w:r>
      <w:r w:rsidRPr="00B52A8A">
        <w:t xml:space="preserve">study. </w:t>
      </w:r>
      <w:r w:rsidRPr="00B52A8A">
        <w:rPr>
          <w:i/>
        </w:rPr>
        <w:t>Acta Univ. Palacki. Olomuc., Gymn., 38(4),</w:t>
      </w:r>
      <w:r w:rsidRPr="00B52A8A">
        <w:t xml:space="preserve"> 59-66.</w:t>
      </w:r>
    </w:p>
    <w:p w:rsidR="00FE0CFE" w:rsidRPr="00B52A8A" w:rsidRDefault="00FE0CFE" w:rsidP="00FE0CFE">
      <w:pPr>
        <w:rPr>
          <w:szCs w:val="24"/>
        </w:rPr>
      </w:pPr>
      <w:r w:rsidRPr="00B52A8A">
        <w:rPr>
          <w:szCs w:val="24"/>
        </w:rPr>
        <w:t xml:space="preserve">Jebb, S. A., Cole, T. J., Doman, D., Murgatrtoyd, P. R., &amp; Prentice, A. M. </w:t>
      </w:r>
      <w:r w:rsidRPr="00B52A8A">
        <w:rPr>
          <w:szCs w:val="24"/>
        </w:rPr>
        <w:br/>
        <w:t xml:space="preserve">  (2000). Evaluation of the novel Tanita  body-</w:t>
      </w:r>
      <w:r w:rsidR="00EA0511" w:rsidRPr="00B52A8A">
        <w:rPr>
          <w:szCs w:val="24"/>
        </w:rPr>
        <w:t xml:space="preserve">fat analyser to measure </w:t>
      </w:r>
      <w:r w:rsidR="00EA0511" w:rsidRPr="00B52A8A">
        <w:rPr>
          <w:szCs w:val="24"/>
        </w:rPr>
        <w:br/>
        <w:t xml:space="preserve">  body </w:t>
      </w:r>
      <w:r w:rsidRPr="00B52A8A">
        <w:rPr>
          <w:szCs w:val="24"/>
        </w:rPr>
        <w:t xml:space="preserve">composition by comparison with four-compartment model. </w:t>
      </w:r>
      <w:r w:rsidR="00EA0511" w:rsidRPr="00B52A8A">
        <w:rPr>
          <w:szCs w:val="24"/>
        </w:rPr>
        <w:br/>
        <w:t xml:space="preserve">  </w:t>
      </w:r>
      <w:r w:rsidR="00EA0511" w:rsidRPr="00B52A8A">
        <w:rPr>
          <w:i/>
          <w:szCs w:val="24"/>
        </w:rPr>
        <w:t xml:space="preserve">British Journal </w:t>
      </w:r>
      <w:r w:rsidRPr="00B52A8A">
        <w:rPr>
          <w:i/>
          <w:szCs w:val="24"/>
        </w:rPr>
        <w:t>of Nutrition</w:t>
      </w:r>
      <w:r w:rsidRPr="00B52A8A">
        <w:rPr>
          <w:szCs w:val="24"/>
        </w:rPr>
        <w:t xml:space="preserve">, </w:t>
      </w:r>
      <w:r w:rsidRPr="00B52A8A">
        <w:rPr>
          <w:i/>
          <w:szCs w:val="24"/>
        </w:rPr>
        <w:t xml:space="preserve">83, </w:t>
      </w:r>
      <w:r w:rsidRPr="00B52A8A">
        <w:rPr>
          <w:szCs w:val="24"/>
        </w:rPr>
        <w:t xml:space="preserve">115-122. Retrieved 28. 4. 2009 from </w:t>
      </w:r>
      <w:r w:rsidR="00EA0511" w:rsidRPr="00B52A8A">
        <w:rPr>
          <w:szCs w:val="24"/>
        </w:rPr>
        <w:br/>
        <w:t xml:space="preserve">  </w:t>
      </w:r>
      <w:r w:rsidRPr="00B52A8A">
        <w:rPr>
          <w:szCs w:val="24"/>
        </w:rPr>
        <w:t>the World Wide Web: http://journals.cambridge.org/download.php</w:t>
      </w:r>
      <w:r w:rsidR="008F633A" w:rsidRPr="00B52A8A">
        <w:rPr>
          <w:szCs w:val="24"/>
        </w:rPr>
        <w:t>.</w:t>
      </w:r>
    </w:p>
    <w:p w:rsidR="00F462C7" w:rsidRPr="00B52A8A" w:rsidRDefault="00F462C7" w:rsidP="00FE0CFE">
      <w:r w:rsidRPr="00B52A8A">
        <w:t xml:space="preserve">Gába, A., Přidalová, M., Pelclová, J., Riegerová, J. </w:t>
      </w:r>
      <w:r w:rsidRPr="00B52A8A">
        <w:sym w:font="Symbol" w:char="F026"/>
      </w:r>
      <w:r w:rsidRPr="00B52A8A">
        <w:t xml:space="preserve"> Tlučáková, L. </w:t>
      </w:r>
      <w:r w:rsidR="00EA0511" w:rsidRPr="00B52A8A">
        <w:br/>
        <w:t xml:space="preserve">   </w:t>
      </w:r>
      <w:r w:rsidRPr="00B52A8A">
        <w:t>(2010).</w:t>
      </w:r>
      <w:r w:rsidR="00EA0511" w:rsidRPr="00B52A8A">
        <w:t xml:space="preserve"> </w:t>
      </w:r>
      <w:r w:rsidRPr="00B52A8A">
        <w:t xml:space="preserve">Analýza tělesného složení a pohybové aktivity u českých </w:t>
      </w:r>
      <w:r w:rsidR="00EA0511" w:rsidRPr="00B52A8A">
        <w:br/>
        <w:t xml:space="preserve">   </w:t>
      </w:r>
      <w:r w:rsidRPr="00B52A8A">
        <w:t xml:space="preserve">a slovenských žen. </w:t>
      </w:r>
      <w:r w:rsidRPr="00B52A8A">
        <w:rPr>
          <w:i/>
        </w:rPr>
        <w:t>Med. Sport. Boh. Slov.,</w:t>
      </w:r>
      <w:r w:rsidRPr="00B52A8A">
        <w:t xml:space="preserve"> </w:t>
      </w:r>
      <w:r w:rsidRPr="00B52A8A">
        <w:rPr>
          <w:i/>
        </w:rPr>
        <w:t>19(3),</w:t>
      </w:r>
      <w:r w:rsidRPr="00B52A8A">
        <w:t xml:space="preserve"> 152–159.</w:t>
      </w:r>
    </w:p>
    <w:p w:rsidR="00AD0E27" w:rsidRPr="00B52A8A" w:rsidRDefault="00AD0E27" w:rsidP="00FE0CFE">
      <w:r w:rsidRPr="00B52A8A">
        <w:t xml:space="preserve">Grauer, </w:t>
      </w:r>
      <w:r w:rsidR="00F462C7" w:rsidRPr="00B52A8A">
        <w:t>W. O., Moss, A. A., Cann, C. E.</w:t>
      </w:r>
      <w:r w:rsidRPr="00B52A8A">
        <w:t xml:space="preserve"> </w:t>
      </w:r>
      <w:r w:rsidRPr="00B52A8A">
        <w:sym w:font="Symbol" w:char="F026"/>
      </w:r>
      <w:r w:rsidRPr="00B52A8A">
        <w:t xml:space="preserve"> Goldberg, H. I. </w:t>
      </w:r>
      <w:r w:rsidR="00F462C7" w:rsidRPr="00B52A8A">
        <w:t xml:space="preserve">(1984). </w:t>
      </w:r>
      <w:r w:rsidR="00EB74D8" w:rsidRPr="00B52A8A">
        <w:br/>
        <w:t xml:space="preserve">   </w:t>
      </w:r>
      <w:r w:rsidRPr="00B52A8A">
        <w:t>Quantification of</w:t>
      </w:r>
      <w:r w:rsidR="00F462C7" w:rsidRPr="00B52A8A">
        <w:t xml:space="preserve"> </w:t>
      </w:r>
      <w:r w:rsidRPr="00B52A8A">
        <w:t xml:space="preserve">body fat distribution in the abdomen using </w:t>
      </w:r>
      <w:r w:rsidR="00EA0511" w:rsidRPr="00B52A8A">
        <w:br/>
        <w:t xml:space="preserve">   </w:t>
      </w:r>
      <w:r w:rsidRPr="00B52A8A">
        <w:t xml:space="preserve">computed tomography. </w:t>
      </w:r>
      <w:r w:rsidRPr="00B52A8A">
        <w:rPr>
          <w:i/>
        </w:rPr>
        <w:t>Am. J. Clin. Nutr., 30,</w:t>
      </w:r>
      <w:r w:rsidRPr="00B52A8A">
        <w:t xml:space="preserve"> 631</w:t>
      </w:r>
      <w:r w:rsidRPr="00B52A8A">
        <w:rPr>
          <w:szCs w:val="24"/>
        </w:rPr>
        <w:t>–</w:t>
      </w:r>
      <w:r w:rsidRPr="00B52A8A">
        <w:t xml:space="preserve">637. </w:t>
      </w:r>
    </w:p>
    <w:p w:rsidR="00AF63FC" w:rsidRPr="00B52A8A" w:rsidRDefault="00AF63FC" w:rsidP="00AF63FC">
      <w:r w:rsidRPr="00B52A8A">
        <w:t xml:space="preserve">Henry, J., A. &amp; Pandita, A. (2009). Perspective on biomaterials used in </w:t>
      </w:r>
      <w:r w:rsidRPr="00B52A8A">
        <w:br/>
        <w:t xml:space="preserve">   the surgical treatment of morbid obesity. </w:t>
      </w:r>
      <w:r w:rsidRPr="00B52A8A">
        <w:rPr>
          <w:i/>
        </w:rPr>
        <w:t>Obesity reviews,</w:t>
      </w:r>
      <w:r w:rsidRPr="00B52A8A">
        <w:t xml:space="preserve"> 10, 324-</w:t>
      </w:r>
      <w:r w:rsidRPr="00B52A8A">
        <w:br/>
        <w:t xml:space="preserve">   332.</w:t>
      </w:r>
    </w:p>
    <w:p w:rsidR="004225FA" w:rsidRPr="00B52A8A" w:rsidRDefault="004225FA" w:rsidP="00FE0CFE">
      <w:r w:rsidRPr="00B52A8A">
        <w:rPr>
          <w:i/>
        </w:rPr>
        <w:t xml:space="preserve">InBody 720. </w:t>
      </w:r>
      <w:r w:rsidRPr="00B52A8A">
        <w:t>[Computer Software]. Olomouc: Software Centrum.</w:t>
      </w:r>
    </w:p>
    <w:p w:rsidR="00FE0CFE" w:rsidRPr="00B52A8A" w:rsidRDefault="00FE0CFE" w:rsidP="00FE0CFE">
      <w:pPr>
        <w:rPr>
          <w:szCs w:val="24"/>
        </w:rPr>
      </w:pPr>
      <w:r w:rsidRPr="00B52A8A">
        <w:rPr>
          <w:szCs w:val="24"/>
        </w:rPr>
        <w:t>Kalvach, Z., Zadák, Z., Jirák, R., Zavazalová, H., &amp; Sucharda, P. (2004).</w:t>
      </w:r>
      <w:r w:rsidRPr="00B52A8A">
        <w:t xml:space="preserve"> </w:t>
      </w:r>
      <w:r w:rsidRPr="00B52A8A">
        <w:br/>
        <w:t xml:space="preserve">  </w:t>
      </w:r>
      <w:r w:rsidRPr="00B52A8A">
        <w:rPr>
          <w:i/>
          <w:szCs w:val="24"/>
        </w:rPr>
        <w:t>Geriatrie a gerontologie.</w:t>
      </w:r>
      <w:r w:rsidRPr="00B52A8A">
        <w:rPr>
          <w:szCs w:val="24"/>
        </w:rPr>
        <w:t xml:space="preserve"> Praha: Grada Publishing.</w:t>
      </w:r>
    </w:p>
    <w:p w:rsidR="00FE0CFE" w:rsidRPr="00B52A8A" w:rsidRDefault="00FE0CFE" w:rsidP="00431C63">
      <w:pPr>
        <w:spacing w:after="0"/>
        <w:rPr>
          <w:szCs w:val="24"/>
        </w:rPr>
      </w:pPr>
      <w:r w:rsidRPr="00B52A8A">
        <w:rPr>
          <w:szCs w:val="24"/>
        </w:rPr>
        <w:t>Kravitz, L., &amp; Heyward, H., V. (1992). Gettin</w:t>
      </w:r>
      <w:r w:rsidR="00EA0511" w:rsidRPr="00B52A8A">
        <w:rPr>
          <w:szCs w:val="24"/>
        </w:rPr>
        <w:t xml:space="preserve">g a Grip on Body Composition. </w:t>
      </w:r>
      <w:r w:rsidRPr="00B52A8A">
        <w:rPr>
          <w:i/>
          <w:szCs w:val="24"/>
        </w:rPr>
        <w:t xml:space="preserve">IDEA Today, 10(4), </w:t>
      </w:r>
      <w:r w:rsidRPr="00B52A8A">
        <w:rPr>
          <w:szCs w:val="24"/>
        </w:rPr>
        <w:t>34-39. Retrieved 25. 8.</w:t>
      </w:r>
      <w:r w:rsidR="005C7CD5" w:rsidRPr="00B52A8A">
        <w:rPr>
          <w:szCs w:val="24"/>
        </w:rPr>
        <w:t xml:space="preserve"> 2009 from the World </w:t>
      </w:r>
      <w:r w:rsidR="00EA0511" w:rsidRPr="00B52A8A">
        <w:rPr>
          <w:szCs w:val="24"/>
        </w:rPr>
        <w:t>Wide</w:t>
      </w:r>
      <w:r w:rsidR="005C7CD5" w:rsidRPr="00B52A8A">
        <w:rPr>
          <w:szCs w:val="24"/>
        </w:rPr>
        <w:t xml:space="preserve"> </w:t>
      </w:r>
      <w:r w:rsidR="00EA0511" w:rsidRPr="00B52A8A">
        <w:rPr>
          <w:szCs w:val="24"/>
        </w:rPr>
        <w:t xml:space="preserve">Web: </w:t>
      </w:r>
      <w:r w:rsidRPr="00B52A8A">
        <w:rPr>
          <w:rFonts w:cs="Arial"/>
          <w:szCs w:val="24"/>
        </w:rPr>
        <w:t>http://www.unm.edu/~lkravitz/Article%20folder/underbodycomp.html</w:t>
      </w:r>
    </w:p>
    <w:p w:rsidR="00FE0CFE" w:rsidRPr="00B52A8A" w:rsidRDefault="00FE0CFE" w:rsidP="00FE0CFE">
      <w:pPr>
        <w:rPr>
          <w:szCs w:val="24"/>
        </w:rPr>
      </w:pPr>
      <w:r w:rsidRPr="00B52A8A">
        <w:rPr>
          <w:szCs w:val="24"/>
        </w:rPr>
        <w:t xml:space="preserve">Kyle, Ursula G., et al. (2004). Bioelectrical impedance analysis – part I: </w:t>
      </w:r>
      <w:r w:rsidRPr="00B52A8A">
        <w:rPr>
          <w:szCs w:val="24"/>
        </w:rPr>
        <w:br/>
        <w:t xml:space="preserve">  review of principles and methods. </w:t>
      </w:r>
      <w:r w:rsidRPr="00B52A8A">
        <w:rPr>
          <w:i/>
          <w:szCs w:val="24"/>
        </w:rPr>
        <w:t>Clinical Nutrition, 23,</w:t>
      </w:r>
      <w:r w:rsidRPr="00B52A8A">
        <w:rPr>
          <w:szCs w:val="24"/>
        </w:rPr>
        <w:t xml:space="preserve"> 1226-1243.</w:t>
      </w:r>
    </w:p>
    <w:p w:rsidR="00D07B2F" w:rsidRPr="00B52A8A" w:rsidRDefault="0088546D" w:rsidP="00FE0CFE">
      <w:pPr>
        <w:rPr>
          <w:szCs w:val="24"/>
        </w:rPr>
      </w:pPr>
      <w:r w:rsidRPr="00B52A8A">
        <w:rPr>
          <w:szCs w:val="24"/>
        </w:rPr>
        <w:t xml:space="preserve">Kyle, U. G., </w:t>
      </w:r>
      <w:r w:rsidR="0056042B" w:rsidRPr="00B52A8A">
        <w:rPr>
          <w:szCs w:val="24"/>
        </w:rPr>
        <w:t>Genton, L., Gremion, G., Slos</w:t>
      </w:r>
      <w:r w:rsidRPr="00B52A8A">
        <w:rPr>
          <w:szCs w:val="24"/>
        </w:rPr>
        <w:t>man, D. O.</w:t>
      </w:r>
      <w:r w:rsidR="0056042B" w:rsidRPr="00B52A8A">
        <w:rPr>
          <w:szCs w:val="24"/>
        </w:rPr>
        <w:t xml:space="preserve"> &amp; Richard, C. </w:t>
      </w:r>
      <w:r w:rsidR="00EA0511" w:rsidRPr="00B52A8A">
        <w:rPr>
          <w:szCs w:val="24"/>
        </w:rPr>
        <w:br/>
        <w:t xml:space="preserve">   </w:t>
      </w:r>
      <w:r w:rsidR="0056042B" w:rsidRPr="00B52A8A">
        <w:rPr>
          <w:szCs w:val="24"/>
        </w:rPr>
        <w:t>(2004).</w:t>
      </w:r>
      <w:r w:rsidR="00EA0511" w:rsidRPr="00B52A8A">
        <w:rPr>
          <w:szCs w:val="24"/>
        </w:rPr>
        <w:t xml:space="preserve"> </w:t>
      </w:r>
      <w:r w:rsidR="0056042B" w:rsidRPr="00B52A8A">
        <w:rPr>
          <w:szCs w:val="24"/>
        </w:rPr>
        <w:t xml:space="preserve">Aging, physical activity and height-normalized body </w:t>
      </w:r>
      <w:r w:rsidR="00EA0511" w:rsidRPr="00B52A8A">
        <w:rPr>
          <w:szCs w:val="24"/>
        </w:rPr>
        <w:br/>
        <w:t xml:space="preserve">   </w:t>
      </w:r>
      <w:r w:rsidR="0056042B" w:rsidRPr="00B52A8A">
        <w:rPr>
          <w:szCs w:val="24"/>
        </w:rPr>
        <w:t>composition</w:t>
      </w:r>
      <w:r w:rsidR="00EA0511" w:rsidRPr="00B52A8A">
        <w:rPr>
          <w:szCs w:val="24"/>
        </w:rPr>
        <w:t xml:space="preserve"> </w:t>
      </w:r>
      <w:r w:rsidR="0056042B" w:rsidRPr="00B52A8A">
        <w:rPr>
          <w:szCs w:val="24"/>
        </w:rPr>
        <w:t xml:space="preserve">parameters. </w:t>
      </w:r>
      <w:r w:rsidR="0056042B" w:rsidRPr="00B52A8A">
        <w:rPr>
          <w:i/>
          <w:szCs w:val="24"/>
        </w:rPr>
        <w:t>Clinical Nutrition, 23(1)</w:t>
      </w:r>
      <w:r w:rsidR="0056042B" w:rsidRPr="00B52A8A">
        <w:rPr>
          <w:szCs w:val="24"/>
        </w:rPr>
        <w:t>, 79–88.</w:t>
      </w:r>
    </w:p>
    <w:p w:rsidR="00787F69" w:rsidRPr="00B52A8A" w:rsidRDefault="00787F69" w:rsidP="00FE0CFE">
      <w:r w:rsidRPr="00B52A8A">
        <w:lastRenderedPageBreak/>
        <w:t>Kyle, U. G., Morabia, A., Schulz, Y., &amp; Pichard, C. (2004a). Sedentarism</w:t>
      </w:r>
      <w:r w:rsidR="00D07B2F" w:rsidRPr="00B52A8A">
        <w:br/>
        <w:t xml:space="preserve">  </w:t>
      </w:r>
      <w:r w:rsidRPr="00B52A8A">
        <w:t xml:space="preserve"> affects body fat mass index and fat-free mass index in adults aged 18 </w:t>
      </w:r>
      <w:r w:rsidR="00EA0511" w:rsidRPr="00B52A8A">
        <w:br/>
        <w:t xml:space="preserve">   </w:t>
      </w:r>
      <w:r w:rsidRPr="00B52A8A">
        <w:t xml:space="preserve">to 98 years. </w:t>
      </w:r>
      <w:r w:rsidRPr="00B52A8A">
        <w:rPr>
          <w:i/>
        </w:rPr>
        <w:t>Nutrition, 20</w:t>
      </w:r>
      <w:r w:rsidRPr="00B52A8A">
        <w:rPr>
          <w:rFonts w:ascii="Times-Italic" w:hAnsi="Times-Italic" w:cs="Times-Italic"/>
          <w:i/>
          <w:iCs/>
        </w:rPr>
        <w:t xml:space="preserve">, </w:t>
      </w:r>
      <w:r w:rsidRPr="00B52A8A">
        <w:t>255–260.</w:t>
      </w:r>
    </w:p>
    <w:p w:rsidR="004F20DB" w:rsidRPr="00B52A8A" w:rsidRDefault="0088546D" w:rsidP="00FE0CFE">
      <w:r w:rsidRPr="00B52A8A">
        <w:t xml:space="preserve">Máček, M., Radvanský, J. et al. (c2011). </w:t>
      </w:r>
      <w:r w:rsidRPr="00B52A8A">
        <w:rPr>
          <w:rStyle w:val="Zvraznn"/>
        </w:rPr>
        <w:t>Fyziologie</w:t>
      </w:r>
      <w:r w:rsidRPr="00B52A8A">
        <w:t xml:space="preserve"> a </w:t>
      </w:r>
      <w:r w:rsidRPr="00B52A8A">
        <w:rPr>
          <w:rStyle w:val="Zvraznn"/>
        </w:rPr>
        <w:t xml:space="preserve">klinické aspekty </w:t>
      </w:r>
      <w:r w:rsidR="00D07B2F" w:rsidRPr="00B52A8A">
        <w:rPr>
          <w:rStyle w:val="Zvraznn"/>
        </w:rPr>
        <w:br/>
        <w:t xml:space="preserve">   </w:t>
      </w:r>
      <w:r w:rsidRPr="00B52A8A">
        <w:rPr>
          <w:rStyle w:val="Zvraznn"/>
        </w:rPr>
        <w:t xml:space="preserve">pohybové aktivity. </w:t>
      </w:r>
      <w:r w:rsidRPr="00B52A8A">
        <w:t xml:space="preserve">Praha: Galén. </w:t>
      </w:r>
    </w:p>
    <w:p w:rsidR="00AF63FC" w:rsidRPr="00B52A8A" w:rsidRDefault="00FE0CFE" w:rsidP="00FE0CFE">
      <w:pPr>
        <w:rPr>
          <w:szCs w:val="24"/>
        </w:rPr>
      </w:pPr>
      <w:r w:rsidRPr="00B52A8A">
        <w:rPr>
          <w:szCs w:val="24"/>
        </w:rPr>
        <w:t xml:space="preserve">Pacovský, V., &amp; Heřmanová, H. (1981). </w:t>
      </w:r>
      <w:r w:rsidRPr="00B52A8A">
        <w:rPr>
          <w:i/>
          <w:szCs w:val="24"/>
        </w:rPr>
        <w:t>Gerontologie.</w:t>
      </w:r>
      <w:r w:rsidRPr="00B52A8A">
        <w:rPr>
          <w:szCs w:val="24"/>
        </w:rPr>
        <w:t xml:space="preserve"> Praha: Avicentrum, </w:t>
      </w:r>
      <w:r w:rsidRPr="00B52A8A">
        <w:rPr>
          <w:szCs w:val="24"/>
        </w:rPr>
        <w:br/>
        <w:t xml:space="preserve">  zdravotnické nakladatelství.</w:t>
      </w:r>
    </w:p>
    <w:p w:rsidR="00FE0CFE" w:rsidRPr="00B52A8A" w:rsidRDefault="00FE0CFE" w:rsidP="00FE0CFE">
      <w:pPr>
        <w:spacing w:after="0"/>
      </w:pPr>
      <w:r w:rsidRPr="00B52A8A">
        <w:t>Pelclová, J., Vašíčková, J., Fr</w:t>
      </w:r>
      <w:r w:rsidRPr="00B52A8A">
        <w:rPr>
          <w:rFonts w:ascii="Calibri" w:hAnsi="Calibri" w:cs="Calibri"/>
        </w:rPr>
        <w:t>ö</w:t>
      </w:r>
      <w:r w:rsidRPr="00B52A8A">
        <w:t>mel, K. &amp; Djordjević, I. (2009). Leisu</w:t>
      </w:r>
      <w:r w:rsidR="00EA0511" w:rsidRPr="00B52A8A">
        <w:t xml:space="preserve">re of </w:t>
      </w:r>
      <w:r w:rsidR="00EA0511" w:rsidRPr="00B52A8A">
        <w:br/>
        <w:t xml:space="preserve">   time, </w:t>
      </w:r>
      <w:r w:rsidRPr="00B52A8A">
        <w:t xml:space="preserve">ccupation, domestic, and commuting physical </w:t>
      </w:r>
      <w:r w:rsidR="00EA0511" w:rsidRPr="00B52A8A">
        <w:t xml:space="preserve">aktivity of </w:t>
      </w:r>
      <w:r w:rsidR="00EA0511" w:rsidRPr="00B52A8A">
        <w:br/>
        <w:t xml:space="preserve">   innhabitants of </w:t>
      </w:r>
      <w:r w:rsidRPr="00B52A8A">
        <w:t xml:space="preserve">the Czech Republic agend 55 – 69: Influence of </w:t>
      </w:r>
      <w:r w:rsidR="00EA0511" w:rsidRPr="00B52A8A">
        <w:t>socio-</w:t>
      </w:r>
      <w:r w:rsidR="00EA0511" w:rsidRPr="00B52A8A">
        <w:br/>
        <w:t xml:space="preserve">   demographic and enviro</w:t>
      </w:r>
      <w:r w:rsidRPr="00B52A8A">
        <w:t xml:space="preserve">nmental factors.  </w:t>
      </w:r>
      <w:r w:rsidRPr="00B52A8A">
        <w:rPr>
          <w:i/>
        </w:rPr>
        <w:t xml:space="preserve">Acta Univ. Palacki. Olomuc., </w:t>
      </w:r>
      <w:r w:rsidR="00EA0511" w:rsidRPr="00B52A8A">
        <w:rPr>
          <w:i/>
        </w:rPr>
        <w:br/>
        <w:t xml:space="preserve">   </w:t>
      </w:r>
      <w:r w:rsidRPr="00B52A8A">
        <w:rPr>
          <w:i/>
        </w:rPr>
        <w:t>Gymn.</w:t>
      </w:r>
      <w:r w:rsidR="00527D92" w:rsidRPr="00B52A8A">
        <w:rPr>
          <w:i/>
        </w:rPr>
        <w:t xml:space="preserve">, 39(3), </w:t>
      </w:r>
      <w:r w:rsidR="00527D92" w:rsidRPr="00B52A8A">
        <w:t>13-20.</w:t>
      </w:r>
    </w:p>
    <w:p w:rsidR="00FE0CFE" w:rsidRPr="00B52A8A" w:rsidRDefault="00FE0CFE" w:rsidP="00FE0CFE">
      <w:pPr>
        <w:rPr>
          <w:szCs w:val="24"/>
        </w:rPr>
      </w:pPr>
      <w:r w:rsidRPr="00B52A8A">
        <w:rPr>
          <w:szCs w:val="24"/>
        </w:rPr>
        <w:t xml:space="preserve">Přidalová, M., &amp; Riegerová, J. (2002). </w:t>
      </w:r>
      <w:r w:rsidRPr="00B52A8A">
        <w:rPr>
          <w:i/>
          <w:szCs w:val="24"/>
        </w:rPr>
        <w:t xml:space="preserve">Funkční anatomie I. </w:t>
      </w:r>
      <w:r w:rsidRPr="00B52A8A">
        <w:rPr>
          <w:szCs w:val="24"/>
        </w:rPr>
        <w:t xml:space="preserve">Olomouc: </w:t>
      </w:r>
      <w:r w:rsidR="00EA0511" w:rsidRPr="00B52A8A">
        <w:rPr>
          <w:szCs w:val="24"/>
        </w:rPr>
        <w:br/>
        <w:t xml:space="preserve">   </w:t>
      </w:r>
      <w:r w:rsidRPr="00B52A8A">
        <w:rPr>
          <w:szCs w:val="24"/>
        </w:rPr>
        <w:t>Hanex.</w:t>
      </w:r>
    </w:p>
    <w:p w:rsidR="00FE0CFE" w:rsidRPr="00B52A8A" w:rsidRDefault="00FE0CFE" w:rsidP="00FE0CFE">
      <w:pPr>
        <w:rPr>
          <w:szCs w:val="24"/>
        </w:rPr>
      </w:pPr>
      <w:r w:rsidRPr="00B52A8A">
        <w:rPr>
          <w:szCs w:val="24"/>
        </w:rPr>
        <w:t xml:space="preserve">Riegerová, J., Přidalová, M., &amp; Ulbrichová, M. (2006). </w:t>
      </w:r>
      <w:r w:rsidRPr="00B52A8A">
        <w:rPr>
          <w:i/>
          <w:szCs w:val="24"/>
        </w:rPr>
        <w:t xml:space="preserve">Aplikace fyzické </w:t>
      </w:r>
      <w:r w:rsidRPr="00B52A8A">
        <w:rPr>
          <w:i/>
          <w:szCs w:val="24"/>
        </w:rPr>
        <w:br/>
        <w:t xml:space="preserve">  antropologie v tělesné výchově a sportu.</w:t>
      </w:r>
      <w:r w:rsidRPr="00B52A8A">
        <w:rPr>
          <w:szCs w:val="24"/>
        </w:rPr>
        <w:t xml:space="preserve"> Olomouc: Hanex.</w:t>
      </w:r>
    </w:p>
    <w:p w:rsidR="00177BDC" w:rsidRPr="00B52A8A" w:rsidRDefault="00177BDC" w:rsidP="00177BDC">
      <w:pPr>
        <w:rPr>
          <w:szCs w:val="24"/>
        </w:rPr>
      </w:pPr>
      <w:r w:rsidRPr="00B52A8A">
        <w:rPr>
          <w:szCs w:val="24"/>
        </w:rPr>
        <w:t>Riegerová,</w:t>
      </w:r>
      <w:r w:rsidR="002A480A" w:rsidRPr="00B52A8A">
        <w:rPr>
          <w:szCs w:val="24"/>
        </w:rPr>
        <w:t xml:space="preserve"> </w:t>
      </w:r>
      <w:r w:rsidRPr="00B52A8A">
        <w:rPr>
          <w:szCs w:val="24"/>
        </w:rPr>
        <w:t>J.,</w:t>
      </w:r>
      <w:r w:rsidR="002A480A" w:rsidRPr="00B52A8A">
        <w:rPr>
          <w:szCs w:val="24"/>
        </w:rPr>
        <w:t xml:space="preserve"> </w:t>
      </w:r>
      <w:r w:rsidRPr="00B52A8A">
        <w:rPr>
          <w:szCs w:val="24"/>
        </w:rPr>
        <w:t>Přidalová,</w:t>
      </w:r>
      <w:r w:rsidR="002A480A" w:rsidRPr="00B52A8A">
        <w:rPr>
          <w:szCs w:val="24"/>
        </w:rPr>
        <w:t xml:space="preserve"> </w:t>
      </w:r>
      <w:r w:rsidRPr="00B52A8A">
        <w:rPr>
          <w:szCs w:val="24"/>
        </w:rPr>
        <w:t>M.,</w:t>
      </w:r>
      <w:r w:rsidR="002A480A" w:rsidRPr="00B52A8A">
        <w:rPr>
          <w:szCs w:val="24"/>
        </w:rPr>
        <w:t xml:space="preserve"> </w:t>
      </w:r>
      <w:r w:rsidRPr="00B52A8A">
        <w:rPr>
          <w:szCs w:val="24"/>
        </w:rPr>
        <w:t>Valenta,</w:t>
      </w:r>
      <w:r w:rsidR="002A480A" w:rsidRPr="00B52A8A">
        <w:rPr>
          <w:szCs w:val="24"/>
        </w:rPr>
        <w:t xml:space="preserve"> </w:t>
      </w:r>
      <w:r w:rsidRPr="00B52A8A">
        <w:rPr>
          <w:szCs w:val="24"/>
        </w:rPr>
        <w:t xml:space="preserve">M. </w:t>
      </w:r>
      <w:r w:rsidRPr="00B52A8A">
        <w:rPr>
          <w:rFonts w:cs="Calibri"/>
          <w:szCs w:val="24"/>
        </w:rPr>
        <w:t>&amp;</w:t>
      </w:r>
      <w:r w:rsidRPr="00B52A8A">
        <w:rPr>
          <w:szCs w:val="24"/>
        </w:rPr>
        <w:t xml:space="preserve"> </w:t>
      </w:r>
      <w:r w:rsidR="002A480A" w:rsidRPr="00B52A8A">
        <w:rPr>
          <w:szCs w:val="24"/>
        </w:rPr>
        <w:t xml:space="preserve">Dostálová, I. (2008). </w:t>
      </w:r>
      <w:r w:rsidRPr="00B52A8A">
        <w:rPr>
          <w:szCs w:val="24"/>
        </w:rPr>
        <w:t xml:space="preserve">Analýza </w:t>
      </w:r>
      <w:r w:rsidR="002A480A" w:rsidRPr="00B52A8A">
        <w:rPr>
          <w:szCs w:val="24"/>
        </w:rPr>
        <w:br/>
        <w:t xml:space="preserve">   </w:t>
      </w:r>
      <w:r w:rsidRPr="00B52A8A">
        <w:rPr>
          <w:szCs w:val="24"/>
        </w:rPr>
        <w:t>složení těla pomocí bioimpedance a antropometrie u moravských žen</w:t>
      </w:r>
      <w:r w:rsidR="002A480A" w:rsidRPr="00B52A8A">
        <w:rPr>
          <w:szCs w:val="24"/>
        </w:rPr>
        <w:br/>
        <w:t xml:space="preserve">  </w:t>
      </w:r>
      <w:r w:rsidRPr="00B52A8A">
        <w:rPr>
          <w:szCs w:val="24"/>
        </w:rPr>
        <w:t xml:space="preserve"> ve věku senescence, vliv střednědobého pohybového experimentu.</w:t>
      </w:r>
      <w:r w:rsidR="002A480A" w:rsidRPr="00B52A8A">
        <w:rPr>
          <w:szCs w:val="24"/>
        </w:rPr>
        <w:t xml:space="preserve"> </w:t>
      </w:r>
      <w:r w:rsidR="002A480A" w:rsidRPr="00B52A8A">
        <w:rPr>
          <w:szCs w:val="24"/>
        </w:rPr>
        <w:br/>
        <w:t xml:space="preserve">   </w:t>
      </w:r>
      <w:r w:rsidR="002A480A" w:rsidRPr="00B52A8A">
        <w:rPr>
          <w:i/>
          <w:szCs w:val="24"/>
        </w:rPr>
        <w:t xml:space="preserve">Med. Sport. Boh. Slov., 17(4), </w:t>
      </w:r>
      <w:r w:rsidR="002A480A" w:rsidRPr="00B52A8A">
        <w:rPr>
          <w:szCs w:val="24"/>
        </w:rPr>
        <w:t>191–196.</w:t>
      </w:r>
    </w:p>
    <w:p w:rsidR="000D512E" w:rsidRPr="00B52A8A" w:rsidRDefault="000D512E" w:rsidP="00FE0CFE">
      <w:r w:rsidRPr="00B52A8A">
        <w:t xml:space="preserve">Rokyta, R et. </w:t>
      </w:r>
      <w:proofErr w:type="gramStart"/>
      <w:r w:rsidRPr="00B52A8A">
        <w:t>al</w:t>
      </w:r>
      <w:proofErr w:type="gramEnd"/>
      <w:r w:rsidRPr="00B52A8A">
        <w:t xml:space="preserve"> (2000). </w:t>
      </w:r>
      <w:r w:rsidRPr="00B52A8A">
        <w:rPr>
          <w:i/>
        </w:rPr>
        <w:t>Fyziologie</w:t>
      </w:r>
      <w:r w:rsidRPr="00B52A8A">
        <w:t>. Praha: Nakladatelství ISV.</w:t>
      </w:r>
    </w:p>
    <w:p w:rsidR="00FE0CFE" w:rsidRPr="00B52A8A" w:rsidRDefault="00FE0CFE" w:rsidP="00FE0CFE">
      <w:pPr>
        <w:rPr>
          <w:szCs w:val="24"/>
        </w:rPr>
      </w:pPr>
      <w:r w:rsidRPr="00B52A8A">
        <w:rPr>
          <w:szCs w:val="24"/>
        </w:rPr>
        <w:t xml:space="preserve">Seliger, V., &amp; Vinařický, R. (1992) </w:t>
      </w:r>
      <w:r w:rsidRPr="00B52A8A">
        <w:rPr>
          <w:i/>
          <w:szCs w:val="24"/>
        </w:rPr>
        <w:t>Fyziologie člověka I.</w:t>
      </w:r>
      <w:r w:rsidR="005956A4" w:rsidRPr="00B52A8A">
        <w:rPr>
          <w:szCs w:val="24"/>
        </w:rPr>
        <w:t xml:space="preserve"> Praha: </w:t>
      </w:r>
      <w:r w:rsidR="00EA0511" w:rsidRPr="00B52A8A">
        <w:rPr>
          <w:szCs w:val="24"/>
        </w:rPr>
        <w:br/>
        <w:t xml:space="preserve">   </w:t>
      </w:r>
      <w:r w:rsidR="005956A4" w:rsidRPr="00B52A8A">
        <w:rPr>
          <w:szCs w:val="24"/>
        </w:rPr>
        <w:t>Karolinum.</w:t>
      </w:r>
    </w:p>
    <w:p w:rsidR="00EA0511" w:rsidRPr="00B52A8A" w:rsidRDefault="00A77A3C" w:rsidP="00FE0CFE">
      <w:pPr>
        <w:rPr>
          <w:i/>
        </w:rPr>
      </w:pPr>
      <w:r w:rsidRPr="00B52A8A">
        <w:rPr>
          <w:szCs w:val="24"/>
        </w:rPr>
        <w:t xml:space="preserve">Schuit, A. J. (2006). Physical activity, body composition and healthy </w:t>
      </w:r>
      <w:r w:rsidR="00EA0511" w:rsidRPr="00B52A8A">
        <w:rPr>
          <w:szCs w:val="24"/>
        </w:rPr>
        <w:t xml:space="preserve">  </w:t>
      </w:r>
      <w:r w:rsidR="00EA0511" w:rsidRPr="00B52A8A">
        <w:rPr>
          <w:szCs w:val="24"/>
        </w:rPr>
        <w:br/>
        <w:t xml:space="preserve">   </w:t>
      </w:r>
      <w:r w:rsidRPr="00B52A8A">
        <w:rPr>
          <w:szCs w:val="24"/>
        </w:rPr>
        <w:t>ageing. Science &amp; Sports, 21(4), 209–213.</w:t>
      </w:r>
      <w:r w:rsidR="00EA0511" w:rsidRPr="00B52A8A">
        <w:rPr>
          <w:szCs w:val="24"/>
        </w:rPr>
        <w:t xml:space="preserve"> </w:t>
      </w:r>
      <w:r w:rsidR="00037582" w:rsidRPr="00B52A8A">
        <w:rPr>
          <w:i/>
        </w:rPr>
        <w:t xml:space="preserve">Společné plnění </w:t>
      </w:r>
      <w:r w:rsidR="00EA0511" w:rsidRPr="00B52A8A">
        <w:rPr>
          <w:i/>
        </w:rPr>
        <w:br/>
        <w:t xml:space="preserve">   </w:t>
      </w:r>
      <w:r w:rsidR="00037582" w:rsidRPr="00B52A8A">
        <w:rPr>
          <w:i/>
        </w:rPr>
        <w:t>výzkumn</w:t>
      </w:r>
      <w:r w:rsidR="00EA0511" w:rsidRPr="00B52A8A">
        <w:rPr>
          <w:i/>
        </w:rPr>
        <w:t xml:space="preserve">ého mezinárodního grantu </w:t>
      </w:r>
      <w:proofErr w:type="gramStart"/>
      <w:r w:rsidR="00EA0511" w:rsidRPr="00B52A8A">
        <w:rPr>
          <w:i/>
        </w:rPr>
        <w:t xml:space="preserve">NIH </w:t>
      </w:r>
      <w:r w:rsidR="00037582" w:rsidRPr="00B52A8A">
        <w:rPr>
          <w:i/>
        </w:rPr>
        <w:t xml:space="preserve"> (USA</w:t>
      </w:r>
      <w:proofErr w:type="gramEnd"/>
      <w:r w:rsidR="00037582" w:rsidRPr="00B52A8A">
        <w:rPr>
          <w:i/>
        </w:rPr>
        <w:t xml:space="preserve">) „IPEN: International </w:t>
      </w:r>
      <w:r w:rsidR="00EA0511" w:rsidRPr="00B52A8A">
        <w:rPr>
          <w:i/>
        </w:rPr>
        <w:br/>
        <w:t xml:space="preserve">   </w:t>
      </w:r>
      <w:r w:rsidR="00037582" w:rsidRPr="00B52A8A">
        <w:rPr>
          <w:i/>
        </w:rPr>
        <w:t>Study of Built En</w:t>
      </w:r>
      <w:r w:rsidR="00EA0511" w:rsidRPr="00B52A8A">
        <w:rPr>
          <w:i/>
        </w:rPr>
        <w:t>vironment Physical Activity,</w:t>
      </w:r>
      <w:r w:rsidR="00037582" w:rsidRPr="00B52A8A">
        <w:rPr>
          <w:i/>
        </w:rPr>
        <w:t>and Obesity“</w:t>
      </w:r>
      <w:r w:rsidR="00037582" w:rsidRPr="00B52A8A">
        <w:t xml:space="preserve"> (n. d.). </w:t>
      </w:r>
      <w:r w:rsidR="00EA0511" w:rsidRPr="00B52A8A">
        <w:br/>
        <w:t xml:space="preserve">   </w:t>
      </w:r>
      <w:r w:rsidR="00037582" w:rsidRPr="00B52A8A">
        <w:t>Retrieved 14. 3. 20</w:t>
      </w:r>
      <w:r w:rsidR="00EA0511" w:rsidRPr="00B52A8A">
        <w:t>11 from the World Wide Web:</w:t>
      </w:r>
    </w:p>
    <w:p w:rsidR="00732848" w:rsidRPr="00B52A8A" w:rsidRDefault="00EA0511" w:rsidP="00FE0CFE">
      <w:pPr>
        <w:rPr>
          <w:szCs w:val="24"/>
        </w:rPr>
      </w:pPr>
      <w:r w:rsidRPr="00B52A8A">
        <w:t xml:space="preserve">   </w:t>
      </w:r>
      <w:r w:rsidR="00037582" w:rsidRPr="00B52A8A">
        <w:t>http://lide.uhk.cz/pdf/ucitel/feltlda1/NIH%20grant%20HK-studenti-</w:t>
      </w:r>
      <w:r w:rsidR="00037582" w:rsidRPr="00B52A8A">
        <w:br/>
        <w:t xml:space="preserve">   podzim2010-2A%20%5BRe%C5%BEim%20kompatibility%5D.pdf</w:t>
      </w:r>
      <w:r w:rsidR="00280EBA" w:rsidRPr="00B52A8A">
        <w:t>.</w:t>
      </w:r>
      <w:r w:rsidR="00037582" w:rsidRPr="00B52A8A">
        <w:t xml:space="preserve"> </w:t>
      </w:r>
    </w:p>
    <w:p w:rsidR="000D512E" w:rsidRPr="00B52A8A" w:rsidRDefault="000D512E" w:rsidP="00FE0CFE">
      <w:r w:rsidRPr="00B52A8A">
        <w:rPr>
          <w:i/>
        </w:rPr>
        <w:lastRenderedPageBreak/>
        <w:t>Sport Fitness Advisor:</w:t>
      </w:r>
      <w:r w:rsidRPr="00B52A8A">
        <w:t xml:space="preserve"> </w:t>
      </w:r>
      <w:r w:rsidRPr="00B52A8A">
        <w:rPr>
          <w:i/>
        </w:rPr>
        <w:t>Your Ideal Body Fat Percentage.</w:t>
      </w:r>
      <w:r w:rsidRPr="00B52A8A">
        <w:t xml:space="preserve"> </w:t>
      </w:r>
      <w:r w:rsidR="00EA0511" w:rsidRPr="00B52A8A">
        <w:t xml:space="preserve">Retrieved 26. 4. </w:t>
      </w:r>
      <w:r w:rsidR="00EA0511" w:rsidRPr="00B52A8A">
        <w:br/>
        <w:t xml:space="preserve">   2011 </w:t>
      </w:r>
      <w:r w:rsidRPr="00B52A8A">
        <w:t xml:space="preserve">from the Word Wide Web: </w:t>
      </w:r>
      <w:r w:rsidR="00EA0511" w:rsidRPr="00B52A8A">
        <w:t>http://</w:t>
      </w:r>
      <w:proofErr w:type="gramStart"/>
      <w:r w:rsidR="00EA0511" w:rsidRPr="00B52A8A">
        <w:t>www</w:t>
      </w:r>
      <w:proofErr w:type="gramEnd"/>
      <w:r w:rsidR="00EA0511" w:rsidRPr="00B52A8A">
        <w:t>.</w:t>
      </w:r>
      <w:proofErr w:type="gramStart"/>
      <w:r w:rsidR="00EA0511" w:rsidRPr="00B52A8A">
        <w:t>sport-fitness</w:t>
      </w:r>
      <w:proofErr w:type="gramEnd"/>
      <w:r w:rsidR="00EA0511" w:rsidRPr="00B52A8A">
        <w:t xml:space="preserve"> </w:t>
      </w:r>
      <w:r w:rsidR="00EA0511" w:rsidRPr="00B52A8A">
        <w:br/>
        <w:t xml:space="preserve">   </w:t>
      </w:r>
      <w:r w:rsidRPr="00B52A8A">
        <w:t xml:space="preserve">advisor.com/bodyfatpercentage.html. </w:t>
      </w:r>
    </w:p>
    <w:p w:rsidR="00EA0511" w:rsidRPr="00B52A8A" w:rsidRDefault="00732848" w:rsidP="00EA0511">
      <w:pPr>
        <w:spacing w:after="0"/>
      </w:pPr>
      <w:r w:rsidRPr="00B52A8A">
        <w:t>Stejskal, P.</w:t>
      </w:r>
      <w:r w:rsidR="005D5B93" w:rsidRPr="00B52A8A">
        <w:t xml:space="preserve"> </w:t>
      </w:r>
      <w:r w:rsidR="001F2F05" w:rsidRPr="00B52A8A">
        <w:rPr>
          <w:i/>
        </w:rPr>
        <w:t>Energetická bilance, metabolismus.</w:t>
      </w:r>
      <w:r w:rsidR="001F2F05" w:rsidRPr="00B52A8A">
        <w:t xml:space="preserve"> </w:t>
      </w:r>
      <w:r w:rsidRPr="00B52A8A">
        <w:t>Retrieved 14. 3. 2011</w:t>
      </w:r>
      <w:r w:rsidR="00F462C7" w:rsidRPr="00B52A8A">
        <w:t xml:space="preserve"> </w:t>
      </w:r>
      <w:r w:rsidR="00EA0511" w:rsidRPr="00B52A8A">
        <w:br/>
        <w:t xml:space="preserve">   </w:t>
      </w:r>
      <w:r w:rsidRPr="00B52A8A">
        <w:t>from</w:t>
      </w:r>
      <w:r w:rsidR="00EA0511" w:rsidRPr="00B52A8A">
        <w:t xml:space="preserve"> </w:t>
      </w:r>
      <w:r w:rsidRPr="00B52A8A">
        <w:t xml:space="preserve">the World </w:t>
      </w:r>
      <w:r w:rsidR="001F2F05" w:rsidRPr="00B52A8A">
        <w:t xml:space="preserve">Wide </w:t>
      </w:r>
      <w:r w:rsidR="00EA0511" w:rsidRPr="00B52A8A">
        <w:t xml:space="preserve">Web: </w:t>
      </w:r>
    </w:p>
    <w:p w:rsidR="00F462C7" w:rsidRPr="00B52A8A" w:rsidRDefault="00F462C7" w:rsidP="00EA0511">
      <w:pPr>
        <w:ind w:left="284"/>
      </w:pPr>
      <w:r w:rsidRPr="00B52A8A">
        <w:t>http://oldwww.upol.cz/fakulty/ftk/struktura/katedryapracoviste/katedrafu</w:t>
      </w:r>
      <w:r w:rsidR="001F2F05" w:rsidRPr="00B52A8A">
        <w:t>nkcni-antropologie-a-fyziologi</w:t>
      </w:r>
      <w:r w:rsidR="000D512E" w:rsidRPr="00B52A8A">
        <w:t>e/vyuka/doc-mudr-p-stejskal-csc/.</w:t>
      </w:r>
    </w:p>
    <w:p w:rsidR="00FE0CFE" w:rsidRPr="00B52A8A" w:rsidRDefault="00FE0CFE" w:rsidP="00163CC3">
      <w:pPr>
        <w:spacing w:after="0"/>
        <w:ind w:left="284" w:hanging="284"/>
        <w:rPr>
          <w:szCs w:val="24"/>
        </w:rPr>
      </w:pPr>
      <w:r w:rsidRPr="00B52A8A">
        <w:rPr>
          <w:szCs w:val="24"/>
        </w:rPr>
        <w:t>Toth, M., J., Tchernof, A., Sites, C., K., &amp; Poehl</w:t>
      </w:r>
      <w:r w:rsidR="00EA0511" w:rsidRPr="00B52A8A">
        <w:rPr>
          <w:szCs w:val="24"/>
        </w:rPr>
        <w:t xml:space="preserve">man, E., T. (2000). Effect of </w:t>
      </w:r>
      <w:r w:rsidRPr="00B52A8A">
        <w:rPr>
          <w:szCs w:val="24"/>
        </w:rPr>
        <w:t>menopausal status on body comp</w:t>
      </w:r>
      <w:r w:rsidR="00EA0511" w:rsidRPr="00B52A8A">
        <w:rPr>
          <w:szCs w:val="24"/>
        </w:rPr>
        <w:t>ositi</w:t>
      </w:r>
      <w:r w:rsidR="00163CC3" w:rsidRPr="00B52A8A">
        <w:rPr>
          <w:szCs w:val="24"/>
        </w:rPr>
        <w:t xml:space="preserve">on and abdominal fat </w:t>
      </w:r>
      <w:r w:rsidRPr="00B52A8A">
        <w:rPr>
          <w:szCs w:val="24"/>
        </w:rPr>
        <w:t xml:space="preserve">distribution. </w:t>
      </w:r>
      <w:r w:rsidRPr="00B52A8A">
        <w:rPr>
          <w:i/>
          <w:szCs w:val="24"/>
        </w:rPr>
        <w:t xml:space="preserve">International Journal of Obesity, 24, </w:t>
      </w:r>
      <w:r w:rsidR="00163CC3" w:rsidRPr="00B52A8A">
        <w:rPr>
          <w:szCs w:val="24"/>
        </w:rPr>
        <w:t xml:space="preserve">226-231. </w:t>
      </w:r>
      <w:r w:rsidR="006173BA" w:rsidRPr="00B52A8A">
        <w:rPr>
          <w:szCs w:val="24"/>
        </w:rPr>
        <w:t>Retrieved</w:t>
      </w:r>
      <w:r w:rsidR="00163CC3" w:rsidRPr="00B52A8A">
        <w:rPr>
          <w:szCs w:val="24"/>
        </w:rPr>
        <w:t xml:space="preserve"> </w:t>
      </w:r>
      <w:proofErr w:type="gramStart"/>
      <w:r w:rsidR="006173BA" w:rsidRPr="00B52A8A">
        <w:rPr>
          <w:szCs w:val="24"/>
        </w:rPr>
        <w:t>28</w:t>
      </w:r>
      <w:r w:rsidR="00163CC3" w:rsidRPr="00B52A8A">
        <w:rPr>
          <w:szCs w:val="24"/>
        </w:rPr>
        <w:t>.</w:t>
      </w:r>
      <w:r w:rsidR="006173BA" w:rsidRPr="00B52A8A">
        <w:rPr>
          <w:szCs w:val="24"/>
        </w:rPr>
        <w:t>4.</w:t>
      </w:r>
      <w:r w:rsidR="00D65B00" w:rsidRPr="00B52A8A">
        <w:rPr>
          <w:szCs w:val="24"/>
        </w:rPr>
        <w:t xml:space="preserve"> </w:t>
      </w:r>
      <w:r w:rsidR="00163CC3" w:rsidRPr="00B52A8A">
        <w:rPr>
          <w:szCs w:val="24"/>
        </w:rPr>
        <w:t>2</w:t>
      </w:r>
      <w:r w:rsidRPr="00B52A8A">
        <w:rPr>
          <w:szCs w:val="24"/>
        </w:rPr>
        <w:t>009</w:t>
      </w:r>
      <w:proofErr w:type="gramEnd"/>
      <w:r w:rsidR="00163CC3" w:rsidRPr="00B52A8A">
        <w:rPr>
          <w:szCs w:val="24"/>
        </w:rPr>
        <w:t xml:space="preserve"> Fr</w:t>
      </w:r>
      <w:r w:rsidRPr="00B52A8A">
        <w:rPr>
          <w:szCs w:val="24"/>
        </w:rPr>
        <w:t>om</w:t>
      </w:r>
      <w:r w:rsidR="00163CC3" w:rsidRPr="00B52A8A">
        <w:rPr>
          <w:szCs w:val="24"/>
        </w:rPr>
        <w:t xml:space="preserve"> </w:t>
      </w:r>
      <w:r w:rsidRPr="00B52A8A">
        <w:rPr>
          <w:szCs w:val="24"/>
        </w:rPr>
        <w:t>the</w:t>
      </w:r>
      <w:r w:rsidR="00163CC3" w:rsidRPr="00B52A8A">
        <w:rPr>
          <w:szCs w:val="24"/>
        </w:rPr>
        <w:t xml:space="preserve"> </w:t>
      </w:r>
      <w:r w:rsidRPr="00B52A8A">
        <w:rPr>
          <w:szCs w:val="24"/>
        </w:rPr>
        <w:t>World</w:t>
      </w:r>
      <w:r w:rsidR="00163CC3" w:rsidRPr="00B52A8A">
        <w:rPr>
          <w:szCs w:val="24"/>
        </w:rPr>
        <w:t xml:space="preserve"> </w:t>
      </w:r>
      <w:r w:rsidRPr="00B52A8A">
        <w:rPr>
          <w:szCs w:val="24"/>
        </w:rPr>
        <w:t>Wide</w:t>
      </w:r>
      <w:r w:rsidR="00163CC3" w:rsidRPr="00B52A8A">
        <w:rPr>
          <w:szCs w:val="24"/>
        </w:rPr>
        <w:t xml:space="preserve"> </w:t>
      </w:r>
      <w:r w:rsidRPr="00B52A8A">
        <w:rPr>
          <w:szCs w:val="24"/>
        </w:rPr>
        <w:t>Web:</w:t>
      </w:r>
      <w:r w:rsidR="00D65B00" w:rsidRPr="00B52A8A">
        <w:rPr>
          <w:szCs w:val="24"/>
        </w:rPr>
        <w:t xml:space="preserve"> </w:t>
      </w:r>
      <w:r w:rsidRPr="00B52A8A">
        <w:rPr>
          <w:szCs w:val="24"/>
        </w:rPr>
        <w:t>http//www.n</w:t>
      </w:r>
      <w:r w:rsidR="006173BA" w:rsidRPr="00B52A8A">
        <w:rPr>
          <w:szCs w:val="24"/>
        </w:rPr>
        <w:t>ature.com/ijo/journal/v24/n2/</w:t>
      </w:r>
      <w:r w:rsidRPr="00B52A8A">
        <w:rPr>
          <w:szCs w:val="24"/>
        </w:rPr>
        <w:t>full/081118a.html</w:t>
      </w:r>
      <w:r w:rsidR="00163CC3" w:rsidRPr="00B52A8A">
        <w:rPr>
          <w:szCs w:val="24"/>
        </w:rPr>
        <w:t>.</w:t>
      </w:r>
    </w:p>
    <w:p w:rsidR="00FE0CFE" w:rsidRPr="00B52A8A" w:rsidRDefault="00FE0CFE" w:rsidP="00FE0CFE">
      <w:pPr>
        <w:rPr>
          <w:szCs w:val="24"/>
        </w:rPr>
      </w:pPr>
      <w:r w:rsidRPr="00B52A8A">
        <w:rPr>
          <w:szCs w:val="24"/>
        </w:rPr>
        <w:t xml:space="preserve">Trojan, S., et al. (1992). </w:t>
      </w:r>
      <w:r w:rsidRPr="00B52A8A">
        <w:rPr>
          <w:i/>
          <w:szCs w:val="24"/>
        </w:rPr>
        <w:t>Fyziológia 1.</w:t>
      </w:r>
      <w:r w:rsidRPr="00B52A8A">
        <w:rPr>
          <w:szCs w:val="24"/>
        </w:rPr>
        <w:t xml:space="preserve"> Martin: Vydavatelství Osveta.</w:t>
      </w:r>
    </w:p>
    <w:p w:rsidR="00FE0CFE" w:rsidRPr="00B52A8A" w:rsidRDefault="00FE0CFE" w:rsidP="00FE0CFE">
      <w:pPr>
        <w:rPr>
          <w:szCs w:val="24"/>
        </w:rPr>
      </w:pPr>
      <w:r w:rsidRPr="00B52A8A">
        <w:rPr>
          <w:szCs w:val="24"/>
        </w:rPr>
        <w:t xml:space="preserve">Trojan, S., et al. (1996). </w:t>
      </w:r>
      <w:r w:rsidRPr="00B52A8A">
        <w:rPr>
          <w:i/>
          <w:szCs w:val="24"/>
        </w:rPr>
        <w:t>Lékařská fyziologie.</w:t>
      </w:r>
      <w:r w:rsidRPr="00B52A8A">
        <w:rPr>
          <w:szCs w:val="24"/>
        </w:rPr>
        <w:t xml:space="preserve"> Praha: Grada Publishing.</w:t>
      </w:r>
    </w:p>
    <w:p w:rsidR="00910448" w:rsidRPr="00B52A8A" w:rsidRDefault="00910448" w:rsidP="00FE0CFE">
      <w:pPr>
        <w:rPr>
          <w:szCs w:val="24"/>
        </w:rPr>
      </w:pPr>
      <w:r w:rsidRPr="00B52A8A">
        <w:rPr>
          <w:szCs w:val="24"/>
        </w:rPr>
        <w:t xml:space="preserve">Větrovská, R., Matoulek, M., Vilikus, Z. </w:t>
      </w:r>
      <w:r w:rsidRPr="00B52A8A">
        <w:rPr>
          <w:rFonts w:cs="Calibri"/>
          <w:szCs w:val="24"/>
        </w:rPr>
        <w:t>&amp;</w:t>
      </w:r>
      <w:r w:rsidRPr="00B52A8A">
        <w:rPr>
          <w:szCs w:val="24"/>
        </w:rPr>
        <w:t xml:space="preserve"> Slabý, K. (2008). Složení těla </w:t>
      </w:r>
      <w:r w:rsidRPr="00B52A8A">
        <w:rPr>
          <w:szCs w:val="24"/>
        </w:rPr>
        <w:br/>
        <w:t xml:space="preserve">   neovlivní výslednou redukci po pohybovém programu u žen s </w:t>
      </w:r>
      <w:r w:rsidRPr="00B52A8A">
        <w:rPr>
          <w:szCs w:val="24"/>
        </w:rPr>
        <w:br/>
        <w:t xml:space="preserve">   nadváhou a obezitou. </w:t>
      </w:r>
      <w:r w:rsidRPr="00B52A8A">
        <w:rPr>
          <w:i/>
          <w:szCs w:val="24"/>
        </w:rPr>
        <w:t xml:space="preserve">Med. Sport. Boh. Slov., 17(3), </w:t>
      </w:r>
      <w:r w:rsidRPr="00B52A8A">
        <w:rPr>
          <w:szCs w:val="24"/>
        </w:rPr>
        <w:t>130–139.</w:t>
      </w:r>
    </w:p>
    <w:p w:rsidR="00297A3D" w:rsidRPr="00B52A8A" w:rsidRDefault="00297A3D" w:rsidP="00FE0CFE">
      <w:r w:rsidRPr="00B52A8A">
        <w:rPr>
          <w:i/>
        </w:rPr>
        <w:t>Základní ukazatele plnění</w:t>
      </w:r>
      <w:r w:rsidR="004225FA" w:rsidRPr="00B52A8A">
        <w:rPr>
          <w:i/>
        </w:rPr>
        <w:t xml:space="preserve"> doporučení k pohybové aktivitě: v</w:t>
      </w:r>
      <w:r w:rsidRPr="00B52A8A">
        <w:rPr>
          <w:i/>
        </w:rPr>
        <w:t>yhodnocení</w:t>
      </w:r>
      <w:r w:rsidR="00110F67" w:rsidRPr="00B52A8A">
        <w:rPr>
          <w:i/>
        </w:rPr>
        <w:br/>
        <w:t xml:space="preserve">  </w:t>
      </w:r>
      <w:r w:rsidRPr="00B52A8A">
        <w:rPr>
          <w:i/>
        </w:rPr>
        <w:t xml:space="preserve"> výsledků z akcelerometru ActiGraph </w:t>
      </w:r>
      <w:r w:rsidRPr="00B52A8A">
        <w:t xml:space="preserve">[Computer Software]. Olomouc: </w:t>
      </w:r>
      <w:r w:rsidR="00110F67" w:rsidRPr="00B52A8A">
        <w:br/>
        <w:t xml:space="preserve">   </w:t>
      </w:r>
      <w:r w:rsidRPr="00B52A8A">
        <w:t>Software Centrum.</w:t>
      </w:r>
    </w:p>
    <w:p w:rsidR="00FE0CFE" w:rsidRPr="00B52A8A" w:rsidRDefault="00FE0CFE" w:rsidP="00FE0CFE">
      <w:pPr>
        <w:pStyle w:val="Odstavecseseznamem"/>
        <w:ind w:left="0"/>
        <w:rPr>
          <w:szCs w:val="24"/>
        </w:rPr>
      </w:pPr>
      <w:r w:rsidRPr="00B52A8A">
        <w:rPr>
          <w:szCs w:val="24"/>
        </w:rPr>
        <w:t>Wang, Z., Pierson, R., N., Jr. &amp; Heymsfield, S., B. (1992). The five-level</w:t>
      </w:r>
      <w:r w:rsidRPr="00B52A8A">
        <w:rPr>
          <w:szCs w:val="24"/>
        </w:rPr>
        <w:br/>
        <w:t xml:space="preserve">  model: a new approach to organizing body-composition research</w:t>
      </w:r>
      <w:r w:rsidRPr="00B52A8A">
        <w:rPr>
          <w:szCs w:val="24"/>
          <w:vertAlign w:val="superscript"/>
        </w:rPr>
        <w:t>1,2</w:t>
      </w:r>
      <w:r w:rsidRPr="00B52A8A">
        <w:rPr>
          <w:szCs w:val="24"/>
        </w:rPr>
        <w:t xml:space="preserve">. </w:t>
      </w:r>
      <w:r w:rsidR="006173BA" w:rsidRPr="00B52A8A">
        <w:rPr>
          <w:szCs w:val="24"/>
        </w:rPr>
        <w:t xml:space="preserve">  </w:t>
      </w:r>
      <w:r w:rsidR="006173BA" w:rsidRPr="00B52A8A">
        <w:rPr>
          <w:szCs w:val="24"/>
        </w:rPr>
        <w:br/>
        <w:t xml:space="preserve">  </w:t>
      </w:r>
      <w:r w:rsidR="006173BA" w:rsidRPr="00B52A8A">
        <w:rPr>
          <w:i/>
          <w:szCs w:val="24"/>
        </w:rPr>
        <w:t xml:space="preserve">The </w:t>
      </w:r>
      <w:r w:rsidRPr="00B52A8A">
        <w:rPr>
          <w:i/>
          <w:szCs w:val="24"/>
        </w:rPr>
        <w:t xml:space="preserve">American Journal of Clinical Nutrition, 56, </w:t>
      </w:r>
      <w:r w:rsidRPr="00B52A8A">
        <w:rPr>
          <w:szCs w:val="24"/>
        </w:rPr>
        <w:t>19-2</w:t>
      </w:r>
      <w:r w:rsidR="006173BA" w:rsidRPr="00B52A8A">
        <w:rPr>
          <w:szCs w:val="24"/>
        </w:rPr>
        <w:t xml:space="preserve">8. Retrieved 17. 4.   </w:t>
      </w:r>
      <w:r w:rsidR="006173BA" w:rsidRPr="00B52A8A">
        <w:rPr>
          <w:szCs w:val="24"/>
        </w:rPr>
        <w:br/>
        <w:t xml:space="preserve">  2009 from </w:t>
      </w:r>
      <w:r w:rsidRPr="00B52A8A">
        <w:rPr>
          <w:szCs w:val="24"/>
        </w:rPr>
        <w:t>the World Wide Web: http:// www.ajcn.org</w:t>
      </w:r>
      <w:r w:rsidR="008F633A" w:rsidRPr="00B52A8A">
        <w:rPr>
          <w:szCs w:val="24"/>
        </w:rPr>
        <w:t>.</w:t>
      </w:r>
    </w:p>
    <w:p w:rsidR="00255740" w:rsidRPr="00B52A8A" w:rsidRDefault="00255740" w:rsidP="00163CC3">
      <w:pPr>
        <w:ind w:left="142" w:hanging="142"/>
        <w:jc w:val="left"/>
      </w:pPr>
      <w:r w:rsidRPr="00B52A8A">
        <w:t>WHO. (2011</w:t>
      </w:r>
      <w:r w:rsidR="00DA0C64" w:rsidRPr="00B52A8A">
        <w:t>).</w:t>
      </w:r>
      <w:r w:rsidRPr="00B52A8A">
        <w:t xml:space="preserve"> </w:t>
      </w:r>
      <w:r w:rsidRPr="00B52A8A">
        <w:rPr>
          <w:i/>
        </w:rPr>
        <w:t>Physical Activity and Adults</w:t>
      </w:r>
      <w:r w:rsidR="00DA0C64" w:rsidRPr="00B52A8A">
        <w:rPr>
          <w:rFonts w:ascii="Times-Italic" w:hAnsi="Times-Italic" w:cs="Times-Italic"/>
          <w:i/>
          <w:iCs/>
        </w:rPr>
        <w:t xml:space="preserve">. </w:t>
      </w:r>
      <w:r w:rsidR="00DA0C64" w:rsidRPr="00B52A8A">
        <w:t>Retrieved 17. 4. 2011</w:t>
      </w:r>
      <w:r w:rsidR="006173BA" w:rsidRPr="00B52A8A">
        <w:t xml:space="preserve"> from the </w:t>
      </w:r>
      <w:r w:rsidR="00FE0CFE" w:rsidRPr="00B52A8A">
        <w:t xml:space="preserve">World Wide </w:t>
      </w:r>
      <w:proofErr w:type="gramStart"/>
      <w:r w:rsidR="00FE0CFE" w:rsidRPr="00B52A8A">
        <w:t>Web</w:t>
      </w:r>
      <w:r w:rsidR="00DA0C64" w:rsidRPr="00B52A8A">
        <w:t>:</w:t>
      </w:r>
      <w:r w:rsidR="006173BA" w:rsidRPr="00B52A8A">
        <w:t xml:space="preserve">  </w:t>
      </w:r>
      <w:r w:rsidR="00FE0CFE" w:rsidRPr="00B52A8A">
        <w:t xml:space="preserve"> </w:t>
      </w:r>
      <w:r w:rsidR="006173BA" w:rsidRPr="00B52A8A">
        <w:t xml:space="preserve"> </w:t>
      </w:r>
      <w:r w:rsidR="00FE0CFE" w:rsidRPr="00B52A8A">
        <w:t>http</w:t>
      </w:r>
      <w:proofErr w:type="gramEnd"/>
      <w:r w:rsidR="00FE0CFE" w:rsidRPr="00B52A8A">
        <w:t>:</w:t>
      </w:r>
      <w:r w:rsidR="00DA0C64" w:rsidRPr="00B52A8A">
        <w:t>//www.who.int/dietphysicalactivity/factsheet_adults/en/index.html</w:t>
      </w:r>
      <w:r w:rsidR="00163CC3" w:rsidRPr="00B52A8A">
        <w:t>.</w:t>
      </w:r>
    </w:p>
    <w:p w:rsidR="0054223D" w:rsidRPr="00B52A8A" w:rsidRDefault="00255740" w:rsidP="00163CC3">
      <w:pPr>
        <w:ind w:left="142" w:hanging="142"/>
        <w:jc w:val="left"/>
      </w:pPr>
      <w:r w:rsidRPr="00B52A8A">
        <w:t xml:space="preserve">WHO. (2011). </w:t>
      </w:r>
      <w:r w:rsidRPr="00B52A8A">
        <w:rPr>
          <w:i/>
        </w:rPr>
        <w:t>Physical Activity and Older Adults</w:t>
      </w:r>
      <w:r w:rsidRPr="00B52A8A">
        <w:t>. Retrieved 17. 4</w:t>
      </w:r>
      <w:r w:rsidR="00110F67" w:rsidRPr="00B52A8A">
        <w:t xml:space="preserve">. </w:t>
      </w:r>
      <w:r w:rsidR="00163CC3" w:rsidRPr="00B52A8A">
        <w:t xml:space="preserve">  </w:t>
      </w:r>
      <w:r w:rsidR="00163CC3" w:rsidRPr="00B52A8A">
        <w:br/>
      </w:r>
      <w:r w:rsidR="00110F67" w:rsidRPr="00B52A8A">
        <w:t>2011 from the World Wide Web:</w:t>
      </w:r>
      <w:r w:rsidR="00FE0CFE" w:rsidRPr="00B52A8A">
        <w:t xml:space="preserve"> </w:t>
      </w:r>
      <w:r w:rsidR="00163CC3" w:rsidRPr="00B52A8A">
        <w:lastRenderedPageBreak/>
        <w:t>http://www.who.int/dietphysicalactivity/factsheet_olderadults/en/index.html.</w:t>
      </w:r>
    </w:p>
    <w:p w:rsidR="00163CC3" w:rsidRPr="00B52A8A" w:rsidRDefault="00163CC3" w:rsidP="00163CC3">
      <w:pPr>
        <w:rPr>
          <w:szCs w:val="24"/>
        </w:rPr>
      </w:pPr>
      <w:r w:rsidRPr="00B52A8A">
        <w:t xml:space="preserve">YUE, A., S., Y.,  WOO, J., IP, K., W., M., SUM, C., W., M., KWOK, T. </w:t>
      </w:r>
      <w:r w:rsidRPr="00B52A8A">
        <w:br/>
        <w:t xml:space="preserve">   </w:t>
      </w:r>
      <w:r w:rsidRPr="00B52A8A">
        <w:rPr>
          <w:rFonts w:ascii="Times New Roman" w:hAnsi="Times New Roman" w:cs="Times New Roman"/>
        </w:rPr>
        <w:t>&amp;</w:t>
      </w:r>
      <w:r w:rsidRPr="00B52A8A">
        <w:t xml:space="preserve"> HUI, S., S., C. (2007). </w:t>
      </w:r>
      <w:r w:rsidRPr="00B52A8A">
        <w:rPr>
          <w:sz w:val="15"/>
          <w:szCs w:val="15"/>
        </w:rPr>
        <w:t xml:space="preserve"> </w:t>
      </w:r>
      <w:r w:rsidRPr="00B52A8A">
        <w:rPr>
          <w:rFonts w:ascii="AdvP858B" w:hAnsi="AdvP858B" w:cs="AdvP858B"/>
          <w:sz w:val="28"/>
          <w:szCs w:val="28"/>
        </w:rPr>
        <w:t xml:space="preserve">Effect of age and gender on energy expenditure </w:t>
      </w:r>
      <w:r w:rsidRPr="00B52A8A">
        <w:rPr>
          <w:rFonts w:ascii="AdvP858B" w:hAnsi="AdvP858B" w:cs="AdvP858B"/>
          <w:sz w:val="28"/>
          <w:szCs w:val="28"/>
        </w:rPr>
        <w:br/>
        <w:t xml:space="preserve">   in common activities of daily living in a Chinese population. </w:t>
      </w:r>
      <w:r w:rsidRPr="00B52A8A">
        <w:rPr>
          <w:rFonts w:cs="AdvP8588"/>
          <w:i/>
          <w:szCs w:val="24"/>
        </w:rPr>
        <w:t xml:space="preserve">Disability </w:t>
      </w:r>
      <w:r w:rsidRPr="00B52A8A">
        <w:rPr>
          <w:rFonts w:cs="AdvP8588"/>
          <w:i/>
          <w:szCs w:val="24"/>
        </w:rPr>
        <w:br/>
        <w:t xml:space="preserve">   and Rehabilitation</w:t>
      </w:r>
      <w:r w:rsidRPr="00B52A8A">
        <w:rPr>
          <w:i/>
          <w:szCs w:val="24"/>
        </w:rPr>
        <w:t>, 29(2)</w:t>
      </w:r>
      <w:r w:rsidRPr="00B52A8A">
        <w:rPr>
          <w:szCs w:val="24"/>
        </w:rPr>
        <w:t>, 91-96.</w:t>
      </w:r>
    </w:p>
    <w:p w:rsidR="00FB27D5" w:rsidRPr="00B52A8A" w:rsidRDefault="00FB27D5" w:rsidP="00FB27D5">
      <w:pPr>
        <w:rPr>
          <w:rFonts w:cs="BookAntiqua-Bold"/>
          <w:szCs w:val="24"/>
        </w:rPr>
      </w:pPr>
      <w:r w:rsidRPr="00B52A8A">
        <w:rPr>
          <w:szCs w:val="24"/>
        </w:rPr>
        <w:t xml:space="preserve">Zanovec, M., Lakkakula, P., Johnson, L., G. </w:t>
      </w:r>
      <w:r w:rsidRPr="00B52A8A">
        <w:rPr>
          <w:rFonts w:cs="Times New Roman"/>
          <w:szCs w:val="24"/>
        </w:rPr>
        <w:t>&amp;</w:t>
      </w:r>
      <w:r w:rsidRPr="00B52A8A">
        <w:rPr>
          <w:szCs w:val="24"/>
        </w:rPr>
        <w:t xml:space="preserve"> Turri, G. (2009). </w:t>
      </w:r>
      <w:r w:rsidRPr="00B52A8A">
        <w:rPr>
          <w:rFonts w:cs="BookAntiqua-Bold"/>
          <w:szCs w:val="24"/>
        </w:rPr>
        <w:t xml:space="preserve">Physical </w:t>
      </w:r>
      <w:r w:rsidRPr="00B52A8A">
        <w:rPr>
          <w:rFonts w:cs="BookAntiqua-Bold"/>
          <w:szCs w:val="24"/>
        </w:rPr>
        <w:br/>
        <w:t xml:space="preserve">   Activity is Associated with Percent Body Fat and Body Composition </w:t>
      </w:r>
      <w:r w:rsidRPr="00B52A8A">
        <w:rPr>
          <w:rFonts w:cs="BookAntiqua-Bold"/>
          <w:szCs w:val="24"/>
        </w:rPr>
        <w:br/>
        <w:t xml:space="preserve">   but not Body Mass Index in White and Black College Students. </w:t>
      </w:r>
      <w:r w:rsidRPr="00B52A8A">
        <w:rPr>
          <w:rFonts w:cs="BookAntiqua-Italic"/>
          <w:i/>
          <w:iCs/>
          <w:szCs w:val="24"/>
        </w:rPr>
        <w:t xml:space="preserve">Int. J. </w:t>
      </w:r>
      <w:r w:rsidRPr="00B52A8A">
        <w:rPr>
          <w:rFonts w:cs="BookAntiqua-Italic"/>
          <w:i/>
          <w:iCs/>
          <w:szCs w:val="24"/>
        </w:rPr>
        <w:br/>
        <w:t xml:space="preserve">   Exerc. Sci., 2(3), </w:t>
      </w:r>
      <w:r w:rsidRPr="00B52A8A">
        <w:rPr>
          <w:rFonts w:cs="BookAntiqua-Italic"/>
          <w:iCs/>
          <w:szCs w:val="24"/>
        </w:rPr>
        <w:t>175-185.</w:t>
      </w:r>
    </w:p>
    <w:p w:rsidR="00FB27D5" w:rsidRPr="00B52A8A" w:rsidRDefault="00FB27D5" w:rsidP="00163CC3">
      <w:pPr>
        <w:rPr>
          <w:szCs w:val="24"/>
        </w:rPr>
      </w:pPr>
    </w:p>
    <w:p w:rsidR="00163CC3" w:rsidRPr="00B52A8A" w:rsidRDefault="00163CC3" w:rsidP="00FE0CFE">
      <w:pPr>
        <w:jc w:val="left"/>
        <w:rPr>
          <w:b/>
        </w:rPr>
      </w:pPr>
    </w:p>
    <w:p w:rsidR="00EB74D8" w:rsidRPr="00B52A8A" w:rsidRDefault="00EB74D8" w:rsidP="00FE0CFE">
      <w:pPr>
        <w:rPr>
          <w:b/>
        </w:rPr>
      </w:pPr>
    </w:p>
    <w:p w:rsidR="00FE0CFE" w:rsidRPr="00B52A8A" w:rsidRDefault="00FE0CFE" w:rsidP="00255740"/>
    <w:p w:rsidR="00FE0CFE" w:rsidRPr="00B52A8A" w:rsidRDefault="00FE0CFE" w:rsidP="00255740"/>
    <w:p w:rsidR="00FE0CFE" w:rsidRPr="00B52A8A" w:rsidRDefault="00FE0CFE" w:rsidP="00255740"/>
    <w:p w:rsidR="00FE0CFE" w:rsidRPr="00B52A8A" w:rsidRDefault="00FE0CFE" w:rsidP="00255740"/>
    <w:p w:rsidR="00FE0CFE" w:rsidRPr="00B52A8A" w:rsidRDefault="003359FF" w:rsidP="003359FF">
      <w:pPr>
        <w:spacing w:after="200" w:line="276" w:lineRule="auto"/>
        <w:jc w:val="left"/>
      </w:pPr>
      <w:r w:rsidRPr="00B52A8A">
        <w:br w:type="page"/>
      </w:r>
    </w:p>
    <w:p w:rsidR="00FE0CFE" w:rsidRPr="00B52A8A" w:rsidRDefault="002D7EE0" w:rsidP="00FE0CFE">
      <w:pPr>
        <w:pStyle w:val="Nadpis1"/>
      </w:pPr>
      <w:bookmarkStart w:id="149" w:name="_Toc293058002"/>
      <w:bookmarkStart w:id="150" w:name="_Toc293153770"/>
      <w:r>
        <w:lastRenderedPageBreak/>
        <w:t>11</w:t>
      </w:r>
      <w:r w:rsidR="00FE0CFE" w:rsidRPr="00B52A8A">
        <w:t xml:space="preserve"> PŘÍLOHY</w:t>
      </w:r>
      <w:bookmarkEnd w:id="149"/>
      <w:bookmarkEnd w:id="150"/>
    </w:p>
    <w:p w:rsidR="0054223D" w:rsidRPr="00B52A8A" w:rsidRDefault="00FE0CFE" w:rsidP="00255740">
      <w:pPr>
        <w:rPr>
          <w:b/>
        </w:rPr>
      </w:pPr>
      <w:r w:rsidRPr="00B52A8A">
        <w:rPr>
          <w:b/>
        </w:rPr>
        <w:t>Příloha 1.</w:t>
      </w:r>
      <w:r w:rsidR="00713925" w:rsidRPr="00B52A8A">
        <w:rPr>
          <w:b/>
        </w:rPr>
        <w:t xml:space="preserve"> Graf četnostního rozložení hodnot BMI</w:t>
      </w:r>
    </w:p>
    <w:p w:rsidR="0054223D" w:rsidRPr="00B52A8A" w:rsidRDefault="0054223D" w:rsidP="0054223D">
      <w:pPr>
        <w:jc w:val="center"/>
      </w:pPr>
      <w:r w:rsidRPr="00B52A8A">
        <w:rPr>
          <w:noProof/>
          <w:lang w:eastAsia="cs-CZ"/>
        </w:rPr>
        <w:drawing>
          <wp:inline distT="0" distB="0" distL="0" distR="0">
            <wp:extent cx="4572000" cy="2743200"/>
            <wp:effectExtent l="19050" t="0" r="19050" b="0"/>
            <wp:docPr id="1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E0CFE" w:rsidRPr="00B52A8A" w:rsidRDefault="00FE0CFE" w:rsidP="0054223D">
      <w:pPr>
        <w:jc w:val="center"/>
      </w:pPr>
    </w:p>
    <w:p w:rsidR="005956A4" w:rsidRPr="00E17F20" w:rsidRDefault="008F633A" w:rsidP="00E17F20">
      <w:pPr>
        <w:rPr>
          <w:b/>
        </w:rPr>
      </w:pPr>
      <w:r w:rsidRPr="00E17F20">
        <w:rPr>
          <w:b/>
        </w:rPr>
        <w:t>Příloha 2</w:t>
      </w:r>
      <w:r w:rsidR="00E17F20">
        <w:rPr>
          <w:b/>
        </w:rPr>
        <w:t>. Denní graf pohybových</w:t>
      </w:r>
      <w:r w:rsidR="00CE6556" w:rsidRPr="00E17F20">
        <w:rPr>
          <w:b/>
        </w:rPr>
        <w:t xml:space="preserve"> aktivit</w:t>
      </w:r>
      <w:r w:rsidR="005956A4" w:rsidRPr="00E17F20">
        <w:rPr>
          <w:b/>
        </w:rPr>
        <w:t xml:space="preserve"> </w:t>
      </w:r>
    </w:p>
    <w:p w:rsidR="00CE6556" w:rsidRPr="00B52A8A" w:rsidRDefault="00CE6556" w:rsidP="00E17F20">
      <w:r w:rsidRPr="00B52A8A">
        <w:t xml:space="preserve">(upraveno dle http://www.indares.com/user/u_pa-charts.asp?chart=1) </w:t>
      </w:r>
    </w:p>
    <w:p w:rsidR="00713925" w:rsidRPr="00B52A8A" w:rsidRDefault="00713925" w:rsidP="00E17F20"/>
    <w:p w:rsidR="0054223D" w:rsidRPr="00B52A8A" w:rsidRDefault="00CE6556" w:rsidP="00B52A8A">
      <w:pPr>
        <w:shd w:val="clear" w:color="auto" w:fill="FFFFFF"/>
        <w:spacing w:line="240" w:lineRule="auto"/>
        <w:jc w:val="center"/>
        <w:rPr>
          <w:rFonts w:ascii="Arial" w:eastAsia="Times New Roman" w:hAnsi="Arial" w:cs="Arial"/>
          <w:color w:val="002B4C"/>
          <w:sz w:val="18"/>
          <w:szCs w:val="18"/>
          <w:lang w:eastAsia="cs-CZ"/>
        </w:rPr>
      </w:pPr>
      <w:r w:rsidRPr="00B52A8A">
        <w:rPr>
          <w:rFonts w:ascii="Arial" w:eastAsia="Times New Roman" w:hAnsi="Arial" w:cs="Arial"/>
          <w:noProof/>
          <w:color w:val="002B4C"/>
          <w:sz w:val="18"/>
          <w:szCs w:val="18"/>
          <w:lang w:eastAsia="cs-CZ"/>
        </w:rPr>
        <w:drawing>
          <wp:inline distT="0" distB="0" distL="0" distR="0">
            <wp:extent cx="5905500" cy="3834943"/>
            <wp:effectExtent l="19050" t="0" r="0" b="0"/>
            <wp:docPr id="23" name="obrázek 7" descr="http://www.indares.com/streamgrafu/streamgrafuPA2.aspx?id=%7bBE669D3A-7F6E-40EA-A509-0A3CD6B9B043%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dares.com/streamgrafu/streamgrafuPA2.aspx?id=%7bBE669D3A-7F6E-40EA-A509-0A3CD6B9B043%7d"/>
                    <pic:cNvPicPr>
                      <a:picLocks noChangeAspect="1" noChangeArrowheads="1"/>
                    </pic:cNvPicPr>
                  </pic:nvPicPr>
                  <pic:blipFill>
                    <a:blip r:embed="rId33" cstate="print"/>
                    <a:srcRect/>
                    <a:stretch>
                      <a:fillRect/>
                    </a:stretch>
                  </pic:blipFill>
                  <pic:spPr bwMode="auto">
                    <a:xfrm>
                      <a:off x="0" y="0"/>
                      <a:ext cx="5905500" cy="3834943"/>
                    </a:xfrm>
                    <a:prstGeom prst="rect">
                      <a:avLst/>
                    </a:prstGeom>
                    <a:noFill/>
                    <a:ln w="9525">
                      <a:noFill/>
                      <a:miter lim="800000"/>
                      <a:headEnd/>
                      <a:tailEnd/>
                    </a:ln>
                  </pic:spPr>
                </pic:pic>
              </a:graphicData>
            </a:graphic>
          </wp:inline>
        </w:drawing>
      </w:r>
    </w:p>
    <w:sectPr w:rsidR="0054223D" w:rsidRPr="00B52A8A" w:rsidSect="00183166">
      <w:footerReference w:type="default" r:id="rId34"/>
      <w:pgSz w:w="11906" w:h="16838" w:code="9"/>
      <w:pgMar w:top="1418" w:right="1418" w:bottom="1418"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4F4" w:rsidRDefault="005264F4" w:rsidP="008F1F0E">
      <w:pPr>
        <w:spacing w:after="0" w:line="240" w:lineRule="auto"/>
      </w:pPr>
      <w:r>
        <w:separator/>
      </w:r>
    </w:p>
  </w:endnote>
  <w:endnote w:type="continuationSeparator" w:id="0">
    <w:p w:rsidR="005264F4" w:rsidRDefault="005264F4" w:rsidP="008F1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BookAntiqua">
    <w:altName w:val="Times New Roman"/>
    <w:panose1 w:val="00000000000000000000"/>
    <w:charset w:val="00"/>
    <w:family w:val="roman"/>
    <w:notTrueType/>
    <w:pitch w:val="default"/>
    <w:sig w:usb0="00000003" w:usb1="00000000" w:usb2="00000000" w:usb3="00000000" w:csb0="00000001" w:csb1="00000000"/>
  </w:font>
  <w:font w:name="Palatino-Roman">
    <w:altName w:val="Times New Roman"/>
    <w:panose1 w:val="00000000000000000000"/>
    <w:charset w:val="00"/>
    <w:family w:val="roman"/>
    <w:notTrueType/>
    <w:pitch w:val="default"/>
    <w:sig w:usb0="00000001" w:usb1="00000000" w:usb2="00000000" w:usb3="00000000" w:csb0="00000003" w:csb1="00000000"/>
  </w:font>
  <w:font w:name="AdvP858B">
    <w:altName w:val="Times New Roman"/>
    <w:panose1 w:val="00000000000000000000"/>
    <w:charset w:val="00"/>
    <w:family w:val="roman"/>
    <w:notTrueType/>
    <w:pitch w:val="default"/>
    <w:sig w:usb0="00000003" w:usb1="00000000" w:usb2="00000000" w:usb3="00000000" w:csb0="00000001" w:csb1="00000000"/>
  </w:font>
  <w:font w:name="AdvP8585">
    <w:altName w:val="Times New Roman"/>
    <w:panose1 w:val="00000000000000000000"/>
    <w:charset w:val="00"/>
    <w:family w:val="roman"/>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NimbusRomanDOT-Bold">
    <w:altName w:val="MS Mincho"/>
    <w:panose1 w:val="00000000000000000000"/>
    <w:charset w:val="80"/>
    <w:family w:val="auto"/>
    <w:notTrueType/>
    <w:pitch w:val="default"/>
    <w:sig w:usb0="00000005" w:usb1="08070000" w:usb2="00000010" w:usb3="00000000" w:csb0="0002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82BB38t00">
    <w:altName w:val="Times New Roman"/>
    <w:panose1 w:val="00000000000000000000"/>
    <w:charset w:val="00"/>
    <w:family w:val="auto"/>
    <w:notTrueType/>
    <w:pitch w:val="default"/>
    <w:sig w:usb0="00000003" w:usb1="00000000" w:usb2="00000000" w:usb3="00000000" w:csb0="00000001" w:csb1="00000000"/>
  </w:font>
  <w:font w:name="TTE1617B60t00">
    <w:altName w:val="Times New Roman"/>
    <w:panose1 w:val="00000000000000000000"/>
    <w:charset w:val="00"/>
    <w:family w:val="auto"/>
    <w:notTrueType/>
    <w:pitch w:val="default"/>
    <w:sig w:usb0="00000003" w:usb1="00000000" w:usb2="00000000" w:usb3="00000000" w:csb0="00000001" w:csb1="00000000"/>
  </w:font>
  <w:font w:name="TimesNewRomanCE-Bold">
    <w:panose1 w:val="00000000000000000000"/>
    <w:charset w:val="EE"/>
    <w:family w:val="roman"/>
    <w:notTrueType/>
    <w:pitch w:val="default"/>
    <w:sig w:usb0="00000005" w:usb1="00000000" w:usb2="00000000" w:usb3="00000000" w:csb0="00000002" w:csb1="00000000"/>
  </w:font>
  <w:font w:name="AdvP8588">
    <w:altName w:val="Arial"/>
    <w:panose1 w:val="00000000000000000000"/>
    <w:charset w:val="00"/>
    <w:family w:val="swiss"/>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CE">
    <w:panose1 w:val="00000000000000000000"/>
    <w:charset w:val="EE"/>
    <w:family w:val="auto"/>
    <w:notTrueType/>
    <w:pitch w:val="default"/>
    <w:sig w:usb0="00000005" w:usb1="00000000" w:usb2="00000000" w:usb3="00000000" w:csb0="00000002" w:csb1="00000000"/>
  </w:font>
  <w:font w:name="BookAntiqua-Bold">
    <w:altName w:val="Times New Roman"/>
    <w:panose1 w:val="00000000000000000000"/>
    <w:charset w:val="00"/>
    <w:family w:val="roman"/>
    <w:notTrueType/>
    <w:pitch w:val="default"/>
    <w:sig w:usb0="00000003" w:usb1="00000000" w:usb2="00000000" w:usb3="00000000" w:csb0="00000001" w:csb1="00000000"/>
  </w:font>
  <w:font w:name="BookAntiqua-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F4" w:rsidRDefault="005264F4">
    <w:pPr>
      <w:pStyle w:val="Zpat"/>
      <w:jc w:val="center"/>
    </w:pPr>
    <w:fldSimple w:instr=" PAGE   \* MERGEFORMAT ">
      <w:r w:rsidR="00183166">
        <w:rPr>
          <w:noProof/>
        </w:rPr>
        <w:t>12</w:t>
      </w:r>
    </w:fldSimple>
  </w:p>
  <w:p w:rsidR="005264F4" w:rsidRDefault="005264F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2729"/>
      <w:docPartObj>
        <w:docPartGallery w:val="Page Numbers (Bottom of Page)"/>
        <w:docPartUnique/>
      </w:docPartObj>
    </w:sdtPr>
    <w:sdtContent>
      <w:p w:rsidR="005264F4" w:rsidRDefault="005264F4">
        <w:pPr>
          <w:pStyle w:val="Zpat"/>
          <w:jc w:val="center"/>
        </w:pPr>
        <w:fldSimple w:instr=" PAGE   \* MERGEFORMAT ">
          <w:r w:rsidR="00183166">
            <w:rPr>
              <w:noProof/>
            </w:rPr>
            <w:t>93</w:t>
          </w:r>
        </w:fldSimple>
      </w:p>
    </w:sdtContent>
  </w:sdt>
  <w:p w:rsidR="005264F4" w:rsidRDefault="005264F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4F4" w:rsidRDefault="005264F4" w:rsidP="008F1F0E">
      <w:pPr>
        <w:spacing w:after="0" w:line="240" w:lineRule="auto"/>
      </w:pPr>
      <w:r>
        <w:separator/>
      </w:r>
    </w:p>
  </w:footnote>
  <w:footnote w:type="continuationSeparator" w:id="0">
    <w:p w:rsidR="005264F4" w:rsidRDefault="005264F4" w:rsidP="008F1F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F4" w:rsidRDefault="005264F4">
    <w:pPr>
      <w:pStyle w:val="Zhlav"/>
    </w:pPr>
  </w:p>
  <w:p w:rsidR="005264F4" w:rsidRDefault="005264F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011"/>
    <w:multiLevelType w:val="hybridMultilevel"/>
    <w:tmpl w:val="4AC4A4B4"/>
    <w:lvl w:ilvl="0" w:tplc="04050005">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
    <w:nsid w:val="02E65914"/>
    <w:multiLevelType w:val="hybridMultilevel"/>
    <w:tmpl w:val="51C2F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235294"/>
    <w:multiLevelType w:val="hybridMultilevel"/>
    <w:tmpl w:val="632E6284"/>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3">
    <w:nsid w:val="0B0A2AE3"/>
    <w:multiLevelType w:val="hybridMultilevel"/>
    <w:tmpl w:val="E5660132"/>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4">
    <w:nsid w:val="0CD6205D"/>
    <w:multiLevelType w:val="hybridMultilevel"/>
    <w:tmpl w:val="B2643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F561253"/>
    <w:multiLevelType w:val="hybridMultilevel"/>
    <w:tmpl w:val="634A6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69750F5"/>
    <w:multiLevelType w:val="hybridMultilevel"/>
    <w:tmpl w:val="3E464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5E33B5F"/>
    <w:multiLevelType w:val="hybridMultilevel"/>
    <w:tmpl w:val="C37E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6C17D76"/>
    <w:multiLevelType w:val="hybridMultilevel"/>
    <w:tmpl w:val="3BB884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1939CE"/>
    <w:multiLevelType w:val="multilevel"/>
    <w:tmpl w:val="BCB8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075794"/>
    <w:multiLevelType w:val="hybridMultilevel"/>
    <w:tmpl w:val="3286B3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3A61A16"/>
    <w:multiLevelType w:val="hybridMultilevel"/>
    <w:tmpl w:val="D5E2E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4F2ED4"/>
    <w:multiLevelType w:val="hybridMultilevel"/>
    <w:tmpl w:val="06460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B637282"/>
    <w:multiLevelType w:val="multilevel"/>
    <w:tmpl w:val="86CE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EB4090"/>
    <w:multiLevelType w:val="hybridMultilevel"/>
    <w:tmpl w:val="1B4C926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nsid w:val="42114974"/>
    <w:multiLevelType w:val="hybridMultilevel"/>
    <w:tmpl w:val="140A1E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40657C5"/>
    <w:multiLevelType w:val="multilevel"/>
    <w:tmpl w:val="D34E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1F3BF9"/>
    <w:multiLevelType w:val="hybridMultilevel"/>
    <w:tmpl w:val="C0F02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DF15917"/>
    <w:multiLevelType w:val="hybridMultilevel"/>
    <w:tmpl w:val="2FFE6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EB250AD"/>
    <w:multiLevelType w:val="hybridMultilevel"/>
    <w:tmpl w:val="7360A3B0"/>
    <w:lvl w:ilvl="0" w:tplc="04050001">
      <w:start w:val="1"/>
      <w:numFmt w:val="bullet"/>
      <w:lvlText w:val=""/>
      <w:lvlJc w:val="left"/>
      <w:pPr>
        <w:ind w:left="1155" w:hanging="360"/>
      </w:pPr>
      <w:rPr>
        <w:rFonts w:ascii="Symbol" w:hAnsi="Symbo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20">
    <w:nsid w:val="514C0A49"/>
    <w:multiLevelType w:val="hybridMultilevel"/>
    <w:tmpl w:val="E5B61FB0"/>
    <w:lvl w:ilvl="0" w:tplc="FDB6BBE8">
      <w:start w:val="1"/>
      <w:numFmt w:val="decimal"/>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nsid w:val="579F373C"/>
    <w:multiLevelType w:val="multilevel"/>
    <w:tmpl w:val="7A82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645655"/>
    <w:multiLevelType w:val="hybridMultilevel"/>
    <w:tmpl w:val="9612A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2691E22"/>
    <w:multiLevelType w:val="multilevel"/>
    <w:tmpl w:val="6890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760353"/>
    <w:multiLevelType w:val="hybridMultilevel"/>
    <w:tmpl w:val="46C0C1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7D942D7"/>
    <w:multiLevelType w:val="hybridMultilevel"/>
    <w:tmpl w:val="CFBE4D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A382F1B"/>
    <w:multiLevelType w:val="multilevel"/>
    <w:tmpl w:val="2332BFD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596719"/>
    <w:multiLevelType w:val="hybridMultilevel"/>
    <w:tmpl w:val="13F4FF12"/>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8">
    <w:nsid w:val="762658B0"/>
    <w:multiLevelType w:val="hybridMultilevel"/>
    <w:tmpl w:val="80105E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EF24EF7"/>
    <w:multiLevelType w:val="hybridMultilevel"/>
    <w:tmpl w:val="546C30E8"/>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num w:numId="1">
    <w:abstractNumId w:val="8"/>
  </w:num>
  <w:num w:numId="2">
    <w:abstractNumId w:val="0"/>
  </w:num>
  <w:num w:numId="3">
    <w:abstractNumId w:val="20"/>
  </w:num>
  <w:num w:numId="4">
    <w:abstractNumId w:val="1"/>
  </w:num>
  <w:num w:numId="5">
    <w:abstractNumId w:val="18"/>
  </w:num>
  <w:num w:numId="6">
    <w:abstractNumId w:val="6"/>
  </w:num>
  <w:num w:numId="7">
    <w:abstractNumId w:val="29"/>
  </w:num>
  <w:num w:numId="8">
    <w:abstractNumId w:val="12"/>
  </w:num>
  <w:num w:numId="9">
    <w:abstractNumId w:val="28"/>
  </w:num>
  <w:num w:numId="10">
    <w:abstractNumId w:val="25"/>
  </w:num>
  <w:num w:numId="11">
    <w:abstractNumId w:val="2"/>
  </w:num>
  <w:num w:numId="12">
    <w:abstractNumId w:val="14"/>
  </w:num>
  <w:num w:numId="13">
    <w:abstractNumId w:val="19"/>
  </w:num>
  <w:num w:numId="14">
    <w:abstractNumId w:val="7"/>
  </w:num>
  <w:num w:numId="15">
    <w:abstractNumId w:val="15"/>
  </w:num>
  <w:num w:numId="16">
    <w:abstractNumId w:val="10"/>
  </w:num>
  <w:num w:numId="17">
    <w:abstractNumId w:val="4"/>
  </w:num>
  <w:num w:numId="18">
    <w:abstractNumId w:val="5"/>
  </w:num>
  <w:num w:numId="19">
    <w:abstractNumId w:val="26"/>
  </w:num>
  <w:num w:numId="20">
    <w:abstractNumId w:val="27"/>
  </w:num>
  <w:num w:numId="21">
    <w:abstractNumId w:val="3"/>
  </w:num>
  <w:num w:numId="22">
    <w:abstractNumId w:val="11"/>
  </w:num>
  <w:num w:numId="23">
    <w:abstractNumId w:val="13"/>
  </w:num>
  <w:num w:numId="24">
    <w:abstractNumId w:val="9"/>
  </w:num>
  <w:num w:numId="25">
    <w:abstractNumId w:val="21"/>
  </w:num>
  <w:num w:numId="26">
    <w:abstractNumId w:val="16"/>
  </w:num>
  <w:num w:numId="27">
    <w:abstractNumId w:val="23"/>
  </w:num>
  <w:num w:numId="28">
    <w:abstractNumId w:val="17"/>
  </w:num>
  <w:num w:numId="29">
    <w:abstractNumId w:val="24"/>
  </w:num>
  <w:num w:numId="30">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70919"/>
    <w:rsid w:val="0001189E"/>
    <w:rsid w:val="0001227A"/>
    <w:rsid w:val="00014491"/>
    <w:rsid w:val="000158F6"/>
    <w:rsid w:val="00016F28"/>
    <w:rsid w:val="00023C54"/>
    <w:rsid w:val="00023D6C"/>
    <w:rsid w:val="00030359"/>
    <w:rsid w:val="000360A8"/>
    <w:rsid w:val="00037582"/>
    <w:rsid w:val="00041100"/>
    <w:rsid w:val="00042638"/>
    <w:rsid w:val="0004401B"/>
    <w:rsid w:val="000440F7"/>
    <w:rsid w:val="00044BEE"/>
    <w:rsid w:val="00047546"/>
    <w:rsid w:val="000524BF"/>
    <w:rsid w:val="0005305A"/>
    <w:rsid w:val="000530C7"/>
    <w:rsid w:val="00067136"/>
    <w:rsid w:val="00072B9F"/>
    <w:rsid w:val="00075FAE"/>
    <w:rsid w:val="00090E47"/>
    <w:rsid w:val="00091077"/>
    <w:rsid w:val="0009144E"/>
    <w:rsid w:val="00093889"/>
    <w:rsid w:val="000C22F8"/>
    <w:rsid w:val="000D086B"/>
    <w:rsid w:val="000D0FAE"/>
    <w:rsid w:val="000D39B4"/>
    <w:rsid w:val="000D4A69"/>
    <w:rsid w:val="000D512E"/>
    <w:rsid w:val="000D51C4"/>
    <w:rsid w:val="000F2BF5"/>
    <w:rsid w:val="000F4814"/>
    <w:rsid w:val="0010013E"/>
    <w:rsid w:val="0010585A"/>
    <w:rsid w:val="00105F02"/>
    <w:rsid w:val="00110F67"/>
    <w:rsid w:val="001154F9"/>
    <w:rsid w:val="00116043"/>
    <w:rsid w:val="001248F2"/>
    <w:rsid w:val="00125044"/>
    <w:rsid w:val="0013434E"/>
    <w:rsid w:val="00140DD7"/>
    <w:rsid w:val="00140F76"/>
    <w:rsid w:val="00150590"/>
    <w:rsid w:val="0015155D"/>
    <w:rsid w:val="00154094"/>
    <w:rsid w:val="00154366"/>
    <w:rsid w:val="00160C2A"/>
    <w:rsid w:val="00162D11"/>
    <w:rsid w:val="00163CC3"/>
    <w:rsid w:val="001642E0"/>
    <w:rsid w:val="00165939"/>
    <w:rsid w:val="00172E81"/>
    <w:rsid w:val="001761CB"/>
    <w:rsid w:val="00177BDC"/>
    <w:rsid w:val="00181D97"/>
    <w:rsid w:val="00183166"/>
    <w:rsid w:val="0018420E"/>
    <w:rsid w:val="00185177"/>
    <w:rsid w:val="00190EA9"/>
    <w:rsid w:val="001A3873"/>
    <w:rsid w:val="001A5944"/>
    <w:rsid w:val="001A5FF8"/>
    <w:rsid w:val="001B0BD9"/>
    <w:rsid w:val="001B759E"/>
    <w:rsid w:val="001E6725"/>
    <w:rsid w:val="001F2F05"/>
    <w:rsid w:val="00204600"/>
    <w:rsid w:val="002057E1"/>
    <w:rsid w:val="002100FA"/>
    <w:rsid w:val="00211C9D"/>
    <w:rsid w:val="002155AE"/>
    <w:rsid w:val="00221946"/>
    <w:rsid w:val="00221E3B"/>
    <w:rsid w:val="00222A6B"/>
    <w:rsid w:val="0023136C"/>
    <w:rsid w:val="00236B90"/>
    <w:rsid w:val="002378A8"/>
    <w:rsid w:val="00241F5B"/>
    <w:rsid w:val="002445C2"/>
    <w:rsid w:val="00252FB8"/>
    <w:rsid w:val="00253E9A"/>
    <w:rsid w:val="00255740"/>
    <w:rsid w:val="00264695"/>
    <w:rsid w:val="00270CDE"/>
    <w:rsid w:val="00274C60"/>
    <w:rsid w:val="00280EBA"/>
    <w:rsid w:val="00281DFE"/>
    <w:rsid w:val="002908BF"/>
    <w:rsid w:val="0029436F"/>
    <w:rsid w:val="00294F4C"/>
    <w:rsid w:val="002964A2"/>
    <w:rsid w:val="00297A3D"/>
    <w:rsid w:val="002A480A"/>
    <w:rsid w:val="002B69BE"/>
    <w:rsid w:val="002C7B6D"/>
    <w:rsid w:val="002D3FFD"/>
    <w:rsid w:val="002D7EE0"/>
    <w:rsid w:val="00304332"/>
    <w:rsid w:val="0030505D"/>
    <w:rsid w:val="003110B0"/>
    <w:rsid w:val="0031184C"/>
    <w:rsid w:val="0031298C"/>
    <w:rsid w:val="0032111E"/>
    <w:rsid w:val="00323CCC"/>
    <w:rsid w:val="00332EEF"/>
    <w:rsid w:val="003354AD"/>
    <w:rsid w:val="003359FF"/>
    <w:rsid w:val="00341A15"/>
    <w:rsid w:val="00341A93"/>
    <w:rsid w:val="00345DE0"/>
    <w:rsid w:val="00354B00"/>
    <w:rsid w:val="00354CE2"/>
    <w:rsid w:val="003551BB"/>
    <w:rsid w:val="003602B2"/>
    <w:rsid w:val="00361571"/>
    <w:rsid w:val="00361706"/>
    <w:rsid w:val="00363949"/>
    <w:rsid w:val="003645DE"/>
    <w:rsid w:val="00364A49"/>
    <w:rsid w:val="00371F0F"/>
    <w:rsid w:val="00373611"/>
    <w:rsid w:val="00390004"/>
    <w:rsid w:val="00391AA1"/>
    <w:rsid w:val="00395705"/>
    <w:rsid w:val="003A2CB1"/>
    <w:rsid w:val="003B5E34"/>
    <w:rsid w:val="003C77B3"/>
    <w:rsid w:val="003D3CB6"/>
    <w:rsid w:val="003E25B6"/>
    <w:rsid w:val="003E3875"/>
    <w:rsid w:val="003E3E6C"/>
    <w:rsid w:val="003E6635"/>
    <w:rsid w:val="003E7600"/>
    <w:rsid w:val="003F17CD"/>
    <w:rsid w:val="003F36C4"/>
    <w:rsid w:val="003F4A82"/>
    <w:rsid w:val="003F6116"/>
    <w:rsid w:val="003F6207"/>
    <w:rsid w:val="0040042D"/>
    <w:rsid w:val="00404F3B"/>
    <w:rsid w:val="00412569"/>
    <w:rsid w:val="00412B5F"/>
    <w:rsid w:val="00417F9A"/>
    <w:rsid w:val="00420BC7"/>
    <w:rsid w:val="00421393"/>
    <w:rsid w:val="004225FA"/>
    <w:rsid w:val="00431C63"/>
    <w:rsid w:val="00434436"/>
    <w:rsid w:val="004363DA"/>
    <w:rsid w:val="004421D9"/>
    <w:rsid w:val="00442CB6"/>
    <w:rsid w:val="00452D3B"/>
    <w:rsid w:val="00457FAF"/>
    <w:rsid w:val="00463BCD"/>
    <w:rsid w:val="00464DA9"/>
    <w:rsid w:val="00466433"/>
    <w:rsid w:val="00471185"/>
    <w:rsid w:val="00477C4B"/>
    <w:rsid w:val="00482757"/>
    <w:rsid w:val="00482CC1"/>
    <w:rsid w:val="00485350"/>
    <w:rsid w:val="00486A29"/>
    <w:rsid w:val="00493C8B"/>
    <w:rsid w:val="0049620C"/>
    <w:rsid w:val="004965E0"/>
    <w:rsid w:val="004A19DD"/>
    <w:rsid w:val="004A2D6F"/>
    <w:rsid w:val="004A5BAE"/>
    <w:rsid w:val="004C0062"/>
    <w:rsid w:val="004C7C91"/>
    <w:rsid w:val="004D0184"/>
    <w:rsid w:val="004D60DF"/>
    <w:rsid w:val="004E44D2"/>
    <w:rsid w:val="004E4A88"/>
    <w:rsid w:val="004E58B9"/>
    <w:rsid w:val="004F20DB"/>
    <w:rsid w:val="004F4EEE"/>
    <w:rsid w:val="004F5616"/>
    <w:rsid w:val="00500D0C"/>
    <w:rsid w:val="005016DA"/>
    <w:rsid w:val="005062D0"/>
    <w:rsid w:val="00506F2E"/>
    <w:rsid w:val="00510648"/>
    <w:rsid w:val="005130F9"/>
    <w:rsid w:val="005215C6"/>
    <w:rsid w:val="0052305B"/>
    <w:rsid w:val="005264F4"/>
    <w:rsid w:val="00527D92"/>
    <w:rsid w:val="00530891"/>
    <w:rsid w:val="00532BCC"/>
    <w:rsid w:val="00535D1B"/>
    <w:rsid w:val="00536982"/>
    <w:rsid w:val="0054223D"/>
    <w:rsid w:val="00544C69"/>
    <w:rsid w:val="0056042B"/>
    <w:rsid w:val="00561452"/>
    <w:rsid w:val="00561814"/>
    <w:rsid w:val="005679D5"/>
    <w:rsid w:val="00570A2A"/>
    <w:rsid w:val="00581919"/>
    <w:rsid w:val="00587BB6"/>
    <w:rsid w:val="00593B23"/>
    <w:rsid w:val="00594C78"/>
    <w:rsid w:val="005956A4"/>
    <w:rsid w:val="005A1737"/>
    <w:rsid w:val="005A3D29"/>
    <w:rsid w:val="005A482C"/>
    <w:rsid w:val="005B202C"/>
    <w:rsid w:val="005B5F68"/>
    <w:rsid w:val="005C0F72"/>
    <w:rsid w:val="005C4CEC"/>
    <w:rsid w:val="005C7CD5"/>
    <w:rsid w:val="005D31AF"/>
    <w:rsid w:val="005D5B93"/>
    <w:rsid w:val="005D632B"/>
    <w:rsid w:val="005E1DCF"/>
    <w:rsid w:val="005E4DAC"/>
    <w:rsid w:val="005E7CA6"/>
    <w:rsid w:val="005F14BB"/>
    <w:rsid w:val="00607B2A"/>
    <w:rsid w:val="006101C2"/>
    <w:rsid w:val="00611F04"/>
    <w:rsid w:val="00615D0D"/>
    <w:rsid w:val="006173BA"/>
    <w:rsid w:val="00621DC9"/>
    <w:rsid w:val="00633087"/>
    <w:rsid w:val="006355D7"/>
    <w:rsid w:val="00636A92"/>
    <w:rsid w:val="00640F4E"/>
    <w:rsid w:val="00646937"/>
    <w:rsid w:val="006501B9"/>
    <w:rsid w:val="006509CC"/>
    <w:rsid w:val="006512A9"/>
    <w:rsid w:val="006604C2"/>
    <w:rsid w:val="0066317C"/>
    <w:rsid w:val="006679EC"/>
    <w:rsid w:val="00683C37"/>
    <w:rsid w:val="00683F88"/>
    <w:rsid w:val="00686017"/>
    <w:rsid w:val="00687353"/>
    <w:rsid w:val="00687FE9"/>
    <w:rsid w:val="00692DEE"/>
    <w:rsid w:val="00693ADC"/>
    <w:rsid w:val="006973B9"/>
    <w:rsid w:val="006A50C9"/>
    <w:rsid w:val="006B069B"/>
    <w:rsid w:val="006B679A"/>
    <w:rsid w:val="006C3238"/>
    <w:rsid w:val="006C4373"/>
    <w:rsid w:val="006C71A3"/>
    <w:rsid w:val="006D3F6B"/>
    <w:rsid w:val="006D7FD0"/>
    <w:rsid w:val="006F1A9D"/>
    <w:rsid w:val="006F324E"/>
    <w:rsid w:val="006F3D13"/>
    <w:rsid w:val="006F40A2"/>
    <w:rsid w:val="006F4344"/>
    <w:rsid w:val="006F6218"/>
    <w:rsid w:val="00703238"/>
    <w:rsid w:val="00705235"/>
    <w:rsid w:val="007055BB"/>
    <w:rsid w:val="00706510"/>
    <w:rsid w:val="00713925"/>
    <w:rsid w:val="00722B3F"/>
    <w:rsid w:val="00727B54"/>
    <w:rsid w:val="00732848"/>
    <w:rsid w:val="007350AA"/>
    <w:rsid w:val="00744868"/>
    <w:rsid w:val="007457E6"/>
    <w:rsid w:val="00751584"/>
    <w:rsid w:val="007522F7"/>
    <w:rsid w:val="007645EA"/>
    <w:rsid w:val="00766902"/>
    <w:rsid w:val="00776F2C"/>
    <w:rsid w:val="0078408B"/>
    <w:rsid w:val="00784301"/>
    <w:rsid w:val="007873AA"/>
    <w:rsid w:val="00787F69"/>
    <w:rsid w:val="0079466A"/>
    <w:rsid w:val="007A0FDB"/>
    <w:rsid w:val="007A3091"/>
    <w:rsid w:val="007A3E41"/>
    <w:rsid w:val="007A44F4"/>
    <w:rsid w:val="007B38C9"/>
    <w:rsid w:val="007B4E43"/>
    <w:rsid w:val="007B6673"/>
    <w:rsid w:val="007C54C5"/>
    <w:rsid w:val="007D32A6"/>
    <w:rsid w:val="007D4B94"/>
    <w:rsid w:val="007D5103"/>
    <w:rsid w:val="007F1FF5"/>
    <w:rsid w:val="007F2543"/>
    <w:rsid w:val="007F4DB8"/>
    <w:rsid w:val="0080002B"/>
    <w:rsid w:val="00800DF8"/>
    <w:rsid w:val="00805D5E"/>
    <w:rsid w:val="00807ADA"/>
    <w:rsid w:val="00810432"/>
    <w:rsid w:val="00817397"/>
    <w:rsid w:val="00823B4F"/>
    <w:rsid w:val="0082484A"/>
    <w:rsid w:val="0083164B"/>
    <w:rsid w:val="00833D76"/>
    <w:rsid w:val="00833DF7"/>
    <w:rsid w:val="00842CB6"/>
    <w:rsid w:val="00843244"/>
    <w:rsid w:val="008458E6"/>
    <w:rsid w:val="00856161"/>
    <w:rsid w:val="00861CFB"/>
    <w:rsid w:val="00870123"/>
    <w:rsid w:val="008711F4"/>
    <w:rsid w:val="008718FA"/>
    <w:rsid w:val="00883CAE"/>
    <w:rsid w:val="0088546D"/>
    <w:rsid w:val="00886F2F"/>
    <w:rsid w:val="00892528"/>
    <w:rsid w:val="00897433"/>
    <w:rsid w:val="008A3BAD"/>
    <w:rsid w:val="008A5F9C"/>
    <w:rsid w:val="008B0F6C"/>
    <w:rsid w:val="008B3241"/>
    <w:rsid w:val="008B47E8"/>
    <w:rsid w:val="008B4881"/>
    <w:rsid w:val="008C3362"/>
    <w:rsid w:val="008C63E3"/>
    <w:rsid w:val="008C70BE"/>
    <w:rsid w:val="008E4E20"/>
    <w:rsid w:val="008F1F0E"/>
    <w:rsid w:val="008F633A"/>
    <w:rsid w:val="00910448"/>
    <w:rsid w:val="00911868"/>
    <w:rsid w:val="00931673"/>
    <w:rsid w:val="00933191"/>
    <w:rsid w:val="009348D3"/>
    <w:rsid w:val="009464DF"/>
    <w:rsid w:val="00950040"/>
    <w:rsid w:val="009547A5"/>
    <w:rsid w:val="00973271"/>
    <w:rsid w:val="009779B4"/>
    <w:rsid w:val="00983159"/>
    <w:rsid w:val="00985D4F"/>
    <w:rsid w:val="009871A8"/>
    <w:rsid w:val="009A60D2"/>
    <w:rsid w:val="009A7A92"/>
    <w:rsid w:val="009B60C8"/>
    <w:rsid w:val="009D0085"/>
    <w:rsid w:val="009D1FA6"/>
    <w:rsid w:val="009D60D7"/>
    <w:rsid w:val="009E415F"/>
    <w:rsid w:val="009F09DA"/>
    <w:rsid w:val="00A03243"/>
    <w:rsid w:val="00A03605"/>
    <w:rsid w:val="00A045D3"/>
    <w:rsid w:val="00A068F2"/>
    <w:rsid w:val="00A15383"/>
    <w:rsid w:val="00A2237F"/>
    <w:rsid w:val="00A259EB"/>
    <w:rsid w:val="00A26441"/>
    <w:rsid w:val="00A304DB"/>
    <w:rsid w:val="00A33EC9"/>
    <w:rsid w:val="00A475EA"/>
    <w:rsid w:val="00A6032E"/>
    <w:rsid w:val="00A77A3C"/>
    <w:rsid w:val="00A8282C"/>
    <w:rsid w:val="00A83EE3"/>
    <w:rsid w:val="00A86272"/>
    <w:rsid w:val="00A90F00"/>
    <w:rsid w:val="00AA034E"/>
    <w:rsid w:val="00AA3844"/>
    <w:rsid w:val="00AA44D9"/>
    <w:rsid w:val="00AA5CF6"/>
    <w:rsid w:val="00AB2D5D"/>
    <w:rsid w:val="00AB2F39"/>
    <w:rsid w:val="00AB4552"/>
    <w:rsid w:val="00AC42FD"/>
    <w:rsid w:val="00AC5A56"/>
    <w:rsid w:val="00AD0E27"/>
    <w:rsid w:val="00AD4807"/>
    <w:rsid w:val="00AD535B"/>
    <w:rsid w:val="00AF3345"/>
    <w:rsid w:val="00AF4150"/>
    <w:rsid w:val="00AF63FC"/>
    <w:rsid w:val="00B03374"/>
    <w:rsid w:val="00B0368B"/>
    <w:rsid w:val="00B128C8"/>
    <w:rsid w:val="00B14949"/>
    <w:rsid w:val="00B16665"/>
    <w:rsid w:val="00B167A9"/>
    <w:rsid w:val="00B24104"/>
    <w:rsid w:val="00B25C04"/>
    <w:rsid w:val="00B304B3"/>
    <w:rsid w:val="00B336F3"/>
    <w:rsid w:val="00B52A8A"/>
    <w:rsid w:val="00B60604"/>
    <w:rsid w:val="00B632D2"/>
    <w:rsid w:val="00B6526B"/>
    <w:rsid w:val="00B66C87"/>
    <w:rsid w:val="00B70919"/>
    <w:rsid w:val="00B77824"/>
    <w:rsid w:val="00B77DD0"/>
    <w:rsid w:val="00B82E9A"/>
    <w:rsid w:val="00B84BF4"/>
    <w:rsid w:val="00B86154"/>
    <w:rsid w:val="00B87EB8"/>
    <w:rsid w:val="00B91952"/>
    <w:rsid w:val="00B9348D"/>
    <w:rsid w:val="00BB0024"/>
    <w:rsid w:val="00BB3CA4"/>
    <w:rsid w:val="00BC0E12"/>
    <w:rsid w:val="00BC3A0F"/>
    <w:rsid w:val="00BC3CC0"/>
    <w:rsid w:val="00BD3966"/>
    <w:rsid w:val="00C12C79"/>
    <w:rsid w:val="00C23E18"/>
    <w:rsid w:val="00C30308"/>
    <w:rsid w:val="00C30766"/>
    <w:rsid w:val="00C328BF"/>
    <w:rsid w:val="00C334DC"/>
    <w:rsid w:val="00C335E2"/>
    <w:rsid w:val="00C44CD1"/>
    <w:rsid w:val="00C4666A"/>
    <w:rsid w:val="00C5355B"/>
    <w:rsid w:val="00C536B5"/>
    <w:rsid w:val="00C576E4"/>
    <w:rsid w:val="00C6293A"/>
    <w:rsid w:val="00C66F8F"/>
    <w:rsid w:val="00C765C9"/>
    <w:rsid w:val="00C82318"/>
    <w:rsid w:val="00C82490"/>
    <w:rsid w:val="00C915A6"/>
    <w:rsid w:val="00C94593"/>
    <w:rsid w:val="00C953D3"/>
    <w:rsid w:val="00CA3563"/>
    <w:rsid w:val="00CA3930"/>
    <w:rsid w:val="00CA5342"/>
    <w:rsid w:val="00CB370D"/>
    <w:rsid w:val="00CB3BC4"/>
    <w:rsid w:val="00CB6788"/>
    <w:rsid w:val="00CD1D17"/>
    <w:rsid w:val="00CE0172"/>
    <w:rsid w:val="00CE3F23"/>
    <w:rsid w:val="00CE6556"/>
    <w:rsid w:val="00CF38DF"/>
    <w:rsid w:val="00CF7AA6"/>
    <w:rsid w:val="00D054CB"/>
    <w:rsid w:val="00D07B2F"/>
    <w:rsid w:val="00D07D4A"/>
    <w:rsid w:val="00D117C1"/>
    <w:rsid w:val="00D11DE7"/>
    <w:rsid w:val="00D1483F"/>
    <w:rsid w:val="00D201D2"/>
    <w:rsid w:val="00D21B17"/>
    <w:rsid w:val="00D25A50"/>
    <w:rsid w:val="00D25F90"/>
    <w:rsid w:val="00D33A47"/>
    <w:rsid w:val="00D42B78"/>
    <w:rsid w:val="00D45A8A"/>
    <w:rsid w:val="00D515C5"/>
    <w:rsid w:val="00D51743"/>
    <w:rsid w:val="00D52CAA"/>
    <w:rsid w:val="00D54201"/>
    <w:rsid w:val="00D557B9"/>
    <w:rsid w:val="00D65B00"/>
    <w:rsid w:val="00D805F4"/>
    <w:rsid w:val="00D87C0B"/>
    <w:rsid w:val="00D9174C"/>
    <w:rsid w:val="00DA023B"/>
    <w:rsid w:val="00DA0C64"/>
    <w:rsid w:val="00DA25AC"/>
    <w:rsid w:val="00DA3503"/>
    <w:rsid w:val="00DB7D1D"/>
    <w:rsid w:val="00DC1F29"/>
    <w:rsid w:val="00DC381B"/>
    <w:rsid w:val="00DD0356"/>
    <w:rsid w:val="00DD5B7F"/>
    <w:rsid w:val="00DE41D0"/>
    <w:rsid w:val="00DE5FE6"/>
    <w:rsid w:val="00DE7E63"/>
    <w:rsid w:val="00DF3886"/>
    <w:rsid w:val="00E038DD"/>
    <w:rsid w:val="00E07D3A"/>
    <w:rsid w:val="00E12A8C"/>
    <w:rsid w:val="00E17F20"/>
    <w:rsid w:val="00E21C20"/>
    <w:rsid w:val="00E274D5"/>
    <w:rsid w:val="00E35D2B"/>
    <w:rsid w:val="00E372D7"/>
    <w:rsid w:val="00E667F2"/>
    <w:rsid w:val="00E66F30"/>
    <w:rsid w:val="00E72592"/>
    <w:rsid w:val="00E82898"/>
    <w:rsid w:val="00E83BD4"/>
    <w:rsid w:val="00E84D1B"/>
    <w:rsid w:val="00E949BD"/>
    <w:rsid w:val="00EA0511"/>
    <w:rsid w:val="00EB2947"/>
    <w:rsid w:val="00EB74D8"/>
    <w:rsid w:val="00EC24C2"/>
    <w:rsid w:val="00EC363E"/>
    <w:rsid w:val="00ED2474"/>
    <w:rsid w:val="00F00CE8"/>
    <w:rsid w:val="00F013C3"/>
    <w:rsid w:val="00F04C91"/>
    <w:rsid w:val="00F0589D"/>
    <w:rsid w:val="00F13AF9"/>
    <w:rsid w:val="00F26A6E"/>
    <w:rsid w:val="00F30F81"/>
    <w:rsid w:val="00F34213"/>
    <w:rsid w:val="00F409BA"/>
    <w:rsid w:val="00F462C7"/>
    <w:rsid w:val="00F466CB"/>
    <w:rsid w:val="00F506D5"/>
    <w:rsid w:val="00F57A29"/>
    <w:rsid w:val="00F61D5F"/>
    <w:rsid w:val="00F64D3D"/>
    <w:rsid w:val="00F720A3"/>
    <w:rsid w:val="00F73889"/>
    <w:rsid w:val="00F975D3"/>
    <w:rsid w:val="00FA0F6D"/>
    <w:rsid w:val="00FA62AB"/>
    <w:rsid w:val="00FA7BB8"/>
    <w:rsid w:val="00FB27D5"/>
    <w:rsid w:val="00FB2F0A"/>
    <w:rsid w:val="00FB7CA8"/>
    <w:rsid w:val="00FC4A56"/>
    <w:rsid w:val="00FD04F2"/>
    <w:rsid w:val="00FD2DD0"/>
    <w:rsid w:val="00FD4CD5"/>
    <w:rsid w:val="00FD7DC3"/>
    <w:rsid w:val="00FE0CFE"/>
    <w:rsid w:val="00FF145F"/>
    <w:rsid w:val="00FF5E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4150"/>
    <w:pPr>
      <w:spacing w:after="80" w:line="360" w:lineRule="auto"/>
      <w:jc w:val="both"/>
    </w:pPr>
    <w:rPr>
      <w:rFonts w:ascii="Bookman Old Style" w:hAnsi="Bookman Old Style"/>
      <w:sz w:val="24"/>
    </w:rPr>
  </w:style>
  <w:style w:type="paragraph" w:styleId="Nadpis1">
    <w:name w:val="heading 1"/>
    <w:basedOn w:val="Normln"/>
    <w:next w:val="Normln"/>
    <w:link w:val="Nadpis1Char"/>
    <w:uiPriority w:val="9"/>
    <w:qFormat/>
    <w:rsid w:val="007A3E41"/>
    <w:pPr>
      <w:keepNext/>
      <w:keepLines/>
      <w:spacing w:before="480" w:after="0"/>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AA5CF6"/>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AF4150"/>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477C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709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919"/>
    <w:rPr>
      <w:rFonts w:ascii="Tahoma" w:hAnsi="Tahoma" w:cs="Tahoma"/>
      <w:sz w:val="16"/>
      <w:szCs w:val="16"/>
    </w:rPr>
  </w:style>
  <w:style w:type="character" w:styleId="Hypertextovodkaz">
    <w:name w:val="Hyperlink"/>
    <w:basedOn w:val="Standardnpsmoodstavce"/>
    <w:uiPriority w:val="99"/>
    <w:unhideWhenUsed/>
    <w:rsid w:val="00B70919"/>
    <w:rPr>
      <w:color w:val="0000FF" w:themeColor="hyperlink"/>
      <w:u w:val="single"/>
    </w:rPr>
  </w:style>
  <w:style w:type="paragraph" w:styleId="Zhlav">
    <w:name w:val="header"/>
    <w:basedOn w:val="Normln"/>
    <w:link w:val="ZhlavChar"/>
    <w:uiPriority w:val="99"/>
    <w:unhideWhenUsed/>
    <w:rsid w:val="008F1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F0E"/>
  </w:style>
  <w:style w:type="paragraph" w:styleId="Zpat">
    <w:name w:val="footer"/>
    <w:basedOn w:val="Normln"/>
    <w:link w:val="ZpatChar"/>
    <w:uiPriority w:val="99"/>
    <w:unhideWhenUsed/>
    <w:rsid w:val="008F1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8F1F0E"/>
  </w:style>
  <w:style w:type="paragraph" w:styleId="Normlnweb">
    <w:name w:val="Normal (Web)"/>
    <w:basedOn w:val="Normln"/>
    <w:uiPriority w:val="99"/>
    <w:unhideWhenUsed/>
    <w:rsid w:val="00AB2F3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
    <w:uiPriority w:val="9"/>
    <w:rsid w:val="007A3E41"/>
    <w:rPr>
      <w:rFonts w:ascii="Bookman Old Style" w:eastAsiaTheme="majorEastAsia" w:hAnsi="Bookman Old Style" w:cstheme="majorBidi"/>
      <w:b/>
      <w:bCs/>
      <w:sz w:val="28"/>
      <w:szCs w:val="28"/>
    </w:rPr>
  </w:style>
  <w:style w:type="paragraph" w:styleId="Odstavecseseznamem">
    <w:name w:val="List Paragraph"/>
    <w:basedOn w:val="Normln"/>
    <w:uiPriority w:val="34"/>
    <w:qFormat/>
    <w:rsid w:val="00037582"/>
    <w:pPr>
      <w:ind w:left="720"/>
      <w:contextualSpacing/>
    </w:pPr>
  </w:style>
  <w:style w:type="character" w:customStyle="1" w:styleId="Nadpis2Char">
    <w:name w:val="Nadpis 2 Char"/>
    <w:basedOn w:val="Standardnpsmoodstavce"/>
    <w:link w:val="Nadpis2"/>
    <w:uiPriority w:val="9"/>
    <w:rsid w:val="00AA5CF6"/>
    <w:rPr>
      <w:rFonts w:asciiTheme="majorHAnsi" w:eastAsiaTheme="majorEastAsia" w:hAnsiTheme="majorHAnsi" w:cstheme="majorBidi"/>
      <w:b/>
      <w:bCs/>
      <w:color w:val="4F81BD" w:themeColor="accent1"/>
      <w:sz w:val="26"/>
      <w:szCs w:val="26"/>
    </w:rPr>
  </w:style>
  <w:style w:type="paragraph" w:customStyle="1" w:styleId="DecimalAligned">
    <w:name w:val="Decimal Aligned"/>
    <w:basedOn w:val="Normln"/>
    <w:uiPriority w:val="40"/>
    <w:qFormat/>
    <w:rsid w:val="00AA5CF6"/>
    <w:pPr>
      <w:tabs>
        <w:tab w:val="decimal" w:pos="360"/>
      </w:tabs>
      <w:spacing w:line="276" w:lineRule="auto"/>
      <w:jc w:val="left"/>
    </w:pPr>
    <w:rPr>
      <w:rFonts w:asciiTheme="minorHAnsi" w:eastAsiaTheme="minorEastAsia" w:hAnsiTheme="minorHAnsi"/>
      <w:sz w:val="22"/>
    </w:rPr>
  </w:style>
  <w:style w:type="table" w:customStyle="1" w:styleId="Svtlstnovnzvraznn11">
    <w:name w:val="Světlé stínování – zvýraznění 11"/>
    <w:basedOn w:val="Normlntabulka"/>
    <w:uiPriority w:val="60"/>
    <w:rsid w:val="00AA5CF6"/>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heme="minorBidi"/>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D3DFEE" w:themeFill="accent1" w:themeFillTint="3F"/>
      </w:tcPr>
    </w:tblStylePr>
    <w:tblStylePr w:type="band1Horz">
      <w:rPr>
        <w:rFonts w:cstheme="minorBidi"/>
      </w:rPr>
      <w:tblPr/>
      <w:tcPr>
        <w:tcBorders>
          <w:left w:val="nil"/>
          <w:right w:val="nil"/>
          <w:insideH w:val="nil"/>
          <w:insideV w:val="nil"/>
        </w:tcBorders>
        <w:shd w:val="clear" w:color="auto" w:fill="D3DFEE" w:themeFill="accent1" w:themeFillTint="3F"/>
      </w:tcPr>
    </w:tblStylePr>
  </w:style>
  <w:style w:type="paragraph" w:styleId="Rozvrendokumentu">
    <w:name w:val="Document Map"/>
    <w:basedOn w:val="Normln"/>
    <w:link w:val="RozvrendokumentuChar"/>
    <w:uiPriority w:val="99"/>
    <w:semiHidden/>
    <w:unhideWhenUsed/>
    <w:rsid w:val="00E949BD"/>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E949BD"/>
    <w:rPr>
      <w:rFonts w:ascii="Tahoma" w:hAnsi="Tahoma" w:cs="Tahoma"/>
      <w:sz w:val="16"/>
      <w:szCs w:val="16"/>
    </w:rPr>
  </w:style>
  <w:style w:type="table" w:styleId="Mkatabulky">
    <w:name w:val="Table Grid"/>
    <w:basedOn w:val="Normlntabulka"/>
    <w:uiPriority w:val="59"/>
    <w:rsid w:val="00CB3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vraznn">
    <w:name w:val="Emphasis"/>
    <w:basedOn w:val="Standardnpsmoodstavce"/>
    <w:uiPriority w:val="20"/>
    <w:qFormat/>
    <w:rsid w:val="00950040"/>
    <w:rPr>
      <w:i/>
      <w:iCs/>
    </w:rPr>
  </w:style>
  <w:style w:type="paragraph" w:customStyle="1" w:styleId="P-titulka">
    <w:name w:val="P-titulka"/>
    <w:basedOn w:val="Normln"/>
    <w:rsid w:val="0088546D"/>
    <w:pPr>
      <w:jc w:val="center"/>
    </w:pPr>
    <w:rPr>
      <w:rFonts w:eastAsia="Calibri" w:cs="Times New Roman"/>
      <w:b/>
      <w:sz w:val="36"/>
      <w:szCs w:val="36"/>
    </w:rPr>
  </w:style>
  <w:style w:type="paragraph" w:customStyle="1" w:styleId="P-nadpis2">
    <w:name w:val="P-nadpis2"/>
    <w:basedOn w:val="Nadpis2"/>
    <w:rsid w:val="0088546D"/>
    <w:pPr>
      <w:spacing w:line="360" w:lineRule="auto"/>
      <w:ind w:firstLine="708"/>
      <w:jc w:val="both"/>
    </w:pPr>
    <w:rPr>
      <w:rFonts w:ascii="Bookman Old Style" w:eastAsia="Times New Roman" w:hAnsi="Bookman Old Style" w:cs="Times New Roman"/>
      <w:color w:val="auto"/>
      <w:szCs w:val="24"/>
    </w:rPr>
  </w:style>
  <w:style w:type="paragraph" w:customStyle="1" w:styleId="P-text">
    <w:name w:val="P-text"/>
    <w:basedOn w:val="Normln"/>
    <w:rsid w:val="0088546D"/>
    <w:pPr>
      <w:ind w:firstLine="708"/>
    </w:pPr>
    <w:rPr>
      <w:rFonts w:eastAsia="Calibri" w:cs="Times New Roman"/>
      <w:szCs w:val="24"/>
    </w:rPr>
  </w:style>
  <w:style w:type="paragraph" w:customStyle="1" w:styleId="P-nadpis1">
    <w:name w:val="P-nadpis1"/>
    <w:basedOn w:val="Nadpis1"/>
    <w:rsid w:val="00AF4150"/>
    <w:pPr>
      <w:spacing w:before="360" w:line="276" w:lineRule="auto"/>
      <w:jc w:val="left"/>
    </w:pPr>
    <w:rPr>
      <w:rFonts w:eastAsia="Times New Roman" w:cs="Times New Roman"/>
    </w:rPr>
  </w:style>
  <w:style w:type="character" w:customStyle="1" w:styleId="Nadpis3Char">
    <w:name w:val="Nadpis 3 Char"/>
    <w:basedOn w:val="Standardnpsmoodstavce"/>
    <w:link w:val="Nadpis3"/>
    <w:uiPriority w:val="9"/>
    <w:rsid w:val="00AF4150"/>
    <w:rPr>
      <w:rFonts w:asciiTheme="majorHAnsi" w:eastAsiaTheme="majorEastAsia" w:hAnsiTheme="majorHAnsi" w:cstheme="majorBidi"/>
      <w:b/>
      <w:bCs/>
      <w:color w:val="4F81BD" w:themeColor="accent1"/>
      <w:sz w:val="24"/>
    </w:rPr>
  </w:style>
  <w:style w:type="paragraph" w:customStyle="1" w:styleId="P-nadpis3">
    <w:name w:val="P-nadpis3"/>
    <w:basedOn w:val="Nadpis3"/>
    <w:qFormat/>
    <w:rsid w:val="00AF4150"/>
    <w:rPr>
      <w:rFonts w:ascii="Bookman Old Style" w:hAnsi="Bookman Old Style"/>
      <w:color w:val="auto"/>
    </w:rPr>
  </w:style>
  <w:style w:type="paragraph" w:styleId="Obsah2">
    <w:name w:val="toc 2"/>
    <w:basedOn w:val="Normln"/>
    <w:next w:val="Normln"/>
    <w:autoRedefine/>
    <w:uiPriority w:val="39"/>
    <w:rsid w:val="00371F0F"/>
    <w:pPr>
      <w:tabs>
        <w:tab w:val="right" w:leader="dot" w:pos="9062"/>
      </w:tabs>
      <w:spacing w:before="240" w:after="0"/>
      <w:jc w:val="left"/>
    </w:pPr>
    <w:rPr>
      <w:rFonts w:ascii="Times New Roman" w:eastAsia="Calibri" w:hAnsi="Times New Roman" w:cs="Times New Roman"/>
      <w:b/>
      <w:bCs/>
      <w:sz w:val="20"/>
      <w:szCs w:val="20"/>
    </w:rPr>
  </w:style>
  <w:style w:type="paragraph" w:styleId="Obsah1">
    <w:name w:val="toc 1"/>
    <w:basedOn w:val="Normln"/>
    <w:next w:val="Normln"/>
    <w:autoRedefine/>
    <w:uiPriority w:val="39"/>
    <w:rsid w:val="00371F0F"/>
    <w:pPr>
      <w:tabs>
        <w:tab w:val="right" w:leader="dot" w:pos="9062"/>
      </w:tabs>
      <w:spacing w:after="0" w:line="240" w:lineRule="auto"/>
      <w:jc w:val="left"/>
    </w:pPr>
    <w:rPr>
      <w:rFonts w:eastAsia="Calibri" w:cs="Arial"/>
      <w:b/>
      <w:bCs/>
      <w:caps/>
      <w:noProof/>
      <w:szCs w:val="24"/>
    </w:rPr>
  </w:style>
  <w:style w:type="paragraph" w:styleId="Obsah3">
    <w:name w:val="toc 3"/>
    <w:basedOn w:val="Normln"/>
    <w:next w:val="Normln"/>
    <w:autoRedefine/>
    <w:uiPriority w:val="39"/>
    <w:rsid w:val="0018420E"/>
    <w:pPr>
      <w:spacing w:after="0" w:line="276" w:lineRule="auto"/>
      <w:ind w:left="220"/>
      <w:jc w:val="left"/>
    </w:pPr>
    <w:rPr>
      <w:rFonts w:ascii="Times New Roman" w:eastAsia="Calibri" w:hAnsi="Times New Roman" w:cs="Times New Roman"/>
      <w:sz w:val="20"/>
      <w:szCs w:val="20"/>
    </w:rPr>
  </w:style>
  <w:style w:type="paragraph" w:customStyle="1" w:styleId="P-popisobr">
    <w:name w:val="P-popisobr"/>
    <w:basedOn w:val="Normln"/>
    <w:rsid w:val="00B60604"/>
    <w:pPr>
      <w:spacing w:after="200"/>
      <w:ind w:firstLine="708"/>
      <w:jc w:val="center"/>
    </w:pPr>
    <w:rPr>
      <w:rFonts w:eastAsia="Calibri" w:cs="Times New Roman"/>
      <w:i/>
      <w:sz w:val="20"/>
      <w:szCs w:val="24"/>
    </w:rPr>
  </w:style>
  <w:style w:type="table" w:styleId="Stednstnovn2zvraznn2">
    <w:name w:val="Medium Shading 2 Accent 2"/>
    <w:basedOn w:val="Normlntabulka"/>
    <w:uiPriority w:val="64"/>
    <w:rsid w:val="00E12A8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tlmkazvraznn4">
    <w:name w:val="Light Grid Accent 4"/>
    <w:basedOn w:val="Normlntabulka"/>
    <w:uiPriority w:val="62"/>
    <w:rsid w:val="00E12A8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2">
    <w:name w:val="Light Grid Accent 2"/>
    <w:basedOn w:val="Normlntabulka"/>
    <w:uiPriority w:val="62"/>
    <w:rsid w:val="00E12A8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Stednstnovn11">
    <w:name w:val="Střední stínování 11"/>
    <w:basedOn w:val="Normlntabulka"/>
    <w:uiPriority w:val="63"/>
    <w:rsid w:val="00E12A8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tednstnovn1zvraznn11">
    <w:name w:val="Střední stínování 1 – zvýraznění 11"/>
    <w:basedOn w:val="Normlntabulka"/>
    <w:uiPriority w:val="63"/>
    <w:rsid w:val="00E12A8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ps">
    <w:name w:val="hps"/>
    <w:basedOn w:val="Standardnpsmoodstavce"/>
    <w:rsid w:val="00323CCC"/>
  </w:style>
  <w:style w:type="character" w:customStyle="1" w:styleId="atn">
    <w:name w:val="atn"/>
    <w:basedOn w:val="Standardnpsmoodstavce"/>
    <w:rsid w:val="00323CCC"/>
  </w:style>
  <w:style w:type="paragraph" w:styleId="Zkladntext">
    <w:name w:val="Body Text"/>
    <w:basedOn w:val="Normln"/>
    <w:link w:val="ZkladntextChar"/>
    <w:rsid w:val="00B91952"/>
    <w:pPr>
      <w:spacing w:after="0" w:line="240" w:lineRule="auto"/>
      <w:jc w:val="left"/>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B91952"/>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4F5616"/>
    <w:rPr>
      <w:b/>
      <w:bCs/>
    </w:rPr>
  </w:style>
  <w:style w:type="character" w:customStyle="1" w:styleId="Nadpis5Char">
    <w:name w:val="Nadpis 5 Char"/>
    <w:basedOn w:val="Standardnpsmoodstavce"/>
    <w:link w:val="Nadpis5"/>
    <w:uiPriority w:val="9"/>
    <w:semiHidden/>
    <w:rsid w:val="00477C4B"/>
    <w:rPr>
      <w:rFonts w:asciiTheme="majorHAnsi" w:eastAsiaTheme="majorEastAsia" w:hAnsiTheme="majorHAnsi" w:cstheme="majorBidi"/>
      <w:color w:val="243F60" w:themeColor="accent1" w:themeShade="7F"/>
      <w:sz w:val="24"/>
    </w:rPr>
  </w:style>
  <w:style w:type="table" w:styleId="Svtlseznamzvraznn2">
    <w:name w:val="Light List Accent 2"/>
    <w:basedOn w:val="Normlntabulka"/>
    <w:uiPriority w:val="61"/>
    <w:rsid w:val="00500D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Stednstnovn21">
    <w:name w:val="Střední stínování 21"/>
    <w:basedOn w:val="Normlntabulka"/>
    <w:uiPriority w:val="64"/>
    <w:rsid w:val="00500D0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vtlstnovn1">
    <w:name w:val="Světlé stínování1"/>
    <w:basedOn w:val="Normlntabulka"/>
    <w:uiPriority w:val="60"/>
    <w:rsid w:val="00500D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seznam1">
    <w:name w:val="Světlý seznam1"/>
    <w:basedOn w:val="Normlntabulka"/>
    <w:uiPriority w:val="61"/>
    <w:rsid w:val="00500D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adpisobsahu">
    <w:name w:val="TOC Heading"/>
    <w:basedOn w:val="Nadpis1"/>
    <w:next w:val="Normln"/>
    <w:uiPriority w:val="39"/>
    <w:unhideWhenUsed/>
    <w:qFormat/>
    <w:rsid w:val="00431C63"/>
    <w:pPr>
      <w:spacing w:line="276" w:lineRule="auto"/>
      <w:jc w:val="left"/>
      <w:outlineLvl w:val="9"/>
    </w:pPr>
    <w:rPr>
      <w:rFonts w:asciiTheme="majorHAnsi" w:hAnsiTheme="majorHAnsi"/>
      <w:color w:val="365F91" w:themeColor="accent1" w:themeShade="BF"/>
    </w:rPr>
  </w:style>
  <w:style w:type="paragraph" w:styleId="Textpoznpodarou">
    <w:name w:val="footnote text"/>
    <w:basedOn w:val="Normln"/>
    <w:link w:val="TextpoznpodarouChar"/>
    <w:uiPriority w:val="99"/>
    <w:semiHidden/>
    <w:unhideWhenUsed/>
    <w:rsid w:val="00E07D3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07D3A"/>
    <w:rPr>
      <w:rFonts w:ascii="Bookman Old Style" w:hAnsi="Bookman Old Style"/>
      <w:sz w:val="20"/>
      <w:szCs w:val="20"/>
    </w:rPr>
  </w:style>
  <w:style w:type="character" w:styleId="Znakapoznpodarou">
    <w:name w:val="footnote reference"/>
    <w:basedOn w:val="Standardnpsmoodstavce"/>
    <w:uiPriority w:val="99"/>
    <w:semiHidden/>
    <w:unhideWhenUsed/>
    <w:rsid w:val="00E07D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363349">
      <w:bodyDiv w:val="1"/>
      <w:marLeft w:val="0"/>
      <w:marRight w:val="0"/>
      <w:marTop w:val="0"/>
      <w:marBottom w:val="0"/>
      <w:divBdr>
        <w:top w:val="none" w:sz="0" w:space="0" w:color="auto"/>
        <w:left w:val="none" w:sz="0" w:space="0" w:color="auto"/>
        <w:bottom w:val="none" w:sz="0" w:space="0" w:color="auto"/>
        <w:right w:val="none" w:sz="0" w:space="0" w:color="auto"/>
      </w:divBdr>
      <w:divsChild>
        <w:div w:id="1291938847">
          <w:marLeft w:val="0"/>
          <w:marRight w:val="0"/>
          <w:marTop w:val="0"/>
          <w:marBottom w:val="0"/>
          <w:divBdr>
            <w:top w:val="none" w:sz="0" w:space="0" w:color="auto"/>
            <w:left w:val="none" w:sz="0" w:space="0" w:color="auto"/>
            <w:bottom w:val="none" w:sz="0" w:space="0" w:color="auto"/>
            <w:right w:val="none" w:sz="0" w:space="0" w:color="auto"/>
          </w:divBdr>
          <w:divsChild>
            <w:div w:id="819342608">
              <w:marLeft w:val="0"/>
              <w:marRight w:val="0"/>
              <w:marTop w:val="0"/>
              <w:marBottom w:val="0"/>
              <w:divBdr>
                <w:top w:val="none" w:sz="0" w:space="0" w:color="auto"/>
                <w:left w:val="none" w:sz="0" w:space="0" w:color="auto"/>
                <w:bottom w:val="none" w:sz="0" w:space="0" w:color="auto"/>
                <w:right w:val="none" w:sz="0" w:space="0" w:color="auto"/>
              </w:divBdr>
              <w:divsChild>
                <w:div w:id="2138597681">
                  <w:marLeft w:val="0"/>
                  <w:marRight w:val="0"/>
                  <w:marTop w:val="0"/>
                  <w:marBottom w:val="0"/>
                  <w:divBdr>
                    <w:top w:val="none" w:sz="0" w:space="0" w:color="auto"/>
                    <w:left w:val="none" w:sz="0" w:space="0" w:color="auto"/>
                    <w:bottom w:val="none" w:sz="0" w:space="0" w:color="auto"/>
                    <w:right w:val="none" w:sz="0" w:space="0" w:color="auto"/>
                  </w:divBdr>
                  <w:divsChild>
                    <w:div w:id="1650481625">
                      <w:marLeft w:val="0"/>
                      <w:marRight w:val="0"/>
                      <w:marTop w:val="0"/>
                      <w:marBottom w:val="0"/>
                      <w:divBdr>
                        <w:top w:val="none" w:sz="0" w:space="0" w:color="auto"/>
                        <w:left w:val="none" w:sz="0" w:space="0" w:color="auto"/>
                        <w:bottom w:val="none" w:sz="0" w:space="0" w:color="auto"/>
                        <w:right w:val="none" w:sz="0" w:space="0" w:color="auto"/>
                      </w:divBdr>
                      <w:divsChild>
                        <w:div w:id="6901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534632">
      <w:bodyDiv w:val="1"/>
      <w:marLeft w:val="0"/>
      <w:marRight w:val="0"/>
      <w:marTop w:val="0"/>
      <w:marBottom w:val="0"/>
      <w:divBdr>
        <w:top w:val="none" w:sz="0" w:space="0" w:color="auto"/>
        <w:left w:val="none" w:sz="0" w:space="0" w:color="auto"/>
        <w:bottom w:val="none" w:sz="0" w:space="0" w:color="auto"/>
        <w:right w:val="none" w:sz="0" w:space="0" w:color="auto"/>
      </w:divBdr>
      <w:divsChild>
        <w:div w:id="1268927320">
          <w:marLeft w:val="0"/>
          <w:marRight w:val="0"/>
          <w:marTop w:val="0"/>
          <w:marBottom w:val="0"/>
          <w:divBdr>
            <w:top w:val="none" w:sz="0" w:space="0" w:color="auto"/>
            <w:left w:val="none" w:sz="0" w:space="0" w:color="auto"/>
            <w:bottom w:val="none" w:sz="0" w:space="0" w:color="auto"/>
            <w:right w:val="none" w:sz="0" w:space="0" w:color="auto"/>
          </w:divBdr>
          <w:divsChild>
            <w:div w:id="10328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8045">
      <w:bodyDiv w:val="1"/>
      <w:marLeft w:val="0"/>
      <w:marRight w:val="0"/>
      <w:marTop w:val="0"/>
      <w:marBottom w:val="0"/>
      <w:divBdr>
        <w:top w:val="none" w:sz="0" w:space="0" w:color="auto"/>
        <w:left w:val="none" w:sz="0" w:space="0" w:color="auto"/>
        <w:bottom w:val="none" w:sz="0" w:space="0" w:color="auto"/>
        <w:right w:val="none" w:sz="0" w:space="0" w:color="auto"/>
      </w:divBdr>
    </w:div>
    <w:div w:id="452479740">
      <w:bodyDiv w:val="1"/>
      <w:marLeft w:val="0"/>
      <w:marRight w:val="0"/>
      <w:marTop w:val="0"/>
      <w:marBottom w:val="0"/>
      <w:divBdr>
        <w:top w:val="none" w:sz="0" w:space="0" w:color="auto"/>
        <w:left w:val="none" w:sz="0" w:space="0" w:color="auto"/>
        <w:bottom w:val="none" w:sz="0" w:space="0" w:color="auto"/>
        <w:right w:val="none" w:sz="0" w:space="0" w:color="auto"/>
      </w:divBdr>
      <w:divsChild>
        <w:div w:id="1005136009">
          <w:marLeft w:val="0"/>
          <w:marRight w:val="0"/>
          <w:marTop w:val="0"/>
          <w:marBottom w:val="0"/>
          <w:divBdr>
            <w:top w:val="none" w:sz="0" w:space="0" w:color="auto"/>
            <w:left w:val="none" w:sz="0" w:space="0" w:color="auto"/>
            <w:bottom w:val="none" w:sz="0" w:space="0" w:color="auto"/>
            <w:right w:val="none" w:sz="0" w:space="0" w:color="auto"/>
          </w:divBdr>
          <w:divsChild>
            <w:div w:id="1809006081">
              <w:marLeft w:val="0"/>
              <w:marRight w:val="0"/>
              <w:marTop w:val="0"/>
              <w:marBottom w:val="0"/>
              <w:divBdr>
                <w:top w:val="none" w:sz="0" w:space="0" w:color="auto"/>
                <w:left w:val="none" w:sz="0" w:space="0" w:color="auto"/>
                <w:bottom w:val="none" w:sz="0" w:space="0" w:color="auto"/>
                <w:right w:val="none" w:sz="0" w:space="0" w:color="auto"/>
              </w:divBdr>
              <w:divsChild>
                <w:div w:id="866141685">
                  <w:marLeft w:val="0"/>
                  <w:marRight w:val="0"/>
                  <w:marTop w:val="0"/>
                  <w:marBottom w:val="0"/>
                  <w:divBdr>
                    <w:top w:val="none" w:sz="0" w:space="0" w:color="auto"/>
                    <w:left w:val="none" w:sz="0" w:space="0" w:color="auto"/>
                    <w:bottom w:val="none" w:sz="0" w:space="0" w:color="auto"/>
                    <w:right w:val="none" w:sz="0" w:space="0" w:color="auto"/>
                  </w:divBdr>
                  <w:divsChild>
                    <w:div w:id="15049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3813">
      <w:bodyDiv w:val="1"/>
      <w:marLeft w:val="0"/>
      <w:marRight w:val="0"/>
      <w:marTop w:val="0"/>
      <w:marBottom w:val="0"/>
      <w:divBdr>
        <w:top w:val="none" w:sz="0" w:space="0" w:color="auto"/>
        <w:left w:val="none" w:sz="0" w:space="0" w:color="auto"/>
        <w:bottom w:val="none" w:sz="0" w:space="0" w:color="auto"/>
        <w:right w:val="none" w:sz="0" w:space="0" w:color="auto"/>
      </w:divBdr>
      <w:divsChild>
        <w:div w:id="292641342">
          <w:marLeft w:val="547"/>
          <w:marRight w:val="0"/>
          <w:marTop w:val="154"/>
          <w:marBottom w:val="0"/>
          <w:divBdr>
            <w:top w:val="none" w:sz="0" w:space="0" w:color="auto"/>
            <w:left w:val="none" w:sz="0" w:space="0" w:color="auto"/>
            <w:bottom w:val="none" w:sz="0" w:space="0" w:color="auto"/>
            <w:right w:val="none" w:sz="0" w:space="0" w:color="auto"/>
          </w:divBdr>
        </w:div>
      </w:divsChild>
    </w:div>
    <w:div w:id="626202267">
      <w:bodyDiv w:val="1"/>
      <w:marLeft w:val="0"/>
      <w:marRight w:val="0"/>
      <w:marTop w:val="0"/>
      <w:marBottom w:val="0"/>
      <w:divBdr>
        <w:top w:val="none" w:sz="0" w:space="0" w:color="auto"/>
        <w:left w:val="none" w:sz="0" w:space="0" w:color="auto"/>
        <w:bottom w:val="none" w:sz="0" w:space="0" w:color="auto"/>
        <w:right w:val="none" w:sz="0" w:space="0" w:color="auto"/>
      </w:divBdr>
      <w:divsChild>
        <w:div w:id="2023505421">
          <w:marLeft w:val="0"/>
          <w:marRight w:val="0"/>
          <w:marTop w:val="0"/>
          <w:marBottom w:val="0"/>
          <w:divBdr>
            <w:top w:val="none" w:sz="0" w:space="0" w:color="auto"/>
            <w:left w:val="none" w:sz="0" w:space="0" w:color="auto"/>
            <w:bottom w:val="none" w:sz="0" w:space="0" w:color="auto"/>
            <w:right w:val="none" w:sz="0" w:space="0" w:color="auto"/>
          </w:divBdr>
          <w:divsChild>
            <w:div w:id="1044403749">
              <w:marLeft w:val="0"/>
              <w:marRight w:val="0"/>
              <w:marTop w:val="0"/>
              <w:marBottom w:val="0"/>
              <w:divBdr>
                <w:top w:val="none" w:sz="0" w:space="0" w:color="auto"/>
                <w:left w:val="none" w:sz="0" w:space="0" w:color="auto"/>
                <w:bottom w:val="none" w:sz="0" w:space="0" w:color="auto"/>
                <w:right w:val="none" w:sz="0" w:space="0" w:color="auto"/>
              </w:divBdr>
              <w:divsChild>
                <w:div w:id="164177120">
                  <w:marLeft w:val="0"/>
                  <w:marRight w:val="0"/>
                  <w:marTop w:val="0"/>
                  <w:marBottom w:val="0"/>
                  <w:divBdr>
                    <w:top w:val="none" w:sz="0" w:space="0" w:color="auto"/>
                    <w:left w:val="none" w:sz="0" w:space="0" w:color="auto"/>
                    <w:bottom w:val="none" w:sz="0" w:space="0" w:color="auto"/>
                    <w:right w:val="none" w:sz="0" w:space="0" w:color="auto"/>
                  </w:divBdr>
                  <w:divsChild>
                    <w:div w:id="836071709">
                      <w:marLeft w:val="0"/>
                      <w:marRight w:val="0"/>
                      <w:marTop w:val="0"/>
                      <w:marBottom w:val="0"/>
                      <w:divBdr>
                        <w:top w:val="none" w:sz="0" w:space="0" w:color="auto"/>
                        <w:left w:val="none" w:sz="0" w:space="0" w:color="auto"/>
                        <w:bottom w:val="none" w:sz="0" w:space="0" w:color="auto"/>
                        <w:right w:val="none" w:sz="0" w:space="0" w:color="auto"/>
                      </w:divBdr>
                      <w:divsChild>
                        <w:div w:id="1829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074176">
      <w:bodyDiv w:val="1"/>
      <w:marLeft w:val="0"/>
      <w:marRight w:val="0"/>
      <w:marTop w:val="0"/>
      <w:marBottom w:val="0"/>
      <w:divBdr>
        <w:top w:val="none" w:sz="0" w:space="0" w:color="auto"/>
        <w:left w:val="none" w:sz="0" w:space="0" w:color="auto"/>
        <w:bottom w:val="none" w:sz="0" w:space="0" w:color="auto"/>
        <w:right w:val="none" w:sz="0" w:space="0" w:color="auto"/>
      </w:divBdr>
      <w:divsChild>
        <w:div w:id="424888313">
          <w:marLeft w:val="547"/>
          <w:marRight w:val="0"/>
          <w:marTop w:val="154"/>
          <w:marBottom w:val="0"/>
          <w:divBdr>
            <w:top w:val="none" w:sz="0" w:space="0" w:color="auto"/>
            <w:left w:val="none" w:sz="0" w:space="0" w:color="auto"/>
            <w:bottom w:val="none" w:sz="0" w:space="0" w:color="auto"/>
            <w:right w:val="none" w:sz="0" w:space="0" w:color="auto"/>
          </w:divBdr>
        </w:div>
        <w:div w:id="946354809">
          <w:marLeft w:val="547"/>
          <w:marRight w:val="0"/>
          <w:marTop w:val="154"/>
          <w:marBottom w:val="0"/>
          <w:divBdr>
            <w:top w:val="none" w:sz="0" w:space="0" w:color="auto"/>
            <w:left w:val="none" w:sz="0" w:space="0" w:color="auto"/>
            <w:bottom w:val="none" w:sz="0" w:space="0" w:color="auto"/>
            <w:right w:val="none" w:sz="0" w:space="0" w:color="auto"/>
          </w:divBdr>
        </w:div>
      </w:divsChild>
    </w:div>
    <w:div w:id="1321888423">
      <w:bodyDiv w:val="1"/>
      <w:marLeft w:val="0"/>
      <w:marRight w:val="0"/>
      <w:marTop w:val="0"/>
      <w:marBottom w:val="0"/>
      <w:divBdr>
        <w:top w:val="none" w:sz="0" w:space="0" w:color="auto"/>
        <w:left w:val="none" w:sz="0" w:space="0" w:color="auto"/>
        <w:bottom w:val="none" w:sz="0" w:space="0" w:color="auto"/>
        <w:right w:val="none" w:sz="0" w:space="0" w:color="auto"/>
      </w:divBdr>
      <w:divsChild>
        <w:div w:id="1347750948">
          <w:marLeft w:val="0"/>
          <w:marRight w:val="0"/>
          <w:marTop w:val="0"/>
          <w:marBottom w:val="0"/>
          <w:divBdr>
            <w:top w:val="none" w:sz="0" w:space="0" w:color="auto"/>
            <w:left w:val="none" w:sz="0" w:space="0" w:color="auto"/>
            <w:bottom w:val="none" w:sz="0" w:space="0" w:color="auto"/>
            <w:right w:val="none" w:sz="0" w:space="0" w:color="auto"/>
          </w:divBdr>
          <w:divsChild>
            <w:div w:id="57217584">
              <w:marLeft w:val="0"/>
              <w:marRight w:val="0"/>
              <w:marTop w:val="0"/>
              <w:marBottom w:val="0"/>
              <w:divBdr>
                <w:top w:val="none" w:sz="0" w:space="0" w:color="auto"/>
                <w:left w:val="none" w:sz="0" w:space="0" w:color="auto"/>
                <w:bottom w:val="none" w:sz="0" w:space="0" w:color="auto"/>
                <w:right w:val="none" w:sz="0" w:space="0" w:color="auto"/>
              </w:divBdr>
              <w:divsChild>
                <w:div w:id="1020938519">
                  <w:marLeft w:val="0"/>
                  <w:marRight w:val="0"/>
                  <w:marTop w:val="0"/>
                  <w:marBottom w:val="0"/>
                  <w:divBdr>
                    <w:top w:val="none" w:sz="0" w:space="0" w:color="auto"/>
                    <w:left w:val="none" w:sz="0" w:space="0" w:color="auto"/>
                    <w:bottom w:val="none" w:sz="0" w:space="0" w:color="auto"/>
                    <w:right w:val="none" w:sz="0" w:space="0" w:color="auto"/>
                  </w:divBdr>
                  <w:divsChild>
                    <w:div w:id="1916814416">
                      <w:marLeft w:val="0"/>
                      <w:marRight w:val="0"/>
                      <w:marTop w:val="0"/>
                      <w:marBottom w:val="0"/>
                      <w:divBdr>
                        <w:top w:val="none" w:sz="0" w:space="0" w:color="auto"/>
                        <w:left w:val="none" w:sz="0" w:space="0" w:color="auto"/>
                        <w:bottom w:val="none" w:sz="0" w:space="0" w:color="auto"/>
                        <w:right w:val="none" w:sz="0" w:space="0" w:color="auto"/>
                      </w:divBdr>
                      <w:divsChild>
                        <w:div w:id="434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141902">
      <w:bodyDiv w:val="1"/>
      <w:marLeft w:val="0"/>
      <w:marRight w:val="0"/>
      <w:marTop w:val="0"/>
      <w:marBottom w:val="450"/>
      <w:divBdr>
        <w:top w:val="none" w:sz="0" w:space="0" w:color="auto"/>
        <w:left w:val="none" w:sz="0" w:space="0" w:color="auto"/>
        <w:bottom w:val="none" w:sz="0" w:space="0" w:color="auto"/>
        <w:right w:val="none" w:sz="0" w:space="0" w:color="auto"/>
      </w:divBdr>
      <w:divsChild>
        <w:div w:id="1563564286">
          <w:marLeft w:val="375"/>
          <w:marRight w:val="0"/>
          <w:marTop w:val="270"/>
          <w:marBottom w:val="0"/>
          <w:divBdr>
            <w:top w:val="none" w:sz="0" w:space="0" w:color="auto"/>
            <w:left w:val="none" w:sz="0" w:space="0" w:color="auto"/>
            <w:bottom w:val="none" w:sz="0" w:space="0" w:color="auto"/>
            <w:right w:val="none" w:sz="0" w:space="0" w:color="auto"/>
          </w:divBdr>
          <w:divsChild>
            <w:div w:id="18747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4785">
      <w:bodyDiv w:val="1"/>
      <w:marLeft w:val="0"/>
      <w:marRight w:val="0"/>
      <w:marTop w:val="0"/>
      <w:marBottom w:val="0"/>
      <w:divBdr>
        <w:top w:val="none" w:sz="0" w:space="0" w:color="auto"/>
        <w:left w:val="none" w:sz="0" w:space="0" w:color="auto"/>
        <w:bottom w:val="none" w:sz="0" w:space="0" w:color="auto"/>
        <w:right w:val="none" w:sz="0" w:space="0" w:color="auto"/>
      </w:divBdr>
      <w:divsChild>
        <w:div w:id="677273485">
          <w:marLeft w:val="0"/>
          <w:marRight w:val="0"/>
          <w:marTop w:val="0"/>
          <w:marBottom w:val="0"/>
          <w:divBdr>
            <w:top w:val="none" w:sz="0" w:space="0" w:color="auto"/>
            <w:left w:val="none" w:sz="0" w:space="0" w:color="auto"/>
            <w:bottom w:val="none" w:sz="0" w:space="0" w:color="auto"/>
            <w:right w:val="none" w:sz="0" w:space="0" w:color="auto"/>
          </w:divBdr>
          <w:divsChild>
            <w:div w:id="222106233">
              <w:marLeft w:val="0"/>
              <w:marRight w:val="0"/>
              <w:marTop w:val="0"/>
              <w:marBottom w:val="0"/>
              <w:divBdr>
                <w:top w:val="none" w:sz="0" w:space="0" w:color="auto"/>
                <w:left w:val="none" w:sz="0" w:space="0" w:color="auto"/>
                <w:bottom w:val="none" w:sz="0" w:space="0" w:color="auto"/>
                <w:right w:val="none" w:sz="0" w:space="0" w:color="auto"/>
              </w:divBdr>
              <w:divsChild>
                <w:div w:id="15461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63966">
      <w:bodyDiv w:val="1"/>
      <w:marLeft w:val="0"/>
      <w:marRight w:val="0"/>
      <w:marTop w:val="0"/>
      <w:marBottom w:val="0"/>
      <w:divBdr>
        <w:top w:val="none" w:sz="0" w:space="0" w:color="auto"/>
        <w:left w:val="none" w:sz="0" w:space="0" w:color="auto"/>
        <w:bottom w:val="none" w:sz="0" w:space="0" w:color="auto"/>
        <w:right w:val="none" w:sz="0" w:space="0" w:color="auto"/>
      </w:divBdr>
      <w:divsChild>
        <w:div w:id="454259005">
          <w:marLeft w:val="0"/>
          <w:marRight w:val="0"/>
          <w:marTop w:val="0"/>
          <w:marBottom w:val="0"/>
          <w:divBdr>
            <w:top w:val="none" w:sz="0" w:space="0" w:color="auto"/>
            <w:left w:val="none" w:sz="0" w:space="0" w:color="auto"/>
            <w:bottom w:val="none" w:sz="0" w:space="0" w:color="auto"/>
            <w:right w:val="none" w:sz="0" w:space="0" w:color="auto"/>
          </w:divBdr>
          <w:divsChild>
            <w:div w:id="1734692673">
              <w:marLeft w:val="0"/>
              <w:marRight w:val="0"/>
              <w:marTop w:val="0"/>
              <w:marBottom w:val="0"/>
              <w:divBdr>
                <w:top w:val="none" w:sz="0" w:space="0" w:color="auto"/>
                <w:left w:val="none" w:sz="0" w:space="0" w:color="auto"/>
                <w:bottom w:val="none" w:sz="0" w:space="0" w:color="auto"/>
                <w:right w:val="none" w:sz="0" w:space="0" w:color="auto"/>
              </w:divBdr>
              <w:divsChild>
                <w:div w:id="1704477450">
                  <w:marLeft w:val="0"/>
                  <w:marRight w:val="0"/>
                  <w:marTop w:val="0"/>
                  <w:marBottom w:val="0"/>
                  <w:divBdr>
                    <w:top w:val="none" w:sz="0" w:space="0" w:color="auto"/>
                    <w:left w:val="none" w:sz="0" w:space="0" w:color="auto"/>
                    <w:bottom w:val="none" w:sz="0" w:space="0" w:color="auto"/>
                    <w:right w:val="none" w:sz="0" w:space="0" w:color="auto"/>
                  </w:divBdr>
                  <w:divsChild>
                    <w:div w:id="777409694">
                      <w:marLeft w:val="0"/>
                      <w:marRight w:val="0"/>
                      <w:marTop w:val="0"/>
                      <w:marBottom w:val="0"/>
                      <w:divBdr>
                        <w:top w:val="none" w:sz="0" w:space="0" w:color="auto"/>
                        <w:left w:val="none" w:sz="0" w:space="0" w:color="auto"/>
                        <w:bottom w:val="none" w:sz="0" w:space="0" w:color="auto"/>
                        <w:right w:val="none" w:sz="0" w:space="0" w:color="auto"/>
                      </w:divBdr>
                      <w:divsChild>
                        <w:div w:id="1953780192">
                          <w:marLeft w:val="0"/>
                          <w:marRight w:val="0"/>
                          <w:marTop w:val="0"/>
                          <w:marBottom w:val="0"/>
                          <w:divBdr>
                            <w:top w:val="none" w:sz="0" w:space="0" w:color="auto"/>
                            <w:left w:val="none" w:sz="0" w:space="0" w:color="auto"/>
                            <w:bottom w:val="none" w:sz="0" w:space="0" w:color="auto"/>
                            <w:right w:val="none" w:sz="0" w:space="0" w:color="auto"/>
                          </w:divBdr>
                          <w:divsChild>
                            <w:div w:id="386805407">
                              <w:marLeft w:val="0"/>
                              <w:marRight w:val="0"/>
                              <w:marTop w:val="0"/>
                              <w:marBottom w:val="0"/>
                              <w:divBdr>
                                <w:top w:val="none" w:sz="0" w:space="0" w:color="auto"/>
                                <w:left w:val="none" w:sz="0" w:space="0" w:color="auto"/>
                                <w:bottom w:val="none" w:sz="0" w:space="0" w:color="auto"/>
                                <w:right w:val="none" w:sz="0" w:space="0" w:color="auto"/>
                              </w:divBdr>
                            </w:div>
                            <w:div w:id="1512917761">
                              <w:marLeft w:val="0"/>
                              <w:marRight w:val="0"/>
                              <w:marTop w:val="0"/>
                              <w:marBottom w:val="0"/>
                              <w:divBdr>
                                <w:top w:val="none" w:sz="0" w:space="0" w:color="auto"/>
                                <w:left w:val="none" w:sz="0" w:space="0" w:color="auto"/>
                                <w:bottom w:val="none" w:sz="0" w:space="0" w:color="auto"/>
                                <w:right w:val="none" w:sz="0" w:space="0" w:color="auto"/>
                              </w:divBdr>
                              <w:divsChild>
                                <w:div w:id="1584608125">
                                  <w:marLeft w:val="0"/>
                                  <w:marRight w:val="0"/>
                                  <w:marTop w:val="0"/>
                                  <w:marBottom w:val="0"/>
                                  <w:divBdr>
                                    <w:top w:val="none" w:sz="0" w:space="0" w:color="auto"/>
                                    <w:left w:val="none" w:sz="0" w:space="0" w:color="auto"/>
                                    <w:bottom w:val="none" w:sz="0" w:space="0" w:color="auto"/>
                                    <w:right w:val="none" w:sz="0" w:space="0" w:color="auto"/>
                                  </w:divBdr>
                                  <w:divsChild>
                                    <w:div w:id="3090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111222">
      <w:bodyDiv w:val="1"/>
      <w:marLeft w:val="0"/>
      <w:marRight w:val="0"/>
      <w:marTop w:val="0"/>
      <w:marBottom w:val="0"/>
      <w:divBdr>
        <w:top w:val="none" w:sz="0" w:space="0" w:color="auto"/>
        <w:left w:val="none" w:sz="0" w:space="0" w:color="auto"/>
        <w:bottom w:val="none" w:sz="0" w:space="0" w:color="auto"/>
        <w:right w:val="none" w:sz="0" w:space="0" w:color="auto"/>
      </w:divBdr>
      <w:divsChild>
        <w:div w:id="624241823">
          <w:marLeft w:val="0"/>
          <w:marRight w:val="0"/>
          <w:marTop w:val="0"/>
          <w:marBottom w:val="0"/>
          <w:divBdr>
            <w:top w:val="none" w:sz="0" w:space="0" w:color="auto"/>
            <w:left w:val="none" w:sz="0" w:space="0" w:color="auto"/>
            <w:bottom w:val="none" w:sz="0" w:space="0" w:color="auto"/>
            <w:right w:val="none" w:sz="0" w:space="0" w:color="auto"/>
          </w:divBdr>
          <w:divsChild>
            <w:div w:id="587497188">
              <w:marLeft w:val="0"/>
              <w:marRight w:val="0"/>
              <w:marTop w:val="0"/>
              <w:marBottom w:val="0"/>
              <w:divBdr>
                <w:top w:val="none" w:sz="0" w:space="0" w:color="auto"/>
                <w:left w:val="none" w:sz="0" w:space="0" w:color="auto"/>
                <w:bottom w:val="none" w:sz="0" w:space="0" w:color="auto"/>
                <w:right w:val="none" w:sz="0" w:space="0" w:color="auto"/>
              </w:divBdr>
              <w:divsChild>
                <w:div w:id="172184402">
                  <w:marLeft w:val="0"/>
                  <w:marRight w:val="0"/>
                  <w:marTop w:val="0"/>
                  <w:marBottom w:val="0"/>
                  <w:divBdr>
                    <w:top w:val="none" w:sz="0" w:space="0" w:color="auto"/>
                    <w:left w:val="none" w:sz="0" w:space="0" w:color="auto"/>
                    <w:bottom w:val="none" w:sz="0" w:space="0" w:color="auto"/>
                    <w:right w:val="none" w:sz="0" w:space="0" w:color="auto"/>
                  </w:divBdr>
                  <w:divsChild>
                    <w:div w:id="2006662248">
                      <w:marLeft w:val="0"/>
                      <w:marRight w:val="0"/>
                      <w:marTop w:val="0"/>
                      <w:marBottom w:val="0"/>
                      <w:divBdr>
                        <w:top w:val="none" w:sz="0" w:space="0" w:color="auto"/>
                        <w:left w:val="none" w:sz="0" w:space="0" w:color="auto"/>
                        <w:bottom w:val="none" w:sz="0" w:space="0" w:color="auto"/>
                        <w:right w:val="none" w:sz="0" w:space="0" w:color="auto"/>
                      </w:divBdr>
                      <w:divsChild>
                        <w:div w:id="19547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117837">
      <w:bodyDiv w:val="1"/>
      <w:marLeft w:val="0"/>
      <w:marRight w:val="0"/>
      <w:marTop w:val="0"/>
      <w:marBottom w:val="0"/>
      <w:divBdr>
        <w:top w:val="none" w:sz="0" w:space="0" w:color="auto"/>
        <w:left w:val="none" w:sz="0" w:space="0" w:color="auto"/>
        <w:bottom w:val="none" w:sz="0" w:space="0" w:color="auto"/>
        <w:right w:val="none" w:sz="0" w:space="0" w:color="auto"/>
      </w:divBdr>
      <w:divsChild>
        <w:div w:id="407461280">
          <w:marLeft w:val="0"/>
          <w:marRight w:val="0"/>
          <w:marTop w:val="0"/>
          <w:marBottom w:val="0"/>
          <w:divBdr>
            <w:top w:val="none" w:sz="0" w:space="0" w:color="auto"/>
            <w:left w:val="none" w:sz="0" w:space="0" w:color="auto"/>
            <w:bottom w:val="none" w:sz="0" w:space="0" w:color="auto"/>
            <w:right w:val="none" w:sz="0" w:space="0" w:color="auto"/>
          </w:divBdr>
          <w:divsChild>
            <w:div w:id="1898543280">
              <w:marLeft w:val="0"/>
              <w:marRight w:val="0"/>
              <w:marTop w:val="0"/>
              <w:marBottom w:val="0"/>
              <w:divBdr>
                <w:top w:val="none" w:sz="0" w:space="0" w:color="auto"/>
                <w:left w:val="none" w:sz="0" w:space="0" w:color="auto"/>
                <w:bottom w:val="none" w:sz="0" w:space="0" w:color="auto"/>
                <w:right w:val="none" w:sz="0" w:space="0" w:color="auto"/>
              </w:divBdr>
              <w:divsChild>
                <w:div w:id="1670255357">
                  <w:marLeft w:val="0"/>
                  <w:marRight w:val="0"/>
                  <w:marTop w:val="0"/>
                  <w:marBottom w:val="0"/>
                  <w:divBdr>
                    <w:top w:val="none" w:sz="0" w:space="0" w:color="auto"/>
                    <w:left w:val="none" w:sz="0" w:space="0" w:color="auto"/>
                    <w:bottom w:val="none" w:sz="0" w:space="0" w:color="auto"/>
                    <w:right w:val="none" w:sz="0" w:space="0" w:color="auto"/>
                  </w:divBdr>
                  <w:divsChild>
                    <w:div w:id="959150144">
                      <w:marLeft w:val="0"/>
                      <w:marRight w:val="0"/>
                      <w:marTop w:val="0"/>
                      <w:marBottom w:val="0"/>
                      <w:divBdr>
                        <w:top w:val="none" w:sz="0" w:space="0" w:color="auto"/>
                        <w:left w:val="none" w:sz="0" w:space="0" w:color="auto"/>
                        <w:bottom w:val="none" w:sz="0" w:space="0" w:color="auto"/>
                        <w:right w:val="none" w:sz="0" w:space="0" w:color="auto"/>
                      </w:divBdr>
                      <w:divsChild>
                        <w:div w:id="12474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5.jpeg"/><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biospace.cz/obrazky/produkty/pod/720-1.jpg" TargetMode="External"/><Relationship Id="rId25" Type="http://schemas.openxmlformats.org/officeDocument/2006/relationships/chart" Target="charts/chart4.xml"/><Relationship Id="rId33"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emf"/><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ita.com/en/bc-418/184catId.520093719" TargetMode="External"/><Relationship Id="rId24" Type="http://schemas.openxmlformats.org/officeDocument/2006/relationships/chart" Target="charts/chart3.xml"/><Relationship Id="rId32" Type="http://schemas.openxmlformats.org/officeDocument/2006/relationships/chart" Target="charts/chart10.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biospace.cz/obrazky/produkty/pod/720-2.jpg" TargetMode="Externa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hyperlink" Target="http://www.mpsv.cz/cs/5045" TargetMode="External"/><Relationship Id="rId4" Type="http://schemas.openxmlformats.org/officeDocument/2006/relationships/settings" Target="settings.xml"/><Relationship Id="rId9" Type="http://schemas.openxmlformats.org/officeDocument/2006/relationships/hyperlink" Target="http://www.tanita.com/data/Image/products/ImageResize/Body-Composition-Analyzer---BC-418_l.jpg" TargetMode="External"/><Relationship Id="rId14" Type="http://schemas.openxmlformats.org/officeDocument/2006/relationships/footer" Target="footer1.xm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ocuments\DIPLOMKA\GRAFY\tbw.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diplomka\tbw.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Documents\DIPLOMKA\GRAFY\tbw.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C\Documents\DIPLOMKA\GRAFY\tbw.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C\Documents\DIPLOMKA\GRAFY\tbw.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C\Documents\DIPLOMKA\GRAFY\tbw.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C\Documents\DIPLOMKA\GRAFY\tbw.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C\Documents\DIPLOMKA\GRAFY\tbw.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C\Documents\DIPLOMKA\GRAFY\tbw.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C\Documents\DIPLOMKA\GRAFY\tb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cs-CZ"/>
  <c:style val="18"/>
  <c:chart>
    <c:title>
      <c:tx>
        <c:rich>
          <a:bodyPr/>
          <a:lstStyle/>
          <a:p>
            <a:pPr>
              <a:defRPr/>
            </a:pPr>
            <a:r>
              <a:rPr lang="cs-CZ"/>
              <a:t>Celková</a:t>
            </a:r>
            <a:r>
              <a:rPr lang="cs-CZ" baseline="0"/>
              <a:t> tělesná voda</a:t>
            </a:r>
          </a:p>
        </c:rich>
      </c:tx>
      <c:layout/>
    </c:title>
    <c:view3D>
      <c:rAngAx val="1"/>
    </c:view3D>
    <c:plotArea>
      <c:layout/>
      <c:bar3DChart>
        <c:barDir val="col"/>
        <c:grouping val="clustered"/>
        <c:ser>
          <c:idx val="0"/>
          <c:order val="0"/>
          <c:tx>
            <c:strRef>
              <c:f>List1!$A$2</c:f>
              <c:strCache>
                <c:ptCount val="1"/>
                <c:pt idx="0">
                  <c:v>Tanita</c:v>
                </c:pt>
              </c:strCache>
            </c:strRef>
          </c:tx>
          <c:dLbls>
            <c:dLbl>
              <c:idx val="0"/>
              <c:layout>
                <c:manualLayout>
                  <c:x val="2.7777777777778139E-3"/>
                  <c:y val="-3.2407407407407676E-2"/>
                </c:manualLayout>
              </c:layout>
              <c:tx>
                <c:rich>
                  <a:bodyPr/>
                  <a:lstStyle/>
                  <a:p>
                    <a:r>
                      <a:rPr lang="en-US"/>
                      <a:t>47</a:t>
                    </a:r>
                    <a:r>
                      <a:rPr lang="cs-CZ"/>
                      <a:t> </a:t>
                    </a:r>
                    <a:r>
                      <a:rPr lang="en-US"/>
                      <a:t>%</a:t>
                    </a:r>
                  </a:p>
                </c:rich>
              </c:tx>
              <c:showVal val="1"/>
            </c:dLbl>
            <c:dLbl>
              <c:idx val="1"/>
              <c:layout>
                <c:manualLayout>
                  <c:x val="5.5555555555556061E-3"/>
                  <c:y val="-2.7777777777778102E-2"/>
                </c:manualLayout>
              </c:layout>
              <c:tx>
                <c:rich>
                  <a:bodyPr/>
                  <a:lstStyle/>
                  <a:p>
                    <a:r>
                      <a:rPr lang="en-US"/>
                      <a:t>38</a:t>
                    </a:r>
                    <a:r>
                      <a:rPr lang="cs-CZ"/>
                      <a:t> </a:t>
                    </a:r>
                    <a:r>
                      <a:rPr lang="en-US"/>
                      <a:t>%</a:t>
                    </a:r>
                  </a:p>
                </c:rich>
              </c:tx>
              <c:showVal val="1"/>
            </c:dLbl>
            <c:dLbl>
              <c:idx val="2"/>
              <c:layout>
                <c:manualLayout>
                  <c:x val="1.3888888888888996E-2"/>
                  <c:y val="-3.2407407407407676E-2"/>
                </c:manualLayout>
              </c:layout>
              <c:tx>
                <c:rich>
                  <a:bodyPr/>
                  <a:lstStyle/>
                  <a:p>
                    <a:r>
                      <a:rPr lang="en-US"/>
                      <a:t>62</a:t>
                    </a:r>
                    <a:r>
                      <a:rPr lang="cs-CZ"/>
                      <a:t> </a:t>
                    </a:r>
                    <a:r>
                      <a:rPr lang="en-US"/>
                      <a:t>%</a:t>
                    </a:r>
                  </a:p>
                </c:rich>
              </c:tx>
              <c:showVal val="1"/>
            </c:dLbl>
            <c:showVal val="1"/>
          </c:dLbls>
          <c:cat>
            <c:strRef>
              <c:f>List1!$B$1:$D$1</c:f>
              <c:strCache>
                <c:ptCount val="3"/>
                <c:pt idx="0">
                  <c:v>M</c:v>
                </c:pt>
                <c:pt idx="1">
                  <c:v>min</c:v>
                </c:pt>
                <c:pt idx="2">
                  <c:v>max</c:v>
                </c:pt>
              </c:strCache>
            </c:strRef>
          </c:cat>
          <c:val>
            <c:numRef>
              <c:f>List1!$B$2:$D$2</c:f>
              <c:numCache>
                <c:formatCode>0%</c:formatCode>
                <c:ptCount val="3"/>
                <c:pt idx="0">
                  <c:v>0.47000000000000008</c:v>
                </c:pt>
                <c:pt idx="1">
                  <c:v>0.38000000000000134</c:v>
                </c:pt>
                <c:pt idx="2">
                  <c:v>0.62000000000000233</c:v>
                </c:pt>
              </c:numCache>
            </c:numRef>
          </c:val>
        </c:ser>
        <c:ser>
          <c:idx val="1"/>
          <c:order val="1"/>
          <c:tx>
            <c:strRef>
              <c:f>List1!$A$3</c:f>
              <c:strCache>
                <c:ptCount val="1"/>
                <c:pt idx="0">
                  <c:v>InBody</c:v>
                </c:pt>
              </c:strCache>
            </c:strRef>
          </c:tx>
          <c:dLbls>
            <c:dLbl>
              <c:idx val="0"/>
              <c:layout>
                <c:manualLayout>
                  <c:x val="2.7777777777778139E-3"/>
                  <c:y val="-3.2407407407407676E-2"/>
                </c:manualLayout>
              </c:layout>
              <c:tx>
                <c:rich>
                  <a:bodyPr/>
                  <a:lstStyle/>
                  <a:p>
                    <a:r>
                      <a:rPr lang="en-US"/>
                      <a:t>45</a:t>
                    </a:r>
                    <a:r>
                      <a:rPr lang="cs-CZ"/>
                      <a:t> </a:t>
                    </a:r>
                    <a:r>
                      <a:rPr lang="en-US"/>
                      <a:t>%</a:t>
                    </a:r>
                  </a:p>
                </c:rich>
              </c:tx>
              <c:showVal val="1"/>
            </c:dLbl>
            <c:dLbl>
              <c:idx val="1"/>
              <c:layout>
                <c:manualLayout>
                  <c:x val="1.1111111111111176E-2"/>
                  <c:y val="-4.1666666666666692E-2"/>
                </c:manualLayout>
              </c:layout>
              <c:tx>
                <c:rich>
                  <a:bodyPr/>
                  <a:lstStyle/>
                  <a:p>
                    <a:r>
                      <a:rPr lang="en-US"/>
                      <a:t>35</a:t>
                    </a:r>
                    <a:r>
                      <a:rPr lang="cs-CZ"/>
                      <a:t> </a:t>
                    </a:r>
                    <a:r>
                      <a:rPr lang="en-US"/>
                      <a:t>%</a:t>
                    </a:r>
                  </a:p>
                </c:rich>
              </c:tx>
              <c:showVal val="1"/>
            </c:dLbl>
            <c:dLbl>
              <c:idx val="2"/>
              <c:layout>
                <c:manualLayout>
                  <c:x val="1.6666666666666767E-2"/>
                  <c:y val="-2.3148148148148188E-2"/>
                </c:manualLayout>
              </c:layout>
              <c:tx>
                <c:rich>
                  <a:bodyPr/>
                  <a:lstStyle/>
                  <a:p>
                    <a:r>
                      <a:rPr lang="en-US"/>
                      <a:t>57</a:t>
                    </a:r>
                    <a:r>
                      <a:rPr lang="cs-CZ"/>
                      <a:t> </a:t>
                    </a:r>
                    <a:r>
                      <a:rPr lang="en-US"/>
                      <a:t>%</a:t>
                    </a:r>
                  </a:p>
                </c:rich>
              </c:tx>
              <c:showVal val="1"/>
            </c:dLbl>
            <c:showVal val="1"/>
          </c:dLbls>
          <c:cat>
            <c:strRef>
              <c:f>List1!$B$1:$D$1</c:f>
              <c:strCache>
                <c:ptCount val="3"/>
                <c:pt idx="0">
                  <c:v>M</c:v>
                </c:pt>
                <c:pt idx="1">
                  <c:v>min</c:v>
                </c:pt>
                <c:pt idx="2">
                  <c:v>max</c:v>
                </c:pt>
              </c:strCache>
            </c:strRef>
          </c:cat>
          <c:val>
            <c:numRef>
              <c:f>List1!$B$3:$D$3</c:f>
              <c:numCache>
                <c:formatCode>0%</c:formatCode>
                <c:ptCount val="3"/>
                <c:pt idx="0">
                  <c:v>0.45</c:v>
                </c:pt>
                <c:pt idx="1">
                  <c:v>0.35000000000000031</c:v>
                </c:pt>
                <c:pt idx="2">
                  <c:v>0.56999999999999995</c:v>
                </c:pt>
              </c:numCache>
            </c:numRef>
          </c:val>
        </c:ser>
        <c:ser>
          <c:idx val="2"/>
          <c:order val="2"/>
          <c:tx>
            <c:strRef>
              <c:f>List1!$A$4</c:f>
              <c:strCache>
                <c:ptCount val="1"/>
                <c:pt idx="0">
                  <c:v>Referenční hodnoty</c:v>
                </c:pt>
              </c:strCache>
            </c:strRef>
          </c:tx>
          <c:dLbls>
            <c:dLbl>
              <c:idx val="0"/>
              <c:layout>
                <c:manualLayout>
                  <c:x val="1.6666666666666677E-2"/>
                  <c:y val="-1.3888888888888904E-2"/>
                </c:manualLayout>
              </c:layout>
              <c:tx>
                <c:rich>
                  <a:bodyPr/>
                  <a:lstStyle/>
                  <a:p>
                    <a:r>
                      <a:rPr lang="en-US"/>
                      <a:t>60</a:t>
                    </a:r>
                    <a:r>
                      <a:rPr lang="cs-CZ"/>
                      <a:t> </a:t>
                    </a:r>
                    <a:r>
                      <a:rPr lang="en-US"/>
                      <a:t>%</a:t>
                    </a:r>
                  </a:p>
                </c:rich>
              </c:tx>
              <c:showVal val="1"/>
            </c:dLbl>
            <c:showVal val="1"/>
          </c:dLbls>
          <c:cat>
            <c:strRef>
              <c:f>List1!$B$1:$D$1</c:f>
              <c:strCache>
                <c:ptCount val="3"/>
                <c:pt idx="0">
                  <c:v>M</c:v>
                </c:pt>
                <c:pt idx="1">
                  <c:v>min</c:v>
                </c:pt>
                <c:pt idx="2">
                  <c:v>max</c:v>
                </c:pt>
              </c:strCache>
            </c:strRef>
          </c:cat>
          <c:val>
            <c:numRef>
              <c:f>List1!$B$4:$D$4</c:f>
              <c:numCache>
                <c:formatCode>General</c:formatCode>
                <c:ptCount val="3"/>
                <c:pt idx="0" formatCode="0%">
                  <c:v>0.60000000000000064</c:v>
                </c:pt>
              </c:numCache>
            </c:numRef>
          </c:val>
        </c:ser>
        <c:dLbls>
          <c:showVal val="1"/>
        </c:dLbls>
        <c:shape val="box"/>
        <c:axId val="52290304"/>
        <c:axId val="52291840"/>
        <c:axId val="0"/>
      </c:bar3DChart>
      <c:catAx>
        <c:axId val="52290304"/>
        <c:scaling>
          <c:orientation val="minMax"/>
        </c:scaling>
        <c:axPos val="b"/>
        <c:majorTickMark val="none"/>
        <c:tickLblPos val="nextTo"/>
        <c:crossAx val="52291840"/>
        <c:crosses val="autoZero"/>
        <c:auto val="1"/>
        <c:lblAlgn val="ctr"/>
        <c:lblOffset val="100"/>
      </c:catAx>
      <c:valAx>
        <c:axId val="52291840"/>
        <c:scaling>
          <c:orientation val="minMax"/>
        </c:scaling>
        <c:delete val="1"/>
        <c:axPos val="l"/>
        <c:numFmt formatCode="0%" sourceLinked="1"/>
        <c:majorTickMark val="none"/>
        <c:tickLblPos val="none"/>
        <c:crossAx val="52290304"/>
        <c:crosses val="autoZero"/>
        <c:crossBetween val="between"/>
      </c:valAx>
    </c:plotArea>
    <c:legend>
      <c:legendPos val="t"/>
      <c:layout/>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cs-CZ"/>
  <c:style val="26"/>
  <c:chart>
    <c:title>
      <c:tx>
        <c:rich>
          <a:bodyPr/>
          <a:lstStyle/>
          <a:p>
            <a:pPr>
              <a:defRPr/>
            </a:pPr>
            <a:r>
              <a:rPr lang="en-US"/>
              <a:t>Četnostní rozložení hodnot BMI</a:t>
            </a:r>
          </a:p>
        </c:rich>
      </c:tx>
      <c:layout/>
    </c:title>
    <c:view3D>
      <c:rotX val="30"/>
      <c:perspective val="30"/>
    </c:view3D>
    <c:plotArea>
      <c:layout/>
      <c:pie3DChart>
        <c:varyColors val="1"/>
        <c:ser>
          <c:idx val="0"/>
          <c:order val="0"/>
          <c:tx>
            <c:strRef>
              <c:f>List7!$B$11</c:f>
              <c:strCache>
                <c:ptCount val="1"/>
                <c:pt idx="0">
                  <c:v>%</c:v>
                </c:pt>
              </c:strCache>
            </c:strRef>
          </c:tx>
          <c:dLbls>
            <c:showPercent val="1"/>
            <c:showLeaderLines val="1"/>
          </c:dLbls>
          <c:cat>
            <c:strRef>
              <c:f>List7!$A$12:$A$14</c:f>
              <c:strCache>
                <c:ptCount val="3"/>
                <c:pt idx="0">
                  <c:v>průměr</c:v>
                </c:pt>
                <c:pt idx="1">
                  <c:v>nadváha</c:v>
                </c:pt>
                <c:pt idx="2">
                  <c:v>obezita</c:v>
                </c:pt>
              </c:strCache>
            </c:strRef>
          </c:cat>
          <c:val>
            <c:numRef>
              <c:f>List7!$B$12:$B$14</c:f>
              <c:numCache>
                <c:formatCode>General</c:formatCode>
                <c:ptCount val="3"/>
                <c:pt idx="0">
                  <c:v>21</c:v>
                </c:pt>
                <c:pt idx="1">
                  <c:v>59</c:v>
                </c:pt>
                <c:pt idx="2">
                  <c:v>20</c:v>
                </c:pt>
              </c:numCache>
            </c:numRef>
          </c:val>
        </c:ser>
        <c:dLbls>
          <c:showPercent val="1"/>
        </c:dLbls>
      </c:pie3DChart>
    </c:plotArea>
    <c:legend>
      <c:legendPos val="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cs-CZ"/>
  <c:style val="18"/>
  <c:chart>
    <c:title>
      <c:tx>
        <c:rich>
          <a:bodyPr/>
          <a:lstStyle/>
          <a:p>
            <a:pPr>
              <a:defRPr/>
            </a:pPr>
            <a:r>
              <a:rPr lang="en-US"/>
              <a:t>Extracelulární a intracelulární voda</a:t>
            </a:r>
          </a:p>
        </c:rich>
      </c:tx>
      <c:layout/>
    </c:title>
    <c:view3D>
      <c:rAngAx val="1"/>
    </c:view3D>
    <c:plotArea>
      <c:layout/>
      <c:bar3DChart>
        <c:barDir val="col"/>
        <c:grouping val="clustered"/>
        <c:ser>
          <c:idx val="0"/>
          <c:order val="0"/>
          <c:tx>
            <c:strRef>
              <c:f>List2!$A$2</c:f>
              <c:strCache>
                <c:ptCount val="1"/>
                <c:pt idx="0">
                  <c:v>InBody</c:v>
                </c:pt>
              </c:strCache>
            </c:strRef>
          </c:tx>
          <c:dLbls>
            <c:dLbl>
              <c:idx val="0"/>
              <c:layout>
                <c:manualLayout>
                  <c:x val="2.5000000000000001E-2"/>
                  <c:y val="-6.4814814814815283E-2"/>
                </c:manualLayout>
              </c:layout>
              <c:tx>
                <c:rich>
                  <a:bodyPr/>
                  <a:lstStyle/>
                  <a:p>
                    <a:r>
                      <a:rPr lang="en-US"/>
                      <a:t>17</a:t>
                    </a:r>
                    <a:r>
                      <a:rPr lang="cs-CZ"/>
                      <a:t> </a:t>
                    </a:r>
                    <a:r>
                      <a:rPr lang="en-US"/>
                      <a:t>%</a:t>
                    </a:r>
                  </a:p>
                </c:rich>
              </c:tx>
              <c:showVal val="1"/>
            </c:dLbl>
            <c:dLbl>
              <c:idx val="1"/>
              <c:layout>
                <c:manualLayout>
                  <c:x val="1.9444444444444445E-2"/>
                  <c:y val="-6.9444444444444503E-2"/>
                </c:manualLayout>
              </c:layout>
              <c:tx>
                <c:rich>
                  <a:bodyPr/>
                  <a:lstStyle/>
                  <a:p>
                    <a:r>
                      <a:rPr lang="en-US"/>
                      <a:t>27</a:t>
                    </a:r>
                    <a:r>
                      <a:rPr lang="cs-CZ"/>
                      <a:t> </a:t>
                    </a:r>
                    <a:r>
                      <a:rPr lang="en-US"/>
                      <a:t>%</a:t>
                    </a:r>
                  </a:p>
                </c:rich>
              </c:tx>
              <c:showVal val="1"/>
            </c:dLbl>
            <c:showVal val="1"/>
          </c:dLbls>
          <c:cat>
            <c:strRef>
              <c:f>List2!$B$1:$C$1</c:f>
              <c:strCache>
                <c:ptCount val="2"/>
                <c:pt idx="0">
                  <c:v>ECW</c:v>
                </c:pt>
                <c:pt idx="1">
                  <c:v>ICW</c:v>
                </c:pt>
              </c:strCache>
            </c:strRef>
          </c:cat>
          <c:val>
            <c:numRef>
              <c:f>List2!$B$2:$C$2</c:f>
              <c:numCache>
                <c:formatCode>0%</c:formatCode>
                <c:ptCount val="2"/>
                <c:pt idx="0">
                  <c:v>0.17</c:v>
                </c:pt>
                <c:pt idx="1">
                  <c:v>0.27</c:v>
                </c:pt>
              </c:numCache>
            </c:numRef>
          </c:val>
        </c:ser>
        <c:ser>
          <c:idx val="1"/>
          <c:order val="1"/>
          <c:tx>
            <c:strRef>
              <c:f>List2!$A$3</c:f>
              <c:strCache>
                <c:ptCount val="1"/>
                <c:pt idx="0">
                  <c:v>Referenční hodnoty</c:v>
                </c:pt>
              </c:strCache>
            </c:strRef>
          </c:tx>
          <c:dLbls>
            <c:dLbl>
              <c:idx val="0"/>
              <c:layout>
                <c:manualLayout>
                  <c:x val="2.5000000000000001E-2"/>
                  <c:y val="-6.9444444444444503E-2"/>
                </c:manualLayout>
              </c:layout>
              <c:tx>
                <c:rich>
                  <a:bodyPr/>
                  <a:lstStyle/>
                  <a:p>
                    <a:r>
                      <a:rPr lang="en-US"/>
                      <a:t>20</a:t>
                    </a:r>
                    <a:r>
                      <a:rPr lang="cs-CZ"/>
                      <a:t> </a:t>
                    </a:r>
                    <a:r>
                      <a:rPr lang="en-US"/>
                      <a:t>%</a:t>
                    </a:r>
                  </a:p>
                </c:rich>
              </c:tx>
              <c:showVal val="1"/>
            </c:dLbl>
            <c:dLbl>
              <c:idx val="1"/>
              <c:layout>
                <c:manualLayout>
                  <c:x val="2.4999999999999897E-2"/>
                  <c:y val="-6.4814814814815283E-2"/>
                </c:manualLayout>
              </c:layout>
              <c:tx>
                <c:rich>
                  <a:bodyPr/>
                  <a:lstStyle/>
                  <a:p>
                    <a:r>
                      <a:rPr lang="en-US"/>
                      <a:t>40</a:t>
                    </a:r>
                    <a:r>
                      <a:rPr lang="cs-CZ"/>
                      <a:t> </a:t>
                    </a:r>
                    <a:r>
                      <a:rPr lang="en-US"/>
                      <a:t>%</a:t>
                    </a:r>
                  </a:p>
                </c:rich>
              </c:tx>
              <c:showVal val="1"/>
            </c:dLbl>
            <c:showVal val="1"/>
          </c:dLbls>
          <c:cat>
            <c:strRef>
              <c:f>List2!$B$1:$C$1</c:f>
              <c:strCache>
                <c:ptCount val="2"/>
                <c:pt idx="0">
                  <c:v>ECW</c:v>
                </c:pt>
                <c:pt idx="1">
                  <c:v>ICW</c:v>
                </c:pt>
              </c:strCache>
            </c:strRef>
          </c:cat>
          <c:val>
            <c:numRef>
              <c:f>List2!$B$3:$C$3</c:f>
              <c:numCache>
                <c:formatCode>0%</c:formatCode>
                <c:ptCount val="2"/>
                <c:pt idx="0">
                  <c:v>0.2</c:v>
                </c:pt>
                <c:pt idx="1">
                  <c:v>0.4</c:v>
                </c:pt>
              </c:numCache>
            </c:numRef>
          </c:val>
        </c:ser>
        <c:dLbls>
          <c:showVal val="1"/>
        </c:dLbls>
        <c:shape val="box"/>
        <c:axId val="32382976"/>
        <c:axId val="32384512"/>
        <c:axId val="0"/>
      </c:bar3DChart>
      <c:catAx>
        <c:axId val="32382976"/>
        <c:scaling>
          <c:orientation val="minMax"/>
        </c:scaling>
        <c:axPos val="b"/>
        <c:majorTickMark val="none"/>
        <c:tickLblPos val="nextTo"/>
        <c:crossAx val="32384512"/>
        <c:crosses val="autoZero"/>
        <c:auto val="1"/>
        <c:lblAlgn val="ctr"/>
        <c:lblOffset val="100"/>
      </c:catAx>
      <c:valAx>
        <c:axId val="32384512"/>
        <c:scaling>
          <c:orientation val="minMax"/>
        </c:scaling>
        <c:delete val="1"/>
        <c:axPos val="l"/>
        <c:numFmt formatCode="0%" sourceLinked="1"/>
        <c:tickLblPos val="none"/>
        <c:crossAx val="32382976"/>
        <c:crosses val="autoZero"/>
        <c:crossBetween val="between"/>
      </c:valAx>
    </c:plotArea>
    <c:legend>
      <c:legendPos val="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18"/>
  <c:chart>
    <c:title>
      <c:tx>
        <c:rich>
          <a:bodyPr/>
          <a:lstStyle/>
          <a:p>
            <a:pPr>
              <a:defRPr/>
            </a:pPr>
            <a:r>
              <a:rPr lang="en-US"/>
              <a:t>Tukuprostá hmota</a:t>
            </a:r>
          </a:p>
        </c:rich>
      </c:tx>
      <c:layout/>
    </c:title>
    <c:view3D>
      <c:rAngAx val="1"/>
    </c:view3D>
    <c:plotArea>
      <c:layout/>
      <c:bar3DChart>
        <c:barDir val="col"/>
        <c:grouping val="clustered"/>
        <c:ser>
          <c:idx val="0"/>
          <c:order val="0"/>
          <c:tx>
            <c:strRef>
              <c:f>List3!$A$2</c:f>
              <c:strCache>
                <c:ptCount val="1"/>
                <c:pt idx="0">
                  <c:v>Tanita</c:v>
                </c:pt>
              </c:strCache>
            </c:strRef>
          </c:tx>
          <c:dLbls>
            <c:dLbl>
              <c:idx val="0"/>
              <c:layout>
                <c:manualLayout>
                  <c:x val="1.1111111111111125E-2"/>
                  <c:y val="-4.1666666666666664E-2"/>
                </c:manualLayout>
              </c:layout>
              <c:tx>
                <c:rich>
                  <a:bodyPr/>
                  <a:lstStyle/>
                  <a:p>
                    <a:r>
                      <a:rPr lang="en-US"/>
                      <a:t>61</a:t>
                    </a:r>
                    <a:r>
                      <a:rPr lang="cs-CZ"/>
                      <a:t> </a:t>
                    </a:r>
                    <a:r>
                      <a:rPr lang="en-US"/>
                      <a:t>%</a:t>
                    </a:r>
                  </a:p>
                </c:rich>
              </c:tx>
              <c:showVal val="1"/>
            </c:dLbl>
            <c:dLbl>
              <c:idx val="1"/>
              <c:layout>
                <c:manualLayout>
                  <c:x val="1.6666666666666725E-2"/>
                  <c:y val="-2.7777777777778054E-2"/>
                </c:manualLayout>
              </c:layout>
              <c:tx>
                <c:rich>
                  <a:bodyPr/>
                  <a:lstStyle/>
                  <a:p>
                    <a:r>
                      <a:rPr lang="en-US"/>
                      <a:t>50</a:t>
                    </a:r>
                    <a:r>
                      <a:rPr lang="cs-CZ"/>
                      <a:t> </a:t>
                    </a:r>
                    <a:r>
                      <a:rPr lang="en-US"/>
                      <a:t>%</a:t>
                    </a:r>
                  </a:p>
                </c:rich>
              </c:tx>
              <c:showVal val="1"/>
            </c:dLbl>
            <c:dLbl>
              <c:idx val="2"/>
              <c:layout>
                <c:manualLayout>
                  <c:x val="1.1111111111111125E-2"/>
                  <c:y val="-4.6296296296296523E-2"/>
                </c:manualLayout>
              </c:layout>
              <c:tx>
                <c:rich>
                  <a:bodyPr/>
                  <a:lstStyle/>
                  <a:p>
                    <a:r>
                      <a:rPr lang="en-US"/>
                      <a:t>83</a:t>
                    </a:r>
                    <a:r>
                      <a:rPr lang="cs-CZ"/>
                      <a:t> </a:t>
                    </a:r>
                    <a:r>
                      <a:rPr lang="en-US"/>
                      <a:t>%</a:t>
                    </a:r>
                  </a:p>
                </c:rich>
              </c:tx>
              <c:showVal val="1"/>
            </c:dLbl>
            <c:showVal val="1"/>
          </c:dLbls>
          <c:cat>
            <c:strRef>
              <c:f>List3!$B$1:$D$1</c:f>
              <c:strCache>
                <c:ptCount val="3"/>
                <c:pt idx="0">
                  <c:v>M</c:v>
                </c:pt>
                <c:pt idx="1">
                  <c:v>min</c:v>
                </c:pt>
                <c:pt idx="2">
                  <c:v>max</c:v>
                </c:pt>
              </c:strCache>
            </c:strRef>
          </c:cat>
          <c:val>
            <c:numRef>
              <c:f>List3!$B$2:$D$2</c:f>
              <c:numCache>
                <c:formatCode>0%</c:formatCode>
                <c:ptCount val="3"/>
                <c:pt idx="0">
                  <c:v>0.61000000000000065</c:v>
                </c:pt>
                <c:pt idx="1">
                  <c:v>0.5</c:v>
                </c:pt>
                <c:pt idx="2">
                  <c:v>0.83000000000000063</c:v>
                </c:pt>
              </c:numCache>
            </c:numRef>
          </c:val>
        </c:ser>
        <c:ser>
          <c:idx val="1"/>
          <c:order val="1"/>
          <c:tx>
            <c:strRef>
              <c:f>List3!$A$3</c:f>
              <c:strCache>
                <c:ptCount val="1"/>
                <c:pt idx="0">
                  <c:v>Inbody</c:v>
                </c:pt>
              </c:strCache>
            </c:strRef>
          </c:tx>
          <c:dLbls>
            <c:dLbl>
              <c:idx val="0"/>
              <c:layout>
                <c:manualLayout>
                  <c:x val="1.3888888888888984E-2"/>
                  <c:y val="-2.7777777777778054E-2"/>
                </c:manualLayout>
              </c:layout>
              <c:tx>
                <c:rich>
                  <a:bodyPr/>
                  <a:lstStyle/>
                  <a:p>
                    <a:r>
                      <a:rPr lang="en-US"/>
                      <a:t>59</a:t>
                    </a:r>
                    <a:r>
                      <a:rPr lang="cs-CZ"/>
                      <a:t> </a:t>
                    </a:r>
                    <a:r>
                      <a:rPr lang="en-US"/>
                      <a:t>%</a:t>
                    </a:r>
                  </a:p>
                </c:rich>
              </c:tx>
              <c:showVal val="1"/>
            </c:dLbl>
            <c:dLbl>
              <c:idx val="1"/>
              <c:layout>
                <c:manualLayout>
                  <c:x val="1.3888888888888984E-2"/>
                  <c:y val="-4.1666666666666664E-2"/>
                </c:manualLayout>
              </c:layout>
              <c:tx>
                <c:rich>
                  <a:bodyPr/>
                  <a:lstStyle/>
                  <a:p>
                    <a:r>
                      <a:rPr lang="en-US"/>
                      <a:t>46</a:t>
                    </a:r>
                    <a:r>
                      <a:rPr lang="cs-CZ"/>
                      <a:t> </a:t>
                    </a:r>
                    <a:r>
                      <a:rPr lang="en-US"/>
                      <a:t>%</a:t>
                    </a:r>
                  </a:p>
                </c:rich>
              </c:tx>
              <c:showVal val="1"/>
            </c:dLbl>
            <c:dLbl>
              <c:idx val="2"/>
              <c:layout>
                <c:manualLayout>
                  <c:x val="1.9444444444444445E-2"/>
                  <c:y val="-4.1666666666666623E-2"/>
                </c:manualLayout>
              </c:layout>
              <c:tx>
                <c:rich>
                  <a:bodyPr/>
                  <a:lstStyle/>
                  <a:p>
                    <a:r>
                      <a:rPr lang="en-US"/>
                      <a:t>75</a:t>
                    </a:r>
                    <a:r>
                      <a:rPr lang="cs-CZ"/>
                      <a:t> </a:t>
                    </a:r>
                    <a:r>
                      <a:rPr lang="en-US"/>
                      <a:t>%</a:t>
                    </a:r>
                  </a:p>
                </c:rich>
              </c:tx>
              <c:showVal val="1"/>
            </c:dLbl>
            <c:showVal val="1"/>
          </c:dLbls>
          <c:cat>
            <c:strRef>
              <c:f>List3!$B$1:$D$1</c:f>
              <c:strCache>
                <c:ptCount val="3"/>
                <c:pt idx="0">
                  <c:v>M</c:v>
                </c:pt>
                <c:pt idx="1">
                  <c:v>min</c:v>
                </c:pt>
                <c:pt idx="2">
                  <c:v>max</c:v>
                </c:pt>
              </c:strCache>
            </c:strRef>
          </c:cat>
          <c:val>
            <c:numRef>
              <c:f>List3!$B$3:$D$3</c:f>
              <c:numCache>
                <c:formatCode>0%</c:formatCode>
                <c:ptCount val="3"/>
                <c:pt idx="0">
                  <c:v>0.59</c:v>
                </c:pt>
                <c:pt idx="1">
                  <c:v>0.46</c:v>
                </c:pt>
                <c:pt idx="2">
                  <c:v>0.75000000000000244</c:v>
                </c:pt>
              </c:numCache>
            </c:numRef>
          </c:val>
        </c:ser>
        <c:ser>
          <c:idx val="2"/>
          <c:order val="2"/>
          <c:tx>
            <c:strRef>
              <c:f>List3!$A$4</c:f>
              <c:strCache>
                <c:ptCount val="1"/>
                <c:pt idx="0">
                  <c:v>Referenční hodnoty</c:v>
                </c:pt>
              </c:strCache>
            </c:strRef>
          </c:tx>
          <c:dLbls>
            <c:dLbl>
              <c:idx val="0"/>
              <c:layout>
                <c:manualLayout>
                  <c:x val="1.6666666666666701E-2"/>
                  <c:y val="-3.2407407407407642E-2"/>
                </c:manualLayout>
              </c:layout>
              <c:tx>
                <c:rich>
                  <a:bodyPr/>
                  <a:lstStyle/>
                  <a:p>
                    <a:r>
                      <a:rPr lang="en-US"/>
                      <a:t>73</a:t>
                    </a:r>
                    <a:r>
                      <a:rPr lang="cs-CZ"/>
                      <a:t> </a:t>
                    </a:r>
                    <a:r>
                      <a:rPr lang="en-US"/>
                      <a:t>%</a:t>
                    </a:r>
                  </a:p>
                </c:rich>
              </c:tx>
              <c:showVal val="1"/>
            </c:dLbl>
            <c:showVal val="1"/>
          </c:dLbls>
          <c:cat>
            <c:strRef>
              <c:f>List3!$B$1:$D$1</c:f>
              <c:strCache>
                <c:ptCount val="3"/>
                <c:pt idx="0">
                  <c:v>M</c:v>
                </c:pt>
                <c:pt idx="1">
                  <c:v>min</c:v>
                </c:pt>
                <c:pt idx="2">
                  <c:v>max</c:v>
                </c:pt>
              </c:strCache>
            </c:strRef>
          </c:cat>
          <c:val>
            <c:numRef>
              <c:f>List3!$B$4:$D$4</c:f>
              <c:numCache>
                <c:formatCode>General</c:formatCode>
                <c:ptCount val="3"/>
                <c:pt idx="0" formatCode="0%">
                  <c:v>0.73000000000000065</c:v>
                </c:pt>
              </c:numCache>
            </c:numRef>
          </c:val>
        </c:ser>
        <c:dLbls>
          <c:showVal val="1"/>
        </c:dLbls>
        <c:shape val="box"/>
        <c:axId val="62407040"/>
        <c:axId val="62408576"/>
        <c:axId val="0"/>
      </c:bar3DChart>
      <c:catAx>
        <c:axId val="62407040"/>
        <c:scaling>
          <c:orientation val="minMax"/>
        </c:scaling>
        <c:axPos val="b"/>
        <c:majorTickMark val="none"/>
        <c:tickLblPos val="nextTo"/>
        <c:crossAx val="62408576"/>
        <c:crosses val="autoZero"/>
        <c:auto val="1"/>
        <c:lblAlgn val="ctr"/>
        <c:lblOffset val="100"/>
      </c:catAx>
      <c:valAx>
        <c:axId val="62408576"/>
        <c:scaling>
          <c:orientation val="minMax"/>
        </c:scaling>
        <c:delete val="1"/>
        <c:axPos val="l"/>
        <c:numFmt formatCode="0%" sourceLinked="1"/>
        <c:tickLblPos val="none"/>
        <c:crossAx val="62407040"/>
        <c:crosses val="autoZero"/>
        <c:crossBetween val="between"/>
      </c:valAx>
    </c:plotArea>
    <c:legend>
      <c:legendPos val="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cs-CZ"/>
  <c:style val="18"/>
  <c:chart>
    <c:title>
      <c:tx>
        <c:rich>
          <a:bodyPr/>
          <a:lstStyle/>
          <a:p>
            <a:pPr>
              <a:defRPr/>
            </a:pPr>
            <a:r>
              <a:rPr lang="en-US"/>
              <a:t>Tuková hmota</a:t>
            </a:r>
          </a:p>
        </c:rich>
      </c:tx>
      <c:layout/>
    </c:title>
    <c:view3D>
      <c:rAngAx val="1"/>
    </c:view3D>
    <c:plotArea>
      <c:layout/>
      <c:bar3DChart>
        <c:barDir val="col"/>
        <c:grouping val="clustered"/>
        <c:ser>
          <c:idx val="0"/>
          <c:order val="0"/>
          <c:tx>
            <c:strRef>
              <c:f>List4!$A$2</c:f>
              <c:strCache>
                <c:ptCount val="1"/>
                <c:pt idx="0">
                  <c:v>Tanita</c:v>
                </c:pt>
              </c:strCache>
            </c:strRef>
          </c:tx>
          <c:dLbls>
            <c:dLbl>
              <c:idx val="0"/>
              <c:layout>
                <c:manualLayout>
                  <c:x val="1.1111111111111125E-2"/>
                  <c:y val="-2.7777777777778078E-2"/>
                </c:manualLayout>
              </c:layout>
              <c:tx>
                <c:rich>
                  <a:bodyPr/>
                  <a:lstStyle/>
                  <a:p>
                    <a:r>
                      <a:rPr lang="en-US"/>
                      <a:t>36</a:t>
                    </a:r>
                    <a:r>
                      <a:rPr lang="cs-CZ"/>
                      <a:t> </a:t>
                    </a:r>
                    <a:r>
                      <a:rPr lang="en-US"/>
                      <a:t>%</a:t>
                    </a:r>
                  </a:p>
                </c:rich>
              </c:tx>
              <c:showVal val="1"/>
            </c:dLbl>
            <c:dLbl>
              <c:idx val="1"/>
              <c:layout>
                <c:manualLayout>
                  <c:x val="1.388888888888899E-2"/>
                  <c:y val="-2.3148148148148147E-2"/>
                </c:manualLayout>
              </c:layout>
              <c:tx>
                <c:rich>
                  <a:bodyPr/>
                  <a:lstStyle/>
                  <a:p>
                    <a:r>
                      <a:rPr lang="en-US"/>
                      <a:t>15</a:t>
                    </a:r>
                    <a:r>
                      <a:rPr lang="cs-CZ"/>
                      <a:t> </a:t>
                    </a:r>
                    <a:r>
                      <a:rPr lang="en-US"/>
                      <a:t>%</a:t>
                    </a:r>
                  </a:p>
                </c:rich>
              </c:tx>
              <c:showVal val="1"/>
            </c:dLbl>
            <c:dLbl>
              <c:idx val="2"/>
              <c:layout>
                <c:manualLayout>
                  <c:x val="1.6666666666666701E-2"/>
                  <c:y val="-4.1666666666666664E-2"/>
                </c:manualLayout>
              </c:layout>
              <c:tx>
                <c:rich>
                  <a:bodyPr/>
                  <a:lstStyle/>
                  <a:p>
                    <a:r>
                      <a:rPr lang="en-US"/>
                      <a:t>48</a:t>
                    </a:r>
                    <a:r>
                      <a:rPr lang="cs-CZ"/>
                      <a:t> </a:t>
                    </a:r>
                    <a:r>
                      <a:rPr lang="en-US"/>
                      <a:t>%</a:t>
                    </a:r>
                  </a:p>
                </c:rich>
              </c:tx>
              <c:showVal val="1"/>
            </c:dLbl>
            <c:showVal val="1"/>
          </c:dLbls>
          <c:cat>
            <c:strRef>
              <c:f>List4!$B$1:$D$1</c:f>
              <c:strCache>
                <c:ptCount val="3"/>
                <c:pt idx="0">
                  <c:v>M</c:v>
                </c:pt>
                <c:pt idx="1">
                  <c:v>min</c:v>
                </c:pt>
                <c:pt idx="2">
                  <c:v>max</c:v>
                </c:pt>
              </c:strCache>
            </c:strRef>
          </c:cat>
          <c:val>
            <c:numRef>
              <c:f>List4!$B$2:$D$2</c:f>
              <c:numCache>
                <c:formatCode>0%</c:formatCode>
                <c:ptCount val="3"/>
                <c:pt idx="0">
                  <c:v>0.36000000000000032</c:v>
                </c:pt>
                <c:pt idx="1">
                  <c:v>0.15000000000000024</c:v>
                </c:pt>
                <c:pt idx="2">
                  <c:v>0.48000000000000032</c:v>
                </c:pt>
              </c:numCache>
            </c:numRef>
          </c:val>
        </c:ser>
        <c:ser>
          <c:idx val="1"/>
          <c:order val="1"/>
          <c:tx>
            <c:strRef>
              <c:f>List4!$A$3</c:f>
              <c:strCache>
                <c:ptCount val="1"/>
                <c:pt idx="0">
                  <c:v>InBody</c:v>
                </c:pt>
              </c:strCache>
            </c:strRef>
          </c:tx>
          <c:dLbls>
            <c:dLbl>
              <c:idx val="0"/>
              <c:layout>
                <c:manualLayout>
                  <c:x val="2.5000000000000001E-2"/>
                  <c:y val="-2.7777777777778078E-2"/>
                </c:manualLayout>
              </c:layout>
              <c:tx>
                <c:rich>
                  <a:bodyPr/>
                  <a:lstStyle/>
                  <a:p>
                    <a:r>
                      <a:rPr lang="en-US"/>
                      <a:t>38</a:t>
                    </a:r>
                    <a:r>
                      <a:rPr lang="cs-CZ"/>
                      <a:t> </a:t>
                    </a:r>
                    <a:r>
                      <a:rPr lang="en-US"/>
                      <a:t>%</a:t>
                    </a:r>
                  </a:p>
                </c:rich>
              </c:tx>
              <c:showVal val="1"/>
            </c:dLbl>
            <c:dLbl>
              <c:idx val="1"/>
              <c:layout>
                <c:manualLayout>
                  <c:x val="8.3333333333333367E-3"/>
                  <c:y val="-2.3148148148148147E-2"/>
                </c:manualLayout>
              </c:layout>
              <c:tx>
                <c:rich>
                  <a:bodyPr/>
                  <a:lstStyle/>
                  <a:p>
                    <a:r>
                      <a:rPr lang="en-US"/>
                      <a:t>15</a:t>
                    </a:r>
                    <a:r>
                      <a:rPr lang="cs-CZ"/>
                      <a:t> </a:t>
                    </a:r>
                    <a:r>
                      <a:rPr lang="en-US"/>
                      <a:t>%</a:t>
                    </a:r>
                  </a:p>
                </c:rich>
              </c:tx>
              <c:showVal val="1"/>
            </c:dLbl>
            <c:dLbl>
              <c:idx val="2"/>
              <c:layout>
                <c:manualLayout>
                  <c:x val="2.5000000000000001E-2"/>
                  <c:y val="-4.1666666666666664E-2"/>
                </c:manualLayout>
              </c:layout>
              <c:tx>
                <c:rich>
                  <a:bodyPr/>
                  <a:lstStyle/>
                  <a:p>
                    <a:r>
                      <a:rPr lang="en-US"/>
                      <a:t>51</a:t>
                    </a:r>
                    <a:r>
                      <a:rPr lang="cs-CZ"/>
                      <a:t> </a:t>
                    </a:r>
                    <a:r>
                      <a:rPr lang="en-US"/>
                      <a:t>%</a:t>
                    </a:r>
                  </a:p>
                </c:rich>
              </c:tx>
              <c:showVal val="1"/>
            </c:dLbl>
            <c:showVal val="1"/>
          </c:dLbls>
          <c:cat>
            <c:strRef>
              <c:f>List4!$B$1:$D$1</c:f>
              <c:strCache>
                <c:ptCount val="3"/>
                <c:pt idx="0">
                  <c:v>M</c:v>
                </c:pt>
                <c:pt idx="1">
                  <c:v>min</c:v>
                </c:pt>
                <c:pt idx="2">
                  <c:v>max</c:v>
                </c:pt>
              </c:strCache>
            </c:strRef>
          </c:cat>
          <c:val>
            <c:numRef>
              <c:f>List4!$B$3:$D$3</c:f>
              <c:numCache>
                <c:formatCode>0%</c:formatCode>
                <c:ptCount val="3"/>
                <c:pt idx="0">
                  <c:v>0.38000000000000134</c:v>
                </c:pt>
                <c:pt idx="1">
                  <c:v>0.15000000000000024</c:v>
                </c:pt>
                <c:pt idx="2">
                  <c:v>0.51</c:v>
                </c:pt>
              </c:numCache>
            </c:numRef>
          </c:val>
        </c:ser>
        <c:ser>
          <c:idx val="2"/>
          <c:order val="2"/>
          <c:tx>
            <c:strRef>
              <c:f>List4!$A$4</c:f>
              <c:strCache>
                <c:ptCount val="1"/>
                <c:pt idx="0">
                  <c:v>Referenční hodnoty</c:v>
                </c:pt>
              </c:strCache>
            </c:strRef>
          </c:tx>
          <c:dLbls>
            <c:dLbl>
              <c:idx val="1"/>
              <c:layout>
                <c:manualLayout>
                  <c:x val="1.388888888888899E-2"/>
                  <c:y val="-2.7777777777778078E-2"/>
                </c:manualLayout>
              </c:layout>
              <c:tx>
                <c:rich>
                  <a:bodyPr/>
                  <a:lstStyle/>
                  <a:p>
                    <a:r>
                      <a:rPr lang="en-US"/>
                      <a:t>18</a:t>
                    </a:r>
                    <a:r>
                      <a:rPr lang="cs-CZ"/>
                      <a:t> </a:t>
                    </a:r>
                    <a:r>
                      <a:rPr lang="en-US"/>
                      <a:t>%</a:t>
                    </a:r>
                  </a:p>
                </c:rich>
              </c:tx>
              <c:showVal val="1"/>
            </c:dLbl>
            <c:dLbl>
              <c:idx val="2"/>
              <c:layout>
                <c:manualLayout>
                  <c:x val="2.7777777777778193E-2"/>
                  <c:y val="-4.1666666666666664E-2"/>
                </c:manualLayout>
              </c:layout>
              <c:tx>
                <c:rich>
                  <a:bodyPr/>
                  <a:lstStyle/>
                  <a:p>
                    <a:r>
                      <a:rPr lang="en-US"/>
                      <a:t>28</a:t>
                    </a:r>
                    <a:r>
                      <a:rPr lang="cs-CZ"/>
                      <a:t> </a:t>
                    </a:r>
                    <a:r>
                      <a:rPr lang="en-US"/>
                      <a:t>%</a:t>
                    </a:r>
                  </a:p>
                </c:rich>
              </c:tx>
              <c:showVal val="1"/>
            </c:dLbl>
            <c:showVal val="1"/>
          </c:dLbls>
          <c:cat>
            <c:strRef>
              <c:f>List4!$B$1:$D$1</c:f>
              <c:strCache>
                <c:ptCount val="3"/>
                <c:pt idx="0">
                  <c:v>M</c:v>
                </c:pt>
                <c:pt idx="1">
                  <c:v>min</c:v>
                </c:pt>
                <c:pt idx="2">
                  <c:v>max</c:v>
                </c:pt>
              </c:strCache>
            </c:strRef>
          </c:cat>
          <c:val>
            <c:numRef>
              <c:f>List4!$B$4:$D$4</c:f>
              <c:numCache>
                <c:formatCode>0%</c:formatCode>
                <c:ptCount val="3"/>
                <c:pt idx="1">
                  <c:v>0.18000000000000024</c:v>
                </c:pt>
                <c:pt idx="2">
                  <c:v>0.28000000000000008</c:v>
                </c:pt>
              </c:numCache>
            </c:numRef>
          </c:val>
        </c:ser>
        <c:dLbls>
          <c:showVal val="1"/>
        </c:dLbls>
        <c:shape val="box"/>
        <c:axId val="62436096"/>
        <c:axId val="62437632"/>
        <c:axId val="0"/>
      </c:bar3DChart>
      <c:catAx>
        <c:axId val="62436096"/>
        <c:scaling>
          <c:orientation val="minMax"/>
        </c:scaling>
        <c:axPos val="b"/>
        <c:majorTickMark val="none"/>
        <c:tickLblPos val="nextTo"/>
        <c:crossAx val="62437632"/>
        <c:crosses val="autoZero"/>
        <c:auto val="1"/>
        <c:lblAlgn val="ctr"/>
        <c:lblOffset val="100"/>
      </c:catAx>
      <c:valAx>
        <c:axId val="62437632"/>
        <c:scaling>
          <c:orientation val="minMax"/>
        </c:scaling>
        <c:delete val="1"/>
        <c:axPos val="l"/>
        <c:numFmt formatCode="0%" sourceLinked="1"/>
        <c:tickLblPos val="none"/>
        <c:crossAx val="62436096"/>
        <c:crosses val="autoZero"/>
        <c:crossBetween val="between"/>
      </c:valAx>
    </c:plotArea>
    <c:legend>
      <c:legendPos val="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cs-CZ"/>
  <c:style val="18"/>
  <c:chart>
    <c:title>
      <c:tx>
        <c:rich>
          <a:bodyPr/>
          <a:lstStyle/>
          <a:p>
            <a:pPr>
              <a:defRPr/>
            </a:pPr>
            <a:r>
              <a:rPr lang="en-US"/>
              <a:t>Index tukuprosté hmoty</a:t>
            </a:r>
          </a:p>
        </c:rich>
      </c:tx>
      <c:layout/>
    </c:title>
    <c:view3D>
      <c:rAngAx val="1"/>
    </c:view3D>
    <c:plotArea>
      <c:layout/>
      <c:bar3DChart>
        <c:barDir val="col"/>
        <c:grouping val="clustered"/>
        <c:ser>
          <c:idx val="0"/>
          <c:order val="0"/>
          <c:tx>
            <c:strRef>
              <c:f>List6!$A$8</c:f>
              <c:strCache>
                <c:ptCount val="1"/>
                <c:pt idx="0">
                  <c:v>FFMI</c:v>
                </c:pt>
              </c:strCache>
            </c:strRef>
          </c:tx>
          <c:dLbls>
            <c:dLbl>
              <c:idx val="0"/>
              <c:layout>
                <c:manualLayout>
                  <c:x val="1.9444444444444445E-2"/>
                  <c:y val="-3.7037037037037056E-2"/>
                </c:manualLayout>
              </c:layout>
              <c:showVal val="1"/>
            </c:dLbl>
            <c:dLbl>
              <c:idx val="1"/>
              <c:layout>
                <c:manualLayout>
                  <c:x val="1.1111111111111125E-2"/>
                  <c:y val="-2.7777777777778002E-2"/>
                </c:manualLayout>
              </c:layout>
              <c:showVal val="1"/>
            </c:dLbl>
            <c:dLbl>
              <c:idx val="2"/>
              <c:layout>
                <c:manualLayout>
                  <c:x val="1.9444444444444445E-2"/>
                  <c:y val="-4.6296296296296495E-2"/>
                </c:manualLayout>
              </c:layout>
              <c:showVal val="1"/>
            </c:dLbl>
            <c:showVal val="1"/>
          </c:dLbls>
          <c:cat>
            <c:strRef>
              <c:f>List6!$B$7:$D$7</c:f>
              <c:strCache>
                <c:ptCount val="3"/>
                <c:pt idx="0">
                  <c:v>M</c:v>
                </c:pt>
                <c:pt idx="1">
                  <c:v>min</c:v>
                </c:pt>
                <c:pt idx="2">
                  <c:v>max</c:v>
                </c:pt>
              </c:strCache>
            </c:strRef>
          </c:cat>
          <c:val>
            <c:numRef>
              <c:f>List6!$B$8:$D$8</c:f>
              <c:numCache>
                <c:formatCode>General</c:formatCode>
                <c:ptCount val="3"/>
                <c:pt idx="0">
                  <c:v>17.03</c:v>
                </c:pt>
                <c:pt idx="1">
                  <c:v>13.48</c:v>
                </c:pt>
                <c:pt idx="2">
                  <c:v>20.74</c:v>
                </c:pt>
              </c:numCache>
            </c:numRef>
          </c:val>
        </c:ser>
        <c:ser>
          <c:idx val="1"/>
          <c:order val="1"/>
          <c:tx>
            <c:strRef>
              <c:f>List6!$A$9</c:f>
              <c:strCache>
                <c:ptCount val="1"/>
                <c:pt idx="0">
                  <c:v>Referenční hodnoty</c:v>
                </c:pt>
              </c:strCache>
            </c:strRef>
          </c:tx>
          <c:dLbls>
            <c:dLbl>
              <c:idx val="1"/>
              <c:layout>
                <c:manualLayout>
                  <c:x val="1.6666666666666701E-2"/>
                  <c:y val="-4.1666666666666664E-2"/>
                </c:manualLayout>
              </c:layout>
              <c:showVal val="1"/>
            </c:dLbl>
            <c:dLbl>
              <c:idx val="2"/>
              <c:layout>
                <c:manualLayout>
                  <c:x val="2.7777777777778002E-2"/>
                  <c:y val="-3.2407407407407593E-2"/>
                </c:manualLayout>
              </c:layout>
              <c:showVal val="1"/>
            </c:dLbl>
            <c:showVal val="1"/>
          </c:dLbls>
          <c:cat>
            <c:strRef>
              <c:f>List6!$B$7:$D$7</c:f>
              <c:strCache>
                <c:ptCount val="3"/>
                <c:pt idx="0">
                  <c:v>M</c:v>
                </c:pt>
                <c:pt idx="1">
                  <c:v>min</c:v>
                </c:pt>
                <c:pt idx="2">
                  <c:v>max</c:v>
                </c:pt>
              </c:strCache>
            </c:strRef>
          </c:cat>
          <c:val>
            <c:numRef>
              <c:f>List6!$B$9:$D$9</c:f>
              <c:numCache>
                <c:formatCode>General</c:formatCode>
                <c:ptCount val="3"/>
                <c:pt idx="1">
                  <c:v>14.6</c:v>
                </c:pt>
                <c:pt idx="2">
                  <c:v>16.7</c:v>
                </c:pt>
              </c:numCache>
            </c:numRef>
          </c:val>
        </c:ser>
        <c:dLbls>
          <c:showVal val="1"/>
        </c:dLbls>
        <c:shape val="box"/>
        <c:axId val="65257472"/>
        <c:axId val="65259008"/>
        <c:axId val="0"/>
      </c:bar3DChart>
      <c:catAx>
        <c:axId val="65257472"/>
        <c:scaling>
          <c:orientation val="minMax"/>
        </c:scaling>
        <c:axPos val="b"/>
        <c:majorTickMark val="none"/>
        <c:tickLblPos val="nextTo"/>
        <c:crossAx val="65259008"/>
        <c:crosses val="autoZero"/>
        <c:auto val="1"/>
        <c:lblAlgn val="ctr"/>
        <c:lblOffset val="100"/>
      </c:catAx>
      <c:valAx>
        <c:axId val="65259008"/>
        <c:scaling>
          <c:orientation val="minMax"/>
        </c:scaling>
        <c:delete val="1"/>
        <c:axPos val="l"/>
        <c:numFmt formatCode="General" sourceLinked="1"/>
        <c:tickLblPos val="none"/>
        <c:crossAx val="65257472"/>
        <c:crosses val="autoZero"/>
        <c:crossBetween val="between"/>
      </c:valAx>
    </c:plotArea>
    <c:legend>
      <c:legendPos val="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cs-CZ"/>
  <c:style val="18"/>
  <c:chart>
    <c:title>
      <c:tx>
        <c:rich>
          <a:bodyPr/>
          <a:lstStyle/>
          <a:p>
            <a:pPr>
              <a:defRPr/>
            </a:pPr>
            <a:r>
              <a:rPr lang="en-US"/>
              <a:t>Index tukové hmoty</a:t>
            </a:r>
          </a:p>
        </c:rich>
      </c:tx>
      <c:layout/>
    </c:title>
    <c:view3D>
      <c:rAngAx val="1"/>
    </c:view3D>
    <c:plotArea>
      <c:layout/>
      <c:bar3DChart>
        <c:barDir val="col"/>
        <c:grouping val="clustered"/>
        <c:ser>
          <c:idx val="0"/>
          <c:order val="0"/>
          <c:tx>
            <c:strRef>
              <c:f>List6!$A$12</c:f>
              <c:strCache>
                <c:ptCount val="1"/>
                <c:pt idx="0">
                  <c:v>BFMI</c:v>
                </c:pt>
              </c:strCache>
            </c:strRef>
          </c:tx>
          <c:dLbls>
            <c:dLbl>
              <c:idx val="0"/>
              <c:layout>
                <c:manualLayout>
                  <c:x val="2.2222222222222251E-2"/>
                  <c:y val="-3.2407407407407621E-2"/>
                </c:manualLayout>
              </c:layout>
              <c:showVal val="1"/>
            </c:dLbl>
            <c:dLbl>
              <c:idx val="1"/>
              <c:layout>
                <c:manualLayout>
                  <c:x val="1.9444444444444445E-2"/>
                  <c:y val="-4.6296296296296523E-2"/>
                </c:manualLayout>
              </c:layout>
              <c:tx>
                <c:rich>
                  <a:bodyPr/>
                  <a:lstStyle/>
                  <a:p>
                    <a:r>
                      <a:rPr lang="en-US"/>
                      <a:t>2,6</a:t>
                    </a:r>
                  </a:p>
                </c:rich>
              </c:tx>
              <c:showVal val="1"/>
            </c:dLbl>
            <c:dLbl>
              <c:idx val="2"/>
              <c:layout>
                <c:manualLayout>
                  <c:x val="2.2222222222222251E-2"/>
                  <c:y val="-4.1666666666666664E-2"/>
                </c:manualLayout>
              </c:layout>
              <c:showVal val="1"/>
            </c:dLbl>
            <c:showVal val="1"/>
          </c:dLbls>
          <c:cat>
            <c:strRef>
              <c:f>List6!$B$11:$D$11</c:f>
              <c:strCache>
                <c:ptCount val="3"/>
                <c:pt idx="0">
                  <c:v>M</c:v>
                </c:pt>
                <c:pt idx="1">
                  <c:v>min</c:v>
                </c:pt>
                <c:pt idx="2">
                  <c:v>max</c:v>
                </c:pt>
              </c:strCache>
            </c:strRef>
          </c:cat>
          <c:val>
            <c:numRef>
              <c:f>List6!$B$12:$D$12</c:f>
              <c:numCache>
                <c:formatCode>General</c:formatCode>
                <c:ptCount val="3"/>
                <c:pt idx="0">
                  <c:v>10.8</c:v>
                </c:pt>
                <c:pt idx="1">
                  <c:v>2.64</c:v>
                </c:pt>
                <c:pt idx="2">
                  <c:v>20.100000000000001</c:v>
                </c:pt>
              </c:numCache>
            </c:numRef>
          </c:val>
        </c:ser>
        <c:ser>
          <c:idx val="1"/>
          <c:order val="1"/>
          <c:tx>
            <c:strRef>
              <c:f>List6!$A$13</c:f>
              <c:strCache>
                <c:ptCount val="1"/>
                <c:pt idx="0">
                  <c:v>Referenční hodnoty</c:v>
                </c:pt>
              </c:strCache>
            </c:strRef>
          </c:tx>
          <c:dLbls>
            <c:dLbl>
              <c:idx val="1"/>
              <c:layout>
                <c:manualLayout>
                  <c:x val="2.5000000000000001E-2"/>
                  <c:y val="-4.6296296296296474E-2"/>
                </c:manualLayout>
              </c:layout>
              <c:showVal val="1"/>
            </c:dLbl>
            <c:dLbl>
              <c:idx val="2"/>
              <c:layout>
                <c:manualLayout>
                  <c:x val="2.2222222222222251E-2"/>
                  <c:y val="-3.2407407407407621E-2"/>
                </c:manualLayout>
              </c:layout>
              <c:showVal val="1"/>
            </c:dLbl>
            <c:showVal val="1"/>
          </c:dLbls>
          <c:cat>
            <c:strRef>
              <c:f>List6!$B$11:$D$11</c:f>
              <c:strCache>
                <c:ptCount val="3"/>
                <c:pt idx="0">
                  <c:v>M</c:v>
                </c:pt>
                <c:pt idx="1">
                  <c:v>min</c:v>
                </c:pt>
                <c:pt idx="2">
                  <c:v>max</c:v>
                </c:pt>
              </c:strCache>
            </c:strRef>
          </c:cat>
          <c:val>
            <c:numRef>
              <c:f>List6!$B$13:$D$13</c:f>
              <c:numCache>
                <c:formatCode>General</c:formatCode>
                <c:ptCount val="3"/>
                <c:pt idx="1">
                  <c:v>3.9</c:v>
                </c:pt>
                <c:pt idx="2">
                  <c:v>8.1</c:v>
                </c:pt>
              </c:numCache>
            </c:numRef>
          </c:val>
        </c:ser>
        <c:dLbls>
          <c:showVal val="1"/>
        </c:dLbls>
        <c:shape val="box"/>
        <c:axId val="65305600"/>
        <c:axId val="65323776"/>
        <c:axId val="0"/>
      </c:bar3DChart>
      <c:catAx>
        <c:axId val="65305600"/>
        <c:scaling>
          <c:orientation val="minMax"/>
        </c:scaling>
        <c:axPos val="b"/>
        <c:majorTickMark val="none"/>
        <c:tickLblPos val="nextTo"/>
        <c:crossAx val="65323776"/>
        <c:crosses val="autoZero"/>
        <c:auto val="1"/>
        <c:lblAlgn val="ctr"/>
        <c:lblOffset val="100"/>
      </c:catAx>
      <c:valAx>
        <c:axId val="65323776"/>
        <c:scaling>
          <c:orientation val="minMax"/>
        </c:scaling>
        <c:delete val="1"/>
        <c:axPos val="l"/>
        <c:numFmt formatCode="General" sourceLinked="1"/>
        <c:tickLblPos val="none"/>
        <c:crossAx val="65305600"/>
        <c:crosses val="autoZero"/>
        <c:crossBetween val="between"/>
      </c:valAx>
    </c:plotArea>
    <c:legend>
      <c:legendPos val="t"/>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cs-CZ"/>
  <c:style val="18"/>
  <c:chart>
    <c:title>
      <c:tx>
        <c:rich>
          <a:bodyPr/>
          <a:lstStyle/>
          <a:p>
            <a:pPr>
              <a:defRPr/>
            </a:pPr>
            <a:r>
              <a:rPr lang="en-US"/>
              <a:t>Oblast viscerálního tuku</a:t>
            </a:r>
          </a:p>
        </c:rich>
      </c:tx>
      <c:layout/>
    </c:title>
    <c:view3D>
      <c:rAngAx val="1"/>
    </c:view3D>
    <c:plotArea>
      <c:layout/>
      <c:bar3DChart>
        <c:barDir val="col"/>
        <c:grouping val="clustered"/>
        <c:ser>
          <c:idx val="0"/>
          <c:order val="0"/>
          <c:tx>
            <c:strRef>
              <c:f>List7!$A$2</c:f>
              <c:strCache>
                <c:ptCount val="1"/>
                <c:pt idx="0">
                  <c:v>InBody</c:v>
                </c:pt>
              </c:strCache>
            </c:strRef>
          </c:tx>
          <c:dLbls>
            <c:dLbl>
              <c:idx val="0"/>
              <c:layout>
                <c:manualLayout>
                  <c:x val="1.6666666666666701E-2"/>
                  <c:y val="-1.8518518518518583E-2"/>
                </c:manualLayout>
              </c:layout>
              <c:showVal val="1"/>
            </c:dLbl>
            <c:dLbl>
              <c:idx val="1"/>
              <c:layout>
                <c:manualLayout>
                  <c:x val="1.3888888888888966E-2"/>
                  <c:y val="-9.2592592592592397E-3"/>
                </c:manualLayout>
              </c:layout>
              <c:showVal val="1"/>
            </c:dLbl>
            <c:dLbl>
              <c:idx val="2"/>
              <c:layout>
                <c:manualLayout>
                  <c:x val="2.2222222222222251E-2"/>
                  <c:y val="-2.7777777777778012E-2"/>
                </c:manualLayout>
              </c:layout>
              <c:showVal val="1"/>
            </c:dLbl>
            <c:showVal val="1"/>
          </c:dLbls>
          <c:cat>
            <c:strRef>
              <c:f>List7!$B$1:$E$1</c:f>
              <c:strCache>
                <c:ptCount val="4"/>
                <c:pt idx="0">
                  <c:v>M</c:v>
                </c:pt>
                <c:pt idx="1">
                  <c:v>min</c:v>
                </c:pt>
                <c:pt idx="2">
                  <c:v>max</c:v>
                </c:pt>
                <c:pt idx="3">
                  <c:v>optimum</c:v>
                </c:pt>
              </c:strCache>
            </c:strRef>
          </c:cat>
          <c:val>
            <c:numRef>
              <c:f>List7!$B$2:$E$2</c:f>
              <c:numCache>
                <c:formatCode>General</c:formatCode>
                <c:ptCount val="4"/>
                <c:pt idx="0">
                  <c:v>139.78</c:v>
                </c:pt>
                <c:pt idx="1">
                  <c:v>65.260000000000005</c:v>
                </c:pt>
                <c:pt idx="2">
                  <c:v>224.34</c:v>
                </c:pt>
              </c:numCache>
            </c:numRef>
          </c:val>
        </c:ser>
        <c:ser>
          <c:idx val="1"/>
          <c:order val="1"/>
          <c:tx>
            <c:strRef>
              <c:f>List7!$A$3</c:f>
              <c:strCache>
                <c:ptCount val="1"/>
                <c:pt idx="0">
                  <c:v>VFA</c:v>
                </c:pt>
              </c:strCache>
            </c:strRef>
          </c:tx>
          <c:dLbls>
            <c:dLbl>
              <c:idx val="3"/>
              <c:layout>
                <c:manualLayout>
                  <c:x val="1.6666666666666701E-2"/>
                  <c:y val="-3.2407407407407607E-2"/>
                </c:manualLayout>
              </c:layout>
              <c:showVal val="1"/>
            </c:dLbl>
            <c:showVal val="1"/>
          </c:dLbls>
          <c:cat>
            <c:strRef>
              <c:f>List7!$B$1:$E$1</c:f>
              <c:strCache>
                <c:ptCount val="4"/>
                <c:pt idx="0">
                  <c:v>M</c:v>
                </c:pt>
                <c:pt idx="1">
                  <c:v>min</c:v>
                </c:pt>
                <c:pt idx="2">
                  <c:v>max</c:v>
                </c:pt>
                <c:pt idx="3">
                  <c:v>optimum</c:v>
                </c:pt>
              </c:strCache>
            </c:strRef>
          </c:cat>
          <c:val>
            <c:numRef>
              <c:f>List7!$B$3:$E$3</c:f>
              <c:numCache>
                <c:formatCode>General</c:formatCode>
                <c:ptCount val="4"/>
                <c:pt idx="3">
                  <c:v>100</c:v>
                </c:pt>
              </c:numCache>
            </c:numRef>
          </c:val>
        </c:ser>
        <c:dLbls>
          <c:showVal val="1"/>
        </c:dLbls>
        <c:shape val="box"/>
        <c:axId val="65472768"/>
        <c:axId val="65495040"/>
        <c:axId val="0"/>
      </c:bar3DChart>
      <c:catAx>
        <c:axId val="65472768"/>
        <c:scaling>
          <c:orientation val="minMax"/>
        </c:scaling>
        <c:axPos val="b"/>
        <c:majorTickMark val="none"/>
        <c:tickLblPos val="nextTo"/>
        <c:crossAx val="65495040"/>
        <c:crosses val="autoZero"/>
        <c:auto val="1"/>
        <c:lblAlgn val="ctr"/>
        <c:lblOffset val="100"/>
      </c:catAx>
      <c:valAx>
        <c:axId val="65495040"/>
        <c:scaling>
          <c:orientation val="minMax"/>
        </c:scaling>
        <c:delete val="1"/>
        <c:axPos val="l"/>
        <c:numFmt formatCode="General" sourceLinked="1"/>
        <c:tickLblPos val="none"/>
        <c:crossAx val="65472768"/>
        <c:crosses val="autoZero"/>
        <c:crossBetween val="between"/>
      </c:valAx>
    </c:plotArea>
    <c:legend>
      <c:legendPos val="t"/>
      <c:layou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cs-CZ"/>
  <c:style val="18"/>
  <c:chart>
    <c:title>
      <c:tx>
        <c:rich>
          <a:bodyPr/>
          <a:lstStyle/>
          <a:p>
            <a:pPr>
              <a:defRPr/>
            </a:pPr>
            <a:r>
              <a:rPr lang="en-US"/>
              <a:t>Stupeň obezity</a:t>
            </a:r>
          </a:p>
        </c:rich>
      </c:tx>
      <c:layout/>
    </c:title>
    <c:view3D>
      <c:rAngAx val="1"/>
    </c:view3D>
    <c:plotArea>
      <c:layout/>
      <c:bar3DChart>
        <c:barDir val="col"/>
        <c:grouping val="clustered"/>
        <c:ser>
          <c:idx val="0"/>
          <c:order val="0"/>
          <c:tx>
            <c:strRef>
              <c:f>List7!$A$6</c:f>
              <c:strCache>
                <c:ptCount val="1"/>
                <c:pt idx="0">
                  <c:v>InBody</c:v>
                </c:pt>
              </c:strCache>
            </c:strRef>
          </c:tx>
          <c:dLbls>
            <c:dLbl>
              <c:idx val="0"/>
              <c:layout>
                <c:manualLayout>
                  <c:x val="2.5000000000000001E-2"/>
                  <c:y val="-3.7037037037037042E-2"/>
                </c:manualLayout>
              </c:layout>
              <c:tx>
                <c:rich>
                  <a:bodyPr/>
                  <a:lstStyle/>
                  <a:p>
                    <a:r>
                      <a:rPr lang="en-US"/>
                      <a:t>129,47</a:t>
                    </a:r>
                    <a:r>
                      <a:rPr lang="cs-CZ"/>
                      <a:t> %</a:t>
                    </a:r>
                    <a:endParaRPr lang="en-US"/>
                  </a:p>
                </c:rich>
              </c:tx>
              <c:showVal val="1"/>
            </c:dLbl>
            <c:dLbl>
              <c:idx val="1"/>
              <c:layout>
                <c:manualLayout>
                  <c:x val="1.666666666666667E-2"/>
                  <c:y val="-1.8518518518518521E-2"/>
                </c:manualLayout>
              </c:layout>
              <c:tx>
                <c:rich>
                  <a:bodyPr/>
                  <a:lstStyle/>
                  <a:p>
                    <a:r>
                      <a:rPr lang="en-US"/>
                      <a:t>83,1</a:t>
                    </a:r>
                    <a:r>
                      <a:rPr lang="cs-CZ"/>
                      <a:t> %</a:t>
                    </a:r>
                    <a:endParaRPr lang="en-US"/>
                  </a:p>
                </c:rich>
              </c:tx>
              <c:showVal val="1"/>
            </c:dLbl>
            <c:dLbl>
              <c:idx val="2"/>
              <c:layout>
                <c:manualLayout>
                  <c:x val="1.9444444444444445E-2"/>
                  <c:y val="-2.3148148148148147E-2"/>
                </c:manualLayout>
              </c:layout>
              <c:tx>
                <c:rich>
                  <a:bodyPr/>
                  <a:lstStyle/>
                  <a:p>
                    <a:r>
                      <a:rPr lang="en-US"/>
                      <a:t>188,34</a:t>
                    </a:r>
                    <a:r>
                      <a:rPr lang="cs-CZ"/>
                      <a:t> %</a:t>
                    </a:r>
                    <a:endParaRPr lang="en-US"/>
                  </a:p>
                </c:rich>
              </c:tx>
              <c:showVal val="1"/>
            </c:dLbl>
            <c:showVal val="1"/>
          </c:dLbls>
          <c:cat>
            <c:strRef>
              <c:f>List7!$B$5:$E$5</c:f>
              <c:strCache>
                <c:ptCount val="4"/>
                <c:pt idx="0">
                  <c:v>M</c:v>
                </c:pt>
                <c:pt idx="1">
                  <c:v>min</c:v>
                </c:pt>
                <c:pt idx="2">
                  <c:v>max</c:v>
                </c:pt>
                <c:pt idx="3">
                  <c:v>obezita</c:v>
                </c:pt>
              </c:strCache>
            </c:strRef>
          </c:cat>
          <c:val>
            <c:numRef>
              <c:f>List7!$B$6:$E$6</c:f>
              <c:numCache>
                <c:formatCode>General</c:formatCode>
                <c:ptCount val="4"/>
                <c:pt idx="0">
                  <c:v>129.47</c:v>
                </c:pt>
                <c:pt idx="1">
                  <c:v>83.1</c:v>
                </c:pt>
                <c:pt idx="2">
                  <c:v>188.34</c:v>
                </c:pt>
              </c:numCache>
            </c:numRef>
          </c:val>
        </c:ser>
        <c:ser>
          <c:idx val="1"/>
          <c:order val="1"/>
          <c:tx>
            <c:strRef>
              <c:f>List7!$A$7</c:f>
              <c:strCache>
                <c:ptCount val="1"/>
                <c:pt idx="0">
                  <c:v>OD</c:v>
                </c:pt>
              </c:strCache>
            </c:strRef>
          </c:tx>
          <c:dLbls>
            <c:dLbl>
              <c:idx val="3"/>
              <c:layout>
                <c:manualLayout>
                  <c:x val="1.6666666666666701E-2"/>
                  <c:y val="-4.1666666666666664E-2"/>
                </c:manualLayout>
              </c:layout>
              <c:tx>
                <c:rich>
                  <a:bodyPr/>
                  <a:lstStyle/>
                  <a:p>
                    <a:r>
                      <a:rPr lang="en-US">
                        <a:latin typeface="Bookman Old Style"/>
                      </a:rPr>
                      <a:t>&gt;</a:t>
                    </a:r>
                    <a:r>
                      <a:rPr lang="en-US"/>
                      <a:t>120</a:t>
                    </a:r>
                    <a:r>
                      <a:rPr lang="cs-CZ"/>
                      <a:t> %</a:t>
                    </a:r>
                    <a:endParaRPr lang="en-US"/>
                  </a:p>
                </c:rich>
              </c:tx>
              <c:showVal val="1"/>
            </c:dLbl>
            <c:showVal val="1"/>
          </c:dLbls>
          <c:cat>
            <c:strRef>
              <c:f>List7!$B$5:$E$5</c:f>
              <c:strCache>
                <c:ptCount val="4"/>
                <c:pt idx="0">
                  <c:v>M</c:v>
                </c:pt>
                <c:pt idx="1">
                  <c:v>min</c:v>
                </c:pt>
                <c:pt idx="2">
                  <c:v>max</c:v>
                </c:pt>
                <c:pt idx="3">
                  <c:v>obezita</c:v>
                </c:pt>
              </c:strCache>
            </c:strRef>
          </c:cat>
          <c:val>
            <c:numRef>
              <c:f>List7!$B$7:$E$7</c:f>
              <c:numCache>
                <c:formatCode>General</c:formatCode>
                <c:ptCount val="4"/>
                <c:pt idx="3">
                  <c:v>120</c:v>
                </c:pt>
              </c:numCache>
            </c:numRef>
          </c:val>
        </c:ser>
        <c:dLbls>
          <c:showVal val="1"/>
        </c:dLbls>
        <c:shape val="box"/>
        <c:axId val="65521152"/>
        <c:axId val="65522688"/>
        <c:axId val="0"/>
      </c:bar3DChart>
      <c:catAx>
        <c:axId val="65521152"/>
        <c:scaling>
          <c:orientation val="minMax"/>
        </c:scaling>
        <c:axPos val="b"/>
        <c:majorTickMark val="none"/>
        <c:tickLblPos val="nextTo"/>
        <c:crossAx val="65522688"/>
        <c:crosses val="autoZero"/>
        <c:auto val="1"/>
        <c:lblAlgn val="ctr"/>
        <c:lblOffset val="100"/>
      </c:catAx>
      <c:valAx>
        <c:axId val="65522688"/>
        <c:scaling>
          <c:orientation val="minMax"/>
        </c:scaling>
        <c:delete val="1"/>
        <c:axPos val="l"/>
        <c:numFmt formatCode="General" sourceLinked="1"/>
        <c:tickLblPos val="none"/>
        <c:crossAx val="65521152"/>
        <c:crosses val="autoZero"/>
        <c:crossBetween val="between"/>
      </c:valAx>
    </c:plotArea>
    <c:legend>
      <c:legendPos val="t"/>
      <c:layout/>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cs-CZ"/>
  <c:style val="18"/>
  <c:chart>
    <c:title>
      <c:tx>
        <c:rich>
          <a:bodyPr/>
          <a:lstStyle/>
          <a:p>
            <a:pPr>
              <a:defRPr/>
            </a:pPr>
            <a:r>
              <a:rPr lang="cs-CZ"/>
              <a:t>Fitness skóre</a:t>
            </a:r>
          </a:p>
        </c:rich>
      </c:tx>
      <c:layout/>
    </c:title>
    <c:view3D>
      <c:rAngAx val="1"/>
    </c:view3D>
    <c:plotArea>
      <c:layout/>
      <c:bar3DChart>
        <c:barDir val="col"/>
        <c:grouping val="clustered"/>
        <c:ser>
          <c:idx val="0"/>
          <c:order val="0"/>
          <c:tx>
            <c:strRef>
              <c:f>List7!$A$11</c:f>
              <c:strCache>
                <c:ptCount val="1"/>
                <c:pt idx="0">
                  <c:v>InBody</c:v>
                </c:pt>
              </c:strCache>
            </c:strRef>
          </c:tx>
          <c:dLbls>
            <c:dLbl>
              <c:idx val="0"/>
              <c:layout>
                <c:manualLayout>
                  <c:x val="2.2222222222222251E-2"/>
                  <c:y val="-2.7777777777777981E-2"/>
                </c:manualLayout>
              </c:layout>
              <c:showVal val="1"/>
            </c:dLbl>
            <c:dLbl>
              <c:idx val="1"/>
              <c:layout>
                <c:manualLayout>
                  <c:x val="-8.0555555555556019E-2"/>
                  <c:y val="-4.1666666666666664E-2"/>
                </c:manualLayout>
              </c:layout>
              <c:showVal val="1"/>
            </c:dLbl>
            <c:dLbl>
              <c:idx val="2"/>
              <c:layout>
                <c:manualLayout>
                  <c:x val="1.9444444444444445E-2"/>
                  <c:y val="-1.8518518518518576E-2"/>
                </c:manualLayout>
              </c:layout>
              <c:showVal val="1"/>
            </c:dLbl>
            <c:showVal val="1"/>
          </c:dLbls>
          <c:cat>
            <c:strRef>
              <c:f>List7!$B$10:$E$10</c:f>
              <c:strCache>
                <c:ptCount val="4"/>
                <c:pt idx="0">
                  <c:v>M</c:v>
                </c:pt>
                <c:pt idx="1">
                  <c:v>min</c:v>
                </c:pt>
                <c:pt idx="2">
                  <c:v>max</c:v>
                </c:pt>
                <c:pt idx="3">
                  <c:v>obezita</c:v>
                </c:pt>
              </c:strCache>
            </c:strRef>
          </c:cat>
          <c:val>
            <c:numRef>
              <c:f>List7!$B$11:$E$11</c:f>
              <c:numCache>
                <c:formatCode>General</c:formatCode>
                <c:ptCount val="4"/>
                <c:pt idx="0">
                  <c:v>66.89</c:v>
                </c:pt>
                <c:pt idx="1">
                  <c:v>51</c:v>
                </c:pt>
                <c:pt idx="2">
                  <c:v>78</c:v>
                </c:pt>
              </c:numCache>
            </c:numRef>
          </c:val>
        </c:ser>
        <c:ser>
          <c:idx val="1"/>
          <c:order val="1"/>
          <c:tx>
            <c:strRef>
              <c:f>List7!$A$12</c:f>
              <c:strCache>
                <c:ptCount val="1"/>
                <c:pt idx="0">
                  <c:v>FS</c:v>
                </c:pt>
              </c:strCache>
            </c:strRef>
          </c:tx>
          <c:dLbls>
            <c:dLbl>
              <c:idx val="3"/>
              <c:layout>
                <c:manualLayout>
                  <c:x val="1.1111111111111125E-2"/>
                  <c:y val="-2.3148148148148188E-2"/>
                </c:manualLayout>
              </c:layout>
              <c:tx>
                <c:rich>
                  <a:bodyPr/>
                  <a:lstStyle/>
                  <a:p>
                    <a:r>
                      <a:rPr lang="en-US">
                        <a:latin typeface="Calibri"/>
                        <a:cs typeface="Calibri"/>
                      </a:rPr>
                      <a:t>&lt;</a:t>
                    </a:r>
                    <a:r>
                      <a:rPr lang="en-US"/>
                      <a:t>70</a:t>
                    </a:r>
                  </a:p>
                </c:rich>
              </c:tx>
              <c:showVal val="1"/>
            </c:dLbl>
            <c:showVal val="1"/>
          </c:dLbls>
          <c:cat>
            <c:strRef>
              <c:f>List7!$B$10:$E$10</c:f>
              <c:strCache>
                <c:ptCount val="4"/>
                <c:pt idx="0">
                  <c:v>M</c:v>
                </c:pt>
                <c:pt idx="1">
                  <c:v>min</c:v>
                </c:pt>
                <c:pt idx="2">
                  <c:v>max</c:v>
                </c:pt>
                <c:pt idx="3">
                  <c:v>obezita</c:v>
                </c:pt>
              </c:strCache>
            </c:strRef>
          </c:cat>
          <c:val>
            <c:numRef>
              <c:f>List7!$B$12:$E$12</c:f>
              <c:numCache>
                <c:formatCode>General</c:formatCode>
                <c:ptCount val="4"/>
                <c:pt idx="3">
                  <c:v>70</c:v>
                </c:pt>
              </c:numCache>
            </c:numRef>
          </c:val>
        </c:ser>
        <c:dLbls>
          <c:showVal val="1"/>
        </c:dLbls>
        <c:shape val="box"/>
        <c:axId val="65438464"/>
        <c:axId val="65440000"/>
        <c:axId val="0"/>
      </c:bar3DChart>
      <c:catAx>
        <c:axId val="65438464"/>
        <c:scaling>
          <c:orientation val="minMax"/>
        </c:scaling>
        <c:axPos val="b"/>
        <c:majorTickMark val="none"/>
        <c:tickLblPos val="nextTo"/>
        <c:crossAx val="65440000"/>
        <c:crosses val="autoZero"/>
        <c:auto val="1"/>
        <c:lblAlgn val="ctr"/>
        <c:lblOffset val="100"/>
      </c:catAx>
      <c:valAx>
        <c:axId val="65440000"/>
        <c:scaling>
          <c:orientation val="minMax"/>
        </c:scaling>
        <c:delete val="1"/>
        <c:axPos val="l"/>
        <c:numFmt formatCode="General" sourceLinked="1"/>
        <c:tickLblPos val="none"/>
        <c:crossAx val="65438464"/>
        <c:crosses val="autoZero"/>
        <c:crossBetween val="between"/>
      </c:valAx>
    </c:plotArea>
    <c:legend>
      <c:legendPos val="t"/>
      <c:layout/>
    </c:legend>
    <c:plotVisOnly val="1"/>
    <c:dispBlanksAs val="gap"/>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E24EC-76F7-4446-ABBF-56BF15D1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93</Pages>
  <Words>16963</Words>
  <Characters>100088</Characters>
  <Application>Microsoft Office Word</Application>
  <DocSecurity>0</DocSecurity>
  <Lines>834</Lines>
  <Paragraphs>233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20</cp:revision>
  <dcterms:created xsi:type="dcterms:W3CDTF">2011-05-13T07:12:00Z</dcterms:created>
  <dcterms:modified xsi:type="dcterms:W3CDTF">2011-05-17T05:27:00Z</dcterms:modified>
</cp:coreProperties>
</file>