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ADF27" w14:textId="77777777" w:rsidR="00E91D79" w:rsidRPr="00567FAB" w:rsidRDefault="0024239E" w:rsidP="00CB6402">
      <w:pPr>
        <w:jc w:val="center"/>
        <w:rPr>
          <w:rFonts w:cs="Times New Roman"/>
        </w:rPr>
      </w:pPr>
      <w:r w:rsidRPr="00567FAB">
        <w:rPr>
          <w:rFonts w:cs="Times New Roman"/>
        </w:rPr>
        <w:t>Univerzita Palackého v Olomouci</w:t>
      </w:r>
    </w:p>
    <w:p w14:paraId="709FAC76" w14:textId="77777777" w:rsidR="0024239E" w:rsidRPr="00567FAB" w:rsidRDefault="0024239E" w:rsidP="00CB6402">
      <w:pPr>
        <w:jc w:val="center"/>
        <w:rPr>
          <w:rFonts w:cs="Times New Roman"/>
        </w:rPr>
      </w:pPr>
      <w:r w:rsidRPr="00567FAB">
        <w:rPr>
          <w:rFonts w:cs="Times New Roman"/>
        </w:rPr>
        <w:t>Právnická fakulta</w:t>
      </w:r>
    </w:p>
    <w:p w14:paraId="38A82E24" w14:textId="77777777" w:rsidR="0024239E" w:rsidRPr="00567FAB" w:rsidRDefault="0024239E" w:rsidP="00CB6402">
      <w:pPr>
        <w:jc w:val="center"/>
        <w:rPr>
          <w:rFonts w:cs="Times New Roman"/>
        </w:rPr>
      </w:pPr>
    </w:p>
    <w:p w14:paraId="26FEFDE9" w14:textId="77777777" w:rsidR="00CB6402" w:rsidRPr="00567FAB" w:rsidRDefault="00CB6402" w:rsidP="00CB6402">
      <w:pPr>
        <w:jc w:val="center"/>
        <w:rPr>
          <w:rFonts w:cs="Times New Roman"/>
        </w:rPr>
      </w:pPr>
    </w:p>
    <w:p w14:paraId="1F5F9D87" w14:textId="77777777" w:rsidR="00CB6402" w:rsidRPr="00567FAB" w:rsidRDefault="00CB6402" w:rsidP="00CB6402">
      <w:pPr>
        <w:jc w:val="center"/>
        <w:rPr>
          <w:rFonts w:cs="Times New Roman"/>
        </w:rPr>
      </w:pPr>
    </w:p>
    <w:p w14:paraId="322AFB44" w14:textId="77777777" w:rsidR="00CB6402" w:rsidRPr="00567FAB" w:rsidRDefault="00CB6402" w:rsidP="00CB6402">
      <w:pPr>
        <w:jc w:val="center"/>
        <w:rPr>
          <w:rFonts w:cs="Times New Roman"/>
        </w:rPr>
      </w:pPr>
    </w:p>
    <w:p w14:paraId="35F63486" w14:textId="77777777" w:rsidR="00CB6402" w:rsidRPr="00567FAB" w:rsidRDefault="00CB6402" w:rsidP="00CB6402">
      <w:pPr>
        <w:jc w:val="center"/>
        <w:rPr>
          <w:rFonts w:cs="Times New Roman"/>
        </w:rPr>
      </w:pPr>
    </w:p>
    <w:p w14:paraId="4149C3D5" w14:textId="77777777" w:rsidR="00CB6402" w:rsidRPr="00567FAB" w:rsidRDefault="00CB6402" w:rsidP="00CB6402">
      <w:pPr>
        <w:jc w:val="center"/>
        <w:rPr>
          <w:rFonts w:cs="Times New Roman"/>
        </w:rPr>
      </w:pPr>
    </w:p>
    <w:p w14:paraId="45EAA356" w14:textId="77777777" w:rsidR="00CB6402" w:rsidRPr="00567FAB" w:rsidRDefault="00CB6402" w:rsidP="00CB6402">
      <w:pPr>
        <w:jc w:val="center"/>
        <w:rPr>
          <w:rFonts w:cs="Times New Roman"/>
        </w:rPr>
      </w:pPr>
    </w:p>
    <w:p w14:paraId="5588F5BB" w14:textId="77777777" w:rsidR="00CB6402" w:rsidRPr="00567FAB" w:rsidRDefault="00CB6402" w:rsidP="00CB6402">
      <w:pPr>
        <w:jc w:val="center"/>
        <w:rPr>
          <w:rFonts w:cs="Times New Roman"/>
        </w:rPr>
      </w:pPr>
    </w:p>
    <w:p w14:paraId="0247D876" w14:textId="77777777" w:rsidR="00CB6402" w:rsidRPr="00567FAB" w:rsidRDefault="00CB6402" w:rsidP="00CB6402">
      <w:pPr>
        <w:jc w:val="center"/>
        <w:rPr>
          <w:rFonts w:cs="Times New Roman"/>
        </w:rPr>
      </w:pPr>
    </w:p>
    <w:p w14:paraId="1947CBF6" w14:textId="77777777" w:rsidR="00CB6402" w:rsidRPr="00567FAB" w:rsidRDefault="00CB6402" w:rsidP="00CB6402">
      <w:pPr>
        <w:jc w:val="center"/>
        <w:rPr>
          <w:rFonts w:cs="Times New Roman"/>
        </w:rPr>
      </w:pPr>
    </w:p>
    <w:p w14:paraId="72684C79" w14:textId="77777777" w:rsidR="00CB6402" w:rsidRPr="00567FAB" w:rsidRDefault="00CB6402" w:rsidP="00CB6402">
      <w:pPr>
        <w:jc w:val="center"/>
        <w:rPr>
          <w:rFonts w:cs="Times New Roman"/>
        </w:rPr>
      </w:pPr>
    </w:p>
    <w:p w14:paraId="264A9FF7" w14:textId="77777777" w:rsidR="0024239E" w:rsidRDefault="0024239E" w:rsidP="00CB6402">
      <w:pPr>
        <w:jc w:val="center"/>
        <w:rPr>
          <w:rFonts w:cs="Times New Roman"/>
        </w:rPr>
      </w:pPr>
      <w:r w:rsidRPr="00567FAB">
        <w:rPr>
          <w:rFonts w:cs="Times New Roman"/>
        </w:rPr>
        <w:t>Martina Ostrá</w:t>
      </w:r>
    </w:p>
    <w:p w14:paraId="3D791F28" w14:textId="77777777" w:rsidR="001E0EC9" w:rsidRPr="00567FAB" w:rsidRDefault="001E0EC9" w:rsidP="00CB6402">
      <w:pPr>
        <w:jc w:val="center"/>
        <w:rPr>
          <w:rFonts w:cs="Times New Roman"/>
        </w:rPr>
      </w:pPr>
    </w:p>
    <w:p w14:paraId="17E790B0" w14:textId="77777777" w:rsidR="0024239E" w:rsidRPr="001E0EC9" w:rsidRDefault="0024239E" w:rsidP="00CB6402">
      <w:pPr>
        <w:jc w:val="center"/>
        <w:rPr>
          <w:rFonts w:cs="Times New Roman"/>
        </w:rPr>
      </w:pPr>
      <w:r w:rsidRPr="001E0EC9">
        <w:rPr>
          <w:rFonts w:cs="Times New Roman"/>
        </w:rPr>
        <w:t>Vybrané instituty soukromého práva v kontextu dodavatelsko-odběratelských vztahů</w:t>
      </w:r>
    </w:p>
    <w:p w14:paraId="067B264D" w14:textId="77777777" w:rsidR="001E0EC9" w:rsidRDefault="001E0EC9" w:rsidP="00CB6402">
      <w:pPr>
        <w:jc w:val="center"/>
        <w:rPr>
          <w:rFonts w:cs="Times New Roman"/>
        </w:rPr>
      </w:pPr>
    </w:p>
    <w:p w14:paraId="29A66E21" w14:textId="77777777" w:rsidR="0024239E" w:rsidRPr="00567FAB" w:rsidRDefault="0024239E" w:rsidP="00CB6402">
      <w:pPr>
        <w:jc w:val="center"/>
        <w:rPr>
          <w:rFonts w:cs="Times New Roman"/>
        </w:rPr>
      </w:pPr>
      <w:r w:rsidRPr="00567FAB">
        <w:rPr>
          <w:rFonts w:cs="Times New Roman"/>
        </w:rPr>
        <w:t>Diplomová práce</w:t>
      </w:r>
    </w:p>
    <w:p w14:paraId="70DBB8AF" w14:textId="77777777" w:rsidR="00CB6402" w:rsidRPr="00567FAB" w:rsidRDefault="00CB6402" w:rsidP="0024239E">
      <w:pPr>
        <w:rPr>
          <w:rFonts w:cs="Times New Roman"/>
        </w:rPr>
      </w:pPr>
    </w:p>
    <w:p w14:paraId="38490377" w14:textId="77777777" w:rsidR="00CB6402" w:rsidRPr="00567FAB" w:rsidRDefault="00CB6402" w:rsidP="00CB6402">
      <w:pPr>
        <w:ind w:firstLine="0"/>
        <w:rPr>
          <w:rFonts w:cs="Times New Roman"/>
        </w:rPr>
      </w:pPr>
    </w:p>
    <w:p w14:paraId="0A9335C3" w14:textId="77777777" w:rsidR="00CB6402" w:rsidRPr="00567FAB" w:rsidRDefault="00CB6402" w:rsidP="00CB6402">
      <w:pPr>
        <w:ind w:firstLine="0"/>
        <w:rPr>
          <w:rFonts w:cs="Times New Roman"/>
        </w:rPr>
      </w:pPr>
    </w:p>
    <w:p w14:paraId="4C8233AF" w14:textId="77777777" w:rsidR="00CB6402" w:rsidRPr="00567FAB" w:rsidRDefault="00CB6402" w:rsidP="00CB6402">
      <w:pPr>
        <w:ind w:firstLine="0"/>
        <w:rPr>
          <w:rFonts w:cs="Times New Roman"/>
        </w:rPr>
      </w:pPr>
    </w:p>
    <w:p w14:paraId="3A05A31B" w14:textId="77777777" w:rsidR="00CB6402" w:rsidRPr="00567FAB" w:rsidRDefault="00CB6402" w:rsidP="00CB6402">
      <w:pPr>
        <w:ind w:firstLine="0"/>
        <w:rPr>
          <w:rFonts w:cs="Times New Roman"/>
        </w:rPr>
      </w:pPr>
    </w:p>
    <w:p w14:paraId="054F172F" w14:textId="77777777" w:rsidR="00CB6402" w:rsidRPr="00567FAB" w:rsidRDefault="00CB6402" w:rsidP="00CB6402">
      <w:pPr>
        <w:ind w:firstLine="0"/>
        <w:rPr>
          <w:rFonts w:cs="Times New Roman"/>
        </w:rPr>
      </w:pPr>
    </w:p>
    <w:p w14:paraId="4639076B" w14:textId="77777777" w:rsidR="00CB6402" w:rsidRPr="00567FAB" w:rsidRDefault="00CB6402" w:rsidP="00CB6402">
      <w:pPr>
        <w:ind w:firstLine="0"/>
        <w:rPr>
          <w:rFonts w:cs="Times New Roman"/>
        </w:rPr>
      </w:pPr>
    </w:p>
    <w:p w14:paraId="14DE6732" w14:textId="77777777" w:rsidR="00CB6402" w:rsidRPr="00567FAB" w:rsidRDefault="00CB6402" w:rsidP="00CB6402">
      <w:pPr>
        <w:ind w:firstLine="0"/>
        <w:rPr>
          <w:rFonts w:cs="Times New Roman"/>
        </w:rPr>
      </w:pPr>
    </w:p>
    <w:p w14:paraId="33299C0B" w14:textId="77777777" w:rsidR="00CB6402" w:rsidRPr="00567FAB" w:rsidRDefault="00CB6402" w:rsidP="00CB6402">
      <w:pPr>
        <w:ind w:firstLine="0"/>
        <w:rPr>
          <w:rFonts w:cs="Times New Roman"/>
        </w:rPr>
      </w:pPr>
    </w:p>
    <w:p w14:paraId="5E541248" w14:textId="77777777" w:rsidR="00CB6402" w:rsidRPr="00567FAB" w:rsidRDefault="00CB6402" w:rsidP="00CB6402">
      <w:pPr>
        <w:ind w:firstLine="0"/>
        <w:rPr>
          <w:rFonts w:cs="Times New Roman"/>
        </w:rPr>
      </w:pPr>
    </w:p>
    <w:p w14:paraId="5A4E4E83" w14:textId="77777777" w:rsidR="00CB6402" w:rsidRPr="00567FAB" w:rsidRDefault="00CB6402" w:rsidP="00CB6402">
      <w:pPr>
        <w:ind w:firstLine="0"/>
        <w:rPr>
          <w:rFonts w:cs="Times New Roman"/>
        </w:rPr>
      </w:pPr>
    </w:p>
    <w:p w14:paraId="0926E92F" w14:textId="77777777" w:rsidR="00CB6402" w:rsidRPr="00567FAB" w:rsidRDefault="00CB6402" w:rsidP="00CB6402">
      <w:pPr>
        <w:ind w:firstLine="0"/>
        <w:rPr>
          <w:rFonts w:cs="Times New Roman"/>
        </w:rPr>
      </w:pPr>
    </w:p>
    <w:p w14:paraId="34CC71A3" w14:textId="77777777" w:rsidR="00CB6402" w:rsidRPr="00567FAB" w:rsidRDefault="00CB6402" w:rsidP="00CB6402">
      <w:pPr>
        <w:ind w:firstLine="0"/>
        <w:rPr>
          <w:rFonts w:cs="Times New Roman"/>
        </w:rPr>
      </w:pPr>
    </w:p>
    <w:p w14:paraId="22305195" w14:textId="77777777" w:rsidR="00CB6402" w:rsidRPr="00567FAB" w:rsidRDefault="00CB6402" w:rsidP="00CB6402">
      <w:pPr>
        <w:ind w:firstLine="0"/>
        <w:rPr>
          <w:rFonts w:cs="Times New Roman"/>
        </w:rPr>
      </w:pPr>
    </w:p>
    <w:p w14:paraId="32B69307" w14:textId="77777777" w:rsidR="00CB6402" w:rsidRPr="00567FAB" w:rsidRDefault="00CB6402" w:rsidP="00CB6402">
      <w:pPr>
        <w:ind w:firstLine="0"/>
        <w:rPr>
          <w:rFonts w:cs="Times New Roman"/>
        </w:rPr>
      </w:pPr>
    </w:p>
    <w:p w14:paraId="21333B7A" w14:textId="4357483D" w:rsidR="00CB6402" w:rsidRPr="00567FAB" w:rsidRDefault="001E0EC9" w:rsidP="001E0EC9">
      <w:pPr>
        <w:ind w:firstLine="0"/>
        <w:jc w:val="center"/>
        <w:rPr>
          <w:rFonts w:cs="Times New Roman"/>
        </w:rPr>
      </w:pPr>
      <w:r>
        <w:rPr>
          <w:rFonts w:cs="Times New Roman"/>
        </w:rPr>
        <w:t xml:space="preserve">Olomouc </w:t>
      </w:r>
      <w:r w:rsidR="00DF1144" w:rsidRPr="00567FAB">
        <w:rPr>
          <w:rFonts w:cs="Times New Roman"/>
        </w:rPr>
        <w:t>2016</w:t>
      </w:r>
    </w:p>
    <w:p w14:paraId="457D792F"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799ECCF3"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5C296E0D"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3C6FD897"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29D4F9F7"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6A863BCA"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3AB0A407"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25916CBF"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5705AACF"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0F76B5B9"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58262A9C"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4B3D898C"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12D2A8C3"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36A0FFB5"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597E8570"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65D20CDA" w14:textId="77777777" w:rsidR="00CB6402" w:rsidRPr="00567FAB" w:rsidRDefault="00CB6402" w:rsidP="00CB6402">
      <w:pPr>
        <w:widowControl w:val="0"/>
        <w:autoSpaceDE w:val="0"/>
        <w:autoSpaceDN w:val="0"/>
        <w:adjustRightInd w:val="0"/>
        <w:spacing w:after="240" w:line="240" w:lineRule="auto"/>
        <w:ind w:firstLine="0"/>
        <w:jc w:val="left"/>
        <w:rPr>
          <w:rFonts w:cs="Times New Roman"/>
          <w:sz w:val="32"/>
          <w:szCs w:val="32"/>
        </w:rPr>
      </w:pPr>
    </w:p>
    <w:p w14:paraId="40DD384F" w14:textId="77777777" w:rsidR="00FA5B38" w:rsidRDefault="00FA5B38" w:rsidP="00FA5B38">
      <w:pPr>
        <w:widowControl w:val="0"/>
        <w:autoSpaceDE w:val="0"/>
        <w:autoSpaceDN w:val="0"/>
        <w:adjustRightInd w:val="0"/>
        <w:spacing w:after="240" w:line="240" w:lineRule="auto"/>
        <w:jc w:val="left"/>
        <w:rPr>
          <w:rFonts w:cs="Times New Roman"/>
        </w:rPr>
      </w:pPr>
    </w:p>
    <w:p w14:paraId="4A77932C" w14:textId="77777777" w:rsidR="000F3EF6" w:rsidRDefault="000F3EF6" w:rsidP="00FA5B38">
      <w:pPr>
        <w:widowControl w:val="0"/>
        <w:autoSpaceDE w:val="0"/>
        <w:autoSpaceDN w:val="0"/>
        <w:adjustRightInd w:val="0"/>
        <w:spacing w:after="240"/>
        <w:rPr>
          <w:rFonts w:cs="Times New Roman"/>
        </w:rPr>
      </w:pPr>
    </w:p>
    <w:p w14:paraId="4643E801" w14:textId="22E0D727" w:rsidR="00CB6402" w:rsidRPr="00FA5B38" w:rsidRDefault="00FA5B38" w:rsidP="00FA5B38">
      <w:pPr>
        <w:widowControl w:val="0"/>
        <w:autoSpaceDE w:val="0"/>
        <w:autoSpaceDN w:val="0"/>
        <w:adjustRightInd w:val="0"/>
        <w:spacing w:after="240"/>
        <w:rPr>
          <w:rFonts w:cs="Times New Roman"/>
        </w:rPr>
      </w:pPr>
      <w:r>
        <w:rPr>
          <w:rFonts w:cs="Times New Roman"/>
        </w:rPr>
        <w:t>Prohlašuji, že jsem diplomovou práci na téma „</w:t>
      </w:r>
      <w:r w:rsidRPr="00FA5B38">
        <w:rPr>
          <w:rFonts w:cs="Times New Roman"/>
          <w:i/>
        </w:rPr>
        <w:t>Vybrané instituty soukromého práva v kontextu dodavatelsko</w:t>
      </w:r>
      <w:r w:rsidRPr="00FA5B38">
        <w:rPr>
          <w:rFonts w:cs="Times New Roman"/>
          <w:i/>
        </w:rPr>
        <w:noBreakHyphen/>
        <w:t>odběratelských vztahů</w:t>
      </w:r>
      <w:r>
        <w:rPr>
          <w:rFonts w:cs="Times New Roman"/>
        </w:rPr>
        <w:t>“ vypracovala samostatně a citovala jsem všechny použité zdroje.</w:t>
      </w:r>
    </w:p>
    <w:p w14:paraId="3E94107D" w14:textId="77777777" w:rsidR="00FA5B38" w:rsidRDefault="00FA5B38" w:rsidP="00CB6402">
      <w:pPr>
        <w:rPr>
          <w:rFonts w:cs="Times New Roman"/>
        </w:rPr>
      </w:pPr>
    </w:p>
    <w:p w14:paraId="3357E35D" w14:textId="79A4CC10" w:rsidR="00CB6402" w:rsidRPr="00567FAB" w:rsidRDefault="00CB6402" w:rsidP="00CB6402">
      <w:pPr>
        <w:rPr>
          <w:rFonts w:cs="Times New Roman"/>
        </w:rPr>
      </w:pPr>
      <w:r w:rsidRPr="00567FAB">
        <w:rPr>
          <w:rFonts w:cs="Times New Roman"/>
        </w:rPr>
        <w:t xml:space="preserve">V </w:t>
      </w:r>
      <w:r w:rsidR="00186FC6">
        <w:rPr>
          <w:rFonts w:cs="Times New Roman"/>
        </w:rPr>
        <w:t>Olomouci</w:t>
      </w:r>
      <w:r w:rsidRPr="00567FAB">
        <w:rPr>
          <w:rFonts w:cs="Times New Roman"/>
        </w:rPr>
        <w:t xml:space="preserve"> dne</w:t>
      </w:r>
      <w:r w:rsidR="00366918">
        <w:rPr>
          <w:rFonts w:cs="Times New Roman"/>
        </w:rPr>
        <w:t xml:space="preserve"> 5. září 2016</w:t>
      </w:r>
      <w:r w:rsidRPr="00567FAB">
        <w:rPr>
          <w:rFonts w:cs="Times New Roman"/>
        </w:rPr>
        <w:t xml:space="preserve"> </w:t>
      </w:r>
      <w:r w:rsidRPr="00567FAB">
        <w:rPr>
          <w:rFonts w:cs="Times New Roman"/>
        </w:rPr>
        <w:tab/>
      </w:r>
      <w:r w:rsidRPr="00567FAB">
        <w:rPr>
          <w:rFonts w:cs="Times New Roman"/>
        </w:rPr>
        <w:tab/>
      </w:r>
    </w:p>
    <w:p w14:paraId="6ADEEFC8" w14:textId="26EC1893" w:rsidR="000F3EF6" w:rsidRDefault="00CB6402" w:rsidP="000F3EF6">
      <w:pPr>
        <w:ind w:firstLine="0"/>
        <w:jc w:val="right"/>
        <w:rPr>
          <w:rFonts w:cs="Times New Roman"/>
        </w:rPr>
      </w:pPr>
      <w:r w:rsidRPr="00567FAB">
        <w:rPr>
          <w:rFonts w:cs="Times New Roman"/>
        </w:rPr>
        <w:tab/>
      </w:r>
      <w:r w:rsidR="000F3EF6" w:rsidRPr="00567FAB">
        <w:rPr>
          <w:rFonts w:cs="Times New Roman"/>
        </w:rPr>
        <w:t>..........................................</w:t>
      </w:r>
    </w:p>
    <w:p w14:paraId="7B82207C" w14:textId="05A1B010" w:rsidR="00012993" w:rsidRDefault="000F3EF6" w:rsidP="00E64C9D">
      <w:pPr>
        <w:tabs>
          <w:tab w:val="left" w:pos="7143"/>
          <w:tab w:val="right" w:pos="9065"/>
        </w:tabs>
        <w:spacing w:after="120"/>
        <w:ind w:firstLine="0"/>
        <w:jc w:val="left"/>
        <w:rPr>
          <w:rFonts w:cs="Times New Roman"/>
        </w:rPr>
      </w:pPr>
      <w:r>
        <w:rPr>
          <w:rFonts w:cs="Times New Roman"/>
        </w:rPr>
        <w:tab/>
      </w:r>
      <w:r w:rsidR="00CB6402" w:rsidRPr="00567FAB">
        <w:rPr>
          <w:rFonts w:cs="Times New Roman"/>
        </w:rPr>
        <w:t>Martina Ostrá</w:t>
      </w:r>
    </w:p>
    <w:p w14:paraId="586242CB" w14:textId="77777777" w:rsidR="00E64C9D" w:rsidRDefault="00E64C9D" w:rsidP="00E64C9D">
      <w:pPr>
        <w:tabs>
          <w:tab w:val="left" w:pos="7143"/>
          <w:tab w:val="right" w:pos="9065"/>
        </w:tabs>
        <w:spacing w:after="120"/>
        <w:ind w:firstLine="0"/>
        <w:jc w:val="left"/>
        <w:rPr>
          <w:rFonts w:cs="Times New Roman"/>
        </w:rPr>
      </w:pPr>
    </w:p>
    <w:p w14:paraId="34B7546C" w14:textId="77777777" w:rsidR="005370B0" w:rsidRDefault="005370B0" w:rsidP="00E64C9D">
      <w:pPr>
        <w:tabs>
          <w:tab w:val="left" w:pos="7143"/>
          <w:tab w:val="right" w:pos="9065"/>
        </w:tabs>
        <w:spacing w:after="120"/>
        <w:ind w:firstLine="0"/>
        <w:jc w:val="left"/>
        <w:rPr>
          <w:rFonts w:cs="Times New Roman"/>
        </w:rPr>
      </w:pPr>
    </w:p>
    <w:p w14:paraId="5A3A8799" w14:textId="77777777" w:rsidR="005370B0" w:rsidRDefault="005370B0" w:rsidP="00E64C9D">
      <w:pPr>
        <w:tabs>
          <w:tab w:val="left" w:pos="7143"/>
          <w:tab w:val="right" w:pos="9065"/>
        </w:tabs>
        <w:spacing w:after="120"/>
        <w:ind w:firstLine="0"/>
        <w:jc w:val="left"/>
        <w:rPr>
          <w:rFonts w:cs="Times New Roman"/>
        </w:rPr>
      </w:pPr>
    </w:p>
    <w:p w14:paraId="1270D2CC" w14:textId="77777777" w:rsidR="005370B0" w:rsidRDefault="005370B0" w:rsidP="00E64C9D">
      <w:pPr>
        <w:tabs>
          <w:tab w:val="left" w:pos="7143"/>
          <w:tab w:val="right" w:pos="9065"/>
        </w:tabs>
        <w:spacing w:after="120"/>
        <w:ind w:firstLine="0"/>
        <w:jc w:val="left"/>
        <w:rPr>
          <w:rFonts w:cs="Times New Roman"/>
        </w:rPr>
      </w:pPr>
    </w:p>
    <w:p w14:paraId="0D53AA43" w14:textId="77777777" w:rsidR="005370B0" w:rsidRDefault="005370B0" w:rsidP="00E64C9D">
      <w:pPr>
        <w:tabs>
          <w:tab w:val="left" w:pos="7143"/>
          <w:tab w:val="right" w:pos="9065"/>
        </w:tabs>
        <w:spacing w:after="120"/>
        <w:ind w:firstLine="0"/>
        <w:jc w:val="left"/>
        <w:rPr>
          <w:rFonts w:cs="Times New Roman"/>
        </w:rPr>
      </w:pPr>
    </w:p>
    <w:p w14:paraId="5DB7911F" w14:textId="77777777" w:rsidR="005370B0" w:rsidRDefault="005370B0" w:rsidP="00E64C9D">
      <w:pPr>
        <w:tabs>
          <w:tab w:val="left" w:pos="7143"/>
          <w:tab w:val="right" w:pos="9065"/>
        </w:tabs>
        <w:spacing w:after="120"/>
        <w:ind w:firstLine="0"/>
        <w:jc w:val="left"/>
        <w:rPr>
          <w:rFonts w:cs="Times New Roman"/>
        </w:rPr>
      </w:pPr>
    </w:p>
    <w:p w14:paraId="664748B9" w14:textId="77777777" w:rsidR="005370B0" w:rsidRDefault="005370B0" w:rsidP="00E64C9D">
      <w:pPr>
        <w:tabs>
          <w:tab w:val="left" w:pos="7143"/>
          <w:tab w:val="right" w:pos="9065"/>
        </w:tabs>
        <w:spacing w:after="120"/>
        <w:ind w:firstLine="0"/>
        <w:jc w:val="left"/>
        <w:rPr>
          <w:rFonts w:cs="Times New Roman"/>
        </w:rPr>
      </w:pPr>
    </w:p>
    <w:p w14:paraId="57BDC1B7" w14:textId="77777777" w:rsidR="005370B0" w:rsidRDefault="005370B0" w:rsidP="00E64C9D">
      <w:pPr>
        <w:tabs>
          <w:tab w:val="left" w:pos="7143"/>
          <w:tab w:val="right" w:pos="9065"/>
        </w:tabs>
        <w:spacing w:after="120"/>
        <w:ind w:firstLine="0"/>
        <w:jc w:val="left"/>
        <w:rPr>
          <w:rFonts w:cs="Times New Roman"/>
        </w:rPr>
      </w:pPr>
    </w:p>
    <w:p w14:paraId="25BD6186" w14:textId="77777777" w:rsidR="005370B0" w:rsidRDefault="005370B0" w:rsidP="00E64C9D">
      <w:pPr>
        <w:tabs>
          <w:tab w:val="left" w:pos="7143"/>
          <w:tab w:val="right" w:pos="9065"/>
        </w:tabs>
        <w:spacing w:after="120"/>
        <w:ind w:firstLine="0"/>
        <w:jc w:val="left"/>
        <w:rPr>
          <w:rFonts w:cs="Times New Roman"/>
        </w:rPr>
      </w:pPr>
    </w:p>
    <w:p w14:paraId="6D531590" w14:textId="77777777" w:rsidR="005370B0" w:rsidRDefault="005370B0" w:rsidP="00E64C9D">
      <w:pPr>
        <w:tabs>
          <w:tab w:val="left" w:pos="7143"/>
          <w:tab w:val="right" w:pos="9065"/>
        </w:tabs>
        <w:spacing w:after="120"/>
        <w:ind w:firstLine="0"/>
        <w:jc w:val="left"/>
        <w:rPr>
          <w:rFonts w:cs="Times New Roman"/>
        </w:rPr>
      </w:pPr>
    </w:p>
    <w:p w14:paraId="276F24E2" w14:textId="77777777" w:rsidR="005370B0" w:rsidRDefault="005370B0" w:rsidP="00E64C9D">
      <w:pPr>
        <w:tabs>
          <w:tab w:val="left" w:pos="7143"/>
          <w:tab w:val="right" w:pos="9065"/>
        </w:tabs>
        <w:spacing w:after="120"/>
        <w:ind w:firstLine="0"/>
        <w:jc w:val="left"/>
        <w:rPr>
          <w:rFonts w:cs="Times New Roman"/>
        </w:rPr>
      </w:pPr>
    </w:p>
    <w:p w14:paraId="6DE6B768" w14:textId="77777777" w:rsidR="005370B0" w:rsidRDefault="005370B0" w:rsidP="00E64C9D">
      <w:pPr>
        <w:tabs>
          <w:tab w:val="left" w:pos="7143"/>
          <w:tab w:val="right" w:pos="9065"/>
        </w:tabs>
        <w:spacing w:after="120"/>
        <w:ind w:firstLine="0"/>
        <w:jc w:val="left"/>
        <w:rPr>
          <w:rFonts w:cs="Times New Roman"/>
        </w:rPr>
      </w:pPr>
    </w:p>
    <w:p w14:paraId="471711A8" w14:textId="77777777" w:rsidR="005370B0" w:rsidRDefault="005370B0" w:rsidP="00E64C9D">
      <w:pPr>
        <w:tabs>
          <w:tab w:val="left" w:pos="7143"/>
          <w:tab w:val="right" w:pos="9065"/>
        </w:tabs>
        <w:spacing w:after="120"/>
        <w:ind w:firstLine="0"/>
        <w:jc w:val="left"/>
        <w:rPr>
          <w:rFonts w:cs="Times New Roman"/>
        </w:rPr>
      </w:pPr>
    </w:p>
    <w:p w14:paraId="5B0D440E" w14:textId="77777777" w:rsidR="005370B0" w:rsidRDefault="005370B0" w:rsidP="00E64C9D">
      <w:pPr>
        <w:tabs>
          <w:tab w:val="left" w:pos="7143"/>
          <w:tab w:val="right" w:pos="9065"/>
        </w:tabs>
        <w:spacing w:after="120"/>
        <w:ind w:firstLine="0"/>
        <w:jc w:val="left"/>
        <w:rPr>
          <w:rFonts w:cs="Times New Roman"/>
        </w:rPr>
      </w:pPr>
    </w:p>
    <w:p w14:paraId="26F8A7C0" w14:textId="77777777" w:rsidR="005370B0" w:rsidRDefault="005370B0" w:rsidP="00E64C9D">
      <w:pPr>
        <w:tabs>
          <w:tab w:val="left" w:pos="7143"/>
          <w:tab w:val="right" w:pos="9065"/>
        </w:tabs>
        <w:spacing w:after="120"/>
        <w:ind w:firstLine="0"/>
        <w:jc w:val="left"/>
        <w:rPr>
          <w:rFonts w:cs="Times New Roman"/>
        </w:rPr>
      </w:pPr>
    </w:p>
    <w:p w14:paraId="2C484259" w14:textId="77777777" w:rsidR="005370B0" w:rsidRDefault="005370B0" w:rsidP="00E64C9D">
      <w:pPr>
        <w:tabs>
          <w:tab w:val="left" w:pos="7143"/>
          <w:tab w:val="right" w:pos="9065"/>
        </w:tabs>
        <w:spacing w:after="120"/>
        <w:ind w:firstLine="0"/>
        <w:jc w:val="left"/>
        <w:rPr>
          <w:rFonts w:cs="Times New Roman"/>
        </w:rPr>
      </w:pPr>
    </w:p>
    <w:p w14:paraId="6B2622C0" w14:textId="77777777" w:rsidR="005370B0" w:rsidRDefault="005370B0" w:rsidP="00E64C9D">
      <w:pPr>
        <w:tabs>
          <w:tab w:val="left" w:pos="7143"/>
          <w:tab w:val="right" w:pos="9065"/>
        </w:tabs>
        <w:spacing w:after="120"/>
        <w:ind w:firstLine="0"/>
        <w:jc w:val="left"/>
        <w:rPr>
          <w:rFonts w:cs="Times New Roman"/>
        </w:rPr>
      </w:pPr>
    </w:p>
    <w:p w14:paraId="31101876" w14:textId="77777777" w:rsidR="005370B0" w:rsidRDefault="005370B0" w:rsidP="00E64C9D">
      <w:pPr>
        <w:tabs>
          <w:tab w:val="left" w:pos="7143"/>
          <w:tab w:val="right" w:pos="9065"/>
        </w:tabs>
        <w:spacing w:after="120"/>
        <w:ind w:firstLine="0"/>
        <w:jc w:val="left"/>
        <w:rPr>
          <w:rFonts w:cs="Times New Roman"/>
        </w:rPr>
      </w:pPr>
    </w:p>
    <w:p w14:paraId="51873252" w14:textId="77777777" w:rsidR="005370B0" w:rsidRDefault="005370B0" w:rsidP="00E64C9D">
      <w:pPr>
        <w:tabs>
          <w:tab w:val="left" w:pos="7143"/>
          <w:tab w:val="right" w:pos="9065"/>
        </w:tabs>
        <w:spacing w:after="120"/>
        <w:ind w:firstLine="0"/>
        <w:jc w:val="left"/>
        <w:rPr>
          <w:rFonts w:cs="Times New Roman"/>
        </w:rPr>
      </w:pPr>
    </w:p>
    <w:p w14:paraId="4AA24A42" w14:textId="77777777" w:rsidR="005370B0" w:rsidRDefault="005370B0" w:rsidP="00E64C9D">
      <w:pPr>
        <w:tabs>
          <w:tab w:val="left" w:pos="7143"/>
          <w:tab w:val="right" w:pos="9065"/>
        </w:tabs>
        <w:spacing w:after="120"/>
        <w:ind w:firstLine="0"/>
        <w:jc w:val="left"/>
        <w:rPr>
          <w:rFonts w:cs="Times New Roman"/>
        </w:rPr>
      </w:pPr>
    </w:p>
    <w:p w14:paraId="0CA7E933" w14:textId="77777777" w:rsidR="005370B0" w:rsidRDefault="005370B0" w:rsidP="005370B0">
      <w:pPr>
        <w:tabs>
          <w:tab w:val="left" w:pos="7143"/>
          <w:tab w:val="right" w:pos="9065"/>
        </w:tabs>
        <w:spacing w:after="120"/>
        <w:jc w:val="left"/>
        <w:rPr>
          <w:rFonts w:cs="Times New Roman"/>
        </w:rPr>
      </w:pPr>
    </w:p>
    <w:p w14:paraId="20AA0E34" w14:textId="77777777" w:rsidR="005370B0" w:rsidRDefault="005370B0" w:rsidP="005370B0">
      <w:pPr>
        <w:tabs>
          <w:tab w:val="left" w:pos="7143"/>
          <w:tab w:val="right" w:pos="9065"/>
        </w:tabs>
        <w:spacing w:after="120"/>
        <w:jc w:val="left"/>
        <w:rPr>
          <w:rFonts w:cs="Times New Roman"/>
        </w:rPr>
      </w:pPr>
    </w:p>
    <w:p w14:paraId="36EF935B" w14:textId="77777777" w:rsidR="005370B0" w:rsidRPr="00881F10" w:rsidRDefault="005370B0" w:rsidP="005370B0">
      <w:pPr>
        <w:tabs>
          <w:tab w:val="left" w:pos="7143"/>
          <w:tab w:val="right" w:pos="9065"/>
        </w:tabs>
        <w:spacing w:after="120"/>
        <w:jc w:val="left"/>
        <w:rPr>
          <w:rFonts w:cs="Times New Roman"/>
        </w:rPr>
      </w:pPr>
    </w:p>
    <w:p w14:paraId="1FF4DD92" w14:textId="114D59D7" w:rsidR="005370B0" w:rsidRPr="00881F10" w:rsidRDefault="00881F10" w:rsidP="005370B0">
      <w:pPr>
        <w:tabs>
          <w:tab w:val="left" w:pos="7143"/>
          <w:tab w:val="right" w:pos="9065"/>
        </w:tabs>
        <w:spacing w:after="120"/>
        <w:jc w:val="left"/>
        <w:rPr>
          <w:rFonts w:cs="Times New Roman"/>
        </w:rPr>
      </w:pPr>
      <w:r w:rsidRPr="00881F10">
        <w:rPr>
          <w:rFonts w:cs="Times New Roman"/>
        </w:rPr>
        <w:t>Na tomto místě bych ráda poděkovala Mgr. et Mgr. Janu Petrovovi, Ph.D. LL</w:t>
      </w:r>
      <w:r w:rsidR="00366918">
        <w:rPr>
          <w:rFonts w:cs="Times New Roman"/>
        </w:rPr>
        <w:t>.M. za cenné rady a připomínky</w:t>
      </w:r>
      <w:r w:rsidR="00AF2F51" w:rsidRPr="00366918">
        <w:rPr>
          <w:rFonts w:cs="Times New Roman"/>
        </w:rPr>
        <w:t>, a JUDr. Jiřímu Žákovi za poskytnuté konzultace</w:t>
      </w:r>
      <w:r w:rsidRPr="00366918">
        <w:rPr>
          <w:rFonts w:cs="Times New Roman"/>
        </w:rPr>
        <w:t>.</w:t>
      </w:r>
      <w:r w:rsidRPr="00881F10">
        <w:rPr>
          <w:rFonts w:cs="Times New Roman"/>
        </w:rPr>
        <w:t xml:space="preserve"> Dále bych chtěla poděkovat svým nejbližším, bez jejichž podpory by tato práce nevznikla. </w:t>
      </w:r>
    </w:p>
    <w:p w14:paraId="4A253BFE" w14:textId="18C3B51E" w:rsidR="00AC5C87" w:rsidRPr="00567FAB" w:rsidRDefault="00C03F3A" w:rsidP="00AF2F51">
      <w:pPr>
        <w:pStyle w:val="Heading1"/>
        <w:numPr>
          <w:ilvl w:val="0"/>
          <w:numId w:val="0"/>
        </w:numPr>
        <w:ind w:left="432"/>
      </w:pPr>
      <w:bookmarkStart w:id="0" w:name="_Toc442203386"/>
      <w:bookmarkStart w:id="1" w:name="_Toc442203463"/>
      <w:bookmarkStart w:id="2" w:name="_Toc460272502"/>
      <w:bookmarkStart w:id="3" w:name="_Toc460275283"/>
      <w:bookmarkStart w:id="4" w:name="_Toc460832663"/>
      <w:r w:rsidRPr="00567FAB">
        <w:lastRenderedPageBreak/>
        <w:t>Obsah práce</w:t>
      </w:r>
      <w:bookmarkEnd w:id="0"/>
      <w:bookmarkEnd w:id="1"/>
      <w:bookmarkEnd w:id="2"/>
      <w:bookmarkEnd w:id="3"/>
      <w:bookmarkEnd w:id="4"/>
    </w:p>
    <w:sdt>
      <w:sdtPr>
        <w:rPr>
          <w:rFonts w:ascii="Times New Roman" w:eastAsiaTheme="minorHAnsi" w:hAnsi="Times New Roman" w:cstheme="minorBidi"/>
          <w:b w:val="0"/>
          <w:bCs w:val="0"/>
          <w:color w:val="auto"/>
          <w:sz w:val="22"/>
          <w:szCs w:val="24"/>
          <w:lang w:val="en-US"/>
        </w:rPr>
        <w:id w:val="1236437560"/>
        <w:docPartObj>
          <w:docPartGallery w:val="Table of Contents"/>
          <w:docPartUnique/>
        </w:docPartObj>
      </w:sdtPr>
      <w:sdtEndPr>
        <w:rPr>
          <w:rFonts w:cs="Times New Roman"/>
          <w:noProof/>
          <w:sz w:val="24"/>
          <w:lang w:val="cs-CZ"/>
        </w:rPr>
      </w:sdtEndPr>
      <w:sdtContent>
        <w:p w14:paraId="117B5E5C" w14:textId="77777777" w:rsidR="00AC5C87" w:rsidRPr="00AB4AE7" w:rsidRDefault="00AC5C87">
          <w:pPr>
            <w:pStyle w:val="TOCHeading"/>
            <w:rPr>
              <w:rFonts w:ascii="Times New Roman" w:hAnsi="Times New Roman"/>
              <w:b w:val="0"/>
              <w:bCs w:val="0"/>
              <w:sz w:val="22"/>
              <w:szCs w:val="24"/>
            </w:rPr>
          </w:pPr>
        </w:p>
        <w:p w14:paraId="67849128" w14:textId="460F1504" w:rsidR="00227669" w:rsidRPr="00227669" w:rsidRDefault="00100F26">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sz w:val="24"/>
              <w:szCs w:val="24"/>
            </w:rPr>
            <w:fldChar w:fldCharType="begin"/>
          </w:r>
          <w:r w:rsidRPr="00227669">
            <w:rPr>
              <w:rFonts w:ascii="Times New Roman" w:hAnsi="Times New Roman" w:cs="Times New Roman"/>
              <w:sz w:val="24"/>
              <w:szCs w:val="24"/>
            </w:rPr>
            <w:instrText xml:space="preserve"> TOC \o "1-3" </w:instrText>
          </w:r>
          <w:r w:rsidRPr="00227669">
            <w:rPr>
              <w:rFonts w:ascii="Times New Roman" w:hAnsi="Times New Roman" w:cs="Times New Roman"/>
              <w:sz w:val="24"/>
              <w:szCs w:val="24"/>
            </w:rPr>
            <w:fldChar w:fldCharType="separate"/>
          </w:r>
        </w:p>
        <w:p w14:paraId="63C191F5" w14:textId="77777777" w:rsidR="00227669" w:rsidRPr="00227669" w:rsidRDefault="00227669">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Seznam použitých zkratek</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_Toc460832664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6</w:t>
          </w:r>
          <w:r w:rsidRPr="00227669">
            <w:rPr>
              <w:rFonts w:ascii="Times New Roman" w:hAnsi="Times New Roman" w:cs="Times New Roman"/>
              <w:noProof/>
            </w:rPr>
            <w:fldChar w:fldCharType="end"/>
          </w:r>
        </w:p>
        <w:p w14:paraId="14094976" w14:textId="77777777" w:rsidR="00227669" w:rsidRPr="00227669" w:rsidRDefault="00227669">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Úvod</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_Toc460832665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7</w:t>
          </w:r>
          <w:r w:rsidRPr="00227669">
            <w:rPr>
              <w:rFonts w:ascii="Times New Roman" w:hAnsi="Times New Roman" w:cs="Times New Roman"/>
              <w:noProof/>
            </w:rPr>
            <w:fldChar w:fldCharType="end"/>
          </w:r>
        </w:p>
        <w:p w14:paraId="4353E518" w14:textId="77777777" w:rsidR="00227669" w:rsidRPr="00227669" w:rsidRDefault="00227669">
          <w:pPr>
            <w:pStyle w:val="TOC1"/>
            <w:tabs>
              <w:tab w:val="left" w:pos="1200"/>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1</w:t>
          </w:r>
          <w:r w:rsidRPr="00227669">
            <w:rPr>
              <w:rFonts w:ascii="Times New Roman" w:eastAsiaTheme="minorEastAsia" w:hAnsi="Times New Roman" w:cs="Times New Roman"/>
              <w:b w:val="0"/>
              <w:noProof/>
              <w:sz w:val="24"/>
              <w:szCs w:val="24"/>
              <w:lang w:val="en-US"/>
            </w:rPr>
            <w:tab/>
          </w:r>
          <w:r w:rsidRPr="00227669">
            <w:rPr>
              <w:rFonts w:ascii="Times New Roman" w:hAnsi="Times New Roman" w:cs="Times New Roman"/>
              <w:noProof/>
            </w:rPr>
            <w:t>Dodavatelsko-odběratelské vztahy</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_Toc460832666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9</w:t>
          </w:r>
          <w:r w:rsidRPr="00227669">
            <w:rPr>
              <w:rFonts w:ascii="Times New Roman" w:hAnsi="Times New Roman" w:cs="Times New Roman"/>
              <w:noProof/>
            </w:rPr>
            <w:fldChar w:fldCharType="end"/>
          </w:r>
        </w:p>
        <w:p w14:paraId="0488B086"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1.1</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Obchodní závazky</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_Toc460832667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9</w:t>
          </w:r>
          <w:r w:rsidRPr="00227669">
            <w:rPr>
              <w:rFonts w:ascii="Times New Roman" w:hAnsi="Times New Roman" w:cs="Times New Roman"/>
              <w:i w:val="0"/>
              <w:noProof/>
            </w:rPr>
            <w:fldChar w:fldCharType="end"/>
          </w:r>
        </w:p>
        <w:p w14:paraId="0AE8C040"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1.2</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Dodavatelsko-odběratelské vztahy</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_Toc460832668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10</w:t>
          </w:r>
          <w:r w:rsidRPr="00227669">
            <w:rPr>
              <w:rFonts w:ascii="Times New Roman" w:hAnsi="Times New Roman" w:cs="Times New Roman"/>
              <w:i w:val="0"/>
              <w:noProof/>
            </w:rPr>
            <w:fldChar w:fldCharType="end"/>
          </w:r>
        </w:p>
        <w:p w14:paraId="1E241A3D"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1.2.1</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Obecné vymezení</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_Toc460832669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10</w:t>
          </w:r>
          <w:r w:rsidRPr="00227669">
            <w:rPr>
              <w:rFonts w:ascii="Times New Roman" w:hAnsi="Times New Roman" w:cs="Times New Roman"/>
              <w:noProof/>
            </w:rPr>
            <w:fldChar w:fldCharType="end"/>
          </w:r>
        </w:p>
        <w:p w14:paraId="6A0F5878"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1.2.2</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Dělení</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_Toc460832670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10</w:t>
          </w:r>
          <w:r w:rsidRPr="00227669">
            <w:rPr>
              <w:rFonts w:ascii="Times New Roman" w:hAnsi="Times New Roman" w:cs="Times New Roman"/>
              <w:noProof/>
            </w:rPr>
            <w:fldChar w:fldCharType="end"/>
          </w:r>
        </w:p>
        <w:p w14:paraId="69C1EA47"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1.2.3</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Dlouhodobost dodavatelsko-odběratelských vztahů</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_Toc460832671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11</w:t>
          </w:r>
          <w:r w:rsidRPr="00227669">
            <w:rPr>
              <w:rFonts w:ascii="Times New Roman" w:hAnsi="Times New Roman" w:cs="Times New Roman"/>
              <w:noProof/>
            </w:rPr>
            <w:fldChar w:fldCharType="end"/>
          </w:r>
        </w:p>
        <w:p w14:paraId="4F459B34"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1.3</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Konstrukce dodavatelsko-odběratelských vztahů</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_Toc460832672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11</w:t>
          </w:r>
          <w:r w:rsidRPr="00227669">
            <w:rPr>
              <w:rFonts w:ascii="Times New Roman" w:hAnsi="Times New Roman" w:cs="Times New Roman"/>
              <w:i w:val="0"/>
              <w:noProof/>
            </w:rPr>
            <w:fldChar w:fldCharType="end"/>
          </w:r>
        </w:p>
        <w:p w14:paraId="3C600BEF"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1.4</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Zvláštnosti stavebních vztahů</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_Toc460832673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12</w:t>
          </w:r>
          <w:r w:rsidRPr="00227669">
            <w:rPr>
              <w:rFonts w:ascii="Times New Roman" w:hAnsi="Times New Roman" w:cs="Times New Roman"/>
              <w:i w:val="0"/>
              <w:noProof/>
            </w:rPr>
            <w:fldChar w:fldCharType="end"/>
          </w:r>
        </w:p>
        <w:p w14:paraId="4BB694D5"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1.4.1</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Zvláštní konstrukce stavebních vztahů</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_Toc460832674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12</w:t>
          </w:r>
          <w:r w:rsidRPr="00227669">
            <w:rPr>
              <w:rFonts w:ascii="Times New Roman" w:hAnsi="Times New Roman" w:cs="Times New Roman"/>
              <w:noProof/>
            </w:rPr>
            <w:fldChar w:fldCharType="end"/>
          </w:r>
        </w:p>
        <w:p w14:paraId="36789462"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1.4.2</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Smluvní podmínky FIDIC</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_Toc460832675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14</w:t>
          </w:r>
          <w:r w:rsidRPr="00227669">
            <w:rPr>
              <w:rFonts w:ascii="Times New Roman" w:hAnsi="Times New Roman" w:cs="Times New Roman"/>
              <w:noProof/>
            </w:rPr>
            <w:fldChar w:fldCharType="end"/>
          </w:r>
        </w:p>
        <w:p w14:paraId="4AE147BF"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1.4.3</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Správce stavby</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_Toc460832676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15</w:t>
          </w:r>
          <w:r w:rsidRPr="00227669">
            <w:rPr>
              <w:rFonts w:ascii="Times New Roman" w:hAnsi="Times New Roman" w:cs="Times New Roman"/>
              <w:noProof/>
            </w:rPr>
            <w:fldChar w:fldCharType="end"/>
          </w:r>
        </w:p>
        <w:p w14:paraId="3F8A438D"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1.5</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Vymezení DO vztahů pro účely práce</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_Toc460832677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15</w:t>
          </w:r>
          <w:r w:rsidRPr="00227669">
            <w:rPr>
              <w:rFonts w:ascii="Times New Roman" w:hAnsi="Times New Roman" w:cs="Times New Roman"/>
              <w:i w:val="0"/>
              <w:noProof/>
            </w:rPr>
            <w:fldChar w:fldCharType="end"/>
          </w:r>
        </w:p>
        <w:p w14:paraId="364E57E8" w14:textId="77777777" w:rsidR="00227669" w:rsidRPr="00227669" w:rsidRDefault="00227669">
          <w:pPr>
            <w:pStyle w:val="TOC1"/>
            <w:tabs>
              <w:tab w:val="left" w:pos="1200"/>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2</w:t>
          </w:r>
          <w:r w:rsidRPr="00227669">
            <w:rPr>
              <w:rFonts w:ascii="Times New Roman" w:eastAsiaTheme="minorEastAsia" w:hAnsi="Times New Roman" w:cs="Times New Roman"/>
              <w:b w:val="0"/>
              <w:noProof/>
              <w:sz w:val="24"/>
              <w:szCs w:val="24"/>
              <w:lang w:val="en-US"/>
            </w:rPr>
            <w:tab/>
          </w:r>
          <w:r w:rsidRPr="00227669">
            <w:rPr>
              <w:rFonts w:ascii="Times New Roman" w:hAnsi="Times New Roman" w:cs="Times New Roman"/>
              <w:noProof/>
            </w:rPr>
            <w:t>Porušení smluvních povinností v dodavatelsko-odběratelských vztazích</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_Toc460832678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16</w:t>
          </w:r>
          <w:r w:rsidRPr="00227669">
            <w:rPr>
              <w:rFonts w:ascii="Times New Roman" w:hAnsi="Times New Roman" w:cs="Times New Roman"/>
              <w:noProof/>
            </w:rPr>
            <w:fldChar w:fldCharType="end"/>
          </w:r>
        </w:p>
        <w:p w14:paraId="768F3765"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2.1</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Způsoby porušení smluvních povinností</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_Toc460832679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16</w:t>
          </w:r>
          <w:r w:rsidRPr="00227669">
            <w:rPr>
              <w:rFonts w:ascii="Times New Roman" w:hAnsi="Times New Roman" w:cs="Times New Roman"/>
              <w:i w:val="0"/>
              <w:noProof/>
            </w:rPr>
            <w:fldChar w:fldCharType="end"/>
          </w:r>
        </w:p>
        <w:p w14:paraId="6F4D0EE8"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2.2</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Vadné splnění jako způsob porušení smluvních povinností</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_Toc460832680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17</w:t>
          </w:r>
          <w:r w:rsidRPr="00227669">
            <w:rPr>
              <w:rFonts w:ascii="Times New Roman" w:hAnsi="Times New Roman" w:cs="Times New Roman"/>
              <w:i w:val="0"/>
              <w:noProof/>
            </w:rPr>
            <w:fldChar w:fldCharType="end"/>
          </w:r>
        </w:p>
        <w:p w14:paraId="7A41C5CD"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2.3</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Subjekty práv a povinností z vadného splnění</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_Toc460832681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17</w:t>
          </w:r>
          <w:r w:rsidRPr="00227669">
            <w:rPr>
              <w:rFonts w:ascii="Times New Roman" w:hAnsi="Times New Roman" w:cs="Times New Roman"/>
              <w:i w:val="0"/>
              <w:noProof/>
            </w:rPr>
            <w:fldChar w:fldCharType="end"/>
          </w:r>
        </w:p>
        <w:p w14:paraId="484E3C7D"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2.3.1</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Obecná ustanovení ObčZ a smlouvy o dílo</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_Toc460832682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17</w:t>
          </w:r>
          <w:r w:rsidRPr="00227669">
            <w:rPr>
              <w:rFonts w:ascii="Times New Roman" w:hAnsi="Times New Roman" w:cs="Times New Roman"/>
              <w:noProof/>
            </w:rPr>
            <w:fldChar w:fldCharType="end"/>
          </w:r>
        </w:p>
        <w:p w14:paraId="7C735A5A"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2.3.2</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Stavební díla</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_Toc460832683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19</w:t>
          </w:r>
          <w:r w:rsidRPr="00227669">
            <w:rPr>
              <w:rFonts w:ascii="Times New Roman" w:hAnsi="Times New Roman" w:cs="Times New Roman"/>
              <w:noProof/>
            </w:rPr>
            <w:fldChar w:fldCharType="end"/>
          </w:r>
        </w:p>
        <w:p w14:paraId="705E31D1"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2.3.3</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FIDIC</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_Toc460832684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20</w:t>
          </w:r>
          <w:r w:rsidRPr="00227669">
            <w:rPr>
              <w:rFonts w:ascii="Times New Roman" w:hAnsi="Times New Roman" w:cs="Times New Roman"/>
              <w:noProof/>
            </w:rPr>
            <w:fldChar w:fldCharType="end"/>
          </w:r>
        </w:p>
        <w:p w14:paraId="68AA1A55"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2.4</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Existence úplatného závazku</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_Toc460832685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20</w:t>
          </w:r>
          <w:r w:rsidRPr="00227669">
            <w:rPr>
              <w:rFonts w:ascii="Times New Roman" w:hAnsi="Times New Roman" w:cs="Times New Roman"/>
              <w:i w:val="0"/>
              <w:noProof/>
            </w:rPr>
            <w:fldChar w:fldCharType="end"/>
          </w:r>
        </w:p>
        <w:p w14:paraId="60C10F03"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2.4.1</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Obecná ustanovení ObčZ a smlouvy o dílo</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_Toc460832686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20</w:t>
          </w:r>
          <w:r w:rsidRPr="00227669">
            <w:rPr>
              <w:rFonts w:ascii="Times New Roman" w:hAnsi="Times New Roman" w:cs="Times New Roman"/>
              <w:noProof/>
            </w:rPr>
            <w:fldChar w:fldCharType="end"/>
          </w:r>
        </w:p>
        <w:p w14:paraId="6969C1A6"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2.4.2</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Stavební díla</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_Toc460832687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23</w:t>
          </w:r>
          <w:r w:rsidRPr="00227669">
            <w:rPr>
              <w:rFonts w:ascii="Times New Roman" w:hAnsi="Times New Roman" w:cs="Times New Roman"/>
              <w:noProof/>
            </w:rPr>
            <w:fldChar w:fldCharType="end"/>
          </w:r>
        </w:p>
        <w:p w14:paraId="1936FC29"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2.4.3</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FIDIC</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_Toc460832688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24</w:t>
          </w:r>
          <w:r w:rsidRPr="00227669">
            <w:rPr>
              <w:rFonts w:ascii="Times New Roman" w:hAnsi="Times New Roman" w:cs="Times New Roman"/>
              <w:noProof/>
            </w:rPr>
            <w:fldChar w:fldCharType="end"/>
          </w:r>
        </w:p>
        <w:p w14:paraId="6D747839"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2.5</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Porušení povinnosti řádně splnit a převzetí vadného plnění</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_Toc460832689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24</w:t>
          </w:r>
          <w:r w:rsidRPr="00227669">
            <w:rPr>
              <w:rFonts w:ascii="Times New Roman" w:hAnsi="Times New Roman" w:cs="Times New Roman"/>
              <w:i w:val="0"/>
              <w:noProof/>
            </w:rPr>
            <w:fldChar w:fldCharType="end"/>
          </w:r>
        </w:p>
        <w:p w14:paraId="28351FEA"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2.6</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Kvalita vady</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_Toc460832690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27</w:t>
          </w:r>
          <w:r w:rsidRPr="00227669">
            <w:rPr>
              <w:rFonts w:ascii="Times New Roman" w:hAnsi="Times New Roman" w:cs="Times New Roman"/>
              <w:i w:val="0"/>
              <w:noProof/>
            </w:rPr>
            <w:fldChar w:fldCharType="end"/>
          </w:r>
        </w:p>
        <w:p w14:paraId="19161B91"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2.6.1</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Obecná ustanovení ObčZ a smlouvy o dílo</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_Toc460832691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27</w:t>
          </w:r>
          <w:r w:rsidRPr="00227669">
            <w:rPr>
              <w:rFonts w:ascii="Times New Roman" w:hAnsi="Times New Roman" w:cs="Times New Roman"/>
              <w:noProof/>
            </w:rPr>
            <w:fldChar w:fldCharType="end"/>
          </w:r>
        </w:p>
        <w:p w14:paraId="002C4F10"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2.6.2</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Stavební díla</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_Toc460832692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28</w:t>
          </w:r>
          <w:r w:rsidRPr="00227669">
            <w:rPr>
              <w:rFonts w:ascii="Times New Roman" w:hAnsi="Times New Roman" w:cs="Times New Roman"/>
              <w:noProof/>
            </w:rPr>
            <w:fldChar w:fldCharType="end"/>
          </w:r>
        </w:p>
        <w:p w14:paraId="3EE1D3EE"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2.6.3</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FIDIC</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_Toc460832693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29</w:t>
          </w:r>
          <w:r w:rsidRPr="00227669">
            <w:rPr>
              <w:rFonts w:ascii="Times New Roman" w:hAnsi="Times New Roman" w:cs="Times New Roman"/>
              <w:noProof/>
            </w:rPr>
            <w:fldChar w:fldCharType="end"/>
          </w:r>
        </w:p>
        <w:p w14:paraId="788C375D"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2.7</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Neexistence okolností vylučujících vznik práv a povinností z vadného splnění</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_Toc460832694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29</w:t>
          </w:r>
          <w:r w:rsidRPr="00227669">
            <w:rPr>
              <w:rFonts w:ascii="Times New Roman" w:hAnsi="Times New Roman" w:cs="Times New Roman"/>
              <w:i w:val="0"/>
              <w:noProof/>
            </w:rPr>
            <w:fldChar w:fldCharType="end"/>
          </w:r>
        </w:p>
        <w:p w14:paraId="3634D436"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lastRenderedPageBreak/>
            <w:t>2.8</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Vymahatelnost práv z vadného splnění</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_Toc460832695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29</w:t>
          </w:r>
          <w:r w:rsidRPr="00227669">
            <w:rPr>
              <w:rFonts w:ascii="Times New Roman" w:hAnsi="Times New Roman" w:cs="Times New Roman"/>
              <w:i w:val="0"/>
              <w:noProof/>
            </w:rPr>
            <w:fldChar w:fldCharType="end"/>
          </w:r>
        </w:p>
        <w:p w14:paraId="23BDE4F9"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2.8.1</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Obecná ustanovení ObčZ a smlouvy o dílo</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_Toc460832696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29</w:t>
          </w:r>
          <w:r w:rsidRPr="00227669">
            <w:rPr>
              <w:rFonts w:ascii="Times New Roman" w:hAnsi="Times New Roman" w:cs="Times New Roman"/>
              <w:noProof/>
            </w:rPr>
            <w:fldChar w:fldCharType="end"/>
          </w:r>
        </w:p>
        <w:p w14:paraId="4705F7A1"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2.8.2</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Stavební díla</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_Toc460832697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31</w:t>
          </w:r>
          <w:r w:rsidRPr="00227669">
            <w:rPr>
              <w:rFonts w:ascii="Times New Roman" w:hAnsi="Times New Roman" w:cs="Times New Roman"/>
              <w:noProof/>
            </w:rPr>
            <w:fldChar w:fldCharType="end"/>
          </w:r>
        </w:p>
        <w:p w14:paraId="4AF9A6CA"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2.8.3</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FIDIC</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_Toc460832698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32</w:t>
          </w:r>
          <w:r w:rsidRPr="00227669">
            <w:rPr>
              <w:rFonts w:ascii="Times New Roman" w:hAnsi="Times New Roman" w:cs="Times New Roman"/>
              <w:noProof/>
            </w:rPr>
            <w:fldChar w:fldCharType="end"/>
          </w:r>
        </w:p>
        <w:p w14:paraId="66808246" w14:textId="77777777" w:rsidR="00227669" w:rsidRPr="00227669" w:rsidRDefault="00227669">
          <w:pPr>
            <w:pStyle w:val="TOC1"/>
            <w:tabs>
              <w:tab w:val="left" w:pos="1200"/>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3</w:t>
          </w:r>
          <w:r w:rsidRPr="00227669">
            <w:rPr>
              <w:rFonts w:ascii="Times New Roman" w:eastAsiaTheme="minorEastAsia" w:hAnsi="Times New Roman" w:cs="Times New Roman"/>
              <w:b w:val="0"/>
              <w:noProof/>
              <w:sz w:val="24"/>
              <w:szCs w:val="24"/>
              <w:lang w:val="en-US"/>
            </w:rPr>
            <w:tab/>
          </w:r>
          <w:r w:rsidRPr="00227669">
            <w:rPr>
              <w:rFonts w:ascii="Times New Roman" w:hAnsi="Times New Roman" w:cs="Times New Roman"/>
              <w:noProof/>
            </w:rPr>
            <w:t>Právní následky porušení smlouvy</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_Toc460832699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34</w:t>
          </w:r>
          <w:r w:rsidRPr="00227669">
            <w:rPr>
              <w:rFonts w:ascii="Times New Roman" w:hAnsi="Times New Roman" w:cs="Times New Roman"/>
              <w:noProof/>
            </w:rPr>
            <w:fldChar w:fldCharType="end"/>
          </w:r>
        </w:p>
        <w:p w14:paraId="6B12B109"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3.1</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Obecně o právních následcích</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_Toc460832700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34</w:t>
          </w:r>
          <w:r w:rsidRPr="00227669">
            <w:rPr>
              <w:rFonts w:ascii="Times New Roman" w:hAnsi="Times New Roman" w:cs="Times New Roman"/>
              <w:i w:val="0"/>
              <w:noProof/>
            </w:rPr>
            <w:fldChar w:fldCharType="end"/>
          </w:r>
        </w:p>
        <w:p w14:paraId="471E9EE7"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3.2</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Zvláštní právní následky vadného splnění</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_Toc460832701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34</w:t>
          </w:r>
          <w:r w:rsidRPr="00227669">
            <w:rPr>
              <w:rFonts w:ascii="Times New Roman" w:hAnsi="Times New Roman" w:cs="Times New Roman"/>
              <w:i w:val="0"/>
              <w:noProof/>
            </w:rPr>
            <w:fldChar w:fldCharType="end"/>
          </w:r>
        </w:p>
        <w:p w14:paraId="7CC2EED6"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3.2.1</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Obecná ustanovení ObčZ</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_Toc460832702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34</w:t>
          </w:r>
          <w:r w:rsidRPr="00227669">
            <w:rPr>
              <w:rFonts w:ascii="Times New Roman" w:hAnsi="Times New Roman" w:cs="Times New Roman"/>
              <w:noProof/>
            </w:rPr>
            <w:fldChar w:fldCharType="end"/>
          </w:r>
        </w:p>
        <w:p w14:paraId="5D518FA9"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3.2.2</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Ustanovení smlouvy o dílo</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_Toc460832703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36</w:t>
          </w:r>
          <w:r w:rsidRPr="00227669">
            <w:rPr>
              <w:rFonts w:ascii="Times New Roman" w:hAnsi="Times New Roman" w:cs="Times New Roman"/>
              <w:noProof/>
            </w:rPr>
            <w:fldChar w:fldCharType="end"/>
          </w:r>
        </w:p>
        <w:p w14:paraId="1D01336B"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3.2.3</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Stavební díla</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_Toc460832704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39</w:t>
          </w:r>
          <w:r w:rsidRPr="00227669">
            <w:rPr>
              <w:rFonts w:ascii="Times New Roman" w:hAnsi="Times New Roman" w:cs="Times New Roman"/>
              <w:noProof/>
            </w:rPr>
            <w:fldChar w:fldCharType="end"/>
          </w:r>
        </w:p>
        <w:p w14:paraId="521E4E5C" w14:textId="77777777" w:rsidR="00227669" w:rsidRPr="00227669" w:rsidRDefault="00227669">
          <w:pPr>
            <w:pStyle w:val="TOC3"/>
            <w:tabs>
              <w:tab w:val="left" w:pos="1920"/>
              <w:tab w:val="right" w:leader="dot" w:pos="9055"/>
            </w:tabs>
            <w:rPr>
              <w:rFonts w:ascii="Times New Roman" w:eastAsiaTheme="minorEastAsia" w:hAnsi="Times New Roman" w:cs="Times New Roman"/>
              <w:noProof/>
              <w:sz w:val="24"/>
              <w:szCs w:val="24"/>
              <w:lang w:val="en-US"/>
            </w:rPr>
          </w:pPr>
          <w:r w:rsidRPr="00227669">
            <w:rPr>
              <w:rFonts w:ascii="Times New Roman" w:hAnsi="Times New Roman" w:cs="Times New Roman"/>
              <w:noProof/>
            </w:rPr>
            <w:t>3.2.4</w:t>
          </w:r>
          <w:r w:rsidRPr="00227669">
            <w:rPr>
              <w:rFonts w:ascii="Times New Roman" w:eastAsiaTheme="minorEastAsia" w:hAnsi="Times New Roman" w:cs="Times New Roman"/>
              <w:noProof/>
              <w:sz w:val="24"/>
              <w:szCs w:val="24"/>
              <w:lang w:val="en-US"/>
            </w:rPr>
            <w:tab/>
          </w:r>
          <w:r w:rsidRPr="00227669">
            <w:rPr>
              <w:rFonts w:ascii="Times New Roman" w:hAnsi="Times New Roman" w:cs="Times New Roman"/>
              <w:noProof/>
            </w:rPr>
            <w:t>FIDIC</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_Toc460832705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41</w:t>
          </w:r>
          <w:r w:rsidRPr="00227669">
            <w:rPr>
              <w:rFonts w:ascii="Times New Roman" w:hAnsi="Times New Roman" w:cs="Times New Roman"/>
              <w:noProof/>
            </w:rPr>
            <w:fldChar w:fldCharType="end"/>
          </w:r>
        </w:p>
        <w:p w14:paraId="6FB10BFE" w14:textId="77777777" w:rsidR="00227669" w:rsidRPr="00227669" w:rsidRDefault="00227669">
          <w:pPr>
            <w:pStyle w:val="TOC2"/>
            <w:tabs>
              <w:tab w:val="left" w:pos="1680"/>
              <w:tab w:val="right" w:leader="dot" w:pos="9055"/>
            </w:tabs>
            <w:rPr>
              <w:rFonts w:ascii="Times New Roman" w:eastAsiaTheme="minorEastAsia" w:hAnsi="Times New Roman" w:cs="Times New Roman"/>
              <w:i w:val="0"/>
              <w:noProof/>
              <w:sz w:val="24"/>
              <w:szCs w:val="24"/>
              <w:lang w:val="en-US"/>
            </w:rPr>
          </w:pPr>
          <w:r w:rsidRPr="00227669">
            <w:rPr>
              <w:rFonts w:ascii="Times New Roman" w:hAnsi="Times New Roman" w:cs="Times New Roman"/>
              <w:i w:val="0"/>
              <w:noProof/>
            </w:rPr>
            <w:t>3.3</w:t>
          </w:r>
          <w:r w:rsidRPr="00227669">
            <w:rPr>
              <w:rFonts w:ascii="Times New Roman" w:eastAsiaTheme="minorEastAsia" w:hAnsi="Times New Roman" w:cs="Times New Roman"/>
              <w:i w:val="0"/>
              <w:noProof/>
              <w:sz w:val="24"/>
              <w:szCs w:val="24"/>
              <w:lang w:val="en-US"/>
            </w:rPr>
            <w:tab/>
          </w:r>
          <w:r w:rsidRPr="00227669">
            <w:rPr>
              <w:rFonts w:ascii="Times New Roman" w:hAnsi="Times New Roman" w:cs="Times New Roman"/>
              <w:i w:val="0"/>
              <w:noProof/>
            </w:rPr>
            <w:t>Další právní následky vadného splnění – vybrané otázky</w:t>
          </w:r>
          <w:r w:rsidRPr="00227669">
            <w:rPr>
              <w:rFonts w:ascii="Times New Roman" w:hAnsi="Times New Roman" w:cs="Times New Roman"/>
              <w:i w:val="0"/>
              <w:noProof/>
            </w:rPr>
            <w:tab/>
          </w:r>
          <w:r w:rsidRPr="00227669">
            <w:rPr>
              <w:rFonts w:ascii="Times New Roman" w:hAnsi="Times New Roman" w:cs="Times New Roman"/>
              <w:i w:val="0"/>
              <w:noProof/>
            </w:rPr>
            <w:fldChar w:fldCharType="begin"/>
          </w:r>
          <w:r w:rsidRPr="00227669">
            <w:rPr>
              <w:rFonts w:ascii="Times New Roman" w:hAnsi="Times New Roman" w:cs="Times New Roman"/>
              <w:i w:val="0"/>
              <w:noProof/>
            </w:rPr>
            <w:instrText xml:space="preserve"> PAGEREF _Toc460832706 \h </w:instrText>
          </w:r>
          <w:r w:rsidRPr="00227669">
            <w:rPr>
              <w:rFonts w:ascii="Times New Roman" w:hAnsi="Times New Roman" w:cs="Times New Roman"/>
              <w:i w:val="0"/>
              <w:noProof/>
            </w:rPr>
          </w:r>
          <w:r w:rsidRPr="00227669">
            <w:rPr>
              <w:rFonts w:ascii="Times New Roman" w:hAnsi="Times New Roman" w:cs="Times New Roman"/>
              <w:i w:val="0"/>
              <w:noProof/>
            </w:rPr>
            <w:fldChar w:fldCharType="separate"/>
          </w:r>
          <w:r w:rsidR="00940904">
            <w:rPr>
              <w:rFonts w:ascii="Times New Roman" w:hAnsi="Times New Roman" w:cs="Times New Roman"/>
              <w:i w:val="0"/>
              <w:noProof/>
            </w:rPr>
            <w:t>42</w:t>
          </w:r>
          <w:r w:rsidRPr="00227669">
            <w:rPr>
              <w:rFonts w:ascii="Times New Roman" w:hAnsi="Times New Roman" w:cs="Times New Roman"/>
              <w:i w:val="0"/>
              <w:noProof/>
            </w:rPr>
            <w:fldChar w:fldCharType="end"/>
          </w:r>
        </w:p>
        <w:p w14:paraId="7625F0AD" w14:textId="77777777" w:rsidR="00227669" w:rsidRPr="00227669" w:rsidRDefault="00227669">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Závěr</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_Toc460832707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45</w:t>
          </w:r>
          <w:r w:rsidRPr="00227669">
            <w:rPr>
              <w:rFonts w:ascii="Times New Roman" w:hAnsi="Times New Roman" w:cs="Times New Roman"/>
              <w:noProof/>
            </w:rPr>
            <w:fldChar w:fldCharType="end"/>
          </w:r>
        </w:p>
        <w:p w14:paraId="288F2226" w14:textId="77777777" w:rsidR="00227669" w:rsidRPr="00227669" w:rsidRDefault="00227669">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Seznam použitých zdrojů</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_Toc460832708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47</w:t>
          </w:r>
          <w:r w:rsidRPr="00227669">
            <w:rPr>
              <w:rFonts w:ascii="Times New Roman" w:hAnsi="Times New Roman" w:cs="Times New Roman"/>
              <w:noProof/>
            </w:rPr>
            <w:fldChar w:fldCharType="end"/>
          </w:r>
        </w:p>
        <w:p w14:paraId="161DC4AE" w14:textId="77777777" w:rsidR="00227669" w:rsidRPr="00227669" w:rsidRDefault="00227669">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Shrnutí</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_Toc460832709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50</w:t>
          </w:r>
          <w:r w:rsidRPr="00227669">
            <w:rPr>
              <w:rFonts w:ascii="Times New Roman" w:hAnsi="Times New Roman" w:cs="Times New Roman"/>
              <w:noProof/>
            </w:rPr>
            <w:fldChar w:fldCharType="end"/>
          </w:r>
        </w:p>
        <w:p w14:paraId="0F0EF585" w14:textId="77777777" w:rsidR="00227669" w:rsidRPr="00227669" w:rsidRDefault="00227669">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Abstract</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_Toc460832710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50</w:t>
          </w:r>
          <w:r w:rsidRPr="00227669">
            <w:rPr>
              <w:rFonts w:ascii="Times New Roman" w:hAnsi="Times New Roman" w:cs="Times New Roman"/>
              <w:noProof/>
            </w:rPr>
            <w:fldChar w:fldCharType="end"/>
          </w:r>
        </w:p>
        <w:p w14:paraId="4BEDAC88" w14:textId="77777777" w:rsidR="00227669" w:rsidRPr="00227669" w:rsidRDefault="00227669">
          <w:pPr>
            <w:pStyle w:val="TOC1"/>
            <w:tabs>
              <w:tab w:val="right" w:leader="dot" w:pos="9055"/>
            </w:tabs>
            <w:rPr>
              <w:rFonts w:ascii="Times New Roman" w:eastAsiaTheme="minorEastAsia" w:hAnsi="Times New Roman" w:cs="Times New Roman"/>
              <w:b w:val="0"/>
              <w:noProof/>
              <w:sz w:val="24"/>
              <w:szCs w:val="24"/>
              <w:lang w:val="en-US"/>
            </w:rPr>
          </w:pPr>
          <w:r w:rsidRPr="00227669">
            <w:rPr>
              <w:rFonts w:ascii="Times New Roman" w:hAnsi="Times New Roman" w:cs="Times New Roman"/>
              <w:noProof/>
            </w:rPr>
            <w:t>Seznam klíčových slov v českém a anglickém jazyce</w:t>
          </w:r>
          <w:r w:rsidRPr="00227669">
            <w:rPr>
              <w:rFonts w:ascii="Times New Roman" w:hAnsi="Times New Roman" w:cs="Times New Roman"/>
              <w:noProof/>
            </w:rPr>
            <w:tab/>
          </w:r>
          <w:r w:rsidRPr="00227669">
            <w:rPr>
              <w:rFonts w:ascii="Times New Roman" w:hAnsi="Times New Roman" w:cs="Times New Roman"/>
              <w:noProof/>
            </w:rPr>
            <w:fldChar w:fldCharType="begin"/>
          </w:r>
          <w:r w:rsidRPr="00227669">
            <w:rPr>
              <w:rFonts w:ascii="Times New Roman" w:hAnsi="Times New Roman" w:cs="Times New Roman"/>
              <w:noProof/>
            </w:rPr>
            <w:instrText xml:space="preserve"> PAGEREF _Toc460832711 \h </w:instrText>
          </w:r>
          <w:r w:rsidRPr="00227669">
            <w:rPr>
              <w:rFonts w:ascii="Times New Roman" w:hAnsi="Times New Roman" w:cs="Times New Roman"/>
              <w:noProof/>
            </w:rPr>
          </w:r>
          <w:r w:rsidRPr="00227669">
            <w:rPr>
              <w:rFonts w:ascii="Times New Roman" w:hAnsi="Times New Roman" w:cs="Times New Roman"/>
              <w:noProof/>
            </w:rPr>
            <w:fldChar w:fldCharType="separate"/>
          </w:r>
          <w:r w:rsidR="00940904">
            <w:rPr>
              <w:rFonts w:ascii="Times New Roman" w:hAnsi="Times New Roman" w:cs="Times New Roman"/>
              <w:noProof/>
            </w:rPr>
            <w:t>51</w:t>
          </w:r>
          <w:r w:rsidRPr="00227669">
            <w:rPr>
              <w:rFonts w:ascii="Times New Roman" w:hAnsi="Times New Roman" w:cs="Times New Roman"/>
              <w:noProof/>
            </w:rPr>
            <w:fldChar w:fldCharType="end"/>
          </w:r>
        </w:p>
        <w:p w14:paraId="150C185E" w14:textId="63CFDFDF" w:rsidR="00AC5C87" w:rsidRPr="00227669" w:rsidRDefault="00100F26">
          <w:pPr>
            <w:rPr>
              <w:rFonts w:cs="Times New Roman"/>
            </w:rPr>
          </w:pPr>
          <w:r w:rsidRPr="00227669">
            <w:rPr>
              <w:rFonts w:cs="Times New Roman"/>
            </w:rPr>
            <w:fldChar w:fldCharType="end"/>
          </w:r>
        </w:p>
      </w:sdtContent>
    </w:sdt>
    <w:p w14:paraId="0C0F8141" w14:textId="77777777" w:rsidR="00CB6402" w:rsidRPr="00227669" w:rsidRDefault="00CB6402" w:rsidP="00CB6402">
      <w:pPr>
        <w:tabs>
          <w:tab w:val="left" w:pos="7143"/>
          <w:tab w:val="right" w:pos="9065"/>
        </w:tabs>
        <w:ind w:firstLine="0"/>
        <w:jc w:val="left"/>
        <w:rPr>
          <w:rFonts w:cs="Times New Roman"/>
        </w:rPr>
      </w:pPr>
    </w:p>
    <w:p w14:paraId="35F875E7" w14:textId="77777777" w:rsidR="00064469" w:rsidRDefault="00064469">
      <w:pPr>
        <w:spacing w:line="240" w:lineRule="auto"/>
        <w:ind w:firstLine="0"/>
        <w:jc w:val="left"/>
        <w:rPr>
          <w:rFonts w:eastAsiaTheme="majorEastAsia" w:cs="Times New Roman"/>
          <w:b/>
          <w:color w:val="000000" w:themeColor="text1"/>
          <w:sz w:val="32"/>
          <w:szCs w:val="32"/>
        </w:rPr>
      </w:pPr>
      <w:bookmarkStart w:id="5" w:name="_Toc442203387"/>
      <w:bookmarkStart w:id="6" w:name="_Toc442203464"/>
      <w:r>
        <w:br w:type="page"/>
      </w:r>
    </w:p>
    <w:p w14:paraId="6FB4620B" w14:textId="57E2E1AC" w:rsidR="00CB6402" w:rsidRDefault="00CB6402" w:rsidP="00B203F4">
      <w:pPr>
        <w:pStyle w:val="Heading1"/>
        <w:numPr>
          <w:ilvl w:val="0"/>
          <w:numId w:val="0"/>
        </w:numPr>
        <w:ind w:left="432" w:hanging="432"/>
      </w:pPr>
      <w:bookmarkStart w:id="7" w:name="_Toc460832664"/>
      <w:r w:rsidRPr="00567FAB">
        <w:lastRenderedPageBreak/>
        <w:t>Seznam použitých zkratek</w:t>
      </w:r>
      <w:bookmarkEnd w:id="5"/>
      <w:bookmarkEnd w:id="6"/>
      <w:bookmarkEnd w:id="7"/>
    </w:p>
    <w:p w14:paraId="407F38FD" w14:textId="77777777" w:rsidR="0052685B" w:rsidRPr="0052685B" w:rsidRDefault="0052685B" w:rsidP="0052685B"/>
    <w:tbl>
      <w:tblPr>
        <w:tblStyle w:val="PlainTable4"/>
        <w:tblW w:w="0" w:type="auto"/>
        <w:tblLook w:val="04A0" w:firstRow="1" w:lastRow="0" w:firstColumn="1" w:lastColumn="0" w:noHBand="0" w:noVBand="1"/>
      </w:tblPr>
      <w:tblGrid>
        <w:gridCol w:w="2972"/>
        <w:gridCol w:w="6083"/>
      </w:tblGrid>
      <w:tr w:rsidR="00B662DD" w14:paraId="1B3C4825" w14:textId="77777777" w:rsidTr="00934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03F64A8" w14:textId="450F74BF" w:rsidR="00B662DD" w:rsidRPr="009341FF" w:rsidRDefault="00B662DD" w:rsidP="00B662DD">
            <w:pPr>
              <w:spacing w:after="120"/>
              <w:ind w:firstLine="0"/>
              <w:rPr>
                <w:rFonts w:cs="Times New Roman"/>
              </w:rPr>
            </w:pPr>
            <w:r w:rsidRPr="009341FF">
              <w:rPr>
                <w:rFonts w:cs="Times New Roman"/>
              </w:rPr>
              <w:t>ObčZ</w:t>
            </w:r>
          </w:p>
          <w:p w14:paraId="6FDE7622" w14:textId="77777777" w:rsidR="00B662DD" w:rsidRPr="009341FF" w:rsidRDefault="00B662DD" w:rsidP="00B662DD">
            <w:pPr>
              <w:spacing w:after="120"/>
              <w:ind w:firstLine="0"/>
              <w:rPr>
                <w:rFonts w:cs="Times New Roman"/>
              </w:rPr>
            </w:pPr>
            <w:r w:rsidRPr="009341FF">
              <w:rPr>
                <w:rFonts w:cs="Times New Roman"/>
              </w:rPr>
              <w:t>StZ</w:t>
            </w:r>
          </w:p>
          <w:p w14:paraId="7D24A95C" w14:textId="77777777" w:rsidR="00B662DD" w:rsidRPr="009341FF" w:rsidRDefault="00B662DD" w:rsidP="00B662DD">
            <w:pPr>
              <w:ind w:firstLine="0"/>
              <w:rPr>
                <w:rFonts w:cs="Times New Roman"/>
              </w:rPr>
            </w:pPr>
          </w:p>
          <w:p w14:paraId="0219F44A" w14:textId="77777777" w:rsidR="00B662DD" w:rsidRPr="009341FF" w:rsidRDefault="00B662DD" w:rsidP="00B662DD">
            <w:pPr>
              <w:ind w:firstLine="0"/>
              <w:rPr>
                <w:rFonts w:cs="Times New Roman"/>
              </w:rPr>
            </w:pPr>
            <w:r w:rsidRPr="009341FF">
              <w:rPr>
                <w:rFonts w:cs="Times New Roman"/>
              </w:rPr>
              <w:t>CONS</w:t>
            </w:r>
          </w:p>
          <w:p w14:paraId="46549F77" w14:textId="77777777" w:rsidR="00B662DD" w:rsidRPr="009341FF" w:rsidRDefault="00B662DD" w:rsidP="00B662DD">
            <w:pPr>
              <w:spacing w:after="120"/>
              <w:ind w:firstLine="0"/>
              <w:rPr>
                <w:rFonts w:cs="Times New Roman"/>
              </w:rPr>
            </w:pPr>
          </w:p>
          <w:p w14:paraId="11344F92" w14:textId="77777777" w:rsidR="00B662DD" w:rsidRPr="009341FF" w:rsidRDefault="00B662DD" w:rsidP="00B662DD">
            <w:pPr>
              <w:ind w:firstLine="0"/>
              <w:rPr>
                <w:rFonts w:cs="Times New Roman"/>
              </w:rPr>
            </w:pPr>
            <w:r w:rsidRPr="009341FF">
              <w:rPr>
                <w:rFonts w:cs="Times New Roman"/>
              </w:rPr>
              <w:t>Construction Subcontract</w:t>
            </w:r>
          </w:p>
          <w:p w14:paraId="70E61983" w14:textId="77777777" w:rsidR="00B662DD" w:rsidRPr="009341FF" w:rsidRDefault="00B662DD" w:rsidP="00B662DD">
            <w:pPr>
              <w:spacing w:after="120"/>
              <w:ind w:firstLine="0"/>
              <w:rPr>
                <w:rFonts w:cs="Times New Roman"/>
              </w:rPr>
            </w:pPr>
          </w:p>
          <w:p w14:paraId="5D7F4F55" w14:textId="77777777" w:rsidR="00B662DD" w:rsidRPr="009341FF" w:rsidRDefault="00B662DD" w:rsidP="00B662DD">
            <w:pPr>
              <w:spacing w:after="120"/>
              <w:ind w:firstLine="0"/>
              <w:rPr>
                <w:rFonts w:cs="Times New Roman"/>
              </w:rPr>
            </w:pPr>
            <w:r w:rsidRPr="009341FF">
              <w:rPr>
                <w:rFonts w:cs="Times New Roman"/>
              </w:rPr>
              <w:t>NS ČR</w:t>
            </w:r>
          </w:p>
          <w:p w14:paraId="3CCC8EBE" w14:textId="77777777" w:rsidR="00B662DD" w:rsidRDefault="00B662DD" w:rsidP="00470FA8">
            <w:pPr>
              <w:spacing w:after="120"/>
              <w:ind w:firstLine="0"/>
              <w:rPr>
                <w:rFonts w:cs="Times New Roman"/>
              </w:rPr>
            </w:pPr>
            <w:r w:rsidRPr="009341FF">
              <w:rPr>
                <w:rFonts w:cs="Times New Roman"/>
              </w:rPr>
              <w:t>ÚS ČR</w:t>
            </w:r>
          </w:p>
          <w:p w14:paraId="4ECFFDA8" w14:textId="77777777" w:rsidR="00470FA8" w:rsidRPr="00470FA8" w:rsidRDefault="00470FA8" w:rsidP="00470FA8">
            <w:pPr>
              <w:spacing w:after="120"/>
              <w:ind w:firstLine="0"/>
              <w:rPr>
                <w:rFonts w:cs="Times New Roman"/>
              </w:rPr>
            </w:pPr>
            <w:r w:rsidRPr="00470FA8">
              <w:rPr>
                <w:rFonts w:cs="Times New Roman"/>
              </w:rPr>
              <w:t>B2B</w:t>
            </w:r>
          </w:p>
          <w:p w14:paraId="1F6A1E0C" w14:textId="1C4301C8" w:rsidR="00470FA8" w:rsidRPr="00470FA8" w:rsidRDefault="00470FA8" w:rsidP="00470FA8">
            <w:pPr>
              <w:spacing w:after="120"/>
              <w:ind w:firstLine="0"/>
              <w:rPr>
                <w:rFonts w:cs="Times New Roman"/>
              </w:rPr>
            </w:pPr>
            <w:r w:rsidRPr="00470FA8">
              <w:rPr>
                <w:rFonts w:cs="Times New Roman"/>
              </w:rPr>
              <w:t>B2C</w:t>
            </w:r>
          </w:p>
          <w:p w14:paraId="342AF6CB" w14:textId="7CFE9AAD" w:rsidR="00470FA8" w:rsidRPr="00470FA8" w:rsidRDefault="00470FA8" w:rsidP="00B662DD">
            <w:pPr>
              <w:ind w:firstLine="0"/>
              <w:rPr>
                <w:rFonts w:cs="Times New Roman"/>
                <w:b w:val="0"/>
              </w:rPr>
            </w:pPr>
            <w:r w:rsidRPr="00470FA8">
              <w:rPr>
                <w:rFonts w:cs="Times New Roman"/>
              </w:rPr>
              <w:t>B2G</w:t>
            </w:r>
          </w:p>
        </w:tc>
        <w:tc>
          <w:tcPr>
            <w:tcW w:w="6083" w:type="dxa"/>
          </w:tcPr>
          <w:p w14:paraId="64B26688" w14:textId="77777777" w:rsidR="00B662DD" w:rsidRPr="009341FF" w:rsidRDefault="00B662DD" w:rsidP="00B662DD">
            <w:pPr>
              <w:spacing w:after="120"/>
              <w:ind w:firstLine="0"/>
              <w:cnfStyle w:val="100000000000" w:firstRow="1" w:lastRow="0" w:firstColumn="0" w:lastColumn="0" w:oddVBand="0" w:evenVBand="0" w:oddHBand="0" w:evenHBand="0" w:firstRowFirstColumn="0" w:firstRowLastColumn="0" w:lastRowFirstColumn="0" w:lastRowLastColumn="0"/>
              <w:rPr>
                <w:rFonts w:cs="Times New Roman"/>
                <w:b w:val="0"/>
              </w:rPr>
            </w:pPr>
            <w:r w:rsidRPr="009341FF">
              <w:rPr>
                <w:rFonts w:cs="Times New Roman"/>
                <w:b w:val="0"/>
              </w:rPr>
              <w:t>Zákon č. 89/2012 Sb., občanský zákoník</w:t>
            </w:r>
          </w:p>
          <w:p w14:paraId="42A4E618" w14:textId="77777777" w:rsidR="00B662DD" w:rsidRPr="009341FF" w:rsidRDefault="00B662DD" w:rsidP="00B662DD">
            <w:pPr>
              <w:spacing w:after="120"/>
              <w:ind w:firstLine="0"/>
              <w:cnfStyle w:val="100000000000" w:firstRow="1" w:lastRow="0" w:firstColumn="0" w:lastColumn="0" w:oddVBand="0" w:evenVBand="0" w:oddHBand="0" w:evenHBand="0" w:firstRowFirstColumn="0" w:firstRowLastColumn="0" w:lastRowFirstColumn="0" w:lastRowLastColumn="0"/>
              <w:rPr>
                <w:rFonts w:cs="Times New Roman"/>
                <w:b w:val="0"/>
              </w:rPr>
            </w:pPr>
            <w:r w:rsidRPr="009341FF">
              <w:rPr>
                <w:rFonts w:cs="Times New Roman"/>
                <w:b w:val="0"/>
              </w:rPr>
              <w:t>Zákon č. 183/2006 Sb., zákon o územním plánování a stavebním řádu (stavební zákon)</w:t>
            </w:r>
          </w:p>
          <w:p w14:paraId="197D4DDA" w14:textId="77777777" w:rsidR="00B662DD" w:rsidRPr="009341FF" w:rsidRDefault="00B662DD" w:rsidP="00B662DD">
            <w:pPr>
              <w:spacing w:after="120"/>
              <w:ind w:firstLine="0"/>
              <w:cnfStyle w:val="100000000000" w:firstRow="1" w:lastRow="0" w:firstColumn="0" w:lastColumn="0" w:oddVBand="0" w:evenVBand="0" w:oddHBand="0" w:evenHBand="0" w:firstRowFirstColumn="0" w:firstRowLastColumn="0" w:lastRowFirstColumn="0" w:lastRowLastColumn="0"/>
              <w:rPr>
                <w:b w:val="0"/>
              </w:rPr>
            </w:pPr>
            <w:r w:rsidRPr="009341FF">
              <w:rPr>
                <w:b w:val="0"/>
              </w:rPr>
              <w:t>Conditions of Contract for Construction For Building and Engineering Works Designed by the Employer</w:t>
            </w:r>
          </w:p>
          <w:p w14:paraId="64258666" w14:textId="77777777" w:rsidR="00B662DD" w:rsidRPr="009341FF" w:rsidRDefault="00B662DD" w:rsidP="00B662DD">
            <w:pPr>
              <w:spacing w:after="120"/>
              <w:ind w:firstLine="0"/>
              <w:cnfStyle w:val="100000000000" w:firstRow="1" w:lastRow="0" w:firstColumn="0" w:lastColumn="0" w:oddVBand="0" w:evenVBand="0" w:oddHBand="0" w:evenHBand="0" w:firstRowFirstColumn="0" w:firstRowLastColumn="0" w:lastRowFirstColumn="0" w:lastRowLastColumn="0"/>
              <w:rPr>
                <w:b w:val="0"/>
              </w:rPr>
            </w:pPr>
            <w:r w:rsidRPr="009341FF">
              <w:rPr>
                <w:b w:val="0"/>
              </w:rPr>
              <w:t>Conditions of Subcontract for Construction For Building and Engineering Works Designed by the Employer</w:t>
            </w:r>
          </w:p>
          <w:p w14:paraId="1F02B9FE" w14:textId="77777777" w:rsidR="00B662DD" w:rsidRPr="009341FF" w:rsidRDefault="00B662DD" w:rsidP="00B662DD">
            <w:pPr>
              <w:spacing w:after="120"/>
              <w:ind w:firstLine="0"/>
              <w:cnfStyle w:val="100000000000" w:firstRow="1" w:lastRow="0" w:firstColumn="0" w:lastColumn="0" w:oddVBand="0" w:evenVBand="0" w:oddHBand="0" w:evenHBand="0" w:firstRowFirstColumn="0" w:firstRowLastColumn="0" w:lastRowFirstColumn="0" w:lastRowLastColumn="0"/>
              <w:rPr>
                <w:rFonts w:cs="Times New Roman"/>
                <w:b w:val="0"/>
              </w:rPr>
            </w:pPr>
            <w:r w:rsidRPr="009341FF">
              <w:rPr>
                <w:rFonts w:cs="Times New Roman"/>
                <w:b w:val="0"/>
              </w:rPr>
              <w:t>Nejvyšší soud České republiky</w:t>
            </w:r>
          </w:p>
          <w:p w14:paraId="409204BD" w14:textId="77777777" w:rsidR="00B662DD" w:rsidRDefault="00B662DD" w:rsidP="00B662DD">
            <w:pPr>
              <w:spacing w:after="120"/>
              <w:ind w:firstLine="0"/>
              <w:cnfStyle w:val="100000000000" w:firstRow="1" w:lastRow="0" w:firstColumn="0" w:lastColumn="0" w:oddVBand="0" w:evenVBand="0" w:oddHBand="0" w:evenHBand="0" w:firstRowFirstColumn="0" w:firstRowLastColumn="0" w:lastRowFirstColumn="0" w:lastRowLastColumn="0"/>
              <w:rPr>
                <w:rFonts w:cs="Times New Roman"/>
                <w:b w:val="0"/>
              </w:rPr>
            </w:pPr>
            <w:r w:rsidRPr="009341FF">
              <w:rPr>
                <w:rFonts w:cs="Times New Roman"/>
                <w:b w:val="0"/>
              </w:rPr>
              <w:t>Ústavní soud České republiky</w:t>
            </w:r>
          </w:p>
          <w:p w14:paraId="5A6D6E44" w14:textId="77777777" w:rsidR="00470FA8" w:rsidRDefault="007501D3" w:rsidP="00B662DD">
            <w:pPr>
              <w:spacing w:after="120"/>
              <w:ind w:firstLine="0"/>
              <w:cnfStyle w:val="100000000000" w:firstRow="1" w:lastRow="0" w:firstColumn="0" w:lastColumn="0" w:oddVBand="0" w:evenVBand="0" w:oddHBand="0" w:evenHBand="0" w:firstRowFirstColumn="0" w:firstRowLastColumn="0" w:lastRowFirstColumn="0" w:lastRowLastColumn="0"/>
              <w:rPr>
                <w:rFonts w:cs="Times New Roman"/>
                <w:b w:val="0"/>
                <w:lang w:val="en-GB"/>
              </w:rPr>
            </w:pPr>
            <w:r>
              <w:rPr>
                <w:rFonts w:cs="Times New Roman"/>
                <w:b w:val="0"/>
                <w:lang w:val="en-GB"/>
              </w:rPr>
              <w:t>B</w:t>
            </w:r>
            <w:r w:rsidRPr="007501D3">
              <w:rPr>
                <w:rFonts w:cs="Times New Roman"/>
                <w:b w:val="0"/>
                <w:lang w:val="en-GB"/>
              </w:rPr>
              <w:t>usiness-to-business contracts</w:t>
            </w:r>
          </w:p>
          <w:p w14:paraId="3E39B6D6" w14:textId="744C963A" w:rsidR="0066595A" w:rsidRPr="0066595A" w:rsidRDefault="0066595A" w:rsidP="00B662DD">
            <w:pPr>
              <w:spacing w:after="120"/>
              <w:ind w:firstLine="0"/>
              <w:cnfStyle w:val="100000000000" w:firstRow="1" w:lastRow="0" w:firstColumn="0" w:lastColumn="0" w:oddVBand="0" w:evenVBand="0" w:oddHBand="0" w:evenHBand="0" w:firstRowFirstColumn="0" w:firstRowLastColumn="0" w:lastRowFirstColumn="0" w:lastRowLastColumn="0"/>
              <w:rPr>
                <w:rFonts w:cs="Times New Roman"/>
                <w:b w:val="0"/>
                <w:lang w:val="en-GB"/>
              </w:rPr>
            </w:pPr>
            <w:r w:rsidRPr="0066595A">
              <w:rPr>
                <w:rFonts w:cs="Times New Roman"/>
                <w:b w:val="0"/>
                <w:lang w:val="en-GB"/>
              </w:rPr>
              <w:t>Business-to-consumer contracts</w:t>
            </w:r>
          </w:p>
          <w:p w14:paraId="6F4A94D3" w14:textId="4727FCFE" w:rsidR="0066595A" w:rsidRPr="0066595A" w:rsidRDefault="0066595A" w:rsidP="00B662DD">
            <w:pPr>
              <w:spacing w:after="120"/>
              <w:ind w:firstLine="0"/>
              <w:cnfStyle w:val="100000000000" w:firstRow="1" w:lastRow="0" w:firstColumn="0" w:lastColumn="0" w:oddVBand="0" w:evenVBand="0" w:oddHBand="0" w:evenHBand="0" w:firstRowFirstColumn="0" w:firstRowLastColumn="0" w:lastRowFirstColumn="0" w:lastRowLastColumn="0"/>
              <w:rPr>
                <w:rFonts w:cs="Times New Roman"/>
                <w:b w:val="0"/>
              </w:rPr>
            </w:pPr>
            <w:r w:rsidRPr="0066595A">
              <w:rPr>
                <w:rFonts w:cs="Times New Roman"/>
                <w:b w:val="0"/>
                <w:lang w:val="en-GB"/>
              </w:rPr>
              <w:t>Business-to-government contracts</w:t>
            </w:r>
          </w:p>
        </w:tc>
      </w:tr>
    </w:tbl>
    <w:p w14:paraId="56A4B365" w14:textId="77777777" w:rsidR="00D2044F" w:rsidRPr="00567FAB" w:rsidRDefault="00D2044F" w:rsidP="00D2044F">
      <w:pPr>
        <w:ind w:firstLine="0"/>
        <w:rPr>
          <w:rFonts w:cs="Times New Roman"/>
        </w:rPr>
      </w:pPr>
    </w:p>
    <w:p w14:paraId="0758E03B" w14:textId="6EB12441" w:rsidR="00CB6402" w:rsidRPr="00567FAB" w:rsidRDefault="00CB6402" w:rsidP="00D2044F">
      <w:pPr>
        <w:ind w:firstLine="0"/>
        <w:rPr>
          <w:rFonts w:cs="Times New Roman"/>
        </w:rPr>
      </w:pPr>
      <w:r w:rsidRPr="00567FAB">
        <w:rPr>
          <w:rFonts w:cs="Times New Roman"/>
        </w:rPr>
        <w:br w:type="page"/>
      </w:r>
    </w:p>
    <w:p w14:paraId="3CFA6E84" w14:textId="77777777" w:rsidR="00DE0075" w:rsidRDefault="00DE0075" w:rsidP="00DE0075">
      <w:pPr>
        <w:pStyle w:val="Heading1"/>
        <w:numPr>
          <w:ilvl w:val="0"/>
          <w:numId w:val="0"/>
        </w:numPr>
        <w:ind w:left="360" w:hanging="360"/>
      </w:pPr>
      <w:bookmarkStart w:id="8" w:name="_Toc460832665"/>
      <w:r>
        <w:lastRenderedPageBreak/>
        <w:t>Úvod</w:t>
      </w:r>
      <w:bookmarkEnd w:id="8"/>
    </w:p>
    <w:p w14:paraId="6E6E9697" w14:textId="292618E0" w:rsidR="00DE0075" w:rsidRDefault="00D03A3D" w:rsidP="00DE0075">
      <w:pPr>
        <w:rPr>
          <w:rFonts w:cs="Times New Roman"/>
        </w:rPr>
      </w:pPr>
      <w:r>
        <w:rPr>
          <w:rFonts w:cs="Times New Roman"/>
        </w:rPr>
        <w:t>Účelem dodavatelsko-odběratelských vztahů je dodání předmětu plnění odběrateli</w:t>
      </w:r>
      <w:r w:rsidR="00DE0075" w:rsidRPr="00A80417">
        <w:rPr>
          <w:rFonts w:cs="Times New Roman"/>
        </w:rPr>
        <w:t>.</w:t>
      </w:r>
      <w:r w:rsidR="00DE0075">
        <w:rPr>
          <w:rFonts w:cs="Times New Roman"/>
        </w:rPr>
        <w:t xml:space="preserve"> V rámci konkurenceschopnosti jednotlivých dodavatelů je nutné, aby tito byli schopni vyhovět náročným požadavkům odběratelů a dodat co nejkomplexnější plnění. Ve složitých projektech není však mnohdy v moci dodavatele zajistit </w:t>
      </w:r>
      <w:r w:rsidR="007D2DA4">
        <w:rPr>
          <w:rFonts w:cs="Times New Roman"/>
        </w:rPr>
        <w:t xml:space="preserve">komplexnost, </w:t>
      </w:r>
      <w:r w:rsidR="00DE0075">
        <w:rPr>
          <w:rFonts w:cs="Times New Roman"/>
        </w:rPr>
        <w:t xml:space="preserve">odbornost a kvalitu celého plnění </w:t>
      </w:r>
      <w:r w:rsidR="007A0344">
        <w:rPr>
          <w:rFonts w:cs="Times New Roman"/>
        </w:rPr>
        <w:t xml:space="preserve">pouze </w:t>
      </w:r>
      <w:r w:rsidR="00DB433C">
        <w:rPr>
          <w:rFonts w:cs="Times New Roman"/>
        </w:rPr>
        <w:t>svými silami</w:t>
      </w:r>
      <w:r w:rsidR="00DE0075">
        <w:rPr>
          <w:rFonts w:cs="Times New Roman"/>
        </w:rPr>
        <w:t xml:space="preserve"> či </w:t>
      </w:r>
      <w:r w:rsidR="007D2DA4">
        <w:rPr>
          <w:rFonts w:cs="Times New Roman"/>
        </w:rPr>
        <w:t>prostřednictvím svých</w:t>
      </w:r>
      <w:r w:rsidR="00064469">
        <w:rPr>
          <w:rFonts w:cs="Times New Roman"/>
        </w:rPr>
        <w:t xml:space="preserve"> </w:t>
      </w:r>
      <w:r w:rsidR="007D2DA4">
        <w:rPr>
          <w:rFonts w:cs="Times New Roman"/>
        </w:rPr>
        <w:t>zaměstnanců</w:t>
      </w:r>
      <w:r w:rsidR="00DE0075">
        <w:rPr>
          <w:rFonts w:cs="Times New Roman"/>
        </w:rPr>
        <w:t>. Proto často dodavatel k</w:t>
      </w:r>
      <w:r w:rsidR="00A37D47">
        <w:rPr>
          <w:rFonts w:cs="Times New Roman"/>
        </w:rPr>
        <w:t>e</w:t>
      </w:r>
      <w:r w:rsidR="00DE0075">
        <w:rPr>
          <w:rFonts w:cs="Times New Roman"/>
        </w:rPr>
        <w:t> </w:t>
      </w:r>
      <w:r w:rsidR="00A37D47">
        <w:rPr>
          <w:rFonts w:cs="Times New Roman"/>
        </w:rPr>
        <w:t>s</w:t>
      </w:r>
      <w:r w:rsidR="00DE0075">
        <w:rPr>
          <w:rFonts w:cs="Times New Roman"/>
        </w:rPr>
        <w:t xml:space="preserve">plnění svých povinností využívá další subjekt, který disponuje odbornými předpoklady pro řádné splnění konkrétní části </w:t>
      </w:r>
      <w:r w:rsidR="00765980">
        <w:rPr>
          <w:rFonts w:cs="Times New Roman"/>
        </w:rPr>
        <w:t xml:space="preserve">(či dokonce celku) </w:t>
      </w:r>
      <w:r w:rsidR="00DE0075">
        <w:rPr>
          <w:rFonts w:cs="Times New Roman"/>
        </w:rPr>
        <w:t xml:space="preserve">konečného </w:t>
      </w:r>
      <w:r w:rsidR="008D3149">
        <w:rPr>
          <w:rFonts w:cs="Times New Roman"/>
        </w:rPr>
        <w:t>předmětu plnění</w:t>
      </w:r>
      <w:r w:rsidR="00DE0075">
        <w:rPr>
          <w:rFonts w:cs="Times New Roman"/>
        </w:rPr>
        <w:t>. Takový subjekt</w:t>
      </w:r>
      <w:r w:rsidR="00820000">
        <w:rPr>
          <w:rFonts w:cs="Times New Roman"/>
        </w:rPr>
        <w:t xml:space="preserve"> označujeme jako subdodavatele.</w:t>
      </w:r>
    </w:p>
    <w:p w14:paraId="23941A7D" w14:textId="23A895D7" w:rsidR="00DE0075" w:rsidRDefault="00DE0075" w:rsidP="00DE0075">
      <w:pPr>
        <w:rPr>
          <w:rFonts w:cs="Times New Roman"/>
        </w:rPr>
      </w:pPr>
      <w:r>
        <w:rPr>
          <w:rFonts w:cs="Times New Roman"/>
        </w:rPr>
        <w:t xml:space="preserve">Využití subdodavatele přináší mnoho výhod. </w:t>
      </w:r>
      <w:r w:rsidR="00064469">
        <w:rPr>
          <w:rFonts w:cs="Times New Roman"/>
        </w:rPr>
        <w:t>Jeho prostřednictvím</w:t>
      </w:r>
      <w:r>
        <w:rPr>
          <w:rFonts w:cs="Times New Roman"/>
        </w:rPr>
        <w:t xml:space="preserve"> je zajištěn odborný výkon činnosti, na kterou se t</w:t>
      </w:r>
      <w:r w:rsidR="00064447">
        <w:rPr>
          <w:rFonts w:cs="Times New Roman"/>
        </w:rPr>
        <w:t>akový subdodavatel specializuje</w:t>
      </w:r>
      <w:r>
        <w:rPr>
          <w:rFonts w:cs="Times New Roman"/>
        </w:rPr>
        <w:t xml:space="preserve"> a která není p</w:t>
      </w:r>
      <w:r w:rsidR="003B3E0B">
        <w:rPr>
          <w:rFonts w:cs="Times New Roman"/>
        </w:rPr>
        <w:t>ředmětem činnosti dodavatele. V</w:t>
      </w:r>
      <w:r>
        <w:rPr>
          <w:rFonts w:cs="Times New Roman"/>
        </w:rPr>
        <w:t xml:space="preserve">yužití subdodavatele </w:t>
      </w:r>
      <w:r w:rsidR="003B3E0B">
        <w:rPr>
          <w:rFonts w:cs="Times New Roman"/>
        </w:rPr>
        <w:t xml:space="preserve">může být také </w:t>
      </w:r>
      <w:r>
        <w:rPr>
          <w:rFonts w:cs="Times New Roman"/>
        </w:rPr>
        <w:t xml:space="preserve">levnější a rychlejší. </w:t>
      </w:r>
    </w:p>
    <w:p w14:paraId="03C8FC2A" w14:textId="63DE7AC5" w:rsidR="00DE0075" w:rsidRDefault="001E7ED1" w:rsidP="00DE0075">
      <w:pPr>
        <w:rPr>
          <w:rFonts w:cs="Times New Roman"/>
        </w:rPr>
      </w:pPr>
      <w:r>
        <w:rPr>
          <w:rFonts w:cs="Times New Roman"/>
        </w:rPr>
        <w:t>V</w:t>
      </w:r>
      <w:r w:rsidR="00DE0075">
        <w:rPr>
          <w:rFonts w:cs="Times New Roman"/>
        </w:rPr>
        <w:t xml:space="preserve"> důsledku </w:t>
      </w:r>
      <w:r w:rsidR="0050079C">
        <w:rPr>
          <w:rFonts w:cs="Times New Roman"/>
        </w:rPr>
        <w:t xml:space="preserve">přítomnosti </w:t>
      </w:r>
      <w:r w:rsidR="00DE0075">
        <w:rPr>
          <w:rFonts w:cs="Times New Roman"/>
        </w:rPr>
        <w:t>subdodavatele při plnění vla</w:t>
      </w:r>
      <w:r w:rsidR="00922180">
        <w:rPr>
          <w:rFonts w:cs="Times New Roman"/>
        </w:rPr>
        <w:t xml:space="preserve">stních povinností </w:t>
      </w:r>
      <w:r>
        <w:rPr>
          <w:rFonts w:cs="Times New Roman"/>
        </w:rPr>
        <w:t xml:space="preserve">však </w:t>
      </w:r>
      <w:r w:rsidR="00526771">
        <w:rPr>
          <w:rFonts w:cs="Times New Roman"/>
        </w:rPr>
        <w:t xml:space="preserve">hlavní dodavatel </w:t>
      </w:r>
      <w:r>
        <w:rPr>
          <w:rFonts w:cs="Times New Roman"/>
        </w:rPr>
        <w:t xml:space="preserve">nese i </w:t>
      </w:r>
      <w:r w:rsidR="00526771">
        <w:rPr>
          <w:rFonts w:cs="Times New Roman"/>
        </w:rPr>
        <w:t xml:space="preserve">rizika spojená s </w:t>
      </w:r>
      <w:r w:rsidR="00DE0075">
        <w:rPr>
          <w:rFonts w:cs="Times New Roman"/>
        </w:rPr>
        <w:t>porušení</w:t>
      </w:r>
      <w:r w:rsidR="00526771">
        <w:rPr>
          <w:rFonts w:cs="Times New Roman"/>
        </w:rPr>
        <w:t>m</w:t>
      </w:r>
      <w:r w:rsidR="00DE0075">
        <w:rPr>
          <w:rFonts w:cs="Times New Roman"/>
        </w:rPr>
        <w:t xml:space="preserve"> subdodavatelových smluvních povinností. Subdodavatel např. nesplní svoji povinnost řádně, nebo včas, anebo poruší jinou povinnost vyplývající ze smlouvy,</w:t>
      </w:r>
      <w:r w:rsidR="000346A6">
        <w:rPr>
          <w:rFonts w:cs="Times New Roman"/>
        </w:rPr>
        <w:t xml:space="preserve"> což se může projevit i v hlavním vztahu</w:t>
      </w:r>
      <w:r w:rsidR="00AC3240">
        <w:rPr>
          <w:rFonts w:cs="Times New Roman"/>
        </w:rPr>
        <w:t xml:space="preserve"> dodavatele k odběrateli</w:t>
      </w:r>
      <w:r w:rsidR="00DE0075">
        <w:rPr>
          <w:rFonts w:cs="Times New Roman"/>
        </w:rPr>
        <w:t xml:space="preserve">. </w:t>
      </w:r>
    </w:p>
    <w:p w14:paraId="507E8710" w14:textId="7E71BDA9" w:rsidR="00DE0075" w:rsidRDefault="00DE0075" w:rsidP="00DE0075">
      <w:pPr>
        <w:rPr>
          <w:rFonts w:cs="Times New Roman"/>
        </w:rPr>
      </w:pPr>
      <w:r>
        <w:rPr>
          <w:rFonts w:cs="Times New Roman"/>
        </w:rPr>
        <w:t xml:space="preserve">Diplomová práce se zaměřuje </w:t>
      </w:r>
      <w:r w:rsidR="0015480D">
        <w:rPr>
          <w:rFonts w:cs="Times New Roman"/>
        </w:rPr>
        <w:t xml:space="preserve">na dodavatelsko-odběratelské vztahy jako takové a </w:t>
      </w:r>
      <w:r>
        <w:rPr>
          <w:rFonts w:cs="Times New Roman"/>
        </w:rPr>
        <w:t xml:space="preserve">na analýzu </w:t>
      </w:r>
      <w:r w:rsidR="00BB016F">
        <w:rPr>
          <w:rFonts w:cs="Times New Roman"/>
        </w:rPr>
        <w:t>vybraného způsobu</w:t>
      </w:r>
      <w:r w:rsidR="0015480D">
        <w:rPr>
          <w:rFonts w:cs="Times New Roman"/>
        </w:rPr>
        <w:t xml:space="preserve"> </w:t>
      </w:r>
      <w:r>
        <w:rPr>
          <w:rFonts w:cs="Times New Roman"/>
        </w:rPr>
        <w:t xml:space="preserve">porušení smlouvy </w:t>
      </w:r>
      <w:r w:rsidR="0015480D">
        <w:rPr>
          <w:rFonts w:cs="Times New Roman"/>
        </w:rPr>
        <w:t xml:space="preserve">a </w:t>
      </w:r>
      <w:r w:rsidR="00BB016F">
        <w:rPr>
          <w:rFonts w:cs="Times New Roman"/>
        </w:rPr>
        <w:t xml:space="preserve">jeho </w:t>
      </w:r>
      <w:r w:rsidR="0015480D">
        <w:rPr>
          <w:rFonts w:cs="Times New Roman"/>
        </w:rPr>
        <w:t>právních následků</w:t>
      </w:r>
      <w:r>
        <w:rPr>
          <w:rFonts w:cs="Times New Roman"/>
        </w:rPr>
        <w:t xml:space="preserve"> </w:t>
      </w:r>
      <w:r w:rsidR="0015480D">
        <w:rPr>
          <w:rFonts w:cs="Times New Roman"/>
        </w:rPr>
        <w:t>ve vícestupňových dodavatelsko-odběratelských vztazích</w:t>
      </w:r>
      <w:r>
        <w:rPr>
          <w:rFonts w:cs="Times New Roman"/>
        </w:rPr>
        <w:t xml:space="preserve">. </w:t>
      </w:r>
    </w:p>
    <w:p w14:paraId="2110464F" w14:textId="48EA8F78" w:rsidR="00DE0075" w:rsidRPr="0015480D" w:rsidRDefault="0015480D" w:rsidP="00DE0075">
      <w:r w:rsidRPr="0015480D">
        <w:rPr>
          <w:rFonts w:cs="Times New Roman"/>
        </w:rPr>
        <w:t>C</w:t>
      </w:r>
      <w:r w:rsidR="00DE0075" w:rsidRPr="0015480D">
        <w:rPr>
          <w:rFonts w:cs="Times New Roman"/>
        </w:rPr>
        <w:t>íle diplomové práce</w:t>
      </w:r>
      <w:r w:rsidRPr="0015480D">
        <w:rPr>
          <w:rFonts w:cs="Times New Roman"/>
        </w:rPr>
        <w:t xml:space="preserve"> jsou</w:t>
      </w:r>
      <w:r w:rsidR="00DE0075" w:rsidRPr="0015480D">
        <w:rPr>
          <w:rFonts w:cs="Times New Roman"/>
        </w:rPr>
        <w:t xml:space="preserve">: </w:t>
      </w:r>
    </w:p>
    <w:p w14:paraId="086601D8" w14:textId="526F241A" w:rsidR="00DE0075" w:rsidRPr="00A80417" w:rsidRDefault="00DE0075" w:rsidP="00DE0075">
      <w:pPr>
        <w:pStyle w:val="ListParagraph"/>
        <w:numPr>
          <w:ilvl w:val="0"/>
          <w:numId w:val="21"/>
        </w:numPr>
      </w:pPr>
      <w:r w:rsidRPr="00A80417">
        <w:t>Vymezit soukromoprávní obchodn</w:t>
      </w:r>
      <w:r w:rsidR="00C00587">
        <w:t xml:space="preserve">í vícestupňové </w:t>
      </w:r>
      <w:r w:rsidR="00A033FD">
        <w:t>dodavatelsko</w:t>
      </w:r>
      <w:r w:rsidR="00A033FD">
        <w:noBreakHyphen/>
      </w:r>
      <w:r w:rsidR="00C00587">
        <w:t>odběratelské vztahy</w:t>
      </w:r>
      <w:r w:rsidR="00E144C6">
        <w:t xml:space="preserve"> a klasifikovat je </w:t>
      </w:r>
      <w:r w:rsidR="00A033FD">
        <w:t>dle vybraných hledisek.</w:t>
      </w:r>
      <w:r>
        <w:t xml:space="preserve"> Analyzovat</w:t>
      </w:r>
      <w:r w:rsidR="009C636B">
        <w:t xml:space="preserve"> možné</w:t>
      </w:r>
      <w:r w:rsidR="0015480D">
        <w:t xml:space="preserve"> konstrukce</w:t>
      </w:r>
      <w:r w:rsidR="00A033FD">
        <w:t xml:space="preserve"> vícestupňových dodavatelsko</w:t>
      </w:r>
      <w:r w:rsidR="00A033FD">
        <w:noBreakHyphen/>
      </w:r>
      <w:r>
        <w:t>odběratelských vztahů.</w:t>
      </w:r>
      <w:r w:rsidR="00A033FD">
        <w:t xml:space="preserve"> Nastínit zvláštnosti některých dodavatelsko</w:t>
      </w:r>
      <w:r w:rsidR="00A033FD">
        <w:noBreakHyphen/>
        <w:t>odběratelských vztahů.</w:t>
      </w:r>
    </w:p>
    <w:p w14:paraId="4C617756" w14:textId="19EA3BD9" w:rsidR="00DE0075" w:rsidRPr="00A80417" w:rsidRDefault="00950D7E" w:rsidP="00DE0075">
      <w:pPr>
        <w:pStyle w:val="ListParagraph"/>
        <w:numPr>
          <w:ilvl w:val="0"/>
          <w:numId w:val="21"/>
        </w:numPr>
      </w:pPr>
      <w:r>
        <w:t>Obecně v</w:t>
      </w:r>
      <w:r w:rsidR="00DE0075" w:rsidRPr="00A80417">
        <w:t>ymezit způsoby poruš</w:t>
      </w:r>
      <w:r w:rsidR="00A033FD">
        <w:t>ení smlouvy</w:t>
      </w:r>
      <w:r>
        <w:t xml:space="preserve"> a b</w:t>
      </w:r>
      <w:r w:rsidR="00490336">
        <w:t>líže analyzovat</w:t>
      </w:r>
      <w:r w:rsidR="00A033FD">
        <w:t xml:space="preserve"> vadné splnění v právní úpravě zákona č. 89/2012 Sb., občanský zákoník (dále jen „ObčZ“). Zhodnotit úpravu vadného splnění v rámci stavebních děl v ObčZ. Analyzovat úpravu vadného splnění ve smluvních podmínkách FIDIC a komparovat s českou právní úpravou. </w:t>
      </w:r>
    </w:p>
    <w:p w14:paraId="522BFD1A" w14:textId="50207E70" w:rsidR="00DE0075" w:rsidRDefault="00A033FD" w:rsidP="00DE0075">
      <w:pPr>
        <w:pStyle w:val="ListParagraph"/>
        <w:numPr>
          <w:ilvl w:val="0"/>
          <w:numId w:val="21"/>
        </w:numPr>
      </w:pPr>
      <w:r>
        <w:t xml:space="preserve">Analyzovat </w:t>
      </w:r>
      <w:r w:rsidR="00490336">
        <w:t xml:space="preserve">právní následky </w:t>
      </w:r>
      <w:r>
        <w:t>vadného splnění</w:t>
      </w:r>
      <w:r w:rsidR="00DE0075" w:rsidRPr="00A80417">
        <w:t xml:space="preserve"> </w:t>
      </w:r>
      <w:r>
        <w:t>ve vícestupňových dodavatelsko</w:t>
      </w:r>
      <w:r>
        <w:noBreakHyphen/>
      </w:r>
      <w:r w:rsidR="00DE0075" w:rsidRPr="00A80417">
        <w:t>odběratelských vztazích.</w:t>
      </w:r>
      <w:r w:rsidR="00046B45">
        <w:t xml:space="preserve"> </w:t>
      </w:r>
      <w:r w:rsidR="00950D7E">
        <w:t>N</w:t>
      </w:r>
      <w:r>
        <w:t>astínit další problematické okruhy v souvislosti s právními následky vadného splnění</w:t>
      </w:r>
      <w:r w:rsidR="00950D7E">
        <w:t xml:space="preserve"> v těchto vztazích</w:t>
      </w:r>
      <w:r>
        <w:t xml:space="preserve">. </w:t>
      </w:r>
    </w:p>
    <w:p w14:paraId="7C99A6A2" w14:textId="2D539504" w:rsidR="00DE0075" w:rsidRDefault="00DE0075" w:rsidP="00DE0075">
      <w:r>
        <w:t>Hlavním cí</w:t>
      </w:r>
      <w:r w:rsidR="00490336">
        <w:t xml:space="preserve">lem diplomové práce </w:t>
      </w:r>
      <w:r>
        <w:t>je</w:t>
      </w:r>
      <w:r w:rsidR="00490336">
        <w:t xml:space="preserve"> analyzovat českou</w:t>
      </w:r>
      <w:r>
        <w:t xml:space="preserve"> právní úpravu dané problematiky</w:t>
      </w:r>
      <w:r w:rsidR="00490336">
        <w:t xml:space="preserve"> a tuto komparovat s příslušnými mezinárodními vzorovými smluvními podmínkami</w:t>
      </w:r>
      <w:r w:rsidR="00A033FD">
        <w:t xml:space="preserve"> FIDIC</w:t>
      </w:r>
      <w:r>
        <w:t>,</w:t>
      </w:r>
      <w:r w:rsidR="00490336">
        <w:t xml:space="preserve"> </w:t>
      </w:r>
      <w:r>
        <w:t xml:space="preserve"> </w:t>
      </w:r>
      <w:r>
        <w:lastRenderedPageBreak/>
        <w:t xml:space="preserve">doporučit konkrétní smluvní opatření pro jednotlivé subjekty a navrhnout řešení </w:t>
      </w:r>
      <w:r w:rsidRPr="009B1F31">
        <w:rPr>
          <w:i/>
        </w:rPr>
        <w:t>de lege ferenda</w:t>
      </w:r>
      <w:r>
        <w:t>.</w:t>
      </w:r>
    </w:p>
    <w:p w14:paraId="2D9A8D0A" w14:textId="77777777" w:rsidR="00DE0075" w:rsidRPr="00EE763D" w:rsidRDefault="00DE0075" w:rsidP="00DE0075">
      <w:r>
        <w:t xml:space="preserve">K dosažení stanovených cílů budou ověřovány následující </w:t>
      </w:r>
      <w:r w:rsidRPr="00EE763D">
        <w:t>hypotézy:</w:t>
      </w:r>
    </w:p>
    <w:p w14:paraId="1D217999" w14:textId="74B6F9A0" w:rsidR="00DE0075" w:rsidRPr="00A80417" w:rsidRDefault="00DE0075" w:rsidP="00DE0075">
      <w:pPr>
        <w:pStyle w:val="ListParagraph"/>
        <w:numPr>
          <w:ilvl w:val="0"/>
          <w:numId w:val="22"/>
        </w:numPr>
      </w:pPr>
      <w:r w:rsidRPr="00A80417">
        <w:t>Právní úprava soukromoprávních obchodních dodav</w:t>
      </w:r>
      <w:r w:rsidR="0057476F">
        <w:t>atelsko-odběratelských vztahů je</w:t>
      </w:r>
      <w:r w:rsidRPr="00A80417">
        <w:t xml:space="preserve"> dostatečná.</w:t>
      </w:r>
      <w:r w:rsidR="00A033FD">
        <w:t xml:space="preserve"> </w:t>
      </w:r>
      <w:r w:rsidR="00C862FF">
        <w:t xml:space="preserve">Zvláštnosti co do </w:t>
      </w:r>
      <w:r w:rsidR="0017152F">
        <w:t>uspořádání vztahů a stanovení smluvních podmínek přináší</w:t>
      </w:r>
      <w:r w:rsidR="00F12580">
        <w:t xml:space="preserve"> oblast týkající se stavebních děl</w:t>
      </w:r>
      <w:r w:rsidR="0017152F">
        <w:t xml:space="preserve">. </w:t>
      </w:r>
    </w:p>
    <w:p w14:paraId="2842A891" w14:textId="0295AFAE" w:rsidR="00DE0075" w:rsidRPr="00A80417" w:rsidRDefault="0057476F" w:rsidP="00DE0075">
      <w:pPr>
        <w:pStyle w:val="ListParagraph"/>
        <w:numPr>
          <w:ilvl w:val="0"/>
          <w:numId w:val="22"/>
        </w:numPr>
      </w:pPr>
      <w:r>
        <w:t>Vadné splnění jako vybraný způsob porušení smlouvy je v ObčZ pro účely</w:t>
      </w:r>
      <w:r w:rsidR="00A033FD">
        <w:t xml:space="preserve"> </w:t>
      </w:r>
      <w:r w:rsidR="00196CEF">
        <w:t xml:space="preserve">vícestupňových </w:t>
      </w:r>
      <w:r w:rsidR="00A033FD">
        <w:t>dodavatelsko</w:t>
      </w:r>
      <w:r w:rsidR="00A033FD">
        <w:noBreakHyphen/>
      </w:r>
      <w:r>
        <w:t xml:space="preserve">odběratelských vztahů nedostatečně upraveno. </w:t>
      </w:r>
      <w:r w:rsidR="00A033FD">
        <w:t xml:space="preserve">Úprava vadného splnění v rámci stavebních děl v ObčZ </w:t>
      </w:r>
      <w:r w:rsidR="00E92E24">
        <w:t>značí určitý pokrok</w:t>
      </w:r>
      <w:r w:rsidR="00FD26F6">
        <w:t xml:space="preserve">, avšak zároveň </w:t>
      </w:r>
      <w:r w:rsidR="00A033FD">
        <w:t xml:space="preserve">je </w:t>
      </w:r>
      <w:r w:rsidR="00FD26F6">
        <w:t xml:space="preserve">značně </w:t>
      </w:r>
      <w:r w:rsidR="009730F7">
        <w:t xml:space="preserve">problematická. Smluvní podmínky FIDIC </w:t>
      </w:r>
      <w:r w:rsidR="00E92E24">
        <w:t>reagují na potřeby vícestupňových dodavatelsko-odběratelských vztahů lépe než ObčZ.</w:t>
      </w:r>
    </w:p>
    <w:p w14:paraId="20498F2E" w14:textId="215FAF97" w:rsidR="00DE0075" w:rsidRDefault="009730F7" w:rsidP="00DE0075">
      <w:pPr>
        <w:pStyle w:val="ListParagraph"/>
        <w:numPr>
          <w:ilvl w:val="0"/>
          <w:numId w:val="22"/>
        </w:numPr>
      </w:pPr>
      <w:r>
        <w:t xml:space="preserve">Právní následky vadného splnění lze dělit na obecné a zvláštní. </w:t>
      </w:r>
      <w:r w:rsidR="00E92E24">
        <w:t xml:space="preserve">Zvláštní právní následky </w:t>
      </w:r>
      <w:r w:rsidR="00683505">
        <w:t>v</w:t>
      </w:r>
      <w:r w:rsidR="00921D91">
        <w:t> </w:t>
      </w:r>
      <w:r w:rsidR="00683505">
        <w:t>ObčZ</w:t>
      </w:r>
      <w:r w:rsidR="00921D91">
        <w:t xml:space="preserve"> odpovídají zvláštním právním následkům vadného splnění ve smluvních podmínkách FIDIC.</w:t>
      </w:r>
      <w:r w:rsidR="00E876C4">
        <w:t xml:space="preserve"> </w:t>
      </w:r>
    </w:p>
    <w:p w14:paraId="41069CA5" w14:textId="09DDD181" w:rsidR="00DE0075" w:rsidRDefault="00DE0075" w:rsidP="00DE0075">
      <w:r>
        <w:t>K ověření hypotéz poslouží několikeré výzkumné metody (zejména metoda analýzy, dedukce a</w:t>
      </w:r>
      <w:r w:rsidR="003C5118">
        <w:t xml:space="preserve"> komparativní</w:t>
      </w:r>
      <w:r>
        <w:t>), jakož i metody výkladu (zejména jazykový a teleologický</w:t>
      </w:r>
      <w:r w:rsidR="005B6A2D">
        <w:t xml:space="preserve"> výklad</w:t>
      </w:r>
      <w:r>
        <w:t>).</w:t>
      </w:r>
    </w:p>
    <w:p w14:paraId="35B443FA" w14:textId="22638F65" w:rsidR="00DE0075" w:rsidRDefault="00DE0075" w:rsidP="00DE0075">
      <w:pPr>
        <w:rPr>
          <w:rFonts w:cs="Times New Roman"/>
        </w:rPr>
      </w:pPr>
      <w:r>
        <w:t xml:space="preserve">Důvodem výběru daného tématu je aktuálnost problematiky smluvních povinností, jejich správného ošetření ve smlouvě a právních následků jejich porušení. </w:t>
      </w:r>
      <w:r>
        <w:rPr>
          <w:rFonts w:cs="Times New Roman"/>
        </w:rPr>
        <w:t>Vícestupňové dodavatelsko-odběratelské</w:t>
      </w:r>
      <w:r w:rsidRPr="00567FAB">
        <w:rPr>
          <w:rFonts w:cs="Times New Roman"/>
        </w:rPr>
        <w:t xml:space="preserve"> vztahy vznikají prakticky ve vš</w:t>
      </w:r>
      <w:r w:rsidR="003C5118">
        <w:rPr>
          <w:rFonts w:cs="Times New Roman"/>
        </w:rPr>
        <w:t>ech oblastech obchodní činnosti</w:t>
      </w:r>
      <w:r w:rsidRPr="00567FAB">
        <w:rPr>
          <w:rFonts w:cs="Times New Roman"/>
        </w:rPr>
        <w:t xml:space="preserve">. Ačkoliv jsou tyto vztahy v obchodní praxi zcela běžné, není jim podle mého názoru ve srovnání se zahraničím v tuzemské právní </w:t>
      </w:r>
      <w:r>
        <w:rPr>
          <w:rFonts w:cs="Times New Roman"/>
        </w:rPr>
        <w:t xml:space="preserve">úpravě </w:t>
      </w:r>
      <w:r w:rsidRPr="00567FAB">
        <w:rPr>
          <w:rFonts w:cs="Times New Roman"/>
        </w:rPr>
        <w:t xml:space="preserve">věnovaná dostatečná pozornost. </w:t>
      </w:r>
    </w:p>
    <w:p w14:paraId="2ADDCB29" w14:textId="18CA7B5D" w:rsidR="005F592B" w:rsidRPr="00567FAB" w:rsidRDefault="00DE0075" w:rsidP="00DE0075">
      <w:pPr>
        <w:rPr>
          <w:rFonts w:cs="Times New Roman"/>
        </w:rPr>
      </w:pPr>
      <w:r>
        <w:t>Pozitivem využití subdodavatele je zajištění plnění subjektem, který má k tomu odborné předpoklady, a snížení nákladů. Dodavatel na sebe však také přebírá určité riziko spočívající v možném porušení subdodavatelových povinností a v těchto případech je řešení nutno hledat primárně ve smlouvě. Nepočítá-li smlouva s takovými případy nebo je-li řešení v ní uvedené nedostatečné, může být využití subdodavatele naopak spojeno s nepřiměřeně vysokými náklady, ať už v důsledku aplikace</w:t>
      </w:r>
      <w:r w:rsidR="00B90876">
        <w:t xml:space="preserve"> podpůrných</w:t>
      </w:r>
      <w:r>
        <w:t xml:space="preserve"> ustanovení zákona, nebo v důsledku vedení nákladného sporu se</w:t>
      </w:r>
      <w:r w:rsidR="00B6203D">
        <w:t xml:space="preserve"> subdodavatelem či odběratelem.</w:t>
      </w:r>
    </w:p>
    <w:p w14:paraId="19C7B100" w14:textId="77777777" w:rsidR="00FF69A9" w:rsidRPr="00567FAB" w:rsidRDefault="00FF69A9">
      <w:pPr>
        <w:spacing w:line="240" w:lineRule="auto"/>
        <w:ind w:firstLine="0"/>
        <w:jc w:val="left"/>
        <w:rPr>
          <w:rFonts w:cs="Times New Roman"/>
        </w:rPr>
      </w:pPr>
      <w:r w:rsidRPr="00567FAB">
        <w:rPr>
          <w:rFonts w:cs="Times New Roman"/>
        </w:rPr>
        <w:br w:type="page"/>
      </w:r>
    </w:p>
    <w:p w14:paraId="77F0FED6" w14:textId="77777777" w:rsidR="00D514B6" w:rsidRPr="00567FAB" w:rsidRDefault="00D514B6" w:rsidP="00D514B6">
      <w:pPr>
        <w:pStyle w:val="Heading1"/>
      </w:pPr>
      <w:bookmarkStart w:id="9" w:name="_Toc442203389"/>
      <w:bookmarkStart w:id="10" w:name="_Toc442203466"/>
      <w:bookmarkStart w:id="11" w:name="_Toc460832666"/>
      <w:r w:rsidRPr="00567FAB">
        <w:lastRenderedPageBreak/>
        <w:t>Dodavatelsko-odběratelské vztahy</w:t>
      </w:r>
      <w:bookmarkEnd w:id="9"/>
      <w:bookmarkEnd w:id="10"/>
      <w:bookmarkEnd w:id="11"/>
    </w:p>
    <w:p w14:paraId="3C22B400" w14:textId="62D073A7" w:rsidR="00D514B6" w:rsidRPr="00567FAB" w:rsidRDefault="00D514B6" w:rsidP="00D514B6">
      <w:r w:rsidRPr="00567FAB">
        <w:t>Pod dodavatelsko-odběratelskými vztahy si lze představit</w:t>
      </w:r>
      <w:r>
        <w:t xml:space="preserve"> mnoho rozličných vztahů</w:t>
      </w:r>
      <w:r w:rsidRPr="00567FAB">
        <w:t>.</w:t>
      </w:r>
      <w:r>
        <w:t xml:space="preserve"> V této části se pokusím co nejvíce popsat a definovat obchodní dodavatelsko-odběratelské vztahy, přičemž hlavní</w:t>
      </w:r>
      <w:r w:rsidR="001A0F12">
        <w:t>m cílem je zjistit</w:t>
      </w:r>
      <w:r w:rsidR="00473158">
        <w:t>, j</w:t>
      </w:r>
      <w:r>
        <w:t>ak platná právní úprava upravuje obchodní závazky</w:t>
      </w:r>
      <w:r w:rsidR="00473158">
        <w:t>, s</w:t>
      </w:r>
      <w:r>
        <w:t xml:space="preserve"> jakými </w:t>
      </w:r>
      <w:r w:rsidRPr="00020CE7">
        <w:t>druhy</w:t>
      </w:r>
      <w:r w:rsidR="00020CE7" w:rsidRPr="00020CE7">
        <w:t xml:space="preserve">, </w:t>
      </w:r>
      <w:r w:rsidRPr="00020CE7">
        <w:t>typy</w:t>
      </w:r>
      <w:r>
        <w:t xml:space="preserve"> </w:t>
      </w:r>
      <w:r w:rsidR="00020CE7">
        <w:t xml:space="preserve">a stupni </w:t>
      </w:r>
      <w:r>
        <w:t>se můžeme v prax</w:t>
      </w:r>
      <w:r w:rsidR="00473158">
        <w:t>i setkat a zda e</w:t>
      </w:r>
      <w:r>
        <w:t>xistují v některých</w:t>
      </w:r>
      <w:r w:rsidR="00B03AEF">
        <w:t xml:space="preserve"> oblastech obchodní praxe nějaké zvláštnosti</w:t>
      </w:r>
      <w:r w:rsidR="00473158">
        <w:t xml:space="preserve">. </w:t>
      </w:r>
      <w:r>
        <w:t>Následovat bude vy</w:t>
      </w:r>
      <w:r w:rsidR="00DC7135">
        <w:t>mezení konkrétního dodavatelsko</w:t>
      </w:r>
      <w:r w:rsidR="00DC7135">
        <w:noBreakHyphen/>
      </w:r>
      <w:r>
        <w:t>odběratelského vztahu pro účely této práce</w:t>
      </w:r>
      <w:r w:rsidR="00B03AEF">
        <w:t>.</w:t>
      </w:r>
      <w:r>
        <w:t xml:space="preserve"> </w:t>
      </w:r>
    </w:p>
    <w:p w14:paraId="1A6034ED" w14:textId="4DD71B47" w:rsidR="00D514B6" w:rsidRDefault="00D514B6" w:rsidP="00DC0F46">
      <w:pPr>
        <w:pStyle w:val="Heading2"/>
      </w:pPr>
      <w:bookmarkStart w:id="12" w:name="_Toc460832667"/>
      <w:r>
        <w:t>Obchodní závazky</w:t>
      </w:r>
      <w:bookmarkEnd w:id="12"/>
    </w:p>
    <w:p w14:paraId="2CBA9CB2" w14:textId="5611F0E4" w:rsidR="00D514B6" w:rsidRDefault="005B0CDC" w:rsidP="00A323F2">
      <w:pPr>
        <w:rPr>
          <w:rFonts w:cs="Times New Roman"/>
        </w:rPr>
      </w:pPr>
      <w:r>
        <w:rPr>
          <w:rFonts w:cs="Times New Roman"/>
        </w:rPr>
        <w:t>ObčZ řadí z</w:t>
      </w:r>
      <w:r w:rsidR="00D514B6" w:rsidRPr="00564BE4">
        <w:rPr>
          <w:rFonts w:cs="Times New Roman"/>
        </w:rPr>
        <w:t xml:space="preserve">ávazky do části čtvrté </w:t>
      </w:r>
      <w:r w:rsidR="007A2645">
        <w:rPr>
          <w:rFonts w:cs="Times New Roman"/>
        </w:rPr>
        <w:t>upravující</w:t>
      </w:r>
      <w:r w:rsidR="00D514B6" w:rsidRPr="00564BE4">
        <w:rPr>
          <w:rFonts w:cs="Times New Roman"/>
        </w:rPr>
        <w:t xml:space="preserve"> relativní majetková práva. </w:t>
      </w:r>
      <w:r w:rsidR="00D514B6">
        <w:rPr>
          <w:rFonts w:cs="Times New Roman"/>
        </w:rPr>
        <w:t>Předchozí právní úprava</w:t>
      </w:r>
      <w:r w:rsidR="004A0E53">
        <w:rPr>
          <w:rFonts w:cs="Times New Roman"/>
        </w:rPr>
        <w:t xml:space="preserve"> zavedla dvoukolejnost závazků a </w:t>
      </w:r>
      <w:r w:rsidR="00D514B6">
        <w:rPr>
          <w:rFonts w:cs="Times New Roman"/>
        </w:rPr>
        <w:t>výslovně upravovala obchodní závazky jako okruh určitých specifických</w:t>
      </w:r>
      <w:r w:rsidR="001A0F12">
        <w:rPr>
          <w:rFonts w:cs="Times New Roman"/>
        </w:rPr>
        <w:t xml:space="preserve"> </w:t>
      </w:r>
      <w:r w:rsidR="008260BB">
        <w:rPr>
          <w:rFonts w:cs="Times New Roman"/>
        </w:rPr>
        <w:t>vztahů</w:t>
      </w:r>
      <w:r w:rsidR="002716CB">
        <w:rPr>
          <w:rFonts w:cs="Times New Roman"/>
        </w:rPr>
        <w:t>. ObčZ sjednocuje</w:t>
      </w:r>
      <w:r w:rsidR="00D514B6">
        <w:rPr>
          <w:rFonts w:cs="Times New Roman"/>
        </w:rPr>
        <w:t xml:space="preserve"> právní úpravu </w:t>
      </w:r>
      <w:r w:rsidR="00BB2C64">
        <w:rPr>
          <w:rFonts w:cs="Times New Roman"/>
        </w:rPr>
        <w:t xml:space="preserve">závazků do jednoho pramene </w:t>
      </w:r>
      <w:r w:rsidR="00D514B6">
        <w:rPr>
          <w:rFonts w:cs="Times New Roman"/>
        </w:rPr>
        <w:t xml:space="preserve">a </w:t>
      </w:r>
      <w:r w:rsidR="0082645C">
        <w:rPr>
          <w:rFonts w:cs="Times New Roman"/>
        </w:rPr>
        <w:t xml:space="preserve">obchodní závazky </w:t>
      </w:r>
      <w:r w:rsidR="00E20BEA">
        <w:rPr>
          <w:rFonts w:cs="Times New Roman"/>
        </w:rPr>
        <w:t>pojmově</w:t>
      </w:r>
      <w:r w:rsidR="0082645C">
        <w:rPr>
          <w:rFonts w:cs="Times New Roman"/>
        </w:rPr>
        <w:t xml:space="preserve"> neupravuje</w:t>
      </w:r>
      <w:r w:rsidR="001A0F12">
        <w:rPr>
          <w:rFonts w:cs="Times New Roman"/>
        </w:rPr>
        <w:t>, m</w:t>
      </w:r>
      <w:r w:rsidR="00D514B6">
        <w:rPr>
          <w:rFonts w:cs="Times New Roman"/>
        </w:rPr>
        <w:t xml:space="preserve">oderní právní teorie však i dnes obchodní závazky jako určitý okruh specifických závazků vyčleňuje. </w:t>
      </w:r>
      <w:r w:rsidR="00C11986">
        <w:rPr>
          <w:rFonts w:cs="Times New Roman"/>
        </w:rPr>
        <w:t>Obchodní závazkové právo chápe jako „</w:t>
      </w:r>
      <w:r w:rsidR="00C11986" w:rsidRPr="00C11986">
        <w:rPr>
          <w:rFonts w:cs="Times New Roman"/>
          <w:i/>
        </w:rPr>
        <w:t xml:space="preserve">formálně kodifikovaný systém výjimek z obecného závazkového práva občanského buď pro vztahy s povinnou účastí podnikatele, nebo pro obligace </w:t>
      </w:r>
      <w:r w:rsidR="00C11986" w:rsidRPr="00C11986">
        <w:rPr>
          <w:rFonts w:cs="Times New Roman"/>
        </w:rPr>
        <w:t>[...]</w:t>
      </w:r>
      <w:r w:rsidR="00C11986" w:rsidRPr="00C11986">
        <w:rPr>
          <w:rFonts w:cs="Times New Roman"/>
          <w:i/>
        </w:rPr>
        <w:t xml:space="preserve"> v souvislosti s podnikáním</w:t>
      </w:r>
      <w:r w:rsidR="00C11986">
        <w:rPr>
          <w:rFonts w:cs="Times New Roman"/>
        </w:rPr>
        <w:t>“</w:t>
      </w:r>
      <w:r w:rsidR="00E20BEA">
        <w:rPr>
          <w:rStyle w:val="FootnoteReference"/>
          <w:rFonts w:cs="Times New Roman"/>
        </w:rPr>
        <w:footnoteReference w:id="1"/>
      </w:r>
      <w:r w:rsidR="00C11986">
        <w:rPr>
          <w:rFonts w:cs="Times New Roman"/>
        </w:rPr>
        <w:t xml:space="preserve">. </w:t>
      </w:r>
      <w:r w:rsidR="00FD1C44">
        <w:rPr>
          <w:rFonts w:cs="Times New Roman"/>
        </w:rPr>
        <w:t>Tyto v</w:t>
      </w:r>
      <w:r w:rsidR="00AA06F5">
        <w:rPr>
          <w:rFonts w:cs="Times New Roman"/>
        </w:rPr>
        <w:t>ýjimky pak zákon stanoví buď t</w:t>
      </w:r>
      <w:r w:rsidR="00B409A6">
        <w:rPr>
          <w:rFonts w:cs="Times New Roman"/>
        </w:rPr>
        <w:t>ak, že pro podnikatele zavádí zvláštní možnosti (</w:t>
      </w:r>
      <w:r w:rsidR="00683A20">
        <w:rPr>
          <w:rFonts w:cs="Times New Roman"/>
        </w:rPr>
        <w:t>např. </w:t>
      </w:r>
      <w:r w:rsidR="00B409A6">
        <w:rPr>
          <w:rFonts w:cs="Times New Roman"/>
        </w:rPr>
        <w:t>§</w:t>
      </w:r>
      <w:r w:rsidR="00683A20">
        <w:rPr>
          <w:rFonts w:cs="Times New Roman"/>
        </w:rPr>
        <w:t> </w:t>
      </w:r>
      <w:r w:rsidR="00B409A6">
        <w:rPr>
          <w:rFonts w:cs="Times New Roman"/>
        </w:rPr>
        <w:t>1751 odst. 3 ObčZ), nebo aplikaci určitého obecného pravidla pro podnikatele zapovídá (</w:t>
      </w:r>
      <w:r w:rsidR="00683A20">
        <w:rPr>
          <w:rFonts w:cs="Times New Roman"/>
        </w:rPr>
        <w:t>např. </w:t>
      </w:r>
      <w:r w:rsidR="00B409A6">
        <w:rPr>
          <w:rFonts w:cs="Times New Roman"/>
        </w:rPr>
        <w:t xml:space="preserve">§ 1797 ObčZ). </w:t>
      </w:r>
    </w:p>
    <w:p w14:paraId="0E1A20D3" w14:textId="35096298" w:rsidR="00D514B6" w:rsidRPr="009970DF" w:rsidRDefault="00832A49" w:rsidP="00D514B6">
      <w:pPr>
        <w:rPr>
          <w:rFonts w:cs="Times New Roman"/>
        </w:rPr>
      </w:pPr>
      <w:r>
        <w:rPr>
          <w:rFonts w:cs="Times New Roman"/>
        </w:rPr>
        <w:t xml:space="preserve">V souvislosti s pojmem obchodní závazky </w:t>
      </w:r>
      <w:r w:rsidR="00653C1D">
        <w:rPr>
          <w:rFonts w:cs="Times New Roman"/>
        </w:rPr>
        <w:t xml:space="preserve">se </w:t>
      </w:r>
      <w:r>
        <w:rPr>
          <w:rFonts w:cs="Times New Roman"/>
        </w:rPr>
        <w:t xml:space="preserve">setkáváme </w:t>
      </w:r>
      <w:r w:rsidR="00E7148E">
        <w:rPr>
          <w:rFonts w:cs="Times New Roman"/>
        </w:rPr>
        <w:t xml:space="preserve">dále </w:t>
      </w:r>
      <w:r w:rsidR="00653C1D">
        <w:rPr>
          <w:rFonts w:cs="Times New Roman"/>
        </w:rPr>
        <w:t>s</w:t>
      </w:r>
      <w:r w:rsidR="00D514B6">
        <w:rPr>
          <w:rFonts w:cs="Times New Roman"/>
        </w:rPr>
        <w:t xml:space="preserve"> pojmy </w:t>
      </w:r>
      <w:r w:rsidR="00D514B6" w:rsidRPr="003A379E">
        <w:rPr>
          <w:rFonts w:cs="Times New Roman"/>
          <w:lang w:val="en-GB"/>
        </w:rPr>
        <w:t>business-to-business contracts (B2B), business-to-consumer contracts (B2C) a business-to-government contracts (B2G).</w:t>
      </w:r>
      <w:r w:rsidR="00D514B6">
        <w:rPr>
          <w:rFonts w:cs="Times New Roman"/>
        </w:rPr>
        <w:t xml:space="preserve"> B2B vztahy vznikají mezi podnikateli navzájem, přičemž po</w:t>
      </w:r>
      <w:r w:rsidR="0021564A">
        <w:rPr>
          <w:rFonts w:cs="Times New Roman"/>
        </w:rPr>
        <w:t>jmovým</w:t>
      </w:r>
      <w:r w:rsidR="00D514B6">
        <w:rPr>
          <w:rFonts w:cs="Times New Roman"/>
        </w:rPr>
        <w:t xml:space="preserve"> znakem zde je, že tento vztah vzniká v souvislosti s jejich podnikatelskou činností, tedy je možno tyto vztahy označit jako tzv. oboustranné obchody</w:t>
      </w:r>
      <w:r w:rsidR="00D514B6">
        <w:rPr>
          <w:rStyle w:val="FootnoteReference"/>
          <w:rFonts w:cs="Times New Roman"/>
        </w:rPr>
        <w:footnoteReference w:id="2"/>
      </w:r>
      <w:r w:rsidR="00D514B6">
        <w:rPr>
          <w:rFonts w:cs="Times New Roman"/>
        </w:rPr>
        <w:t>. B2C vztahy jsou jednostranné obchody, v nichž vystupuje podnikatel na jedné straně a spotřebitel na druhé straně</w:t>
      </w:r>
      <w:r w:rsidR="00D514B6">
        <w:rPr>
          <w:rStyle w:val="FootnoteReference"/>
          <w:rFonts w:cs="Times New Roman"/>
        </w:rPr>
        <w:footnoteReference w:id="3"/>
      </w:r>
      <w:r w:rsidR="00D514B6">
        <w:rPr>
          <w:rFonts w:cs="Times New Roman"/>
        </w:rPr>
        <w:t>. Konečně B2G označuje vztah podnikatele a státu, resp. veřejnoprávní korporace či svazu.</w:t>
      </w:r>
      <w:r w:rsidR="00D514B6">
        <w:rPr>
          <w:rStyle w:val="FootnoteReference"/>
          <w:rFonts w:cs="Times New Roman"/>
        </w:rPr>
        <w:footnoteReference w:id="4"/>
      </w:r>
    </w:p>
    <w:p w14:paraId="4A04D2F6" w14:textId="1AE33744" w:rsidR="00D514B6" w:rsidRDefault="00D514B6" w:rsidP="00DC0F46">
      <w:pPr>
        <w:pStyle w:val="Heading2"/>
      </w:pPr>
      <w:bookmarkStart w:id="13" w:name="_Toc460832668"/>
      <w:bookmarkStart w:id="14" w:name="_Toc442203392"/>
      <w:bookmarkStart w:id="15" w:name="_Toc442203469"/>
      <w:r>
        <w:lastRenderedPageBreak/>
        <w:t xml:space="preserve">Dodavatelsko-odběratelské </w:t>
      </w:r>
      <w:r w:rsidR="009D7447">
        <w:t>vztahy</w:t>
      </w:r>
      <w:bookmarkEnd w:id="13"/>
    </w:p>
    <w:p w14:paraId="4ED565B8" w14:textId="53E898B9" w:rsidR="007743ED" w:rsidRDefault="003108C0" w:rsidP="00DC0F46">
      <w:pPr>
        <w:pStyle w:val="Heading3"/>
      </w:pPr>
      <w:bookmarkStart w:id="16" w:name="_Toc460832669"/>
      <w:r>
        <w:t>Obecné vymezení</w:t>
      </w:r>
      <w:bookmarkEnd w:id="16"/>
      <w:r>
        <w:t xml:space="preserve"> </w:t>
      </w:r>
    </w:p>
    <w:p w14:paraId="60B5C2D8" w14:textId="1CDEC997" w:rsidR="009C7B1D" w:rsidRDefault="00495D32" w:rsidP="00D514B6">
      <w:r>
        <w:t>D</w:t>
      </w:r>
      <w:r w:rsidR="00D514B6">
        <w:t xml:space="preserve">odavatelsko-odběratelské vztahy </w:t>
      </w:r>
      <w:r>
        <w:t xml:space="preserve">jsou </w:t>
      </w:r>
      <w:r w:rsidR="00FD34CB">
        <w:t xml:space="preserve">závazkové </w:t>
      </w:r>
      <w:r>
        <w:t>vztah</w:t>
      </w:r>
      <w:r w:rsidR="00FD34CB">
        <w:t>y</w:t>
      </w:r>
      <w:r>
        <w:t>, kdy věřitelově pohledávce odpovídá dlužníkův dluh.</w:t>
      </w:r>
      <w:r w:rsidR="009C7B1D">
        <w:rPr>
          <w:rStyle w:val="FootnoteReference"/>
        </w:rPr>
        <w:footnoteReference w:id="5"/>
      </w:r>
      <w:r>
        <w:t xml:space="preserve"> </w:t>
      </w:r>
      <w:r w:rsidR="009C7B1D">
        <w:t xml:space="preserve">Pohledávka věřitele spočívá v právu na objednané plnění a dlužníkův dluh v povinnosti takové plnění dodat. </w:t>
      </w:r>
      <w:r>
        <w:t xml:space="preserve">Předmětem dodavatelsko-odběratelských vztahů </w:t>
      </w:r>
      <w:r w:rsidR="009C7B1D">
        <w:t xml:space="preserve">je plnění majetkové povahy. </w:t>
      </w:r>
      <w:r>
        <w:t>Subjektem stojícím na straně dodavatele může být</w:t>
      </w:r>
      <w:r w:rsidR="009C7B1D">
        <w:t xml:space="preserve"> </w:t>
      </w:r>
      <w:r>
        <w:t>kdokoliv, stejně tak odběratelem.</w:t>
      </w:r>
      <w:r w:rsidR="009C7B1D">
        <w:t xml:space="preserve"> </w:t>
      </w:r>
    </w:p>
    <w:p w14:paraId="27403F4B" w14:textId="29839BC9" w:rsidR="009C7B1D" w:rsidRDefault="009C7B1D" w:rsidP="00D514B6">
      <w:r>
        <w:t>Obecnou právní úpravu dodavatelsko-odběratelských vztahů nenajdeme. Předmětem dodavatelsko-odběratelských vztahů může být cokoliv</w:t>
      </w:r>
      <w:r w:rsidR="000F342D">
        <w:t>,</w:t>
      </w:r>
      <w:r>
        <w:t xml:space="preserve"> co má majetkovou povahu. Nemusí se jednat vždy jen o konkrétní věc</w:t>
      </w:r>
      <w:r w:rsidR="000F342D">
        <w:t xml:space="preserve"> (dodání díla či materiálu)</w:t>
      </w:r>
      <w:r>
        <w:t xml:space="preserve">. Předmětem může být i </w:t>
      </w:r>
      <w:r w:rsidR="00FD34CB">
        <w:t>činnost (</w:t>
      </w:r>
      <w:r>
        <w:t>dodání služeb</w:t>
      </w:r>
      <w:r w:rsidR="00FD34CB">
        <w:t>)</w:t>
      </w:r>
      <w:r>
        <w:t>. V souvislosti s</w:t>
      </w:r>
      <w:r w:rsidR="00E7148E">
        <w:t> </w:t>
      </w:r>
      <w:r>
        <w:t>tím</w:t>
      </w:r>
      <w:r w:rsidR="00E7148E">
        <w:t>,</w:t>
      </w:r>
      <w:r>
        <w:t xml:space="preserve"> </w:t>
      </w:r>
      <w:r w:rsidR="00D514B6">
        <w:t xml:space="preserve">jaké povinnosti jsou navázány na toto plnění, se jednotlivé vztahy od sebe odlišují. </w:t>
      </w:r>
    </w:p>
    <w:p w14:paraId="1D37C49B" w14:textId="4E26A179" w:rsidR="00911815" w:rsidRDefault="00911815" w:rsidP="00911815">
      <w:pPr>
        <w:pStyle w:val="Heading3"/>
      </w:pPr>
      <w:bookmarkStart w:id="17" w:name="_Toc460832670"/>
      <w:r>
        <w:t>Dělení</w:t>
      </w:r>
      <w:bookmarkEnd w:id="17"/>
    </w:p>
    <w:p w14:paraId="361E1045" w14:textId="02A162E9" w:rsidR="00D514B6" w:rsidRDefault="00D514B6" w:rsidP="00D514B6">
      <w:r>
        <w:t>Nelze tedy jednoznačně definovat</w:t>
      </w:r>
      <w:r w:rsidR="0058258E">
        <w:t xml:space="preserve"> a právně zakotvit</w:t>
      </w:r>
      <w:r>
        <w:t>, co jsou dodavatelsko-odběratelské vztahy. Nicméně pro účely této práce je vhodné</w:t>
      </w:r>
      <w:r w:rsidR="005B0A5E">
        <w:t xml:space="preserve"> vymezit obecné znaky těchto vztahů a</w:t>
      </w:r>
      <w:r>
        <w:t xml:space="preserve"> učinit </w:t>
      </w:r>
      <w:r w:rsidR="005B0A5E">
        <w:t xml:space="preserve">jejich </w:t>
      </w:r>
      <w:r>
        <w:t xml:space="preserve">alespoň obecné </w:t>
      </w:r>
      <w:r w:rsidR="005B0A5E">
        <w:t>dělení</w:t>
      </w:r>
      <w:r>
        <w:t xml:space="preserve"> podle následujících hledisek:</w:t>
      </w:r>
    </w:p>
    <w:p w14:paraId="3A62E5EF" w14:textId="77777777" w:rsidR="00D514B6" w:rsidRDefault="00D514B6" w:rsidP="00D514B6">
      <w:pPr>
        <w:pStyle w:val="ListParagraph"/>
        <w:numPr>
          <w:ilvl w:val="0"/>
          <w:numId w:val="17"/>
        </w:numPr>
      </w:pPr>
      <w:r>
        <w:t>podle druhu,</w:t>
      </w:r>
    </w:p>
    <w:p w14:paraId="7F1BC482" w14:textId="77777777" w:rsidR="00D514B6" w:rsidRDefault="00D514B6" w:rsidP="00D514B6">
      <w:pPr>
        <w:pStyle w:val="ListParagraph"/>
        <w:numPr>
          <w:ilvl w:val="0"/>
          <w:numId w:val="17"/>
        </w:numPr>
      </w:pPr>
      <w:r>
        <w:t>podle typu,</w:t>
      </w:r>
    </w:p>
    <w:p w14:paraId="674EA264" w14:textId="77777777" w:rsidR="00D514B6" w:rsidRDefault="00D514B6" w:rsidP="00D514B6">
      <w:pPr>
        <w:pStyle w:val="ListParagraph"/>
        <w:numPr>
          <w:ilvl w:val="0"/>
          <w:numId w:val="17"/>
        </w:numPr>
      </w:pPr>
      <w:r>
        <w:t>podle stupně.</w:t>
      </w:r>
    </w:p>
    <w:p w14:paraId="4EB8B736" w14:textId="38FC478F" w:rsidR="00D514B6" w:rsidRDefault="00D514B6" w:rsidP="00D514B6">
      <w:r>
        <w:t xml:space="preserve">Z hlediska </w:t>
      </w:r>
      <w:r w:rsidRPr="00A630FD">
        <w:t>druhu</w:t>
      </w:r>
      <w:r>
        <w:t xml:space="preserve"> se může jednat </w:t>
      </w:r>
      <w:r w:rsidR="005B0A5E">
        <w:t xml:space="preserve">buď o vztahy obchodní, nebo neobchodní. O obchodních vztazích </w:t>
      </w:r>
      <w:r w:rsidR="000D0E73">
        <w:t>bylo pojednáno</w:t>
      </w:r>
      <w:r w:rsidR="005B0A5E">
        <w:t xml:space="preserve"> </w:t>
      </w:r>
      <w:r>
        <w:t>výše</w:t>
      </w:r>
      <w:r w:rsidR="005B0A5E">
        <w:t>, jedná se o</w:t>
      </w:r>
      <w:r w:rsidR="006F0AEA">
        <w:t xml:space="preserve"> zmíněné B2B, B2C a B2G</w:t>
      </w:r>
      <w:r>
        <w:t>.</w:t>
      </w:r>
      <w:r w:rsidR="005B0A5E">
        <w:t xml:space="preserve"> Pro </w:t>
      </w:r>
      <w:r w:rsidR="00D35D80">
        <w:t xml:space="preserve">tyto </w:t>
      </w:r>
      <w:r w:rsidR="005B0A5E">
        <w:t>obchodní vztahy</w:t>
      </w:r>
      <w:r w:rsidR="00046B45">
        <w:t xml:space="preserve"> </w:t>
      </w:r>
      <w:r w:rsidR="005B0A5E">
        <w:t>je</w:t>
      </w:r>
      <w:r w:rsidR="006F0AEA">
        <w:t xml:space="preserve"> společným</w:t>
      </w:r>
      <w:r w:rsidR="005B0A5E">
        <w:t xml:space="preserve"> </w:t>
      </w:r>
      <w:r w:rsidR="006F0AEA">
        <w:t>pojmovým znakem</w:t>
      </w:r>
      <w:r w:rsidR="00E7148E">
        <w:t xml:space="preserve"> status podnikatele, resp.</w:t>
      </w:r>
      <w:r w:rsidR="00AD38A3">
        <w:t xml:space="preserve"> souvislost s podnikáním alespoň jedné ze stran</w:t>
      </w:r>
      <w:r w:rsidR="005B0A5E">
        <w:t xml:space="preserve">. </w:t>
      </w:r>
      <w:r w:rsidR="000D0E73">
        <w:t>V ostatních případech se jedná o neobchodní vztahy.</w:t>
      </w:r>
    </w:p>
    <w:p w14:paraId="2B41B2A8" w14:textId="083465D7" w:rsidR="00905B4F" w:rsidRDefault="00D514B6" w:rsidP="00912DB8">
      <w:r>
        <w:t xml:space="preserve">Z hlediska </w:t>
      </w:r>
      <w:r w:rsidRPr="00A630FD">
        <w:t>typu</w:t>
      </w:r>
      <w:r>
        <w:t xml:space="preserve"> </w:t>
      </w:r>
      <w:r w:rsidR="005B0A5E">
        <w:t>můžeme dodavatelsko-odběratelské vztahy rozdělit</w:t>
      </w:r>
      <w:r w:rsidR="00780A2D">
        <w:t xml:space="preserve"> dle</w:t>
      </w:r>
      <w:r w:rsidR="00912DB8">
        <w:t xml:space="preserve"> povahy majetkového plnění </w:t>
      </w:r>
      <w:r w:rsidR="005B0A5E">
        <w:t xml:space="preserve">do dvou </w:t>
      </w:r>
      <w:r w:rsidR="00912DB8">
        <w:t xml:space="preserve">základních </w:t>
      </w:r>
      <w:r w:rsidR="005B0A5E">
        <w:t>kategorií.</w:t>
      </w:r>
      <w:r w:rsidR="00912DB8">
        <w:t xml:space="preserve"> Toto plnění může spočívat buď v dodání věcí (např. materiálu), anebo v dodání, resp. poskytnutí činnosti (služeb). Oběma kategoriím pak odpovídají jednotlivé smluvní typy dodavatelsko-odběratelských smluv. </w:t>
      </w:r>
      <w:r w:rsidR="00C1376E">
        <w:t xml:space="preserve">Hlediska materiálu a činnosti </w:t>
      </w:r>
      <w:r w:rsidR="009B1C09">
        <w:t xml:space="preserve">se uplatňují jako rozlišovací kritéria </w:t>
      </w:r>
      <w:r w:rsidR="004264E8">
        <w:t xml:space="preserve">též </w:t>
      </w:r>
      <w:r w:rsidR="009B1C09">
        <w:t xml:space="preserve">v případě pochybností, zda se jedná o kupní smlouvu </w:t>
      </w:r>
      <w:r w:rsidR="00905B4F">
        <w:t xml:space="preserve">(dodávka materiálu) </w:t>
      </w:r>
      <w:r w:rsidR="009B1C09">
        <w:t xml:space="preserve">či smlouvu o dílo </w:t>
      </w:r>
      <w:r w:rsidR="00905B4F">
        <w:t xml:space="preserve">(dodávka činnosti) </w:t>
      </w:r>
      <w:r w:rsidR="009B1C09">
        <w:t>dle §</w:t>
      </w:r>
      <w:r w:rsidR="00905B4F">
        <w:t> </w:t>
      </w:r>
      <w:r w:rsidR="009B1C09">
        <w:t>2086 ObčZ.</w:t>
      </w:r>
      <w:r w:rsidR="00B468DE">
        <w:t xml:space="preserve"> Pokud odběratel</w:t>
      </w:r>
      <w:r w:rsidR="00416567">
        <w:rPr>
          <w:rStyle w:val="FootnoteReference"/>
        </w:rPr>
        <w:footnoteReference w:id="6"/>
      </w:r>
      <w:r w:rsidR="00B468DE">
        <w:t xml:space="preserve"> </w:t>
      </w:r>
      <w:r w:rsidR="007D5682">
        <w:t xml:space="preserve">na základě smlouvy o dodávce zboží, které má být teprve vyrobeno či vyhotoveno, </w:t>
      </w:r>
      <w:r w:rsidR="00B468DE">
        <w:t xml:space="preserve">dodá podstatnou část materiálu nutného pro zhotovení věci a zhotovitel dodá </w:t>
      </w:r>
      <w:r w:rsidR="00B468DE">
        <w:lastRenderedPageBreak/>
        <w:t xml:space="preserve">zanedbatelnou část materiálu a </w:t>
      </w:r>
      <w:r w:rsidR="0012245C">
        <w:t xml:space="preserve">dále </w:t>
      </w:r>
      <w:r w:rsidR="00B468DE">
        <w:t>činnost spočívající ve zhotovení věci, pak se bude jednat o smlouvu o dílo. Pokud však podstatnou část materiálu dodá subjekt,</w:t>
      </w:r>
      <w:r w:rsidR="00901806">
        <w:t xml:space="preserve"> který věc i zhotoví, pak se bude v pochybnostech jednat o smlouvu kupní.</w:t>
      </w:r>
      <w:r w:rsidR="007D5682">
        <w:t xml:space="preserve"> </w:t>
      </w:r>
      <w:r w:rsidR="00901806">
        <w:t xml:space="preserve">V některých případech však bude </w:t>
      </w:r>
      <w:r w:rsidR="00951FDD">
        <w:t>sporné</w:t>
      </w:r>
      <w:r w:rsidR="00901806">
        <w:t xml:space="preserve">, zda převažuje činnost či dodávka </w:t>
      </w:r>
      <w:r w:rsidR="004A1BE2">
        <w:t xml:space="preserve">materiálu, resp. </w:t>
      </w:r>
      <w:r w:rsidR="00901806">
        <w:t xml:space="preserve">zda </w:t>
      </w:r>
      <w:r w:rsidR="00905B4F">
        <w:t>se dodávka</w:t>
      </w:r>
      <w:r w:rsidR="007D5682">
        <w:t xml:space="preserve"> materiálu</w:t>
      </w:r>
      <w:r w:rsidR="004A1BE2">
        <w:t xml:space="preserve"> týká</w:t>
      </w:r>
      <w:r w:rsidR="00905B4F">
        <w:t xml:space="preserve"> podstatné části. </w:t>
      </w:r>
    </w:p>
    <w:p w14:paraId="1F596723" w14:textId="1C687F8B" w:rsidR="00D514B6" w:rsidRDefault="007D5682" w:rsidP="00912DB8">
      <w:r>
        <w:t xml:space="preserve">V praxi </w:t>
      </w:r>
      <w:r w:rsidR="00905B4F">
        <w:t>může někdy existovat pochybnost o tom, zda se v konkrétním případě jedná o smlouvu kupní či o dílo, prvotně by se však měl vždy zohledňovat úmysl stran a až v případě pochybností by se mělo dospět k aplikaci rozlišovacího ustanovení</w:t>
      </w:r>
      <w:r w:rsidR="004A1BE2">
        <w:t>. P</w:t>
      </w:r>
      <w:r w:rsidR="00912DB8">
        <w:t xml:space="preserve">latí </w:t>
      </w:r>
      <w:r w:rsidR="004A1BE2">
        <w:t xml:space="preserve">tak </w:t>
      </w:r>
      <w:r w:rsidR="00912DB8">
        <w:t>pravidlo, že určující je obsah právního jednání a vůle smluvních stran.</w:t>
      </w:r>
      <w:r w:rsidR="00912DB8">
        <w:rPr>
          <w:rStyle w:val="FootnoteReference"/>
        </w:rPr>
        <w:footnoteReference w:id="7"/>
      </w:r>
      <w:r w:rsidR="00912DB8">
        <w:t xml:space="preserve"> Dodavatelsko-odběratelská smlouva tak může být označena jakkoliv, určujícím jsou v</w:t>
      </w:r>
      <w:r>
        <w:t>šak práva a povinnosti stanovené</w:t>
      </w:r>
      <w:r w:rsidR="00912DB8">
        <w:t xml:space="preserve"> stranami. </w:t>
      </w:r>
    </w:p>
    <w:p w14:paraId="5184AA87" w14:textId="33DBB245" w:rsidR="0001568B" w:rsidRDefault="00D514B6" w:rsidP="00691A23">
      <w:r>
        <w:t xml:space="preserve">Z hlediska </w:t>
      </w:r>
      <w:r w:rsidRPr="00F11E99">
        <w:t xml:space="preserve">stupně </w:t>
      </w:r>
      <w:r>
        <w:t xml:space="preserve">pak můžeme rozlišovat vztahy jednoduché a složité. Jednoduché vztahy jsou jednostupňové vztahy, v nichž vystupuje na jedné straně dodavatel a na straně druhé odběratel. Složité vztahy vznikají v důsledku přítomnosti dalšího subjektu </w:t>
      </w:r>
      <w:r w:rsidR="00912DB8">
        <w:t xml:space="preserve">rozšiřujícího tento vztah </w:t>
      </w:r>
      <w:r w:rsidR="00B9621A">
        <w:t xml:space="preserve">vertikálně </w:t>
      </w:r>
      <w:r w:rsidR="00912DB8">
        <w:t>o další</w:t>
      </w:r>
      <w:r w:rsidR="00CE4821">
        <w:t xml:space="preserve"> </w:t>
      </w:r>
      <w:r w:rsidR="00912DB8">
        <w:t>stupeň</w:t>
      </w:r>
      <w:r>
        <w:t>. Takový subjekt se zpravidla označuje jako subdodavatel</w:t>
      </w:r>
      <w:r w:rsidR="0062375A">
        <w:rPr>
          <w:rStyle w:val="FootnoteReference"/>
        </w:rPr>
        <w:footnoteReference w:id="8"/>
      </w:r>
      <w:r>
        <w:t xml:space="preserve"> a vždy </w:t>
      </w:r>
      <w:r w:rsidR="00B9621A">
        <w:t>je</w:t>
      </w:r>
      <w:r>
        <w:t xml:space="preserve"> ve smluvním vztahu k některému ze subjektů hlavního dodavatelského vztahu, přičemž není vyloučena přítomnost více subdodavatelů najednou. </w:t>
      </w:r>
      <w:r w:rsidR="00912DB8">
        <w:t xml:space="preserve">Pokud </w:t>
      </w:r>
      <w:r w:rsidR="00A763A0">
        <w:t xml:space="preserve">takový </w:t>
      </w:r>
      <w:r w:rsidR="00912DB8">
        <w:t>subdodavatel má další své subdodavatele, pak tito představují</w:t>
      </w:r>
      <w:r>
        <w:t xml:space="preserve"> další stupeň</w:t>
      </w:r>
      <w:r w:rsidR="004A1BE2">
        <w:t xml:space="preserve"> at</w:t>
      </w:r>
      <w:r w:rsidR="007C6F3A">
        <w:t>d</w:t>
      </w:r>
      <w:r>
        <w:t xml:space="preserve">. </w:t>
      </w:r>
    </w:p>
    <w:p w14:paraId="279504FA" w14:textId="77777777" w:rsidR="00692B8F" w:rsidRDefault="00692B8F" w:rsidP="00692B8F">
      <w:pPr>
        <w:pStyle w:val="Heading3"/>
      </w:pPr>
      <w:bookmarkStart w:id="18" w:name="_Toc460832671"/>
      <w:r>
        <w:t>Dlouhodobost dodavatelsko-odběratelských vztahů</w:t>
      </w:r>
      <w:bookmarkEnd w:id="18"/>
    </w:p>
    <w:p w14:paraId="1AECB706" w14:textId="372844E4" w:rsidR="00692B8F" w:rsidRDefault="00692B8F" w:rsidP="00692B8F">
      <w:r>
        <w:t xml:space="preserve">Pro zkoumané vztahy je typické, že jsou </w:t>
      </w:r>
      <w:r w:rsidR="00E26994">
        <w:t xml:space="preserve">často </w:t>
      </w:r>
      <w:r>
        <w:t>založeny na dlouhodobé spolupráci. Dodavatel dlouhodobě spolupracuje se subdodavateli, které již zná a na něž se může spolehnout. K takovému účelu pak subjekty často uzavírají tzv. rámcovou smlouvu o spolupráci</w:t>
      </w:r>
      <w:r w:rsidR="00E26994">
        <w:t xml:space="preserve"> (též rámcová kupní smlouva či rámcová smlouva o dílo, aj.)</w:t>
      </w:r>
      <w:r>
        <w:t xml:space="preserve"> a na základě ní pak realizují jednotlivé zakázky.</w:t>
      </w:r>
    </w:p>
    <w:p w14:paraId="475BCB5A" w14:textId="1EE7AC62" w:rsidR="00692B8F" w:rsidRDefault="00692B8F" w:rsidP="00692B8F">
      <w:r>
        <w:t xml:space="preserve">K realizaci rámcové smlouvy je nutno uzavřít smlouvu o konkrétním projektu (tzv. realizační smlouva). Součástí těchto dílčích realizačních smluv se pak stává i rámcová smlouva, včetně </w:t>
      </w:r>
      <w:r w:rsidR="00E26994">
        <w:t xml:space="preserve">všech </w:t>
      </w:r>
      <w:r>
        <w:t>práv a povinností zde stanovených.</w:t>
      </w:r>
      <w:r>
        <w:rPr>
          <w:rStyle w:val="FootnoteReference"/>
        </w:rPr>
        <w:footnoteReference w:id="9"/>
      </w:r>
    </w:p>
    <w:p w14:paraId="0E91EAD3" w14:textId="17FFE0F4" w:rsidR="007743ED" w:rsidRDefault="00A630FD" w:rsidP="00737A03">
      <w:pPr>
        <w:pStyle w:val="Heading2"/>
      </w:pPr>
      <w:bookmarkStart w:id="19" w:name="_Toc460832672"/>
      <w:r>
        <w:t xml:space="preserve">Konstrukce </w:t>
      </w:r>
      <w:r w:rsidR="003108C0">
        <w:t xml:space="preserve">dodavatelsko-odběratelských </w:t>
      </w:r>
      <w:r w:rsidR="007743ED">
        <w:t>vztah</w:t>
      </w:r>
      <w:r>
        <w:t>ů</w:t>
      </w:r>
      <w:bookmarkEnd w:id="19"/>
    </w:p>
    <w:p w14:paraId="0EEA5541" w14:textId="068836E2" w:rsidR="007743ED" w:rsidRDefault="00AA4BE6" w:rsidP="000D64C9">
      <w:r>
        <w:t xml:space="preserve">ObčZ nám příliš </w:t>
      </w:r>
      <w:r w:rsidR="00D40C0C">
        <w:t>o tom</w:t>
      </w:r>
      <w:r w:rsidR="00737A03">
        <w:t>, jak jsou kon</w:t>
      </w:r>
      <w:r w:rsidR="00D40C0C">
        <w:t>s</w:t>
      </w:r>
      <w:r w:rsidR="00737A03">
        <w:t xml:space="preserve">truovány vícestupňové dodavatelsko-odběratelské vztahy, nepoví. </w:t>
      </w:r>
      <w:r w:rsidR="007C6F3A">
        <w:t xml:space="preserve">Nelze se </w:t>
      </w:r>
      <w:r w:rsidR="00737A03">
        <w:t xml:space="preserve">však </w:t>
      </w:r>
      <w:r w:rsidR="007C6F3A">
        <w:t xml:space="preserve">omezit na tvrzení, že subdodavatel je smluvní partner výhradně hlavního dodavatele. Ačkoliv se na první pohled může zdát, že se jedná o nečastější konstrukci </w:t>
      </w:r>
      <w:r w:rsidR="007C6F3A">
        <w:lastRenderedPageBreak/>
        <w:t xml:space="preserve">subdodavatelských vztahů, v praxi se </w:t>
      </w:r>
      <w:r w:rsidR="002F006A">
        <w:t>uplatňuje i</w:t>
      </w:r>
      <w:r w:rsidR="00552AB6">
        <w:t xml:space="preserve"> odlišná konstrukce</w:t>
      </w:r>
      <w:r w:rsidR="007C6F3A">
        <w:t>, která má za cíl</w:t>
      </w:r>
      <w:r w:rsidR="00552AB6">
        <w:t xml:space="preserve"> řešit řadu praktických problémů</w:t>
      </w:r>
      <w:r w:rsidR="007C6F3A">
        <w:t>.</w:t>
      </w:r>
      <w:r w:rsidR="000D64C9">
        <w:t xml:space="preserve"> Jedná-li se však o případ, </w:t>
      </w:r>
      <w:r w:rsidR="002F006A">
        <w:t xml:space="preserve">kdy je subdodavatel smluvním partnerem dodavatele, </w:t>
      </w:r>
      <w:r w:rsidR="000D64C9">
        <w:t xml:space="preserve">pak si </w:t>
      </w:r>
      <w:r w:rsidR="007C6F3A">
        <w:t>subdodavatele vybírá dodavatel</w:t>
      </w:r>
      <w:r w:rsidR="007C6F3A">
        <w:rPr>
          <w:rStyle w:val="FootnoteReference"/>
        </w:rPr>
        <w:footnoteReference w:id="10"/>
      </w:r>
      <w:r w:rsidR="007C6F3A">
        <w:t>, nicméně takový výběr může podléhat schválení ze strany odběratele</w:t>
      </w:r>
      <w:r w:rsidR="00126A8C">
        <w:rPr>
          <w:rStyle w:val="FootnoteReference"/>
        </w:rPr>
        <w:footnoteReference w:id="11"/>
      </w:r>
      <w:r w:rsidR="00D60121">
        <w:t>.</w:t>
      </w:r>
      <w:r w:rsidR="0066279B">
        <w:rPr>
          <w:rStyle w:val="FootnoteReference"/>
        </w:rPr>
        <w:footnoteReference w:id="12"/>
      </w:r>
      <w:r w:rsidR="007C6F3A">
        <w:t xml:space="preserve"> Do smluvního vztahu se subdodavatelem však již odběratel nezasahuje a ten tedy vzniká výhradně mezi dodavatelem a subdodavatelem. </w:t>
      </w:r>
    </w:p>
    <w:p w14:paraId="055CCBC0" w14:textId="4F0D591D" w:rsidR="007C6F3A" w:rsidRDefault="007C6F3A" w:rsidP="00D514B6">
      <w:r>
        <w:t>Můžeme však narazit i na případy,</w:t>
      </w:r>
      <w:r w:rsidR="00126A8C">
        <w:t xml:space="preserve"> kdy má dodavatel povinnost spolupracovat s konkrétním subdodavatelem, jehož výběr záleží pouze na odběrateli.</w:t>
      </w:r>
      <w:r w:rsidR="00126A8C">
        <w:rPr>
          <w:rStyle w:val="FootnoteReference"/>
        </w:rPr>
        <w:footnoteReference w:id="13"/>
      </w:r>
      <w:r w:rsidR="00126A8C">
        <w:t xml:space="preserve"> Povinnost spolupracovat s vybraným subdodavatelem pak vyplývá ze smlouvy mezi hlavním dodavatelem a odběratelem.</w:t>
      </w:r>
      <w:r w:rsidR="000A7E4D">
        <w:t xml:space="preserve"> Ovšem i v této situaci </w:t>
      </w:r>
      <w:r w:rsidR="00F41B6F">
        <w:t>subdodavatelskou smlouvu uzavře se subdodavatel</w:t>
      </w:r>
      <w:r w:rsidR="00CF093A">
        <w:t>em</w:t>
      </w:r>
      <w:r w:rsidR="00F41B6F">
        <w:t xml:space="preserve"> hlavní dodavatel, případně odběratel, později však smlouvu postoupí hlavnímu dodavateli.</w:t>
      </w:r>
      <w:r w:rsidR="00F41B6F">
        <w:rPr>
          <w:rStyle w:val="FootnoteReference"/>
        </w:rPr>
        <w:footnoteReference w:id="14"/>
      </w:r>
      <w:r w:rsidR="00126A8C">
        <w:t xml:space="preserve"> </w:t>
      </w:r>
    </w:p>
    <w:p w14:paraId="15ABF56F" w14:textId="21C5261F" w:rsidR="00552AB6" w:rsidRDefault="00126A8C" w:rsidP="00126A8C">
      <w:pPr>
        <w:rPr>
          <w:rFonts w:cs="Times New Roman"/>
        </w:rPr>
      </w:pPr>
      <w:r>
        <w:t xml:space="preserve">Nesmíme pominout ani další možnost, kdy bude subdodavatel zahrnut přímo do hlavní dodavatelské smlouvy, resp. se stane její třetí smluvní stranou. </w:t>
      </w:r>
      <w:r w:rsidR="00CF093A">
        <w:rPr>
          <w:rFonts w:cs="Times New Roman"/>
        </w:rPr>
        <w:t xml:space="preserve">Tehdy </w:t>
      </w:r>
      <w:r w:rsidRPr="00567FAB">
        <w:rPr>
          <w:rFonts w:cs="Times New Roman"/>
        </w:rPr>
        <w:t xml:space="preserve">se </w:t>
      </w:r>
      <w:r w:rsidR="00CF093A">
        <w:rPr>
          <w:rFonts w:cs="Times New Roman"/>
        </w:rPr>
        <w:t xml:space="preserve">však </w:t>
      </w:r>
      <w:r w:rsidRPr="00567FAB">
        <w:rPr>
          <w:rFonts w:cs="Times New Roman"/>
        </w:rPr>
        <w:t>v podstatě mění jeho postavení a je spíše v pozici spoludlužníka</w:t>
      </w:r>
      <w:r>
        <w:rPr>
          <w:rFonts w:cs="Times New Roman"/>
        </w:rPr>
        <w:t>.</w:t>
      </w:r>
    </w:p>
    <w:p w14:paraId="7FEBA7CD" w14:textId="37D9D4FB" w:rsidR="00552AB6" w:rsidRDefault="00552AB6" w:rsidP="00552AB6">
      <w:r>
        <w:t xml:space="preserve">Ačkoliv konstrukcí může být mnoho, podstatné je, že v daném čase a v daném případě existuje potřeba využití všech zmíněných subjektů, resp. že jejich přítomnost </w:t>
      </w:r>
      <w:r w:rsidR="00FC3E30">
        <w:t>na sobě závisí</w:t>
      </w:r>
      <w:r>
        <w:t xml:space="preserve">. Subdodavatel by zde nebyl, kdyby zde nebyl vztah hlavního dodavatele a odběratele. Existuje zde tedy určitá závislost mezi přítomností všech subjektů. </w:t>
      </w:r>
    </w:p>
    <w:p w14:paraId="0A1863FC" w14:textId="6732DFF3" w:rsidR="005E721A" w:rsidRDefault="00EF0E7A" w:rsidP="006F4DB2">
      <w:pPr>
        <w:pStyle w:val="Heading2"/>
      </w:pPr>
      <w:bookmarkStart w:id="20" w:name="_Toc442203396"/>
      <w:bookmarkStart w:id="21" w:name="_Toc442203473"/>
      <w:bookmarkStart w:id="22" w:name="_Toc460832673"/>
      <w:bookmarkEnd w:id="14"/>
      <w:bookmarkEnd w:id="15"/>
      <w:r>
        <w:t xml:space="preserve">Zvláštnosti </w:t>
      </w:r>
      <w:r w:rsidR="009D2BCA">
        <w:t xml:space="preserve">stavebních </w:t>
      </w:r>
      <w:r w:rsidR="005E721A" w:rsidRPr="00567FAB">
        <w:t>vztahů</w:t>
      </w:r>
      <w:bookmarkEnd w:id="20"/>
      <w:bookmarkEnd w:id="21"/>
      <w:bookmarkEnd w:id="22"/>
    </w:p>
    <w:p w14:paraId="0EDCBB36" w14:textId="4506B1A0" w:rsidR="008A4C76" w:rsidRPr="008A4C76" w:rsidRDefault="008A4C76" w:rsidP="008A4C76">
      <w:pPr>
        <w:pStyle w:val="Heading3"/>
      </w:pPr>
      <w:bookmarkStart w:id="23" w:name="_Toc460832674"/>
      <w:r>
        <w:t>Zvláštní konstrukce stavebních vztahů</w:t>
      </w:r>
      <w:bookmarkEnd w:id="23"/>
    </w:p>
    <w:p w14:paraId="0988FCDF" w14:textId="71232EDE" w:rsidR="007D1432" w:rsidRDefault="00A65D6B" w:rsidP="00A65D6B">
      <w:r>
        <w:t>V rámci d</w:t>
      </w:r>
      <w:r w:rsidR="003C7995">
        <w:t>odavatelsko-odběratelských vztahů</w:t>
      </w:r>
      <w:r>
        <w:t>,</w:t>
      </w:r>
      <w:r w:rsidR="001A541E">
        <w:t xml:space="preserve"> jejichž předmětem je zhotovení, oprava či úprava </w:t>
      </w:r>
      <w:r>
        <w:t>stavby</w:t>
      </w:r>
      <w:r w:rsidR="00286CF9">
        <w:t xml:space="preserve"> (dále jen „stavební dílo“)</w:t>
      </w:r>
      <w:r>
        <w:t xml:space="preserve">, se </w:t>
      </w:r>
      <w:r w:rsidR="00C01330">
        <w:t xml:space="preserve">setkáváme </w:t>
      </w:r>
      <w:r w:rsidR="00D31F0E">
        <w:t>s přítomností</w:t>
      </w:r>
      <w:r w:rsidR="00C84A9F">
        <w:t xml:space="preserve"> subdodavatelů</w:t>
      </w:r>
      <w:r w:rsidR="000C0C05">
        <w:t xml:space="preserve"> velmi často</w:t>
      </w:r>
      <w:r w:rsidR="00C01330">
        <w:t xml:space="preserve">. </w:t>
      </w:r>
      <w:r w:rsidR="00D60121">
        <w:t>V těchto projektech</w:t>
      </w:r>
      <w:r w:rsidR="00AA61AB">
        <w:t xml:space="preserve"> se běžně vyskytuje </w:t>
      </w:r>
      <w:r w:rsidR="00AB076E">
        <w:t xml:space="preserve">i </w:t>
      </w:r>
      <w:r w:rsidR="00AA61AB">
        <w:t>více subdodavatelů</w:t>
      </w:r>
      <w:r w:rsidR="00AB076E">
        <w:t xml:space="preserve"> najednou</w:t>
      </w:r>
      <w:r w:rsidR="00AA61AB">
        <w:t xml:space="preserve"> </w:t>
      </w:r>
      <w:r w:rsidR="004A143C">
        <w:t>a vzhledem k náročnosti projektů</w:t>
      </w:r>
      <w:r w:rsidR="00AA61AB">
        <w:t xml:space="preserve"> a koordinace činnosti jednot</w:t>
      </w:r>
      <w:r w:rsidR="008B5F2D">
        <w:t>livých subjektů je nutné</w:t>
      </w:r>
      <w:r w:rsidR="00AA61AB">
        <w:t xml:space="preserve"> vzájemné práva a povinnosti všech subjektů </w:t>
      </w:r>
      <w:r w:rsidR="00E04F8F">
        <w:t>co nejlépe</w:t>
      </w:r>
      <w:r w:rsidR="00AA61AB">
        <w:t xml:space="preserve"> </w:t>
      </w:r>
      <w:r w:rsidR="00F46883">
        <w:t xml:space="preserve">smluvně </w:t>
      </w:r>
      <w:r w:rsidR="00AA61AB">
        <w:t>ošetřit.</w:t>
      </w:r>
      <w:r w:rsidR="00B504D0">
        <w:t xml:space="preserve"> </w:t>
      </w:r>
    </w:p>
    <w:p w14:paraId="0E10F586" w14:textId="395AEE56" w:rsidR="00C01330" w:rsidRDefault="00B504D0" w:rsidP="00A65D6B">
      <w:r>
        <w:t xml:space="preserve">ObčZ </w:t>
      </w:r>
      <w:r w:rsidR="00420613">
        <w:t xml:space="preserve">sice v § 2630 s přítomností subdodavatelů pro účely zhotovení stavebního díla počítá, avšak </w:t>
      </w:r>
      <w:r>
        <w:t xml:space="preserve">co do konstrukce, resp. </w:t>
      </w:r>
      <w:r w:rsidR="00271CC9">
        <w:t xml:space="preserve">požadavků na </w:t>
      </w:r>
      <w:r>
        <w:t>uspořád</w:t>
      </w:r>
      <w:r w:rsidR="00892ABA">
        <w:t xml:space="preserve">ání vícestupňových </w:t>
      </w:r>
      <w:r w:rsidR="00892ABA">
        <w:lastRenderedPageBreak/>
        <w:t>dodavatelsko</w:t>
      </w:r>
      <w:r w:rsidR="00892ABA">
        <w:noBreakHyphen/>
      </w:r>
      <w:r>
        <w:t>odběratelských vztahů nic zvláštního nestanoví</w:t>
      </w:r>
      <w:r w:rsidR="00420613">
        <w:t>.</w:t>
      </w:r>
      <w:r w:rsidR="00F72FB5">
        <w:t xml:space="preserve"> </w:t>
      </w:r>
      <w:r>
        <w:t>S</w:t>
      </w:r>
      <w:r w:rsidR="00907147">
        <w:t xml:space="preserve"> jiným</w:t>
      </w:r>
      <w:r>
        <w:t xml:space="preserve"> přístupem</w:t>
      </w:r>
      <w:r w:rsidR="008B0259">
        <w:t xml:space="preserve"> se můžeme setkat např. v Německu, které </w:t>
      </w:r>
      <w:r w:rsidR="008B4EEC">
        <w:t xml:space="preserve">počítá </w:t>
      </w:r>
      <w:r w:rsidR="005077B2">
        <w:t>s určitými</w:t>
      </w:r>
      <w:r w:rsidR="008B4EEC">
        <w:t xml:space="preserve"> </w:t>
      </w:r>
      <w:r w:rsidR="00121BCE">
        <w:t>způsob</w:t>
      </w:r>
      <w:r>
        <w:t>y</w:t>
      </w:r>
      <w:r w:rsidR="00121BCE">
        <w:t>, jakým</w:t>
      </w:r>
      <w:r>
        <w:t>i</w:t>
      </w:r>
      <w:r w:rsidR="00121BCE">
        <w:t xml:space="preserve"> lze zhotovit stavební dílo za použití dalších subjektů</w:t>
      </w:r>
      <w:r w:rsidR="00C01330">
        <w:t>.</w:t>
      </w:r>
      <w:r w:rsidR="00B47688">
        <w:t xml:space="preserve"> V rámci těchto </w:t>
      </w:r>
      <w:r w:rsidR="006A6964">
        <w:t xml:space="preserve">zvláštních </w:t>
      </w:r>
      <w:r w:rsidR="00B47688">
        <w:t>uspořádání se pak přenáší práva a povinnosti na subjekty, které se podílejí na zhotovení díla</w:t>
      </w:r>
      <w:r w:rsidR="00E00953">
        <w:t xml:space="preserve">, což může být </w:t>
      </w:r>
      <w:r w:rsidR="00580F9A">
        <w:t>určitým zdrojem inspirace pro stavební praxi</w:t>
      </w:r>
      <w:r w:rsidR="00B47688">
        <w:t>.</w:t>
      </w:r>
    </w:p>
    <w:p w14:paraId="63974305" w14:textId="3D27E6A8" w:rsidR="00A65D6B" w:rsidRDefault="00C01330" w:rsidP="00A65D6B">
      <w:r>
        <w:t>První formou je tzv. „tichá společnost“.</w:t>
      </w:r>
      <w:r>
        <w:rPr>
          <w:rStyle w:val="FootnoteReference"/>
        </w:rPr>
        <w:footnoteReference w:id="15"/>
      </w:r>
      <w:r>
        <w:t xml:space="preserve"> </w:t>
      </w:r>
      <w:r w:rsidR="00AC7BC8">
        <w:t>Ta pochází z německého Beihilfegemeinschaft (dále jen jako „BEGE“).</w:t>
      </w:r>
      <w:r w:rsidR="00F20BD3">
        <w:t xml:space="preserve"> Tento subjekt nemá právní osobnost </w:t>
      </w:r>
      <w:r w:rsidR="00496300">
        <w:t>a povinným ze smlouvy o dílo je pouze subjekt, který je označen jako dodavatel</w:t>
      </w:r>
      <w:r w:rsidR="00121BCE">
        <w:t xml:space="preserve"> ve smlouvě s odběratelem. T</w:t>
      </w:r>
      <w:r w:rsidR="00496300">
        <w:t>en také nese odpovědnost za řádné splnění celého díla</w:t>
      </w:r>
      <w:r w:rsidR="00121BCE">
        <w:t>, tedy i za ostatní subjekty podílející se na zhotovení stavby</w:t>
      </w:r>
      <w:r w:rsidR="00496300">
        <w:t>. Prostřednictvím společenské smlouvy či smlouvy o tiché společnosti se však</w:t>
      </w:r>
      <w:r w:rsidR="00617139">
        <w:t xml:space="preserve"> dodavatel</w:t>
      </w:r>
      <w:r w:rsidR="00496300">
        <w:t xml:space="preserve"> může dohodnout s dal</w:t>
      </w:r>
      <w:r w:rsidR="00E33522">
        <w:t xml:space="preserve">šími subjekty na realizaci díla, nesení </w:t>
      </w:r>
      <w:r w:rsidR="00194063">
        <w:t xml:space="preserve">rizik </w:t>
      </w:r>
      <w:r w:rsidR="00E33522">
        <w:t>a úpravě</w:t>
      </w:r>
      <w:r w:rsidR="00852494">
        <w:t xml:space="preserve"> jednotlivých práv</w:t>
      </w:r>
      <w:r w:rsidR="00496300">
        <w:t xml:space="preserve"> a povinností.</w:t>
      </w:r>
      <w:r w:rsidR="00496300">
        <w:rPr>
          <w:rStyle w:val="FootnoteReference"/>
        </w:rPr>
        <w:footnoteReference w:id="16"/>
      </w:r>
      <w:r w:rsidR="00496300">
        <w:t xml:space="preserve"> V prostředí České republiky by podobnou konstrukci umožňovala právě smlouva společenská dle § 2716 ObčZ či smlouva o tiché společnosti dle §</w:t>
      </w:r>
      <w:r w:rsidR="00194063">
        <w:t> </w:t>
      </w:r>
      <w:r w:rsidR="00496300">
        <w:t xml:space="preserve">2747 ObčZ. Nevýhody tohoto uspořádání vyplývají již z faktu, že tato společnost není právnickou osobou a nemá tedy </w:t>
      </w:r>
      <w:r w:rsidR="00194063">
        <w:t xml:space="preserve">ani právní osobnost, </w:t>
      </w:r>
      <w:r w:rsidR="00496300">
        <w:t xml:space="preserve">ani aktivní a pasivní procesní </w:t>
      </w:r>
      <w:r w:rsidR="00194063">
        <w:t xml:space="preserve">způsobilost </w:t>
      </w:r>
      <w:r w:rsidR="00496300">
        <w:t xml:space="preserve">a přenos rizik je pouze vnitřní záležitostí </w:t>
      </w:r>
      <w:r w:rsidR="007E7F30">
        <w:t xml:space="preserve">smluvních </w:t>
      </w:r>
      <w:r w:rsidR="00496300">
        <w:t xml:space="preserve">stran společnosti. </w:t>
      </w:r>
    </w:p>
    <w:p w14:paraId="7FCAC177" w14:textId="22C1329A" w:rsidR="00A65D6B" w:rsidRDefault="00B302F6" w:rsidP="00A65D6B">
      <w:r>
        <w:t>Dalším zvláštním uspořádáním je tzv. „konsorcium“</w:t>
      </w:r>
      <w:r w:rsidR="00B657AB">
        <w:t xml:space="preserve"> </w:t>
      </w:r>
      <w:r w:rsidR="002D1CDC">
        <w:t xml:space="preserve">vycházející z německého </w:t>
      </w:r>
      <w:r w:rsidR="002D1CDC" w:rsidRPr="002D1CDC">
        <w:t>Konsortium</w:t>
      </w:r>
      <w:r w:rsidR="002D1CDC">
        <w:t xml:space="preserve">. </w:t>
      </w:r>
      <w:r w:rsidR="00965F50">
        <w:t>Podobně jako v případě BEGE se jedná o společnost bez právní osobnosti. Proti BEGE jsou však subjekty</w:t>
      </w:r>
      <w:r w:rsidR="002D1CDC">
        <w:t xml:space="preserve">, které </w:t>
      </w:r>
      <w:r w:rsidR="00554C7D">
        <w:t xml:space="preserve">se podílejí na </w:t>
      </w:r>
      <w:r w:rsidR="00965F50">
        <w:t xml:space="preserve">zhotovení díla, </w:t>
      </w:r>
      <w:r w:rsidR="00444759">
        <w:t>přímo zavázány</w:t>
      </w:r>
      <w:r w:rsidR="00965F50">
        <w:t xml:space="preserve"> vůči odběrateli společně a nerozdílně. Uvnitř konsorcia si pak subjekty vzájemně rozdělují jednotlivé povinnosti pramenící z toho, že každý subjekt vykonává příslušnou část díla odděleně. Avšak i v tomto případě se jedná o vypořádání vzájemných vztahů pouze s interními účinky</w:t>
      </w:r>
      <w:r w:rsidR="00B657AB">
        <w:rPr>
          <w:rStyle w:val="FootnoteReference"/>
        </w:rPr>
        <w:footnoteReference w:id="17"/>
      </w:r>
      <w:r w:rsidR="00C232E4">
        <w:t>.</w:t>
      </w:r>
      <w:r w:rsidR="00B657AB">
        <w:rPr>
          <w:rStyle w:val="FootnoteReference"/>
        </w:rPr>
        <w:footnoteReference w:id="18"/>
      </w:r>
      <w:r w:rsidR="00444759">
        <w:t xml:space="preserve"> Každý ze subjektů se tak již projektu účastní a nese </w:t>
      </w:r>
      <w:r w:rsidR="0046268E">
        <w:t xml:space="preserve">celkovou </w:t>
      </w:r>
      <w:r w:rsidR="00444759">
        <w:t>odpovědnost za splnění díla.</w:t>
      </w:r>
    </w:p>
    <w:p w14:paraId="29C1CBE1" w14:textId="118D6098" w:rsidR="00EB1441" w:rsidRDefault="00EB1441" w:rsidP="00A65D6B">
      <w:r>
        <w:t xml:space="preserve">Konečně se pak setkáme s tzv. Arbeitsgemeinschaft </w:t>
      </w:r>
      <w:r w:rsidR="007E7F30">
        <w:t xml:space="preserve">in der Bauwirtschaft (dále jen jako „ARGE“), neboli právnickou osobou s vlastní právní osobností </w:t>
      </w:r>
      <w:r w:rsidR="00445EAD">
        <w:t xml:space="preserve">a </w:t>
      </w:r>
      <w:r w:rsidR="007E7F30">
        <w:t>nezávislou na právní osobnosti subjektů – společníků.</w:t>
      </w:r>
      <w:r w:rsidR="007E7F30">
        <w:rPr>
          <w:rStyle w:val="FootnoteReference"/>
        </w:rPr>
        <w:footnoteReference w:id="19"/>
      </w:r>
      <w:r w:rsidR="007E7F30">
        <w:t xml:space="preserve"> </w:t>
      </w:r>
      <w:r w:rsidR="000055CA">
        <w:t>ARGE se nachází v pozici dodavat</w:t>
      </w:r>
      <w:r w:rsidR="00BE0573">
        <w:t>ele a přímo tedy uzavírá smlouvu</w:t>
      </w:r>
      <w:r w:rsidR="000055CA">
        <w:t xml:space="preserve"> s odběratelem. Společníci pak dílo zhotovují společně ze společných, do ARGE </w:t>
      </w:r>
      <w:r w:rsidR="000055CA">
        <w:lastRenderedPageBreak/>
        <w:t xml:space="preserve">vnesených prostředků. Na zisku a ztrátě se </w:t>
      </w:r>
      <w:r w:rsidR="00AF6F9A">
        <w:t xml:space="preserve">pak </w:t>
      </w:r>
      <w:r w:rsidR="000055CA">
        <w:t>společníci podílejí v závislosti na velikosti svých podílů.</w:t>
      </w:r>
      <w:r w:rsidR="000055CA">
        <w:rPr>
          <w:rStyle w:val="FootnoteReference"/>
        </w:rPr>
        <w:footnoteReference w:id="20"/>
      </w:r>
    </w:p>
    <w:p w14:paraId="2CD92B02" w14:textId="546C54F2" w:rsidR="008A4C76" w:rsidRDefault="008A4C76" w:rsidP="008A4C76">
      <w:pPr>
        <w:pStyle w:val="Heading3"/>
      </w:pPr>
      <w:bookmarkStart w:id="24" w:name="_Toc460832675"/>
      <w:r>
        <w:t>Smluvní podmínky FIDIC</w:t>
      </w:r>
      <w:bookmarkEnd w:id="24"/>
    </w:p>
    <w:p w14:paraId="22768DE7" w14:textId="697336A0" w:rsidR="005556A6" w:rsidRDefault="00174640" w:rsidP="00E36AB2">
      <w:r>
        <w:t>Jak bylo již řečeno, stavební projekty p</w:t>
      </w:r>
      <w:r w:rsidR="00861BE2">
        <w:t>atří mezi ty nejsložitější</w:t>
      </w:r>
      <w:r>
        <w:t xml:space="preserve"> a přítomnost subdodavatelů je ve vztazích v této oblasti běžná. </w:t>
      </w:r>
      <w:r w:rsidR="00B9110B">
        <w:t xml:space="preserve">Stavební praxe si je složitosti a rizik </w:t>
      </w:r>
      <w:r w:rsidR="00EA4CA0">
        <w:t xml:space="preserve">vznikajících v důsledku přítomnosti více subjektů </w:t>
      </w:r>
      <w:r w:rsidR="00B9110B">
        <w:t xml:space="preserve">vědoma, </w:t>
      </w:r>
      <w:r w:rsidR="006F7EF6">
        <w:t xml:space="preserve">a </w:t>
      </w:r>
      <w:r w:rsidR="00B9110B">
        <w:t>proto se dnes můžeme setkat s řadou vzorových dokumentů</w:t>
      </w:r>
      <w:r w:rsidR="006F7EF6">
        <w:t xml:space="preserve"> a komentářů vydávaných odbornými organizacemi</w:t>
      </w:r>
      <w:r w:rsidR="00B9110B">
        <w:t>, které</w:t>
      </w:r>
      <w:r w:rsidR="00861BE2">
        <w:t xml:space="preserve"> se snaží usnadnit</w:t>
      </w:r>
      <w:r w:rsidR="00C24A9C">
        <w:t xml:space="preserve"> tyto vztahy od procesu kontraktace, až po případné řešení sporů</w:t>
      </w:r>
      <w:r w:rsidR="00861BE2">
        <w:t>.</w:t>
      </w:r>
      <w:r w:rsidR="00B9110B">
        <w:t xml:space="preserve"> </w:t>
      </w:r>
      <w:r w:rsidR="00D77D42">
        <w:t>Vzo</w:t>
      </w:r>
      <w:r w:rsidR="00F13BCB">
        <w:t>rové smluvní podmínky FIDIC tvoř</w:t>
      </w:r>
      <w:r w:rsidR="00D77D42">
        <w:t xml:space="preserve">í </w:t>
      </w:r>
      <w:r w:rsidR="00F53316">
        <w:t xml:space="preserve">nejpoužívanější </w:t>
      </w:r>
      <w:r w:rsidR="00D77D42">
        <w:t>vzor obchodních podmínek smlouvy o dílo na zhotovení stavby.</w:t>
      </w:r>
      <w:r w:rsidR="00A573AA">
        <w:rPr>
          <w:rStyle w:val="FootnoteReference"/>
        </w:rPr>
        <w:footnoteReference w:id="21"/>
      </w:r>
      <w:r w:rsidR="00D77D42">
        <w:t xml:space="preserve"> </w:t>
      </w:r>
      <w:r w:rsidR="00693D62">
        <w:t xml:space="preserve">Dnes </w:t>
      </w:r>
      <w:r w:rsidR="00445EAD">
        <w:t xml:space="preserve">jsou tyto podmínky rozšířeny na několikeré verze, přizpůsobené </w:t>
      </w:r>
      <w:r w:rsidR="00693D62">
        <w:t>zvláštnostem jedno</w:t>
      </w:r>
      <w:r w:rsidR="00445EAD">
        <w:t>tlivých výstavbových projektů. N</w:t>
      </w:r>
      <w:r w:rsidR="00693D62">
        <w:t xml:space="preserve">ejpoužívanějším vzorem </w:t>
      </w:r>
      <w:r w:rsidR="00445EAD">
        <w:t>jsou</w:t>
      </w:r>
      <w:r w:rsidR="00693D62" w:rsidRPr="002A50D5">
        <w:t xml:space="preserve"> </w:t>
      </w:r>
      <w:r w:rsidR="002A50D5" w:rsidRPr="002A50D5">
        <w:t>Conditions of Contract for Construction For Building and Engineering Works Designed by the Employer</w:t>
      </w:r>
      <w:r w:rsidR="00F40C0C" w:rsidRPr="002A50D5">
        <w:rPr>
          <w:rStyle w:val="FootnoteReference"/>
        </w:rPr>
        <w:footnoteReference w:id="22"/>
      </w:r>
      <w:r w:rsidR="002A50D5" w:rsidRPr="002A50D5">
        <w:t xml:space="preserve"> (dále jen jako „CONS“).</w:t>
      </w:r>
      <w:r w:rsidR="005911CE">
        <w:t xml:space="preserve"> </w:t>
      </w:r>
      <w:r w:rsidR="002A50D5">
        <w:t>Pro usnadnění</w:t>
      </w:r>
      <w:r w:rsidR="00F40C0C">
        <w:t xml:space="preserve"> smluvních jednání a realizací</w:t>
      </w:r>
      <w:r w:rsidR="002A50D5">
        <w:t xml:space="preserve"> zakázek prostřednictvím subdodávek FIDIC vydal</w:t>
      </w:r>
      <w:r w:rsidR="005556A6">
        <w:t>a</w:t>
      </w:r>
      <w:r w:rsidR="005421DC">
        <w:t xml:space="preserve"> též</w:t>
      </w:r>
      <w:r w:rsidR="002A50D5">
        <w:t xml:space="preserve"> zvláštní vzorové smluvní podmínky</w:t>
      </w:r>
      <w:r w:rsidR="008B7DA8">
        <w:t xml:space="preserve"> pro účely smlouvy o dílo mezi dodavatelem a subdodavatelem</w:t>
      </w:r>
      <w:r w:rsidR="002A50D5">
        <w:t>, tzv.</w:t>
      </w:r>
      <w:r w:rsidR="005F1031">
        <w:t> </w:t>
      </w:r>
      <w:r w:rsidR="002A50D5" w:rsidRPr="002A50D5">
        <w:t>Conditions of Subcontract for Construction</w:t>
      </w:r>
      <w:r w:rsidR="002A50D5">
        <w:t xml:space="preserve"> For Building</w:t>
      </w:r>
      <w:r w:rsidR="002A50D5" w:rsidRPr="002A50D5">
        <w:t xml:space="preserve"> </w:t>
      </w:r>
      <w:r w:rsidR="002A50D5">
        <w:t xml:space="preserve">and </w:t>
      </w:r>
      <w:r w:rsidR="002A50D5" w:rsidRPr="002A50D5">
        <w:t>Engineering Works Designed by the Employer</w:t>
      </w:r>
      <w:r w:rsidR="00F40C0C">
        <w:rPr>
          <w:rStyle w:val="FootnoteReference"/>
        </w:rPr>
        <w:footnoteReference w:id="23"/>
      </w:r>
      <w:r w:rsidR="00E36AB2">
        <w:t xml:space="preserve"> (dále jen jako „Construction Subcontract“), které se použijí v situaci, kdy je hlavní dodavatelsko-odběratelský vztah založen smlouvou o dílo na základě CONS</w:t>
      </w:r>
      <w:r w:rsidR="00693D62">
        <w:t>.</w:t>
      </w:r>
    </w:p>
    <w:p w14:paraId="240FDDFD" w14:textId="7FBB454F" w:rsidR="008A2294" w:rsidRDefault="005556A6" w:rsidP="00E36AB2">
      <w:r>
        <w:t>Aplikace smluvních podmínek FIDIC je umožněna na základě § 1751 odst. 3 ObčZ</w:t>
      </w:r>
      <w:r w:rsidR="00EF3489">
        <w:t>, které stanoví možnost smluvní</w:t>
      </w:r>
      <w:r w:rsidR="0011592C">
        <w:t>ch</w:t>
      </w:r>
      <w:r w:rsidR="00EF3489">
        <w:t xml:space="preserve"> stran podnikatelů určit část obsahu smlouvy i pouhým odkazem na obchodní podmínky vypracované odbornými či zájmovými organizacemi</w:t>
      </w:r>
      <w:r>
        <w:t>.</w:t>
      </w:r>
      <w:r w:rsidR="006937B6">
        <w:rPr>
          <w:rStyle w:val="FootnoteReference"/>
        </w:rPr>
        <w:footnoteReference w:id="24"/>
      </w:r>
      <w:r w:rsidR="00EF3489">
        <w:t xml:space="preserve"> FIDIC jako Mezinárodní federace konzultačních inženýrů</w:t>
      </w:r>
      <w:r w:rsidR="00EF3489">
        <w:rPr>
          <w:rStyle w:val="FootnoteReference"/>
        </w:rPr>
        <w:footnoteReference w:id="25"/>
      </w:r>
      <w:r>
        <w:t xml:space="preserve"> </w:t>
      </w:r>
      <w:r w:rsidR="00606C8A">
        <w:t>znak odborné organizace jistě naplňuje.</w:t>
      </w:r>
      <w:r w:rsidR="0020722B">
        <w:t xml:space="preserve"> Předpokladem použití smluvních podmínek FIDIC tak je uzavření smlouvy o dílo společně s uvedením odkazu na tyto smluvní podmínky, které se okamžikem uz</w:t>
      </w:r>
      <w:r w:rsidR="00580BD3">
        <w:t xml:space="preserve">avření smlouvy </w:t>
      </w:r>
      <w:r w:rsidR="0020722B">
        <w:t xml:space="preserve">stávají součástí </w:t>
      </w:r>
      <w:r w:rsidR="005421DC">
        <w:t xml:space="preserve">této </w:t>
      </w:r>
      <w:r w:rsidR="0020722B">
        <w:t xml:space="preserve">smlouvy. </w:t>
      </w:r>
    </w:p>
    <w:p w14:paraId="4A019CE3" w14:textId="772B3F38" w:rsidR="005421DC" w:rsidRPr="008A2294" w:rsidRDefault="005421DC" w:rsidP="00E36AB2">
      <w:r>
        <w:t>Smluvní podmínky FIDIC jsou vytvářeny pro účely staveb</w:t>
      </w:r>
      <w:r w:rsidR="00920388">
        <w:t>ních projektů, které dosahují značné</w:t>
      </w:r>
      <w:r>
        <w:t xml:space="preserve"> složitosti, jak co do realizace samotného projektu, tak co do počtu subjektů zúčastněných na realizaci.</w:t>
      </w:r>
      <w:r w:rsidR="005911CE">
        <w:t xml:space="preserve"> S jejich aplikací se můžeme již běžně setkat i v České republice. </w:t>
      </w:r>
      <w:r w:rsidR="005911CE">
        <w:lastRenderedPageBreak/>
        <w:t>Právě CONS byly podkladem např. pro přijetí tzv. Obchodních podmínek staveb pozemních komunikací</w:t>
      </w:r>
      <w:r w:rsidR="005911CE">
        <w:rPr>
          <w:rStyle w:val="FootnoteReference"/>
        </w:rPr>
        <w:footnoteReference w:id="26"/>
      </w:r>
      <w:r w:rsidR="005911CE">
        <w:t xml:space="preserve">, které se používají při realizaci veřejných zakázek na infrastrukturní projekty. </w:t>
      </w:r>
      <w:r>
        <w:t xml:space="preserve"> </w:t>
      </w:r>
      <w:r w:rsidR="00B714B1">
        <w:t>P</w:t>
      </w:r>
      <w:r>
        <w:t>roto je vhodné se smluvními podmínk</w:t>
      </w:r>
      <w:r w:rsidR="003B72AA">
        <w:t>ami FIDIC zabývat podrobněji a snad</w:t>
      </w:r>
      <w:r>
        <w:t xml:space="preserve"> se jimi </w:t>
      </w:r>
      <w:r w:rsidR="003B72AA">
        <w:t xml:space="preserve">i </w:t>
      </w:r>
      <w:r>
        <w:t>inspirovat.</w:t>
      </w:r>
      <w:r w:rsidR="00692897">
        <w:t xml:space="preserve"> V dalších částech této práce </w:t>
      </w:r>
      <w:r w:rsidR="003B72AA">
        <w:t>k nim</w:t>
      </w:r>
      <w:r w:rsidR="003B72AA">
        <w:rPr>
          <w:rStyle w:val="FootnoteReference"/>
        </w:rPr>
        <w:footnoteReference w:id="27"/>
      </w:r>
      <w:r w:rsidR="00EA5A8F">
        <w:t xml:space="preserve"> je</w:t>
      </w:r>
      <w:r w:rsidR="003B72AA">
        <w:t xml:space="preserve"> </w:t>
      </w:r>
      <w:r w:rsidR="00692897">
        <w:t xml:space="preserve">tedy </w:t>
      </w:r>
      <w:r w:rsidR="003B72AA">
        <w:t xml:space="preserve">přihlédnuto a vybrané články těchto smluvních </w:t>
      </w:r>
      <w:r w:rsidR="00EA5A8F">
        <w:t>podmínek jsou</w:t>
      </w:r>
      <w:r w:rsidR="003B72AA">
        <w:t xml:space="preserve"> blíže analyzovány a komparovány s českou právní úpravou.</w:t>
      </w:r>
    </w:p>
    <w:p w14:paraId="7AAE5C47" w14:textId="6FFDA92C" w:rsidR="008A4C76" w:rsidRDefault="008A4C76" w:rsidP="00D77D42">
      <w:pPr>
        <w:pStyle w:val="Heading3"/>
      </w:pPr>
      <w:bookmarkStart w:id="25" w:name="_Toc460832676"/>
      <w:r>
        <w:t>S</w:t>
      </w:r>
      <w:r w:rsidR="00E06230">
        <w:t>právce stavby</w:t>
      </w:r>
      <w:bookmarkEnd w:id="25"/>
    </w:p>
    <w:p w14:paraId="673BC329" w14:textId="3DF13CE3" w:rsidR="00E46E0E" w:rsidRDefault="002F3A7C" w:rsidP="00E46E0E">
      <w:r>
        <w:t xml:space="preserve">V rámci dodavatelsko-odběratelských vztahů, jejichž předmětem je zhotovení stavby, se můžeme setkat </w:t>
      </w:r>
      <w:r w:rsidR="000D7A79">
        <w:t>ještě s přítomností dalšího subjektu, tzv. správce</w:t>
      </w:r>
      <w:r>
        <w:t xml:space="preserve"> stavby. </w:t>
      </w:r>
      <w:r w:rsidR="00EE1983">
        <w:t>Tento</w:t>
      </w:r>
      <w:r w:rsidR="00164583">
        <w:t xml:space="preserve"> subjekt </w:t>
      </w:r>
      <w:r>
        <w:t>je ve smluvním vztahu s</w:t>
      </w:r>
      <w:r w:rsidR="00EA0577">
        <w:t> odběratelem, p</w:t>
      </w:r>
      <w:r w:rsidR="00341F10">
        <w:t>řesto by měl být spíše nezávislý, neboť jeho úlohou je provádění dozoru na stavbě, převzetí st</w:t>
      </w:r>
      <w:r w:rsidR="00EA0577">
        <w:t>avebního díla či jeho částí,</w:t>
      </w:r>
      <w:r w:rsidR="00341F10">
        <w:t xml:space="preserve"> vydávání potvrzení dodavateli (např. o převzetí díla)</w:t>
      </w:r>
      <w:r w:rsidR="00FF4DD4">
        <w:t xml:space="preserve">, </w:t>
      </w:r>
      <w:r w:rsidR="00BC2865">
        <w:t xml:space="preserve">dále pak </w:t>
      </w:r>
      <w:r w:rsidR="00FF4DD4">
        <w:t>zprostředkování komunikace mezi odběratelem</w:t>
      </w:r>
      <w:r w:rsidR="00BC2865">
        <w:t xml:space="preserve"> a dodavatelem a mnohdy i předcházení případným sporům nebo vedení stran k vzájemné dohodě</w:t>
      </w:r>
      <w:r w:rsidR="00341F10">
        <w:t>.</w:t>
      </w:r>
      <w:r w:rsidR="00341F10">
        <w:rPr>
          <w:rStyle w:val="FootnoteReference"/>
        </w:rPr>
        <w:footnoteReference w:id="28"/>
      </w:r>
      <w:r w:rsidR="00E46E0E">
        <w:t xml:space="preserve"> </w:t>
      </w:r>
      <w:r w:rsidR="00C768BD">
        <w:t>S</w:t>
      </w:r>
      <w:r w:rsidR="00341F10">
        <w:t>právce stavby předpokládá i § 2630 odst. 1 písm. c) ObčZ</w:t>
      </w:r>
      <w:r w:rsidR="00E46E0E">
        <w:t xml:space="preserve"> a též CONS</w:t>
      </w:r>
      <w:r w:rsidR="005C19C4">
        <w:t xml:space="preserve"> </w:t>
      </w:r>
      <w:r w:rsidR="00EA0577">
        <w:t xml:space="preserve">a v této souvislosti je tedy jeho </w:t>
      </w:r>
      <w:r w:rsidR="00C768BD">
        <w:t xml:space="preserve">přítomnost </w:t>
      </w:r>
      <w:r w:rsidR="00EA0577">
        <w:t xml:space="preserve">zohledněna </w:t>
      </w:r>
      <w:r w:rsidR="00C768BD">
        <w:t>v dalších částech této práce</w:t>
      </w:r>
      <w:r w:rsidR="00E46E0E">
        <w:t xml:space="preserve">. </w:t>
      </w:r>
      <w:bookmarkStart w:id="26" w:name="_Toc442203395"/>
      <w:bookmarkStart w:id="27" w:name="_Toc442203472"/>
    </w:p>
    <w:p w14:paraId="2AE53877" w14:textId="7ABAD715" w:rsidR="00D514B6" w:rsidRDefault="00A05696" w:rsidP="00E46E0E">
      <w:pPr>
        <w:pStyle w:val="Heading2"/>
      </w:pPr>
      <w:bookmarkStart w:id="28" w:name="_Toc460832677"/>
      <w:r>
        <w:t>V</w:t>
      </w:r>
      <w:r w:rsidR="00D514B6" w:rsidRPr="00567FAB">
        <w:t>ymezení DO vztahů pro účely práce</w:t>
      </w:r>
      <w:bookmarkEnd w:id="26"/>
      <w:bookmarkEnd w:id="27"/>
      <w:bookmarkEnd w:id="28"/>
    </w:p>
    <w:p w14:paraId="36B3F65D" w14:textId="42D9B194" w:rsidR="00D514B6" w:rsidRDefault="00D514B6" w:rsidP="00D514B6">
      <w:r>
        <w:t>Pro</w:t>
      </w:r>
      <w:r w:rsidR="002F0DF3">
        <w:t xml:space="preserve"> další zkoumání jsou dodavatelsko-odběratelské vztahy zúženy na </w:t>
      </w:r>
      <w:r>
        <w:t xml:space="preserve">soukromoprávní </w:t>
      </w:r>
      <w:r w:rsidR="007743ED">
        <w:t>B2B</w:t>
      </w:r>
      <w:r>
        <w:t xml:space="preserve"> </w:t>
      </w:r>
      <w:r w:rsidR="002F0DF3">
        <w:t>závazky. S</w:t>
      </w:r>
      <w:r>
        <w:t xml:space="preserve">ubjektem zkoumaných vztahů </w:t>
      </w:r>
      <w:r w:rsidR="002F0DF3">
        <w:t xml:space="preserve">je </w:t>
      </w:r>
      <w:r w:rsidR="006F0AEA">
        <w:t xml:space="preserve">tedy </w:t>
      </w:r>
      <w:r>
        <w:t xml:space="preserve">vždy podnikatel, ať </w:t>
      </w:r>
      <w:r w:rsidR="002F0DF3">
        <w:t xml:space="preserve">už </w:t>
      </w:r>
      <w:r>
        <w:t xml:space="preserve">v postavení odběratele, </w:t>
      </w:r>
      <w:r w:rsidR="002F0DF3">
        <w:t>dodavatele, tak</w:t>
      </w:r>
      <w:r>
        <w:t xml:space="preserve"> všech subdodavatelů. </w:t>
      </w:r>
      <w:r w:rsidR="006F0AEA">
        <w:t xml:space="preserve">Práce se tedy nezabývá otázkami spotřebitelského práva. </w:t>
      </w:r>
      <w:r>
        <w:t xml:space="preserve">Předmětem této práce dále budou pouze soukromoprávní vztahy, tedy nikoli vztahy vzniklé na základě procesu zadávání veřejných zakázek. </w:t>
      </w:r>
    </w:p>
    <w:p w14:paraId="30FF0C0D" w14:textId="412DB3EB" w:rsidR="00D514B6" w:rsidRDefault="00D431E6" w:rsidP="00D514B6">
      <w:r>
        <w:t>Vzhledem k rozdílům mezi kupní smlouvou a smlouvou o dílo n</w:t>
      </w:r>
      <w:r w:rsidR="00D514B6">
        <w:t>ení v možnostech této práce zohlednit oba smluvní typy, a proto se tato práce zamě</w:t>
      </w:r>
      <w:r w:rsidR="00A752F4">
        <w:t>ří pouze na takové dodavatelsko</w:t>
      </w:r>
      <w:r w:rsidR="00A752F4">
        <w:noBreakHyphen/>
      </w:r>
      <w:r w:rsidR="00D514B6">
        <w:t>odběratelské vztahy, které jsou zakládány smlouvou o dílo</w:t>
      </w:r>
      <w:r w:rsidR="00B95F85">
        <w:t>, ať už</w:t>
      </w:r>
      <w:r w:rsidR="00D83890">
        <w:t xml:space="preserve"> na úrovni hlavní</w:t>
      </w:r>
      <w:r w:rsidR="00FC3A0E">
        <w:t>ho</w:t>
      </w:r>
      <w:r w:rsidR="00D83890">
        <w:t xml:space="preserve"> dodavatelské</w:t>
      </w:r>
      <w:r w:rsidR="002667DA">
        <w:t>ho</w:t>
      </w:r>
      <w:r w:rsidR="00FC3A0E">
        <w:t xml:space="preserve"> vztahu</w:t>
      </w:r>
      <w:r w:rsidR="00D83890">
        <w:t>, tak na úrovni subdodavatelské</w:t>
      </w:r>
      <w:r w:rsidR="00FC3A0E">
        <w:t>ho vztahu</w:t>
      </w:r>
      <w:r w:rsidR="00F40C0C">
        <w:t>.</w:t>
      </w:r>
      <w:r>
        <w:t xml:space="preserve"> Vztah mezi odběratelem</w:t>
      </w:r>
      <w:r w:rsidR="002F0DF3">
        <w:t xml:space="preserve"> (objednatelem)</w:t>
      </w:r>
      <w:r>
        <w:t xml:space="preserve"> a hlavním dodavatelem </w:t>
      </w:r>
      <w:r w:rsidR="002F0DF3">
        <w:t xml:space="preserve">(zhotovitelem) </w:t>
      </w:r>
      <w:r>
        <w:t>bude tedy v níže uvedených případech zakládán smlouvou o dílo, stejně jako vztah mezi hlavním dodavatelem</w:t>
      </w:r>
      <w:r w:rsidR="002F0DF3">
        <w:t xml:space="preserve"> (objednatelem)</w:t>
      </w:r>
      <w:r>
        <w:t xml:space="preserve"> a každým ze subdodavatelů</w:t>
      </w:r>
      <w:r w:rsidR="002F0DF3">
        <w:t xml:space="preserve"> (zhotovitelů)</w:t>
      </w:r>
      <w:r>
        <w:t xml:space="preserve">. </w:t>
      </w:r>
    </w:p>
    <w:p w14:paraId="419E7D7B" w14:textId="77777777" w:rsidR="00DE016C" w:rsidRDefault="00DE016C">
      <w:pPr>
        <w:spacing w:line="240" w:lineRule="auto"/>
        <w:ind w:firstLine="0"/>
        <w:jc w:val="left"/>
        <w:rPr>
          <w:rFonts w:eastAsiaTheme="majorEastAsia" w:cs="Times New Roman"/>
          <w:b/>
          <w:color w:val="000000" w:themeColor="text1"/>
          <w:sz w:val="32"/>
          <w:szCs w:val="32"/>
        </w:rPr>
      </w:pPr>
      <w:bookmarkStart w:id="29" w:name="_Toc442203399"/>
      <w:bookmarkStart w:id="30" w:name="_Toc442203476"/>
      <w:r>
        <w:br w:type="page"/>
      </w:r>
    </w:p>
    <w:p w14:paraId="2D6B6788" w14:textId="43B19841" w:rsidR="006F3C65" w:rsidRDefault="00B478DB" w:rsidP="008C214A">
      <w:pPr>
        <w:pStyle w:val="Heading1"/>
      </w:pPr>
      <w:bookmarkStart w:id="31" w:name="_Toc460832678"/>
      <w:r>
        <w:lastRenderedPageBreak/>
        <w:t>P</w:t>
      </w:r>
      <w:r w:rsidR="006F3C65">
        <w:t>orušení smluvních povinností</w:t>
      </w:r>
      <w:r w:rsidR="004C0FA1">
        <w:t xml:space="preserve"> v dodavatelsko-odběratelských vztazích</w:t>
      </w:r>
      <w:bookmarkEnd w:id="31"/>
    </w:p>
    <w:p w14:paraId="63E4D720" w14:textId="6A0F49B3" w:rsidR="00F258A6" w:rsidRPr="00F258A6" w:rsidRDefault="00B478DB" w:rsidP="00DC0F46">
      <w:pPr>
        <w:pStyle w:val="Heading2"/>
      </w:pPr>
      <w:bookmarkStart w:id="32" w:name="_Toc460832679"/>
      <w:r>
        <w:t xml:space="preserve">Způsoby </w:t>
      </w:r>
      <w:r w:rsidR="00F258A6">
        <w:t>porušení smluvních povinností</w:t>
      </w:r>
      <w:bookmarkEnd w:id="32"/>
    </w:p>
    <w:p w14:paraId="3522CF0E" w14:textId="153BDB37" w:rsidR="00710868" w:rsidRDefault="006F3C65" w:rsidP="006F3C65">
      <w:r>
        <w:t>Za porušení smlouvy je nutno považovat „</w:t>
      </w:r>
      <w:r>
        <w:rPr>
          <w:i/>
        </w:rPr>
        <w:t>jakoukoliv odchylku toho, co mezi stranami je, od toho, co by na základě jejich závazku být mělo.</w:t>
      </w:r>
      <w:r>
        <w:t>“</w:t>
      </w:r>
      <w:r>
        <w:rPr>
          <w:rStyle w:val="FootnoteReference"/>
        </w:rPr>
        <w:footnoteReference w:id="29"/>
      </w:r>
      <w:r w:rsidR="008641B8">
        <w:t xml:space="preserve"> Vezmeme-li v potaz rozdíl mezi obsahem smlouvy a obsahem závazku, spočívající v rozsahu práv a povinností, dojdeme k výsledku, že obsah závazku je mnohem širší než obsah smlouvy.</w:t>
      </w:r>
      <w:r w:rsidR="008641B8">
        <w:rPr>
          <w:rStyle w:val="FootnoteReference"/>
        </w:rPr>
        <w:footnoteReference w:id="30"/>
      </w:r>
      <w:r w:rsidR="00710868">
        <w:t xml:space="preserve"> Proto lze též říci, že porušením nebude jen porušení povinnosti dlužníka plnit dluh, nebo porušení povinnosti věřitele zaplatit za plnění, avšak i mnoho dalších</w:t>
      </w:r>
      <w:r w:rsidR="00552294">
        <w:t>, ze závazku plynoucích</w:t>
      </w:r>
      <w:r w:rsidR="00710868">
        <w:t xml:space="preserve"> povinností. Obsahem závazku jsou totiž nejen povinnosti primární, ale i povinnosti sekundární. </w:t>
      </w:r>
      <w:r w:rsidR="004160FD">
        <w:t>Následky tak má</w:t>
      </w:r>
      <w:r w:rsidR="00CE3054">
        <w:t xml:space="preserve"> jakékoliv</w:t>
      </w:r>
      <w:r w:rsidR="004160FD">
        <w:t xml:space="preserve"> porušení smlouvy. </w:t>
      </w:r>
      <w:r w:rsidR="00710868">
        <w:t>Pokud by s porušením sekundárních povinností nebyly spojeny žádné následky, pak by tyto povinnosti postrádaly svůj smysl.</w:t>
      </w:r>
    </w:p>
    <w:p w14:paraId="7C4CEDC3" w14:textId="774C0487" w:rsidR="00710868" w:rsidRDefault="00710868" w:rsidP="008F2D20">
      <w:r>
        <w:t xml:space="preserve">Dosavadní </w:t>
      </w:r>
      <w:r w:rsidR="0054683C">
        <w:t>klasifikace mnohdy zaměňuje způsoby porušení smlouvy s</w:t>
      </w:r>
      <w:r>
        <w:t xml:space="preserve"> následky těchto porušení. </w:t>
      </w:r>
      <w:r w:rsidR="008F2D20">
        <w:t>Můžeme se však setkat s</w:t>
      </w:r>
      <w:r w:rsidR="0054683C">
        <w:t xml:space="preserve"> takovou koncepcí</w:t>
      </w:r>
      <w:r w:rsidR="008F2D20">
        <w:t xml:space="preserve">, která mezi </w:t>
      </w:r>
      <w:r w:rsidR="0054683C">
        <w:t xml:space="preserve">způsoby porušení smlouvy </w:t>
      </w:r>
      <w:r w:rsidR="008F2D20">
        <w:t>řadí závazkový delikt, nemožnost plnění, vadné splnění a</w:t>
      </w:r>
      <w:r>
        <w:t xml:space="preserve"> prodlení věřitele či dlužníka.</w:t>
      </w:r>
      <w:r>
        <w:rPr>
          <w:rStyle w:val="FootnoteReference"/>
        </w:rPr>
        <w:footnoteReference w:id="31"/>
      </w:r>
      <w:r>
        <w:t xml:space="preserve"> Uvedené členění, které nahrazuje dosavadní dělení způsobů </w:t>
      </w:r>
      <w:r w:rsidR="0044517D">
        <w:t xml:space="preserve">porušení smlouvy </w:t>
      </w:r>
      <w:r>
        <w:t>na odpovědnost za prodlení, odpovědnost za vady a odpovědnost za škodu,</w:t>
      </w:r>
      <w:r w:rsidR="0054683C">
        <w:t xml:space="preserve"> dělí </w:t>
      </w:r>
      <w:r>
        <w:t>způsoby porušení smlouvy</w:t>
      </w:r>
      <w:r w:rsidR="0054683C">
        <w:t xml:space="preserve"> dle druhu porušované povinnosti, přičemž jednotlivým porušením odpovídají</w:t>
      </w:r>
      <w:r w:rsidR="00405CFB">
        <w:t xml:space="preserve"> konkrétní</w:t>
      </w:r>
      <w:r w:rsidR="0054683C">
        <w:t xml:space="preserve"> právní následky</w:t>
      </w:r>
      <w:r>
        <w:t xml:space="preserve">. </w:t>
      </w:r>
    </w:p>
    <w:p w14:paraId="577B0E3D" w14:textId="5D321341" w:rsidR="004160FD" w:rsidRPr="006B3E15" w:rsidRDefault="004160FD" w:rsidP="006B3E15">
      <w:pPr>
        <w:rPr>
          <w:rFonts w:cs="Times New Roman"/>
        </w:rPr>
      </w:pPr>
      <w:r>
        <w:t xml:space="preserve">Cílem této části je </w:t>
      </w:r>
      <w:r w:rsidR="0054683C">
        <w:t>analýza vybraného</w:t>
      </w:r>
      <w:r>
        <w:t xml:space="preserve"> způsob</w:t>
      </w:r>
      <w:r w:rsidR="0054683C">
        <w:t>u</w:t>
      </w:r>
      <w:r>
        <w:t xml:space="preserve"> porušení smluvní povinnosti</w:t>
      </w:r>
      <w:r w:rsidR="00944D19">
        <w:t xml:space="preserve">. Pro účely této práce byl vybrán způsob porušení smluvní povinnosti </w:t>
      </w:r>
      <w:r>
        <w:t>spočívající ve vadném splnění.</w:t>
      </w:r>
      <w:r w:rsidR="006B3E15">
        <w:t xml:space="preserve"> </w:t>
      </w:r>
      <w:r w:rsidR="006B3E15" w:rsidRPr="00567FAB">
        <w:rPr>
          <w:rFonts w:cs="Times New Roman"/>
        </w:rPr>
        <w:t>Úkolem této části je zjistit, jak</w:t>
      </w:r>
      <w:r w:rsidR="006B3E15">
        <w:rPr>
          <w:rFonts w:cs="Times New Roman"/>
        </w:rPr>
        <w:t>é předpoklady musí být naplněny ke vzniku práv a povinností</w:t>
      </w:r>
      <w:r w:rsidR="006B3E15" w:rsidRPr="00567FAB">
        <w:rPr>
          <w:rFonts w:cs="Times New Roman"/>
        </w:rPr>
        <w:t xml:space="preserve"> z</w:t>
      </w:r>
      <w:r w:rsidR="00A51107">
        <w:rPr>
          <w:rFonts w:cs="Times New Roman"/>
        </w:rPr>
        <w:t> </w:t>
      </w:r>
      <w:r w:rsidR="006B3E15" w:rsidRPr="00567FAB">
        <w:rPr>
          <w:rFonts w:cs="Times New Roman"/>
        </w:rPr>
        <w:t xml:space="preserve">vad díla. </w:t>
      </w:r>
      <w:r w:rsidR="006B3E15">
        <w:rPr>
          <w:rFonts w:cs="Times New Roman"/>
        </w:rPr>
        <w:t>Dřívější</w:t>
      </w:r>
      <w:r w:rsidR="006B3E15" w:rsidRPr="00567FAB">
        <w:rPr>
          <w:rFonts w:cs="Times New Roman"/>
        </w:rPr>
        <w:t xml:space="preserve"> terminologie „práva z odpovědnosti za vady“ se s účinností ObčZ mění a nově</w:t>
      </w:r>
      <w:r w:rsidR="006B3E15">
        <w:rPr>
          <w:rStyle w:val="FootnoteReference"/>
          <w:rFonts w:cs="Times New Roman"/>
        </w:rPr>
        <w:footnoteReference w:id="32"/>
      </w:r>
      <w:r w:rsidR="006B3E15" w:rsidRPr="00567FAB">
        <w:rPr>
          <w:rFonts w:cs="Times New Roman"/>
        </w:rPr>
        <w:t xml:space="preserve"> se v zákoně setkáme s pojmy „práva z vadného plnění“ a „povinnosti z vadného plnění“. Ke vzniku </w:t>
      </w:r>
      <w:r w:rsidR="004001B7">
        <w:rPr>
          <w:rFonts w:cs="Times New Roman"/>
        </w:rPr>
        <w:t>právních následků vadného splnění</w:t>
      </w:r>
      <w:r w:rsidR="006B3E15" w:rsidRPr="00567FAB">
        <w:rPr>
          <w:rFonts w:cs="Times New Roman"/>
        </w:rPr>
        <w:t xml:space="preserve"> je nutné naplnit určité zákonem stanovené předpoklady. Tyto předpoklady vychází jednak z obecných ustanovení o právech z vad v hlavě I., část</w:t>
      </w:r>
      <w:r w:rsidR="00BF4BC5">
        <w:rPr>
          <w:rFonts w:cs="Times New Roman"/>
        </w:rPr>
        <w:t>i čtvrté ObčZ, jednak ze zvlášt</w:t>
      </w:r>
      <w:r w:rsidR="006B3E15" w:rsidRPr="00567FAB">
        <w:rPr>
          <w:rFonts w:cs="Times New Roman"/>
        </w:rPr>
        <w:t>ních ustanovení u typových smluv v hlavě II</w:t>
      </w:r>
      <w:r w:rsidR="006B3E15">
        <w:rPr>
          <w:rFonts w:cs="Times New Roman"/>
        </w:rPr>
        <w:t>.</w:t>
      </w:r>
      <w:r w:rsidR="006B3E15" w:rsidRPr="00567FAB">
        <w:rPr>
          <w:rFonts w:cs="Times New Roman"/>
        </w:rPr>
        <w:t xml:space="preserve">, části čtvrté ObčZ.  </w:t>
      </w:r>
      <w:r w:rsidR="006B3E15">
        <w:rPr>
          <w:rFonts w:cs="Times New Roman"/>
        </w:rPr>
        <w:t xml:space="preserve">Účelem této části je porovnat jak obecnou, tak zvláštní úpravu. </w:t>
      </w:r>
      <w:r w:rsidR="006B3E15" w:rsidRPr="00567FAB">
        <w:rPr>
          <w:rFonts w:cs="Times New Roman"/>
        </w:rPr>
        <w:t xml:space="preserve">Cílem je dále zjistit, zda může vzniknout tzv. spoluodpovědnost za řádné splnění díla subdodavatelů společně s hlavním </w:t>
      </w:r>
      <w:r w:rsidR="006B3E15" w:rsidRPr="00567FAB">
        <w:rPr>
          <w:rFonts w:cs="Times New Roman"/>
        </w:rPr>
        <w:lastRenderedPageBreak/>
        <w:t>dodavatelem,</w:t>
      </w:r>
      <w:r w:rsidR="006B3E15">
        <w:rPr>
          <w:rFonts w:cs="Times New Roman"/>
        </w:rPr>
        <w:t xml:space="preserve"> a</w:t>
      </w:r>
      <w:r w:rsidR="006B3E15" w:rsidRPr="00567FAB">
        <w:rPr>
          <w:rFonts w:cs="Times New Roman"/>
        </w:rPr>
        <w:t xml:space="preserve"> jaké zákonné předpoklady </w:t>
      </w:r>
      <w:r w:rsidR="006B3E15">
        <w:rPr>
          <w:rFonts w:cs="Times New Roman"/>
        </w:rPr>
        <w:t xml:space="preserve">pro to </w:t>
      </w:r>
      <w:r w:rsidR="006B3E15" w:rsidRPr="00567FAB">
        <w:rPr>
          <w:rFonts w:cs="Times New Roman"/>
        </w:rPr>
        <w:t xml:space="preserve">musí být </w:t>
      </w:r>
      <w:r w:rsidR="006B3E15">
        <w:rPr>
          <w:rFonts w:cs="Times New Roman"/>
        </w:rPr>
        <w:t>splněny</w:t>
      </w:r>
      <w:r w:rsidR="006B3E15" w:rsidRPr="00567FAB">
        <w:rPr>
          <w:rFonts w:cs="Times New Roman"/>
        </w:rPr>
        <w:t xml:space="preserve"> s ohledem na dodržení všech zákl</w:t>
      </w:r>
      <w:r w:rsidR="006B3E15">
        <w:rPr>
          <w:rFonts w:cs="Times New Roman"/>
        </w:rPr>
        <w:t>adních zásad soukromého práva.</w:t>
      </w:r>
    </w:p>
    <w:p w14:paraId="69A0DF31" w14:textId="08C2ED32" w:rsidR="004160FD" w:rsidRPr="00F375AE" w:rsidRDefault="00F258A6" w:rsidP="004534C1">
      <w:pPr>
        <w:pStyle w:val="Heading2"/>
      </w:pPr>
      <w:bookmarkStart w:id="33" w:name="_Toc460832680"/>
      <w:r>
        <w:t>Vadné splnění jako způsob porušení smluvních povinností</w:t>
      </w:r>
      <w:bookmarkEnd w:id="29"/>
      <w:bookmarkEnd w:id="30"/>
      <w:bookmarkEnd w:id="33"/>
    </w:p>
    <w:p w14:paraId="77946AAF" w14:textId="23C7BE92" w:rsidR="006559EF" w:rsidRPr="00567FAB" w:rsidRDefault="006559EF" w:rsidP="006559EF">
      <w:pPr>
        <w:rPr>
          <w:rFonts w:cs="Times New Roman"/>
        </w:rPr>
      </w:pPr>
      <w:r w:rsidRPr="00567FAB">
        <w:rPr>
          <w:rFonts w:cs="Times New Roman"/>
        </w:rPr>
        <w:t xml:space="preserve">Ke zjištění, zda </w:t>
      </w:r>
      <w:r w:rsidR="0084206D">
        <w:rPr>
          <w:rFonts w:cs="Times New Roman"/>
        </w:rPr>
        <w:t>došlo k vadnému splnění</w:t>
      </w:r>
      <w:r w:rsidR="0053672A">
        <w:rPr>
          <w:rFonts w:cs="Times New Roman"/>
        </w:rPr>
        <w:t xml:space="preserve"> a ke vzniku práv a povinností z vadného splnění</w:t>
      </w:r>
      <w:r w:rsidRPr="00567FAB">
        <w:rPr>
          <w:rFonts w:cs="Times New Roman"/>
        </w:rPr>
        <w:t xml:space="preserve">, je nutno zkoumat </w:t>
      </w:r>
      <w:r w:rsidR="00163685">
        <w:rPr>
          <w:rFonts w:cs="Times New Roman"/>
        </w:rPr>
        <w:t>následující zákonné předpoklady</w:t>
      </w:r>
      <w:r w:rsidR="00480B96">
        <w:rPr>
          <w:rStyle w:val="FootnoteReference"/>
          <w:rFonts w:cs="Times New Roman"/>
        </w:rPr>
        <w:footnoteReference w:id="33"/>
      </w:r>
      <w:r w:rsidRPr="00567FAB">
        <w:rPr>
          <w:rFonts w:cs="Times New Roman"/>
        </w:rPr>
        <w:t>:</w:t>
      </w:r>
    </w:p>
    <w:p w14:paraId="61A07947" w14:textId="50A898D2" w:rsidR="00F145D9" w:rsidRPr="002C38D1" w:rsidRDefault="00F145D9" w:rsidP="00524BCA">
      <w:pPr>
        <w:pStyle w:val="ListParagraph"/>
        <w:numPr>
          <w:ilvl w:val="0"/>
          <w:numId w:val="23"/>
        </w:numPr>
        <w:rPr>
          <w:rFonts w:cs="Times New Roman"/>
        </w:rPr>
      </w:pPr>
      <w:r w:rsidRPr="002C38D1">
        <w:rPr>
          <w:rFonts w:cs="Times New Roman"/>
        </w:rPr>
        <w:t>subjekty práv a povinností z vadného splnění</w:t>
      </w:r>
      <w:r w:rsidR="004158D3">
        <w:rPr>
          <w:rFonts w:cs="Times New Roman"/>
        </w:rPr>
        <w:t>,</w:t>
      </w:r>
    </w:p>
    <w:p w14:paraId="13CDB303" w14:textId="465668EF" w:rsidR="006559EF" w:rsidRPr="002C38D1" w:rsidRDefault="002C38D1" w:rsidP="00524BCA">
      <w:pPr>
        <w:pStyle w:val="ListParagraph"/>
        <w:numPr>
          <w:ilvl w:val="0"/>
          <w:numId w:val="23"/>
        </w:numPr>
        <w:rPr>
          <w:rFonts w:cs="Times New Roman"/>
        </w:rPr>
      </w:pPr>
      <w:r w:rsidRPr="002C38D1">
        <w:rPr>
          <w:rFonts w:cs="Times New Roman"/>
        </w:rPr>
        <w:t>úplatnost závazku</w:t>
      </w:r>
      <w:r w:rsidR="006559EF" w:rsidRPr="002C38D1">
        <w:rPr>
          <w:rFonts w:cs="Times New Roman"/>
        </w:rPr>
        <w:t>,</w:t>
      </w:r>
    </w:p>
    <w:p w14:paraId="2CDF95EC" w14:textId="6EFB8BB3" w:rsidR="0090093F" w:rsidRPr="00B97EF2" w:rsidRDefault="002C38D1" w:rsidP="00B97EF2">
      <w:pPr>
        <w:pStyle w:val="ListParagraph"/>
        <w:numPr>
          <w:ilvl w:val="0"/>
          <w:numId w:val="23"/>
        </w:numPr>
        <w:rPr>
          <w:rFonts w:cs="Times New Roman"/>
        </w:rPr>
      </w:pPr>
      <w:r w:rsidRPr="00B97EF2">
        <w:rPr>
          <w:rFonts w:cs="Times New Roman"/>
        </w:rPr>
        <w:t>porušení povinnosti</w:t>
      </w:r>
      <w:r w:rsidR="0084206D" w:rsidRPr="00B97EF2">
        <w:rPr>
          <w:rFonts w:cs="Times New Roman"/>
        </w:rPr>
        <w:t xml:space="preserve"> splnit řádně</w:t>
      </w:r>
      <w:r w:rsidRPr="00B97EF2">
        <w:rPr>
          <w:rFonts w:cs="Times New Roman"/>
        </w:rPr>
        <w:t xml:space="preserve"> a převz</w:t>
      </w:r>
      <w:r w:rsidR="00967AA0" w:rsidRPr="00B97EF2">
        <w:rPr>
          <w:rFonts w:cs="Times New Roman"/>
        </w:rPr>
        <w:t xml:space="preserve">etí vadného </w:t>
      </w:r>
      <w:r w:rsidRPr="00B97EF2">
        <w:rPr>
          <w:rFonts w:cs="Times New Roman"/>
        </w:rPr>
        <w:t>plnění</w:t>
      </w:r>
      <w:r w:rsidR="004158D3">
        <w:rPr>
          <w:rFonts w:cs="Times New Roman"/>
        </w:rPr>
        <w:t>,</w:t>
      </w:r>
    </w:p>
    <w:p w14:paraId="468A4C25" w14:textId="072AA77D" w:rsidR="00F375AE" w:rsidRPr="002C38D1" w:rsidRDefault="00F375AE" w:rsidP="00524BCA">
      <w:pPr>
        <w:pStyle w:val="ListParagraph"/>
        <w:numPr>
          <w:ilvl w:val="0"/>
          <w:numId w:val="23"/>
        </w:numPr>
        <w:rPr>
          <w:rFonts w:cs="Times New Roman"/>
        </w:rPr>
      </w:pPr>
      <w:r w:rsidRPr="002C38D1">
        <w:rPr>
          <w:rFonts w:cs="Times New Roman"/>
        </w:rPr>
        <w:t>kvalita vady,</w:t>
      </w:r>
    </w:p>
    <w:p w14:paraId="5C4F41A7" w14:textId="432B42F2" w:rsidR="006559EF" w:rsidRPr="002C38D1" w:rsidRDefault="006559EF" w:rsidP="00AA4BE6">
      <w:pPr>
        <w:pStyle w:val="ListParagraph"/>
        <w:numPr>
          <w:ilvl w:val="0"/>
          <w:numId w:val="23"/>
        </w:numPr>
      </w:pPr>
      <w:r w:rsidRPr="002C38D1">
        <w:rPr>
          <w:rFonts w:cs="Times New Roman"/>
        </w:rPr>
        <w:t>neexistence okolností vylučujících vznik prá</w:t>
      </w:r>
      <w:r w:rsidR="002C38D1" w:rsidRPr="002C38D1">
        <w:rPr>
          <w:rFonts w:cs="Times New Roman"/>
        </w:rPr>
        <w:t xml:space="preserve">v a povinností z vadného </w:t>
      </w:r>
      <w:r w:rsidR="00967AA0">
        <w:rPr>
          <w:rFonts w:cs="Times New Roman"/>
        </w:rPr>
        <w:t>s</w:t>
      </w:r>
      <w:r w:rsidR="002C38D1" w:rsidRPr="002C38D1">
        <w:rPr>
          <w:rFonts w:cs="Times New Roman"/>
        </w:rPr>
        <w:t>plnění</w:t>
      </w:r>
      <w:r w:rsidR="004158D3">
        <w:rPr>
          <w:rFonts w:cs="Times New Roman"/>
        </w:rPr>
        <w:t>.</w:t>
      </w:r>
    </w:p>
    <w:p w14:paraId="67968A8B" w14:textId="79465FE1" w:rsidR="006559EF" w:rsidRDefault="006559EF" w:rsidP="006559EF">
      <w:r w:rsidRPr="00567FAB">
        <w:t xml:space="preserve">Jsou-li naplněny tyto předpoklady, pak práva a povinnosti z vadného </w:t>
      </w:r>
      <w:r w:rsidR="00967AA0">
        <w:t>s</w:t>
      </w:r>
      <w:r w:rsidRPr="00567FAB">
        <w:t>plnění vzniknou. Dalším</w:t>
      </w:r>
      <w:r w:rsidR="002325F7">
        <w:t xml:space="preserve"> předpokladem</w:t>
      </w:r>
      <w:r w:rsidRPr="00567FAB">
        <w:t xml:space="preserve"> je</w:t>
      </w:r>
      <w:r w:rsidR="00967AA0">
        <w:t xml:space="preserve"> vytknutí vady vůči druhé smluvní straně, které </w:t>
      </w:r>
      <w:r w:rsidRPr="00567FAB">
        <w:t>sice nemá vliv na vznik práv a povinností</w:t>
      </w:r>
      <w:r w:rsidR="00967AA0">
        <w:t xml:space="preserve"> z vadného splnění</w:t>
      </w:r>
      <w:r w:rsidRPr="00567FAB">
        <w:t xml:space="preserve">, ale může mít vliv na </w:t>
      </w:r>
      <w:r w:rsidR="00FD3019" w:rsidRPr="00567FAB">
        <w:t xml:space="preserve">následnou </w:t>
      </w:r>
      <w:r w:rsidRPr="00567FAB">
        <w:t xml:space="preserve">úspěšnost žalobce v soudním řízení, a proto tento znak nelze opomenout. </w:t>
      </w:r>
    </w:p>
    <w:p w14:paraId="2DB6D182" w14:textId="2F792A60" w:rsidR="00822EAD" w:rsidRPr="00567FAB" w:rsidRDefault="00822EAD" w:rsidP="006559EF">
      <w:r>
        <w:t>V následujících kapitolách se budeme věnovat</w:t>
      </w:r>
      <w:r w:rsidR="00C847BC">
        <w:t xml:space="preserve"> analýze</w:t>
      </w:r>
      <w:r w:rsidR="004158D3">
        <w:t xml:space="preserve"> jednotlivých předpoklad</w:t>
      </w:r>
      <w:r>
        <w:t>ů.</w:t>
      </w:r>
    </w:p>
    <w:p w14:paraId="41018376" w14:textId="59E06067" w:rsidR="00B164D0" w:rsidRDefault="00B164D0" w:rsidP="00DC0F46">
      <w:pPr>
        <w:pStyle w:val="Heading2"/>
      </w:pPr>
      <w:bookmarkStart w:id="34" w:name="_Toc460832681"/>
      <w:bookmarkStart w:id="35" w:name="_Toc442203403"/>
      <w:bookmarkStart w:id="36" w:name="_Toc442203480"/>
      <w:r>
        <w:t>Subjekty práv a povinností z vadného splnění</w:t>
      </w:r>
      <w:bookmarkEnd w:id="34"/>
    </w:p>
    <w:p w14:paraId="123E480E" w14:textId="4A9391A7" w:rsidR="00822EAD" w:rsidRPr="00822EAD" w:rsidRDefault="00761AE5" w:rsidP="00DC0F46">
      <w:pPr>
        <w:pStyle w:val="Heading3"/>
      </w:pPr>
      <w:bookmarkStart w:id="37" w:name="_Toc460832682"/>
      <w:r>
        <w:t>Obecná ustanovení ObčZ a smlouvy o dílo</w:t>
      </w:r>
      <w:bookmarkEnd w:id="37"/>
    </w:p>
    <w:p w14:paraId="1CD478B4" w14:textId="6B03E487" w:rsidR="00B04748" w:rsidRPr="00567FAB" w:rsidRDefault="00B04748" w:rsidP="00B04748">
      <w:pPr>
        <w:rPr>
          <w:rFonts w:cs="Times New Roman"/>
        </w:rPr>
      </w:pPr>
      <w:r w:rsidRPr="00567FAB">
        <w:rPr>
          <w:rFonts w:cs="Times New Roman"/>
        </w:rPr>
        <w:t>Ust. § 1908 odst. 2 ObčZ stanovuje, že dlužník plní dluh na svůj náklad a nebezpečí. Toto ustanovení předpokládá že pr</w:t>
      </w:r>
      <w:r w:rsidR="00480B96">
        <w:rPr>
          <w:rFonts w:cs="Times New Roman"/>
        </w:rPr>
        <w:t>imárně povinnost splnit dluh (</w:t>
      </w:r>
      <w:r w:rsidRPr="00567FAB">
        <w:rPr>
          <w:rFonts w:cs="Times New Roman"/>
        </w:rPr>
        <w:t>tedy odpovědnost za řádné splnění dluhu) náleží dlužníku. Toto však nevylučuje možnost dlužníka splnit dluh prostřednictvím dalšího subjektu, bude-li zachována povinnost dlužníka plnit na svůj náklad a nebezpečí. Jestliže by však dlužník plnil zcela na náklad někoho jiného a nesl-li by nebezpečí někdo jiný, pak by dlužníkova povinnost splnit dluh nebyla dána a v podstatě by se vůbec nejednalo o dlužníka.</w:t>
      </w:r>
      <w:r w:rsidRPr="00567FAB">
        <w:rPr>
          <w:rStyle w:val="FootnoteReference"/>
          <w:rFonts w:cs="Times New Roman"/>
        </w:rPr>
        <w:footnoteReference w:id="34"/>
      </w:r>
      <w:r w:rsidRPr="00567FAB">
        <w:rPr>
          <w:rFonts w:cs="Times New Roman"/>
        </w:rPr>
        <w:t xml:space="preserve"> Dlužník</w:t>
      </w:r>
      <w:r w:rsidR="00930084">
        <w:rPr>
          <w:rFonts w:cs="Times New Roman"/>
        </w:rPr>
        <w:t>, tj. dodavatel,</w:t>
      </w:r>
      <w:r w:rsidRPr="00567FAB">
        <w:rPr>
          <w:rFonts w:cs="Times New Roman"/>
        </w:rPr>
        <w:t xml:space="preserve"> tedy nese odpovědnost za řádné splnění díla a té se nemůže úplně vzdát, neboť by se potom nejednalo o závazek ve smyslu práva.</w:t>
      </w:r>
      <w:r w:rsidRPr="00567FAB">
        <w:rPr>
          <w:rStyle w:val="FootnoteReference"/>
          <w:rFonts w:cs="Times New Roman"/>
        </w:rPr>
        <w:footnoteReference w:id="35"/>
      </w:r>
    </w:p>
    <w:p w14:paraId="1E27579A" w14:textId="0717DDC4" w:rsidR="00B04748" w:rsidRPr="00567FAB" w:rsidRDefault="00480B96" w:rsidP="00B04748">
      <w:pPr>
        <w:rPr>
          <w:rFonts w:cs="Times New Roman"/>
        </w:rPr>
      </w:pPr>
      <w:r>
        <w:rPr>
          <w:rFonts w:cs="Times New Roman"/>
        </w:rPr>
        <w:t>Uvedené je v souladu s</w:t>
      </w:r>
      <w:r w:rsidR="00B04748" w:rsidRPr="00567FAB">
        <w:rPr>
          <w:rFonts w:cs="Times New Roman"/>
        </w:rPr>
        <w:t xml:space="preserve"> § 1935 ObčZ, které </w:t>
      </w:r>
      <w:r w:rsidR="00B04748">
        <w:rPr>
          <w:rFonts w:cs="Times New Roman"/>
        </w:rPr>
        <w:t>obsahuje základní zásadu závazkového práva</w:t>
      </w:r>
      <w:r>
        <w:rPr>
          <w:rFonts w:cs="Times New Roman"/>
        </w:rPr>
        <w:t>, tj.</w:t>
      </w:r>
      <w:r w:rsidR="00B04748">
        <w:rPr>
          <w:rFonts w:cs="Times New Roman"/>
        </w:rPr>
        <w:t xml:space="preserve"> </w:t>
      </w:r>
      <w:r w:rsidR="00AB334C">
        <w:t>odpovědnost</w:t>
      </w:r>
      <w:r w:rsidR="00B04748">
        <w:t xml:space="preserve"> za pomocníka při plnění dluhu</w:t>
      </w:r>
      <w:r>
        <w:t>,</w:t>
      </w:r>
      <w:r w:rsidR="00B04748" w:rsidRPr="00567FAB">
        <w:rPr>
          <w:rFonts w:cs="Times New Roman"/>
        </w:rPr>
        <w:t xml:space="preserve"> </w:t>
      </w:r>
      <w:r w:rsidR="00B04748">
        <w:rPr>
          <w:rFonts w:cs="Times New Roman"/>
        </w:rPr>
        <w:t xml:space="preserve">a </w:t>
      </w:r>
      <w:r w:rsidR="00B04748" w:rsidRPr="00567FAB">
        <w:rPr>
          <w:rFonts w:cs="Times New Roman"/>
        </w:rPr>
        <w:t xml:space="preserve">stanovuje, že </w:t>
      </w:r>
      <w:r>
        <w:rPr>
          <w:rFonts w:cs="Times New Roman"/>
        </w:rPr>
        <w:t>ačkoliv</w:t>
      </w:r>
      <w:r w:rsidR="00B04748" w:rsidRPr="00567FAB">
        <w:rPr>
          <w:rFonts w:cs="Times New Roman"/>
        </w:rPr>
        <w:t xml:space="preserve"> dlužník plní pomocí jiné osoby, nese odpovědnost za splnění tak, jako by plnil sám. Toto ustanovení vyjadřuje možnost dlužníka splnit svůj dluh prostřednictvím jiného, zároveň však zdůrazňuje, že zavázal-li se dlužník ke splnění dluhu, pak právě on je stranou závazku a jeho povinností je </w:t>
      </w:r>
      <w:r w:rsidR="00B04748" w:rsidRPr="00567FAB">
        <w:rPr>
          <w:rFonts w:cs="Times New Roman"/>
        </w:rPr>
        <w:lastRenderedPageBreak/>
        <w:t>dluh splnit. Jakým způsobem dluh splní, to je na jeho rozhodnutí. V některých případech však může vyplývat ze smlouvy povinnost splnit dluh osobně, resp. omezení okruhu možných subdodavatelů, které se na splnění dluhu mohou podílet, případně podmínění jejich účasti na projektu souhlasem druhé s</w:t>
      </w:r>
      <w:r w:rsidR="00B81161">
        <w:rPr>
          <w:rFonts w:cs="Times New Roman"/>
        </w:rPr>
        <w:t xml:space="preserve">trany. Tak tomu bude podle </w:t>
      </w:r>
      <w:r w:rsidR="00B04748" w:rsidRPr="00567FAB">
        <w:rPr>
          <w:rFonts w:cs="Times New Roman"/>
        </w:rPr>
        <w:t>§ 2589 ObčZ. Zda je povinnost provést dílo osobně či pod osobním vedením může vyplývat buď z povahy závazku, anebo z okolností případu.</w:t>
      </w:r>
      <w:r w:rsidR="00B04748" w:rsidRPr="00567FAB">
        <w:rPr>
          <w:rStyle w:val="FootnoteReference"/>
          <w:rFonts w:cs="Times New Roman"/>
        </w:rPr>
        <w:footnoteReference w:id="36"/>
      </w:r>
      <w:r w:rsidR="00B04748" w:rsidRPr="00567FAB">
        <w:rPr>
          <w:rFonts w:cs="Times New Roman"/>
        </w:rPr>
        <w:t xml:space="preserve"> </w:t>
      </w:r>
    </w:p>
    <w:p w14:paraId="68E6EDD8" w14:textId="0D93E36C" w:rsidR="00B04748" w:rsidRPr="00567FAB" w:rsidRDefault="009C7F43" w:rsidP="00B04748">
      <w:pPr>
        <w:rPr>
          <w:rFonts w:cs="Times New Roman"/>
        </w:rPr>
      </w:pPr>
      <w:r>
        <w:rPr>
          <w:rFonts w:cs="Times New Roman"/>
        </w:rPr>
        <w:t>Subdodavateli, který není smluvní stranou hlavní dodavatelské smlouvy</w:t>
      </w:r>
      <w:r w:rsidR="00F1081E">
        <w:rPr>
          <w:rFonts w:cs="Times New Roman"/>
        </w:rPr>
        <w:t xml:space="preserve"> s odběratelem</w:t>
      </w:r>
      <w:r>
        <w:rPr>
          <w:rFonts w:cs="Times New Roman"/>
        </w:rPr>
        <w:t xml:space="preserve">, nelze založit odpovědnost za řádné splnění </w:t>
      </w:r>
      <w:r w:rsidR="00F1081E">
        <w:rPr>
          <w:rFonts w:cs="Times New Roman"/>
        </w:rPr>
        <w:t xml:space="preserve">celého </w:t>
      </w:r>
      <w:r>
        <w:rPr>
          <w:rFonts w:cs="Times New Roman"/>
        </w:rPr>
        <w:t>konečného díla</w:t>
      </w:r>
      <w:r w:rsidR="000402C8">
        <w:rPr>
          <w:rFonts w:cs="Times New Roman"/>
        </w:rPr>
        <w:t>, bez jeho vědomí</w:t>
      </w:r>
      <w:r>
        <w:rPr>
          <w:rFonts w:cs="Times New Roman"/>
        </w:rPr>
        <w:t xml:space="preserve">. </w:t>
      </w:r>
      <w:r w:rsidR="00B04748" w:rsidRPr="00567FAB">
        <w:rPr>
          <w:rFonts w:cs="Times New Roman"/>
        </w:rPr>
        <w:t>Jednou z nejdůležitějších zásad soukromého práva je vedle autonomie vůle zásada zákazu založení práv a povinností třetím osobám bez jejich souhlasu. Tato zásada vlastně limituje autonomii vůle a chrání postavení třetích osob a zachovává rovnost všech subjektů soukromého práva. Každý si může upravovat pouze své vlastní záležitosti a zásadně nesmí zasahovat do záležitostí třetích osob.</w:t>
      </w:r>
      <w:r w:rsidR="00B04748" w:rsidRPr="00567FAB">
        <w:rPr>
          <w:rStyle w:val="FootnoteReference"/>
          <w:rFonts w:cs="Times New Roman"/>
        </w:rPr>
        <w:footnoteReference w:id="37"/>
      </w:r>
      <w:r w:rsidR="00B04748" w:rsidRPr="00567FAB">
        <w:rPr>
          <w:rFonts w:cs="Times New Roman"/>
        </w:rPr>
        <w:t xml:space="preserve"> Není-li tedy subdodavatel v dodavatelsko-odběratelském vztahu účasten hlavní dodavatelské smlouvy, a stanoví-li tato smlouva subdodavateli jako třetí osobě povinnosti, pak je takové smluvní ujednání absolutně neplatné </w:t>
      </w:r>
      <w:r w:rsidR="00C31CA0">
        <w:rPr>
          <w:rFonts w:cs="Times New Roman"/>
        </w:rPr>
        <w:t>na základě § 588</w:t>
      </w:r>
      <w:r w:rsidR="00B04748" w:rsidRPr="00567FAB">
        <w:rPr>
          <w:rFonts w:cs="Times New Roman"/>
        </w:rPr>
        <w:t xml:space="preserve"> ObčZ.</w:t>
      </w:r>
      <w:r w:rsidR="00B04748" w:rsidRPr="00567FAB">
        <w:rPr>
          <w:rStyle w:val="FootnoteReference"/>
          <w:rFonts w:cs="Times New Roman"/>
        </w:rPr>
        <w:footnoteReference w:id="38"/>
      </w:r>
    </w:p>
    <w:p w14:paraId="7E3F56A0" w14:textId="1CA6F6A8" w:rsidR="00B04748" w:rsidRDefault="00EE3F81" w:rsidP="00B04748">
      <w:pPr>
        <w:rPr>
          <w:rFonts w:cs="Times New Roman"/>
        </w:rPr>
      </w:pPr>
      <w:r>
        <w:rPr>
          <w:rFonts w:cs="Times New Roman"/>
        </w:rPr>
        <w:t>Jednou z m</w:t>
      </w:r>
      <w:r w:rsidR="00B04748" w:rsidRPr="00567FAB">
        <w:rPr>
          <w:rFonts w:cs="Times New Roman"/>
        </w:rPr>
        <w:t>ožností, jak může smlouva založit subdodavateli povinnosti z konečného vadného splnění, je tedy existence trojstranného závazku mezi odběratelem, dodavatelem a subdodavatelem.</w:t>
      </w:r>
      <w:r w:rsidR="00B04748" w:rsidRPr="00126A8C">
        <w:rPr>
          <w:rFonts w:cs="Times New Roman"/>
        </w:rPr>
        <w:t xml:space="preserve"> </w:t>
      </w:r>
      <w:r w:rsidR="00B04748" w:rsidRPr="00567FAB">
        <w:rPr>
          <w:rFonts w:cs="Times New Roman"/>
        </w:rPr>
        <w:t xml:space="preserve">Pokud však bude subdodavatel stranou hlavního závazku, pak se v podstatě mění jeho postavení a je spíše v pozici spoludlužníka odpovědného za řádné splnění </w:t>
      </w:r>
      <w:r w:rsidR="00C31CA0">
        <w:rPr>
          <w:rFonts w:cs="Times New Roman"/>
        </w:rPr>
        <w:t xml:space="preserve">třeba </w:t>
      </w:r>
      <w:r w:rsidR="00B04748" w:rsidRPr="00567FAB">
        <w:rPr>
          <w:rFonts w:cs="Times New Roman"/>
        </w:rPr>
        <w:t xml:space="preserve">jen části díla např. v podobě subdodávky druhému dlužníku, nicméně odpovědného společně a nerozdílně s druhým dlužníkem. To má však za důsledek nejen vznik případných povinností z vadného </w:t>
      </w:r>
      <w:r w:rsidR="00C31CA0">
        <w:rPr>
          <w:rFonts w:cs="Times New Roman"/>
        </w:rPr>
        <w:t>s</w:t>
      </w:r>
      <w:r w:rsidR="00B04748" w:rsidRPr="00567FAB">
        <w:rPr>
          <w:rFonts w:cs="Times New Roman"/>
        </w:rPr>
        <w:t>plnění, ale také možnost odběratele požadovat splnění celého dluhu i po subdodavateli, jak je stanoveno v § 1872, s možností následného vypořádání mezi spoludlužníky. Vícestranný závazek bude častější spíše v případě subdodavatelských smluv</w:t>
      </w:r>
      <w:r w:rsidR="00C31CA0">
        <w:rPr>
          <w:rFonts w:cs="Times New Roman"/>
        </w:rPr>
        <w:t xml:space="preserve"> mezi více subdodavateli a hlavním dodavatelem</w:t>
      </w:r>
      <w:r w:rsidR="00B04748" w:rsidRPr="00567FAB">
        <w:rPr>
          <w:rFonts w:cs="Times New Roman"/>
        </w:rPr>
        <w:t>.</w:t>
      </w:r>
    </w:p>
    <w:p w14:paraId="12ADA041" w14:textId="4E42097F" w:rsidR="00193D91" w:rsidRDefault="00193D91" w:rsidP="00B04748">
      <w:pPr>
        <w:rPr>
          <w:rFonts w:cs="Times New Roman"/>
        </w:rPr>
      </w:pPr>
      <w:r>
        <w:rPr>
          <w:rFonts w:cs="Times New Roman"/>
        </w:rPr>
        <w:t>Další možností je stanovení smluvního ujednání v dodavatelské smlouvě, na základě</w:t>
      </w:r>
      <w:r w:rsidR="001B1E60">
        <w:rPr>
          <w:rFonts w:cs="Times New Roman"/>
        </w:rPr>
        <w:t xml:space="preserve"> kterého je dodavatel povinen ve</w:t>
      </w:r>
      <w:r>
        <w:rPr>
          <w:rFonts w:cs="Times New Roman"/>
        </w:rPr>
        <w:t xml:space="preserve"> veškerýc</w:t>
      </w:r>
      <w:r w:rsidR="001B1E60">
        <w:rPr>
          <w:rFonts w:cs="Times New Roman"/>
        </w:rPr>
        <w:t>h svých subdodavatelských smlouvách ujednat právo odběratele uplatňovat případná práva z vadného splnění přímo proti subdodavateli.</w:t>
      </w:r>
      <w:r w:rsidR="001B1E60">
        <w:rPr>
          <w:rStyle w:val="FootnoteReference"/>
          <w:rFonts w:cs="Times New Roman"/>
        </w:rPr>
        <w:footnoteReference w:id="39"/>
      </w:r>
    </w:p>
    <w:p w14:paraId="63488153" w14:textId="7EC2374E" w:rsidR="00761AE5" w:rsidRDefault="00761AE5" w:rsidP="00B04748">
      <w:pPr>
        <w:rPr>
          <w:rFonts w:cs="Times New Roman"/>
        </w:rPr>
      </w:pPr>
      <w:r>
        <w:rPr>
          <w:rFonts w:cs="Times New Roman"/>
        </w:rPr>
        <w:lastRenderedPageBreak/>
        <w:t xml:space="preserve">Co se týče ustanovení o smlouvě o dílo, </w:t>
      </w:r>
      <w:r w:rsidR="00C31CA0">
        <w:rPr>
          <w:rFonts w:cs="Times New Roman"/>
        </w:rPr>
        <w:t>p</w:t>
      </w:r>
      <w:r>
        <w:rPr>
          <w:rFonts w:cs="Times New Roman"/>
        </w:rPr>
        <w:t>ovinným subjektem je zhotovitel</w:t>
      </w:r>
      <w:r w:rsidR="00C31CA0">
        <w:rPr>
          <w:rStyle w:val="FootnoteReference"/>
          <w:rFonts w:cs="Times New Roman"/>
        </w:rPr>
        <w:footnoteReference w:id="40"/>
      </w:r>
      <w:r w:rsidR="001752F9">
        <w:rPr>
          <w:rFonts w:cs="Times New Roman"/>
        </w:rPr>
        <w:t xml:space="preserve"> (dodavatel) a oprávněným subjektem objednatel</w:t>
      </w:r>
      <w:r w:rsidR="00C31CA0">
        <w:rPr>
          <w:rStyle w:val="FootnoteReference"/>
          <w:rFonts w:cs="Times New Roman"/>
        </w:rPr>
        <w:footnoteReference w:id="41"/>
      </w:r>
      <w:r w:rsidR="001752F9">
        <w:rPr>
          <w:rFonts w:cs="Times New Roman"/>
        </w:rPr>
        <w:t xml:space="preserve"> (odběratel).</w:t>
      </w:r>
    </w:p>
    <w:p w14:paraId="280FA787" w14:textId="7B9ABDEE" w:rsidR="00822EAD" w:rsidRDefault="00822EAD" w:rsidP="00DC0F46">
      <w:pPr>
        <w:pStyle w:val="Heading3"/>
      </w:pPr>
      <w:bookmarkStart w:id="38" w:name="_Toc460832683"/>
      <w:r>
        <w:t>Stavební díla</w:t>
      </w:r>
      <w:bookmarkEnd w:id="38"/>
    </w:p>
    <w:p w14:paraId="34C69B59" w14:textId="1BF0D272" w:rsidR="004357FC" w:rsidRDefault="00B04748" w:rsidP="00B04748">
      <w:pPr>
        <w:rPr>
          <w:rFonts w:cs="Times New Roman"/>
        </w:rPr>
      </w:pPr>
      <w:r>
        <w:t xml:space="preserve">ObčZ </w:t>
      </w:r>
      <w:r w:rsidR="000D5EF2">
        <w:t xml:space="preserve">však </w:t>
      </w:r>
      <w:r w:rsidR="00BC75EB">
        <w:t xml:space="preserve">v § 2630 </w:t>
      </w:r>
      <w:r w:rsidR="004357FC">
        <w:t>zavádí zvláštní</w:t>
      </w:r>
      <w:r w:rsidRPr="00567FAB">
        <w:rPr>
          <w:rFonts w:cs="Times New Roman"/>
        </w:rPr>
        <w:t xml:space="preserve"> </w:t>
      </w:r>
      <w:r w:rsidR="00BC75EB">
        <w:rPr>
          <w:rFonts w:cs="Times New Roman"/>
        </w:rPr>
        <w:t>konstrukci u stavebních děl, kdy</w:t>
      </w:r>
      <w:r w:rsidRPr="00567FAB">
        <w:rPr>
          <w:rFonts w:cs="Times New Roman"/>
        </w:rPr>
        <w:t xml:space="preserve"> rozšiřuje okruh subjektů povinných z vadného </w:t>
      </w:r>
      <w:r w:rsidR="00BC75EB">
        <w:rPr>
          <w:rFonts w:cs="Times New Roman"/>
        </w:rPr>
        <w:t>s</w:t>
      </w:r>
      <w:r w:rsidRPr="00567FAB">
        <w:rPr>
          <w:rFonts w:cs="Times New Roman"/>
        </w:rPr>
        <w:t xml:space="preserve">plnění hlavního </w:t>
      </w:r>
      <w:r w:rsidR="004357FC">
        <w:rPr>
          <w:rFonts w:cs="Times New Roman"/>
        </w:rPr>
        <w:t>dodavatele i na další subjekty:</w:t>
      </w:r>
    </w:p>
    <w:p w14:paraId="1FA63794" w14:textId="70F06739" w:rsidR="004357FC" w:rsidRDefault="00B04748" w:rsidP="004357FC">
      <w:pPr>
        <w:pStyle w:val="ListParagraph"/>
        <w:numPr>
          <w:ilvl w:val="0"/>
          <w:numId w:val="17"/>
        </w:numPr>
        <w:rPr>
          <w:rFonts w:cs="Times New Roman"/>
        </w:rPr>
      </w:pPr>
      <w:r w:rsidRPr="004357FC">
        <w:rPr>
          <w:rFonts w:cs="Times New Roman"/>
        </w:rPr>
        <w:t xml:space="preserve">subdodavatele hlavního dodavatele, </w:t>
      </w:r>
    </w:p>
    <w:p w14:paraId="5CE89E72" w14:textId="77777777" w:rsidR="004357FC" w:rsidRDefault="00B04748" w:rsidP="004357FC">
      <w:pPr>
        <w:pStyle w:val="ListParagraph"/>
        <w:numPr>
          <w:ilvl w:val="0"/>
          <w:numId w:val="17"/>
        </w:numPr>
        <w:rPr>
          <w:rFonts w:cs="Times New Roman"/>
        </w:rPr>
      </w:pPr>
      <w:r w:rsidRPr="004357FC">
        <w:rPr>
          <w:rFonts w:cs="Times New Roman"/>
        </w:rPr>
        <w:t xml:space="preserve">toho, </w:t>
      </w:r>
      <w:r w:rsidR="004357FC">
        <w:rPr>
          <w:rFonts w:cs="Times New Roman"/>
        </w:rPr>
        <w:t>kdo dodal stavební dokumentaci,</w:t>
      </w:r>
    </w:p>
    <w:p w14:paraId="7A6F311D" w14:textId="77777777" w:rsidR="004357FC" w:rsidRDefault="00B04748" w:rsidP="004357FC">
      <w:pPr>
        <w:pStyle w:val="ListParagraph"/>
        <w:numPr>
          <w:ilvl w:val="0"/>
          <w:numId w:val="17"/>
        </w:numPr>
        <w:rPr>
          <w:rFonts w:cs="Times New Roman"/>
        </w:rPr>
      </w:pPr>
      <w:r w:rsidRPr="004357FC">
        <w:rPr>
          <w:rFonts w:cs="Times New Roman"/>
        </w:rPr>
        <w:t xml:space="preserve">toho, kdo prováděl dozor nad stavbou. </w:t>
      </w:r>
    </w:p>
    <w:p w14:paraId="66E8112C" w14:textId="08A22CF1" w:rsidR="00B04748" w:rsidRPr="004357FC" w:rsidRDefault="00B04748" w:rsidP="004357FC">
      <w:pPr>
        <w:rPr>
          <w:rFonts w:cs="Times New Roman"/>
        </w:rPr>
      </w:pPr>
      <w:r w:rsidRPr="004357FC">
        <w:rPr>
          <w:rFonts w:cs="Times New Roman"/>
        </w:rPr>
        <w:t>Závazek těchto subjektů je</w:t>
      </w:r>
      <w:r w:rsidR="00BC75EB">
        <w:rPr>
          <w:rFonts w:cs="Times New Roman"/>
        </w:rPr>
        <w:t xml:space="preserve"> společný a nerozdílný</w:t>
      </w:r>
      <w:r w:rsidR="003E56EB">
        <w:rPr>
          <w:rFonts w:cs="Times New Roman"/>
        </w:rPr>
        <w:t>, avšak</w:t>
      </w:r>
      <w:r w:rsidRPr="004357FC">
        <w:rPr>
          <w:rFonts w:cs="Times New Roman"/>
        </w:rPr>
        <w:t xml:space="preserve"> omezený jen vzhledem k tomu, co každý subjekt sám dodal. </w:t>
      </w:r>
    </w:p>
    <w:p w14:paraId="6FE7B659" w14:textId="3B273757" w:rsidR="00B04748" w:rsidRPr="00567FAB" w:rsidRDefault="00B04748" w:rsidP="00B04748">
      <w:pPr>
        <w:rPr>
          <w:rFonts w:cs="Times New Roman"/>
        </w:rPr>
      </w:pPr>
      <w:r w:rsidRPr="00567FAB">
        <w:rPr>
          <w:rFonts w:cs="Times New Roman"/>
        </w:rPr>
        <w:t>První podmínkou vzniku povinností subdodavatele je existence úplatného závazku mezi odběratelem a hlavním dodavatelem v podobě smlouvy, jejímž předmětem je úprava nemovité věci, zhotovení, oprava nebo úprava stavby.</w:t>
      </w:r>
      <w:r w:rsidRPr="00567FAB">
        <w:rPr>
          <w:rStyle w:val="FootnoteReference"/>
          <w:rFonts w:cs="Times New Roman"/>
        </w:rPr>
        <w:footnoteReference w:id="42"/>
      </w:r>
      <w:r w:rsidRPr="00567FAB">
        <w:rPr>
          <w:rFonts w:cs="Times New Roman"/>
        </w:rPr>
        <w:t xml:space="preserve"> Dále zákon předpokládá existenci závazku mezi hlavním dodavatelem a subdodavatelem.</w:t>
      </w:r>
      <w:r w:rsidRPr="00567FAB">
        <w:rPr>
          <w:rStyle w:val="FootnoteReference"/>
          <w:rFonts w:cs="Times New Roman"/>
        </w:rPr>
        <w:footnoteReference w:id="43"/>
      </w:r>
      <w:r w:rsidRPr="00567FAB">
        <w:rPr>
          <w:rFonts w:cs="Times New Roman"/>
        </w:rPr>
        <w:t xml:space="preserve"> Podmínkou není smluvní vztah mezi subdodavatelem a odběratelem, dokonce o sobě tyto dva subjekty nemusí ani vědět.</w:t>
      </w:r>
      <w:r w:rsidRPr="00567FAB">
        <w:rPr>
          <w:rStyle w:val="FootnoteReference"/>
          <w:rFonts w:cs="Times New Roman"/>
        </w:rPr>
        <w:footnoteReference w:id="44"/>
      </w:r>
      <w:r w:rsidRPr="00567FAB">
        <w:rPr>
          <w:rFonts w:cs="Times New Roman"/>
        </w:rPr>
        <w:t xml:space="preserve"> Třetí podmínkou je vadné splnění hlavního díla a vznik povinností hlavního dodavatele z</w:t>
      </w:r>
      <w:r w:rsidR="002B343F">
        <w:rPr>
          <w:rFonts w:cs="Times New Roman"/>
        </w:rPr>
        <w:t> vadného splnění</w:t>
      </w:r>
      <w:r w:rsidRPr="00567FAB">
        <w:rPr>
          <w:rFonts w:cs="Times New Roman"/>
        </w:rPr>
        <w:t xml:space="preserve">. Zákon totiž hovoří o společném a nerozdílném závazku s hlavním dodavatelem, takže nevzniknou-li povinnosti z vadného </w:t>
      </w:r>
      <w:r w:rsidR="002B343F">
        <w:rPr>
          <w:rFonts w:cs="Times New Roman"/>
        </w:rPr>
        <w:t>s</w:t>
      </w:r>
      <w:r w:rsidRPr="00567FAB">
        <w:rPr>
          <w:rFonts w:cs="Times New Roman"/>
        </w:rPr>
        <w:t xml:space="preserve">plnění hlavnímu dodavateli, tím spíše nemohou vzniknout </w:t>
      </w:r>
      <w:r w:rsidR="002B343F">
        <w:rPr>
          <w:rFonts w:cs="Times New Roman"/>
        </w:rPr>
        <w:t xml:space="preserve">ani </w:t>
      </w:r>
      <w:r w:rsidRPr="00567FAB">
        <w:rPr>
          <w:rFonts w:cs="Times New Roman"/>
        </w:rPr>
        <w:t>subdodavateli.</w:t>
      </w:r>
      <w:r w:rsidRPr="00567FAB">
        <w:rPr>
          <w:rStyle w:val="FootnoteReference"/>
          <w:rFonts w:cs="Times New Roman"/>
        </w:rPr>
        <w:footnoteReference w:id="45"/>
      </w:r>
      <w:r w:rsidRPr="00567FAB">
        <w:rPr>
          <w:rFonts w:cs="Times New Roman"/>
        </w:rPr>
        <w:t xml:space="preserve"> </w:t>
      </w:r>
    </w:p>
    <w:p w14:paraId="698FAB59" w14:textId="2C66A831" w:rsidR="00B04748" w:rsidRPr="00E262FA" w:rsidRDefault="00BE4A0A" w:rsidP="00900028">
      <w:r>
        <w:t>Dále pak vzniká</w:t>
      </w:r>
      <w:r w:rsidR="003E56EB" w:rsidRPr="00567FAB">
        <w:t xml:space="preserve"> otázka, v jakých stupních vztahů </w:t>
      </w:r>
      <w:r w:rsidR="001C2B21" w:rsidRPr="00567FAB">
        <w:t>je ještě rozumné subdodavatele z</w:t>
      </w:r>
      <w:r w:rsidR="001C2B21">
        <w:t>avazovat společnými povinnostmi</w:t>
      </w:r>
      <w:r w:rsidR="001C2B21" w:rsidRPr="00567FAB">
        <w:t xml:space="preserve"> </w:t>
      </w:r>
      <w:r w:rsidR="003E56EB" w:rsidRPr="00567FAB">
        <w:t xml:space="preserve">a </w:t>
      </w:r>
      <w:r w:rsidR="00900028">
        <w:t xml:space="preserve">na </w:t>
      </w:r>
      <w:r w:rsidR="003E56EB" w:rsidRPr="00567FAB">
        <w:t>jaké typy subdodavatelů</w:t>
      </w:r>
      <w:r w:rsidR="001C2B21">
        <w:t xml:space="preserve"> se toto ustanovení bude vztahovat</w:t>
      </w:r>
      <w:r w:rsidR="00A352E7">
        <w:t>.</w:t>
      </w:r>
      <w:r w:rsidR="003E56EB" w:rsidRPr="00567FAB">
        <w:t xml:space="preserve"> Zákon hovoří o „poddodavateli zhotovitele“, a proto by se zde mělo upl</w:t>
      </w:r>
      <w:r w:rsidR="00A352E7">
        <w:t>atnit omezení na subdodavatele prvního</w:t>
      </w:r>
      <w:r w:rsidR="003E56EB" w:rsidRPr="00567FAB">
        <w:t xml:space="preserve"> stupně, a nikoli „poddodavatele poddodavatele“</w:t>
      </w:r>
      <w:r w:rsidR="00A352E7">
        <w:t xml:space="preserve"> a další stupně</w:t>
      </w:r>
      <w:r w:rsidR="003E56EB" w:rsidRPr="00567FAB">
        <w:t>.</w:t>
      </w:r>
      <w:r w:rsidR="003E56EB" w:rsidRPr="00567FAB">
        <w:rPr>
          <w:rStyle w:val="FootnoteReference"/>
        </w:rPr>
        <w:footnoteReference w:id="46"/>
      </w:r>
      <w:r w:rsidR="00BC4AB4">
        <w:t xml:space="preserve"> Zda se ustanovení týká dodavatelů služeb i</w:t>
      </w:r>
      <w:r w:rsidR="00D552CC">
        <w:t xml:space="preserve"> dodavatelů materiálu, t</w:t>
      </w:r>
      <w:r w:rsidR="003E56EB" w:rsidRPr="00567FAB">
        <w:t>o rozhodne až judikatura. Nicméně se domnívám, že nelze povinnosti v</w:t>
      </w:r>
      <w:r w:rsidR="003E56EB">
        <w:t> </w:t>
      </w:r>
      <w:r w:rsidR="003E56EB" w:rsidRPr="00567FAB">
        <w:t xml:space="preserve">§ 2630 ObčZ ukládat subdodavatelům materiálů </w:t>
      </w:r>
      <w:r w:rsidR="003E56EB" w:rsidRPr="00567FAB">
        <w:lastRenderedPageBreak/>
        <w:t>a součástek, protože tyto subjekty mnohdy</w:t>
      </w:r>
      <w:r w:rsidR="00D552CC">
        <w:t xml:space="preserve"> nemohou vědět</w:t>
      </w:r>
      <w:r w:rsidR="003E56EB" w:rsidRPr="00567FAB">
        <w:t xml:space="preserve">, že jsou součástí vícestupňového dodavatelsko-odběratelského vztahu, zatímco subdodavatelé služeb </w:t>
      </w:r>
      <w:r w:rsidR="00BC4AB4">
        <w:t>předpokládají podle povahy svého plnění</w:t>
      </w:r>
      <w:r w:rsidR="00D552CC">
        <w:t xml:space="preserve">, že jsou součástí většího projektu. </w:t>
      </w:r>
      <w:r w:rsidR="00B04748" w:rsidRPr="00567FAB">
        <w:rPr>
          <w:rFonts w:cs="Times New Roman"/>
        </w:rPr>
        <w:t xml:space="preserve"> </w:t>
      </w:r>
    </w:p>
    <w:p w14:paraId="65864E23" w14:textId="49CAC551" w:rsidR="00B04748" w:rsidRDefault="00822EAD" w:rsidP="00DC0F46">
      <w:pPr>
        <w:pStyle w:val="Heading3"/>
      </w:pPr>
      <w:bookmarkStart w:id="39" w:name="_Toc460832684"/>
      <w:r>
        <w:t>FIDIC</w:t>
      </w:r>
      <w:bookmarkEnd w:id="39"/>
    </w:p>
    <w:p w14:paraId="23F07890" w14:textId="650D3B9D" w:rsidR="00D0677F" w:rsidRDefault="00E14D69" w:rsidP="00822EAD">
      <w:r>
        <w:t xml:space="preserve">CONS </w:t>
      </w:r>
      <w:r w:rsidR="001045D7">
        <w:t>podobně jako</w:t>
      </w:r>
      <w:r>
        <w:t xml:space="preserve"> ObčZ vychází ze základní zásady odpovědnosti za pomocníka při plnění dluhu. Dle čl. 4.4 CONS se stanoví, </w:t>
      </w:r>
      <w:r w:rsidRPr="00E14D69">
        <w:t xml:space="preserve">že je </w:t>
      </w:r>
      <w:r w:rsidRPr="00E14D69">
        <w:rPr>
          <w:noProof/>
        </w:rPr>
        <w:t>dodavatel odpovědný za porušení smluvních povinností jakéhokoli svého subdodavatele tak, jako kdyby šlo o jednání a porušení smluvních povinností dodavatel</w:t>
      </w:r>
      <w:r w:rsidR="006073ED">
        <w:rPr>
          <w:noProof/>
        </w:rPr>
        <w:t>e</w:t>
      </w:r>
      <w:r w:rsidRPr="00E14D69">
        <w:rPr>
          <w:noProof/>
        </w:rPr>
        <w:t>.</w:t>
      </w:r>
      <w:r w:rsidR="007A4596">
        <w:rPr>
          <w:noProof/>
        </w:rPr>
        <w:t xml:space="preserve"> </w:t>
      </w:r>
      <w:r w:rsidR="00175CD3">
        <w:t xml:space="preserve">Construction </w:t>
      </w:r>
      <w:r w:rsidR="007A4596">
        <w:t>Subcontract</w:t>
      </w:r>
      <w:r w:rsidR="00D0442D">
        <w:t xml:space="preserve"> pak vychází z principu, že </w:t>
      </w:r>
      <w:r w:rsidR="006073ED">
        <w:t>tyto podmínky mají co nejvíce odpovídat podmínkám CONS</w:t>
      </w:r>
      <w:r w:rsidR="006073ED">
        <w:rPr>
          <w:rStyle w:val="FootnoteReference"/>
        </w:rPr>
        <w:footnoteReference w:id="47"/>
      </w:r>
      <w:r w:rsidR="006073ED">
        <w:t xml:space="preserve"> a dodavateli mají náležet v rámci subdodavatelské smlouvy ty práva a povinnosti, které náleží odběrateli v hlavním dodavatelsko-odběratelském vztahu, zatímco subdodavateli náleží ty práva a povinnosti, které náleží dodavateli ve vztahu o stupeň výše.</w:t>
      </w:r>
      <w:r w:rsidR="006073ED">
        <w:rPr>
          <w:rStyle w:val="FootnoteReference"/>
        </w:rPr>
        <w:footnoteReference w:id="48"/>
      </w:r>
      <w:r w:rsidR="00FA1E50">
        <w:t xml:space="preserve"> </w:t>
      </w:r>
      <w:r w:rsidR="00175CD3">
        <w:t xml:space="preserve">Cílem Construction Subcontract je </w:t>
      </w:r>
      <w:r w:rsidR="00E55D1E">
        <w:t>přenést rizika</w:t>
      </w:r>
      <w:r w:rsidR="007E0AC7">
        <w:t xml:space="preserve"> </w:t>
      </w:r>
      <w:r w:rsidR="00FA1E50">
        <w:t>z hlavního dodavatele na subdodavatele</w:t>
      </w:r>
      <w:r w:rsidR="00ED6664">
        <w:t>.</w:t>
      </w:r>
      <w:r w:rsidR="007E0AC7">
        <w:rPr>
          <w:rStyle w:val="FootnoteReference"/>
        </w:rPr>
        <w:footnoteReference w:id="49"/>
      </w:r>
      <w:r w:rsidR="007E0AC7">
        <w:t xml:space="preserve"> Co se týče práv a povinností z vadného </w:t>
      </w:r>
      <w:r w:rsidR="003C1230">
        <w:t>s</w:t>
      </w:r>
      <w:r w:rsidR="007E0AC7">
        <w:t xml:space="preserve">plnění, CONS v čl. 11.2 </w:t>
      </w:r>
      <w:r w:rsidR="00EF6DA7">
        <w:t xml:space="preserve">v odkazu na odst. 11.1 </w:t>
      </w:r>
      <w:r w:rsidR="007E0AC7">
        <w:t xml:space="preserve">uvádí, že </w:t>
      </w:r>
      <w:r w:rsidR="00CA6470">
        <w:t xml:space="preserve">veškeré </w:t>
      </w:r>
      <w:r w:rsidR="00EF6DA7">
        <w:t xml:space="preserve">práce vedoucí k odstranění vad díla provede </w:t>
      </w:r>
      <w:r w:rsidR="00D0677F">
        <w:t>dodavatel</w:t>
      </w:r>
      <w:r w:rsidR="00EF6DA7">
        <w:t xml:space="preserve"> na svou odpovědnost a náklady</w:t>
      </w:r>
      <w:r w:rsidR="00A062C7">
        <w:t>, vznikne-li vada v důsledku na straně</w:t>
      </w:r>
      <w:r w:rsidR="00D0677F">
        <w:t xml:space="preserve"> dodavatele.</w:t>
      </w:r>
      <w:r w:rsidR="000D1BAF">
        <w:t xml:space="preserve"> </w:t>
      </w:r>
    </w:p>
    <w:p w14:paraId="02764E2A" w14:textId="489E1DF2" w:rsidR="00822EAD" w:rsidRPr="00822EAD" w:rsidRDefault="000D1BAF" w:rsidP="00822EAD">
      <w:r>
        <w:t xml:space="preserve">Z uvedeného lze dovodit, že subjektem povinným z vadného </w:t>
      </w:r>
      <w:r w:rsidR="00D0677F">
        <w:t>s</w:t>
      </w:r>
      <w:r>
        <w:t>plnění je dodavatel, neboť právě on nese odpovědnost za řádné splnění díla. Pokud bychom tento článek aplikovali na subdodavatele podle principu, že by v zásadě stranám subdodavatelské smlouvy měly náležet ty práva a povinnosti, které mají strany dodavatelské smlouvy, pak v případě, že se vada vyskytne na části díla, které bylo předmětem subdodávky subdodav</w:t>
      </w:r>
      <w:r w:rsidR="004675FF">
        <w:t>atele, bude tento subdodavatel</w:t>
      </w:r>
      <w:r>
        <w:t xml:space="preserve"> </w:t>
      </w:r>
      <w:r w:rsidR="00D0677F">
        <w:t xml:space="preserve">(vzhledem k tomu, co sám dodal) </w:t>
      </w:r>
      <w:r>
        <w:t xml:space="preserve">povinným z vadného splnění ve vztahu k dodavateli. Výslovně </w:t>
      </w:r>
      <w:r w:rsidR="00D0677F">
        <w:t xml:space="preserve">však </w:t>
      </w:r>
      <w:r>
        <w:t>CONS neuvádí, že subdodavatel nese povinnost z vadného splnění konečného díla společně s dodavatelem.</w:t>
      </w:r>
    </w:p>
    <w:p w14:paraId="67800AEB" w14:textId="77777777" w:rsidR="00783EF1" w:rsidRDefault="00783EF1" w:rsidP="00DC0F46">
      <w:pPr>
        <w:pStyle w:val="Heading2"/>
      </w:pPr>
      <w:bookmarkStart w:id="40" w:name="_Toc460832685"/>
      <w:r w:rsidRPr="00567FAB">
        <w:t>Existence úplatného závazku</w:t>
      </w:r>
      <w:bookmarkEnd w:id="35"/>
      <w:bookmarkEnd w:id="36"/>
      <w:bookmarkEnd w:id="40"/>
    </w:p>
    <w:p w14:paraId="502185EA" w14:textId="77777777" w:rsidR="007E77F4" w:rsidRPr="00822EAD" w:rsidRDefault="007E77F4" w:rsidP="007E77F4">
      <w:pPr>
        <w:pStyle w:val="Heading3"/>
      </w:pPr>
      <w:bookmarkStart w:id="41" w:name="_Toc460832686"/>
      <w:r>
        <w:t>Obecná ustanovení ObčZ a smlouvy o dílo</w:t>
      </w:r>
      <w:bookmarkEnd w:id="41"/>
    </w:p>
    <w:p w14:paraId="18AE89F6" w14:textId="55EB2F15" w:rsidR="00B07D7D" w:rsidRDefault="00B07D7D" w:rsidP="00783EF1">
      <w:pPr>
        <w:rPr>
          <w:rFonts w:cs="Times New Roman"/>
        </w:rPr>
      </w:pPr>
      <w:r>
        <w:rPr>
          <w:rFonts w:cs="Times New Roman"/>
        </w:rPr>
        <w:t>Zákon v § 1914 odst. 1 vztahuje povinnost plnit bez vad na úplatné závazky. Uvedené však neznamená, že se tato povinnost nevztahuje na bezúplatné závazky.</w:t>
      </w:r>
      <w:r>
        <w:rPr>
          <w:rStyle w:val="FootnoteReference"/>
          <w:rFonts w:cs="Times New Roman"/>
        </w:rPr>
        <w:footnoteReference w:id="50"/>
      </w:r>
      <w:r>
        <w:rPr>
          <w:rFonts w:cs="Times New Roman"/>
        </w:rPr>
        <w:t xml:space="preserve"> Opačný přístup by zbavoval dlužníky bezúplatných závazků </w:t>
      </w:r>
      <w:r w:rsidR="00DC0F46">
        <w:rPr>
          <w:rFonts w:cs="Times New Roman"/>
        </w:rPr>
        <w:t xml:space="preserve">povinnosti </w:t>
      </w:r>
      <w:r>
        <w:rPr>
          <w:rFonts w:cs="Times New Roman"/>
        </w:rPr>
        <w:t xml:space="preserve">plnit řádně, což rozhodně není úmyslem zmíněného ustanovení. </w:t>
      </w:r>
      <w:r w:rsidR="003B5395">
        <w:rPr>
          <w:rFonts w:cs="Times New Roman"/>
        </w:rPr>
        <w:t xml:space="preserve">V případě bezúplatných závazků tedy povinnost splnit dluh řádně trvá. </w:t>
      </w:r>
      <w:r w:rsidR="003B5395">
        <w:rPr>
          <w:rFonts w:cs="Times New Roman"/>
        </w:rPr>
        <w:lastRenderedPageBreak/>
        <w:t xml:space="preserve">Rozdílné jsou však následky porušení této povinnosti v případě úplatných či bezúplatných závazků. </w:t>
      </w:r>
      <w:r w:rsidR="00DC0F46">
        <w:rPr>
          <w:rFonts w:cs="Times New Roman"/>
        </w:rPr>
        <w:t xml:space="preserve">Zákon stanovuje </w:t>
      </w:r>
      <w:r w:rsidR="00641CF1">
        <w:rPr>
          <w:rFonts w:cs="Times New Roman"/>
        </w:rPr>
        <w:t xml:space="preserve">práva z vadného </w:t>
      </w:r>
      <w:r w:rsidR="0000006E">
        <w:rPr>
          <w:rFonts w:cs="Times New Roman"/>
        </w:rPr>
        <w:t>s</w:t>
      </w:r>
      <w:r w:rsidR="00641CF1">
        <w:rPr>
          <w:rFonts w:cs="Times New Roman"/>
        </w:rPr>
        <w:t xml:space="preserve">plnění pouze věřiteli úplatného závazku, zatímco v případě </w:t>
      </w:r>
      <w:r w:rsidR="00AA0313">
        <w:rPr>
          <w:rFonts w:cs="Times New Roman"/>
        </w:rPr>
        <w:t xml:space="preserve">bezúplatných závazků taková práva věřiteli </w:t>
      </w:r>
      <w:r w:rsidR="00A758B5">
        <w:rPr>
          <w:rFonts w:cs="Times New Roman"/>
        </w:rPr>
        <w:t>nestanovuje</w:t>
      </w:r>
      <w:r w:rsidR="00AA0313">
        <w:rPr>
          <w:rFonts w:cs="Times New Roman"/>
        </w:rPr>
        <w:t xml:space="preserve">. To však neplatí bezmezně, neboť v některých případech </w:t>
      </w:r>
      <w:r w:rsidR="0000006E">
        <w:rPr>
          <w:rFonts w:cs="Times New Roman"/>
        </w:rPr>
        <w:t xml:space="preserve">zákon </w:t>
      </w:r>
      <w:r w:rsidR="00AA0313">
        <w:rPr>
          <w:rFonts w:cs="Times New Roman"/>
        </w:rPr>
        <w:t>stanoví následky porušení povinnosti plnit řádně.</w:t>
      </w:r>
      <w:r w:rsidR="00AA0313">
        <w:rPr>
          <w:rStyle w:val="FootnoteReference"/>
          <w:rFonts w:cs="Times New Roman"/>
        </w:rPr>
        <w:footnoteReference w:id="51"/>
      </w:r>
      <w:r w:rsidR="00F8253D">
        <w:rPr>
          <w:rFonts w:cs="Times New Roman"/>
        </w:rPr>
        <w:t xml:space="preserve"> V ostatních případech zákonodárce zastává názor, že není spravedlivé po dlužníku bezúplatného závazku žádat to, nač má právo věřitel úplatného</w:t>
      </w:r>
      <w:r w:rsidR="00844165">
        <w:rPr>
          <w:rFonts w:cs="Times New Roman"/>
        </w:rPr>
        <w:t xml:space="preserve"> závazku, tj. např. opravy či doplnění, neboť by se jednalo o </w:t>
      </w:r>
      <w:r w:rsidR="00A0774C">
        <w:rPr>
          <w:rFonts w:cs="Times New Roman"/>
        </w:rPr>
        <w:t xml:space="preserve">další </w:t>
      </w:r>
      <w:r w:rsidR="00844165">
        <w:rPr>
          <w:rFonts w:cs="Times New Roman"/>
        </w:rPr>
        <w:t>náklady na straně dlužníka (a to v některých případech i značné), ačkoliv smyslem takových závazků je právě bezúplatnost. Pokud tedy zákonodárce sezná potřebu přiznat věřiteli bezúplatných závazků práva z vadného splnění, pak volí cestu výslovného zakotvení takových práv u jednotlivých smluvních typů.</w:t>
      </w:r>
    </w:p>
    <w:p w14:paraId="50D540C0" w14:textId="00A195DC" w:rsidR="00F461FC" w:rsidRDefault="00A71F66" w:rsidP="00783EF1">
      <w:pPr>
        <w:rPr>
          <w:rFonts w:cs="Times New Roman"/>
        </w:rPr>
      </w:pPr>
      <w:r>
        <w:rPr>
          <w:rFonts w:cs="Times New Roman"/>
        </w:rPr>
        <w:t xml:space="preserve">Úplata </w:t>
      </w:r>
      <w:r w:rsidR="007C12F8">
        <w:rPr>
          <w:rFonts w:cs="Times New Roman"/>
        </w:rPr>
        <w:t>je určité protiplnění za poskytnuté plnění a může být jak peněžitá, tak nepeněžitá.</w:t>
      </w:r>
      <w:r w:rsidR="007C12F8">
        <w:rPr>
          <w:rStyle w:val="FootnoteReference"/>
          <w:rFonts w:cs="Times New Roman"/>
        </w:rPr>
        <w:footnoteReference w:id="52"/>
      </w:r>
      <w:r w:rsidR="00B233C9">
        <w:rPr>
          <w:rFonts w:cs="Times New Roman"/>
        </w:rPr>
        <w:t xml:space="preserve"> V případě sm</w:t>
      </w:r>
      <w:r w:rsidR="00520B00">
        <w:rPr>
          <w:rFonts w:cs="Times New Roman"/>
        </w:rPr>
        <w:t>louvy o dílo je objednatel (odběratel)</w:t>
      </w:r>
      <w:r w:rsidR="00B233C9">
        <w:rPr>
          <w:rFonts w:cs="Times New Roman"/>
        </w:rPr>
        <w:t xml:space="preserve"> povinen převzít dílo a zaplatit za něj cenu.</w:t>
      </w:r>
      <w:r w:rsidR="00B233C9">
        <w:rPr>
          <w:rStyle w:val="FootnoteReference"/>
          <w:rFonts w:cs="Times New Roman"/>
        </w:rPr>
        <w:footnoteReference w:id="53"/>
      </w:r>
      <w:r w:rsidR="00327A6A">
        <w:rPr>
          <w:rFonts w:cs="Times New Roman"/>
        </w:rPr>
        <w:t xml:space="preserve"> </w:t>
      </w:r>
      <w:r w:rsidR="00B66554">
        <w:rPr>
          <w:rFonts w:cs="Times New Roman"/>
        </w:rPr>
        <w:t>C</w:t>
      </w:r>
      <w:r w:rsidR="00327A6A">
        <w:rPr>
          <w:rFonts w:cs="Times New Roman"/>
        </w:rPr>
        <w:t>ena za dílo</w:t>
      </w:r>
      <w:r w:rsidR="0000006E">
        <w:rPr>
          <w:rFonts w:cs="Times New Roman"/>
        </w:rPr>
        <w:t>, neboli peněžní vyjádření hodnoty díla,</w:t>
      </w:r>
      <w:r w:rsidR="00327A6A">
        <w:rPr>
          <w:rFonts w:cs="Times New Roman"/>
        </w:rPr>
        <w:t xml:space="preserve"> naplňuje znaky úplaty</w:t>
      </w:r>
      <w:r w:rsidR="00A0774C">
        <w:rPr>
          <w:rFonts w:cs="Times New Roman"/>
        </w:rPr>
        <w:t xml:space="preserve"> a </w:t>
      </w:r>
      <w:r w:rsidR="00A04D3B">
        <w:rPr>
          <w:rFonts w:cs="Times New Roman"/>
        </w:rPr>
        <w:t>u</w:t>
      </w:r>
      <w:r w:rsidR="00A0774C">
        <w:rPr>
          <w:rFonts w:cs="Times New Roman"/>
        </w:rPr>
        <w:t xml:space="preserve"> smlouvy o dílo je tak znak úplatnosti nepochybně splněn</w:t>
      </w:r>
      <w:r w:rsidR="00327A6A">
        <w:rPr>
          <w:rFonts w:cs="Times New Roman"/>
        </w:rPr>
        <w:t xml:space="preserve">. </w:t>
      </w:r>
    </w:p>
    <w:p w14:paraId="311B3C4C" w14:textId="4D22EEA0" w:rsidR="007E77F4" w:rsidRDefault="000E037A" w:rsidP="007E77F4">
      <w:r>
        <w:rPr>
          <w:rFonts w:cs="Times New Roman"/>
        </w:rPr>
        <w:t>Otázka úplaty, resp. ceny za dílo, významně souvisí s povinností převzít vadné dílo a v</w:t>
      </w:r>
      <w:r w:rsidR="0000006E">
        <w:rPr>
          <w:rFonts w:cs="Times New Roman"/>
        </w:rPr>
        <w:t xml:space="preserve">znikem práva na zaplacení ceny. </w:t>
      </w:r>
      <w:r>
        <w:rPr>
          <w:rFonts w:cs="Times New Roman"/>
        </w:rPr>
        <w:t xml:space="preserve">ObčZ volí </w:t>
      </w:r>
      <w:r w:rsidR="0000006E">
        <w:rPr>
          <w:rFonts w:cs="Times New Roman"/>
        </w:rPr>
        <w:t xml:space="preserve">odlišnou úpravu proti ObchZ, když </w:t>
      </w:r>
      <w:r w:rsidRPr="00567FAB">
        <w:rPr>
          <w:rFonts w:cs="Times New Roman"/>
        </w:rPr>
        <w:t>stanovuje povinnost převzít i vadné dílo, je-li předvedena jeho zp</w:t>
      </w:r>
      <w:r w:rsidR="009C6550">
        <w:rPr>
          <w:rFonts w:cs="Times New Roman"/>
        </w:rPr>
        <w:t>ůsobilost sloužit svému účelu. Zákon t</w:t>
      </w:r>
      <w:r w:rsidRPr="00567FAB">
        <w:rPr>
          <w:rFonts w:cs="Times New Roman"/>
        </w:rPr>
        <w:t>edy nedovoluje odmítnout dílo, které má určité vady</w:t>
      </w:r>
      <w:r>
        <w:rPr>
          <w:rFonts w:cs="Times New Roman"/>
        </w:rPr>
        <w:t>, pokud plní svůj účel</w:t>
      </w:r>
      <w:r w:rsidRPr="00567FAB">
        <w:rPr>
          <w:rFonts w:cs="Times New Roman"/>
        </w:rPr>
        <w:t xml:space="preserve">. </w:t>
      </w:r>
      <w:r>
        <w:rPr>
          <w:rFonts w:cs="Times New Roman"/>
        </w:rPr>
        <w:t>ObčZ stanoví</w:t>
      </w:r>
      <w:r w:rsidRPr="00567FAB">
        <w:rPr>
          <w:rFonts w:cs="Times New Roman"/>
        </w:rPr>
        <w:t>, že „</w:t>
      </w:r>
      <w:r w:rsidRPr="00567FAB">
        <w:rPr>
          <w:rFonts w:cs="Times New Roman"/>
          <w:i/>
        </w:rPr>
        <w:t>právo na zaplacení ceny díla vzniká provedením díla</w:t>
      </w:r>
      <w:r w:rsidRPr="00567FAB">
        <w:rPr>
          <w:rFonts w:cs="Times New Roman"/>
        </w:rPr>
        <w:t>“</w:t>
      </w:r>
      <w:r w:rsidRPr="00567FAB">
        <w:rPr>
          <w:rStyle w:val="FootnoteReference"/>
          <w:rFonts w:cs="Times New Roman"/>
        </w:rPr>
        <w:footnoteReference w:id="54"/>
      </w:r>
      <w:r w:rsidRPr="00567FAB">
        <w:rPr>
          <w:rFonts w:cs="Times New Roman"/>
        </w:rPr>
        <w:t xml:space="preserve">, přičemž provedením díla se rozumí, je-li </w:t>
      </w:r>
      <w:r w:rsidR="00F461FC">
        <w:rPr>
          <w:rFonts w:cs="Times New Roman"/>
        </w:rPr>
        <w:t xml:space="preserve">dílo </w:t>
      </w:r>
      <w:r w:rsidRPr="00567FAB">
        <w:rPr>
          <w:rFonts w:cs="Times New Roman"/>
        </w:rPr>
        <w:t>dokončeno a předáno</w:t>
      </w:r>
      <w:r w:rsidRPr="00567FAB">
        <w:rPr>
          <w:rStyle w:val="FootnoteReference"/>
          <w:rFonts w:cs="Times New Roman"/>
        </w:rPr>
        <w:footnoteReference w:id="55"/>
      </w:r>
      <w:r w:rsidRPr="00567FAB">
        <w:rPr>
          <w:rFonts w:cs="Times New Roman"/>
        </w:rPr>
        <w:t>. Dílo je dokončeno, pokud je „</w:t>
      </w:r>
      <w:r w:rsidRPr="00567FAB">
        <w:rPr>
          <w:rFonts w:cs="Times New Roman"/>
          <w:i/>
        </w:rPr>
        <w:t>předvedena jeho způsobilost sloužit svému účelu</w:t>
      </w:r>
      <w:r w:rsidRPr="00567FAB">
        <w:rPr>
          <w:rFonts w:cs="Times New Roman"/>
        </w:rPr>
        <w:t>“</w:t>
      </w:r>
      <w:r w:rsidRPr="00567FAB">
        <w:rPr>
          <w:rStyle w:val="FootnoteReference"/>
          <w:rFonts w:cs="Times New Roman"/>
        </w:rPr>
        <w:footnoteReference w:id="56"/>
      </w:r>
      <w:r w:rsidRPr="00567FAB">
        <w:rPr>
          <w:rFonts w:cs="Times New Roman"/>
        </w:rPr>
        <w:t>. Ve srovnání s úpravou ObchZ se za dokončené považuje tedy i takové dílo, které má vady, jestliže má způsobilost sloužit svému účelu</w:t>
      </w:r>
      <w:r w:rsidRPr="00567FAB">
        <w:rPr>
          <w:rStyle w:val="FootnoteReference"/>
          <w:rFonts w:cs="Times New Roman"/>
        </w:rPr>
        <w:footnoteReference w:id="57"/>
      </w:r>
      <w:r w:rsidRPr="00567FAB">
        <w:rPr>
          <w:rFonts w:cs="Times New Roman"/>
        </w:rPr>
        <w:t>. Pokud tuto způsobilost má, pak jej i přes vady</w:t>
      </w:r>
      <w:r w:rsidR="00520B00">
        <w:rPr>
          <w:rFonts w:cs="Times New Roman"/>
        </w:rPr>
        <w:t xml:space="preserve"> odběratel</w:t>
      </w:r>
      <w:r w:rsidRPr="00567FAB">
        <w:rPr>
          <w:rFonts w:cs="Times New Roman"/>
        </w:rPr>
        <w:t xml:space="preserve"> musí převzít, čímž je dílo provedeno. Tímto okamžikem</w:t>
      </w:r>
      <w:r w:rsidR="00520B00">
        <w:rPr>
          <w:rFonts w:cs="Times New Roman"/>
        </w:rPr>
        <w:t xml:space="preserve"> odběrateli</w:t>
      </w:r>
      <w:r w:rsidRPr="00567FAB">
        <w:rPr>
          <w:rFonts w:cs="Times New Roman"/>
        </w:rPr>
        <w:t xml:space="preserve"> vzniká povinnost zaplatit ce</w:t>
      </w:r>
      <w:r w:rsidR="005318F1">
        <w:rPr>
          <w:rFonts w:cs="Times New Roman"/>
        </w:rPr>
        <w:t>nu díla</w:t>
      </w:r>
      <w:r w:rsidR="00F64312">
        <w:rPr>
          <w:rStyle w:val="FootnoteReference"/>
          <w:rFonts w:cs="Times New Roman"/>
        </w:rPr>
        <w:footnoteReference w:id="58"/>
      </w:r>
      <w:r w:rsidR="00F461FC">
        <w:rPr>
          <w:rFonts w:cs="Times New Roman"/>
        </w:rPr>
        <w:t xml:space="preserve"> a </w:t>
      </w:r>
      <w:r w:rsidR="00520B00">
        <w:rPr>
          <w:rFonts w:cs="Times New Roman"/>
        </w:rPr>
        <w:t xml:space="preserve">dodavateli </w:t>
      </w:r>
      <w:r w:rsidR="00F461FC">
        <w:rPr>
          <w:rFonts w:cs="Times New Roman"/>
        </w:rPr>
        <w:t>tomu odpovídající právo na zaplacení.</w:t>
      </w:r>
      <w:r w:rsidR="005318F1">
        <w:rPr>
          <w:rFonts w:cs="Times New Roman"/>
        </w:rPr>
        <w:t xml:space="preserve"> Jestliže však dílo není způsobilé</w:t>
      </w:r>
      <w:r w:rsidRPr="00567FAB">
        <w:rPr>
          <w:rFonts w:cs="Times New Roman"/>
        </w:rPr>
        <w:t xml:space="preserve"> sloužit svému účelu, pak není dokončené a objednateli nevzniká </w:t>
      </w:r>
      <w:r w:rsidRPr="00567FAB">
        <w:rPr>
          <w:rFonts w:cs="Times New Roman"/>
        </w:rPr>
        <w:lastRenderedPageBreak/>
        <w:t xml:space="preserve">povinnost takové dílo převzít. </w:t>
      </w:r>
      <w:r w:rsidR="007E77F4" w:rsidRPr="007E77F4">
        <w:rPr>
          <w:rFonts w:cs="Times New Roman"/>
        </w:rPr>
        <w:t xml:space="preserve"> </w:t>
      </w:r>
      <w:r w:rsidR="007E77F4" w:rsidRPr="00567FAB">
        <w:rPr>
          <w:rFonts w:cs="Times New Roman"/>
        </w:rPr>
        <w:t xml:space="preserve">Není stanovena povinnost </w:t>
      </w:r>
      <w:r w:rsidR="007E77F4">
        <w:rPr>
          <w:rFonts w:cs="Times New Roman"/>
        </w:rPr>
        <w:t xml:space="preserve">odběratele </w:t>
      </w:r>
      <w:r w:rsidR="007E77F4" w:rsidRPr="00567FAB">
        <w:rPr>
          <w:rFonts w:cs="Times New Roman"/>
        </w:rPr>
        <w:t xml:space="preserve">přijmout každé </w:t>
      </w:r>
      <w:r w:rsidR="007E77F4">
        <w:rPr>
          <w:rFonts w:cs="Times New Roman"/>
        </w:rPr>
        <w:t xml:space="preserve">(vadné) </w:t>
      </w:r>
      <w:r w:rsidR="007E77F4" w:rsidRPr="00567FAB">
        <w:rPr>
          <w:rFonts w:cs="Times New Roman"/>
        </w:rPr>
        <w:t>dílo, nýbrž jen to, které slouží sjednanému účelu</w:t>
      </w:r>
      <w:r w:rsidR="006B54B9">
        <w:rPr>
          <w:rStyle w:val="FootnoteReference"/>
          <w:rFonts w:cs="Times New Roman"/>
        </w:rPr>
        <w:footnoteReference w:id="59"/>
      </w:r>
      <w:r w:rsidR="001E2185">
        <w:rPr>
          <w:rFonts w:cs="Times New Roman"/>
        </w:rPr>
        <w:t>.</w:t>
      </w:r>
      <w:r w:rsidR="007E77F4" w:rsidRPr="00567FAB">
        <w:rPr>
          <w:rStyle w:val="FootnoteReference"/>
          <w:rFonts w:cs="Times New Roman"/>
        </w:rPr>
        <w:footnoteReference w:id="60"/>
      </w:r>
    </w:p>
    <w:p w14:paraId="52E18FF0" w14:textId="64AB6127" w:rsidR="0064763F" w:rsidRDefault="00123032" w:rsidP="007E77F4">
      <w:r>
        <w:rPr>
          <w:rFonts w:cs="Times New Roman"/>
        </w:rPr>
        <w:t>Ačkoliv zákon stanovuje okamžik vzniku práva na zaplacení ceny a v podstatě vymezuje kvalitu (resp. intezitu) vady, pro kterou nelze odmítnout převzetí díla,</w:t>
      </w:r>
      <w:r w:rsidR="00520B00">
        <w:rPr>
          <w:rFonts w:cs="Times New Roman"/>
        </w:rPr>
        <w:t xml:space="preserve"> je</w:t>
      </w:r>
      <w:r>
        <w:rPr>
          <w:rFonts w:cs="Times New Roman"/>
        </w:rPr>
        <w:t xml:space="preserve"> opět v intencích smluvních stran</w:t>
      </w:r>
      <w:r w:rsidR="007E77F4">
        <w:rPr>
          <w:rFonts w:cs="Times New Roman"/>
        </w:rPr>
        <w:t>,</w:t>
      </w:r>
      <w:r>
        <w:rPr>
          <w:rFonts w:cs="Times New Roman"/>
        </w:rPr>
        <w:t xml:space="preserve"> ujednat si</w:t>
      </w:r>
      <w:r w:rsidR="007E77F4">
        <w:rPr>
          <w:rFonts w:cs="Times New Roman"/>
        </w:rPr>
        <w:t>,</w:t>
      </w:r>
      <w:r>
        <w:rPr>
          <w:rFonts w:cs="Times New Roman"/>
        </w:rPr>
        <w:t xml:space="preserve"> které konkrétní vady tuto intenzitu naplňují. Doporučuji tak smluvním stranám </w:t>
      </w:r>
      <w:r w:rsidR="00520B00">
        <w:rPr>
          <w:rFonts w:cs="Times New Roman"/>
        </w:rPr>
        <w:t xml:space="preserve">za účelem předcházení budoucím sporům </w:t>
      </w:r>
      <w:r>
        <w:rPr>
          <w:rFonts w:cs="Times New Roman"/>
        </w:rPr>
        <w:t>již při uzavírání smlouvy konkretizovat vady dr</w:t>
      </w:r>
      <w:r w:rsidR="00520B00">
        <w:rPr>
          <w:rFonts w:cs="Times New Roman"/>
        </w:rPr>
        <w:t>obné, které nemají vliv na účelnost díla</w:t>
      </w:r>
      <w:r>
        <w:rPr>
          <w:rFonts w:cs="Times New Roman"/>
        </w:rPr>
        <w:t>, a vady větší intenzity</w:t>
      </w:r>
      <w:r w:rsidR="007E77F4">
        <w:rPr>
          <w:rFonts w:cs="Times New Roman"/>
        </w:rPr>
        <w:t xml:space="preserve"> </w:t>
      </w:r>
      <w:r w:rsidR="00520B00">
        <w:rPr>
          <w:rFonts w:cs="Times New Roman"/>
        </w:rPr>
        <w:t xml:space="preserve">a jejich konkrétní následky, </w:t>
      </w:r>
      <w:r w:rsidR="00DE016C">
        <w:t>např. následujícím způsobem:</w:t>
      </w:r>
      <w:r w:rsidR="0064763F">
        <w:t xml:space="preserve"> </w:t>
      </w:r>
    </w:p>
    <w:p w14:paraId="06D78944" w14:textId="77777777" w:rsidR="00421EEF" w:rsidRDefault="00421EEF" w:rsidP="007E77F4"/>
    <w:tbl>
      <w:tblPr>
        <w:tblStyle w:val="TableGrid"/>
        <w:tblW w:w="9158" w:type="dxa"/>
        <w:tblLook w:val="04A0" w:firstRow="1" w:lastRow="0" w:firstColumn="1" w:lastColumn="0" w:noHBand="0" w:noVBand="1"/>
      </w:tblPr>
      <w:tblGrid>
        <w:gridCol w:w="1326"/>
        <w:gridCol w:w="1851"/>
        <w:gridCol w:w="2976"/>
        <w:gridCol w:w="3005"/>
      </w:tblGrid>
      <w:tr w:rsidR="00421EEF" w14:paraId="12A47B1C" w14:textId="77777777" w:rsidTr="00421EEF">
        <w:trPr>
          <w:trHeight w:val="744"/>
        </w:trPr>
        <w:tc>
          <w:tcPr>
            <w:tcW w:w="1326" w:type="dxa"/>
            <w:vAlign w:val="center"/>
          </w:tcPr>
          <w:p w14:paraId="1FC73CD2" w14:textId="1A3C6F52" w:rsidR="00421EEF" w:rsidRDefault="00421EEF" w:rsidP="00520B00">
            <w:pPr>
              <w:ind w:firstLine="0"/>
              <w:jc w:val="center"/>
              <w:rPr>
                <w:rFonts w:cs="Times New Roman"/>
              </w:rPr>
            </w:pPr>
            <w:r>
              <w:rPr>
                <w:rFonts w:cs="Times New Roman"/>
              </w:rPr>
              <w:t>Typ vady</w:t>
            </w:r>
          </w:p>
        </w:tc>
        <w:tc>
          <w:tcPr>
            <w:tcW w:w="1851" w:type="dxa"/>
            <w:vAlign w:val="center"/>
          </w:tcPr>
          <w:p w14:paraId="39750D59" w14:textId="5FF603A3" w:rsidR="00421EEF" w:rsidRDefault="00421EEF" w:rsidP="00520B00">
            <w:pPr>
              <w:ind w:firstLine="0"/>
              <w:jc w:val="center"/>
              <w:rPr>
                <w:rFonts w:cs="Times New Roman"/>
              </w:rPr>
            </w:pPr>
            <w:r>
              <w:rPr>
                <w:rFonts w:cs="Times New Roman"/>
              </w:rPr>
              <w:t>Intenzita vady</w:t>
            </w:r>
          </w:p>
        </w:tc>
        <w:tc>
          <w:tcPr>
            <w:tcW w:w="2976" w:type="dxa"/>
            <w:vAlign w:val="center"/>
          </w:tcPr>
          <w:p w14:paraId="5A8DD221" w14:textId="133C39EF" w:rsidR="00421EEF" w:rsidRDefault="00421EEF" w:rsidP="00520B00">
            <w:pPr>
              <w:ind w:firstLine="0"/>
              <w:jc w:val="center"/>
              <w:rPr>
                <w:rFonts w:cs="Times New Roman"/>
              </w:rPr>
            </w:pPr>
            <w:r>
              <w:rPr>
                <w:rFonts w:cs="Times New Roman"/>
              </w:rPr>
              <w:t>Specifikace vady</w:t>
            </w:r>
          </w:p>
        </w:tc>
        <w:tc>
          <w:tcPr>
            <w:tcW w:w="3005" w:type="dxa"/>
            <w:vAlign w:val="center"/>
          </w:tcPr>
          <w:p w14:paraId="0DC32664" w14:textId="3E373FB7" w:rsidR="00421EEF" w:rsidRDefault="00421EEF" w:rsidP="00520B00">
            <w:pPr>
              <w:ind w:firstLine="0"/>
              <w:jc w:val="center"/>
              <w:rPr>
                <w:rFonts w:cs="Times New Roman"/>
              </w:rPr>
            </w:pPr>
            <w:r>
              <w:rPr>
                <w:rFonts w:cs="Times New Roman"/>
              </w:rPr>
              <w:t>Následek</w:t>
            </w:r>
          </w:p>
        </w:tc>
      </w:tr>
      <w:tr w:rsidR="00421EEF" w14:paraId="0DAA4C16" w14:textId="77777777" w:rsidTr="00421EEF">
        <w:trPr>
          <w:trHeight w:val="1707"/>
        </w:trPr>
        <w:tc>
          <w:tcPr>
            <w:tcW w:w="1326" w:type="dxa"/>
            <w:vAlign w:val="center"/>
          </w:tcPr>
          <w:p w14:paraId="4B139E2A" w14:textId="53663669" w:rsidR="00421EEF" w:rsidRDefault="00421EEF" w:rsidP="00520B00">
            <w:pPr>
              <w:ind w:firstLine="0"/>
              <w:jc w:val="center"/>
              <w:rPr>
                <w:rFonts w:cs="Times New Roman"/>
              </w:rPr>
            </w:pPr>
            <w:r>
              <w:rPr>
                <w:rFonts w:cs="Times New Roman"/>
              </w:rPr>
              <w:t>I</w:t>
            </w:r>
          </w:p>
        </w:tc>
        <w:tc>
          <w:tcPr>
            <w:tcW w:w="1851" w:type="dxa"/>
            <w:vAlign w:val="center"/>
          </w:tcPr>
          <w:p w14:paraId="4AA7858D" w14:textId="28FE529A" w:rsidR="00421EEF" w:rsidRDefault="00421EEF" w:rsidP="00520B00">
            <w:pPr>
              <w:ind w:firstLine="0"/>
              <w:jc w:val="center"/>
              <w:rPr>
                <w:rFonts w:cs="Times New Roman"/>
              </w:rPr>
            </w:pPr>
            <w:r>
              <w:rPr>
                <w:rFonts w:cs="Times New Roman"/>
              </w:rPr>
              <w:t>Nízká</w:t>
            </w:r>
          </w:p>
        </w:tc>
        <w:tc>
          <w:tcPr>
            <w:tcW w:w="2976" w:type="dxa"/>
            <w:vAlign w:val="center"/>
          </w:tcPr>
          <w:p w14:paraId="17BB5954" w14:textId="04A122F7" w:rsidR="00421EEF" w:rsidRDefault="00421EEF" w:rsidP="00520B00">
            <w:pPr>
              <w:ind w:firstLine="0"/>
              <w:jc w:val="center"/>
              <w:rPr>
                <w:rFonts w:cs="Times New Roman"/>
              </w:rPr>
            </w:pPr>
            <w:r>
              <w:rPr>
                <w:rFonts w:cs="Times New Roman"/>
              </w:rPr>
              <w:t xml:space="preserve">Drobná vada, nemá vliv na funkčnost a estetiku díla a použití díla k danému účelu. </w:t>
            </w:r>
          </w:p>
        </w:tc>
        <w:tc>
          <w:tcPr>
            <w:tcW w:w="3005" w:type="dxa"/>
            <w:vAlign w:val="center"/>
          </w:tcPr>
          <w:p w14:paraId="095E9C99" w14:textId="151F1631" w:rsidR="00421EEF" w:rsidRDefault="00421EEF" w:rsidP="00520B00">
            <w:pPr>
              <w:ind w:firstLine="0"/>
              <w:jc w:val="center"/>
              <w:rPr>
                <w:rFonts w:cs="Times New Roman"/>
              </w:rPr>
            </w:pPr>
            <w:r>
              <w:rPr>
                <w:rFonts w:cs="Times New Roman"/>
              </w:rPr>
              <w:t>Povinnost převzít dílo</w:t>
            </w:r>
          </w:p>
        </w:tc>
      </w:tr>
      <w:tr w:rsidR="00421EEF" w14:paraId="169FC9FB" w14:textId="77777777" w:rsidTr="00421EEF">
        <w:trPr>
          <w:trHeight w:val="2553"/>
        </w:trPr>
        <w:tc>
          <w:tcPr>
            <w:tcW w:w="1326" w:type="dxa"/>
            <w:vAlign w:val="center"/>
          </w:tcPr>
          <w:p w14:paraId="5935ABCD" w14:textId="7112B6B6" w:rsidR="00421EEF" w:rsidRDefault="00421EEF" w:rsidP="00520B00">
            <w:pPr>
              <w:ind w:firstLine="0"/>
              <w:jc w:val="center"/>
              <w:rPr>
                <w:rFonts w:cs="Times New Roman"/>
              </w:rPr>
            </w:pPr>
            <w:r>
              <w:rPr>
                <w:rFonts w:cs="Times New Roman"/>
              </w:rPr>
              <w:t>II</w:t>
            </w:r>
          </w:p>
        </w:tc>
        <w:tc>
          <w:tcPr>
            <w:tcW w:w="1851" w:type="dxa"/>
            <w:vAlign w:val="center"/>
          </w:tcPr>
          <w:p w14:paraId="7B0CC012" w14:textId="2E67D97C" w:rsidR="00421EEF" w:rsidRDefault="00421EEF" w:rsidP="00520B00">
            <w:pPr>
              <w:ind w:firstLine="0"/>
              <w:jc w:val="center"/>
              <w:rPr>
                <w:rFonts w:cs="Times New Roman"/>
              </w:rPr>
            </w:pPr>
            <w:r>
              <w:rPr>
                <w:rFonts w:cs="Times New Roman"/>
              </w:rPr>
              <w:t>Střední</w:t>
            </w:r>
          </w:p>
        </w:tc>
        <w:tc>
          <w:tcPr>
            <w:tcW w:w="2976" w:type="dxa"/>
            <w:vAlign w:val="center"/>
          </w:tcPr>
          <w:p w14:paraId="33316242" w14:textId="4EFD64E7" w:rsidR="00421EEF" w:rsidRDefault="00421EEF" w:rsidP="00520B00">
            <w:pPr>
              <w:ind w:firstLine="0"/>
              <w:jc w:val="center"/>
              <w:rPr>
                <w:rFonts w:cs="Times New Roman"/>
              </w:rPr>
            </w:pPr>
            <w:r>
              <w:rPr>
                <w:rFonts w:cs="Times New Roman"/>
              </w:rPr>
              <w:t>Vada vyšší intenzity, dílo stále slouží svému účelu, nicméně použití v důsledku vady ztížené.</w:t>
            </w:r>
          </w:p>
        </w:tc>
        <w:tc>
          <w:tcPr>
            <w:tcW w:w="3005" w:type="dxa"/>
            <w:vAlign w:val="center"/>
          </w:tcPr>
          <w:p w14:paraId="0893513A" w14:textId="5DDB7823" w:rsidR="00421EEF" w:rsidRDefault="00421EEF" w:rsidP="00520B00">
            <w:pPr>
              <w:ind w:firstLine="0"/>
              <w:jc w:val="center"/>
              <w:rPr>
                <w:rFonts w:cs="Times New Roman"/>
              </w:rPr>
            </w:pPr>
            <w:r>
              <w:rPr>
                <w:rFonts w:cs="Times New Roman"/>
              </w:rPr>
              <w:t>Povinnost převzít dílo a právo uplatnit institut zádržného</w:t>
            </w:r>
          </w:p>
        </w:tc>
      </w:tr>
      <w:tr w:rsidR="00421EEF" w14:paraId="16035E11" w14:textId="77777777" w:rsidTr="00421EEF">
        <w:trPr>
          <w:trHeight w:val="846"/>
        </w:trPr>
        <w:tc>
          <w:tcPr>
            <w:tcW w:w="1326" w:type="dxa"/>
            <w:vAlign w:val="center"/>
          </w:tcPr>
          <w:p w14:paraId="0B146699" w14:textId="543BFA66" w:rsidR="00421EEF" w:rsidRDefault="00421EEF" w:rsidP="00520B00">
            <w:pPr>
              <w:ind w:firstLine="0"/>
              <w:jc w:val="center"/>
              <w:rPr>
                <w:rFonts w:cs="Times New Roman"/>
              </w:rPr>
            </w:pPr>
            <w:r>
              <w:rPr>
                <w:rFonts w:cs="Times New Roman"/>
              </w:rPr>
              <w:t>III</w:t>
            </w:r>
          </w:p>
        </w:tc>
        <w:tc>
          <w:tcPr>
            <w:tcW w:w="1851" w:type="dxa"/>
            <w:vAlign w:val="center"/>
          </w:tcPr>
          <w:p w14:paraId="28B0A8D7" w14:textId="610F32CD" w:rsidR="00421EEF" w:rsidRDefault="00421EEF" w:rsidP="00520B00">
            <w:pPr>
              <w:ind w:firstLine="0"/>
              <w:jc w:val="center"/>
              <w:rPr>
                <w:rFonts w:cs="Times New Roman"/>
              </w:rPr>
            </w:pPr>
            <w:r>
              <w:rPr>
                <w:rFonts w:cs="Times New Roman"/>
              </w:rPr>
              <w:t>Vysoká</w:t>
            </w:r>
          </w:p>
        </w:tc>
        <w:tc>
          <w:tcPr>
            <w:tcW w:w="2976" w:type="dxa"/>
            <w:vAlign w:val="center"/>
          </w:tcPr>
          <w:p w14:paraId="1C4A0EDC" w14:textId="209CD3BE" w:rsidR="00421EEF" w:rsidRDefault="00421EEF" w:rsidP="00520B00">
            <w:pPr>
              <w:ind w:firstLine="0"/>
              <w:jc w:val="center"/>
              <w:rPr>
                <w:rFonts w:cs="Times New Roman"/>
              </w:rPr>
            </w:pPr>
            <w:r>
              <w:rPr>
                <w:rFonts w:cs="Times New Roman"/>
              </w:rPr>
              <w:t>Dílo vůbec neslouží svému účelu.</w:t>
            </w:r>
          </w:p>
        </w:tc>
        <w:tc>
          <w:tcPr>
            <w:tcW w:w="3005" w:type="dxa"/>
            <w:vAlign w:val="center"/>
          </w:tcPr>
          <w:p w14:paraId="6028BDB9" w14:textId="617E85A3" w:rsidR="00421EEF" w:rsidRDefault="00421EEF" w:rsidP="00520B00">
            <w:pPr>
              <w:ind w:firstLine="0"/>
              <w:jc w:val="center"/>
              <w:rPr>
                <w:rFonts w:cs="Times New Roman"/>
              </w:rPr>
            </w:pPr>
            <w:r>
              <w:rPr>
                <w:rFonts w:cs="Times New Roman"/>
              </w:rPr>
              <w:t>Právo odmítnout převzetí díla</w:t>
            </w:r>
          </w:p>
        </w:tc>
      </w:tr>
    </w:tbl>
    <w:p w14:paraId="6CE9809C" w14:textId="77777777" w:rsidR="00520B00" w:rsidRPr="007E77F4" w:rsidRDefault="00520B00" w:rsidP="007E77F4">
      <w:pPr>
        <w:rPr>
          <w:rFonts w:cs="Times New Roman"/>
        </w:rPr>
      </w:pPr>
    </w:p>
    <w:p w14:paraId="0E7ABA43" w14:textId="66F42C83" w:rsidR="00C664D2" w:rsidRDefault="000E037A" w:rsidP="000E037A">
      <w:r w:rsidRPr="00567FAB">
        <w:rPr>
          <w:rFonts w:cs="Times New Roman"/>
        </w:rPr>
        <w:lastRenderedPageBreak/>
        <w:t>Tato úprava</w:t>
      </w:r>
      <w:r w:rsidR="0064763F">
        <w:rPr>
          <w:rFonts w:cs="Times New Roman"/>
        </w:rPr>
        <w:t xml:space="preserve"> tak</w:t>
      </w:r>
      <w:r w:rsidRPr="00567FAB">
        <w:rPr>
          <w:rFonts w:cs="Times New Roman"/>
        </w:rPr>
        <w:t xml:space="preserve"> poskytuje větší jistotu </w:t>
      </w:r>
      <w:r w:rsidR="00421EEF">
        <w:rPr>
          <w:rFonts w:cs="Times New Roman"/>
        </w:rPr>
        <w:t xml:space="preserve">nejen odběrateli, ale </w:t>
      </w:r>
      <w:r w:rsidRPr="00567FAB">
        <w:rPr>
          <w:rFonts w:cs="Times New Roman"/>
        </w:rPr>
        <w:t>i dodavateli, protože mu vzniká právo na zaplacení ceny díla i tehdy, má-li díl</w:t>
      </w:r>
      <w:r w:rsidR="007B4ED0">
        <w:rPr>
          <w:rFonts w:cs="Times New Roman"/>
        </w:rPr>
        <w:t xml:space="preserve">o nějaké vady, které však </w:t>
      </w:r>
      <w:r w:rsidRPr="00567FAB">
        <w:rPr>
          <w:rFonts w:cs="Times New Roman"/>
        </w:rPr>
        <w:t>nebrání tom</w:t>
      </w:r>
      <w:r w:rsidR="004E0E81">
        <w:rPr>
          <w:rFonts w:cs="Times New Roman"/>
        </w:rPr>
        <w:t>u, aby sloužilo svému účelu. D</w:t>
      </w:r>
      <w:r w:rsidRPr="00567FAB">
        <w:rPr>
          <w:rFonts w:cs="Times New Roman"/>
        </w:rPr>
        <w:t xml:space="preserve">odavatel tak nemusí nést veškeré náklady až do absolutního odstranění všech vad bez ohledu na jejich vliv na </w:t>
      </w:r>
      <w:r w:rsidR="00421EEF">
        <w:rPr>
          <w:rFonts w:cs="Times New Roman"/>
        </w:rPr>
        <w:t xml:space="preserve">účelnost </w:t>
      </w:r>
      <w:r w:rsidRPr="00567FAB">
        <w:rPr>
          <w:rFonts w:cs="Times New Roman"/>
        </w:rPr>
        <w:t xml:space="preserve">díla. </w:t>
      </w:r>
      <w:r w:rsidR="004647F2">
        <w:t>Již v této fázi si totiž</w:t>
      </w:r>
      <w:r w:rsidR="004647F2" w:rsidRPr="00E9652A">
        <w:t xml:space="preserve"> dodavatel zaslouží odměnu, byť v omezené výši. Omezená výše může </w:t>
      </w:r>
      <w:r w:rsidR="00931D5C">
        <w:t xml:space="preserve">spočívat </w:t>
      </w:r>
      <w:r w:rsidR="003066E6">
        <w:t xml:space="preserve">např. </w:t>
      </w:r>
      <w:r w:rsidR="00931D5C">
        <w:t>v uplatnění</w:t>
      </w:r>
      <w:r w:rsidR="004647F2" w:rsidRPr="00E9652A">
        <w:t xml:space="preserve"> tzv. institutu zádržného</w:t>
      </w:r>
      <w:r w:rsidR="00E67064" w:rsidRPr="00567FAB">
        <w:rPr>
          <w:rStyle w:val="FootnoteReference"/>
          <w:rFonts w:cs="Times New Roman"/>
        </w:rPr>
        <w:footnoteReference w:id="61"/>
      </w:r>
      <w:r w:rsidR="004647F2" w:rsidRPr="00E9652A">
        <w:t xml:space="preserve">, kdy si v případě výskytu některých vad ponechá odběratel část platby </w:t>
      </w:r>
      <w:r w:rsidR="00C81A0C">
        <w:t xml:space="preserve">odpovídající odhadem přiměřeně jeho právu na slevu </w:t>
      </w:r>
      <w:r w:rsidR="004647F2" w:rsidRPr="00E9652A">
        <w:t xml:space="preserve">až do doby odstranění těchto vad. V okamžiku odstranění vad je pak odběratel povinen zádržné jako zbývající část ceny za dílo předat dodavateli. </w:t>
      </w:r>
    </w:p>
    <w:p w14:paraId="36F93399" w14:textId="0D6254F9" w:rsidR="000E037A" w:rsidRDefault="00E67064" w:rsidP="000E037A">
      <w:pPr>
        <w:rPr>
          <w:rFonts w:cs="Times New Roman"/>
        </w:rPr>
      </w:pPr>
      <w:r>
        <w:rPr>
          <w:rFonts w:cs="Times New Roman"/>
        </w:rPr>
        <w:t xml:space="preserve">U </w:t>
      </w:r>
      <w:r w:rsidR="000E037A" w:rsidRPr="00567FAB">
        <w:rPr>
          <w:rFonts w:cs="Times New Roman"/>
        </w:rPr>
        <w:t xml:space="preserve">dlouhodobých kontraktů </w:t>
      </w:r>
      <w:r>
        <w:rPr>
          <w:rFonts w:cs="Times New Roman"/>
        </w:rPr>
        <w:t xml:space="preserve">lze </w:t>
      </w:r>
      <w:r w:rsidR="000E037A" w:rsidRPr="00567FAB">
        <w:rPr>
          <w:rFonts w:cs="Times New Roman"/>
        </w:rPr>
        <w:t>očekávat, že se strany dohodnou spíše na vzniku práva na zaplacení části ceny dokončením dílčí</w:t>
      </w:r>
      <w:r w:rsidR="00AA5B2A">
        <w:rPr>
          <w:rFonts w:cs="Times New Roman"/>
        </w:rPr>
        <w:t xml:space="preserve"> části</w:t>
      </w:r>
      <w:r w:rsidR="000E037A" w:rsidRPr="00567FAB">
        <w:rPr>
          <w:rFonts w:cs="Times New Roman"/>
        </w:rPr>
        <w:t xml:space="preserve"> díla.</w:t>
      </w:r>
      <w:r w:rsidR="00802DDA" w:rsidRPr="00567FAB">
        <w:rPr>
          <w:rStyle w:val="FootnoteReference"/>
          <w:rFonts w:cs="Times New Roman"/>
        </w:rPr>
        <w:footnoteReference w:id="62"/>
      </w:r>
      <w:r w:rsidR="000E037A" w:rsidRPr="00567FAB">
        <w:rPr>
          <w:rFonts w:cs="Times New Roman"/>
        </w:rPr>
        <w:t xml:space="preserve"> </w:t>
      </w:r>
      <w:r w:rsidR="00A502E4">
        <w:rPr>
          <w:rFonts w:cs="Times New Roman"/>
        </w:rPr>
        <w:t xml:space="preserve">Z pohledu ochrany dodavatele je pak na místě ve smlouvě dohodnout </w:t>
      </w:r>
      <w:r w:rsidR="00A502E4" w:rsidRPr="00207EC2">
        <w:rPr>
          <w:rFonts w:cs="Times New Roman"/>
        </w:rPr>
        <w:t xml:space="preserve">následek </w:t>
      </w:r>
      <w:r w:rsidR="00955E1F" w:rsidRPr="00207EC2">
        <w:rPr>
          <w:rFonts w:cs="Times New Roman"/>
        </w:rPr>
        <w:t xml:space="preserve">případného </w:t>
      </w:r>
      <w:r w:rsidR="00A502E4" w:rsidRPr="00207EC2">
        <w:rPr>
          <w:rFonts w:cs="Times New Roman"/>
        </w:rPr>
        <w:t>porušení povinnosti odběratele</w:t>
      </w:r>
      <w:r w:rsidR="00A502E4">
        <w:rPr>
          <w:rFonts w:cs="Times New Roman"/>
        </w:rPr>
        <w:t xml:space="preserve"> zaplatit cenu za dílčí část díla, </w:t>
      </w:r>
      <w:r w:rsidR="003066E6">
        <w:rPr>
          <w:rFonts w:cs="Times New Roman"/>
        </w:rPr>
        <w:t xml:space="preserve">spočívající </w:t>
      </w:r>
      <w:r w:rsidR="00802DDA">
        <w:rPr>
          <w:rFonts w:cs="Times New Roman"/>
        </w:rPr>
        <w:t>např.</w:t>
      </w:r>
      <w:r w:rsidR="00A502E4">
        <w:rPr>
          <w:rFonts w:cs="Times New Roman"/>
        </w:rPr>
        <w:t xml:space="preserve"> v přerušení díla či zpomalení zhotovování dalších částí až do okamžiku splnění odběratelovy povinnosti</w:t>
      </w:r>
      <w:r w:rsidR="00802DDA">
        <w:rPr>
          <w:rStyle w:val="FootnoteReference"/>
          <w:rFonts w:cs="Times New Roman"/>
        </w:rPr>
        <w:footnoteReference w:id="63"/>
      </w:r>
      <w:r w:rsidR="00AF352F">
        <w:rPr>
          <w:rFonts w:cs="Times New Roman"/>
        </w:rPr>
        <w:t>.</w:t>
      </w:r>
      <w:r w:rsidR="00A502E4">
        <w:rPr>
          <w:rStyle w:val="FootnoteReference"/>
          <w:rFonts w:cs="Times New Roman"/>
        </w:rPr>
        <w:footnoteReference w:id="64"/>
      </w:r>
      <w:r w:rsidR="00A502E4">
        <w:rPr>
          <w:rFonts w:cs="Times New Roman"/>
        </w:rPr>
        <w:t xml:space="preserve"> </w:t>
      </w:r>
    </w:p>
    <w:p w14:paraId="56859DC7" w14:textId="5F02BF2C" w:rsidR="00F64D69" w:rsidRDefault="00F64D69" w:rsidP="00F64D69">
      <w:pPr>
        <w:pStyle w:val="Heading3"/>
      </w:pPr>
      <w:bookmarkStart w:id="42" w:name="_Toc460832687"/>
      <w:r>
        <w:t>Stavební díla</w:t>
      </w:r>
      <w:bookmarkEnd w:id="42"/>
    </w:p>
    <w:p w14:paraId="5F996666" w14:textId="0F377452" w:rsidR="00F64D69" w:rsidRDefault="00F64D69" w:rsidP="00F64D69">
      <w:pPr>
        <w:rPr>
          <w:rFonts w:cs="Times New Roman"/>
        </w:rPr>
      </w:pPr>
      <w:r>
        <w:rPr>
          <w:rFonts w:cs="Times New Roman"/>
        </w:rPr>
        <w:t>Úprava smlouvy o úpravě nemovité věci, o zhotovení, opravě nebo úpravě stavby je systematicky včleněna pod smlouvu o dílo a úplatnost tak nemusí být zvlášť zkoumána.</w:t>
      </w:r>
    </w:p>
    <w:p w14:paraId="2258A0EB" w14:textId="057137E6" w:rsidR="00F64D69" w:rsidRDefault="00F64D69" w:rsidP="00F64D69">
      <w:pPr>
        <w:rPr>
          <w:rFonts w:cs="Times New Roman"/>
        </w:rPr>
      </w:pPr>
      <w:r>
        <w:rPr>
          <w:rFonts w:cs="Times New Roman"/>
        </w:rPr>
        <w:t>Co se týče povinnosti převzít stavební dílo, zákon přímo stanoví, že „</w:t>
      </w:r>
      <w:r w:rsidRPr="00AC2BAF">
        <w:rPr>
          <w:rFonts w:cs="Times New Roman"/>
          <w:i/>
        </w:rPr>
        <w:t>objednatel nemá právo odmítnout převzetí stavby pro ojedinělé drobné vady, které samy o sobě ani ve spojení s jinými nebrání užívání stavby funkčně nebo esteticky, ani její užívání podstatným způsobem neomezují</w:t>
      </w:r>
      <w:r>
        <w:rPr>
          <w:rFonts w:cs="Times New Roman"/>
        </w:rPr>
        <w:t>.“</w:t>
      </w:r>
      <w:r>
        <w:rPr>
          <w:rStyle w:val="FootnoteReference"/>
          <w:rFonts w:cs="Times New Roman"/>
        </w:rPr>
        <w:footnoteReference w:id="65"/>
      </w:r>
      <w:r>
        <w:rPr>
          <w:rFonts w:cs="Times New Roman"/>
        </w:rPr>
        <w:t xml:space="preserve"> V závislosti na převzetí díla pak opět vzniká právo na zaplacení ceny.</w:t>
      </w:r>
    </w:p>
    <w:p w14:paraId="637A1F6F" w14:textId="5F14DDF5" w:rsidR="00F64D69" w:rsidRDefault="00F64D69" w:rsidP="00F64D69">
      <w:pPr>
        <w:pStyle w:val="Heading3"/>
      </w:pPr>
      <w:bookmarkStart w:id="43" w:name="_Toc460832688"/>
      <w:r>
        <w:lastRenderedPageBreak/>
        <w:t>FIDIC</w:t>
      </w:r>
      <w:bookmarkEnd w:id="43"/>
    </w:p>
    <w:p w14:paraId="3E93EAC7" w14:textId="7EA18401" w:rsidR="00F64D69" w:rsidRPr="00F64D69" w:rsidRDefault="00F64D69" w:rsidP="00F64D69">
      <w:r>
        <w:t xml:space="preserve">Předpokladem aplikace CONS a </w:t>
      </w:r>
      <w:r w:rsidR="007545A7">
        <w:t xml:space="preserve">Construction </w:t>
      </w:r>
      <w:r>
        <w:t>Subcontract</w:t>
      </w:r>
      <w:r w:rsidR="007545A7">
        <w:t xml:space="preserve"> je uzavření smlouvy o dílo, </w:t>
      </w:r>
      <w:r w:rsidR="007545A7" w:rsidRPr="007B1D13">
        <w:t>jak bylo popsáno výše</w:t>
      </w:r>
      <w:r w:rsidR="007545A7">
        <w:t>. I zde je tedy znak úplatnosti zjevně naplněn.</w:t>
      </w:r>
    </w:p>
    <w:p w14:paraId="61427609" w14:textId="18873E6D" w:rsidR="00DA7A9D" w:rsidRDefault="00D363F7" w:rsidP="007545A7">
      <w:pPr>
        <w:pStyle w:val="Heading2"/>
      </w:pPr>
      <w:bookmarkStart w:id="44" w:name="_Toc460832689"/>
      <w:r>
        <w:t>Porušení povinnosti řádně sp</w:t>
      </w:r>
      <w:r w:rsidR="004C6AC7">
        <w:t>lnit</w:t>
      </w:r>
      <w:r w:rsidR="0090093F">
        <w:t xml:space="preserve"> a převzetí vadného plnění</w:t>
      </w:r>
      <w:bookmarkEnd w:id="44"/>
    </w:p>
    <w:p w14:paraId="6935AAB6" w14:textId="2FB2D427" w:rsidR="00073ED4" w:rsidRPr="00567FAB" w:rsidRDefault="00073ED4" w:rsidP="00073ED4">
      <w:pPr>
        <w:rPr>
          <w:rFonts w:cs="Times New Roman"/>
        </w:rPr>
      </w:pPr>
      <w:r w:rsidRPr="00567FAB">
        <w:rPr>
          <w:rFonts w:cs="Times New Roman"/>
        </w:rPr>
        <w:t xml:space="preserve">ObčZ vychází z jiného konceptu odpovědnosti než dosavadní právní úprava. Odpovědnost za vady není již sekundární povinností, ale nově se na ni pohlíží jako na primární povinnost. Dlužník odpovídá za to, že plnění bude řádné, bez vad. Poruší-li tuto odpovědnost, nese následky v podobě povinností z vadného </w:t>
      </w:r>
      <w:r w:rsidR="00CD2F6B">
        <w:rPr>
          <w:rFonts w:cs="Times New Roman"/>
        </w:rPr>
        <w:t>s</w:t>
      </w:r>
      <w:r w:rsidRPr="00567FAB">
        <w:rPr>
          <w:rFonts w:cs="Times New Roman"/>
        </w:rPr>
        <w:t>plnění, aniž je zkoumáno jeho zavinění</w:t>
      </w:r>
      <w:r w:rsidRPr="00567FAB">
        <w:rPr>
          <w:rStyle w:val="FootnoteReference"/>
          <w:rFonts w:cs="Times New Roman"/>
        </w:rPr>
        <w:footnoteReference w:id="66"/>
      </w:r>
      <w:r w:rsidRPr="00567FAB">
        <w:rPr>
          <w:rFonts w:cs="Times New Roman"/>
        </w:rPr>
        <w:t xml:space="preserve">. Lze hovořit o objektivní odpovědnosti za řádné splnění dluhu. </w:t>
      </w:r>
    </w:p>
    <w:p w14:paraId="0047794F" w14:textId="4785DFB3" w:rsidR="004C6AC7" w:rsidRDefault="00073ED4" w:rsidP="00073ED4">
      <w:r>
        <w:t xml:space="preserve"> </w:t>
      </w:r>
      <w:r w:rsidR="004C6AC7">
        <w:t>„</w:t>
      </w:r>
      <w:r w:rsidR="004C6AC7" w:rsidRPr="004160FD">
        <w:rPr>
          <w:i/>
        </w:rPr>
        <w:t xml:space="preserve">Daný slib zavazuje a smlouvy mají být </w:t>
      </w:r>
      <w:r w:rsidR="004C6AC7" w:rsidRPr="0090093F">
        <w:rPr>
          <w:i/>
        </w:rPr>
        <w:t>splněny</w:t>
      </w:r>
      <w:r w:rsidR="004C6AC7" w:rsidRPr="0090093F">
        <w:t>“</w:t>
      </w:r>
      <w:r w:rsidR="004C6AC7">
        <w:t>.</w:t>
      </w:r>
      <w:r w:rsidR="004C6AC7">
        <w:rPr>
          <w:rStyle w:val="FootnoteReference"/>
        </w:rPr>
        <w:footnoteReference w:id="67"/>
      </w:r>
      <w:r w:rsidR="004C6AC7">
        <w:t xml:space="preserve"> Jedná se o základní zásadu soukromého práva a v podstatě též o primární povinnost stran</w:t>
      </w:r>
      <w:r w:rsidR="00326056">
        <w:t xml:space="preserve"> závazku spočívající ve splnění</w:t>
      </w:r>
      <w:r w:rsidR="004C6AC7">
        <w:t xml:space="preserve"> uzavřené smlouvy. Smlouvou o dílo se </w:t>
      </w:r>
      <w:r>
        <w:t>dodavatel</w:t>
      </w:r>
      <w:r w:rsidR="004C6AC7">
        <w:t xml:space="preserve"> zavazuje provést dílo, </w:t>
      </w:r>
      <w:r>
        <w:t xml:space="preserve">odběratel </w:t>
      </w:r>
      <w:r w:rsidR="004C6AC7">
        <w:t>se zavazuje toto dílo převzít a zaplatit za něj cenu.</w:t>
      </w:r>
      <w:r w:rsidR="004C6AC7">
        <w:rPr>
          <w:rStyle w:val="FootnoteReference"/>
        </w:rPr>
        <w:footnoteReference w:id="68"/>
      </w:r>
    </w:p>
    <w:p w14:paraId="5105768F" w14:textId="3928F1FE" w:rsidR="004C6AC7" w:rsidRDefault="004C6AC7" w:rsidP="004C6AC7">
      <w:pPr>
        <w:rPr>
          <w:rFonts w:cs="Times New Roman"/>
        </w:rPr>
      </w:pPr>
      <w:r w:rsidRPr="00567FAB">
        <w:rPr>
          <w:rFonts w:cs="Times New Roman"/>
        </w:rPr>
        <w:t>„</w:t>
      </w:r>
      <w:r>
        <w:rPr>
          <w:rFonts w:cs="Times New Roman"/>
          <w:i/>
        </w:rPr>
        <w:t>Z</w:t>
      </w:r>
      <w:r w:rsidRPr="00567FAB">
        <w:rPr>
          <w:rFonts w:cs="Times New Roman"/>
          <w:i/>
        </w:rPr>
        <w:t>e závazku má věřitel vůči dlužníku právo na určité plnění jako na pohledávku a dlužník má povinnost toto právo splněním dluhu uspokojit</w:t>
      </w:r>
      <w:r w:rsidRPr="00567FAB">
        <w:rPr>
          <w:rFonts w:cs="Times New Roman"/>
        </w:rPr>
        <w:t>“</w:t>
      </w:r>
      <w:r w:rsidR="007A136C">
        <w:rPr>
          <w:rFonts w:cs="Times New Roman"/>
        </w:rPr>
        <w:t>.</w:t>
      </w:r>
      <w:r>
        <w:rPr>
          <w:rStyle w:val="FootnoteReference"/>
          <w:rFonts w:cs="Times New Roman"/>
        </w:rPr>
        <w:footnoteReference w:id="69"/>
      </w:r>
      <w:r w:rsidRPr="00567FAB">
        <w:rPr>
          <w:rFonts w:cs="Times New Roman"/>
        </w:rPr>
        <w:t xml:space="preserve"> V ideálním případě závazek zaniká splněním dluhu</w:t>
      </w:r>
      <w:r w:rsidRPr="00567FAB">
        <w:rPr>
          <w:rStyle w:val="FootnoteReference"/>
          <w:rFonts w:cs="Times New Roman"/>
        </w:rPr>
        <w:footnoteReference w:id="70"/>
      </w:r>
      <w:r w:rsidRPr="00567FAB">
        <w:rPr>
          <w:rFonts w:cs="Times New Roman"/>
        </w:rPr>
        <w:t xml:space="preserve">, </w:t>
      </w:r>
      <w:r>
        <w:rPr>
          <w:rFonts w:cs="Times New Roman"/>
        </w:rPr>
        <w:t>dle</w:t>
      </w:r>
      <w:r w:rsidRPr="00567FAB">
        <w:rPr>
          <w:rFonts w:cs="Times New Roman"/>
        </w:rPr>
        <w:t xml:space="preserve"> § 1908 odst. 2 ObčZ </w:t>
      </w:r>
      <w:r>
        <w:rPr>
          <w:rFonts w:cs="Times New Roman"/>
        </w:rPr>
        <w:t xml:space="preserve">má dlužník </w:t>
      </w:r>
      <w:r w:rsidRPr="00567FAB">
        <w:rPr>
          <w:rFonts w:cs="Times New Roman"/>
        </w:rPr>
        <w:t>povinnost splnit dluh řádně a včas</w:t>
      </w:r>
      <w:r>
        <w:rPr>
          <w:rFonts w:cs="Times New Roman"/>
        </w:rPr>
        <w:t>. Ke splnění dojde t</w:t>
      </w:r>
      <w:r w:rsidRPr="00567FAB">
        <w:rPr>
          <w:rFonts w:cs="Times New Roman"/>
        </w:rPr>
        <w:t>ehdy, kdy plnění stranami dohodnuté ve smlouvě odpovídá jejich představě a má vlastnosti</w:t>
      </w:r>
      <w:r w:rsidR="007F3685">
        <w:rPr>
          <w:rFonts w:cs="Times New Roman"/>
        </w:rPr>
        <w:t xml:space="preserve"> dohodnuté, stanovené</w:t>
      </w:r>
      <w:r w:rsidRPr="00567FAB">
        <w:rPr>
          <w:rFonts w:cs="Times New Roman"/>
        </w:rPr>
        <w:t xml:space="preserve"> přímo ve smlouvě</w:t>
      </w:r>
      <w:r w:rsidR="007F3685">
        <w:rPr>
          <w:rFonts w:cs="Times New Roman"/>
        </w:rPr>
        <w:t>, nebo</w:t>
      </w:r>
      <w:r w:rsidRPr="00567FAB">
        <w:rPr>
          <w:rFonts w:cs="Times New Roman"/>
        </w:rPr>
        <w:t xml:space="preserve"> </w:t>
      </w:r>
      <w:r w:rsidR="007F3685">
        <w:rPr>
          <w:rFonts w:cs="Times New Roman"/>
        </w:rPr>
        <w:t xml:space="preserve">určené </w:t>
      </w:r>
      <w:r w:rsidRPr="00567FAB">
        <w:rPr>
          <w:rFonts w:cs="Times New Roman"/>
        </w:rPr>
        <w:t xml:space="preserve">alespoň </w:t>
      </w:r>
      <w:r w:rsidR="007F3685">
        <w:rPr>
          <w:rFonts w:cs="Times New Roman"/>
        </w:rPr>
        <w:t xml:space="preserve">obecně </w:t>
      </w:r>
      <w:r w:rsidRPr="00567FAB">
        <w:rPr>
          <w:rFonts w:cs="Times New Roman"/>
        </w:rPr>
        <w:t>podle způsobu či účelu po</w:t>
      </w:r>
      <w:r>
        <w:rPr>
          <w:rFonts w:cs="Times New Roman"/>
        </w:rPr>
        <w:t>u</w:t>
      </w:r>
      <w:r w:rsidRPr="00567FAB">
        <w:rPr>
          <w:rFonts w:cs="Times New Roman"/>
        </w:rPr>
        <w:t>žití</w:t>
      </w:r>
      <w:r w:rsidRPr="00567FAB">
        <w:rPr>
          <w:rStyle w:val="FootnoteReference"/>
          <w:rFonts w:cs="Times New Roman"/>
        </w:rPr>
        <w:footnoteReference w:id="71"/>
      </w:r>
      <w:r w:rsidRPr="00567FAB">
        <w:rPr>
          <w:rFonts w:cs="Times New Roman"/>
        </w:rPr>
        <w:t xml:space="preserve">, případně je-li plnění vadné, ale strana oprávněná svá práva z vadného </w:t>
      </w:r>
      <w:r w:rsidR="00135ABA">
        <w:rPr>
          <w:rFonts w:cs="Times New Roman"/>
        </w:rPr>
        <w:t>s</w:t>
      </w:r>
      <w:r w:rsidRPr="00567FAB">
        <w:rPr>
          <w:rFonts w:cs="Times New Roman"/>
        </w:rPr>
        <w:t>plnění uplatnit nechce. Kontraktační proces nelze podceňovat a je potřeba mu v</w:t>
      </w:r>
      <w:r w:rsidR="00135ABA">
        <w:rPr>
          <w:rFonts w:cs="Times New Roman"/>
        </w:rPr>
        <w:t xml:space="preserve">ěnovat zvýšenou pozornost. </w:t>
      </w:r>
      <w:r w:rsidRPr="00567FAB">
        <w:rPr>
          <w:rFonts w:cs="Times New Roman"/>
        </w:rPr>
        <w:t xml:space="preserve">§ 1914 odst. 1 ObčZ hovoří o vlastnostech vymíněných nebo obvyklých, což naznačuje, že si smluvní strany musí vzájemně sdělit své představy a vysvětlit případné nejasnosti ohledně plnění. Nelze </w:t>
      </w:r>
      <w:r>
        <w:rPr>
          <w:rFonts w:cs="Times New Roman"/>
        </w:rPr>
        <w:t xml:space="preserve">tedy </w:t>
      </w:r>
      <w:r w:rsidRPr="00567FAB">
        <w:rPr>
          <w:rFonts w:cs="Times New Roman"/>
        </w:rPr>
        <w:t xml:space="preserve">po druhé smluvní straně požadovat přehnané nároky, jestliže nebyly sděleny při uzavírání smlouvy. Naopak je nutno myslet již při kontraktačním procesu na to, že jsou chráněna </w:t>
      </w:r>
      <w:r w:rsidRPr="00451D07">
        <w:rPr>
          <w:rFonts w:cs="Times New Roman"/>
        </w:rPr>
        <w:t>jen oprávněná očekávání strany vyvolaná p</w:t>
      </w:r>
      <w:r>
        <w:rPr>
          <w:rFonts w:cs="Times New Roman"/>
        </w:rPr>
        <w:t>ři kontraktačním procesu druhou stranou</w:t>
      </w:r>
      <w:r w:rsidRPr="00567FAB">
        <w:rPr>
          <w:rFonts w:cs="Times New Roman"/>
        </w:rPr>
        <w:t>.</w:t>
      </w:r>
      <w:r w:rsidRPr="00567FAB">
        <w:rPr>
          <w:rStyle w:val="FootnoteReference"/>
          <w:rFonts w:cs="Times New Roman"/>
        </w:rPr>
        <w:footnoteReference w:id="72"/>
      </w:r>
    </w:p>
    <w:p w14:paraId="59A221E4" w14:textId="75306746" w:rsidR="004C6AC7" w:rsidRPr="00567FAB" w:rsidRDefault="004C6AC7" w:rsidP="004C6AC7">
      <w:pPr>
        <w:rPr>
          <w:rFonts w:cs="Times New Roman"/>
        </w:rPr>
      </w:pPr>
      <w:r>
        <w:rPr>
          <w:rFonts w:cs="Times New Roman"/>
        </w:rPr>
        <w:lastRenderedPageBreak/>
        <w:t xml:space="preserve">Vadné splnění je tak porušením povinnosti </w:t>
      </w:r>
      <w:r w:rsidR="00135ABA">
        <w:rPr>
          <w:rFonts w:cs="Times New Roman"/>
        </w:rPr>
        <w:t>s</w:t>
      </w:r>
      <w:r>
        <w:rPr>
          <w:rFonts w:cs="Times New Roman"/>
        </w:rPr>
        <w:t>plnit svůj dluh řádně, tedy povinnosti provést dílo řádně, bez vad dle specifikace ve smlouvě o dílo, resp. s vlastnostmi alespoň obvyklými.</w:t>
      </w:r>
      <w:r>
        <w:rPr>
          <w:rStyle w:val="FootnoteReference"/>
          <w:rFonts w:cs="Times New Roman"/>
        </w:rPr>
        <w:footnoteReference w:id="73"/>
      </w:r>
      <w:r>
        <w:rPr>
          <w:rFonts w:cs="Times New Roman"/>
        </w:rPr>
        <w:t xml:space="preserve"> </w:t>
      </w:r>
      <w:r w:rsidRPr="00567FAB">
        <w:rPr>
          <w:rFonts w:cs="Times New Roman"/>
        </w:rPr>
        <w:t>Vždy je však nutno myslet na to, že vady vznikly nejpozději v okamžiku splnění dluhu.</w:t>
      </w:r>
      <w:r w:rsidRPr="00567FAB">
        <w:rPr>
          <w:rStyle w:val="FootnoteReference"/>
          <w:rFonts w:cs="Times New Roman"/>
        </w:rPr>
        <w:footnoteReference w:id="74"/>
      </w:r>
      <w:r w:rsidRPr="00567FAB">
        <w:rPr>
          <w:rFonts w:cs="Times New Roman"/>
        </w:rPr>
        <w:t xml:space="preserve"> Pokud vady vzniknou až poté, co je dluh splněn, pak v důsledku přechodu nebezpečí škody na věřitele nese tento i nebezpečí vzniku vad.</w:t>
      </w:r>
      <w:r w:rsidRPr="00567FAB">
        <w:rPr>
          <w:rStyle w:val="FootnoteReference"/>
          <w:rFonts w:cs="Times New Roman"/>
        </w:rPr>
        <w:footnoteReference w:id="75"/>
      </w:r>
      <w:r w:rsidRPr="00567FAB">
        <w:rPr>
          <w:rFonts w:cs="Times New Roman"/>
        </w:rPr>
        <w:t xml:space="preserve"> </w:t>
      </w:r>
    </w:p>
    <w:p w14:paraId="3BFB1D2B" w14:textId="3283298A" w:rsidR="004C6AC7" w:rsidRPr="00567FAB" w:rsidRDefault="004C6AC7" w:rsidP="004C6AC7">
      <w:pPr>
        <w:rPr>
          <w:rFonts w:cs="Times New Roman"/>
        </w:rPr>
      </w:pPr>
      <w:r w:rsidRPr="00567FAB">
        <w:rPr>
          <w:rFonts w:cs="Times New Roman"/>
        </w:rPr>
        <w:t>K terminologii „vadné splnění“ literatura uvádí, že se jedná o nevhodné slovní spojení, protože pokud by se skutečně jednalo o „splnění“, pak by věřitel ztratil možnost odmítnout vadné plnění (ačkoliv práva z</w:t>
      </w:r>
      <w:r w:rsidR="00A204B4">
        <w:rPr>
          <w:rFonts w:cs="Times New Roman"/>
        </w:rPr>
        <w:t> </w:t>
      </w:r>
      <w:r w:rsidRPr="00567FAB">
        <w:rPr>
          <w:rFonts w:cs="Times New Roman"/>
        </w:rPr>
        <w:t>vad</w:t>
      </w:r>
      <w:r w:rsidR="00A204B4">
        <w:rPr>
          <w:rFonts w:cs="Times New Roman"/>
        </w:rPr>
        <w:t>ného splnění</w:t>
      </w:r>
      <w:r w:rsidRPr="00567FAB">
        <w:rPr>
          <w:rFonts w:cs="Times New Roman"/>
        </w:rPr>
        <w:t xml:space="preserve"> by</w:t>
      </w:r>
      <w:r w:rsidR="00A204B4">
        <w:rPr>
          <w:rFonts w:cs="Times New Roman"/>
        </w:rPr>
        <w:t xml:space="preserve"> mu náležela) a v rozporu s</w:t>
      </w:r>
      <w:r w:rsidRPr="00567FAB">
        <w:rPr>
          <w:rFonts w:cs="Times New Roman"/>
        </w:rPr>
        <w:t xml:space="preserve"> § 1910 by byl nucen přijmout něco jiného, než co </w:t>
      </w:r>
      <w:r>
        <w:rPr>
          <w:rFonts w:cs="Times New Roman"/>
        </w:rPr>
        <w:t>odpovídá</w:t>
      </w:r>
      <w:r w:rsidRPr="00567FAB">
        <w:rPr>
          <w:rFonts w:cs="Times New Roman"/>
        </w:rPr>
        <w:t xml:space="preserve"> jeho pohledávce.</w:t>
      </w:r>
      <w:r w:rsidRPr="00567FAB">
        <w:rPr>
          <w:rStyle w:val="FootnoteReference"/>
          <w:rFonts w:cs="Times New Roman"/>
        </w:rPr>
        <w:t xml:space="preserve"> </w:t>
      </w:r>
      <w:r>
        <w:rPr>
          <w:rFonts w:cs="Times New Roman"/>
        </w:rPr>
        <w:t xml:space="preserve">Avšak i tehdy, je-li vadně splněno (věřitel přijme vadné plnění), závazek nezaniká. </w:t>
      </w:r>
      <w:r w:rsidRPr="00567FAB">
        <w:rPr>
          <w:rFonts w:cs="Times New Roman"/>
        </w:rPr>
        <w:t>Následkem vadného splnění je vznik práv a povinností</w:t>
      </w:r>
      <w:r>
        <w:rPr>
          <w:rFonts w:cs="Times New Roman"/>
        </w:rPr>
        <w:t>, tedy modifikace obsahu původního závazku</w:t>
      </w:r>
      <w:r w:rsidRPr="00567FAB">
        <w:rPr>
          <w:rFonts w:cs="Times New Roman"/>
        </w:rPr>
        <w:t>.</w:t>
      </w:r>
      <w:r w:rsidRPr="00567FAB">
        <w:rPr>
          <w:rStyle w:val="FootnoteReference"/>
          <w:rFonts w:cs="Times New Roman"/>
        </w:rPr>
        <w:footnoteReference w:id="76"/>
      </w:r>
      <w:r w:rsidRPr="00567FAB">
        <w:rPr>
          <w:rFonts w:cs="Times New Roman"/>
        </w:rPr>
        <w:t xml:space="preserve"> Nelze však opomenout, že se jedná o obecnou a dispozitivní právní úpravu a zákon někdy stanovuje zvláštní povinnost vadné plnění přijmout</w:t>
      </w:r>
      <w:r w:rsidRPr="00567FAB">
        <w:rPr>
          <w:rStyle w:val="FootnoteReference"/>
          <w:rFonts w:cs="Times New Roman"/>
        </w:rPr>
        <w:footnoteReference w:id="77"/>
      </w:r>
      <w:r w:rsidRPr="00567FAB">
        <w:rPr>
          <w:rFonts w:cs="Times New Roman"/>
        </w:rPr>
        <w:t xml:space="preserve"> nebo ve smlouvě může být taková povinnost dohodnuta. Bude-li dodavatelsko-odběratelský vztah založen jiným smluvním typem n</w:t>
      </w:r>
      <w:r w:rsidR="00687A8B">
        <w:rPr>
          <w:rFonts w:cs="Times New Roman"/>
        </w:rPr>
        <w:t>ež smlouvou o dílo či nepojmenovaným smluvním typem</w:t>
      </w:r>
      <w:r w:rsidRPr="00567FAB">
        <w:rPr>
          <w:rFonts w:cs="Times New Roman"/>
        </w:rPr>
        <w:t xml:space="preserve">, v němž nebude zakotvena povinnost přijmout plnění např. i přes zjevné nebo drobné vady, a nebude-li u tohoto smluvního typu ani zvláštní zákonné ustanovení, pak bude mít odběratel obecně právo vadné plnění nejprve odmítnout, aniž by došlo k vadnému splnění dluhu. Pokud však odběratel takové plnění i přes jeho vady přijme, pak bude dluh vadně splněn a nadále budou odběrateli náležet práva z takového vadného </w:t>
      </w:r>
      <w:r w:rsidR="00687A8B">
        <w:rPr>
          <w:rFonts w:cs="Times New Roman"/>
        </w:rPr>
        <w:t>s</w:t>
      </w:r>
      <w:r w:rsidRPr="00567FAB">
        <w:rPr>
          <w:rFonts w:cs="Times New Roman"/>
        </w:rPr>
        <w:t>plnění.</w:t>
      </w:r>
    </w:p>
    <w:p w14:paraId="2B9ABF55" w14:textId="7BA84E7C" w:rsidR="004C6AC7" w:rsidRPr="00567FAB" w:rsidRDefault="004C6AC7" w:rsidP="004C6AC7">
      <w:pPr>
        <w:rPr>
          <w:rFonts w:cs="Times New Roman"/>
        </w:rPr>
      </w:pPr>
      <w:r>
        <w:rPr>
          <w:rFonts w:cs="Times New Roman"/>
        </w:rPr>
        <w:t>Dle</w:t>
      </w:r>
      <w:r w:rsidRPr="00567FAB">
        <w:rPr>
          <w:rFonts w:cs="Times New Roman"/>
        </w:rPr>
        <w:t xml:space="preserve"> § 1908 odst. 1 ObčZ </w:t>
      </w:r>
      <w:r>
        <w:rPr>
          <w:rFonts w:cs="Times New Roman"/>
        </w:rPr>
        <w:t xml:space="preserve">závazek zaniká splněním dluhu. Zákon zde žádný přívlastek splnění nepoužívá, </w:t>
      </w:r>
      <w:r w:rsidR="007C6606">
        <w:rPr>
          <w:rFonts w:cs="Times New Roman"/>
        </w:rPr>
        <w:t>zatímco v odst. 2 téhož ustanoven</w:t>
      </w:r>
      <w:r w:rsidR="00B14F42">
        <w:rPr>
          <w:rFonts w:cs="Times New Roman"/>
        </w:rPr>
        <w:t>í</w:t>
      </w:r>
      <w:r w:rsidRPr="00567FAB">
        <w:rPr>
          <w:rFonts w:cs="Times New Roman"/>
        </w:rPr>
        <w:t xml:space="preserve"> používá </w:t>
      </w:r>
      <w:r>
        <w:rPr>
          <w:rFonts w:cs="Times New Roman"/>
        </w:rPr>
        <w:t>spojení „řádné splnění“ a v</w:t>
      </w:r>
      <w:r w:rsidRPr="00567FAB">
        <w:rPr>
          <w:rFonts w:cs="Times New Roman"/>
        </w:rPr>
        <w:t xml:space="preserve"> §</w:t>
      </w:r>
      <w:r w:rsidR="00BC54A3">
        <w:rPr>
          <w:rFonts w:cs="Times New Roman"/>
        </w:rPr>
        <w:t> </w:t>
      </w:r>
      <w:r w:rsidRPr="00567FAB">
        <w:rPr>
          <w:rFonts w:cs="Times New Roman"/>
        </w:rPr>
        <w:t>1914 odst. 2 ObčZ „vadné splnění“. Je otázka, zda se jedná o nedopatření nebo úmysl zákonodárce, domnívám se však, že by mě</w:t>
      </w:r>
      <w:r>
        <w:rPr>
          <w:rFonts w:cs="Times New Roman"/>
        </w:rPr>
        <w:t>lo být „</w:t>
      </w:r>
      <w:r w:rsidR="00774AFC">
        <w:rPr>
          <w:rFonts w:cs="Times New Roman"/>
        </w:rPr>
        <w:t>prosté splnění“</w:t>
      </w:r>
      <w:r>
        <w:rPr>
          <w:rFonts w:cs="Times New Roman"/>
        </w:rPr>
        <w:t xml:space="preserve"> v</w:t>
      </w:r>
      <w:r w:rsidRPr="00567FAB">
        <w:rPr>
          <w:rFonts w:cs="Times New Roman"/>
        </w:rPr>
        <w:t xml:space="preserve"> § 1908 odst. 1 ObčZ vykládáno</w:t>
      </w:r>
      <w:r w:rsidR="00774AFC">
        <w:rPr>
          <w:rFonts w:cs="Times New Roman"/>
        </w:rPr>
        <w:t xml:space="preserve"> ve spojení s odst. 2 téhož ustanovení</w:t>
      </w:r>
      <w:r w:rsidRPr="00567FAB">
        <w:rPr>
          <w:rFonts w:cs="Times New Roman"/>
        </w:rPr>
        <w:t xml:space="preserve"> a mělo by se tedy </w:t>
      </w:r>
      <w:r w:rsidR="00774AFC">
        <w:rPr>
          <w:rFonts w:cs="Times New Roman"/>
        </w:rPr>
        <w:t xml:space="preserve">i v tomto případě </w:t>
      </w:r>
      <w:r w:rsidRPr="00567FAB">
        <w:rPr>
          <w:rFonts w:cs="Times New Roman"/>
        </w:rPr>
        <w:t>jednat o splnění řádné. Pak teprve až „řádným splnění“ může zaniknout</w:t>
      </w:r>
      <w:r>
        <w:rPr>
          <w:rFonts w:cs="Times New Roman"/>
        </w:rPr>
        <w:t xml:space="preserve"> závazek</w:t>
      </w:r>
      <w:r w:rsidRPr="00567FAB">
        <w:rPr>
          <w:rFonts w:cs="Times New Roman"/>
        </w:rPr>
        <w:t>, a prot</w:t>
      </w:r>
      <w:r>
        <w:rPr>
          <w:rFonts w:cs="Times New Roman"/>
        </w:rPr>
        <w:t>o „vadné splnění“ ve smyslu</w:t>
      </w:r>
      <w:r w:rsidRPr="00567FAB">
        <w:rPr>
          <w:rFonts w:cs="Times New Roman"/>
        </w:rPr>
        <w:t xml:space="preserve"> § 1914 odst. 2 ObčZ nemůže způsobit zánik závazku,</w:t>
      </w:r>
      <w:r>
        <w:rPr>
          <w:rFonts w:cs="Times New Roman"/>
        </w:rPr>
        <w:t xml:space="preserve"> ale pouze</w:t>
      </w:r>
      <w:r w:rsidRPr="00567FAB">
        <w:rPr>
          <w:rFonts w:cs="Times New Roman"/>
        </w:rPr>
        <w:t xml:space="preserve"> jeho modifikaci.</w:t>
      </w:r>
      <w:r w:rsidRPr="003722C1">
        <w:t xml:space="preserve"> </w:t>
      </w:r>
      <w:r>
        <w:t xml:space="preserve">Poskytnutí dluhovaného plnění (splnění) tedy může být řádné a vadné. Při vadném </w:t>
      </w:r>
      <w:r>
        <w:lastRenderedPageBreak/>
        <w:t>splnění pak „</w:t>
      </w:r>
      <w:r>
        <w:rPr>
          <w:i/>
        </w:rPr>
        <w:t>dochází přeci jen k nějakému splnění a věřitel plnění přebírá</w:t>
      </w:r>
      <w:r>
        <w:t>“</w:t>
      </w:r>
      <w:r>
        <w:rPr>
          <w:rStyle w:val="FootnoteReference"/>
        </w:rPr>
        <w:footnoteReference w:id="78"/>
      </w:r>
      <w:r>
        <w:t xml:space="preserve"> a tedy musí poskytnuté plnění (byť vadné) převzít, jinak by mu žádná práva z vadného </w:t>
      </w:r>
      <w:r w:rsidR="00064554">
        <w:t>s</w:t>
      </w:r>
      <w:r>
        <w:t>plnění nevznikla.</w:t>
      </w:r>
      <w:r w:rsidRPr="00567FAB">
        <w:rPr>
          <w:rFonts w:cs="Times New Roman"/>
        </w:rPr>
        <w:t xml:space="preserve"> </w:t>
      </w:r>
    </w:p>
    <w:p w14:paraId="6AAAE902" w14:textId="737B5714" w:rsidR="004C6AC7" w:rsidRPr="00567FAB" w:rsidRDefault="004C6AC7" w:rsidP="004C6AC7">
      <w:pPr>
        <w:rPr>
          <w:rFonts w:cs="Times New Roman"/>
        </w:rPr>
      </w:pPr>
      <w:r w:rsidRPr="00567FAB">
        <w:rPr>
          <w:rFonts w:cs="Times New Roman"/>
        </w:rPr>
        <w:t>Otázka, zda může být splněno vadně či nikoli</w:t>
      </w:r>
      <w:r w:rsidRPr="00567FAB">
        <w:rPr>
          <w:rStyle w:val="FootnoteReference"/>
          <w:rFonts w:cs="Times New Roman"/>
        </w:rPr>
        <w:footnoteReference w:id="79"/>
      </w:r>
      <w:r w:rsidRPr="00567FAB">
        <w:rPr>
          <w:rFonts w:cs="Times New Roman"/>
        </w:rPr>
        <w:t xml:space="preserve"> souvisí s povahou závazku, jehož obsahem jsou nově náležející práva a povinnosti z vadného </w:t>
      </w:r>
      <w:r w:rsidR="007F1BD6">
        <w:rPr>
          <w:rFonts w:cs="Times New Roman"/>
        </w:rPr>
        <w:t>s</w:t>
      </w:r>
      <w:r w:rsidRPr="00567FAB">
        <w:rPr>
          <w:rFonts w:cs="Times New Roman"/>
        </w:rPr>
        <w:t xml:space="preserve">plnění. Literatura uvádí dva názory: zaprvé se může jednat o změnu v obsahu závazku, který zaniká teprve až v okamžiku uspokojení práv z vadného </w:t>
      </w:r>
      <w:r w:rsidR="00773F03">
        <w:rPr>
          <w:rFonts w:cs="Times New Roman"/>
        </w:rPr>
        <w:t>s</w:t>
      </w:r>
      <w:r w:rsidRPr="00567FAB">
        <w:rPr>
          <w:rFonts w:cs="Times New Roman"/>
        </w:rPr>
        <w:t xml:space="preserve">plnění, zadruhé se může jednat o zánik závazku původního a vznik závazku nového, jehož obsahem jsou práva a povinnosti z vadného </w:t>
      </w:r>
      <w:r w:rsidR="00773F03">
        <w:rPr>
          <w:rFonts w:cs="Times New Roman"/>
        </w:rPr>
        <w:t>s</w:t>
      </w:r>
      <w:r w:rsidRPr="00567FAB">
        <w:rPr>
          <w:rFonts w:cs="Times New Roman"/>
        </w:rPr>
        <w:t>plnění.</w:t>
      </w:r>
      <w:r w:rsidRPr="00567FAB">
        <w:rPr>
          <w:rStyle w:val="FootnoteReference"/>
          <w:rFonts w:cs="Times New Roman"/>
        </w:rPr>
        <w:footnoteReference w:id="80"/>
      </w:r>
      <w:r w:rsidRPr="00567FAB">
        <w:rPr>
          <w:rFonts w:cs="Times New Roman"/>
        </w:rPr>
        <w:t xml:space="preserve"> </w:t>
      </w:r>
    </w:p>
    <w:p w14:paraId="39B9D65B" w14:textId="5B8EE17A" w:rsidR="004C6AC7" w:rsidRDefault="004C6AC7" w:rsidP="004C6AC7">
      <w:pPr>
        <w:rPr>
          <w:rFonts w:cs="Times New Roman"/>
        </w:rPr>
      </w:pPr>
      <w:r w:rsidRPr="00567FAB">
        <w:rPr>
          <w:rFonts w:cs="Times New Roman"/>
        </w:rPr>
        <w:t>S ohledem na výše uvedené se přikláním k názoru prvnímu, neboť v případě „vadného splnění“ ned</w:t>
      </w:r>
      <w:r w:rsidR="00773F03">
        <w:rPr>
          <w:rFonts w:cs="Times New Roman"/>
        </w:rPr>
        <w:t>ochází ke splnění závazku, tedy</w:t>
      </w:r>
      <w:r w:rsidRPr="00567FAB">
        <w:rPr>
          <w:rFonts w:cs="Times New Roman"/>
        </w:rPr>
        <w:t xml:space="preserve"> k zániku závazku splněním. Věřiteli ze zákona vznikají určitá práva a dlužníku určité povinnosti. Obsah dosavadního závazku se mění a závazek zaniká teprve až řádným splněním dluhu</w:t>
      </w:r>
      <w:r w:rsidRPr="00567FAB">
        <w:rPr>
          <w:rStyle w:val="FootnoteReference"/>
          <w:rFonts w:cs="Times New Roman"/>
        </w:rPr>
        <w:footnoteReference w:id="81"/>
      </w:r>
      <w:r w:rsidR="00773F03">
        <w:rPr>
          <w:rFonts w:cs="Times New Roman"/>
        </w:rPr>
        <w:t>. Vytknutím vady a u</w:t>
      </w:r>
      <w:r w:rsidRPr="00567FAB">
        <w:rPr>
          <w:rFonts w:cs="Times New Roman"/>
        </w:rPr>
        <w:t xml:space="preserve">platněním práva z vadného </w:t>
      </w:r>
      <w:r w:rsidR="00773F03">
        <w:rPr>
          <w:rFonts w:cs="Times New Roman"/>
        </w:rPr>
        <w:t>s</w:t>
      </w:r>
      <w:r w:rsidRPr="00567FAB">
        <w:rPr>
          <w:rFonts w:cs="Times New Roman"/>
        </w:rPr>
        <w:t>plnění oprávněný subjekt podobu dluhu povinného subjektu modifikuje. Splněním povinnosti povinného subjektu odpovídající uplatněnému právu oprávněného subjektu dojde ke splnění modifikovaného dluhu, a tím i k zániku závazku ve smyslu ust. § 1908 odst. 1 ObčZ.</w:t>
      </w:r>
    </w:p>
    <w:p w14:paraId="296138BA" w14:textId="713BA457" w:rsidR="004C6AC7" w:rsidRPr="00567FAB" w:rsidRDefault="004C6AC7" w:rsidP="004C6AC7">
      <w:pPr>
        <w:rPr>
          <w:rFonts w:cs="Times New Roman"/>
        </w:rPr>
      </w:pPr>
      <w:r>
        <w:rPr>
          <w:rFonts w:cs="Times New Roman"/>
        </w:rPr>
        <w:t>Uvedený názor podporuje např. akcesorická povaha zajištění dluhu. Zajištění dluhu zaniká zánikem dluhu samotného. Pokud by okamžikem vadného splnění zanikl původní závazek a vznikl závazek nový, pak by zaniklo i zajištění a pozice věřitele by tak byla významně oslabena. Proto se jeví rozumnějším závěr, že v důsledku vadného splnění dojde pouze k určité modifikaci dosavadního závazku a ožijí práva a povinnosti z vadného splnění.</w:t>
      </w:r>
    </w:p>
    <w:p w14:paraId="181C9AD0" w14:textId="77777777" w:rsidR="00452847" w:rsidRDefault="004C6AC7" w:rsidP="0090093F">
      <w:pPr>
        <w:rPr>
          <w:rFonts w:cs="Times New Roman"/>
        </w:rPr>
      </w:pPr>
      <w:r w:rsidRPr="00567FAB">
        <w:rPr>
          <w:rFonts w:cs="Times New Roman"/>
        </w:rPr>
        <w:t>Tento názor se jeví rozumnější také ve srovnání s úpravou pozdního splnění, kdy sám zákon předpokládá, že ke splnění dluhu a zániku závazku dojde i v případě plnění, které nastane až po sjednané době, zatímco v případě vadného splnění v zákoně žádné podobné ustanovení nenajdeme.</w:t>
      </w:r>
      <w:r w:rsidRPr="00567FAB">
        <w:rPr>
          <w:rStyle w:val="FootnoteReference"/>
          <w:rFonts w:cs="Times New Roman"/>
        </w:rPr>
        <w:footnoteReference w:id="82"/>
      </w:r>
      <w:r w:rsidRPr="00567FAB">
        <w:rPr>
          <w:rFonts w:cs="Times New Roman"/>
        </w:rPr>
        <w:t xml:space="preserve"> </w:t>
      </w:r>
    </w:p>
    <w:p w14:paraId="72419BA4" w14:textId="6F82E0E6" w:rsidR="00452847" w:rsidRDefault="004C6AC7" w:rsidP="00452847">
      <w:r w:rsidRPr="00567FAB">
        <w:rPr>
          <w:rFonts w:cs="Times New Roman"/>
        </w:rPr>
        <w:t xml:space="preserve">Obecně nemusí mít rozhodnutí, zda jde o změnu v obsahu závazku či o zánik závazku původního a vznik závazku nového, příliš velké praktické důsledky, nicméně v případě </w:t>
      </w:r>
      <w:r w:rsidRPr="00567FAB">
        <w:rPr>
          <w:rFonts w:cs="Times New Roman"/>
        </w:rPr>
        <w:lastRenderedPageBreak/>
        <w:t xml:space="preserve">eventuálního vzniku společných povinností subdodavatelů z vadného plnění vedle hlavního </w:t>
      </w:r>
      <w:r w:rsidRPr="00567FAB">
        <w:t xml:space="preserve">dodavatele </w:t>
      </w:r>
      <w:r w:rsidR="00452847">
        <w:t>na základě § 2630 ObčZ dochází ke zvláštní situaci</w:t>
      </w:r>
      <w:bookmarkStart w:id="45" w:name="_Toc442203405"/>
      <w:bookmarkStart w:id="46" w:name="_Toc442203482"/>
      <w:r w:rsidR="00452847">
        <w:t>. Zde žádný závazek mezi subdodavatelem a odběratelem není. Zřejmě tak dochází jak k modifikaci závazku mezi dodavatelem a odběratelem, tak k rozšíření tohoto závazku na další subjekt, tedy ke vzniku nového</w:t>
      </w:r>
      <w:r w:rsidR="00AD7846">
        <w:t xml:space="preserve"> závazku se specifickým </w:t>
      </w:r>
      <w:r w:rsidR="00452847">
        <w:t>obsahem</w:t>
      </w:r>
      <w:r w:rsidR="00AD7846">
        <w:t>, omezeným pouze na práva a povinnosti z vadného splnění</w:t>
      </w:r>
      <w:r w:rsidR="00452847">
        <w:t xml:space="preserve">. Uvedenou konstrukcí tak vzniká závazek mezi těmito subjekty ze zákona. </w:t>
      </w:r>
    </w:p>
    <w:p w14:paraId="47657DDF" w14:textId="1982050F" w:rsidR="00DA4A1B" w:rsidRDefault="00DA4A1B" w:rsidP="008D336C">
      <w:pPr>
        <w:pStyle w:val="Heading2"/>
      </w:pPr>
      <w:bookmarkStart w:id="47" w:name="_Toc460832690"/>
      <w:r>
        <w:t>Kvalita vady</w:t>
      </w:r>
      <w:bookmarkEnd w:id="47"/>
    </w:p>
    <w:p w14:paraId="6EFCE932" w14:textId="77777777" w:rsidR="00C45F4A" w:rsidRPr="00822EAD" w:rsidRDefault="00C45F4A" w:rsidP="00C45F4A">
      <w:pPr>
        <w:pStyle w:val="Heading3"/>
      </w:pPr>
      <w:bookmarkStart w:id="48" w:name="_Toc460832691"/>
      <w:r>
        <w:t>Obecná ustanovení ObčZ a smlouvy o dílo</w:t>
      </w:r>
      <w:bookmarkEnd w:id="48"/>
    </w:p>
    <w:p w14:paraId="1B9AB798" w14:textId="53D7245F" w:rsidR="00DA4A1B" w:rsidRDefault="00DA4A1B" w:rsidP="00DA4A1B">
      <w:r>
        <w:t xml:space="preserve">Předpokladem vadného splnění je existence vady, tedy </w:t>
      </w:r>
      <w:r w:rsidR="00315676">
        <w:t xml:space="preserve">právně relevantní </w:t>
      </w:r>
      <w:r>
        <w:t>odchylky od slíbeného plnění.</w:t>
      </w:r>
      <w:r w:rsidR="0064685C">
        <w:rPr>
          <w:rStyle w:val="FootnoteReference"/>
        </w:rPr>
        <w:footnoteReference w:id="83"/>
      </w:r>
      <w:r>
        <w:t xml:space="preserve"> </w:t>
      </w:r>
      <w:r w:rsidR="006A3FB0">
        <w:t>Odpovědnost za řádné splnění je objektivní a zavinění dlužníka ve vztahu k eventuálnímu vzniku vady tak nehraje žádnou roli. Přesto se však v souvislosti s vadným splněním setkáme s určitými subjektivními prvky, jako je např. vědomost zhotovitele o existenci vady.</w:t>
      </w:r>
      <w:r w:rsidR="00FE0EA0">
        <w:rPr>
          <w:rStyle w:val="FootnoteReference"/>
        </w:rPr>
        <w:footnoteReference w:id="84"/>
      </w:r>
    </w:p>
    <w:p w14:paraId="5503BA95" w14:textId="07347AF8" w:rsidR="00C642C8" w:rsidRDefault="00F404C7" w:rsidP="00DA4A1B">
      <w:r>
        <w:t>Je</w:t>
      </w:r>
      <w:r w:rsidR="008D336C">
        <w:t xml:space="preserve"> vhodné učinit alespoň krátkou poznámku</w:t>
      </w:r>
      <w:r w:rsidR="00672619">
        <w:t xml:space="preserve"> k intenzitě</w:t>
      </w:r>
      <w:r w:rsidR="008D336C">
        <w:t xml:space="preserve"> vady. Primárně je nutno rozlišovat rovinu faktickou (resp. technickou) a rovinu právní. Zatímco </w:t>
      </w:r>
      <w:r>
        <w:t>v rovině technické</w:t>
      </w:r>
      <w:r w:rsidR="008D336C">
        <w:t xml:space="preserve"> vadou nebude drobnější estetická odchylka od požadovaného</w:t>
      </w:r>
      <w:r w:rsidR="00B81AEF">
        <w:t xml:space="preserve"> výsledku</w:t>
      </w:r>
      <w:r w:rsidR="008D336C">
        <w:t>, z pohledu právního se o vadu jednat může, zejména tehdy, je-li předmětem díla např. zhotovení portrétu. V jiných případech se pak může vyskytnout vada faktická, ta bude v</w:t>
      </w:r>
      <w:r w:rsidR="00C642C8">
        <w:t>šak natolik nevýznamná</w:t>
      </w:r>
      <w:r w:rsidR="008D336C">
        <w:t>, že z pohledu právního bude</w:t>
      </w:r>
      <w:r>
        <w:t xml:space="preserve"> bezvýznamná</w:t>
      </w:r>
      <w:r w:rsidR="008D336C">
        <w:t>.</w:t>
      </w:r>
      <w:r w:rsidR="004B365B">
        <w:rPr>
          <w:rStyle w:val="FootnoteReference"/>
        </w:rPr>
        <w:footnoteReference w:id="85"/>
      </w:r>
      <w:r w:rsidR="008D336C">
        <w:t xml:space="preserve"> </w:t>
      </w:r>
    </w:p>
    <w:p w14:paraId="7617DBDB" w14:textId="14CD21A2" w:rsidR="008D336C" w:rsidRDefault="00230A91" w:rsidP="00DA4A1B">
      <w:r>
        <w:t xml:space="preserve">Předpokladem vzniku práv a povinností z vadného splnění je, že věc nemá vlastnosti vymíněné ve smlouvě, nebo alespoň </w:t>
      </w:r>
      <w:r w:rsidR="007406A3">
        <w:t>obvyklé.</w:t>
      </w:r>
      <w:r w:rsidR="007406A3">
        <w:rPr>
          <w:rStyle w:val="FootnoteReference"/>
        </w:rPr>
        <w:footnoteReference w:id="86"/>
      </w:r>
      <w:r w:rsidR="007406A3">
        <w:t xml:space="preserve"> Zákon v návaznosti na intenzitu vady stanoví povinnost převzít vadné plnění, avšak již nestanoví, zda konkrétní vada faktická je zároveň i vadou v právním smyslu. Jedná se o právní otázku, </w:t>
      </w:r>
      <w:r w:rsidR="00F66CA6">
        <w:t>kterou bude nutno vždy zkoumat v konkrétním případě</w:t>
      </w:r>
      <w:r w:rsidR="007406A3">
        <w:t xml:space="preserve">. </w:t>
      </w:r>
      <w:r w:rsidR="005F7D38">
        <w:t xml:space="preserve">Východiskem je dostatečné </w:t>
      </w:r>
      <w:r w:rsidR="00672619">
        <w:t xml:space="preserve">vymezení předmětu díla a stanovení závažnosti jednotlivých typů vad. </w:t>
      </w:r>
    </w:p>
    <w:p w14:paraId="354125D1" w14:textId="0026FB53" w:rsidR="00674C1A" w:rsidRDefault="00B81AEF" w:rsidP="00194744">
      <w:r>
        <w:t xml:space="preserve">Nejdůležitějším požadavkem je však okamžik existence vady. Tato musí </w:t>
      </w:r>
      <w:r w:rsidR="00194744">
        <w:t xml:space="preserve">zásadně </w:t>
      </w:r>
      <w:r>
        <w:t>existovat v okamžiku předání</w:t>
      </w:r>
      <w:r w:rsidR="00194744">
        <w:t xml:space="preserve"> díla</w:t>
      </w:r>
      <w:r w:rsidR="00194744">
        <w:rPr>
          <w:rStyle w:val="FootnoteReference"/>
        </w:rPr>
        <w:footnoteReference w:id="87"/>
      </w:r>
      <w:r w:rsidR="00EA02F9">
        <w:t>. Okamžik existence vady je rozlišujícím</w:t>
      </w:r>
      <w:r w:rsidR="00F404C7">
        <w:t xml:space="preserve"> kritériem</w:t>
      </w:r>
      <w:r w:rsidR="00EA02F9">
        <w:t xml:space="preserve"> pro </w:t>
      </w:r>
      <w:r w:rsidR="00194744">
        <w:t xml:space="preserve">zákonný režim vzniku práv a povinností z vadného </w:t>
      </w:r>
      <w:r w:rsidR="00EA02F9">
        <w:t>splnění a institut</w:t>
      </w:r>
      <w:r w:rsidR="00C642C8">
        <w:t xml:space="preserve"> záruky.</w:t>
      </w:r>
      <w:r w:rsidR="00194744">
        <w:t xml:space="preserve"> </w:t>
      </w:r>
      <w:r w:rsidR="00194744" w:rsidRPr="00567FAB">
        <w:t xml:space="preserve">Zárukou se </w:t>
      </w:r>
      <w:r w:rsidR="00C642C8">
        <w:lastRenderedPageBreak/>
        <w:t xml:space="preserve">dodavatel </w:t>
      </w:r>
      <w:r w:rsidR="00194744" w:rsidRPr="00567FAB">
        <w:t>zaručuje, že si věc po určitou dobu po splnění udrží vlastnosti vymín</w:t>
      </w:r>
      <w:r w:rsidR="00C642C8">
        <w:t xml:space="preserve">ěné nebo obvyklé tak, aby bylo </w:t>
      </w:r>
      <w:r w:rsidR="00194744" w:rsidRPr="00567FAB">
        <w:t>možno ji použít podle smlouvy, resp. podle sjednaného účelu.</w:t>
      </w:r>
      <w:r w:rsidR="00194744" w:rsidRPr="00567FAB">
        <w:rPr>
          <w:rStyle w:val="FootnoteReference"/>
          <w:rFonts w:cs="Times New Roman"/>
        </w:rPr>
        <w:footnoteReference w:id="88"/>
      </w:r>
      <w:r w:rsidR="00194744" w:rsidRPr="00567FAB">
        <w:t xml:space="preserve"> </w:t>
      </w:r>
    </w:p>
    <w:p w14:paraId="5EE652DC" w14:textId="3F7C7A72" w:rsidR="00D74EC7" w:rsidRDefault="00194744" w:rsidP="00D74EC7">
      <w:pPr>
        <w:rPr>
          <w:rFonts w:cs="Times New Roman"/>
        </w:rPr>
      </w:pPr>
      <w:r w:rsidRPr="00567FAB">
        <w:t>Poskytnutí záruky je nadstandardem, dobrou vůlí</w:t>
      </w:r>
      <w:r w:rsidR="00C642C8">
        <w:t xml:space="preserve"> dodavatele</w:t>
      </w:r>
      <w:r w:rsidRPr="00567FAB">
        <w:t xml:space="preserve"> a nikoli zákonnou povinností. V souladu se změnou pojetí odpovědnosti v ObčZ je odpovědností </w:t>
      </w:r>
      <w:r w:rsidR="00C642C8">
        <w:t xml:space="preserve">dodavatele </w:t>
      </w:r>
      <w:r w:rsidRPr="00567FAB">
        <w:t xml:space="preserve">řádně splnit dluh, ale nikoli již poskytnout záruku za to, že jeho plnění bude mít i v budoucnu stejné vlastnosti. Pokud dluh řádně splní, pak závazek zaniká. Jestliže však </w:t>
      </w:r>
      <w:r w:rsidR="00C642C8">
        <w:t xml:space="preserve">odběrateli </w:t>
      </w:r>
      <w:r w:rsidRPr="00567FAB">
        <w:t xml:space="preserve">poskytne záruku, pak se v případě vyskytnutí záručních vad </w:t>
      </w:r>
      <w:r w:rsidR="00C642C8">
        <w:rPr>
          <w:rFonts w:cs="Times New Roman"/>
        </w:rPr>
        <w:t>po určitý čas</w:t>
      </w:r>
      <w:r w:rsidRPr="00567FAB">
        <w:rPr>
          <w:rFonts w:cs="Times New Roman"/>
        </w:rPr>
        <w:t xml:space="preserve"> </w:t>
      </w:r>
      <w:r w:rsidRPr="00567FAB">
        <w:t xml:space="preserve">vedle své primární povinnosti zavazuje ke stejným povinnostem jako v případně vadného splnění. </w:t>
      </w:r>
      <w:r w:rsidRPr="00567FAB">
        <w:rPr>
          <w:rFonts w:cs="Times New Roman"/>
        </w:rPr>
        <w:t xml:space="preserve">Rozsah záruky, jakož i délku záruční doby určuje </w:t>
      </w:r>
      <w:r w:rsidR="00C642C8">
        <w:rPr>
          <w:rFonts w:cs="Times New Roman"/>
        </w:rPr>
        <w:t>dodavatel</w:t>
      </w:r>
      <w:r w:rsidRPr="00567FAB">
        <w:rPr>
          <w:rFonts w:cs="Times New Roman"/>
        </w:rPr>
        <w:t xml:space="preserve">. </w:t>
      </w:r>
      <w:r w:rsidR="00C642C8">
        <w:rPr>
          <w:rFonts w:cs="Times New Roman"/>
        </w:rPr>
        <w:t>M</w:t>
      </w:r>
      <w:r w:rsidRPr="00567FAB">
        <w:rPr>
          <w:rFonts w:cs="Times New Roman"/>
        </w:rPr>
        <w:t xml:space="preserve">ůže </w:t>
      </w:r>
      <w:r w:rsidR="00C642C8">
        <w:rPr>
          <w:rFonts w:cs="Times New Roman"/>
        </w:rPr>
        <w:t xml:space="preserve">též </w:t>
      </w:r>
      <w:r w:rsidR="00192A8C">
        <w:rPr>
          <w:rFonts w:cs="Times New Roman"/>
        </w:rPr>
        <w:t>omezit okruh vlastností díla, na něž</w:t>
      </w:r>
      <w:r w:rsidRPr="00567FAB">
        <w:rPr>
          <w:rFonts w:cs="Times New Roman"/>
        </w:rPr>
        <w:t xml:space="preserve"> se záruka vztahuje. </w:t>
      </w:r>
    </w:p>
    <w:p w14:paraId="7B32735A" w14:textId="08DE6D62" w:rsidR="00A01526" w:rsidRDefault="00A01526" w:rsidP="00D74EC7">
      <w:pPr>
        <w:rPr>
          <w:rFonts w:cs="Times New Roman"/>
        </w:rPr>
      </w:pPr>
      <w:r>
        <w:rPr>
          <w:rFonts w:cs="Times New Roman"/>
        </w:rPr>
        <w:t xml:space="preserve">S okamžikem vzniku vady a její kvalitou nesporně souvisí i otázka prokazování její existence, okamžiku </w:t>
      </w:r>
      <w:r w:rsidR="00B86CA7">
        <w:rPr>
          <w:rFonts w:cs="Times New Roman"/>
        </w:rPr>
        <w:t xml:space="preserve">jejího </w:t>
      </w:r>
      <w:r>
        <w:rPr>
          <w:rFonts w:cs="Times New Roman"/>
        </w:rPr>
        <w:t xml:space="preserve">vzniku a </w:t>
      </w:r>
      <w:r w:rsidR="00B86CA7">
        <w:rPr>
          <w:rFonts w:cs="Times New Roman"/>
        </w:rPr>
        <w:t xml:space="preserve">její </w:t>
      </w:r>
      <w:r>
        <w:rPr>
          <w:rFonts w:cs="Times New Roman"/>
        </w:rPr>
        <w:t>kvality</w:t>
      </w:r>
      <w:r w:rsidR="00B86CA7">
        <w:rPr>
          <w:rFonts w:cs="Times New Roman"/>
        </w:rPr>
        <w:t xml:space="preserve"> (intenzity)</w:t>
      </w:r>
      <w:r>
        <w:rPr>
          <w:rFonts w:cs="Times New Roman"/>
        </w:rPr>
        <w:t xml:space="preserve">. </w:t>
      </w:r>
      <w:r w:rsidR="00BA296B">
        <w:rPr>
          <w:rFonts w:cs="Times New Roman"/>
        </w:rPr>
        <w:t xml:space="preserve">Důkazní břemeno ohledně těchto skutečností nese ten, kdo se jich dovolává, </w:t>
      </w:r>
      <w:r w:rsidR="00B86CA7">
        <w:rPr>
          <w:rFonts w:cs="Times New Roman"/>
        </w:rPr>
        <w:t xml:space="preserve">v tomto případě </w:t>
      </w:r>
      <w:r w:rsidR="00BA296B">
        <w:rPr>
          <w:rFonts w:cs="Times New Roman"/>
        </w:rPr>
        <w:t xml:space="preserve">tedy odběratel. </w:t>
      </w:r>
      <w:r w:rsidR="00B86CA7">
        <w:rPr>
          <w:rFonts w:cs="Times New Roman"/>
        </w:rPr>
        <w:t>Je nutno dohlédnout na řádné</w:t>
      </w:r>
      <w:r w:rsidR="001F2B72">
        <w:rPr>
          <w:rFonts w:cs="Times New Roman"/>
        </w:rPr>
        <w:t xml:space="preserve"> </w:t>
      </w:r>
      <w:r w:rsidR="00B86CA7">
        <w:rPr>
          <w:rFonts w:cs="Times New Roman"/>
        </w:rPr>
        <w:t xml:space="preserve">zaprotokolování </w:t>
      </w:r>
      <w:r w:rsidR="001F2B72">
        <w:rPr>
          <w:rFonts w:cs="Times New Roman"/>
        </w:rPr>
        <w:t>každé vady v okamžiku jejího zjištění, např. pomocí fotodokumentace. V některých sporných případech pak bude třeba využít i dalších, mnohem nákladnějších prostředků, např. odborných studií a znaleckých posudků.</w:t>
      </w:r>
    </w:p>
    <w:p w14:paraId="3A208962" w14:textId="7B7EC535" w:rsidR="00C45F4A" w:rsidRDefault="00C45F4A" w:rsidP="00C45F4A">
      <w:pPr>
        <w:pStyle w:val="Heading3"/>
      </w:pPr>
      <w:bookmarkStart w:id="49" w:name="_Toc460832692"/>
      <w:r>
        <w:t>Stavební díla</w:t>
      </w:r>
      <w:bookmarkEnd w:id="49"/>
    </w:p>
    <w:p w14:paraId="359A2918" w14:textId="77777777" w:rsidR="00C31A8C" w:rsidRDefault="00B70A95" w:rsidP="00C45F4A">
      <w:pPr>
        <w:rPr>
          <w:rFonts w:cs="Times New Roman"/>
        </w:rPr>
      </w:pPr>
      <w:r>
        <w:rPr>
          <w:rFonts w:cs="Times New Roman"/>
        </w:rPr>
        <w:t xml:space="preserve">K okamžiku existence vad se setkáme v souvislosti s novým pravidlem v § 2630 ObčZ s </w:t>
      </w:r>
      <w:r w:rsidR="00C45F4A" w:rsidRPr="00567FAB">
        <w:rPr>
          <w:rFonts w:cs="Times New Roman"/>
        </w:rPr>
        <w:t>nejasnost</w:t>
      </w:r>
      <w:r>
        <w:rPr>
          <w:rFonts w:cs="Times New Roman"/>
        </w:rPr>
        <w:t>mi</w:t>
      </w:r>
      <w:r w:rsidR="00C45F4A" w:rsidRPr="00567FAB">
        <w:rPr>
          <w:rFonts w:cs="Times New Roman"/>
        </w:rPr>
        <w:t xml:space="preserve">. Můžeme si představit situaci, kdy plnění subdodavatele předané dodavateli je zcela řádné, ale v důsledku provádění konečného díla dodavatelem či dalším subdodavatelem se na původně řádném plnění vyskytnou nové vady. Výsledkem je provedené dílo s vadami na té části, kterou subdodavatel dodal. Zákon zde neřeší otázku, zda i v důsledku těchto vad ponese subdodavatel povinnosti z vadného </w:t>
      </w:r>
      <w:r w:rsidR="00C45F4A">
        <w:rPr>
          <w:rFonts w:cs="Times New Roman"/>
        </w:rPr>
        <w:t>s</w:t>
      </w:r>
      <w:r w:rsidR="00C45F4A" w:rsidRPr="00567FAB">
        <w:rPr>
          <w:rFonts w:cs="Times New Roman"/>
        </w:rPr>
        <w:t xml:space="preserve">plnění. </w:t>
      </w:r>
    </w:p>
    <w:p w14:paraId="5F5C6EDA" w14:textId="6C467445" w:rsidR="00C31A8C" w:rsidRDefault="00C45F4A" w:rsidP="00C45F4A">
      <w:pPr>
        <w:rPr>
          <w:rFonts w:cs="Times New Roman"/>
        </w:rPr>
      </w:pPr>
      <w:r w:rsidRPr="00567FAB">
        <w:rPr>
          <w:rFonts w:cs="Times New Roman"/>
        </w:rPr>
        <w:t>Domnívám se, že v okamžiku řádného splnění subdodavatelem dojde ke splnění dluhu a závazek mezi ním a do</w:t>
      </w:r>
      <w:r w:rsidR="0084554C">
        <w:rPr>
          <w:rFonts w:cs="Times New Roman"/>
        </w:rPr>
        <w:t>davatelem zanikne</w:t>
      </w:r>
      <w:r w:rsidRPr="00567FAB">
        <w:rPr>
          <w:rFonts w:cs="Times New Roman"/>
        </w:rPr>
        <w:t xml:space="preserve"> a nebezpečí škody</w:t>
      </w:r>
      <w:r w:rsidR="0084554C">
        <w:rPr>
          <w:rFonts w:cs="Times New Roman"/>
        </w:rPr>
        <w:t xml:space="preserve"> přejde</w:t>
      </w:r>
      <w:r w:rsidRPr="00567FAB">
        <w:rPr>
          <w:rFonts w:cs="Times New Roman"/>
        </w:rPr>
        <w:t xml:space="preserve"> na jiný subjekt. V takovém případě </w:t>
      </w:r>
      <w:r w:rsidR="00B70A95">
        <w:rPr>
          <w:rFonts w:cs="Times New Roman"/>
        </w:rPr>
        <w:t xml:space="preserve">již </w:t>
      </w:r>
      <w:r w:rsidRPr="00567FAB">
        <w:rPr>
          <w:rFonts w:cs="Times New Roman"/>
        </w:rPr>
        <w:t xml:space="preserve">nemůže nést </w:t>
      </w:r>
      <w:r>
        <w:rPr>
          <w:rFonts w:cs="Times New Roman"/>
        </w:rPr>
        <w:t xml:space="preserve">subdodavatel </w:t>
      </w:r>
      <w:r w:rsidRPr="00567FAB">
        <w:rPr>
          <w:rFonts w:cs="Times New Roman"/>
        </w:rPr>
        <w:t>povinnosti</w:t>
      </w:r>
      <w:r w:rsidR="00B70A95">
        <w:rPr>
          <w:rFonts w:cs="Times New Roman"/>
        </w:rPr>
        <w:t xml:space="preserve"> z případně dodatečně vzniklých vad</w:t>
      </w:r>
      <w:r w:rsidRPr="00567FAB">
        <w:rPr>
          <w:rFonts w:cs="Times New Roman"/>
        </w:rPr>
        <w:t>, protože zde již není naplněna podmínka závazku mezi hlavním dodavatelem a subdodavatelem. V opačném případě by zákon stanovil nepřiměřenou povinnost subdodavateli v podobě zákonné záruky</w:t>
      </w:r>
      <w:r>
        <w:rPr>
          <w:rFonts w:cs="Times New Roman"/>
        </w:rPr>
        <w:t xml:space="preserve"> a přenášel by odpovědnost za řádné splnění na jiný než povinný subjekt</w:t>
      </w:r>
      <w:r w:rsidRPr="00567FAB">
        <w:rPr>
          <w:rFonts w:cs="Times New Roman"/>
        </w:rPr>
        <w:t xml:space="preserve">. </w:t>
      </w:r>
    </w:p>
    <w:p w14:paraId="6B7A9953" w14:textId="06FBC9CA" w:rsidR="00C45F4A" w:rsidRDefault="00B70A95" w:rsidP="00C45F4A">
      <w:pPr>
        <w:rPr>
          <w:rFonts w:cs="Times New Roman"/>
        </w:rPr>
      </w:pPr>
      <w:r>
        <w:rPr>
          <w:rFonts w:cs="Times New Roman"/>
        </w:rPr>
        <w:t xml:space="preserve">Okamžik existence vady se tedy vztahuje k předání </w:t>
      </w:r>
      <w:r w:rsidR="00B86CA7">
        <w:rPr>
          <w:rFonts w:cs="Times New Roman"/>
        </w:rPr>
        <w:t xml:space="preserve">díla povinným subjektem </w:t>
      </w:r>
      <w:r>
        <w:rPr>
          <w:rFonts w:cs="Times New Roman"/>
        </w:rPr>
        <w:t>oprávněnému, jejichž postavení vyplývá z konkrétního závazkového vztahu, v tomto případě tedy předání dodavateli</w:t>
      </w:r>
      <w:r w:rsidR="00B86CA7">
        <w:rPr>
          <w:rFonts w:cs="Times New Roman"/>
        </w:rPr>
        <w:t xml:space="preserve"> subdodavatelem</w:t>
      </w:r>
      <w:r>
        <w:rPr>
          <w:rFonts w:cs="Times New Roman"/>
        </w:rPr>
        <w:t xml:space="preserve">. </w:t>
      </w:r>
    </w:p>
    <w:p w14:paraId="59590128" w14:textId="41B1058D" w:rsidR="00C45F4A" w:rsidRDefault="00C45F4A" w:rsidP="00C45F4A">
      <w:pPr>
        <w:pStyle w:val="Heading3"/>
      </w:pPr>
      <w:bookmarkStart w:id="50" w:name="_Toc460832693"/>
      <w:r>
        <w:lastRenderedPageBreak/>
        <w:t>FIDIC</w:t>
      </w:r>
      <w:bookmarkEnd w:id="50"/>
    </w:p>
    <w:p w14:paraId="6CBB1496" w14:textId="479818AD" w:rsidR="00CA3287" w:rsidRPr="00CA3287" w:rsidRDefault="00CA3287" w:rsidP="00CA3287">
      <w:r>
        <w:t xml:space="preserve">K otázce kvality </w:t>
      </w:r>
      <w:r w:rsidR="00D94B14">
        <w:t xml:space="preserve">vady CONS ničeho výslovně nestanoví. </w:t>
      </w:r>
      <w:r w:rsidR="004D5483">
        <w:t>Shodně jako ObčZ však rozlišuje mezi vadným splněním a příslušnými právy a povinnostmi a mezi smluvní zárukou.</w:t>
      </w:r>
      <w:r w:rsidR="000865D1">
        <w:rPr>
          <w:rStyle w:val="FootnoteReference"/>
        </w:rPr>
        <w:footnoteReference w:id="89"/>
      </w:r>
      <w:r w:rsidR="004D5483">
        <w:t xml:space="preserve"> </w:t>
      </w:r>
      <w:r w:rsidR="000865D1">
        <w:t>Záruční doba se stanoví v tzv. příloze k</w:t>
      </w:r>
      <w:r w:rsidR="00C43555">
        <w:t> </w:t>
      </w:r>
      <w:r w:rsidR="000865D1">
        <w:t>nabídce</w:t>
      </w:r>
      <w:r w:rsidR="00C43555">
        <w:t>.</w:t>
      </w:r>
      <w:r w:rsidR="000865D1">
        <w:rPr>
          <w:rStyle w:val="FootnoteReference"/>
        </w:rPr>
        <w:footnoteReference w:id="90"/>
      </w:r>
    </w:p>
    <w:p w14:paraId="06F0EA6D" w14:textId="5C573C7D" w:rsidR="00F50E52" w:rsidRPr="00567FAB" w:rsidRDefault="00F50E52" w:rsidP="0045635E">
      <w:pPr>
        <w:pStyle w:val="Heading2"/>
      </w:pPr>
      <w:bookmarkStart w:id="51" w:name="_Toc460832694"/>
      <w:r w:rsidRPr="00567FAB">
        <w:t xml:space="preserve">Neexistence okolností vylučujících vznik práv a povinností z vadného </w:t>
      </w:r>
      <w:r w:rsidR="0045635E">
        <w:t>s</w:t>
      </w:r>
      <w:r w:rsidRPr="00567FAB">
        <w:t>plnění</w:t>
      </w:r>
      <w:bookmarkEnd w:id="45"/>
      <w:bookmarkEnd w:id="46"/>
      <w:bookmarkEnd w:id="51"/>
    </w:p>
    <w:p w14:paraId="2A03E7C4" w14:textId="3ABCA8D4" w:rsidR="001C6F5D" w:rsidRPr="00567FAB" w:rsidRDefault="00B81AEF" w:rsidP="009301F5">
      <w:pPr>
        <w:rPr>
          <w:rFonts w:cs="Times New Roman"/>
        </w:rPr>
      </w:pPr>
      <w:r>
        <w:rPr>
          <w:rFonts w:cs="Times New Roman"/>
        </w:rPr>
        <w:t xml:space="preserve">Odběratel se může </w:t>
      </w:r>
      <w:r w:rsidR="001C6F5D" w:rsidRPr="00567FAB">
        <w:rPr>
          <w:rFonts w:cs="Times New Roman"/>
        </w:rPr>
        <w:t xml:space="preserve">svých práv z vadného </w:t>
      </w:r>
      <w:r w:rsidR="001052EC">
        <w:rPr>
          <w:rFonts w:cs="Times New Roman"/>
        </w:rPr>
        <w:t>s</w:t>
      </w:r>
      <w:r w:rsidR="001C6F5D" w:rsidRPr="00567FAB">
        <w:rPr>
          <w:rFonts w:cs="Times New Roman"/>
        </w:rPr>
        <w:t>plnění vzdá</w:t>
      </w:r>
      <w:r>
        <w:rPr>
          <w:rFonts w:cs="Times New Roman"/>
        </w:rPr>
        <w:t>t</w:t>
      </w:r>
      <w:r w:rsidR="001C6F5D" w:rsidRPr="00567FAB">
        <w:rPr>
          <w:rFonts w:cs="Times New Roman"/>
        </w:rPr>
        <w:t>. Tak může učinit dle ust. § 1916 odst. 2 ObčZ, avšak pouze v písemné formě. Zatímco d</w:t>
      </w:r>
      <w:r>
        <w:rPr>
          <w:rFonts w:cs="Times New Roman"/>
        </w:rPr>
        <w:t>odavatel</w:t>
      </w:r>
      <w:r w:rsidR="001C6F5D" w:rsidRPr="00567FAB">
        <w:rPr>
          <w:rFonts w:cs="Times New Roman"/>
        </w:rPr>
        <w:t xml:space="preserve"> potenciálně povinný z vadného </w:t>
      </w:r>
      <w:r w:rsidR="001052EC">
        <w:rPr>
          <w:rFonts w:cs="Times New Roman"/>
        </w:rPr>
        <w:t>s</w:t>
      </w:r>
      <w:r w:rsidR="001C6F5D" w:rsidRPr="00567FAB">
        <w:rPr>
          <w:rFonts w:cs="Times New Roman"/>
        </w:rPr>
        <w:t xml:space="preserve">plnění se svých povinností vzdát předem nemůže, </w:t>
      </w:r>
      <w:r>
        <w:rPr>
          <w:rFonts w:cs="Times New Roman"/>
        </w:rPr>
        <w:t xml:space="preserve">odběratel </w:t>
      </w:r>
      <w:r w:rsidR="001C6F5D" w:rsidRPr="00567FAB">
        <w:rPr>
          <w:rFonts w:cs="Times New Roman"/>
        </w:rPr>
        <w:t>na sebe může riziko</w:t>
      </w:r>
      <w:r w:rsidR="00F319A0" w:rsidRPr="00567FAB">
        <w:rPr>
          <w:rFonts w:cs="Times New Roman"/>
        </w:rPr>
        <w:t xml:space="preserve"> výskytu</w:t>
      </w:r>
      <w:r w:rsidR="001C6F5D" w:rsidRPr="00567FAB">
        <w:rPr>
          <w:rFonts w:cs="Times New Roman"/>
        </w:rPr>
        <w:t xml:space="preserve"> vad převzít, a to v některých případech dokonce </w:t>
      </w:r>
      <w:r w:rsidR="00F319A0" w:rsidRPr="00567FAB">
        <w:rPr>
          <w:rFonts w:cs="Times New Roman"/>
        </w:rPr>
        <w:t>zcela</w:t>
      </w:r>
      <w:r w:rsidR="001C6F5D" w:rsidRPr="00567FAB">
        <w:rPr>
          <w:rFonts w:cs="Times New Roman"/>
        </w:rPr>
        <w:t>.</w:t>
      </w:r>
      <w:r w:rsidR="001C6F5D" w:rsidRPr="00567FAB">
        <w:rPr>
          <w:rStyle w:val="FootnoteReference"/>
          <w:rFonts w:cs="Times New Roman"/>
        </w:rPr>
        <w:footnoteReference w:id="91"/>
      </w:r>
    </w:p>
    <w:p w14:paraId="72DF1042" w14:textId="5B2752A8" w:rsidR="00F50E52" w:rsidRPr="00567FAB" w:rsidRDefault="00A924D3" w:rsidP="009301F5">
      <w:pPr>
        <w:rPr>
          <w:rFonts w:cs="Times New Roman"/>
        </w:rPr>
      </w:pPr>
      <w:r w:rsidRPr="00567FAB">
        <w:rPr>
          <w:rFonts w:cs="Times New Roman"/>
        </w:rPr>
        <w:t xml:space="preserve">Někdy však i přes snahu </w:t>
      </w:r>
      <w:r>
        <w:rPr>
          <w:rFonts w:cs="Times New Roman"/>
        </w:rPr>
        <w:t xml:space="preserve">dodavatele </w:t>
      </w:r>
      <w:r w:rsidRPr="00567FAB">
        <w:rPr>
          <w:rFonts w:cs="Times New Roman"/>
        </w:rPr>
        <w:t xml:space="preserve">k řádnému </w:t>
      </w:r>
      <w:r>
        <w:rPr>
          <w:rFonts w:cs="Times New Roman"/>
        </w:rPr>
        <w:t>s</w:t>
      </w:r>
      <w:r w:rsidRPr="00567FAB">
        <w:rPr>
          <w:rFonts w:cs="Times New Roman"/>
        </w:rPr>
        <w:t xml:space="preserve">plnění nedojde. Bude se jednat o překážky na straně </w:t>
      </w:r>
      <w:r>
        <w:rPr>
          <w:rFonts w:cs="Times New Roman"/>
        </w:rPr>
        <w:t xml:space="preserve">odběratele, kdy tento </w:t>
      </w:r>
      <w:r w:rsidRPr="00567FAB">
        <w:rPr>
          <w:rFonts w:cs="Times New Roman"/>
        </w:rPr>
        <w:t>předal dodavateli k provedení díla věc nevhodné povahy nebo jestliže mu dal nevhodný pokyn.</w:t>
      </w:r>
      <w:r w:rsidRPr="00567FAB">
        <w:rPr>
          <w:rStyle w:val="FootnoteReference"/>
          <w:rFonts w:cs="Times New Roman"/>
        </w:rPr>
        <w:footnoteReference w:id="92"/>
      </w:r>
      <w:r w:rsidRPr="00567FAB">
        <w:rPr>
          <w:rFonts w:cs="Times New Roman"/>
        </w:rPr>
        <w:t xml:space="preserve"> Pokud dodavatel splní svoji informační povinnost vůči odběrateli a upozorní jej na nevhodnost věci či pokynu, kterou zjistil při vynaložení potřebné péče, pak nebude-li nevhodná věc vyměněna nebo nevhodný příkaz změněn</w:t>
      </w:r>
      <w:r>
        <w:rPr>
          <w:rFonts w:cs="Times New Roman"/>
        </w:rPr>
        <w:t>,</w:t>
      </w:r>
      <w:r w:rsidRPr="00567FAB">
        <w:rPr>
          <w:rFonts w:cs="Times New Roman"/>
        </w:rPr>
        <w:t xml:space="preserve"> a bude-li trvat odběratel na použití nevhodné věci nebo na nevhodném příkazu, práva </w:t>
      </w:r>
      <w:r>
        <w:rPr>
          <w:rFonts w:cs="Times New Roman"/>
        </w:rPr>
        <w:t>(</w:t>
      </w:r>
      <w:r w:rsidRPr="00567FAB">
        <w:rPr>
          <w:rFonts w:cs="Times New Roman"/>
        </w:rPr>
        <w:t>a tudíž i povinnosti</w:t>
      </w:r>
      <w:r>
        <w:rPr>
          <w:rFonts w:cs="Times New Roman"/>
        </w:rPr>
        <w:t>)</w:t>
      </w:r>
      <w:r w:rsidRPr="00567FAB">
        <w:rPr>
          <w:rFonts w:cs="Times New Roman"/>
        </w:rPr>
        <w:t xml:space="preserve"> z vadného </w:t>
      </w:r>
      <w:r w:rsidR="00B53E18">
        <w:rPr>
          <w:rFonts w:cs="Times New Roman"/>
        </w:rPr>
        <w:t>s</w:t>
      </w:r>
      <w:r w:rsidRPr="00567FAB">
        <w:rPr>
          <w:rFonts w:cs="Times New Roman"/>
        </w:rPr>
        <w:t xml:space="preserve">plnění nevzniknou. </w:t>
      </w:r>
      <w:r>
        <w:rPr>
          <w:rFonts w:cs="Times New Roman"/>
        </w:rPr>
        <w:t xml:space="preserve">Nelze totiž </w:t>
      </w:r>
      <w:r w:rsidR="009C5681" w:rsidRPr="00567FAB">
        <w:rPr>
          <w:rFonts w:cs="Times New Roman"/>
        </w:rPr>
        <w:t xml:space="preserve">trvat na tom, aby </w:t>
      </w:r>
      <w:r>
        <w:rPr>
          <w:rFonts w:cs="Times New Roman"/>
        </w:rPr>
        <w:t>dodavatel nesl důsledky z </w:t>
      </w:r>
      <w:r w:rsidR="009C5681" w:rsidRPr="00567FAB">
        <w:rPr>
          <w:rFonts w:cs="Times New Roman"/>
        </w:rPr>
        <w:t>vad</w:t>
      </w:r>
      <w:r>
        <w:rPr>
          <w:rFonts w:cs="Times New Roman"/>
        </w:rPr>
        <w:t xml:space="preserve"> vzniklých v důsledku nevhodné povahy věci či nevhodného pokynu odběratele</w:t>
      </w:r>
      <w:r w:rsidR="009C5681" w:rsidRPr="00567FAB">
        <w:rPr>
          <w:rFonts w:cs="Times New Roman"/>
        </w:rPr>
        <w:t xml:space="preserve">. </w:t>
      </w:r>
      <w:r w:rsidR="00057E1D" w:rsidRPr="00567FAB">
        <w:rPr>
          <w:rFonts w:cs="Times New Roman"/>
        </w:rPr>
        <w:t>Opačný závěr by byl v rozporu se zásadou poctivosti a zásadou zákazu zneužití práva.</w:t>
      </w:r>
      <w:r w:rsidR="00057E1D" w:rsidRPr="00567FAB">
        <w:rPr>
          <w:rStyle w:val="FootnoteReference"/>
          <w:rFonts w:cs="Times New Roman"/>
        </w:rPr>
        <w:footnoteReference w:id="93"/>
      </w:r>
      <w:r w:rsidR="009C5681" w:rsidRPr="00567FAB">
        <w:rPr>
          <w:rFonts w:cs="Times New Roman"/>
        </w:rPr>
        <w:t xml:space="preserve"> </w:t>
      </w:r>
    </w:p>
    <w:p w14:paraId="727FADCF" w14:textId="6FFE2258" w:rsidR="009301F5" w:rsidRDefault="00B90432" w:rsidP="0045635E">
      <w:pPr>
        <w:pStyle w:val="Heading2"/>
      </w:pPr>
      <w:bookmarkStart w:id="52" w:name="_Toc442203406"/>
      <w:bookmarkStart w:id="53" w:name="_Toc442203483"/>
      <w:bookmarkStart w:id="54" w:name="_Toc460832695"/>
      <w:r w:rsidRPr="00567FAB">
        <w:t xml:space="preserve">Vymahatelnost práv z vadného </w:t>
      </w:r>
      <w:r w:rsidR="007C24BD">
        <w:t>s</w:t>
      </w:r>
      <w:r w:rsidRPr="00567FAB">
        <w:t>plnění</w:t>
      </w:r>
      <w:bookmarkEnd w:id="52"/>
      <w:bookmarkEnd w:id="53"/>
      <w:bookmarkEnd w:id="54"/>
    </w:p>
    <w:p w14:paraId="1A97898D" w14:textId="77777777" w:rsidR="00CB2B86" w:rsidRPr="00822EAD" w:rsidRDefault="00CB2B86" w:rsidP="00CB2B86">
      <w:pPr>
        <w:pStyle w:val="Heading3"/>
      </w:pPr>
      <w:bookmarkStart w:id="55" w:name="_Toc460832696"/>
      <w:r>
        <w:t>Obecná ustanovení ObčZ a smlouvy o dílo</w:t>
      </w:r>
      <w:bookmarkEnd w:id="55"/>
    </w:p>
    <w:p w14:paraId="496E8026" w14:textId="6DE79063" w:rsidR="006B679D" w:rsidRDefault="007C24BD" w:rsidP="00BA53C0">
      <w:pPr>
        <w:rPr>
          <w:rFonts w:cs="Times New Roman"/>
        </w:rPr>
      </w:pPr>
      <w:r>
        <w:rPr>
          <w:rFonts w:cs="Times New Roman"/>
        </w:rPr>
        <w:t xml:space="preserve">Výše jsme analyzovali znaky, které jsou nutnými předpoklady pro </w:t>
      </w:r>
      <w:r w:rsidR="00E239ED">
        <w:rPr>
          <w:rFonts w:cs="Times New Roman"/>
        </w:rPr>
        <w:t>vznik práv</w:t>
      </w:r>
      <w:r>
        <w:rPr>
          <w:rFonts w:cs="Times New Roman"/>
        </w:rPr>
        <w:t xml:space="preserve"> a povinností z vadného splnění. Bez naplnění těchto předpokladů tak práva a povinnosti vůbec nevzniknou. Zvláštní otázkou je pak vymahatelnost práv z vadného splnění, kdy tato práva sice vzniknou, nicméně </w:t>
      </w:r>
      <w:r w:rsidR="00BA53C0" w:rsidRPr="00567FAB">
        <w:rPr>
          <w:rFonts w:cs="Times New Roman"/>
        </w:rPr>
        <w:t xml:space="preserve">jejich vymahatelnost </w:t>
      </w:r>
      <w:r w:rsidR="0045635E">
        <w:rPr>
          <w:rFonts w:cs="Times New Roman"/>
        </w:rPr>
        <w:t>může být</w:t>
      </w:r>
      <w:r w:rsidR="006B679D">
        <w:rPr>
          <w:rFonts w:cs="Times New Roman"/>
        </w:rPr>
        <w:t xml:space="preserve"> ohrožena</w:t>
      </w:r>
      <w:r w:rsidR="0045635E">
        <w:rPr>
          <w:rFonts w:cs="Times New Roman"/>
        </w:rPr>
        <w:t xml:space="preserve"> v důsledku námitky dlužníka</w:t>
      </w:r>
      <w:r w:rsidR="00BA53C0" w:rsidRPr="00567FAB">
        <w:rPr>
          <w:rFonts w:cs="Times New Roman"/>
        </w:rPr>
        <w:t>.</w:t>
      </w:r>
      <w:r w:rsidR="00BA53C0" w:rsidRPr="00567FAB">
        <w:rPr>
          <w:rStyle w:val="FootnoteReference"/>
          <w:rFonts w:cs="Times New Roman"/>
        </w:rPr>
        <w:footnoteReference w:id="94"/>
      </w:r>
      <w:r w:rsidR="00F110B5">
        <w:rPr>
          <w:rFonts w:cs="Times New Roman"/>
        </w:rPr>
        <w:t xml:space="preserve"> </w:t>
      </w:r>
    </w:p>
    <w:p w14:paraId="273BC587" w14:textId="3030AAC2" w:rsidR="00F50E52" w:rsidRDefault="00F110B5" w:rsidP="00BA53C0">
      <w:pPr>
        <w:rPr>
          <w:rFonts w:cs="Times New Roman"/>
        </w:rPr>
      </w:pPr>
      <w:r>
        <w:rPr>
          <w:rFonts w:cs="Times New Roman"/>
        </w:rPr>
        <w:lastRenderedPageBreak/>
        <w:t>Odběratel</w:t>
      </w:r>
      <w:r w:rsidR="00BA53C0" w:rsidRPr="00567FAB">
        <w:rPr>
          <w:rFonts w:cs="Times New Roman"/>
        </w:rPr>
        <w:t xml:space="preserve"> musí </w:t>
      </w:r>
      <w:r w:rsidR="00C3441C" w:rsidRPr="00567FAB">
        <w:rPr>
          <w:rFonts w:cs="Times New Roman"/>
        </w:rPr>
        <w:t xml:space="preserve">vady </w:t>
      </w:r>
      <w:r w:rsidR="0034771D">
        <w:rPr>
          <w:rFonts w:cs="Times New Roman"/>
        </w:rPr>
        <w:t xml:space="preserve">vůči dodavateli </w:t>
      </w:r>
      <w:r w:rsidR="00C3441C" w:rsidRPr="00567FAB">
        <w:rPr>
          <w:rFonts w:cs="Times New Roman"/>
        </w:rPr>
        <w:t>vytknout včas</w:t>
      </w:r>
      <w:r w:rsidR="00E239ED">
        <w:rPr>
          <w:rFonts w:cs="Times New Roman"/>
        </w:rPr>
        <w:t>, tj.</w:t>
      </w:r>
      <w:r w:rsidR="00C3441C" w:rsidRPr="00567FAB">
        <w:rPr>
          <w:rFonts w:cs="Times New Roman"/>
        </w:rPr>
        <w:t xml:space="preserve"> v reklamační lhůtě</w:t>
      </w:r>
      <w:r w:rsidR="00BA53C0" w:rsidRPr="00567FAB">
        <w:rPr>
          <w:rFonts w:cs="Times New Roman"/>
        </w:rPr>
        <w:t>. Obecně je v</w:t>
      </w:r>
      <w:r w:rsidR="00C3441C" w:rsidRPr="00567FAB">
        <w:rPr>
          <w:rFonts w:cs="Times New Roman"/>
        </w:rPr>
        <w:t>časné vytknutí omezeno dvojí lhůtou: vadu je nutné vytknout ve lhůtě bez zbytečného odkladu poté, co bylo možno ji zjistit, maximálně však ve lhůtě šesti měsíců od převzetí plnění.</w:t>
      </w:r>
      <w:r w:rsidR="00F319A0" w:rsidRPr="00567FAB">
        <w:rPr>
          <w:rStyle w:val="FootnoteReference"/>
          <w:rFonts w:cs="Times New Roman"/>
        </w:rPr>
        <w:footnoteReference w:id="95"/>
      </w:r>
      <w:r w:rsidR="00C3441C" w:rsidRPr="00567FAB">
        <w:rPr>
          <w:rFonts w:cs="Times New Roman"/>
        </w:rPr>
        <w:t xml:space="preserve"> Zatímco v případě zjevných vad je možno zjistit tyto vady hned</w:t>
      </w:r>
      <w:r w:rsidR="00F319A0" w:rsidRPr="00567FAB">
        <w:rPr>
          <w:rFonts w:cs="Times New Roman"/>
        </w:rPr>
        <w:t xml:space="preserve"> při</w:t>
      </w:r>
      <w:r w:rsidR="00B53E18">
        <w:rPr>
          <w:rFonts w:cs="Times New Roman"/>
        </w:rPr>
        <w:t xml:space="preserve"> první</w:t>
      </w:r>
      <w:r w:rsidR="00CF7D3E" w:rsidRPr="00567FAB">
        <w:rPr>
          <w:rFonts w:cs="Times New Roman"/>
        </w:rPr>
        <w:t xml:space="preserve"> </w:t>
      </w:r>
      <w:r w:rsidR="00B53E18">
        <w:rPr>
          <w:rFonts w:cs="Times New Roman"/>
        </w:rPr>
        <w:t>prohlídce</w:t>
      </w:r>
      <w:r w:rsidR="00CF7D3E" w:rsidRPr="00567FAB">
        <w:rPr>
          <w:rFonts w:cs="Times New Roman"/>
        </w:rPr>
        <w:t>, v případě skrytých vad závisí možnost zjištění na okamžiku, kdy se tyto vady projeví</w:t>
      </w:r>
      <w:r w:rsidR="00C3441C" w:rsidRPr="00567FAB">
        <w:rPr>
          <w:rFonts w:cs="Times New Roman"/>
        </w:rPr>
        <w:t>.</w:t>
      </w:r>
      <w:r w:rsidR="00CF7D3E" w:rsidRPr="00567FAB">
        <w:rPr>
          <w:rStyle w:val="FootnoteReference"/>
          <w:rFonts w:cs="Times New Roman"/>
        </w:rPr>
        <w:footnoteReference w:id="96"/>
      </w:r>
      <w:r w:rsidR="00CF7D3E" w:rsidRPr="00567FAB">
        <w:rPr>
          <w:rFonts w:cs="Times New Roman"/>
        </w:rPr>
        <w:t xml:space="preserve"> Zákon</w:t>
      </w:r>
      <w:r w:rsidR="00B90432" w:rsidRPr="00567FAB">
        <w:rPr>
          <w:rFonts w:cs="Times New Roman"/>
        </w:rPr>
        <w:t xml:space="preserve"> činí rozdíly mezi vadami, o kterých</w:t>
      </w:r>
      <w:r>
        <w:rPr>
          <w:rFonts w:cs="Times New Roman"/>
        </w:rPr>
        <w:t xml:space="preserve"> dodavatel</w:t>
      </w:r>
      <w:r w:rsidR="00B90432" w:rsidRPr="00567FAB">
        <w:rPr>
          <w:rFonts w:cs="Times New Roman"/>
        </w:rPr>
        <w:t xml:space="preserve"> při předání věděl či musel vědět (tzv. vědomé vady) a mezi vadami, o kterých nevěděl a vědět nemusel (tzv. nevědomé vady)</w:t>
      </w:r>
      <w:r w:rsidR="00B90432" w:rsidRPr="00567FAB">
        <w:rPr>
          <w:rStyle w:val="FootnoteReference"/>
          <w:rFonts w:cs="Times New Roman"/>
        </w:rPr>
        <w:footnoteReference w:id="97"/>
      </w:r>
      <w:r w:rsidR="003A53D0">
        <w:rPr>
          <w:rFonts w:cs="Times New Roman"/>
        </w:rPr>
        <w:t>.</w:t>
      </w:r>
      <w:r w:rsidR="00F1735A">
        <w:rPr>
          <w:rStyle w:val="FootnoteReference"/>
          <w:rFonts w:cs="Times New Roman"/>
        </w:rPr>
        <w:footnoteReference w:id="98"/>
      </w:r>
      <w:r w:rsidR="002F74EE" w:rsidRPr="00567FAB">
        <w:rPr>
          <w:rFonts w:cs="Times New Roman"/>
        </w:rPr>
        <w:t xml:space="preserve"> </w:t>
      </w:r>
      <w:r w:rsidR="00CF7D3E" w:rsidRPr="00567FAB">
        <w:rPr>
          <w:rFonts w:cs="Times New Roman"/>
        </w:rPr>
        <w:t xml:space="preserve">V případě </w:t>
      </w:r>
      <w:r w:rsidR="00C3441C" w:rsidRPr="00567FAB">
        <w:rPr>
          <w:rFonts w:cs="Times New Roman"/>
        </w:rPr>
        <w:t>vědomých vad</w:t>
      </w:r>
      <w:r w:rsidR="0045635E">
        <w:rPr>
          <w:rFonts w:cs="Times New Roman"/>
        </w:rPr>
        <w:t xml:space="preserve"> pak soud právo přizná</w:t>
      </w:r>
      <w:r w:rsidR="00BA53C0" w:rsidRPr="00567FAB">
        <w:rPr>
          <w:rFonts w:cs="Times New Roman"/>
        </w:rPr>
        <w:t>, nebyly-li tyto vady vytknuty včas</w:t>
      </w:r>
      <w:r w:rsidR="004968AE">
        <w:rPr>
          <w:rFonts w:cs="Times New Roman"/>
        </w:rPr>
        <w:t>, i přes námitku</w:t>
      </w:r>
      <w:r>
        <w:rPr>
          <w:rFonts w:cs="Times New Roman"/>
        </w:rPr>
        <w:t xml:space="preserve"> dodavatele</w:t>
      </w:r>
      <w:r w:rsidR="009A6F59">
        <w:rPr>
          <w:rFonts w:cs="Times New Roman"/>
        </w:rPr>
        <w:t>, nárok odběratele je tak nepodmíněný</w:t>
      </w:r>
      <w:r w:rsidR="00BA53C0" w:rsidRPr="00567FAB">
        <w:rPr>
          <w:rFonts w:cs="Times New Roman"/>
        </w:rPr>
        <w:t>.</w:t>
      </w:r>
      <w:r w:rsidR="00BA53C0" w:rsidRPr="00567FAB">
        <w:rPr>
          <w:rStyle w:val="FootnoteReference"/>
          <w:rFonts w:cs="Times New Roman"/>
        </w:rPr>
        <w:footnoteReference w:id="99"/>
      </w:r>
    </w:p>
    <w:p w14:paraId="08DA71F5" w14:textId="6A3131D1" w:rsidR="009A6F59" w:rsidRDefault="009A6F59" w:rsidP="00BA53C0">
      <w:pPr>
        <w:rPr>
          <w:rFonts w:cs="Times New Roman"/>
        </w:rPr>
      </w:pPr>
      <w:r>
        <w:rPr>
          <w:rFonts w:cs="Times New Roman"/>
        </w:rPr>
        <w:t>§ 2618 ObčZ zvlášť podmiňuje nárok odběratele povinností vytknout vady ve lhůtě „</w:t>
      </w:r>
      <w:r w:rsidRPr="009A6F59">
        <w:rPr>
          <w:rFonts w:cs="Times New Roman"/>
          <w:i/>
        </w:rPr>
        <w:t>bez zbytečného odkladu poté, kdy je zjistil nebo při náležité pozornosti zjistil měl, nejpozději však do dvou let od předání díla</w:t>
      </w:r>
      <w:r>
        <w:rPr>
          <w:rFonts w:cs="Times New Roman"/>
        </w:rPr>
        <w:t>“.</w:t>
      </w:r>
      <w:r w:rsidR="008E077F" w:rsidRPr="008E077F">
        <w:rPr>
          <w:rFonts w:cs="Times New Roman"/>
        </w:rPr>
        <w:t xml:space="preserve"> </w:t>
      </w:r>
      <w:r w:rsidR="008E077F" w:rsidRPr="00567FAB">
        <w:rPr>
          <w:rFonts w:cs="Times New Roman"/>
        </w:rPr>
        <w:t>Maximální lhůta pro vytknutí vady</w:t>
      </w:r>
      <w:r w:rsidR="00CE13A1">
        <w:rPr>
          <w:rFonts w:cs="Times New Roman"/>
        </w:rPr>
        <w:t xml:space="preserve"> tedy</w:t>
      </w:r>
      <w:r w:rsidR="008E077F" w:rsidRPr="00567FAB">
        <w:rPr>
          <w:rFonts w:cs="Times New Roman"/>
        </w:rPr>
        <w:t xml:space="preserve"> trvá déle než výše zmíněná šestiměsíční lhůta, a to dva roky</w:t>
      </w:r>
      <w:r w:rsidR="0093632D">
        <w:rPr>
          <w:rFonts w:cs="Times New Roman"/>
        </w:rPr>
        <w:t>.</w:t>
      </w:r>
      <w:r w:rsidR="008E077F" w:rsidRPr="00567FAB">
        <w:rPr>
          <w:rFonts w:cs="Times New Roman"/>
        </w:rPr>
        <w:t xml:space="preserve"> Jinak je odběratel povinen vytknout vadu ve lhůtě bez zbytečného odkladu poté, co měl možnost vadu zjistit. </w:t>
      </w:r>
      <w:r w:rsidR="008E077F" w:rsidRPr="00567FAB">
        <w:t>Co se týče práv z vad zjevných, ty budou vymahatelná pouze tehdy, pokud odběratel učiní výhradu již při převzetí, tedy při první možné příležitosti zjistit vadu.</w:t>
      </w:r>
      <w:r w:rsidR="008E077F" w:rsidRPr="00567FAB">
        <w:rPr>
          <w:rStyle w:val="FootnoteReference"/>
          <w:rFonts w:cs="Times New Roman"/>
        </w:rPr>
        <w:footnoteReference w:id="100"/>
      </w:r>
      <w:r w:rsidR="008E077F" w:rsidRPr="00567FAB">
        <w:t xml:space="preserve"> Zákon zde sleduje zásadu vigilantibus iura scripta sunt. </w:t>
      </w:r>
    </w:p>
    <w:p w14:paraId="6ECC3B85" w14:textId="65DB5B96" w:rsidR="00D74EC7" w:rsidRDefault="00CE13A1" w:rsidP="00D74EC7">
      <w:pPr>
        <w:rPr>
          <w:rFonts w:cs="Times New Roman"/>
        </w:rPr>
      </w:pPr>
      <w:r>
        <w:rPr>
          <w:rFonts w:cs="Times New Roman"/>
        </w:rPr>
        <w:t>Podobně v případě vymahatelnosti práv</w:t>
      </w:r>
      <w:r w:rsidR="00D74EC7" w:rsidRPr="00567FAB">
        <w:rPr>
          <w:rFonts w:cs="Times New Roman"/>
        </w:rPr>
        <w:t xml:space="preserve"> z vad krytých </w:t>
      </w:r>
      <w:r w:rsidR="00D74EC7" w:rsidRPr="00B5286E">
        <w:rPr>
          <w:rFonts w:cs="Times New Roman"/>
        </w:rPr>
        <w:t>zárukou</w:t>
      </w:r>
      <w:r w:rsidR="00D74EC7" w:rsidRPr="00567FAB">
        <w:rPr>
          <w:rFonts w:cs="Times New Roman"/>
        </w:rPr>
        <w:t xml:space="preserve">, musí </w:t>
      </w:r>
      <w:r>
        <w:rPr>
          <w:rFonts w:cs="Times New Roman"/>
        </w:rPr>
        <w:t xml:space="preserve">odběratel </w:t>
      </w:r>
      <w:r w:rsidR="00D74EC7" w:rsidRPr="00567FAB">
        <w:rPr>
          <w:rFonts w:cs="Times New Roman"/>
        </w:rPr>
        <w:t>tyto vady vytknout ve lhůtě bez zbytečného odkladu poté, co měl možnost vady zjistit, nejpozději však v </w:t>
      </w:r>
      <w:r>
        <w:rPr>
          <w:rFonts w:cs="Times New Roman"/>
        </w:rPr>
        <w:t>reklamační lhůtě, která</w:t>
      </w:r>
      <w:r w:rsidR="00D74EC7" w:rsidRPr="00567FAB">
        <w:rPr>
          <w:rFonts w:cs="Times New Roman"/>
        </w:rPr>
        <w:t xml:space="preserve"> odpovídá záruční době</w:t>
      </w:r>
      <w:r w:rsidR="00D74EC7" w:rsidRPr="00567FAB">
        <w:rPr>
          <w:rStyle w:val="FootnoteReference"/>
          <w:rFonts w:cs="Times New Roman"/>
        </w:rPr>
        <w:footnoteReference w:id="101"/>
      </w:r>
      <w:r>
        <w:rPr>
          <w:rFonts w:cs="Times New Roman"/>
        </w:rPr>
        <w:t>.</w:t>
      </w:r>
      <w:r w:rsidR="00820D45">
        <w:rPr>
          <w:rFonts w:cs="Times New Roman"/>
        </w:rPr>
        <w:t xml:space="preserve"> Dle § 261</w:t>
      </w:r>
      <w:r w:rsidR="00CD3D09">
        <w:rPr>
          <w:rFonts w:cs="Times New Roman"/>
        </w:rPr>
        <w:t>9 ObčZ počíná záruční doba běžet</w:t>
      </w:r>
      <w:r w:rsidR="00820D45">
        <w:rPr>
          <w:rFonts w:cs="Times New Roman"/>
        </w:rPr>
        <w:t xml:space="preserve"> předáním díla.</w:t>
      </w:r>
      <w:r w:rsidR="005764D7">
        <w:rPr>
          <w:rFonts w:cs="Times New Roman"/>
        </w:rPr>
        <w:t xml:space="preserve"> </w:t>
      </w:r>
    </w:p>
    <w:p w14:paraId="71911DB9" w14:textId="5F3DF7D8" w:rsidR="00056052" w:rsidRDefault="00056052" w:rsidP="00D74EC7">
      <w:pPr>
        <w:rPr>
          <w:rFonts w:cs="Times New Roman"/>
        </w:rPr>
      </w:pPr>
      <w:r>
        <w:rPr>
          <w:rFonts w:cs="Times New Roman"/>
        </w:rPr>
        <w:t>S ohledem na jistotu obou smluvních stran je praktické převzetí díla stvrdit předávacím protokolem s konkrétním uvedením stavu díla (včetně výhrad) a dne převzetí, v důsledku čehož by neměly vznikat pochybnosti o běhu reklamační lhůty, event. záruční doby</w:t>
      </w:r>
      <w:r w:rsidR="00182912">
        <w:rPr>
          <w:rFonts w:cs="Times New Roman"/>
        </w:rPr>
        <w:t>.</w:t>
      </w:r>
      <w:r>
        <w:rPr>
          <w:rFonts w:cs="Times New Roman"/>
        </w:rPr>
        <w:t xml:space="preserve"> </w:t>
      </w:r>
    </w:p>
    <w:p w14:paraId="6E43E0FA" w14:textId="692971EE" w:rsidR="0034771D" w:rsidRDefault="0034771D" w:rsidP="00D74EC7">
      <w:pPr>
        <w:rPr>
          <w:rFonts w:cs="Times New Roman"/>
        </w:rPr>
      </w:pPr>
      <w:r>
        <w:rPr>
          <w:rFonts w:cs="Times New Roman"/>
        </w:rPr>
        <w:t>Vytknutí vad odběratel učiní prostřednictvím oznámení dodavateli. V takovém případě bude vhodné, pokud tak odběratel učiní v písemné formě a potvrzení o odeslání</w:t>
      </w:r>
      <w:r w:rsidR="000F42F6">
        <w:rPr>
          <w:rFonts w:cs="Times New Roman"/>
        </w:rPr>
        <w:t>,</w:t>
      </w:r>
      <w:r>
        <w:rPr>
          <w:rFonts w:cs="Times New Roman"/>
        </w:rPr>
        <w:t xml:space="preserve"> např. prostřednictvím </w:t>
      </w:r>
      <w:r w:rsidR="000F42F6">
        <w:rPr>
          <w:rFonts w:cs="Times New Roman"/>
        </w:rPr>
        <w:t xml:space="preserve">poštovního </w:t>
      </w:r>
      <w:r w:rsidR="00B31C4F">
        <w:rPr>
          <w:rFonts w:cs="Times New Roman"/>
        </w:rPr>
        <w:t>podacího archu</w:t>
      </w:r>
      <w:r w:rsidR="000F42F6">
        <w:rPr>
          <w:rFonts w:cs="Times New Roman"/>
        </w:rPr>
        <w:t>,</w:t>
      </w:r>
      <w:r>
        <w:rPr>
          <w:rFonts w:cs="Times New Roman"/>
        </w:rPr>
        <w:t xml:space="preserve"> si pro důkazní</w:t>
      </w:r>
      <w:r w:rsidR="000F42F6">
        <w:rPr>
          <w:rFonts w:cs="Times New Roman"/>
        </w:rPr>
        <w:t xml:space="preserve"> nouzi</w:t>
      </w:r>
      <w:r>
        <w:rPr>
          <w:rFonts w:cs="Times New Roman"/>
        </w:rPr>
        <w:t xml:space="preserve"> uschová.</w:t>
      </w:r>
      <w:r w:rsidR="009801D2">
        <w:rPr>
          <w:rFonts w:cs="Times New Roman"/>
        </w:rPr>
        <w:t xml:space="preserve"> Oznámení by </w:t>
      </w:r>
      <w:r w:rsidR="009801D2">
        <w:rPr>
          <w:rFonts w:cs="Times New Roman"/>
        </w:rPr>
        <w:lastRenderedPageBreak/>
        <w:t xml:space="preserve">samozřejmě mělo obsahovat </w:t>
      </w:r>
      <w:r w:rsidR="00851107">
        <w:rPr>
          <w:rFonts w:cs="Times New Roman"/>
        </w:rPr>
        <w:t xml:space="preserve">co nejpodrobnější </w:t>
      </w:r>
      <w:r w:rsidR="009801D2">
        <w:rPr>
          <w:rFonts w:cs="Times New Roman"/>
        </w:rPr>
        <w:t>specifikaci vady</w:t>
      </w:r>
      <w:r w:rsidR="00851107">
        <w:rPr>
          <w:rFonts w:cs="Times New Roman"/>
        </w:rPr>
        <w:t xml:space="preserve"> a její projevy tak, aby bylo možné rozlišit intenzitu vady</w:t>
      </w:r>
      <w:r w:rsidR="00851107">
        <w:rPr>
          <w:rStyle w:val="FootnoteReference"/>
          <w:rFonts w:cs="Times New Roman"/>
        </w:rPr>
        <w:footnoteReference w:id="102"/>
      </w:r>
      <w:r w:rsidR="00851107">
        <w:rPr>
          <w:rFonts w:cs="Times New Roman"/>
        </w:rPr>
        <w:t xml:space="preserve"> a stanovit konkrétní následky těchto vad.</w:t>
      </w:r>
      <w:r w:rsidR="005764D7">
        <w:rPr>
          <w:rFonts w:cs="Times New Roman"/>
        </w:rPr>
        <w:t xml:space="preserve"> Stejným způsobem bude postupovat dodavatel při vytýkání vad vůči subdodavateli. </w:t>
      </w:r>
    </w:p>
    <w:p w14:paraId="2E4BBDD1" w14:textId="5B176E10" w:rsidR="00ED26E1" w:rsidRDefault="00ED26E1" w:rsidP="00D74EC7">
      <w:pPr>
        <w:rPr>
          <w:rFonts w:cs="Times New Roman"/>
        </w:rPr>
      </w:pPr>
      <w:r>
        <w:rPr>
          <w:rFonts w:cs="Times New Roman"/>
        </w:rPr>
        <w:t xml:space="preserve">Vytknutí vady můžeme považovat jako jednostranné právní jednání adresované dodavateli, které má podmiňující funkci. Ta spočívá v prosaditelnosti nároku na </w:t>
      </w:r>
      <w:r w:rsidR="006F2481">
        <w:rPr>
          <w:rFonts w:cs="Times New Roman"/>
        </w:rPr>
        <w:t>soudní vymožení práv z vadného splnění</w:t>
      </w:r>
      <w:r w:rsidR="006F2481">
        <w:rPr>
          <w:rStyle w:val="FootnoteReference"/>
          <w:rFonts w:cs="Times New Roman"/>
        </w:rPr>
        <w:footnoteReference w:id="103"/>
      </w:r>
      <w:r w:rsidR="006F2481">
        <w:rPr>
          <w:rFonts w:cs="Times New Roman"/>
        </w:rPr>
        <w:t>.</w:t>
      </w:r>
    </w:p>
    <w:p w14:paraId="7855551E" w14:textId="6DB92631" w:rsidR="00CE13A1" w:rsidRDefault="00CE13A1" w:rsidP="00CE13A1">
      <w:pPr>
        <w:pStyle w:val="Heading3"/>
      </w:pPr>
      <w:bookmarkStart w:id="56" w:name="_Toc460832697"/>
      <w:r>
        <w:t>Stavební díla</w:t>
      </w:r>
      <w:bookmarkEnd w:id="56"/>
    </w:p>
    <w:p w14:paraId="4116B7AF" w14:textId="387C02DD" w:rsidR="00A6120D" w:rsidRDefault="00CE13A1" w:rsidP="00BE7AEF">
      <w:pPr>
        <w:rPr>
          <w:rFonts w:cs="Times New Roman"/>
        </w:rPr>
      </w:pPr>
      <w:r>
        <w:rPr>
          <w:rFonts w:cs="Times New Roman"/>
        </w:rPr>
        <w:t>U</w:t>
      </w:r>
      <w:r w:rsidRPr="00567FAB">
        <w:rPr>
          <w:rFonts w:cs="Times New Roman"/>
        </w:rPr>
        <w:t xml:space="preserve"> stavebních děl</w:t>
      </w:r>
      <w:r>
        <w:rPr>
          <w:rFonts w:cs="Times New Roman"/>
        </w:rPr>
        <w:t xml:space="preserve"> zákon stanoví </w:t>
      </w:r>
      <w:r w:rsidR="00B62054">
        <w:rPr>
          <w:rFonts w:cs="Times New Roman"/>
        </w:rPr>
        <w:t>podobně jako u jiných než s</w:t>
      </w:r>
      <w:r w:rsidR="007023F6">
        <w:rPr>
          <w:rFonts w:cs="Times New Roman"/>
        </w:rPr>
        <w:t>tavebních děl dvojí lhůtu: lhůtu</w:t>
      </w:r>
      <w:r w:rsidR="00B62054">
        <w:rPr>
          <w:rFonts w:cs="Times New Roman"/>
        </w:rPr>
        <w:t xml:space="preserve"> bez</w:t>
      </w:r>
      <w:r w:rsidR="00A30B91">
        <w:rPr>
          <w:rFonts w:cs="Times New Roman"/>
        </w:rPr>
        <w:t xml:space="preserve"> zbytečného odkladu poté, co vadu </w:t>
      </w:r>
      <w:r w:rsidR="00B62054">
        <w:rPr>
          <w:rFonts w:cs="Times New Roman"/>
        </w:rPr>
        <w:t>odběratel mohl při dostatečné péči zjistit</w:t>
      </w:r>
      <w:r w:rsidR="007023F6">
        <w:rPr>
          <w:rFonts w:cs="Times New Roman"/>
        </w:rPr>
        <w:t>,  a objektivní reklamační lhůtu</w:t>
      </w:r>
      <w:r>
        <w:rPr>
          <w:rFonts w:cs="Times New Roman"/>
        </w:rPr>
        <w:t xml:space="preserve"> v délce pěti let</w:t>
      </w:r>
      <w:r w:rsidR="00CD3D09">
        <w:rPr>
          <w:rFonts w:cs="Times New Roman"/>
        </w:rPr>
        <w:t xml:space="preserve"> od převzetí stavby</w:t>
      </w:r>
      <w:r>
        <w:rPr>
          <w:rFonts w:cs="Times New Roman"/>
        </w:rPr>
        <w:t>.</w:t>
      </w:r>
      <w:r w:rsidRPr="00567FAB">
        <w:rPr>
          <w:rStyle w:val="FootnoteReference"/>
          <w:rFonts w:cs="Times New Roman"/>
        </w:rPr>
        <w:footnoteReference w:id="104"/>
      </w:r>
      <w:r>
        <w:rPr>
          <w:rFonts w:cs="Times New Roman"/>
        </w:rPr>
        <w:t xml:space="preserve"> V odůvodněných případech lze tuto lhůtu zkrátit na dva roky.</w:t>
      </w:r>
      <w:r>
        <w:rPr>
          <w:rStyle w:val="FootnoteReference"/>
          <w:rFonts w:cs="Times New Roman"/>
        </w:rPr>
        <w:footnoteReference w:id="105"/>
      </w:r>
      <w:r w:rsidR="0068405D">
        <w:rPr>
          <w:rFonts w:cs="Times New Roman"/>
        </w:rPr>
        <w:t xml:space="preserve"> Je nutné si blíže definovat pojem převzetí stavby. Odběratel musí stavební dílo převzít i s ojedinělými drobnými vadami, pokud nebrání užívání stavby nebo je podstatným způsobem neomezují</w:t>
      </w:r>
      <w:r w:rsidR="0068405D">
        <w:rPr>
          <w:rStyle w:val="FootnoteReference"/>
          <w:rFonts w:cs="Times New Roman"/>
        </w:rPr>
        <w:footnoteReference w:id="106"/>
      </w:r>
      <w:r w:rsidR="0068405D">
        <w:rPr>
          <w:rFonts w:cs="Times New Roman"/>
        </w:rPr>
        <w:t>, tj. je-li stavební dílo dokončeno.</w:t>
      </w:r>
      <w:r w:rsidR="005764D7">
        <w:rPr>
          <w:rFonts w:cs="Times New Roman"/>
        </w:rPr>
        <w:t xml:space="preserve"> </w:t>
      </w:r>
    </w:p>
    <w:p w14:paraId="7FFF5447" w14:textId="3FABE08D" w:rsidR="00BE7AEF" w:rsidRDefault="00BE7AEF" w:rsidP="00BE7AEF">
      <w:pPr>
        <w:rPr>
          <w:rFonts w:cs="Times New Roman"/>
        </w:rPr>
      </w:pPr>
      <w:r>
        <w:rPr>
          <w:rFonts w:cs="Times New Roman"/>
        </w:rPr>
        <w:t xml:space="preserve">Zde musíme rozlišovat mezi dokončením ve smyslu soukromoprávních předpisů a dokončením z pohledu veřejnoprávního. </w:t>
      </w:r>
      <w:r w:rsidR="002F5CF4">
        <w:rPr>
          <w:rFonts w:cs="Times New Roman"/>
        </w:rPr>
        <w:t xml:space="preserve">V souladu se zásadou nezávislého </w:t>
      </w:r>
      <w:r w:rsidR="004D39DD">
        <w:rPr>
          <w:rFonts w:cs="Times New Roman"/>
        </w:rPr>
        <w:t xml:space="preserve">uplatňování soukromého práva na </w:t>
      </w:r>
      <w:r w:rsidR="002F5CF4">
        <w:rPr>
          <w:rFonts w:cs="Times New Roman"/>
        </w:rPr>
        <w:t>právu</w:t>
      </w:r>
      <w:r w:rsidR="004D39DD">
        <w:rPr>
          <w:rFonts w:cs="Times New Roman"/>
        </w:rPr>
        <w:t xml:space="preserve"> veřejné</w:t>
      </w:r>
      <w:r w:rsidR="002F5CF4">
        <w:rPr>
          <w:rFonts w:cs="Times New Roman"/>
        </w:rPr>
        <w:t>m</w:t>
      </w:r>
      <w:r w:rsidR="00A6120D">
        <w:rPr>
          <w:rStyle w:val="FootnoteReference"/>
          <w:rFonts w:cs="Times New Roman"/>
        </w:rPr>
        <w:footnoteReference w:id="107"/>
      </w:r>
      <w:r w:rsidR="002F5CF4">
        <w:rPr>
          <w:rFonts w:cs="Times New Roman"/>
        </w:rPr>
        <w:t xml:space="preserve"> </w:t>
      </w:r>
      <w:r w:rsidR="004D39DD">
        <w:rPr>
          <w:rFonts w:cs="Times New Roman"/>
        </w:rPr>
        <w:t xml:space="preserve">nelze za dokončení ve smyslu soukromoprávním považovat </w:t>
      </w:r>
      <w:r w:rsidR="00FE0726">
        <w:rPr>
          <w:rFonts w:cs="Times New Roman"/>
        </w:rPr>
        <w:t xml:space="preserve">ani </w:t>
      </w:r>
      <w:r w:rsidR="00D44F56">
        <w:rPr>
          <w:rFonts w:cs="Times New Roman"/>
        </w:rPr>
        <w:t xml:space="preserve">oznámení stavebnímu úřadu dle § 120 zákona č. </w:t>
      </w:r>
      <w:r w:rsidR="00FE0726">
        <w:rPr>
          <w:rFonts w:cs="Times New Roman"/>
        </w:rPr>
        <w:t xml:space="preserve">183/2006 Sb., zákon o územním plánování a stavebním řádu (stavební zákon, dále jen „StZ“), resp. okamžik uplynutí 30-ti dní od tohoto oznámení, ani </w:t>
      </w:r>
      <w:r w:rsidR="004D39DD">
        <w:rPr>
          <w:rFonts w:cs="Times New Roman"/>
        </w:rPr>
        <w:t xml:space="preserve">kolaudační souhlas dle § </w:t>
      </w:r>
      <w:r w:rsidR="00FE0726">
        <w:rPr>
          <w:rFonts w:cs="Times New Roman"/>
        </w:rPr>
        <w:t>122 StZ. Zákon upravuje převzetí stavebního díla, aniž by se odkazoval na veřejnoprávní podmínku užívání takového díla.</w:t>
      </w:r>
      <w:r w:rsidR="00FE0726" w:rsidRPr="00FE0726">
        <w:rPr>
          <w:rStyle w:val="FootnoteReference"/>
          <w:rFonts w:cs="Times New Roman"/>
        </w:rPr>
        <w:t xml:space="preserve"> </w:t>
      </w:r>
      <w:r w:rsidR="00FE0726">
        <w:rPr>
          <w:rStyle w:val="FootnoteReference"/>
          <w:rFonts w:cs="Times New Roman"/>
        </w:rPr>
        <w:footnoteReference w:id="108"/>
      </w:r>
      <w:r w:rsidR="00FE0726">
        <w:rPr>
          <w:rFonts w:cs="Times New Roman"/>
        </w:rPr>
        <w:t xml:space="preserve"> </w:t>
      </w:r>
    </w:p>
    <w:p w14:paraId="677A9C3B" w14:textId="1D8123BB" w:rsidR="00B35A6C" w:rsidRDefault="00614946" w:rsidP="00B35A6C">
      <w:pPr>
        <w:rPr>
          <w:rFonts w:cs="Times New Roman"/>
        </w:rPr>
      </w:pPr>
      <w:r>
        <w:rPr>
          <w:rFonts w:cs="Times New Roman"/>
        </w:rPr>
        <w:t xml:space="preserve">Další nejasnost pramenící z nového pravidla v § 2630 ObčZ se týká subjektu, vůči kterému se existence vady vytýká. </w:t>
      </w:r>
      <w:r w:rsidRPr="00567FAB">
        <w:rPr>
          <w:rFonts w:cs="Times New Roman"/>
        </w:rPr>
        <w:t>Dle jednoho názoru je možno vytknout vadu u kteréhokoliv společně a nerozdílně zavázaného subjektu, tedy alespoň u jednoho subjektu, a to s účinky pro všechny povinné subjekty.</w:t>
      </w:r>
      <w:r w:rsidRPr="00567FAB">
        <w:rPr>
          <w:rStyle w:val="FootnoteReference"/>
          <w:rFonts w:cs="Times New Roman"/>
        </w:rPr>
        <w:footnoteReference w:id="109"/>
      </w:r>
      <w:r w:rsidRPr="00567FAB">
        <w:rPr>
          <w:rFonts w:cs="Times New Roman"/>
        </w:rPr>
        <w:t xml:space="preserve"> Dle jiného názoru vytknutí vady </w:t>
      </w:r>
      <w:r w:rsidR="006F1CAC">
        <w:rPr>
          <w:rFonts w:cs="Times New Roman"/>
        </w:rPr>
        <w:t xml:space="preserve">vůči </w:t>
      </w:r>
      <w:r w:rsidRPr="00567FAB">
        <w:rPr>
          <w:rFonts w:cs="Times New Roman"/>
        </w:rPr>
        <w:t>jen jednomu subjektu nepřiměřeně zvýhodňuje jeho pozici proti jiným povinným subjektům a vytknutí vad i vůči ostatním povinným subjektům je považováno za legitimní.</w:t>
      </w:r>
      <w:r w:rsidR="002F5CF4" w:rsidRPr="00567FAB">
        <w:rPr>
          <w:rStyle w:val="FootnoteReference"/>
          <w:rFonts w:cs="Times New Roman"/>
        </w:rPr>
        <w:footnoteReference w:id="110"/>
      </w:r>
      <w:r w:rsidRPr="00567FAB">
        <w:rPr>
          <w:rFonts w:cs="Times New Roman"/>
        </w:rPr>
        <w:t xml:space="preserve"> </w:t>
      </w:r>
    </w:p>
    <w:p w14:paraId="42DC55F5" w14:textId="587E1638" w:rsidR="00614946" w:rsidRDefault="00614946" w:rsidP="00BE7AEF">
      <w:pPr>
        <w:rPr>
          <w:rFonts w:cs="Times New Roman"/>
        </w:rPr>
      </w:pPr>
      <w:r w:rsidRPr="00567FAB">
        <w:rPr>
          <w:rFonts w:cs="Times New Roman"/>
        </w:rPr>
        <w:t xml:space="preserve">Přikláním se spíše k druhému názoru, neboť subdodavatel není stranou hlavní dodavatelské smlouvy a často o své povinnosti nemusí vědět, proto by měl být alespoň přímo </w:t>
      </w:r>
      <w:r w:rsidRPr="000B5CBB">
        <w:rPr>
          <w:rFonts w:cs="Times New Roman"/>
        </w:rPr>
        <w:lastRenderedPageBreak/>
        <w:t>informován o okamžiku vzniku své povinnosti</w:t>
      </w:r>
      <w:r w:rsidRPr="00567FAB">
        <w:rPr>
          <w:rFonts w:cs="Times New Roman"/>
        </w:rPr>
        <w:t xml:space="preserve">, jakož i o jejím obsahu vytknutím vady a uplatněním práva ze strany odběratele. Dalším důvodem je, že zákon subjektům nestanovuje </w:t>
      </w:r>
      <w:r w:rsidRPr="000B5CBB">
        <w:rPr>
          <w:rFonts w:cs="Times New Roman"/>
        </w:rPr>
        <w:t>vzájemnou informační povinnost</w:t>
      </w:r>
      <w:r w:rsidRPr="00567FAB">
        <w:rPr>
          <w:rFonts w:cs="Times New Roman"/>
        </w:rPr>
        <w:t xml:space="preserve"> o up</w:t>
      </w:r>
      <w:r w:rsidR="006F1CAC">
        <w:rPr>
          <w:rFonts w:cs="Times New Roman"/>
        </w:rPr>
        <w:t xml:space="preserve">latnění práv z vadného </w:t>
      </w:r>
      <w:r w:rsidR="002F5CF4">
        <w:rPr>
          <w:rFonts w:cs="Times New Roman"/>
        </w:rPr>
        <w:t>s</w:t>
      </w:r>
      <w:r w:rsidR="006F1CAC">
        <w:rPr>
          <w:rFonts w:cs="Times New Roman"/>
        </w:rPr>
        <w:t>plnění. V uvedeném řešení však spočívá nedůslednost zakotvení tohoto pravidla do zákonné úpravy</w:t>
      </w:r>
      <w:r w:rsidR="002F5CF4">
        <w:rPr>
          <w:rFonts w:cs="Times New Roman"/>
        </w:rPr>
        <w:t>, a to</w:t>
      </w:r>
      <w:r w:rsidR="006F1CAC">
        <w:rPr>
          <w:rFonts w:cs="Times New Roman"/>
        </w:rPr>
        <w:t xml:space="preserve"> s ohledem na fakt, že odběratel mnohdy nebude mít kontaktní údaje, či dokonce ani vědomost o subdodavateli, a proto bude vytknutí vady i vůči tomuto subdodavateli nemožné</w:t>
      </w:r>
      <w:r w:rsidR="00D8334A">
        <w:rPr>
          <w:rFonts w:cs="Times New Roman"/>
        </w:rPr>
        <w:t xml:space="preserve"> či alespoň </w:t>
      </w:r>
      <w:r w:rsidR="00756B55">
        <w:rPr>
          <w:rFonts w:cs="Times New Roman"/>
        </w:rPr>
        <w:t xml:space="preserve">neúměrně </w:t>
      </w:r>
      <w:r w:rsidR="00D8334A">
        <w:rPr>
          <w:rFonts w:cs="Times New Roman"/>
        </w:rPr>
        <w:t>složité</w:t>
      </w:r>
      <w:r w:rsidR="006F1CAC">
        <w:rPr>
          <w:rFonts w:cs="Times New Roman"/>
        </w:rPr>
        <w:t xml:space="preserve">. </w:t>
      </w:r>
    </w:p>
    <w:p w14:paraId="074481A0" w14:textId="015112CB" w:rsidR="00820D45" w:rsidRDefault="00820D45" w:rsidP="00BE7AEF">
      <w:pPr>
        <w:pStyle w:val="Heading3"/>
      </w:pPr>
      <w:bookmarkStart w:id="57" w:name="_Toc460832698"/>
      <w:r>
        <w:t>FIDIC</w:t>
      </w:r>
      <w:bookmarkEnd w:id="57"/>
    </w:p>
    <w:p w14:paraId="416BA6D1" w14:textId="13555A9A" w:rsidR="003265AC" w:rsidRDefault="003265AC" w:rsidP="00820D45">
      <w:r>
        <w:t xml:space="preserve">Dle CONS </w:t>
      </w:r>
      <w:r w:rsidR="007F08F3">
        <w:t>počne běžet záruční doba ode dne, kdy je dokončení díla (resp. části) potvrzeno v tzv. potvrzení o převzetí</w:t>
      </w:r>
      <w:r w:rsidR="007F08F3">
        <w:rPr>
          <w:rStyle w:val="FootnoteReference"/>
        </w:rPr>
        <w:footnoteReference w:id="111"/>
      </w:r>
      <w:r w:rsidR="00E31825">
        <w:t>.</w:t>
      </w:r>
      <w:r w:rsidR="007F08F3">
        <w:rPr>
          <w:rStyle w:val="FootnoteReference"/>
        </w:rPr>
        <w:footnoteReference w:id="112"/>
      </w:r>
      <w:r w:rsidR="007F08F3">
        <w:t xml:space="preserve"> </w:t>
      </w:r>
      <w:r w:rsidR="00686CA0">
        <w:t>Před dokončením díla dodavatel provede tzv. přejímací zkoušky dle čl. 9 CONS, které slouží k prokázání, zda dílo slouží svému účelu, resp. odpovídá smlouvě. V případě úspěšných přejímacích zkoušek pak d</w:t>
      </w:r>
      <w:r w:rsidR="007F08F3">
        <w:t xml:space="preserve">le č. 10.1 </w:t>
      </w:r>
      <w:r w:rsidR="00686CA0">
        <w:t xml:space="preserve">CONS stanoví povinnost </w:t>
      </w:r>
      <w:r w:rsidR="00854B12">
        <w:t>odběrateli převzít dílo, bylo-li řádně splněno. D</w:t>
      </w:r>
      <w:r w:rsidR="007F08F3">
        <w:t xml:space="preserve">odavatel požádá správce stavby o </w:t>
      </w:r>
      <w:r w:rsidR="00854B12">
        <w:t xml:space="preserve">vydání potvrzení o </w:t>
      </w:r>
      <w:r w:rsidR="007F08F3">
        <w:t xml:space="preserve">převzetí díla či jeho části 14 dnů před očekáváným dokončením a předáním. Správce stavby pak do 28 dnů toto potvrzení o převzetí vydá, pokud je dílo </w:t>
      </w:r>
      <w:r w:rsidR="00531DB8">
        <w:t>(</w:t>
      </w:r>
      <w:r w:rsidR="007F08F3">
        <w:t>jeho část</w:t>
      </w:r>
      <w:r w:rsidR="00531DB8">
        <w:t>)</w:t>
      </w:r>
      <w:r w:rsidR="007F08F3">
        <w:t xml:space="preserve"> řádně splněno, nebo obsahuje-li </w:t>
      </w:r>
      <w:r w:rsidR="00854B12">
        <w:t xml:space="preserve">pouze </w:t>
      </w:r>
      <w:r w:rsidR="007F08F3">
        <w:t>drobné vady, které nebrání užívání díla</w:t>
      </w:r>
      <w:r w:rsidR="00531DB8">
        <w:t xml:space="preserve"> (</w:t>
      </w:r>
      <w:r w:rsidR="007F08F3">
        <w:t>jeho části</w:t>
      </w:r>
      <w:r w:rsidR="00531DB8">
        <w:t>)</w:t>
      </w:r>
      <w:r w:rsidR="007F08F3">
        <w:t xml:space="preserve"> dle smlouvy. Podobně jako v případě stavebních děl je tak stanovena povinnost převzetí i vadně splněného díla. </w:t>
      </w:r>
      <w:r w:rsidR="00686CA0">
        <w:t>Pokud by tyto vady dosáhly vyšší intenzity, pak správce stavby může požadovat po dodavateli doplnění prací</w:t>
      </w:r>
      <w:r w:rsidR="00A16416">
        <w:t xml:space="preserve"> k odstranění vad</w:t>
      </w:r>
      <w:r w:rsidR="00686CA0">
        <w:t>. CONS též upravuje fikci vydání potvrzení o převzetí v případě, že je správ</w:t>
      </w:r>
      <w:r w:rsidR="00A16416">
        <w:t>ce stavby nečinný a dílo (</w:t>
      </w:r>
      <w:r w:rsidR="00686CA0">
        <w:t>jeho část</w:t>
      </w:r>
      <w:r w:rsidR="00A16416">
        <w:t>)</w:t>
      </w:r>
      <w:r w:rsidR="00686CA0">
        <w:t xml:space="preserve"> je řádně splněno. </w:t>
      </w:r>
    </w:p>
    <w:p w14:paraId="2C98EED3" w14:textId="40C8E217" w:rsidR="00686CA0" w:rsidRDefault="00686CA0" w:rsidP="00820D45">
      <w:r>
        <w:t>Zvlášť pak CONS upravuje situaci, kdy se předává pouze část díla a tuto odběratel začne užívat, ačkoliv ještě nebylo vydáno potvrzení o převzetí této části.</w:t>
      </w:r>
      <w:r>
        <w:rPr>
          <w:rStyle w:val="FootnoteReference"/>
        </w:rPr>
        <w:footnoteReference w:id="113"/>
      </w:r>
      <w:r>
        <w:t xml:space="preserve"> Tato část díla se považuje za předanou již ode dne, kdy bylo započato s užitím, a k tomuto okamžiku též přechází nebezpečí škody na odběratele. Dodavatel pak má právo vůči správci stavby na vydání potvrzení o předání k tomuto dni.  </w:t>
      </w:r>
    </w:p>
    <w:p w14:paraId="6C06CABE" w14:textId="37C38C30" w:rsidR="00F80B26" w:rsidRDefault="00F80B26" w:rsidP="00820D45">
      <w:r>
        <w:t>Co se týče vytknutí vad, odběratel je povinen tyto oznámit dodavateli v určené záruční době. Učiní ta</w:t>
      </w:r>
      <w:r w:rsidR="00681C4D">
        <w:t>k na základě čl. 2.5 CONS, který</w:t>
      </w:r>
      <w:r>
        <w:t xml:space="preserve"> upravuje tzv. claimy odběratele. Toto oznámení musí být podané ve lhůtě bez zbytečného odkladu poté, co mohly být vady zjištěny, a musí obsahovat podrobnou specifikaci vady. V důsledku vznesen</w:t>
      </w:r>
      <w:r w:rsidR="00681C4D">
        <w:t>ého claimu může být záruční doba</w:t>
      </w:r>
      <w:r>
        <w:t xml:space="preserve"> prodloužena až o další dva roky. Dle čl. 3.5 CONS pak správce stavby vede strany k dohodě o</w:t>
      </w:r>
      <w:r w:rsidR="00681C4D">
        <w:t xml:space="preserve"> vzneseném</w:t>
      </w:r>
      <w:r>
        <w:t xml:space="preserve"> claimu. Nebude-li dosaženo dohody a vznikne-li mezi stranami spor, </w:t>
      </w:r>
      <w:r w:rsidR="00A03FC7">
        <w:t>postupuje se pak dále dle čl. 20 CONS</w:t>
      </w:r>
      <w:r w:rsidR="003C4F48">
        <w:t xml:space="preserve"> upravující vzájemné spory</w:t>
      </w:r>
      <w:r w:rsidR="00A03FC7">
        <w:t>.</w:t>
      </w:r>
    </w:p>
    <w:p w14:paraId="178D2D93" w14:textId="1AC0DA36" w:rsidR="00900028" w:rsidRPr="009E35D3" w:rsidRDefault="007F25EF" w:rsidP="000D0BAB">
      <w:r>
        <w:lastRenderedPageBreak/>
        <w:t xml:space="preserve">Construction Subcontract pak navíc upravuje v čl. 11.2, že </w:t>
      </w:r>
      <w:r w:rsidR="006B0636">
        <w:t>záruční doba subdodavatele by měla být významně delší než záruční doba dodavatele, jestliže má být dílo splněné subdodavatelem převzato dodavatelem před tím, než bude výsle</w:t>
      </w:r>
      <w:bookmarkStart w:id="58" w:name="_Toc442203408"/>
      <w:bookmarkStart w:id="59" w:name="_Toc442203485"/>
      <w:r w:rsidR="000D0BAB">
        <w:t>dné dílo převzato objednatelem.</w:t>
      </w:r>
      <w:r w:rsidR="00D43C43">
        <w:rPr>
          <w:rStyle w:val="FootnoteReference"/>
        </w:rPr>
        <w:footnoteReference w:id="114"/>
      </w:r>
    </w:p>
    <w:p w14:paraId="701D3946" w14:textId="77777777" w:rsidR="00900028" w:rsidRDefault="00900028">
      <w:pPr>
        <w:spacing w:line="240" w:lineRule="auto"/>
        <w:ind w:firstLine="0"/>
        <w:jc w:val="left"/>
        <w:rPr>
          <w:rFonts w:eastAsiaTheme="majorEastAsia" w:cstheme="majorBidi"/>
          <w:b/>
          <w:color w:val="000000" w:themeColor="text1"/>
          <w:sz w:val="28"/>
          <w:szCs w:val="26"/>
        </w:rPr>
      </w:pPr>
      <w:r>
        <w:br w:type="page"/>
      </w:r>
    </w:p>
    <w:p w14:paraId="43E87856" w14:textId="2A86CFF2" w:rsidR="004F458B" w:rsidRDefault="004F458B" w:rsidP="009E7AF7">
      <w:pPr>
        <w:pStyle w:val="Heading1"/>
      </w:pPr>
      <w:bookmarkStart w:id="60" w:name="_Toc460832699"/>
      <w:r>
        <w:lastRenderedPageBreak/>
        <w:t xml:space="preserve">Právní následky </w:t>
      </w:r>
      <w:r w:rsidR="000D0163">
        <w:t>porušení smlouvy</w:t>
      </w:r>
      <w:bookmarkEnd w:id="60"/>
    </w:p>
    <w:p w14:paraId="50CFF2E7" w14:textId="54A662A8" w:rsidR="0036583C" w:rsidRDefault="0036583C" w:rsidP="0036583C">
      <w:pPr>
        <w:pStyle w:val="Heading2"/>
      </w:pPr>
      <w:bookmarkStart w:id="61" w:name="_Toc460832700"/>
      <w:r>
        <w:t>Obecně o právních následcích</w:t>
      </w:r>
      <w:bookmarkEnd w:id="61"/>
    </w:p>
    <w:p w14:paraId="107F462E" w14:textId="467DA86F" w:rsidR="00752230" w:rsidRDefault="0033456B" w:rsidP="0036583C">
      <w:r>
        <w:t xml:space="preserve">Vzhledem k tomu, že jsme se v předchozí části věnovali předpokladům vadného splnění, zdálo by se přirozené pokračovat konkrétními právy </w:t>
      </w:r>
      <w:r w:rsidR="00F70602">
        <w:t>a povinnostmi</w:t>
      </w:r>
      <w:r w:rsidR="00025F78">
        <w:t xml:space="preserve"> z</w:t>
      </w:r>
      <w:r w:rsidR="00F70602">
        <w:t xml:space="preserve"> vadného splnění. Výše jsme si však naznačili, že v</w:t>
      </w:r>
      <w:r>
        <w:t xml:space="preserve">adné splnění je </w:t>
      </w:r>
      <w:r w:rsidR="00F70602">
        <w:t xml:space="preserve">jedním ze způsobů </w:t>
      </w:r>
      <w:r>
        <w:t xml:space="preserve">porušení smlouvy. Právními následky </w:t>
      </w:r>
      <w:r w:rsidR="00752230">
        <w:t>vadného splnění jsou tak nejen</w:t>
      </w:r>
      <w:r w:rsidR="00F70602">
        <w:t xml:space="preserve"> </w:t>
      </w:r>
      <w:r w:rsidR="000D0BAB">
        <w:t xml:space="preserve">zvláštní </w:t>
      </w:r>
      <w:r w:rsidR="00F70602">
        <w:t>následky v podobě práv a povinností</w:t>
      </w:r>
      <w:r w:rsidR="00752230">
        <w:t xml:space="preserve"> z vadného splnění, ale i další právní následky</w:t>
      </w:r>
      <w:r w:rsidR="00F70602">
        <w:t xml:space="preserve">, které nejsou </w:t>
      </w:r>
      <w:r w:rsidR="00C46B07">
        <w:t>spojeny</w:t>
      </w:r>
      <w:r w:rsidR="00DD4977">
        <w:t xml:space="preserve"> výhradně </w:t>
      </w:r>
      <w:r w:rsidR="00C46B07">
        <w:t>s</w:t>
      </w:r>
      <w:r w:rsidR="00C83AA7">
        <w:t> tímto způsobem porušení smlouvy</w:t>
      </w:r>
      <w:r w:rsidR="00350ED1">
        <w:t xml:space="preserve">, </w:t>
      </w:r>
      <w:r w:rsidR="00C83AA7">
        <w:t xml:space="preserve">nýbrž </w:t>
      </w:r>
      <w:r w:rsidR="00F70602">
        <w:t>s</w:t>
      </w:r>
      <w:r w:rsidR="00C83AA7">
        <w:t> kterýmkoliv způsobem porušení smlouvy</w:t>
      </w:r>
      <w:r w:rsidR="00752230">
        <w:t xml:space="preserve">. </w:t>
      </w:r>
    </w:p>
    <w:p w14:paraId="18A75746" w14:textId="5B358D42" w:rsidR="009938E9" w:rsidRDefault="00752230" w:rsidP="0036583C">
      <w:r>
        <w:t>Cílem této části je analyzovat právní následky vadného splnění v dodavatelsko</w:t>
      </w:r>
      <w:r>
        <w:noBreakHyphen/>
        <w:t>odběratelských vztazích. Pozornost</w:t>
      </w:r>
      <w:r w:rsidR="005A4A9E">
        <w:t xml:space="preserve"> je</w:t>
      </w:r>
      <w:r>
        <w:t xml:space="preserve"> </w:t>
      </w:r>
      <w:r w:rsidR="000D4C8F">
        <w:t>především</w:t>
      </w:r>
      <w:r>
        <w:t xml:space="preserve"> věnována </w:t>
      </w:r>
      <w:r w:rsidR="000D4C8F">
        <w:t xml:space="preserve">zvláštním </w:t>
      </w:r>
      <w:r>
        <w:t xml:space="preserve">následkům vadného splnění, tedy následkům, které jsou spojeny výhradně s tímto způsobem porušení smlouvy. Poté </w:t>
      </w:r>
      <w:r w:rsidR="005A4A9E">
        <w:t xml:space="preserve">práce </w:t>
      </w:r>
      <w:r w:rsidR="005145F5">
        <w:t>alespoň krátce</w:t>
      </w:r>
      <w:r w:rsidR="005A4A9E">
        <w:rPr>
          <w:rStyle w:val="FootnoteReference"/>
        </w:rPr>
        <w:footnoteReference w:id="115"/>
      </w:r>
      <w:r w:rsidR="005145F5">
        <w:t xml:space="preserve"> </w:t>
      </w:r>
      <w:r w:rsidR="004F7EFF">
        <w:t xml:space="preserve">nastíní vybrané otázky souvisící s </w:t>
      </w:r>
      <w:r>
        <w:t>další</w:t>
      </w:r>
      <w:r w:rsidR="005A4A9E">
        <w:t>m</w:t>
      </w:r>
      <w:r w:rsidR="004F7EFF">
        <w:t>i následky</w:t>
      </w:r>
      <w:r>
        <w:t>, které mohou nastat i v případě jiných způsobů porušení smlouvy než je vadné splnění, a to buď automaticky ze zákona či na základě zvláštního smluvního ujednání.</w:t>
      </w:r>
      <w:r w:rsidR="00F70602">
        <w:t xml:space="preserve"> Pro přehlednost budou obdobně jako v předchozí části rozebrány </w:t>
      </w:r>
      <w:r w:rsidR="00E1779F">
        <w:t xml:space="preserve">zvláštní </w:t>
      </w:r>
      <w:r w:rsidR="00F70602">
        <w:t>právní následky dle ObčZ a poté dle smluvních podmínek FIDIC.</w:t>
      </w:r>
    </w:p>
    <w:p w14:paraId="294FC245" w14:textId="17476F55" w:rsidR="0036583C" w:rsidRDefault="008A1448" w:rsidP="0036583C">
      <w:pPr>
        <w:pStyle w:val="Heading2"/>
      </w:pPr>
      <w:bookmarkStart w:id="62" w:name="_Toc460832701"/>
      <w:r>
        <w:t xml:space="preserve">Zvláštní právní následky </w:t>
      </w:r>
      <w:r w:rsidR="00E97CEF">
        <w:t>vadného splnění</w:t>
      </w:r>
      <w:bookmarkEnd w:id="62"/>
    </w:p>
    <w:p w14:paraId="58975DC6" w14:textId="5F991EA9" w:rsidR="0036583C" w:rsidRPr="00567FAB" w:rsidRDefault="009938E9" w:rsidP="0036583C">
      <w:pPr>
        <w:pStyle w:val="Heading3"/>
      </w:pPr>
      <w:bookmarkStart w:id="63" w:name="_Toc460832702"/>
      <w:r>
        <w:t>O</w:t>
      </w:r>
      <w:r w:rsidR="0036583C">
        <w:t xml:space="preserve">becná </w:t>
      </w:r>
      <w:r>
        <w:t>ustanovení ObčZ</w:t>
      </w:r>
      <w:bookmarkEnd w:id="63"/>
    </w:p>
    <w:p w14:paraId="49A3111E" w14:textId="19DD7574" w:rsidR="002F795A" w:rsidRDefault="009938E9" w:rsidP="0036583C">
      <w:pPr>
        <w:rPr>
          <w:rFonts w:cs="Times New Roman"/>
        </w:rPr>
      </w:pPr>
      <w:r>
        <w:rPr>
          <w:rFonts w:cs="Times New Roman"/>
        </w:rPr>
        <w:t>Obecná ustanovení ObčZ v § 1923</w:t>
      </w:r>
      <w:r w:rsidR="002F795A">
        <w:rPr>
          <w:rFonts w:cs="Times New Roman"/>
        </w:rPr>
        <w:t xml:space="preserve"> </w:t>
      </w:r>
      <w:r>
        <w:rPr>
          <w:rFonts w:cs="Times New Roman"/>
        </w:rPr>
        <w:t xml:space="preserve">upravují práva z vadného splnění podle </w:t>
      </w:r>
      <w:r w:rsidR="005C09A4">
        <w:rPr>
          <w:rFonts w:cs="Times New Roman"/>
        </w:rPr>
        <w:t>dvou kritérií. První kritérium spočívá</w:t>
      </w:r>
      <w:r>
        <w:rPr>
          <w:rFonts w:cs="Times New Roman"/>
        </w:rPr>
        <w:t xml:space="preserve"> v tom, zda je vada odstranitelná či neodstranitelná</w:t>
      </w:r>
      <w:r w:rsidR="005C09A4">
        <w:rPr>
          <w:rFonts w:cs="Times New Roman"/>
        </w:rPr>
        <w:t xml:space="preserve">. Druhé kritérium odvisí od možnosti předmět </w:t>
      </w:r>
      <w:r w:rsidR="00FB52C5">
        <w:rPr>
          <w:rFonts w:cs="Times New Roman"/>
        </w:rPr>
        <w:t xml:space="preserve">plnění </w:t>
      </w:r>
      <w:r w:rsidR="005C09A4">
        <w:rPr>
          <w:rFonts w:cs="Times New Roman"/>
        </w:rPr>
        <w:t>řádně užívat i přes přítomnost vady</w:t>
      </w:r>
      <w:r>
        <w:rPr>
          <w:rFonts w:cs="Times New Roman"/>
        </w:rPr>
        <w:t>. Zákon stanoví, že je-li vada odstranitelná</w:t>
      </w:r>
      <w:r w:rsidR="00110C87">
        <w:rPr>
          <w:rStyle w:val="FootnoteReference"/>
          <w:rFonts w:cs="Times New Roman"/>
        </w:rPr>
        <w:footnoteReference w:id="116"/>
      </w:r>
      <w:r>
        <w:rPr>
          <w:rFonts w:cs="Times New Roman"/>
        </w:rPr>
        <w:t>, pak se</w:t>
      </w:r>
      <w:r w:rsidR="00455E54">
        <w:rPr>
          <w:rFonts w:cs="Times New Roman"/>
        </w:rPr>
        <w:t xml:space="preserve"> nabyvatel</w:t>
      </w:r>
      <w:r>
        <w:rPr>
          <w:rFonts w:cs="Times New Roman"/>
        </w:rPr>
        <w:t xml:space="preserve"> (odběratel) může „</w:t>
      </w:r>
      <w:r>
        <w:rPr>
          <w:rFonts w:cs="Times New Roman"/>
          <w:i/>
        </w:rPr>
        <w:t>domáhat buď opravy nebo doplnění toho, co chybí, anebo přiměřené slevy z ceny.</w:t>
      </w:r>
      <w:r>
        <w:rPr>
          <w:rFonts w:cs="Times New Roman"/>
        </w:rPr>
        <w:t>“ Pokud vada odstranitelná není</w:t>
      </w:r>
      <w:r w:rsidR="009376B0">
        <w:rPr>
          <w:rFonts w:cs="Times New Roman"/>
        </w:rPr>
        <w:t xml:space="preserve"> </w:t>
      </w:r>
      <w:r w:rsidR="00455E54">
        <w:rPr>
          <w:rFonts w:cs="Times New Roman"/>
        </w:rPr>
        <w:t xml:space="preserve">a </w:t>
      </w:r>
      <w:r w:rsidR="009376B0">
        <w:rPr>
          <w:rFonts w:cs="Times New Roman"/>
        </w:rPr>
        <w:t>nelze-li pro tuto vadu předmět řádně užívat</w:t>
      </w:r>
      <w:r>
        <w:rPr>
          <w:rFonts w:cs="Times New Roman"/>
        </w:rPr>
        <w:t xml:space="preserve">, pak </w:t>
      </w:r>
      <w:r w:rsidR="0012561C">
        <w:rPr>
          <w:rFonts w:cs="Times New Roman"/>
        </w:rPr>
        <w:t>lze požadovat</w:t>
      </w:r>
      <w:r>
        <w:rPr>
          <w:rFonts w:cs="Times New Roman"/>
        </w:rPr>
        <w:t xml:space="preserve"> odstoupení od smlouvy či přiměřenou slevu z</w:t>
      </w:r>
      <w:r w:rsidR="009376B0">
        <w:rPr>
          <w:rFonts w:cs="Times New Roman"/>
        </w:rPr>
        <w:t> </w:t>
      </w:r>
      <w:r>
        <w:rPr>
          <w:rFonts w:cs="Times New Roman"/>
        </w:rPr>
        <w:t>ceny</w:t>
      </w:r>
      <w:r w:rsidR="009376B0">
        <w:rPr>
          <w:rFonts w:cs="Times New Roman"/>
        </w:rPr>
        <w:t>.</w:t>
      </w:r>
    </w:p>
    <w:p w14:paraId="1162D1DB" w14:textId="115700A1" w:rsidR="003C3CAB" w:rsidRDefault="009D7CE5" w:rsidP="00964FC9">
      <w:pPr>
        <w:rPr>
          <w:rFonts w:cs="Times New Roman"/>
        </w:rPr>
      </w:pPr>
      <w:r>
        <w:rPr>
          <w:rFonts w:cs="Times New Roman"/>
        </w:rPr>
        <w:t>C</w:t>
      </w:r>
      <w:r w:rsidR="005C09A4">
        <w:rPr>
          <w:rFonts w:cs="Times New Roman"/>
        </w:rPr>
        <w:t xml:space="preserve">o se rozumí odstranitelnou a neodstranitelnou vadou, </w:t>
      </w:r>
      <w:r>
        <w:rPr>
          <w:rFonts w:cs="Times New Roman"/>
        </w:rPr>
        <w:t xml:space="preserve">o tom </w:t>
      </w:r>
      <w:r w:rsidR="005C09A4">
        <w:rPr>
          <w:rFonts w:cs="Times New Roman"/>
        </w:rPr>
        <w:t xml:space="preserve">zákon mlčí. Z teoretického hlediska lze rozlišovat </w:t>
      </w:r>
      <w:r w:rsidR="003C3CAB">
        <w:rPr>
          <w:rFonts w:cs="Times New Roman"/>
        </w:rPr>
        <w:t>absolutní neodstranitelnost</w:t>
      </w:r>
      <w:r>
        <w:rPr>
          <w:rFonts w:cs="Times New Roman"/>
        </w:rPr>
        <w:t xml:space="preserve"> (</w:t>
      </w:r>
      <w:r w:rsidR="003C3CAB">
        <w:rPr>
          <w:rFonts w:cs="Times New Roman"/>
        </w:rPr>
        <w:t>vady</w:t>
      </w:r>
      <w:r>
        <w:rPr>
          <w:rFonts w:cs="Times New Roman"/>
        </w:rPr>
        <w:t xml:space="preserve"> není možné </w:t>
      </w:r>
      <w:r w:rsidR="003C3CAB">
        <w:rPr>
          <w:rFonts w:cs="Times New Roman"/>
        </w:rPr>
        <w:t xml:space="preserve">v daném čase a případě </w:t>
      </w:r>
      <w:r>
        <w:rPr>
          <w:rFonts w:cs="Times New Roman"/>
        </w:rPr>
        <w:t>odstranit dostupnými technickými prostředky)</w:t>
      </w:r>
      <w:r w:rsidR="005C09A4">
        <w:rPr>
          <w:rFonts w:cs="Times New Roman"/>
        </w:rPr>
        <w:t>, relativní</w:t>
      </w:r>
      <w:r w:rsidR="003C3CAB">
        <w:rPr>
          <w:rFonts w:cs="Times New Roman"/>
        </w:rPr>
        <w:t xml:space="preserve"> neodstranitelnost</w:t>
      </w:r>
      <w:r w:rsidR="005C09A4">
        <w:rPr>
          <w:rFonts w:cs="Times New Roman"/>
        </w:rPr>
        <w:t xml:space="preserve"> </w:t>
      </w:r>
      <w:r>
        <w:rPr>
          <w:rFonts w:cs="Times New Roman"/>
        </w:rPr>
        <w:t>(vady</w:t>
      </w:r>
      <w:r w:rsidR="003C3CAB">
        <w:rPr>
          <w:rFonts w:cs="Times New Roman"/>
        </w:rPr>
        <w:t xml:space="preserve"> je možno odstranit, avšak v daném čase</w:t>
      </w:r>
      <w:r w:rsidR="007304B1">
        <w:rPr>
          <w:rFonts w:cs="Times New Roman"/>
        </w:rPr>
        <w:t xml:space="preserve"> a případě</w:t>
      </w:r>
      <w:r w:rsidR="003C3CAB">
        <w:rPr>
          <w:rFonts w:cs="Times New Roman"/>
        </w:rPr>
        <w:t xml:space="preserve"> je to značně nehospodárné</w:t>
      </w:r>
      <w:r>
        <w:rPr>
          <w:rFonts w:cs="Times New Roman"/>
        </w:rPr>
        <w:t xml:space="preserve">) </w:t>
      </w:r>
      <w:r w:rsidR="005C09A4">
        <w:rPr>
          <w:rFonts w:cs="Times New Roman"/>
        </w:rPr>
        <w:t>a fiktivní</w:t>
      </w:r>
      <w:r>
        <w:rPr>
          <w:rFonts w:cs="Times New Roman"/>
        </w:rPr>
        <w:t xml:space="preserve"> </w:t>
      </w:r>
      <w:r w:rsidR="003C3CAB">
        <w:rPr>
          <w:rFonts w:cs="Times New Roman"/>
        </w:rPr>
        <w:t xml:space="preserve">neodstranitelnost </w:t>
      </w:r>
      <w:r>
        <w:rPr>
          <w:rFonts w:cs="Times New Roman"/>
        </w:rPr>
        <w:lastRenderedPageBreak/>
        <w:t>(vady</w:t>
      </w:r>
      <w:r w:rsidR="003C3CAB">
        <w:rPr>
          <w:rFonts w:cs="Times New Roman"/>
        </w:rPr>
        <w:t>, byť objektivně odstranitelné</w:t>
      </w:r>
      <w:r>
        <w:rPr>
          <w:rFonts w:cs="Times New Roman"/>
        </w:rPr>
        <w:t xml:space="preserve">, jsou </w:t>
      </w:r>
      <w:r w:rsidR="00FE6A1C">
        <w:rPr>
          <w:rFonts w:cs="Times New Roman"/>
        </w:rPr>
        <w:t xml:space="preserve">v určitém případě </w:t>
      </w:r>
      <w:r w:rsidR="003C3CAB">
        <w:rPr>
          <w:rFonts w:cs="Times New Roman"/>
        </w:rPr>
        <w:t>posuzovány jako neodstranitelné</w:t>
      </w:r>
      <w:r w:rsidR="006F2E92">
        <w:rPr>
          <w:rStyle w:val="FootnoteReference"/>
          <w:rFonts w:cs="Times New Roman"/>
        </w:rPr>
        <w:footnoteReference w:id="117"/>
      </w:r>
      <w:r>
        <w:rPr>
          <w:rFonts w:cs="Times New Roman"/>
        </w:rPr>
        <w:t>)</w:t>
      </w:r>
      <w:r w:rsidR="005C09A4">
        <w:rPr>
          <w:rFonts w:cs="Times New Roman"/>
        </w:rPr>
        <w:t>.</w:t>
      </w:r>
      <w:r>
        <w:rPr>
          <w:rStyle w:val="FootnoteReference"/>
          <w:rFonts w:cs="Times New Roman"/>
        </w:rPr>
        <w:footnoteReference w:id="118"/>
      </w:r>
      <w:r w:rsidR="0089786F">
        <w:rPr>
          <w:rFonts w:cs="Times New Roman"/>
        </w:rPr>
        <w:t xml:space="preserve"> </w:t>
      </w:r>
    </w:p>
    <w:p w14:paraId="3475F3DF" w14:textId="5E3D94DE" w:rsidR="00F73CF5" w:rsidRDefault="008052CE" w:rsidP="002D1B25">
      <w:pPr>
        <w:rPr>
          <w:rFonts w:cs="Times New Roman"/>
        </w:rPr>
      </w:pPr>
      <w:r>
        <w:rPr>
          <w:rFonts w:cs="Times New Roman"/>
        </w:rPr>
        <w:t xml:space="preserve">Řádné užívání předmětu plnění je potřeba posuzovat </w:t>
      </w:r>
      <w:r w:rsidR="009B78C2">
        <w:rPr>
          <w:rFonts w:cs="Times New Roman"/>
        </w:rPr>
        <w:t>v každém</w:t>
      </w:r>
      <w:r>
        <w:rPr>
          <w:rFonts w:cs="Times New Roman"/>
        </w:rPr>
        <w:t xml:space="preserve"> </w:t>
      </w:r>
      <w:r w:rsidR="009B78C2">
        <w:rPr>
          <w:rFonts w:cs="Times New Roman"/>
        </w:rPr>
        <w:t>případě samostatně</w:t>
      </w:r>
      <w:r w:rsidR="00303CCF">
        <w:rPr>
          <w:rFonts w:cs="Times New Roman"/>
        </w:rPr>
        <w:t>, a to</w:t>
      </w:r>
      <w:r>
        <w:rPr>
          <w:rFonts w:cs="Times New Roman"/>
        </w:rPr>
        <w:t xml:space="preserve"> zejména </w:t>
      </w:r>
      <w:r w:rsidR="009B78C2">
        <w:rPr>
          <w:rFonts w:cs="Times New Roman"/>
        </w:rPr>
        <w:t xml:space="preserve">s ohledem na účel, k němuž má být předmět plnění </w:t>
      </w:r>
      <w:r>
        <w:rPr>
          <w:rFonts w:cs="Times New Roman"/>
        </w:rPr>
        <w:t xml:space="preserve"> </w:t>
      </w:r>
      <w:r w:rsidR="009B78C2">
        <w:rPr>
          <w:rFonts w:cs="Times New Roman"/>
        </w:rPr>
        <w:t>užíván, stanovený</w:t>
      </w:r>
      <w:r>
        <w:rPr>
          <w:rFonts w:cs="Times New Roman"/>
        </w:rPr>
        <w:t xml:space="preserve"> ve smlouvě, </w:t>
      </w:r>
      <w:r w:rsidR="009B78C2">
        <w:rPr>
          <w:rFonts w:cs="Times New Roman"/>
        </w:rPr>
        <w:t>příp. účel, k němuž je předmět plnění obvykle užíván</w:t>
      </w:r>
      <w:r>
        <w:rPr>
          <w:rFonts w:cs="Times New Roman"/>
        </w:rPr>
        <w:t>. Podstatné však je, že toto užívání je nemožné v důsledku neodstranitelné vady.</w:t>
      </w:r>
      <w:r w:rsidR="000B1D79">
        <w:rPr>
          <w:rStyle w:val="FootnoteReference"/>
          <w:rFonts w:cs="Times New Roman"/>
        </w:rPr>
        <w:footnoteReference w:id="119"/>
      </w:r>
      <w:r w:rsidR="002D1B25">
        <w:rPr>
          <w:rFonts w:cs="Times New Roman"/>
        </w:rPr>
        <w:t xml:space="preserve"> </w:t>
      </w:r>
      <w:r w:rsidR="00B1245D">
        <w:rPr>
          <w:rFonts w:cs="Times New Roman"/>
        </w:rPr>
        <w:t>K</w:t>
      </w:r>
      <w:r w:rsidR="002D1B25">
        <w:rPr>
          <w:rFonts w:cs="Times New Roman"/>
        </w:rPr>
        <w:t xml:space="preserve">ritérium nemožnosti řádného užívání musí být naplněno současně s kritériem neodstranitelnosti vady. </w:t>
      </w:r>
      <w:r w:rsidR="0092253D">
        <w:rPr>
          <w:rFonts w:cs="Times New Roman"/>
        </w:rPr>
        <w:t>Je-li</w:t>
      </w:r>
      <w:r w:rsidR="00B1245D">
        <w:rPr>
          <w:rFonts w:cs="Times New Roman"/>
        </w:rPr>
        <w:t xml:space="preserve"> vada neodstra</w:t>
      </w:r>
      <w:r w:rsidR="0092253D">
        <w:rPr>
          <w:rFonts w:cs="Times New Roman"/>
        </w:rPr>
        <w:t>nitelná, ale předmět plnění je</w:t>
      </w:r>
      <w:r w:rsidR="00B1245D">
        <w:rPr>
          <w:rFonts w:cs="Times New Roman"/>
        </w:rPr>
        <w:t xml:space="preserve"> možno řádně užívat, pak </w:t>
      </w:r>
      <w:r w:rsidR="0092253D">
        <w:rPr>
          <w:rFonts w:cs="Times New Roman"/>
        </w:rPr>
        <w:t xml:space="preserve">zjevně </w:t>
      </w:r>
      <w:r w:rsidR="00B1245D">
        <w:rPr>
          <w:rFonts w:cs="Times New Roman"/>
        </w:rPr>
        <w:t>n</w:t>
      </w:r>
      <w:r w:rsidR="00FE02E6">
        <w:rPr>
          <w:rFonts w:cs="Times New Roman"/>
        </w:rPr>
        <w:t>ení</w:t>
      </w:r>
      <w:r w:rsidR="00B1245D">
        <w:rPr>
          <w:rFonts w:cs="Times New Roman"/>
        </w:rPr>
        <w:t xml:space="preserve"> tato vada tak závažná, aby </w:t>
      </w:r>
      <w:r w:rsidR="00FE02E6">
        <w:rPr>
          <w:rFonts w:cs="Times New Roman"/>
        </w:rPr>
        <w:t>odůvodňovala</w:t>
      </w:r>
      <w:r w:rsidR="00DA19C1">
        <w:rPr>
          <w:rFonts w:cs="Times New Roman"/>
        </w:rPr>
        <w:t xml:space="preserve"> právo</w:t>
      </w:r>
      <w:r w:rsidR="00B1245D">
        <w:rPr>
          <w:rFonts w:cs="Times New Roman"/>
        </w:rPr>
        <w:t xml:space="preserve"> </w:t>
      </w:r>
      <w:r w:rsidR="00DA19C1">
        <w:rPr>
          <w:rFonts w:cs="Times New Roman"/>
        </w:rPr>
        <w:t xml:space="preserve">odběratele </w:t>
      </w:r>
      <w:r w:rsidR="00BA6DF7">
        <w:rPr>
          <w:rFonts w:cs="Times New Roman"/>
        </w:rPr>
        <w:t xml:space="preserve">např. </w:t>
      </w:r>
      <w:r w:rsidR="00FE02E6">
        <w:rPr>
          <w:rFonts w:cs="Times New Roman"/>
        </w:rPr>
        <w:t>odstoupit od smlouvy</w:t>
      </w:r>
      <w:r w:rsidR="00BA6DF7">
        <w:rPr>
          <w:rFonts w:cs="Times New Roman"/>
        </w:rPr>
        <w:t>, které straně přísluší pouze za splnění obou kritérií současně</w:t>
      </w:r>
      <w:r w:rsidR="00FE02E6">
        <w:rPr>
          <w:rFonts w:cs="Times New Roman"/>
        </w:rPr>
        <w:t>.</w:t>
      </w:r>
      <w:r w:rsidR="00512C0E">
        <w:rPr>
          <w:rFonts w:cs="Times New Roman"/>
        </w:rPr>
        <w:t xml:space="preserve"> </w:t>
      </w:r>
      <w:r w:rsidR="00512C0E">
        <w:t>K těmto vadám je tedy nutno přiřadit tytéž práva a povinnosti z vadného splnění, které zákon stanoví pro vady odstranitelné.</w:t>
      </w:r>
      <w:r w:rsidR="00BA6DF7">
        <w:rPr>
          <w:rStyle w:val="FootnoteReference"/>
          <w:rFonts w:cs="Times New Roman"/>
        </w:rPr>
        <w:footnoteReference w:id="120"/>
      </w:r>
    </w:p>
    <w:p w14:paraId="3DD2A739" w14:textId="7B6246BB" w:rsidR="002F795A" w:rsidRDefault="006D0F9A" w:rsidP="006D0F9A">
      <w:pPr>
        <w:rPr>
          <w:rFonts w:cs="Times New Roman"/>
        </w:rPr>
      </w:pPr>
      <w:r>
        <w:rPr>
          <w:rFonts w:cs="Times New Roman"/>
        </w:rPr>
        <w:t xml:space="preserve">Výběr </w:t>
      </w:r>
      <w:r w:rsidR="006911A0">
        <w:rPr>
          <w:rFonts w:cs="Times New Roman"/>
        </w:rPr>
        <w:t xml:space="preserve">konkrétního </w:t>
      </w:r>
      <w:r>
        <w:rPr>
          <w:rFonts w:cs="Times New Roman"/>
        </w:rPr>
        <w:t>práva, je v</w:t>
      </w:r>
      <w:r w:rsidR="00455E54">
        <w:rPr>
          <w:rFonts w:cs="Times New Roman"/>
        </w:rPr>
        <w:t> </w:t>
      </w:r>
      <w:r>
        <w:rPr>
          <w:rFonts w:cs="Times New Roman"/>
        </w:rPr>
        <w:t>rukou</w:t>
      </w:r>
      <w:r w:rsidR="00455E54">
        <w:rPr>
          <w:rFonts w:cs="Times New Roman"/>
        </w:rPr>
        <w:t xml:space="preserve"> odběratele</w:t>
      </w:r>
      <w:r>
        <w:rPr>
          <w:rFonts w:cs="Times New Roman"/>
        </w:rPr>
        <w:t>.</w:t>
      </w:r>
      <w:r w:rsidR="00644919">
        <w:rPr>
          <w:rStyle w:val="FootnoteReference"/>
          <w:rFonts w:cs="Times New Roman"/>
        </w:rPr>
        <w:footnoteReference w:id="121"/>
      </w:r>
      <w:r>
        <w:rPr>
          <w:rFonts w:cs="Times New Roman"/>
        </w:rPr>
        <w:t xml:space="preserve"> Pouze on si může určit, zda pro něj má větší smysl oprava věci či sleva z ceny,</w:t>
      </w:r>
      <w:r w:rsidR="006E2190">
        <w:rPr>
          <w:rFonts w:cs="Times New Roman"/>
        </w:rPr>
        <w:t xml:space="preserve"> resp. zda</w:t>
      </w:r>
      <w:r>
        <w:rPr>
          <w:rFonts w:cs="Times New Roman"/>
        </w:rPr>
        <w:t xml:space="preserve"> neodstranitelná vada, která brání řádnému užívání, </w:t>
      </w:r>
      <w:r w:rsidR="006E2190">
        <w:rPr>
          <w:rFonts w:cs="Times New Roman"/>
        </w:rPr>
        <w:t>je natolik závažná</w:t>
      </w:r>
      <w:r>
        <w:rPr>
          <w:rFonts w:cs="Times New Roman"/>
        </w:rPr>
        <w:t>, že mu nepostačí přiměřená sleva, a rozhodne se od smlouvy odstoupit. Jakmile se však jednou rozhodne pro konkrétní právo, nemůže svoji volbu vzít zpět či změnit</w:t>
      </w:r>
      <w:r w:rsidR="006E2190">
        <w:rPr>
          <w:rFonts w:cs="Times New Roman"/>
        </w:rPr>
        <w:t xml:space="preserve"> bez souhlasu </w:t>
      </w:r>
      <w:r w:rsidR="00A37D2E">
        <w:rPr>
          <w:rFonts w:cs="Times New Roman"/>
        </w:rPr>
        <w:t>dodavatele</w:t>
      </w:r>
      <w:r w:rsidR="007F3F45">
        <w:rPr>
          <w:rFonts w:cs="Times New Roman"/>
        </w:rPr>
        <w:t>.</w:t>
      </w:r>
      <w:r w:rsidR="00A37D2E">
        <w:rPr>
          <w:rStyle w:val="FootnoteReference"/>
          <w:rFonts w:cs="Times New Roman"/>
        </w:rPr>
        <w:footnoteReference w:id="122"/>
      </w:r>
    </w:p>
    <w:p w14:paraId="28F6981E" w14:textId="1E6410EA" w:rsidR="006D0F9A" w:rsidRDefault="00F1265A" w:rsidP="006D0F9A">
      <w:pPr>
        <w:rPr>
          <w:rFonts w:cs="Times New Roman"/>
        </w:rPr>
      </w:pPr>
      <w:r w:rsidRPr="00F1265A">
        <w:rPr>
          <w:rFonts w:cs="Times New Roman"/>
        </w:rPr>
        <w:t>Zákon</w:t>
      </w:r>
      <w:r w:rsidR="00196605">
        <w:rPr>
          <w:rFonts w:cs="Times New Roman"/>
        </w:rPr>
        <w:t xml:space="preserve"> odběrateli nestanoví</w:t>
      </w:r>
      <w:r w:rsidR="002138F8">
        <w:rPr>
          <w:rFonts w:cs="Times New Roman"/>
        </w:rPr>
        <w:t xml:space="preserve"> lhůtu, v níž </w:t>
      </w:r>
      <w:r w:rsidR="00BD24BC">
        <w:rPr>
          <w:rFonts w:cs="Times New Roman"/>
        </w:rPr>
        <w:t>je třeba</w:t>
      </w:r>
      <w:r w:rsidR="00196605">
        <w:rPr>
          <w:rFonts w:cs="Times New Roman"/>
        </w:rPr>
        <w:t xml:space="preserve"> </w:t>
      </w:r>
      <w:r w:rsidR="002138F8">
        <w:rPr>
          <w:rFonts w:cs="Times New Roman"/>
        </w:rPr>
        <w:t xml:space="preserve">uplatnit </w:t>
      </w:r>
      <w:r w:rsidR="00FE4EE4">
        <w:rPr>
          <w:rFonts w:cs="Times New Roman"/>
        </w:rPr>
        <w:t xml:space="preserve">konkrétní </w:t>
      </w:r>
      <w:r w:rsidR="002138F8">
        <w:rPr>
          <w:rFonts w:cs="Times New Roman"/>
        </w:rPr>
        <w:t>právo z vadného splnění</w:t>
      </w:r>
      <w:r w:rsidR="00511F7D">
        <w:rPr>
          <w:rFonts w:cs="Times New Roman"/>
        </w:rPr>
        <w:t>, u</w:t>
      </w:r>
      <w:r w:rsidR="009B7CF9" w:rsidRPr="00F1265A">
        <w:rPr>
          <w:rFonts w:cs="Times New Roman"/>
        </w:rPr>
        <w:t>platní</w:t>
      </w:r>
      <w:r w:rsidR="009B7CF9">
        <w:rPr>
          <w:rFonts w:cs="Times New Roman"/>
        </w:rPr>
        <w:t xml:space="preserve"> se zde </w:t>
      </w:r>
      <w:r w:rsidR="00FE4EE4">
        <w:rPr>
          <w:rFonts w:cs="Times New Roman"/>
        </w:rPr>
        <w:t xml:space="preserve">tedy </w:t>
      </w:r>
      <w:r w:rsidR="00511F7D">
        <w:rPr>
          <w:rFonts w:cs="Times New Roman"/>
        </w:rPr>
        <w:t xml:space="preserve">obecná </w:t>
      </w:r>
      <w:r w:rsidR="009B7CF9">
        <w:rPr>
          <w:rFonts w:cs="Times New Roman"/>
        </w:rPr>
        <w:t>promlčecí lhůta</w:t>
      </w:r>
      <w:r w:rsidR="002D584B">
        <w:rPr>
          <w:rFonts w:cs="Times New Roman"/>
        </w:rPr>
        <w:t>.</w:t>
      </w:r>
      <w:r w:rsidR="00FE4EE4">
        <w:rPr>
          <w:rStyle w:val="FootnoteReference"/>
          <w:rFonts w:cs="Times New Roman"/>
        </w:rPr>
        <w:footnoteReference w:id="123"/>
      </w:r>
      <w:r w:rsidR="006735C7">
        <w:rPr>
          <w:rFonts w:cs="Times New Roman"/>
        </w:rPr>
        <w:t xml:space="preserve"> </w:t>
      </w:r>
      <w:r w:rsidR="00D047BE">
        <w:rPr>
          <w:rFonts w:cs="Times New Roman"/>
        </w:rPr>
        <w:t>Z</w:t>
      </w:r>
      <w:r w:rsidR="003A2505">
        <w:rPr>
          <w:rFonts w:cs="Times New Roman"/>
        </w:rPr>
        <w:t>ákon nestanoví</w:t>
      </w:r>
      <w:r w:rsidR="006735C7">
        <w:rPr>
          <w:rFonts w:cs="Times New Roman"/>
        </w:rPr>
        <w:t xml:space="preserve"> ani</w:t>
      </w:r>
      <w:r w:rsidR="003A2505">
        <w:rPr>
          <w:rFonts w:cs="Times New Roman"/>
        </w:rPr>
        <w:t xml:space="preserve"> lhůtu </w:t>
      </w:r>
      <w:r w:rsidR="006735C7">
        <w:rPr>
          <w:rFonts w:cs="Times New Roman"/>
        </w:rPr>
        <w:t>k</w:t>
      </w:r>
      <w:r w:rsidR="003A2505">
        <w:rPr>
          <w:rFonts w:cs="Times New Roman"/>
        </w:rPr>
        <w:t xml:space="preserve"> uspokojení odběratelova práva z vadného splnění</w:t>
      </w:r>
      <w:r w:rsidR="006735C7">
        <w:rPr>
          <w:rFonts w:cs="Times New Roman"/>
        </w:rPr>
        <w:t xml:space="preserve"> dodavatelem, na základě § 1958 odst. 2 ObčZ je však povinen své povinnosti splnit ve lhůtě bez zbytečného odkladu poté, co svá práva odběratel uplatnil.</w:t>
      </w:r>
      <w:r w:rsidR="006735C7">
        <w:rPr>
          <w:rStyle w:val="FootnoteReference"/>
          <w:rFonts w:cs="Times New Roman"/>
        </w:rPr>
        <w:footnoteReference w:id="124"/>
      </w:r>
    </w:p>
    <w:p w14:paraId="2AE62A26" w14:textId="62C89461" w:rsidR="002F795A" w:rsidRDefault="00490044" w:rsidP="006D0F9A">
      <w:pPr>
        <w:rPr>
          <w:rFonts w:cs="Times New Roman"/>
        </w:rPr>
      </w:pPr>
      <w:r>
        <w:rPr>
          <w:rFonts w:cs="Times New Roman"/>
        </w:rPr>
        <w:t>Pro</w:t>
      </w:r>
      <w:r w:rsidR="00FB382D">
        <w:rPr>
          <w:rFonts w:cs="Times New Roman"/>
        </w:rPr>
        <w:t xml:space="preserve"> </w:t>
      </w:r>
      <w:r w:rsidR="006D0F9A">
        <w:rPr>
          <w:rFonts w:cs="Times New Roman"/>
        </w:rPr>
        <w:t xml:space="preserve">smlouvy, které se </w:t>
      </w:r>
      <w:r w:rsidR="006735C7">
        <w:rPr>
          <w:rFonts w:cs="Times New Roman"/>
        </w:rPr>
        <w:t xml:space="preserve">obecnou </w:t>
      </w:r>
      <w:r w:rsidR="006D0F9A">
        <w:rPr>
          <w:rFonts w:cs="Times New Roman"/>
        </w:rPr>
        <w:t>úpravou</w:t>
      </w:r>
      <w:r>
        <w:rPr>
          <w:rFonts w:cs="Times New Roman"/>
        </w:rPr>
        <w:t xml:space="preserve"> </w:t>
      </w:r>
      <w:r w:rsidR="006735C7">
        <w:rPr>
          <w:rFonts w:cs="Times New Roman"/>
        </w:rPr>
        <w:t xml:space="preserve">práv a povinností z vadného splnění </w:t>
      </w:r>
      <w:r>
        <w:rPr>
          <w:rFonts w:cs="Times New Roman"/>
        </w:rPr>
        <w:t>budou řídit</w:t>
      </w:r>
      <w:r w:rsidR="006D0F9A">
        <w:rPr>
          <w:rFonts w:cs="Times New Roman"/>
        </w:rPr>
        <w:t>, nebude-li sjednáno jinak,</w:t>
      </w:r>
      <w:r w:rsidR="006735C7">
        <w:rPr>
          <w:rFonts w:cs="Times New Roman"/>
        </w:rPr>
        <w:t xml:space="preserve"> se</w:t>
      </w:r>
      <w:r w:rsidR="006D0F9A">
        <w:rPr>
          <w:rFonts w:cs="Times New Roman"/>
        </w:rPr>
        <w:t xml:space="preserve"> doporučuje alespoň upravit postup uplatňování konkrétního práva z vadného splnění, zejména co do lhůty, v níž je právo nutno uplatnit. Pokud by v uvedené lhůtě</w:t>
      </w:r>
      <w:r w:rsidR="00C90100">
        <w:rPr>
          <w:rFonts w:cs="Times New Roman"/>
        </w:rPr>
        <w:t xml:space="preserve"> odběratel</w:t>
      </w:r>
      <w:r w:rsidR="006D0F9A">
        <w:rPr>
          <w:rFonts w:cs="Times New Roman"/>
        </w:rPr>
        <w:t xml:space="preserve"> právo neuplatnil, přešlo by </w:t>
      </w:r>
      <w:r w:rsidR="00BC4113">
        <w:rPr>
          <w:rFonts w:cs="Times New Roman"/>
        </w:rPr>
        <w:t xml:space="preserve">např. </w:t>
      </w:r>
      <w:r w:rsidR="006D0F9A">
        <w:rPr>
          <w:rFonts w:cs="Times New Roman"/>
        </w:rPr>
        <w:t xml:space="preserve">právo volby na </w:t>
      </w:r>
      <w:r w:rsidR="00C90100">
        <w:rPr>
          <w:rFonts w:cs="Times New Roman"/>
        </w:rPr>
        <w:t>dodavatele</w:t>
      </w:r>
      <w:r w:rsidR="006D0F9A">
        <w:rPr>
          <w:rFonts w:cs="Times New Roman"/>
        </w:rPr>
        <w:t xml:space="preserve">, což </w:t>
      </w:r>
      <w:r w:rsidR="00CA794D">
        <w:rPr>
          <w:rFonts w:cs="Times New Roman"/>
        </w:rPr>
        <w:t>by mohlo</w:t>
      </w:r>
      <w:r w:rsidR="006D0F9A">
        <w:rPr>
          <w:rFonts w:cs="Times New Roman"/>
        </w:rPr>
        <w:t xml:space="preserve"> být určitým sankčním důsledkem nečinnosti</w:t>
      </w:r>
      <w:r w:rsidR="00C90100">
        <w:rPr>
          <w:rFonts w:cs="Times New Roman"/>
        </w:rPr>
        <w:t xml:space="preserve"> odběratele</w:t>
      </w:r>
      <w:r w:rsidR="00E97CEF">
        <w:rPr>
          <w:rFonts w:cs="Times New Roman"/>
        </w:rPr>
        <w:t>.</w:t>
      </w:r>
    </w:p>
    <w:p w14:paraId="103A2F7C" w14:textId="25D850CC" w:rsidR="009376B0" w:rsidRDefault="009376B0" w:rsidP="009376B0">
      <w:pPr>
        <w:pStyle w:val="Heading3"/>
        <w:rPr>
          <w:rFonts w:cs="Times New Roman"/>
        </w:rPr>
      </w:pPr>
      <w:bookmarkStart w:id="64" w:name="_Toc460832703"/>
      <w:r>
        <w:lastRenderedPageBreak/>
        <w:t xml:space="preserve">Ustanovení </w:t>
      </w:r>
      <w:r w:rsidRPr="00567FAB">
        <w:t>smlouvy o dílo</w:t>
      </w:r>
      <w:bookmarkEnd w:id="64"/>
    </w:p>
    <w:p w14:paraId="25C55F93" w14:textId="42615B65" w:rsidR="005145F5" w:rsidRDefault="005145F5" w:rsidP="0036583C">
      <w:pPr>
        <w:rPr>
          <w:rFonts w:cs="Times New Roman"/>
        </w:rPr>
      </w:pPr>
      <w:r>
        <w:rPr>
          <w:rFonts w:cs="Times New Roman"/>
        </w:rPr>
        <w:t xml:space="preserve">Zvláštní úpravu práv a povinností z vadného splnění zákon předpokládá v části o smlouvě o dílo. Zákon odkazuje na úpravu práv z vadného splnění u kupní smlouvy s tím, že v případě smlouvy o dílo nelze požadovat provedení náhradního díla, pokud nelze předmět díla vzhledem k jeho povaze vrátit či předat </w:t>
      </w:r>
      <w:r w:rsidR="00A10618">
        <w:rPr>
          <w:rFonts w:cs="Times New Roman"/>
        </w:rPr>
        <w:t>dodavateli</w:t>
      </w:r>
      <w:r>
        <w:rPr>
          <w:rFonts w:cs="Times New Roman"/>
        </w:rPr>
        <w:t>.</w:t>
      </w:r>
      <w:r>
        <w:rPr>
          <w:rStyle w:val="FootnoteReference"/>
          <w:rFonts w:cs="Times New Roman"/>
        </w:rPr>
        <w:footnoteReference w:id="125"/>
      </w:r>
    </w:p>
    <w:p w14:paraId="2614DF98" w14:textId="30730795" w:rsidR="00455E54" w:rsidRDefault="008648AF" w:rsidP="00C242B7">
      <w:pPr>
        <w:rPr>
          <w:rFonts w:cs="Times New Roman"/>
        </w:rPr>
      </w:pPr>
      <w:r>
        <w:rPr>
          <w:rFonts w:cs="Times New Roman"/>
        </w:rPr>
        <w:t>Smlouva kupní rozděluje konkrétní práva z vadného splnění podle jiného klíče než §</w:t>
      </w:r>
      <w:r w:rsidR="00957D87">
        <w:rPr>
          <w:rFonts w:cs="Times New Roman"/>
        </w:rPr>
        <w:t> </w:t>
      </w:r>
      <w:r>
        <w:rPr>
          <w:rFonts w:cs="Times New Roman"/>
        </w:rPr>
        <w:t>1923 ObčZ. Kritériem je na místo o</w:t>
      </w:r>
      <w:r w:rsidR="00640C80">
        <w:rPr>
          <w:rFonts w:cs="Times New Roman"/>
        </w:rPr>
        <w:t xml:space="preserve">dstranitelnosti vady </w:t>
      </w:r>
      <w:r w:rsidR="00DF3AC0">
        <w:rPr>
          <w:rFonts w:cs="Times New Roman"/>
        </w:rPr>
        <w:t xml:space="preserve">a nemožnosti řádného užívání </w:t>
      </w:r>
      <w:r w:rsidR="00640C80">
        <w:rPr>
          <w:rFonts w:cs="Times New Roman"/>
        </w:rPr>
        <w:t xml:space="preserve">to, </w:t>
      </w:r>
      <w:r w:rsidR="007D4E0F">
        <w:rPr>
          <w:rFonts w:cs="Times New Roman"/>
        </w:rPr>
        <w:t>zda je</w:t>
      </w:r>
      <w:r w:rsidR="00833341">
        <w:rPr>
          <w:rFonts w:cs="Times New Roman"/>
        </w:rPr>
        <w:t xml:space="preserve"> vadné splnění</w:t>
      </w:r>
      <w:r w:rsidR="00640C80">
        <w:rPr>
          <w:rFonts w:cs="Times New Roman"/>
        </w:rPr>
        <w:t xml:space="preserve"> </w:t>
      </w:r>
      <w:r w:rsidR="00833341">
        <w:rPr>
          <w:rFonts w:cs="Times New Roman"/>
        </w:rPr>
        <w:t>podstatným či nepodstatným</w:t>
      </w:r>
      <w:r>
        <w:rPr>
          <w:rFonts w:cs="Times New Roman"/>
        </w:rPr>
        <w:t xml:space="preserve"> porušení smlouvy.</w:t>
      </w:r>
      <w:r w:rsidR="0039024B">
        <w:rPr>
          <w:rFonts w:cs="Times New Roman"/>
        </w:rPr>
        <w:t xml:space="preserve"> </w:t>
      </w:r>
      <w:r w:rsidR="00957D87">
        <w:rPr>
          <w:rFonts w:cs="Times New Roman"/>
        </w:rPr>
        <w:t>Co je podstatné a co nepodstatné porušení smlouvy nám říká § 2002 odst. 1 ObčZ: „</w:t>
      </w:r>
      <w:r w:rsidR="00957D87" w:rsidRPr="00957D87">
        <w:rPr>
          <w:rFonts w:cs="Times New Roman"/>
          <w:i/>
        </w:rPr>
        <w:t>podstatné je takové porušení</w:t>
      </w:r>
      <w:r w:rsidR="00957D87">
        <w:rPr>
          <w:rFonts w:cs="Times New Roman"/>
        </w:rPr>
        <w:t xml:space="preserve"> </w:t>
      </w:r>
      <w:r w:rsidR="00957D87" w:rsidRPr="00957D87">
        <w:rPr>
          <w:rFonts w:cs="Times New Roman"/>
          <w:i/>
        </w:rPr>
        <w:t>povinnosti,</w:t>
      </w:r>
      <w:r w:rsidR="00957D87">
        <w:rPr>
          <w:rFonts w:cs="Times New Roman"/>
        </w:rPr>
        <w:t xml:space="preserve"> </w:t>
      </w:r>
      <w:r w:rsidR="00957D87">
        <w:rPr>
          <w:rFonts w:cs="Times New Roman"/>
          <w:i/>
        </w:rPr>
        <w:t>o němž strana porušující smlouvu již při uzavření smlouvy věděla nebo musela vědět, že by druhá strana smlouvu neuzavřela, pokud by t</w:t>
      </w:r>
      <w:r w:rsidR="00957D87" w:rsidRPr="00C242B7">
        <w:rPr>
          <w:rFonts w:cs="Times New Roman"/>
          <w:i/>
        </w:rPr>
        <w:t>oto porušení předvídala; v ostatních případech se má za to, že porušení podstatné není.</w:t>
      </w:r>
      <w:r w:rsidR="00957D87" w:rsidRPr="00C242B7">
        <w:rPr>
          <w:rFonts w:cs="Times New Roman"/>
        </w:rPr>
        <w:t>“</w:t>
      </w:r>
      <w:r w:rsidR="00985B05" w:rsidRPr="00C242B7">
        <w:rPr>
          <w:rFonts w:cs="Times New Roman"/>
        </w:rPr>
        <w:t xml:space="preserve"> </w:t>
      </w:r>
      <w:r w:rsidR="00C242B7" w:rsidRPr="00C242B7">
        <w:rPr>
          <w:rFonts w:cs="Times New Roman"/>
        </w:rPr>
        <w:t>J</w:t>
      </w:r>
      <w:r w:rsidR="005E5954">
        <w:rPr>
          <w:rFonts w:cs="Times New Roman"/>
        </w:rPr>
        <w:t xml:space="preserve">edná tedy o </w:t>
      </w:r>
      <w:r w:rsidR="00A10618" w:rsidRPr="00C242B7">
        <w:rPr>
          <w:rFonts w:cs="Times New Roman"/>
        </w:rPr>
        <w:t>hledisko</w:t>
      </w:r>
      <w:r w:rsidR="006E260B">
        <w:rPr>
          <w:rFonts w:cs="Times New Roman"/>
        </w:rPr>
        <w:t xml:space="preserve"> </w:t>
      </w:r>
      <w:r w:rsidR="007E21A4">
        <w:rPr>
          <w:rFonts w:cs="Times New Roman"/>
        </w:rPr>
        <w:t xml:space="preserve">subjektivní, avšak objektivizované a vázané </w:t>
      </w:r>
      <w:r w:rsidR="00A10618" w:rsidRPr="00C242B7">
        <w:rPr>
          <w:rFonts w:cs="Times New Roman"/>
        </w:rPr>
        <w:t>k okamžiku uzavření smlouvy.</w:t>
      </w:r>
      <w:r w:rsidR="006E260B">
        <w:rPr>
          <w:rStyle w:val="FootnoteReference"/>
          <w:rFonts w:cs="Times New Roman"/>
        </w:rPr>
        <w:footnoteReference w:id="126"/>
      </w:r>
      <w:r w:rsidR="00A10618">
        <w:rPr>
          <w:rFonts w:cs="Times New Roman"/>
        </w:rPr>
        <w:t xml:space="preserve"> </w:t>
      </w:r>
      <w:r w:rsidR="00455E54">
        <w:rPr>
          <w:rFonts w:cs="Times New Roman"/>
        </w:rPr>
        <w:t>V závislosti na tom, zda se tedy jedná o podstatné či nepodstatné porušení smlouvy, pak zákon odběrateli stanoví konkrétní práva z vadného splnění</w:t>
      </w:r>
      <w:r w:rsidR="00A55576">
        <w:rPr>
          <w:rFonts w:cs="Times New Roman"/>
        </w:rPr>
        <w:t>, přičemž volbu ponechává na něm</w:t>
      </w:r>
      <w:r w:rsidR="00C86F6B">
        <w:rPr>
          <w:rStyle w:val="FootnoteReference"/>
          <w:rFonts w:cs="Times New Roman"/>
        </w:rPr>
        <w:footnoteReference w:id="127"/>
      </w:r>
      <w:r w:rsidR="00E97CEF">
        <w:rPr>
          <w:rFonts w:cs="Times New Roman"/>
        </w:rPr>
        <w:t>.</w:t>
      </w:r>
    </w:p>
    <w:p w14:paraId="2996646E" w14:textId="72DB313C" w:rsidR="002457D1" w:rsidRDefault="00EF073A" w:rsidP="002457D1">
      <w:pPr>
        <w:rPr>
          <w:rFonts w:cs="Times New Roman"/>
        </w:rPr>
      </w:pPr>
      <w:r>
        <w:rPr>
          <w:rFonts w:cs="Times New Roman"/>
        </w:rPr>
        <w:t>Okruh práv</w:t>
      </w:r>
      <w:r w:rsidR="00A60D1D">
        <w:rPr>
          <w:rFonts w:cs="Times New Roman"/>
        </w:rPr>
        <w:t xml:space="preserve"> z podstatného porušení smlouvy</w:t>
      </w:r>
      <w:r w:rsidR="005D3088">
        <w:rPr>
          <w:rFonts w:cs="Times New Roman"/>
        </w:rPr>
        <w:t xml:space="preserve"> však </w:t>
      </w:r>
      <w:r>
        <w:rPr>
          <w:rFonts w:cs="Times New Roman"/>
        </w:rPr>
        <w:t>může být následně změněn</w:t>
      </w:r>
      <w:r w:rsidR="005D3088">
        <w:rPr>
          <w:rFonts w:cs="Times New Roman"/>
        </w:rPr>
        <w:t xml:space="preserve"> v důsledku zmeškání lhůty k jejich uplatnění.</w:t>
      </w:r>
      <w:r w:rsidR="00DD27D4">
        <w:rPr>
          <w:rStyle w:val="FootnoteReference"/>
          <w:rFonts w:cs="Times New Roman"/>
        </w:rPr>
        <w:footnoteReference w:id="128"/>
      </w:r>
      <w:r w:rsidR="009276E5">
        <w:rPr>
          <w:rFonts w:cs="Times New Roman"/>
        </w:rPr>
        <w:t xml:space="preserve"> Zákon totiž proti obecné úpravě navíc odběrateli stanoví lhůtu, v ní</w:t>
      </w:r>
      <w:r w:rsidR="00555B23">
        <w:rPr>
          <w:rFonts w:cs="Times New Roman"/>
        </w:rPr>
        <w:t>ž si musí konkrétní právo zvolit. Odběratel si musí právo zvoli</w:t>
      </w:r>
      <w:r w:rsidR="00D31BA1">
        <w:rPr>
          <w:rFonts w:cs="Times New Roman"/>
        </w:rPr>
        <w:t>t</w:t>
      </w:r>
      <w:r w:rsidR="009276E5">
        <w:rPr>
          <w:rFonts w:cs="Times New Roman"/>
        </w:rPr>
        <w:t xml:space="preserve"> k okamžiku vytknutí vady dodavateli, nejpozději však ve lhůtě bez zbytečného odkladu po tomto vytknutí.</w:t>
      </w:r>
      <w:r w:rsidR="009276E5">
        <w:rPr>
          <w:rStyle w:val="FootnoteReference"/>
          <w:rFonts w:cs="Times New Roman"/>
        </w:rPr>
        <w:footnoteReference w:id="129"/>
      </w:r>
      <w:r w:rsidR="00846634">
        <w:rPr>
          <w:rFonts w:cs="Times New Roman"/>
        </w:rPr>
        <w:t xml:space="preserve"> </w:t>
      </w:r>
      <w:r w:rsidR="00FF6E91">
        <w:rPr>
          <w:rFonts w:cs="Times New Roman"/>
        </w:rPr>
        <w:t>Zákon zřejmě tuto lhůtu stanovuje s</w:t>
      </w:r>
      <w:r w:rsidR="002341C6">
        <w:rPr>
          <w:rFonts w:cs="Times New Roman"/>
        </w:rPr>
        <w:t> ohledem na to</w:t>
      </w:r>
      <w:r w:rsidR="00FF6E91">
        <w:rPr>
          <w:rFonts w:cs="Times New Roman"/>
        </w:rPr>
        <w:t>, že v okamžiku zjištění vady a jejího bezodkladného oznámení dodavateli</w:t>
      </w:r>
      <w:r w:rsidR="002457D1">
        <w:rPr>
          <w:rFonts w:cs="Times New Roman"/>
        </w:rPr>
        <w:t>,</w:t>
      </w:r>
      <w:r w:rsidR="00FF6E91">
        <w:rPr>
          <w:rFonts w:cs="Times New Roman"/>
        </w:rPr>
        <w:t xml:space="preserve"> odbě</w:t>
      </w:r>
      <w:r w:rsidR="002341C6">
        <w:rPr>
          <w:rFonts w:cs="Times New Roman"/>
        </w:rPr>
        <w:t>ratel ještě nemusí</w:t>
      </w:r>
      <w:r w:rsidR="00D31BA1">
        <w:rPr>
          <w:rFonts w:cs="Times New Roman"/>
        </w:rPr>
        <w:t xml:space="preserve"> znát ani</w:t>
      </w:r>
      <w:r w:rsidR="002341C6">
        <w:rPr>
          <w:rFonts w:cs="Times New Roman"/>
        </w:rPr>
        <w:t xml:space="preserve"> rozsah, </w:t>
      </w:r>
      <w:r w:rsidR="00D31BA1">
        <w:rPr>
          <w:rFonts w:cs="Times New Roman"/>
        </w:rPr>
        <w:t xml:space="preserve">ani </w:t>
      </w:r>
      <w:r w:rsidR="002341C6">
        <w:rPr>
          <w:rFonts w:cs="Times New Roman"/>
        </w:rPr>
        <w:t xml:space="preserve">povahu </w:t>
      </w:r>
      <w:r w:rsidR="00FF6E91">
        <w:rPr>
          <w:rFonts w:cs="Times New Roman"/>
        </w:rPr>
        <w:t>této vady</w:t>
      </w:r>
      <w:r w:rsidR="00FF6E91" w:rsidRPr="00D31BA1">
        <w:rPr>
          <w:rFonts w:cs="Times New Roman"/>
        </w:rPr>
        <w:t xml:space="preserve">, </w:t>
      </w:r>
      <w:r w:rsidR="0023356C">
        <w:rPr>
          <w:rFonts w:cs="Times New Roman"/>
        </w:rPr>
        <w:t xml:space="preserve">resp. důsledky </w:t>
      </w:r>
      <w:r w:rsidR="00FF6E91" w:rsidRPr="00D31BA1">
        <w:rPr>
          <w:rFonts w:cs="Times New Roman"/>
        </w:rPr>
        <w:t xml:space="preserve">vady, což </w:t>
      </w:r>
      <w:r w:rsidR="004C44E2">
        <w:rPr>
          <w:rFonts w:cs="Times New Roman"/>
        </w:rPr>
        <w:t xml:space="preserve">vše </w:t>
      </w:r>
      <w:r w:rsidR="00FF6E91" w:rsidRPr="00D31BA1">
        <w:rPr>
          <w:rFonts w:cs="Times New Roman"/>
        </w:rPr>
        <w:t xml:space="preserve">může mít vliv na jeho </w:t>
      </w:r>
      <w:r w:rsidR="00D31BA1" w:rsidRPr="00D31BA1">
        <w:rPr>
          <w:rFonts w:cs="Times New Roman"/>
        </w:rPr>
        <w:t>volbu</w:t>
      </w:r>
      <w:r w:rsidR="00FF6E91" w:rsidRPr="00D31BA1">
        <w:rPr>
          <w:rFonts w:cs="Times New Roman"/>
        </w:rPr>
        <w:t>.</w:t>
      </w:r>
      <w:r w:rsidR="002457D1">
        <w:rPr>
          <w:rFonts w:cs="Times New Roman"/>
        </w:rPr>
        <w:t xml:space="preserve"> </w:t>
      </w:r>
      <w:r w:rsidR="008E060B">
        <w:rPr>
          <w:rFonts w:cs="Times New Roman"/>
        </w:rPr>
        <w:t xml:space="preserve">Zmešká-li tuto lhůtu, pak </w:t>
      </w:r>
      <w:r w:rsidR="004C44E2">
        <w:rPr>
          <w:rFonts w:cs="Times New Roman"/>
        </w:rPr>
        <w:t xml:space="preserve">má odběratel práva jako při nepodstatném porušení smlouvy, a tedy </w:t>
      </w:r>
      <w:r w:rsidR="008E060B">
        <w:rPr>
          <w:rFonts w:cs="Times New Roman"/>
        </w:rPr>
        <w:t>ztrácí právo</w:t>
      </w:r>
      <w:r w:rsidR="004C44E2">
        <w:rPr>
          <w:rFonts w:cs="Times New Roman"/>
        </w:rPr>
        <w:t xml:space="preserve"> odstoupit</w:t>
      </w:r>
      <w:r w:rsidR="009D5852">
        <w:rPr>
          <w:rFonts w:cs="Times New Roman"/>
        </w:rPr>
        <w:t xml:space="preserve"> od smlouvy</w:t>
      </w:r>
      <w:r w:rsidR="004C44E2">
        <w:rPr>
          <w:rStyle w:val="FootnoteReference"/>
          <w:rFonts w:cs="Times New Roman"/>
        </w:rPr>
        <w:footnoteReference w:id="130"/>
      </w:r>
      <w:r w:rsidR="009D5852">
        <w:rPr>
          <w:rFonts w:cs="Times New Roman"/>
        </w:rPr>
        <w:t>.</w:t>
      </w:r>
    </w:p>
    <w:p w14:paraId="3F0C85F6" w14:textId="2E7FEA41" w:rsidR="005D3088" w:rsidRDefault="005A3123" w:rsidP="0036583C">
      <w:pPr>
        <w:rPr>
          <w:rFonts w:cs="Times New Roman"/>
        </w:rPr>
      </w:pPr>
      <w:r>
        <w:rPr>
          <w:rFonts w:cs="Times New Roman"/>
        </w:rPr>
        <w:t xml:space="preserve">Zákon tedy v případě podstatného porušení smlouvy stanoví odběrateli </w:t>
      </w:r>
      <w:r w:rsidR="00310B3A">
        <w:rPr>
          <w:rFonts w:cs="Times New Roman"/>
        </w:rPr>
        <w:t>právo na</w:t>
      </w:r>
      <w:r>
        <w:rPr>
          <w:rFonts w:cs="Times New Roman"/>
        </w:rPr>
        <w:t>:</w:t>
      </w:r>
    </w:p>
    <w:p w14:paraId="6CE8C101" w14:textId="6BCD7F61" w:rsidR="00310B3A" w:rsidRDefault="005A3123" w:rsidP="005A3123">
      <w:pPr>
        <w:pStyle w:val="ListParagraph"/>
        <w:numPr>
          <w:ilvl w:val="0"/>
          <w:numId w:val="17"/>
        </w:numPr>
        <w:rPr>
          <w:rFonts w:cs="Times New Roman"/>
        </w:rPr>
      </w:pPr>
      <w:r>
        <w:rPr>
          <w:rFonts w:cs="Times New Roman"/>
        </w:rPr>
        <w:t>odstranění vady dodáním nové věci bez vady nebo dodáním chybějící věci</w:t>
      </w:r>
      <w:r w:rsidR="00310B3A">
        <w:rPr>
          <w:rFonts w:cs="Times New Roman"/>
        </w:rPr>
        <w:t>,</w:t>
      </w:r>
      <w:r w:rsidR="009B20CE">
        <w:rPr>
          <w:rStyle w:val="FootnoteReference"/>
          <w:rFonts w:cs="Times New Roman"/>
        </w:rPr>
        <w:footnoteReference w:id="131"/>
      </w:r>
    </w:p>
    <w:p w14:paraId="3914F715" w14:textId="45D8852F" w:rsidR="00310B3A" w:rsidRDefault="00310B3A" w:rsidP="005A3123">
      <w:pPr>
        <w:pStyle w:val="ListParagraph"/>
        <w:numPr>
          <w:ilvl w:val="0"/>
          <w:numId w:val="17"/>
        </w:numPr>
        <w:rPr>
          <w:rFonts w:cs="Times New Roman"/>
        </w:rPr>
      </w:pPr>
      <w:r>
        <w:rPr>
          <w:rFonts w:cs="Times New Roman"/>
        </w:rPr>
        <w:t>odstranění vady opravou věci</w:t>
      </w:r>
      <w:r w:rsidR="004D7773">
        <w:rPr>
          <w:rFonts w:cs="Times New Roman"/>
        </w:rPr>
        <w:t>,</w:t>
      </w:r>
    </w:p>
    <w:p w14:paraId="24F0E804" w14:textId="6F31C18E" w:rsidR="00310B3A" w:rsidRDefault="00310B3A" w:rsidP="005A3123">
      <w:pPr>
        <w:pStyle w:val="ListParagraph"/>
        <w:numPr>
          <w:ilvl w:val="0"/>
          <w:numId w:val="17"/>
        </w:numPr>
        <w:rPr>
          <w:rFonts w:cs="Times New Roman"/>
        </w:rPr>
      </w:pPr>
      <w:r>
        <w:rPr>
          <w:rFonts w:cs="Times New Roman"/>
        </w:rPr>
        <w:t>přiměřenou slevu z ceny díla</w:t>
      </w:r>
      <w:r w:rsidR="00E97CEF">
        <w:rPr>
          <w:rFonts w:cs="Times New Roman"/>
        </w:rPr>
        <w:t>,</w:t>
      </w:r>
    </w:p>
    <w:p w14:paraId="0BEDC8BC" w14:textId="664881C2" w:rsidR="005A3123" w:rsidRDefault="00310B3A" w:rsidP="005A3123">
      <w:pPr>
        <w:pStyle w:val="ListParagraph"/>
        <w:numPr>
          <w:ilvl w:val="0"/>
          <w:numId w:val="17"/>
        </w:numPr>
        <w:rPr>
          <w:rFonts w:cs="Times New Roman"/>
        </w:rPr>
      </w:pPr>
      <w:r>
        <w:rPr>
          <w:rFonts w:cs="Times New Roman"/>
        </w:rPr>
        <w:t>odstoupení od smlouvy.</w:t>
      </w:r>
    </w:p>
    <w:p w14:paraId="0DE12E35" w14:textId="0C3AD5EA" w:rsidR="00310B3A" w:rsidRDefault="00A33FCA" w:rsidP="00310B3A">
      <w:pPr>
        <w:rPr>
          <w:rFonts w:cs="Times New Roman"/>
        </w:rPr>
      </w:pPr>
      <w:r>
        <w:rPr>
          <w:rFonts w:cs="Times New Roman"/>
        </w:rPr>
        <w:lastRenderedPageBreak/>
        <w:t>V případě</w:t>
      </w:r>
      <w:r w:rsidR="00310B3A">
        <w:rPr>
          <w:rFonts w:cs="Times New Roman"/>
        </w:rPr>
        <w:t xml:space="preserve"> nepodstatné</w:t>
      </w:r>
      <w:r>
        <w:rPr>
          <w:rFonts w:cs="Times New Roman"/>
        </w:rPr>
        <w:t>ho</w:t>
      </w:r>
      <w:r w:rsidR="00F83CD0">
        <w:rPr>
          <w:rFonts w:cs="Times New Roman"/>
        </w:rPr>
        <w:t xml:space="preserve"> porušení smlouvy či</w:t>
      </w:r>
      <w:r w:rsidR="00310B3A">
        <w:rPr>
          <w:rFonts w:cs="Times New Roman"/>
        </w:rPr>
        <w:t xml:space="preserve"> </w:t>
      </w:r>
      <w:r>
        <w:rPr>
          <w:rFonts w:cs="Times New Roman"/>
        </w:rPr>
        <w:t>neuplatnění práva</w:t>
      </w:r>
      <w:r w:rsidR="00310B3A">
        <w:rPr>
          <w:rFonts w:cs="Times New Roman"/>
        </w:rPr>
        <w:t xml:space="preserve"> včas, pak má odběratel právo</w:t>
      </w:r>
      <w:r w:rsidR="005C295B">
        <w:rPr>
          <w:rFonts w:cs="Times New Roman"/>
        </w:rPr>
        <w:t xml:space="preserve"> na</w:t>
      </w:r>
      <w:r w:rsidR="00310B3A">
        <w:rPr>
          <w:rFonts w:cs="Times New Roman"/>
        </w:rPr>
        <w:t>:</w:t>
      </w:r>
    </w:p>
    <w:p w14:paraId="7AF01B84" w14:textId="086DF592" w:rsidR="00310B3A" w:rsidRDefault="005C295B" w:rsidP="00310B3A">
      <w:pPr>
        <w:pStyle w:val="ListParagraph"/>
        <w:numPr>
          <w:ilvl w:val="0"/>
          <w:numId w:val="17"/>
        </w:numPr>
        <w:rPr>
          <w:rFonts w:cs="Times New Roman"/>
        </w:rPr>
      </w:pPr>
      <w:r>
        <w:rPr>
          <w:rFonts w:cs="Times New Roman"/>
        </w:rPr>
        <w:t>odstranění vady,</w:t>
      </w:r>
    </w:p>
    <w:p w14:paraId="55C0DDFD" w14:textId="730E9EBE" w:rsidR="005C295B" w:rsidRDefault="005C295B" w:rsidP="00310B3A">
      <w:pPr>
        <w:pStyle w:val="ListParagraph"/>
        <w:numPr>
          <w:ilvl w:val="0"/>
          <w:numId w:val="17"/>
        </w:numPr>
        <w:rPr>
          <w:rFonts w:cs="Times New Roman"/>
        </w:rPr>
      </w:pPr>
      <w:r>
        <w:rPr>
          <w:rFonts w:cs="Times New Roman"/>
        </w:rPr>
        <w:t>přiměřenou slevu z ceny díla,</w:t>
      </w:r>
    </w:p>
    <w:p w14:paraId="2F44C7A7" w14:textId="77777777" w:rsidR="00122F9B" w:rsidRDefault="005C295B" w:rsidP="005C295B">
      <w:pPr>
        <w:rPr>
          <w:rFonts w:cs="Times New Roman"/>
        </w:rPr>
      </w:pPr>
      <w:r>
        <w:rPr>
          <w:rFonts w:cs="Times New Roman"/>
        </w:rPr>
        <w:t xml:space="preserve">Jestli dodavatel neodstraní vadu věci včas nebo vadu věci odmítne odstranit, může </w:t>
      </w:r>
      <w:r w:rsidR="00122F9B">
        <w:rPr>
          <w:rFonts w:cs="Times New Roman"/>
        </w:rPr>
        <w:t>odběratel požadovat:</w:t>
      </w:r>
    </w:p>
    <w:p w14:paraId="48CA4D12" w14:textId="672F6B04" w:rsidR="00122F9B" w:rsidRDefault="00E97CEF" w:rsidP="00122F9B">
      <w:pPr>
        <w:pStyle w:val="ListParagraph"/>
        <w:numPr>
          <w:ilvl w:val="0"/>
          <w:numId w:val="17"/>
        </w:numPr>
        <w:rPr>
          <w:rFonts w:cs="Times New Roman"/>
        </w:rPr>
      </w:pPr>
      <w:r>
        <w:rPr>
          <w:rFonts w:cs="Times New Roman"/>
        </w:rPr>
        <w:t>slevu z ceny díla,</w:t>
      </w:r>
    </w:p>
    <w:p w14:paraId="112C7EF1" w14:textId="4D095BC7" w:rsidR="005C295B" w:rsidRDefault="005C295B" w:rsidP="00122F9B">
      <w:pPr>
        <w:pStyle w:val="ListParagraph"/>
        <w:numPr>
          <w:ilvl w:val="0"/>
          <w:numId w:val="17"/>
        </w:numPr>
        <w:rPr>
          <w:rFonts w:cs="Times New Roman"/>
        </w:rPr>
      </w:pPr>
      <w:r w:rsidRPr="00122F9B">
        <w:rPr>
          <w:rFonts w:cs="Times New Roman"/>
        </w:rPr>
        <w:t>od smlouvy odstoupit.</w:t>
      </w:r>
    </w:p>
    <w:p w14:paraId="1BBDD0F4" w14:textId="38583C16" w:rsidR="00C522A7" w:rsidRDefault="00841FD0" w:rsidP="00C522A7">
      <w:r>
        <w:t>Přiměřená sleva je poskytována v závislosti na jednotlivých případech</w:t>
      </w:r>
      <w:r w:rsidR="00D349EB">
        <w:t>, nicméně by měla v</w:t>
      </w:r>
      <w:r>
        <w:t xml:space="preserve"> </w:t>
      </w:r>
      <w:r w:rsidR="00D349EB">
        <w:t xml:space="preserve">odpovídat </w:t>
      </w:r>
      <w:r w:rsidRPr="00D349EB">
        <w:t>hodnotě, o níž se celková hodnota díla sníží v důsledku přítomnosti vady.</w:t>
      </w:r>
      <w:r w:rsidR="00D349EB">
        <w:rPr>
          <w:rStyle w:val="FootnoteReference"/>
        </w:rPr>
        <w:footnoteReference w:id="132"/>
      </w:r>
      <w:r w:rsidR="00D349EB">
        <w:t xml:space="preserve"> Konkrétní výši je nutno zkoumat jak s ohledem na závažnost vady, tak na další okolnosti případu. Účelem slevy z ceny díla však je vyrovnat nepoměr, který vznikne mezi zaplacenou cenou a skutečným stavem.</w:t>
      </w:r>
      <w:r w:rsidR="00D349EB">
        <w:rPr>
          <w:rStyle w:val="FootnoteReference"/>
          <w:rFonts w:cs="Times New Roman"/>
        </w:rPr>
        <w:footnoteReference w:id="133"/>
      </w:r>
    </w:p>
    <w:p w14:paraId="2C05FBF3" w14:textId="6D6461AF" w:rsidR="00C522A7" w:rsidRDefault="00D14008" w:rsidP="00C522A7">
      <w:r>
        <w:t>Cílem</w:t>
      </w:r>
      <w:r w:rsidR="00C522A7">
        <w:t xml:space="preserve"> odstranění vady je uvedení do</w:t>
      </w:r>
      <w:r>
        <w:t xml:space="preserve"> stavu, který odpovídá řádnému splnění</w:t>
      </w:r>
      <w:r w:rsidR="00C522A7">
        <w:t>.</w:t>
      </w:r>
      <w:r w:rsidR="00C844D2">
        <w:rPr>
          <w:rStyle w:val="FootnoteReference"/>
          <w:rFonts w:cs="Times New Roman"/>
        </w:rPr>
        <w:footnoteReference w:id="134"/>
      </w:r>
      <w:r w:rsidR="00C522A7">
        <w:t xml:space="preserve"> </w:t>
      </w:r>
      <w:r w:rsidR="00C844D2">
        <w:t>Zatímco v případě podstatného porušení je volba způsobu opravení na odběrateli, a ten se tak může rozhodnout pro dodání nové či chybějí věci, resp. opravu věci, v případě nepodstatného porušení volí způsob opravy dodavatel. Tato volba nesmí odběrateli způsobit nepřiměřené náklady.</w:t>
      </w:r>
      <w:r w:rsidR="00C844D2">
        <w:rPr>
          <w:rStyle w:val="FootnoteReference"/>
        </w:rPr>
        <w:footnoteReference w:id="135"/>
      </w:r>
    </w:p>
    <w:p w14:paraId="7B12C911" w14:textId="2A50899A" w:rsidR="004A7C68" w:rsidRDefault="00757CB7" w:rsidP="00C522A7">
      <w:r>
        <w:t xml:space="preserve">Odstoupení od smlouvy má </w:t>
      </w:r>
      <w:r w:rsidR="009C039C">
        <w:t xml:space="preserve">pak ty </w:t>
      </w:r>
      <w:r>
        <w:t>nejzávažnější důsledky, když jeho uplatněním dochází ke zrušení celé smlouvy s účinky od počátku.</w:t>
      </w:r>
      <w:r w:rsidR="004A7C68">
        <w:rPr>
          <w:rStyle w:val="FootnoteReference"/>
          <w:rFonts w:cs="Times New Roman"/>
        </w:rPr>
        <w:footnoteReference w:id="136"/>
      </w:r>
    </w:p>
    <w:p w14:paraId="76566CC7" w14:textId="02EA0458" w:rsidR="00EA0F81" w:rsidRPr="00EA0F81" w:rsidRDefault="00C81A0C" w:rsidP="00EA0F81">
      <w:pPr>
        <w:rPr>
          <w:rFonts w:cs="Times New Roman"/>
        </w:rPr>
      </w:pPr>
      <w:r>
        <w:rPr>
          <w:rFonts w:cs="Times New Roman"/>
        </w:rPr>
        <w:t>Dalším z</w:t>
      </w:r>
      <w:r w:rsidR="00EA0F81">
        <w:rPr>
          <w:rFonts w:cs="Times New Roman"/>
        </w:rPr>
        <w:t>vláštním právem z vadného splnění je tzv. zádržné</w:t>
      </w:r>
      <w:r>
        <w:rPr>
          <w:rFonts w:cs="Times New Roman"/>
        </w:rPr>
        <w:t xml:space="preserve"> dle § 2108 ObčZ</w:t>
      </w:r>
      <w:r w:rsidR="00EA0F81">
        <w:rPr>
          <w:rFonts w:cs="Times New Roman"/>
        </w:rPr>
        <w:t xml:space="preserve">, o němž bylo již částečně pojednáno výše. </w:t>
      </w:r>
      <w:r w:rsidR="00070CAE">
        <w:rPr>
          <w:rFonts w:cs="Times New Roman"/>
        </w:rPr>
        <w:t>S</w:t>
      </w:r>
      <w:r w:rsidR="00300A0A">
        <w:rPr>
          <w:rFonts w:cs="Times New Roman"/>
        </w:rPr>
        <w:t xml:space="preserve">trany </w:t>
      </w:r>
      <w:r w:rsidR="00070CAE">
        <w:rPr>
          <w:rFonts w:cs="Times New Roman"/>
        </w:rPr>
        <w:t xml:space="preserve">si mohou </w:t>
      </w:r>
      <w:r w:rsidR="00300A0A">
        <w:rPr>
          <w:rFonts w:cs="Times New Roman"/>
        </w:rPr>
        <w:t>zádržné</w:t>
      </w:r>
      <w:r w:rsidR="00070CAE">
        <w:rPr>
          <w:rFonts w:cs="Times New Roman"/>
        </w:rPr>
        <w:t xml:space="preserve"> dále smluvně modifikovat. Jednak </w:t>
      </w:r>
      <w:r w:rsidR="00300A0A">
        <w:rPr>
          <w:rFonts w:cs="Times New Roman"/>
        </w:rPr>
        <w:t xml:space="preserve">je </w:t>
      </w:r>
      <w:r w:rsidR="00070CAE">
        <w:rPr>
          <w:rFonts w:cs="Times New Roman"/>
        </w:rPr>
        <w:t xml:space="preserve">vhodné </w:t>
      </w:r>
      <w:r w:rsidR="00300A0A">
        <w:rPr>
          <w:rFonts w:cs="Times New Roman"/>
        </w:rPr>
        <w:t xml:space="preserve">si stanovit </w:t>
      </w:r>
      <w:r w:rsidR="00070CAE">
        <w:rPr>
          <w:rFonts w:cs="Times New Roman"/>
        </w:rPr>
        <w:t xml:space="preserve">přesnou </w:t>
      </w:r>
      <w:r w:rsidR="00300A0A">
        <w:rPr>
          <w:rFonts w:cs="Times New Roman"/>
        </w:rPr>
        <w:t xml:space="preserve">výši zádržného, </w:t>
      </w:r>
      <w:r w:rsidR="00070CAE">
        <w:rPr>
          <w:rFonts w:cs="Times New Roman"/>
        </w:rPr>
        <w:t>jednak</w:t>
      </w:r>
      <w:r w:rsidR="00300A0A">
        <w:rPr>
          <w:rFonts w:cs="Times New Roman"/>
        </w:rPr>
        <w:t xml:space="preserve"> okamžik, kdy dodavateli vznikne právo na zaplacení zbývající části ceny díla odpovídající výši zádržného.</w:t>
      </w:r>
      <w:r w:rsidR="00DB623A">
        <w:rPr>
          <w:rFonts w:cs="Times New Roman"/>
        </w:rPr>
        <w:t xml:space="preserve"> Zákon stanovuje možnost zadržet část platby až do okamžiku odstranění vady. V praxi však může být</w:t>
      </w:r>
      <w:r w:rsidR="00B778D8">
        <w:rPr>
          <w:rFonts w:cs="Times New Roman"/>
        </w:rPr>
        <w:t xml:space="preserve"> častější situace, kdy se vada, </w:t>
      </w:r>
      <w:r w:rsidR="00DB623A">
        <w:rPr>
          <w:rFonts w:cs="Times New Roman"/>
        </w:rPr>
        <w:t>byť existovala v okamžiku převzetí díla</w:t>
      </w:r>
      <w:r w:rsidR="00B778D8">
        <w:rPr>
          <w:rFonts w:cs="Times New Roman"/>
        </w:rPr>
        <w:t xml:space="preserve">, </w:t>
      </w:r>
      <w:r w:rsidR="00B778D8" w:rsidRPr="00B778D8">
        <w:rPr>
          <w:rFonts w:cs="Times New Roman"/>
        </w:rPr>
        <w:t xml:space="preserve">projeví </w:t>
      </w:r>
      <w:r w:rsidR="00DB623A" w:rsidRPr="00B778D8">
        <w:rPr>
          <w:rFonts w:cs="Times New Roman"/>
        </w:rPr>
        <w:t>až po úplném zaplacení</w:t>
      </w:r>
      <w:r w:rsidR="00DB623A">
        <w:rPr>
          <w:rFonts w:cs="Times New Roman"/>
        </w:rPr>
        <w:t xml:space="preserve"> ceny za dílo. V takovém případě již takto stanovené zádržné nemá příliš smysl. </w:t>
      </w:r>
      <w:r w:rsidR="00277608">
        <w:rPr>
          <w:rFonts w:cs="Times New Roman"/>
        </w:rPr>
        <w:t xml:space="preserve">Proto je vhodné okamžik, k němuž vznikne odběrateli povinnost </w:t>
      </w:r>
      <w:r w:rsidR="00290DB9">
        <w:rPr>
          <w:rFonts w:cs="Times New Roman"/>
        </w:rPr>
        <w:t xml:space="preserve">zaplatit dodavateli zádržné, navázat na </w:t>
      </w:r>
      <w:r w:rsidR="00290DB9">
        <w:rPr>
          <w:rFonts w:cs="Times New Roman"/>
        </w:rPr>
        <w:lastRenderedPageBreak/>
        <w:t xml:space="preserve">uplynutí doby, kdy již bude zřejmé, že je plnění </w:t>
      </w:r>
      <w:r w:rsidR="004D7773">
        <w:rPr>
          <w:rFonts w:cs="Times New Roman"/>
        </w:rPr>
        <w:t>skutečně</w:t>
      </w:r>
      <w:r w:rsidR="00290DB9">
        <w:rPr>
          <w:rFonts w:cs="Times New Roman"/>
        </w:rPr>
        <w:t xml:space="preserve"> řádné, příp. na uplynutí záruční doby.</w:t>
      </w:r>
      <w:r w:rsidR="00F706CC">
        <w:rPr>
          <w:rStyle w:val="FootnoteReference"/>
          <w:rFonts w:cs="Times New Roman"/>
        </w:rPr>
        <w:footnoteReference w:id="137"/>
      </w:r>
    </w:p>
    <w:p w14:paraId="28D51C7C" w14:textId="69D918F9" w:rsidR="00276C24" w:rsidRDefault="00276C24" w:rsidP="00276C24">
      <w:r>
        <w:t xml:space="preserve">Na závěr, byť systematicky zařazeno v obecných ustanoveních o právech a povinnostech z vadného splnění, je nutno </w:t>
      </w:r>
      <w:r w:rsidR="00F706CC">
        <w:t>pojednat o právu</w:t>
      </w:r>
      <w:r>
        <w:t xml:space="preserve"> na náhradu nákladů účelně vynaložených při uplatnění práv z vadného splnění. </w:t>
      </w:r>
      <w:r w:rsidR="00157030">
        <w:t xml:space="preserve">V souvislosti s uplatňováním práv z vadného splnění budou někdy odběrateli vznikat určité náklady, </w:t>
      </w:r>
      <w:r w:rsidR="00A755D0">
        <w:t xml:space="preserve">ať už </w:t>
      </w:r>
      <w:r w:rsidR="00D2045F">
        <w:t>náklady</w:t>
      </w:r>
      <w:r w:rsidR="00105199">
        <w:t xml:space="preserve"> v souvislosti s informační povinností odběratele</w:t>
      </w:r>
      <w:r w:rsidR="00D2045F">
        <w:t xml:space="preserve"> </w:t>
      </w:r>
      <w:r w:rsidR="00105199">
        <w:t xml:space="preserve">(např. </w:t>
      </w:r>
      <w:r w:rsidR="00157030">
        <w:t xml:space="preserve">na odeslání doporučeného psaní adresovaného </w:t>
      </w:r>
      <w:r w:rsidR="00D2045F">
        <w:t>dodavateli</w:t>
      </w:r>
      <w:r w:rsidR="00105199">
        <w:t>)</w:t>
      </w:r>
      <w:r w:rsidR="00D2045F">
        <w:t xml:space="preserve">, </w:t>
      </w:r>
      <w:r w:rsidR="00105199">
        <w:t xml:space="preserve">tak </w:t>
      </w:r>
      <w:r w:rsidR="00D2045F">
        <w:t>náklady v souvislosti s manipulační povinností odběratele</w:t>
      </w:r>
      <w:r w:rsidR="00D2045F">
        <w:rPr>
          <w:rStyle w:val="FootnoteReference"/>
        </w:rPr>
        <w:footnoteReference w:id="138"/>
      </w:r>
      <w:r w:rsidR="00105199">
        <w:t>.</w:t>
      </w:r>
      <w:r w:rsidR="00A755D0">
        <w:t xml:space="preserve"> </w:t>
      </w:r>
      <w:r w:rsidR="00105199">
        <w:t>Lze si však představit i případný spor mezi</w:t>
      </w:r>
      <w:r w:rsidR="00BC1EED">
        <w:t xml:space="preserve"> odběratelem a dodavatelem o tom, zda </w:t>
      </w:r>
      <w:r w:rsidR="003C1164">
        <w:t xml:space="preserve">skutečně </w:t>
      </w:r>
      <w:r w:rsidR="000942CB">
        <w:t>dodavatel vadně splnil své dílo</w:t>
      </w:r>
      <w:r w:rsidR="00CB0445">
        <w:t xml:space="preserve">. </w:t>
      </w:r>
      <w:r w:rsidR="00E46385">
        <w:t>K rozřešení těchto sporů si strany mohou nechat vypracovat odborná posouzení či dokonce znalecké posudky</w:t>
      </w:r>
      <w:r w:rsidR="00FB59CA" w:rsidRPr="00567FAB">
        <w:rPr>
          <w:rStyle w:val="FootnoteReference"/>
        </w:rPr>
        <w:footnoteReference w:id="139"/>
      </w:r>
      <w:r w:rsidR="00E46385">
        <w:t xml:space="preserve">, které </w:t>
      </w:r>
      <w:r w:rsidR="004D7773">
        <w:t>jsou</w:t>
      </w:r>
      <w:r w:rsidR="0058516E">
        <w:t xml:space="preserve"> často </w:t>
      </w:r>
      <w:r w:rsidR="004D7773">
        <w:t xml:space="preserve">spojeny s velmi vysokými </w:t>
      </w:r>
      <w:r w:rsidR="0058516E">
        <w:t xml:space="preserve">náklady. Budou-li však tyto náklady účelně vynaložené, pak může odběratel po dodavateli žádat jejich náhradu. </w:t>
      </w:r>
      <w:r w:rsidR="0052266F">
        <w:t xml:space="preserve">Nárok odběratele je stejně jako v případě vzniku práv z vadného splnění podmíněn včasným uplatněním u druhé strany. Odběratel tak musí učinit do jednoho měsíce po uplynutí lhůty, ve které je třeba vytknout vadu, jinak mu soud právo k námitce dodavatele nepřizná. </w:t>
      </w:r>
    </w:p>
    <w:p w14:paraId="0F92223A" w14:textId="652437BA" w:rsidR="00A76B99" w:rsidRPr="00567FAB" w:rsidRDefault="00A76B99" w:rsidP="00276C24">
      <w:r>
        <w:t xml:space="preserve">Velmi praktickým je toto ustanovení ve vícestupňových dodavatelsko-odběratelských vztazích. </w:t>
      </w:r>
      <w:r w:rsidR="00A666B0">
        <w:t>Na základ</w:t>
      </w:r>
      <w:r w:rsidR="00B44ED5">
        <w:t xml:space="preserve">ě smlouvy o dílo mezi hlavním dodavatelem a subdodavatelem vystupuje hlavní dodavatel v pozici odběratele a subdodavatel v pozici dodavatele. I zde se uplatní výše zmíněné o vadném splnění a i zde bude mít hlavní dodavatel právo uplatnit náhradu účelně vynaložených nákladů v souvislosti s uplatňováním svých práv. </w:t>
      </w:r>
      <w:r w:rsidR="002C5D75">
        <w:t xml:space="preserve">Významnější však toto ustanovení bude ve chvíli, kdy hlavní dodavatel bude </w:t>
      </w:r>
      <w:r w:rsidR="002C5D75" w:rsidRPr="001F4A6F">
        <w:t>mít nasmlouvané dva či více</w:t>
      </w:r>
      <w:r w:rsidR="002C5D75">
        <w:t xml:space="preserve"> subdodavatelů, z nichž každý se bude částečně podílet na zhotovení konečného díla. Mnohdy pak může být v důsledku technické náročnosti složité prokázat, který ze subdodavatelů </w:t>
      </w:r>
      <w:r w:rsidR="00BA373B">
        <w:t xml:space="preserve">a v jaké míře </w:t>
      </w:r>
      <w:r w:rsidR="002C5D75">
        <w:t>porušil svoji povinnost splnit část díla řádně. Právě k</w:t>
      </w:r>
      <w:r w:rsidR="00FB59CA">
        <w:t xml:space="preserve"> prokázání, kterému subjektu povinnosti z vadného splnění náleží </w:t>
      </w:r>
      <w:r w:rsidR="00C42FB3">
        <w:t xml:space="preserve">pak dodavatel </w:t>
      </w:r>
      <w:r w:rsidR="00FB59CA">
        <w:t xml:space="preserve">může využít </w:t>
      </w:r>
      <w:r w:rsidR="001C18E8">
        <w:t xml:space="preserve">odborné posouzení či </w:t>
      </w:r>
      <w:r w:rsidR="00FB59CA">
        <w:t>znalecký posudek</w:t>
      </w:r>
      <w:r w:rsidR="00FB59CA" w:rsidRPr="00567FAB">
        <w:t>. Tento subjekt pak nejen</w:t>
      </w:r>
      <w:r w:rsidR="00FB59CA">
        <w:t xml:space="preserve"> že</w:t>
      </w:r>
      <w:r w:rsidR="00FB59CA" w:rsidRPr="00567FAB">
        <w:t xml:space="preserve"> ponese</w:t>
      </w:r>
      <w:r w:rsidR="00BB62CB">
        <w:rPr>
          <w:rStyle w:val="FootnoteReference"/>
        </w:rPr>
        <w:footnoteReference w:id="140"/>
      </w:r>
      <w:r w:rsidR="00FB59CA" w:rsidRPr="00567FAB">
        <w:t xml:space="preserve"> náklady za takový znalecký posudek včetně všech ostatních účelně vynaložených nákladů, ale také na jeho základě bude prokázáno, že porušil své smluvní povinnosti vůči hlavnímu dodavateli</w:t>
      </w:r>
      <w:r w:rsidR="00BB62CB">
        <w:t>, což může implikovat další právní následky</w:t>
      </w:r>
      <w:r w:rsidR="00FB59CA" w:rsidRPr="00567FAB">
        <w:t>.</w:t>
      </w:r>
      <w:r w:rsidR="000709AE">
        <w:t xml:space="preserve"> </w:t>
      </w:r>
    </w:p>
    <w:p w14:paraId="47081A61" w14:textId="271C2769" w:rsidR="009F5494" w:rsidRPr="009F5494" w:rsidRDefault="0036583C" w:rsidP="005A6E29">
      <w:pPr>
        <w:pStyle w:val="Heading3"/>
      </w:pPr>
      <w:bookmarkStart w:id="65" w:name="_Toc460832704"/>
      <w:r>
        <w:lastRenderedPageBreak/>
        <w:t>Stavební díla</w:t>
      </w:r>
      <w:bookmarkEnd w:id="65"/>
    </w:p>
    <w:p w14:paraId="09CE15C5" w14:textId="0203A702" w:rsidR="0083270E" w:rsidRDefault="005A6E29" w:rsidP="00900028">
      <w:pPr>
        <w:rPr>
          <w:rFonts w:cs="Times New Roman"/>
        </w:rPr>
      </w:pPr>
      <w:bookmarkStart w:id="66" w:name="_Toc442203409"/>
      <w:bookmarkStart w:id="67" w:name="_Toc442203486"/>
      <w:bookmarkEnd w:id="58"/>
      <w:bookmarkEnd w:id="59"/>
      <w:r>
        <w:rPr>
          <w:rFonts w:cs="Times New Roman"/>
        </w:rPr>
        <w:t xml:space="preserve">Již tak </w:t>
      </w:r>
      <w:r w:rsidR="0068303A">
        <w:rPr>
          <w:rFonts w:cs="Times New Roman"/>
        </w:rPr>
        <w:t xml:space="preserve">dosti </w:t>
      </w:r>
      <w:r>
        <w:rPr>
          <w:rFonts w:cs="Times New Roman"/>
        </w:rPr>
        <w:t>pr</w:t>
      </w:r>
      <w:r w:rsidR="0068303A">
        <w:rPr>
          <w:rFonts w:cs="Times New Roman"/>
        </w:rPr>
        <w:t xml:space="preserve">oblematický § 2630 ObčZ </w:t>
      </w:r>
      <w:r w:rsidR="00156CC4">
        <w:rPr>
          <w:rFonts w:cs="Times New Roman"/>
        </w:rPr>
        <w:t xml:space="preserve">vnáší </w:t>
      </w:r>
      <w:r w:rsidR="0068303A">
        <w:rPr>
          <w:rFonts w:cs="Times New Roman"/>
        </w:rPr>
        <w:t xml:space="preserve">nejasnosti </w:t>
      </w:r>
      <w:r w:rsidR="000777CB">
        <w:rPr>
          <w:rFonts w:cs="Times New Roman"/>
        </w:rPr>
        <w:t xml:space="preserve">i </w:t>
      </w:r>
      <w:r w:rsidR="0068303A">
        <w:rPr>
          <w:rFonts w:cs="Times New Roman"/>
        </w:rPr>
        <w:t xml:space="preserve">co do práv a povinností z vadného </w:t>
      </w:r>
      <w:r w:rsidR="00F45031">
        <w:rPr>
          <w:rFonts w:cs="Times New Roman"/>
        </w:rPr>
        <w:t>splnění</w:t>
      </w:r>
      <w:r w:rsidR="00B35A6C">
        <w:rPr>
          <w:rFonts w:cs="Times New Roman"/>
        </w:rPr>
        <w:t xml:space="preserve">. </w:t>
      </w:r>
      <w:r w:rsidR="00900028" w:rsidRPr="00567FAB">
        <w:rPr>
          <w:rFonts w:cs="Times New Roman"/>
        </w:rPr>
        <w:t>Vzhledem k tomu, že se z pohledu hlavního dodavatele a subdodavatele jedná o společný a nerozdílný dluh, uplatní se zde pravidla platná pro solidární dlužníky.</w:t>
      </w:r>
      <w:r w:rsidR="00F45031">
        <w:rPr>
          <w:rStyle w:val="FootnoteReference"/>
          <w:rFonts w:cs="Times New Roman"/>
        </w:rPr>
        <w:footnoteReference w:id="141"/>
      </w:r>
      <w:r w:rsidR="00145C14">
        <w:rPr>
          <w:rFonts w:cs="Times New Roman"/>
        </w:rPr>
        <w:t xml:space="preserve"> </w:t>
      </w:r>
    </w:p>
    <w:p w14:paraId="587A3C9B" w14:textId="5C8F6C35" w:rsidR="00B948CC" w:rsidRDefault="00BB3914" w:rsidP="00BB3914">
      <w:pPr>
        <w:rPr>
          <w:rFonts w:cs="Times New Roman"/>
        </w:rPr>
      </w:pPr>
      <w:r w:rsidRPr="00567FAB">
        <w:rPr>
          <w:rFonts w:cs="Times New Roman"/>
        </w:rPr>
        <w:t xml:space="preserve">Poměrně rozporuplný je </w:t>
      </w:r>
      <w:r w:rsidRPr="00BB3914">
        <w:rPr>
          <w:rFonts w:cs="Times New Roman"/>
        </w:rPr>
        <w:t>okruh práv</w:t>
      </w:r>
      <w:r w:rsidRPr="00567FAB">
        <w:rPr>
          <w:rFonts w:cs="Times New Roman"/>
        </w:rPr>
        <w:t xml:space="preserve"> z vadného </w:t>
      </w:r>
      <w:r w:rsidR="00ED178E">
        <w:rPr>
          <w:rFonts w:cs="Times New Roman"/>
        </w:rPr>
        <w:t>s</w:t>
      </w:r>
      <w:r w:rsidRPr="00567FAB">
        <w:rPr>
          <w:rFonts w:cs="Times New Roman"/>
        </w:rPr>
        <w:t xml:space="preserve">plnění, která by mohl odběratel uplatnit vůči subdodavateli. </w:t>
      </w:r>
      <w:r w:rsidR="00532D23">
        <w:rPr>
          <w:rFonts w:cs="Times New Roman"/>
        </w:rPr>
        <w:t>Představíme-li si dodavatelsko-odběratelský vztah, v němž odběratel zná subdodavatele a má vědomost o tom, kterou konkrétní část díla zhotovuje, pak by bylo pouze na škodu, pokud by odběratel nemohl své právo uplatnit přímo proti tomuto subdodavateli, který nejlépe může tuto část opravit nebo dodat náhradní</w:t>
      </w:r>
      <w:r w:rsidRPr="00567FAB">
        <w:rPr>
          <w:rFonts w:cs="Times New Roman"/>
        </w:rPr>
        <w:t xml:space="preserve"> díl</w:t>
      </w:r>
      <w:r w:rsidR="00532D23">
        <w:rPr>
          <w:rFonts w:cs="Times New Roman"/>
        </w:rPr>
        <w:t>o</w:t>
      </w:r>
      <w:r w:rsidR="00ED178E">
        <w:rPr>
          <w:rStyle w:val="FootnoteReference"/>
          <w:rFonts w:cs="Times New Roman"/>
        </w:rPr>
        <w:footnoteReference w:id="142"/>
      </w:r>
      <w:r w:rsidR="0093029C">
        <w:rPr>
          <w:rFonts w:cs="Times New Roman"/>
        </w:rPr>
        <w:t xml:space="preserve">, resp. </w:t>
      </w:r>
      <w:r w:rsidR="001B53EF">
        <w:rPr>
          <w:rFonts w:cs="Times New Roman"/>
        </w:rPr>
        <w:t xml:space="preserve">by </w:t>
      </w:r>
      <w:r w:rsidR="0093029C">
        <w:rPr>
          <w:rFonts w:cs="Times New Roman"/>
        </w:rPr>
        <w:t xml:space="preserve">uplatňování práv zprostředkovaně přes hlavního dodavatele </w:t>
      </w:r>
      <w:r w:rsidR="001B53EF">
        <w:rPr>
          <w:rFonts w:cs="Times New Roman"/>
        </w:rPr>
        <w:t xml:space="preserve">mohlo </w:t>
      </w:r>
      <w:r w:rsidR="0093029C">
        <w:rPr>
          <w:rFonts w:cs="Times New Roman"/>
        </w:rPr>
        <w:t xml:space="preserve">způsobit zbytečné prodlevy. </w:t>
      </w:r>
      <w:r w:rsidR="00916F4F">
        <w:rPr>
          <w:rFonts w:cs="Times New Roman"/>
        </w:rPr>
        <w:t>Podobně by v úvahu mohlo přicházet i poskytnutí slevy</w:t>
      </w:r>
      <w:r w:rsidRPr="00567FAB">
        <w:rPr>
          <w:rFonts w:cs="Times New Roman"/>
        </w:rPr>
        <w:t xml:space="preserve"> z ceny dí</w:t>
      </w:r>
      <w:r w:rsidR="00145C14">
        <w:rPr>
          <w:rFonts w:cs="Times New Roman"/>
        </w:rPr>
        <w:t xml:space="preserve">la </w:t>
      </w:r>
      <w:r w:rsidR="00916F4F">
        <w:rPr>
          <w:rFonts w:cs="Times New Roman"/>
        </w:rPr>
        <w:t xml:space="preserve">subdodavatelem. </w:t>
      </w:r>
      <w:r w:rsidR="00B948CC">
        <w:rPr>
          <w:rFonts w:cs="Times New Roman"/>
        </w:rPr>
        <w:t xml:space="preserve">Subdodavatel </w:t>
      </w:r>
      <w:r w:rsidR="00916F4F">
        <w:rPr>
          <w:rFonts w:cs="Times New Roman"/>
        </w:rPr>
        <w:t xml:space="preserve">sice </w:t>
      </w:r>
      <w:r w:rsidR="00B948CC">
        <w:rPr>
          <w:rFonts w:cs="Times New Roman"/>
        </w:rPr>
        <w:t xml:space="preserve">není stranou dodavatelské smlouvy a </w:t>
      </w:r>
      <w:r w:rsidR="00916F4F">
        <w:rPr>
          <w:rFonts w:cs="Times New Roman"/>
        </w:rPr>
        <w:t xml:space="preserve">nemusí znát cenové </w:t>
      </w:r>
      <w:r w:rsidR="00B948CC" w:rsidRPr="00567FAB">
        <w:rPr>
          <w:rFonts w:cs="Times New Roman"/>
        </w:rPr>
        <w:t xml:space="preserve">podmínky </w:t>
      </w:r>
      <w:r w:rsidR="00B948CC">
        <w:rPr>
          <w:rFonts w:cs="Times New Roman"/>
        </w:rPr>
        <w:t>zde uvedené</w:t>
      </w:r>
      <w:r w:rsidR="00916F4F">
        <w:rPr>
          <w:rFonts w:cs="Times New Roman"/>
        </w:rPr>
        <w:t>,</w:t>
      </w:r>
      <w:r w:rsidR="00CA5CD7">
        <w:rPr>
          <w:rFonts w:cs="Times New Roman"/>
        </w:rPr>
        <w:t xml:space="preserve"> zná však hodnotu svého díla, a proto by byl s ohledem na vadu</w:t>
      </w:r>
      <w:r w:rsidR="009A71BF">
        <w:rPr>
          <w:rFonts w:cs="Times New Roman"/>
        </w:rPr>
        <w:t xml:space="preserve"> svého</w:t>
      </w:r>
      <w:r w:rsidR="00CA5CD7">
        <w:rPr>
          <w:rFonts w:cs="Times New Roman"/>
        </w:rPr>
        <w:t xml:space="preserve"> díla </w:t>
      </w:r>
      <w:r w:rsidR="004A3092">
        <w:rPr>
          <w:rFonts w:cs="Times New Roman"/>
        </w:rPr>
        <w:t xml:space="preserve">(tedy vzhledem k tomu, co sám dodal) </w:t>
      </w:r>
      <w:r w:rsidR="00CA5CD7">
        <w:rPr>
          <w:rFonts w:cs="Times New Roman"/>
        </w:rPr>
        <w:t>schopen poskytnout přiměřenou slevu</w:t>
      </w:r>
      <w:r w:rsidR="00B948CC">
        <w:rPr>
          <w:rFonts w:cs="Times New Roman"/>
        </w:rPr>
        <w:t>.</w:t>
      </w:r>
      <w:r w:rsidR="00CA5CD7">
        <w:rPr>
          <w:rFonts w:cs="Times New Roman"/>
        </w:rPr>
        <w:t xml:space="preserve"> Ostatně sám nese vůči dodavateli odpovědnost za řádné splnění svého díla a primárně by pokles odměny za zhotovené dílo</w:t>
      </w:r>
      <w:r w:rsidR="00670F92">
        <w:rPr>
          <w:rFonts w:cs="Times New Roman"/>
        </w:rPr>
        <w:t xml:space="preserve"> v důsledku porušení jeho povinnosti</w:t>
      </w:r>
      <w:r w:rsidR="00F30078">
        <w:rPr>
          <w:rFonts w:cs="Times New Roman"/>
        </w:rPr>
        <w:t xml:space="preserve"> </w:t>
      </w:r>
      <w:r w:rsidR="00CA5CD7">
        <w:rPr>
          <w:rFonts w:cs="Times New Roman"/>
        </w:rPr>
        <w:t xml:space="preserve">měl jít k jeho </w:t>
      </w:r>
      <w:r w:rsidR="00F30078">
        <w:rPr>
          <w:rFonts w:cs="Times New Roman"/>
        </w:rPr>
        <w:t>tíži.</w:t>
      </w:r>
      <w:r w:rsidR="008643C6">
        <w:rPr>
          <w:rFonts w:cs="Times New Roman"/>
        </w:rPr>
        <w:t xml:space="preserve"> Problém však nastane v případě uplatňování práva odstoupit </w:t>
      </w:r>
      <w:r w:rsidR="00B948CC" w:rsidRPr="00567FAB">
        <w:rPr>
          <w:rFonts w:cs="Times New Roman"/>
        </w:rPr>
        <w:t xml:space="preserve">od smlouvy, protože </w:t>
      </w:r>
      <w:r w:rsidR="008643C6">
        <w:rPr>
          <w:rFonts w:cs="Times New Roman"/>
        </w:rPr>
        <w:t xml:space="preserve">zde mezi odběratelem a subdodavatelem </w:t>
      </w:r>
      <w:r w:rsidR="00B948CC" w:rsidRPr="00567FAB">
        <w:rPr>
          <w:rFonts w:cs="Times New Roman"/>
        </w:rPr>
        <w:t>žádná smlouva není</w:t>
      </w:r>
      <w:r w:rsidR="00B948CC">
        <w:rPr>
          <w:rFonts w:cs="Times New Roman"/>
        </w:rPr>
        <w:t xml:space="preserve">. </w:t>
      </w:r>
      <w:r w:rsidR="00722A77">
        <w:rPr>
          <w:rFonts w:cs="Times New Roman"/>
        </w:rPr>
        <w:t>Zatímco tedy odběratel může toto právo uplatnit vůči dodavateli, vůči subdodavateli je o toto právo zkrácen.</w:t>
      </w:r>
    </w:p>
    <w:p w14:paraId="3AA031BB" w14:textId="1400FB39" w:rsidR="00BB3914" w:rsidRPr="00567FAB" w:rsidRDefault="00BB3914" w:rsidP="00BB3914">
      <w:pPr>
        <w:rPr>
          <w:rFonts w:cs="Times New Roman"/>
        </w:rPr>
      </w:pPr>
      <w:r w:rsidRPr="00567FAB">
        <w:rPr>
          <w:rFonts w:cs="Times New Roman"/>
        </w:rPr>
        <w:t xml:space="preserve">Co se týče případné modifikace práv z vadného </w:t>
      </w:r>
      <w:r w:rsidR="00B948CC">
        <w:rPr>
          <w:rFonts w:cs="Times New Roman"/>
        </w:rPr>
        <w:t>s</w:t>
      </w:r>
      <w:r w:rsidRPr="00567FAB">
        <w:rPr>
          <w:rFonts w:cs="Times New Roman"/>
        </w:rPr>
        <w:t>plnění v hlavní dodavatelské smlouvě (např. v podobě rozšíření práv), pak se tato modifikace neuplatní vůči</w:t>
      </w:r>
      <w:r>
        <w:rPr>
          <w:rFonts w:cs="Times New Roman"/>
        </w:rPr>
        <w:t xml:space="preserve"> subdodavatelům v souladu s</w:t>
      </w:r>
      <w:r w:rsidRPr="00567FAB">
        <w:rPr>
          <w:rFonts w:cs="Times New Roman"/>
        </w:rPr>
        <w:t xml:space="preserve"> § 1872 odst.</w:t>
      </w:r>
      <w:r>
        <w:rPr>
          <w:rFonts w:cs="Times New Roman"/>
        </w:rPr>
        <w:t> </w:t>
      </w:r>
      <w:r w:rsidRPr="00567FAB">
        <w:rPr>
          <w:rFonts w:cs="Times New Roman"/>
        </w:rPr>
        <w:t>2 ObčZ.</w:t>
      </w:r>
      <w:r w:rsidRPr="00567FAB">
        <w:rPr>
          <w:rStyle w:val="FootnoteReference"/>
          <w:rFonts w:cs="Times New Roman"/>
        </w:rPr>
        <w:footnoteReference w:id="143"/>
      </w:r>
      <w:r w:rsidRPr="00567FAB">
        <w:rPr>
          <w:rFonts w:cs="Times New Roman"/>
        </w:rPr>
        <w:t xml:space="preserve"> Stejné pravidlo se uplatní také v případě, kdy si odběratel a hlavní dodavatel ve sml</w:t>
      </w:r>
      <w:r w:rsidR="00E25FBE">
        <w:rPr>
          <w:rFonts w:cs="Times New Roman"/>
        </w:rPr>
        <w:t>ouvě sjednají tzv. výluky, tzn</w:t>
      </w:r>
      <w:r w:rsidR="00B2459A">
        <w:rPr>
          <w:rFonts w:cs="Times New Roman"/>
        </w:rPr>
        <w:t xml:space="preserve">. </w:t>
      </w:r>
      <w:r w:rsidR="00AE03FE">
        <w:rPr>
          <w:rFonts w:cs="Times New Roman"/>
        </w:rPr>
        <w:t>pokud</w:t>
      </w:r>
      <w:r w:rsidRPr="00567FAB">
        <w:rPr>
          <w:rFonts w:cs="Times New Roman"/>
        </w:rPr>
        <w:t xml:space="preserve"> bude mít dílo vady určitého druhu, nebudou z těchto vad odběrateli vznikat práva. </w:t>
      </w:r>
      <w:r w:rsidR="00E25FBE">
        <w:rPr>
          <w:rFonts w:cs="Times New Roman"/>
        </w:rPr>
        <w:t>Tehdy</w:t>
      </w:r>
      <w:r w:rsidRPr="00567FAB">
        <w:rPr>
          <w:rFonts w:cs="Times New Roman"/>
        </w:rPr>
        <w:t xml:space="preserve"> povinnosti hlavnímu dodavateli nevznikají, a tudíž nemohou vznikat ani subdodavatelům.</w:t>
      </w:r>
      <w:r w:rsidRPr="00567FAB">
        <w:rPr>
          <w:rStyle w:val="FootnoteReference"/>
          <w:rFonts w:cs="Times New Roman"/>
        </w:rPr>
        <w:footnoteReference w:id="144"/>
      </w:r>
    </w:p>
    <w:p w14:paraId="1A3C4A67" w14:textId="38B692B6" w:rsidR="00684CAC" w:rsidRDefault="00BB3914" w:rsidP="00900028">
      <w:r w:rsidRPr="00567FAB">
        <w:t xml:space="preserve">Poněkud přísným se zdá být </w:t>
      </w:r>
      <w:r w:rsidRPr="00BB3914">
        <w:t>i souběh povinností</w:t>
      </w:r>
      <w:r w:rsidRPr="00567FAB">
        <w:t xml:space="preserve"> subdodavatele z vadného </w:t>
      </w:r>
      <w:r>
        <w:t>konečného</w:t>
      </w:r>
      <w:r w:rsidRPr="00567FAB">
        <w:t xml:space="preserve"> díla </w:t>
      </w:r>
      <w:r w:rsidR="00462DDA">
        <w:t xml:space="preserve">na základě § 2630 ObčZ </w:t>
      </w:r>
      <w:r w:rsidRPr="00567FAB">
        <w:t>a odpovědnosti subdodavatele za řádné plnění podle subdodavatelské smlouvy.</w:t>
      </w:r>
      <w:r w:rsidRPr="00567FAB">
        <w:rPr>
          <w:rStyle w:val="FootnoteReference"/>
          <w:rFonts w:cs="Times New Roman"/>
        </w:rPr>
        <w:footnoteReference w:id="145"/>
      </w:r>
      <w:r>
        <w:t xml:space="preserve"> Zákon totiž </w:t>
      </w:r>
      <w:r w:rsidRPr="00567FAB">
        <w:t xml:space="preserve">na subdodavatele klade dvojí zatížení, </w:t>
      </w:r>
      <w:r>
        <w:t xml:space="preserve">a to </w:t>
      </w:r>
      <w:r w:rsidRPr="00567FAB">
        <w:t>jednak v podob</w:t>
      </w:r>
      <w:r>
        <w:t>ě povinností stanovených mu</w:t>
      </w:r>
      <w:r w:rsidRPr="00567FAB">
        <w:t xml:space="preserve"> §</w:t>
      </w:r>
      <w:r>
        <w:t> </w:t>
      </w:r>
      <w:r w:rsidRPr="00567FAB">
        <w:t xml:space="preserve">2630 ObčZ, jednak v podobě povinností z vadného </w:t>
      </w:r>
      <w:r>
        <w:lastRenderedPageBreak/>
        <w:t>s</w:t>
      </w:r>
      <w:r w:rsidRPr="00567FAB">
        <w:t xml:space="preserve">plnění dle subdodavatelské smlouvy včetně všech </w:t>
      </w:r>
      <w:r>
        <w:t>právních následků</w:t>
      </w:r>
      <w:r w:rsidRPr="00567FAB">
        <w:t xml:space="preserve"> porušení</w:t>
      </w:r>
      <w:r w:rsidR="00462DDA">
        <w:t xml:space="preserve"> smlouvy</w:t>
      </w:r>
      <w:r w:rsidRPr="00567FAB">
        <w:t xml:space="preserve">. </w:t>
      </w:r>
      <w:r w:rsidR="00D30FE7">
        <w:t xml:space="preserve">V důsledku toho tedy § 2630 ObčZ </w:t>
      </w:r>
      <w:r w:rsidRPr="00567FAB">
        <w:t xml:space="preserve">subdodavatele </w:t>
      </w:r>
      <w:r w:rsidR="00F96EB9">
        <w:t>značně znevýhodňuje</w:t>
      </w:r>
      <w:r w:rsidR="00D30FE7">
        <w:t xml:space="preserve">. </w:t>
      </w:r>
    </w:p>
    <w:p w14:paraId="1A066ECF" w14:textId="2ADBA806" w:rsidR="00BB3914" w:rsidRDefault="00F2214F" w:rsidP="00900028">
      <w:pPr>
        <w:rPr>
          <w:rFonts w:cs="Times New Roman"/>
        </w:rPr>
      </w:pPr>
      <w:r>
        <w:t xml:space="preserve">Zůstává tak otázkou, zda uspokojení práva odběratele subdodavatelem </w:t>
      </w:r>
      <w:r w:rsidR="00225326">
        <w:t>vylučuje uplatňování práv hlavního dodavatele na základě subdodavatelské smlouvy a naopak.</w:t>
      </w:r>
      <w:r w:rsidR="006273E2">
        <w:t xml:space="preserve"> </w:t>
      </w:r>
      <w:r w:rsidR="00E37F43">
        <w:t>Jestliže bylo účelem zkoumaného ustanovení</w:t>
      </w:r>
      <w:r w:rsidR="006273E2">
        <w:t xml:space="preserve"> zlepšení pozice odběratele</w:t>
      </w:r>
      <w:r w:rsidR="00E37F43">
        <w:t xml:space="preserve">, </w:t>
      </w:r>
      <w:r w:rsidR="00D346C4">
        <w:t xml:space="preserve">pak je </w:t>
      </w:r>
      <w:r w:rsidR="00E37F43">
        <w:t xml:space="preserve">výsledkem spíše </w:t>
      </w:r>
      <w:r w:rsidR="00C13D94">
        <w:t>celkové znevýhodnění pozice subdodavatelů a vznik mnoha</w:t>
      </w:r>
      <w:r w:rsidR="006273E2">
        <w:t xml:space="preserve"> </w:t>
      </w:r>
      <w:r w:rsidR="00D346C4">
        <w:t xml:space="preserve">výkladových </w:t>
      </w:r>
      <w:r w:rsidR="006273E2">
        <w:t>problémů, jejichž řešení</w:t>
      </w:r>
      <w:r w:rsidR="00D346C4">
        <w:t xml:space="preserve"> přinese</w:t>
      </w:r>
      <w:r w:rsidR="006273E2">
        <w:t xml:space="preserve"> až judikatura vyšších soudů.</w:t>
      </w:r>
    </w:p>
    <w:p w14:paraId="623DEF0E" w14:textId="154C3D94" w:rsidR="00BB3914" w:rsidRDefault="00847BC7" w:rsidP="00E262FA">
      <w:pPr>
        <w:rPr>
          <w:rFonts w:cs="Times New Roman"/>
        </w:rPr>
      </w:pPr>
      <w:r>
        <w:rPr>
          <w:rFonts w:cs="Times New Roman"/>
        </w:rPr>
        <w:t>Závěrem je nutno přenést pozornost k možnosti zproštění se povinností z vadného splnění u stavebních děl.</w:t>
      </w:r>
      <w:r w:rsidR="00B33D15">
        <w:rPr>
          <w:rFonts w:cs="Times New Roman"/>
        </w:rPr>
        <w:t xml:space="preserve"> </w:t>
      </w:r>
      <w:r w:rsidR="003470CA">
        <w:rPr>
          <w:rFonts w:cs="Times New Roman"/>
        </w:rPr>
        <w:t>Subdodavatel se svých povinností zprostí, pokud „</w:t>
      </w:r>
      <w:r w:rsidR="003470CA">
        <w:rPr>
          <w:rFonts w:cs="Times New Roman"/>
          <w:i/>
        </w:rPr>
        <w:t>prokáže, že vadu způsobilo jen rozhodnutí zhotovitele nebo toho, kdo nad stavbou vykonával dozor</w:t>
      </w:r>
      <w:r w:rsidR="003470CA">
        <w:rPr>
          <w:rFonts w:cs="Times New Roman"/>
        </w:rPr>
        <w:t>“</w:t>
      </w:r>
      <w:r w:rsidR="00EC0686">
        <w:rPr>
          <w:rFonts w:cs="Times New Roman"/>
        </w:rPr>
        <w:t>.</w:t>
      </w:r>
      <w:r w:rsidR="00055783">
        <w:rPr>
          <w:rStyle w:val="FootnoteReference"/>
          <w:rFonts w:cs="Times New Roman"/>
        </w:rPr>
        <w:footnoteReference w:id="146"/>
      </w:r>
      <w:r w:rsidR="009C1662">
        <w:rPr>
          <w:rFonts w:cs="Times New Roman"/>
        </w:rPr>
        <w:t xml:space="preserve"> </w:t>
      </w:r>
      <w:r w:rsidR="00191692">
        <w:rPr>
          <w:rFonts w:cs="Times New Roman"/>
        </w:rPr>
        <w:t xml:space="preserve">Toto ustanovení </w:t>
      </w:r>
      <w:r w:rsidR="0049303F">
        <w:rPr>
          <w:rFonts w:cs="Times New Roman"/>
        </w:rPr>
        <w:t>zřejmě míří na situace</w:t>
      </w:r>
      <w:r w:rsidR="00191692">
        <w:rPr>
          <w:rFonts w:cs="Times New Roman"/>
        </w:rPr>
        <w:t xml:space="preserve">, kdy </w:t>
      </w:r>
      <w:r w:rsidR="00191692" w:rsidRPr="0060747B">
        <w:rPr>
          <w:rFonts w:cs="Times New Roman"/>
        </w:rPr>
        <w:t>dodavatel trvá na zhotovení díla subdodavatelem i tehdy</w:t>
      </w:r>
      <w:r w:rsidR="00191692">
        <w:rPr>
          <w:rFonts w:cs="Times New Roman"/>
        </w:rPr>
        <w:t>, je-li jeho pokyn či poskytnutá věc zřejmě nevhodné povahy, ačkoliv jej subdodavatel o nevhodné povaze informoval.</w:t>
      </w:r>
      <w:r w:rsidR="00191692">
        <w:rPr>
          <w:rStyle w:val="FootnoteReference"/>
          <w:rFonts w:cs="Times New Roman"/>
        </w:rPr>
        <w:footnoteReference w:id="147"/>
      </w:r>
      <w:r w:rsidR="00191692">
        <w:rPr>
          <w:rFonts w:cs="Times New Roman"/>
        </w:rPr>
        <w:t xml:space="preserve"> Pak </w:t>
      </w:r>
      <w:r w:rsidR="00E479CB">
        <w:rPr>
          <w:rFonts w:cs="Times New Roman"/>
        </w:rPr>
        <w:t xml:space="preserve">by však ale toto zproštění mělo působit </w:t>
      </w:r>
      <w:r w:rsidR="00191692">
        <w:rPr>
          <w:rFonts w:cs="Times New Roman"/>
        </w:rPr>
        <w:t xml:space="preserve">v důsledku takového rozhodnutí dodavatele </w:t>
      </w:r>
      <w:r w:rsidR="00E479CB">
        <w:rPr>
          <w:rFonts w:cs="Times New Roman"/>
        </w:rPr>
        <w:t xml:space="preserve">nejen </w:t>
      </w:r>
      <w:r w:rsidR="00191692">
        <w:rPr>
          <w:rFonts w:cs="Times New Roman"/>
        </w:rPr>
        <w:t>vůči odběrateli</w:t>
      </w:r>
      <w:r w:rsidR="00E479CB">
        <w:rPr>
          <w:rFonts w:cs="Times New Roman"/>
        </w:rPr>
        <w:t>, ale i dodavateli</w:t>
      </w:r>
      <w:r w:rsidR="00CA595D">
        <w:rPr>
          <w:rStyle w:val="FootnoteReference"/>
          <w:rFonts w:cs="Times New Roman"/>
        </w:rPr>
        <w:footnoteReference w:id="148"/>
      </w:r>
      <w:r w:rsidR="00191692">
        <w:rPr>
          <w:rFonts w:cs="Times New Roman"/>
        </w:rPr>
        <w:t>.</w:t>
      </w:r>
      <w:r w:rsidR="00191692">
        <w:rPr>
          <w:rStyle w:val="FootnoteReference"/>
          <w:rFonts w:cs="Times New Roman"/>
        </w:rPr>
        <w:footnoteReference w:id="149"/>
      </w:r>
      <w:r w:rsidR="00191692">
        <w:rPr>
          <w:rFonts w:cs="Times New Roman"/>
        </w:rPr>
        <w:t xml:space="preserve"> </w:t>
      </w:r>
      <w:r w:rsidR="0049303F">
        <w:rPr>
          <w:rFonts w:cs="Times New Roman"/>
        </w:rPr>
        <w:t xml:space="preserve">Zřejmě na obdobné situace míří i prokázání toho, že vadu způsobilo </w:t>
      </w:r>
      <w:r w:rsidR="0049303F" w:rsidRPr="0060747B">
        <w:rPr>
          <w:rFonts w:cs="Times New Roman"/>
        </w:rPr>
        <w:t>jen rozhodnutí toho,</w:t>
      </w:r>
      <w:r w:rsidR="0049303F">
        <w:rPr>
          <w:rFonts w:cs="Times New Roman"/>
        </w:rPr>
        <w:t xml:space="preserve"> kdo nad stavbou vykonával dozor. Tzv. </w:t>
      </w:r>
      <w:r w:rsidR="006A6882">
        <w:rPr>
          <w:rFonts w:cs="Times New Roman"/>
        </w:rPr>
        <w:t>správce stavby</w:t>
      </w:r>
      <w:r w:rsidR="0049303F">
        <w:rPr>
          <w:rFonts w:cs="Times New Roman"/>
        </w:rPr>
        <w:t>, ať už bude ve smluvním vztahu s dodavatelem či odběratelem, zde bude dohlížet na řádný průběh stavby a jako takový bude často zmocněn k poskytování závazných pokynů co do zhotovení díla. Takový pokyn může být stejně jako v případě dodavatele nevhodný, a proto po splnění informační povinnosti ze strany subdodavatele může v důsledku tohoto pokynu dojít k</w:t>
      </w:r>
      <w:r w:rsidR="000972D4">
        <w:rPr>
          <w:rFonts w:cs="Times New Roman"/>
        </w:rPr>
        <w:t>e zproštění subdodavatele</w:t>
      </w:r>
      <w:r w:rsidR="009A43DC">
        <w:rPr>
          <w:rFonts w:cs="Times New Roman"/>
        </w:rPr>
        <w:t>, přičemž zjevně tyto povinnosti přejdou na správce stavby</w:t>
      </w:r>
      <w:r w:rsidR="0049303F">
        <w:rPr>
          <w:rFonts w:cs="Times New Roman"/>
        </w:rPr>
        <w:t>.</w:t>
      </w:r>
      <w:r w:rsidR="006964E3">
        <w:rPr>
          <w:rFonts w:cs="Times New Roman"/>
        </w:rPr>
        <w:t xml:space="preserve"> </w:t>
      </w:r>
      <w:r w:rsidR="006101AD">
        <w:rPr>
          <w:rFonts w:cs="Times New Roman"/>
        </w:rPr>
        <w:t xml:space="preserve">Ten </w:t>
      </w:r>
      <w:r w:rsidR="006964E3">
        <w:rPr>
          <w:rFonts w:cs="Times New Roman"/>
        </w:rPr>
        <w:t xml:space="preserve">se pak může následně svých povinností </w:t>
      </w:r>
      <w:r w:rsidR="0070384F">
        <w:rPr>
          <w:rFonts w:cs="Times New Roman"/>
        </w:rPr>
        <w:t>zprostit</w:t>
      </w:r>
      <w:r w:rsidR="00CA595D">
        <w:rPr>
          <w:rFonts w:cs="Times New Roman"/>
        </w:rPr>
        <w:t xml:space="preserve"> pouze</w:t>
      </w:r>
      <w:r w:rsidR="0070384F">
        <w:rPr>
          <w:rFonts w:cs="Times New Roman"/>
        </w:rPr>
        <w:t xml:space="preserve"> s odvoláním na to, že vadu stavby nezpůsobilo selhání dozoru.</w:t>
      </w:r>
      <w:r w:rsidR="0070384F">
        <w:rPr>
          <w:rStyle w:val="FootnoteReference"/>
          <w:rFonts w:cs="Times New Roman"/>
        </w:rPr>
        <w:footnoteReference w:id="150"/>
      </w:r>
    </w:p>
    <w:p w14:paraId="432D94C4" w14:textId="225DCFBB" w:rsidR="00B66554" w:rsidRPr="002113F5" w:rsidRDefault="00F701E1" w:rsidP="002113F5">
      <w:pPr>
        <w:rPr>
          <w:rFonts w:cs="Times New Roman"/>
        </w:rPr>
      </w:pPr>
      <w:r>
        <w:rPr>
          <w:rFonts w:cs="Times New Roman"/>
        </w:rPr>
        <w:lastRenderedPageBreak/>
        <w:t>Dodavatel se pak může svých povinností zprostit tehdy, pokud prokáže, že vadu z</w:t>
      </w:r>
      <w:r w:rsidR="00A82060">
        <w:rPr>
          <w:rFonts w:cs="Times New Roman"/>
        </w:rPr>
        <w:t>působila okolnost, nad níž neměl povinnost nést</w:t>
      </w:r>
      <w:r>
        <w:rPr>
          <w:rFonts w:cs="Times New Roman"/>
        </w:rPr>
        <w:t xml:space="preserve"> kontrolu, tedy chyba ve stavební dokumentaci dodané tím, koho si zvolil odběratel, nebo jen selhání dozoru nasmlouvaného odběratelem.</w:t>
      </w:r>
      <w:r w:rsidR="00D46F54">
        <w:rPr>
          <w:rStyle w:val="FootnoteReference"/>
          <w:rFonts w:cs="Times New Roman"/>
        </w:rPr>
        <w:footnoteReference w:id="151"/>
      </w:r>
    </w:p>
    <w:p w14:paraId="1EC9EE44" w14:textId="43C65828" w:rsidR="009608F0" w:rsidRDefault="009608F0" w:rsidP="009608F0">
      <w:pPr>
        <w:pStyle w:val="Heading3"/>
      </w:pPr>
      <w:bookmarkStart w:id="68" w:name="_Toc460832705"/>
      <w:r>
        <w:t>FIDIC</w:t>
      </w:r>
      <w:bookmarkEnd w:id="68"/>
    </w:p>
    <w:p w14:paraId="10E43602" w14:textId="7135FC0A" w:rsidR="00E97CEF" w:rsidRDefault="00A54F7C" w:rsidP="002113F5">
      <w:r>
        <w:t xml:space="preserve">Pokud byly vady včas oznámeny odběratelem, </w:t>
      </w:r>
      <w:r w:rsidR="00994A10">
        <w:t xml:space="preserve">CONS stanoví v čl. </w:t>
      </w:r>
      <w:r>
        <w:t>11.1 písm. b), že dodavatel odstraní vady (provede veškeré práce k odstranění vad) v přiměřené době. Pokud tak neučiní, odběratel stanoví datum, do kterého tak musí dodavatel učinit.</w:t>
      </w:r>
      <w:r>
        <w:rPr>
          <w:rStyle w:val="FootnoteReference"/>
        </w:rPr>
        <w:footnoteReference w:id="152"/>
      </w:r>
      <w:r>
        <w:t xml:space="preserve"> Pokud tak dodavatel ani v této dodatečné lhůtě neučiní, má odběratel právo:</w:t>
      </w:r>
    </w:p>
    <w:p w14:paraId="0C5D453D" w14:textId="5C5CBAA3" w:rsidR="00A54F7C" w:rsidRDefault="00A54F7C" w:rsidP="00A54F7C">
      <w:pPr>
        <w:pStyle w:val="ListParagraph"/>
        <w:numPr>
          <w:ilvl w:val="0"/>
          <w:numId w:val="17"/>
        </w:numPr>
      </w:pPr>
      <w:r>
        <w:t>provést odstranění vady na náklady dodavatele,</w:t>
      </w:r>
    </w:p>
    <w:p w14:paraId="18324A65" w14:textId="5D2059F2" w:rsidR="00A54F7C" w:rsidRDefault="00A54F7C" w:rsidP="00A54F7C">
      <w:pPr>
        <w:pStyle w:val="ListParagraph"/>
        <w:numPr>
          <w:ilvl w:val="0"/>
          <w:numId w:val="17"/>
        </w:numPr>
      </w:pPr>
      <w:r>
        <w:t>požádat správce stavby, aby odsouhlasil či stanovil odpovídající snížení ceny za dílo,</w:t>
      </w:r>
    </w:p>
    <w:p w14:paraId="360800AA" w14:textId="2F6072E0" w:rsidR="002113F5" w:rsidRDefault="00A54F7C" w:rsidP="0010739F">
      <w:pPr>
        <w:pStyle w:val="ListParagraph"/>
        <w:numPr>
          <w:ilvl w:val="0"/>
          <w:numId w:val="17"/>
        </w:numPr>
      </w:pPr>
      <w:r>
        <w:t>odstoupit od smlouvy, pokud v důsledku vady nelze dílo užívat k účelu stanovenému ve smlouvě.</w:t>
      </w:r>
    </w:p>
    <w:p w14:paraId="2223D059" w14:textId="2468824D" w:rsidR="00AC4B62" w:rsidRDefault="00AC4B62" w:rsidP="00AC4B62">
      <w:r>
        <w:t>Dalším následkem vadného splnění může být prodloužení záruční doby maximálně o dva roky.</w:t>
      </w:r>
      <w:r>
        <w:rPr>
          <w:rStyle w:val="FootnoteReference"/>
        </w:rPr>
        <w:footnoteReference w:id="153"/>
      </w:r>
      <w:r>
        <w:t xml:space="preserve"> Vzhledem k tomu, že odstranění vad provádí dodavatel na své náklady (čl. 11.2 CONS), jdou mu k tíži náklady spojené s odstraňováním vad, včetně nákladů vzniklých při pátrání po vadách a jejich příčinách, ledaže tyto vady vznikly v důsledku na straně odběratele (čl. 11.8 CONS), jakož i náklady spojené s dalšími přejímacími zkouškami, bylo-li nutné je v důsledku odstranění vad znovu provést (čl. 11. 6 CONS).</w:t>
      </w:r>
    </w:p>
    <w:p w14:paraId="430EDE07" w14:textId="41108202" w:rsidR="00D55501" w:rsidRDefault="00D55501" w:rsidP="00AC4B62">
      <w:r>
        <w:t xml:space="preserve">K otázce srovnání zádržného dle CONS s úpravou v ObčZ srov. </w:t>
      </w:r>
      <w:r w:rsidR="005C7AF0">
        <w:t>výklad v kapitole 2.4.1.</w:t>
      </w:r>
    </w:p>
    <w:p w14:paraId="45AC76D0" w14:textId="450052B5" w:rsidR="00F9716A" w:rsidRDefault="00F87F56" w:rsidP="00AC4B62">
      <w:r>
        <w:t>Pro účely vícestupňových dodavatelsko-odběratelských vztahů je nutno ještě zmínit čl. 4.5 CONS.</w:t>
      </w:r>
      <w:r w:rsidR="00656419">
        <w:t xml:space="preserve"> </w:t>
      </w:r>
      <w:r w:rsidR="00602D32">
        <w:t xml:space="preserve">Na základě tohoto článku může </w:t>
      </w:r>
      <w:r w:rsidR="00ED53B2">
        <w:t xml:space="preserve">odběratel požádat </w:t>
      </w:r>
      <w:r w:rsidR="008708C3">
        <w:t xml:space="preserve">dodavatele </w:t>
      </w:r>
      <w:r w:rsidR="00ED53B2">
        <w:t xml:space="preserve">o přenesení </w:t>
      </w:r>
      <w:r w:rsidR="008708C3">
        <w:t>(postoupení) svých oprávnění</w:t>
      </w:r>
      <w:r w:rsidR="00ED53B2">
        <w:t>, které má vůči subdodavateli</w:t>
      </w:r>
      <w:r w:rsidR="00F32C51">
        <w:t>,</w:t>
      </w:r>
      <w:r w:rsidR="00ED53B2">
        <w:t xml:space="preserve"> na svůj účet</w:t>
      </w:r>
      <w:r w:rsidR="00B14088">
        <w:t xml:space="preserve">, jestliže povinnosti subdodavatele </w:t>
      </w:r>
      <w:r w:rsidR="00A60C1B">
        <w:t>trvají déle</w:t>
      </w:r>
      <w:r w:rsidR="00ED53B2">
        <w:t xml:space="preserve"> </w:t>
      </w:r>
      <w:r w:rsidR="00A60C1B">
        <w:t>než záruční doba</w:t>
      </w:r>
      <w:r w:rsidR="00B14088">
        <w:t xml:space="preserve"> dodavatele</w:t>
      </w:r>
      <w:r w:rsidR="00602D32">
        <w:t>.</w:t>
      </w:r>
      <w:r w:rsidR="00ED53B2">
        <w:t xml:space="preserve"> Tímto přenesením se dodavatel zbaví svých povinností vůči odběrateli za dílo zhotovené subdodavatelem, a odběratel může práva uplatň</w:t>
      </w:r>
      <w:r w:rsidR="00D3401E">
        <w:t xml:space="preserve">ovat přímo proti subdodavateli. </w:t>
      </w:r>
    </w:p>
    <w:p w14:paraId="5BD8E13E" w14:textId="62A0DF21" w:rsidR="003119D3" w:rsidRDefault="003119D3" w:rsidP="00AC4B62">
      <w:r>
        <w:t xml:space="preserve">V zásadě tak můžeme zhodnotit, že </w:t>
      </w:r>
      <w:r w:rsidR="005737E5">
        <w:t xml:space="preserve">jsou </w:t>
      </w:r>
      <w:r w:rsidR="00885F0B">
        <w:t xml:space="preserve">zvláštní právní </w:t>
      </w:r>
      <w:r w:rsidR="005737E5">
        <w:t>následky dle právní úpravy smlouvy o dílo (resp. kupní smlouvy), jakož i dle smluvních podmínek FIDIC v</w:t>
      </w:r>
      <w:r w:rsidR="008C18D7">
        <w:t xml:space="preserve"> podstatě </w:t>
      </w:r>
      <w:r w:rsidR="005737E5">
        <w:t>stejné, rozdílným je však způsob, jak tato práva jednotlivé zdroje diferencují</w:t>
      </w:r>
      <w:r w:rsidR="00885F0B">
        <w:t>. CONS totiž spíše odpovídají obecné úpravě v ObčZ, když práva přiznáv</w:t>
      </w:r>
      <w:r w:rsidR="00885F0B" w:rsidRPr="005A318D">
        <w:t>ají na základě</w:t>
      </w:r>
      <w:r w:rsidR="00336B2A">
        <w:t xml:space="preserve"> kritéria</w:t>
      </w:r>
      <w:r w:rsidR="00885F0B" w:rsidRPr="005A318D">
        <w:t xml:space="preserve"> odstranitelnosti </w:t>
      </w:r>
      <w:r w:rsidR="00885F0B" w:rsidRPr="005A318D">
        <w:lastRenderedPageBreak/>
        <w:t>vady.</w:t>
      </w:r>
      <w:r w:rsidR="008E14F6">
        <w:t xml:space="preserve"> Primárně je totiž dle CONS </w:t>
      </w:r>
      <w:r w:rsidR="00216787">
        <w:t>nutno</w:t>
      </w:r>
      <w:r w:rsidR="008E14F6">
        <w:t xml:space="preserve"> vady odstranit a až není-li to možné, jsou odběrateli stanovena další práva.</w:t>
      </w:r>
    </w:p>
    <w:p w14:paraId="73A6E3ED" w14:textId="25EEF17C" w:rsidR="004C44E2" w:rsidRPr="004C44E2" w:rsidRDefault="004C44E2" w:rsidP="004C44E2">
      <w:r>
        <w:t>Právní úprava založená na</w:t>
      </w:r>
      <w:r w:rsidR="00D8221A">
        <w:t xml:space="preserve"> kritériu</w:t>
      </w:r>
      <w:r>
        <w:t xml:space="preserve"> podstatného a nepodstatn</w:t>
      </w:r>
      <w:r w:rsidR="005A318D">
        <w:t xml:space="preserve">ého porušení smlouvy se však zdá být </w:t>
      </w:r>
      <w:r>
        <w:t>vhodnější než obecná právní úprava založená na</w:t>
      </w:r>
      <w:r w:rsidR="00D8221A">
        <w:t xml:space="preserve"> kritériích</w:t>
      </w:r>
      <w:r>
        <w:t xml:space="preserve"> odstranitelnosti vad</w:t>
      </w:r>
      <w:r w:rsidR="00336B2A">
        <w:t xml:space="preserve"> </w:t>
      </w:r>
      <w:r w:rsidR="00D8221A">
        <w:t>a nemožnosti řádného užívání</w:t>
      </w:r>
      <w:r>
        <w:t xml:space="preserve">, když podstatné porušení bude zřejmě zahrnovat neodstranitelné vady, které brání řádnému užívání, zatímco o nepodstatné porušení se bude mnohdy jednat v případě vad odstranitelných. </w:t>
      </w:r>
      <w:r w:rsidR="00AB7C78">
        <w:t xml:space="preserve">Jestliže se vady nepodaří odstranit, odběratel má </w:t>
      </w:r>
      <w:r>
        <w:t xml:space="preserve">opět </w:t>
      </w:r>
      <w:r w:rsidR="00AB7C78">
        <w:t>možnost změnit svou volbu</w:t>
      </w:r>
      <w:r>
        <w:t xml:space="preserve"> a v podstatě mu náleží taková, jako v případě podstatného poruš</w:t>
      </w:r>
      <w:r w:rsidR="006722D6">
        <w:t>ení smlouvy. Uvedený přístup však především</w:t>
      </w:r>
      <w:r>
        <w:t xml:space="preserve"> zohledňuje to, co strany v okamžiku uzavření smlouvy mohly oprávněně předvídat a </w:t>
      </w:r>
      <w:r w:rsidR="006722D6">
        <w:t xml:space="preserve">v tomto smyslu je tak </w:t>
      </w:r>
      <w:r>
        <w:t xml:space="preserve">toto </w:t>
      </w:r>
      <w:r w:rsidR="006722D6">
        <w:t xml:space="preserve">kritérium subjektivní </w:t>
      </w:r>
      <w:r>
        <w:t>v rámci konkrétního závazku</w:t>
      </w:r>
      <w:r w:rsidR="00EF4022">
        <w:t>.</w:t>
      </w:r>
      <w:r w:rsidRPr="00471331">
        <w:t xml:space="preserve"> Koncepce v rámci práv z vadného splnění u kupní smlouvy</w:t>
      </w:r>
      <w:r w:rsidR="00EF4022">
        <w:t>, potažmo smlouvy o dílo</w:t>
      </w:r>
      <w:r w:rsidRPr="00471331">
        <w:t xml:space="preserve"> je tak více šitá na míru konkrétnímu závazku s konkrétními smluvními stranami.</w:t>
      </w:r>
    </w:p>
    <w:p w14:paraId="0D27F4D9" w14:textId="72203716" w:rsidR="00B66554" w:rsidRDefault="0036583C" w:rsidP="009608F0">
      <w:pPr>
        <w:pStyle w:val="Heading2"/>
      </w:pPr>
      <w:bookmarkStart w:id="69" w:name="_Toc460832706"/>
      <w:r>
        <w:t xml:space="preserve">Další právní následky </w:t>
      </w:r>
      <w:r w:rsidR="00AB78F3">
        <w:t>vadného splnění</w:t>
      </w:r>
      <w:r w:rsidR="000416AC">
        <w:t xml:space="preserve"> – vybrané otázky</w:t>
      </w:r>
      <w:bookmarkEnd w:id="69"/>
    </w:p>
    <w:p w14:paraId="0BE6F9A0" w14:textId="1A058E0F" w:rsidR="00390597" w:rsidRDefault="00AB78F3" w:rsidP="00AB78F3">
      <w:r>
        <w:t xml:space="preserve">Ucelený přehled veškerých právních následků všech způsobů porušení smlouvy, jakož i konkrétních následků vadného splnění podává </w:t>
      </w:r>
      <w:r w:rsidR="005A4BB3">
        <w:t>již výše citovaná publikace J. Šilhána</w:t>
      </w:r>
      <w:r w:rsidR="005A4BB3">
        <w:rPr>
          <w:rStyle w:val="FootnoteReference"/>
        </w:rPr>
        <w:footnoteReference w:id="154"/>
      </w:r>
      <w:r w:rsidR="005A4BB3">
        <w:t>.</w:t>
      </w:r>
      <w:r w:rsidR="00571730">
        <w:t xml:space="preserve"> </w:t>
      </w:r>
      <w:r w:rsidR="00390597">
        <w:t>Níže je předložen nástin vybraných problematických otázek souvisejících</w:t>
      </w:r>
      <w:r w:rsidR="00552CE2">
        <w:t xml:space="preserve"> s dalšími právními následky</w:t>
      </w:r>
      <w:r w:rsidR="00390597">
        <w:t xml:space="preserve"> vadného</w:t>
      </w:r>
      <w:r w:rsidR="005A1F3A">
        <w:t xml:space="preserve"> splnění. Tyto otázky</w:t>
      </w:r>
      <w:r w:rsidR="00390597">
        <w:t xml:space="preserve"> mohou mít důsledky ve vícestupň</w:t>
      </w:r>
      <w:r w:rsidR="00F92B94">
        <w:t>ových dodavatelsko</w:t>
      </w:r>
      <w:r w:rsidR="00F92B94">
        <w:noBreakHyphen/>
      </w:r>
      <w:r w:rsidR="00390597">
        <w:t>odběratelských vztazích</w:t>
      </w:r>
      <w:r w:rsidR="00E20442">
        <w:t xml:space="preserve"> a jsou tímto předkládány jako doporučení, kterým směrem by se mohl ubírat další výzkum</w:t>
      </w:r>
      <w:r w:rsidR="00390597">
        <w:t xml:space="preserve">. </w:t>
      </w:r>
    </w:p>
    <w:p w14:paraId="6D88C779" w14:textId="1F3B5BF4" w:rsidR="00AB78F3" w:rsidRDefault="00571730" w:rsidP="00AB78F3">
      <w:r>
        <w:t xml:space="preserve">Mezi </w:t>
      </w:r>
      <w:r w:rsidR="00BC1F9A">
        <w:t xml:space="preserve">jeden z </w:t>
      </w:r>
      <w:r w:rsidR="00960C9E">
        <w:t>nejčastější</w:t>
      </w:r>
      <w:r w:rsidR="00BC1F9A">
        <w:t>ch</w:t>
      </w:r>
      <w:r w:rsidR="00960C9E">
        <w:t xml:space="preserve"> </w:t>
      </w:r>
      <w:r w:rsidR="007C5605">
        <w:t>následků</w:t>
      </w:r>
      <w:r>
        <w:t xml:space="preserve"> vadného splnění </w:t>
      </w:r>
      <w:r w:rsidR="00960C9E">
        <w:t>bude jistě patřit smluvní pokuta.</w:t>
      </w:r>
      <w:r w:rsidR="00390597">
        <w:t xml:space="preserve"> </w:t>
      </w:r>
      <w:r w:rsidR="00960C9E">
        <w:t>Smluvní pokutu si smluvní strany sjednávají jako utvrzovací institut pro případ porušení smluvené povinnosti.</w:t>
      </w:r>
      <w:r w:rsidR="00960C9E">
        <w:rPr>
          <w:rStyle w:val="FootnoteReference"/>
        </w:rPr>
        <w:footnoteReference w:id="155"/>
      </w:r>
      <w:r w:rsidR="00AA1F5F">
        <w:t xml:space="preserve"> </w:t>
      </w:r>
      <w:r w:rsidR="00960C9E">
        <w:t>Takovou povinností může být i řádné splnění</w:t>
      </w:r>
      <w:r w:rsidR="00CF39CC">
        <w:t xml:space="preserve"> dodavatele</w:t>
      </w:r>
      <w:r w:rsidR="00960C9E">
        <w:t>. Pro případ vadného splnění si tedy strany mohou sjednat smluvní pokutu v určité přiměřené výši. Důležitým aspektem je to, že vznikem práva na smluvní pokutu, resp. zaplacením smluvní pokuty</w:t>
      </w:r>
      <w:r w:rsidR="00ED7A2E">
        <w:t xml:space="preserve"> zásadně</w:t>
      </w:r>
      <w:r w:rsidR="00960C9E">
        <w:t xml:space="preserve"> nedochází ke splnění závazku a dodavatel tak je povinen i nadále splnit svůj dluh řádně.</w:t>
      </w:r>
      <w:r w:rsidR="00960C9E">
        <w:rPr>
          <w:rStyle w:val="FootnoteReference"/>
        </w:rPr>
        <w:footnoteReference w:id="156"/>
      </w:r>
      <w:r w:rsidR="001B51F8">
        <w:t xml:space="preserve"> </w:t>
      </w:r>
      <w:r w:rsidR="00CF39CC">
        <w:t xml:space="preserve">Strany si však mohou ve smlouvě sjednat tzv. nepravou smluvní pokutu, která aplikaci § 2049 ObčZ vyloučí a smluvní pokutu v podstatě změní na odstupné, které zbaví dodavatele povinnosti svůj dluh provést řádně. </w:t>
      </w:r>
      <w:r w:rsidR="001B51F8">
        <w:t>Nutno zde též upozornit na vztah smluvní pokuty a dalšího práv</w:t>
      </w:r>
      <w:r w:rsidR="003F0C69">
        <w:t>ního následku porušení smlouvy, tedy</w:t>
      </w:r>
      <w:r w:rsidR="001B51F8">
        <w:t xml:space="preserve"> náhrady škody. Dle § 2050 ObčZ smluvní pokuta vylučuje náhradu škody vzniklé z porušení povinnosti, z níž vzniká právo na </w:t>
      </w:r>
      <w:r w:rsidR="001B51F8">
        <w:lastRenderedPageBreak/>
        <w:t>zaplacení smluvní pokuty.</w:t>
      </w:r>
      <w:r w:rsidR="00AA78AE">
        <w:rPr>
          <w:rStyle w:val="FootnoteReference"/>
        </w:rPr>
        <w:footnoteReference w:id="157"/>
      </w:r>
      <w:r w:rsidR="00CF39CC">
        <w:t xml:space="preserve"> Přitom však právo na zaplacení smluvní pokuty vznikne </w:t>
      </w:r>
      <w:r w:rsidR="008A720E">
        <w:t xml:space="preserve">i </w:t>
      </w:r>
      <w:r w:rsidR="00CF39CC">
        <w:t xml:space="preserve">bez ohledu na to, zda v důsledku porušení smluvní povinnosti škoda </w:t>
      </w:r>
      <w:r w:rsidR="00AA78AE">
        <w:t xml:space="preserve">vznikla </w:t>
      </w:r>
      <w:r w:rsidR="00CF39CC">
        <w:t>či nikoliv.</w:t>
      </w:r>
      <w:r w:rsidR="00CF39CC">
        <w:rPr>
          <w:rStyle w:val="FootnoteReference"/>
        </w:rPr>
        <w:footnoteReference w:id="158"/>
      </w:r>
      <w:r w:rsidR="00CF39CC">
        <w:t xml:space="preserve"> </w:t>
      </w:r>
    </w:p>
    <w:p w14:paraId="24EB0397" w14:textId="72DB0E40" w:rsidR="006A3A1E" w:rsidRDefault="00ED7A2E" w:rsidP="00430427">
      <w:r>
        <w:t xml:space="preserve">Ve vícestupňových dodavatelsko-odběratelských vztazích bude smluvní ujednání o smluvní pokutě velice časté. Vznikne-li odběrateli právo na zaplacení smluvní pokuty vůči dodavateli, neboť konečné dílo je vadné, a je-li toto dílo vadné v důsledku vadného splnění subdodavatelem, </w:t>
      </w:r>
      <w:r w:rsidR="006F6C52">
        <w:t xml:space="preserve">pak je vhodné, aby si dodavatel do subdodavatelské smlouvy vymínil přenesení této sankce na subdodavatele. </w:t>
      </w:r>
      <w:r w:rsidR="004C18EE">
        <w:t xml:space="preserve">Učinit tak může </w:t>
      </w:r>
      <w:r w:rsidR="004C18EE" w:rsidRPr="000A5EA6">
        <w:t>buď ujednáním,</w:t>
      </w:r>
      <w:r w:rsidR="004C18EE">
        <w:t xml:space="preserve"> na základě kterého se subdodavatel zaváže uhradit částku odpovídající zaplacené smluvní pokutě dodavateli v případě, prokáže-li dodavatel, že smluvní pokuta vznikla v důsledku porušení povinnosti subdodavatele, to však může být v daném případě značně neurčité</w:t>
      </w:r>
      <w:r w:rsidR="000A5EA6">
        <w:rPr>
          <w:rStyle w:val="FootnoteReference"/>
        </w:rPr>
        <w:footnoteReference w:id="159"/>
      </w:r>
      <w:r w:rsidR="004C18EE">
        <w:t xml:space="preserve">. Subdodavatel by pak nemohl při uzavření smlouvy předvídat rizika spojená s takovým závazkem a pro tyto účely se např. nechat pojistit. </w:t>
      </w:r>
    </w:p>
    <w:p w14:paraId="7E8BB1EC" w14:textId="6EAAED83" w:rsidR="00430427" w:rsidRDefault="004C18EE" w:rsidP="00430427">
      <w:r>
        <w:t>Vhodnější by tak jistě bylo zakotvení určité výše smluvní pokuty i do subdodavatelské smlouvy, která by tak dodavateli pokryla rizika spojená s tím, že při plnění svého dluhu použije další subjekt.</w:t>
      </w:r>
      <w:r w:rsidR="00C708ED">
        <w:t xml:space="preserve"> Vždy však musí </w:t>
      </w:r>
      <w:r w:rsidR="00430427">
        <w:t>dodavatel dbát na to, aby byla výše smluvní pokuty přiměřená.</w:t>
      </w:r>
      <w:r w:rsidR="00430427">
        <w:rPr>
          <w:rStyle w:val="FootnoteReference"/>
        </w:rPr>
        <w:footnoteReference w:id="160"/>
      </w:r>
      <w:r w:rsidR="00C0565F">
        <w:t xml:space="preserve"> Třetí možností pak</w:t>
      </w:r>
      <w:r w:rsidR="00091D3D">
        <w:t xml:space="preserve"> je smluvní ujednání mezi subdodavatelem a dodavatelem, v rámci kterého se subdodavatel zaváže k náhradě škody</w:t>
      </w:r>
      <w:r w:rsidR="00795B80">
        <w:rPr>
          <w:rStyle w:val="FootnoteReference"/>
        </w:rPr>
        <w:footnoteReference w:id="161"/>
      </w:r>
      <w:r w:rsidR="00905F50">
        <w:t xml:space="preserve"> odpovídající</w:t>
      </w:r>
      <w:r w:rsidR="008C679B">
        <w:t xml:space="preserve"> smluvní pokutě</w:t>
      </w:r>
      <w:r w:rsidR="0058775E">
        <w:t>, k níž je povinen dodavatel</w:t>
      </w:r>
      <w:r w:rsidR="00091D3D">
        <w:t>, vznikla-li tato v příčinné souvislosti s vadným splněním subdodavatele</w:t>
      </w:r>
      <w:r w:rsidR="00795B80">
        <w:t xml:space="preserve"> a byla-li pro subdodavatele předvídatelná</w:t>
      </w:r>
      <w:r w:rsidR="00D9347B">
        <w:rPr>
          <w:rStyle w:val="FootnoteReference"/>
        </w:rPr>
        <w:footnoteReference w:id="162"/>
      </w:r>
      <w:r w:rsidR="00795B80">
        <w:t>.</w:t>
      </w:r>
    </w:p>
    <w:p w14:paraId="171811D7" w14:textId="7829649F" w:rsidR="000416AC" w:rsidRDefault="006A3A1E" w:rsidP="00D9347B">
      <w:r>
        <w:t xml:space="preserve">Dalším významným a častým právním následkem porušení povinnosti splnit řádně je náhrada škody. </w:t>
      </w:r>
      <w:r w:rsidR="00AA4678">
        <w:t xml:space="preserve">Ačkoliv je </w:t>
      </w:r>
      <w:r w:rsidR="005B1379">
        <w:t>náhrada škody</w:t>
      </w:r>
      <w:r w:rsidR="00AA4678">
        <w:t xml:space="preserve"> ve vícestupňových dodavatelsko-odběratelských vztazích sama o sobě značně složitá</w:t>
      </w:r>
      <w:r w:rsidR="001445E9">
        <w:rPr>
          <w:rStyle w:val="FootnoteReference"/>
        </w:rPr>
        <w:footnoteReference w:id="163"/>
      </w:r>
      <w:r w:rsidR="00E71F61">
        <w:t xml:space="preserve"> a zasloužila by si samostatnou publikaci</w:t>
      </w:r>
      <w:r w:rsidR="009A1EA2">
        <w:t>,</w:t>
      </w:r>
      <w:r w:rsidR="00996945">
        <w:t xml:space="preserve"> </w:t>
      </w:r>
      <w:r w:rsidR="005B1379">
        <w:t>§ 2630 ObčZ do ní (</w:t>
      </w:r>
      <w:r w:rsidR="00116EA8">
        <w:t>nadto</w:t>
      </w:r>
      <w:r w:rsidR="005B1379">
        <w:t xml:space="preserve">) vnáší </w:t>
      </w:r>
      <w:r w:rsidR="00116EA8">
        <w:t>další</w:t>
      </w:r>
      <w:r w:rsidR="005B1379">
        <w:t xml:space="preserve"> nejasnosti. </w:t>
      </w:r>
      <w:r w:rsidR="007D3663">
        <w:t xml:space="preserve">Otázka míří na situaci, kdy v důsledku vadného splnění </w:t>
      </w:r>
      <w:r w:rsidR="00635F98">
        <w:t xml:space="preserve">dodavatele, resp. </w:t>
      </w:r>
      <w:r w:rsidR="009975E7">
        <w:t xml:space="preserve">subdodavatele </w:t>
      </w:r>
      <w:r w:rsidR="007D3663">
        <w:t>dojde ke vzniku škody</w:t>
      </w:r>
      <w:r w:rsidR="009975E7">
        <w:t xml:space="preserve"> odběrateli</w:t>
      </w:r>
      <w:r w:rsidR="005B1379">
        <w:t xml:space="preserve">, jejíž náhrady nelze </w:t>
      </w:r>
      <w:r w:rsidR="005B1379">
        <w:lastRenderedPageBreak/>
        <w:t>dosáhnout uplatněním práva z vadného splnění</w:t>
      </w:r>
      <w:r w:rsidR="007D3663">
        <w:t xml:space="preserve">. </w:t>
      </w:r>
      <w:r w:rsidR="00851DCE">
        <w:t>Dle Heczka</w:t>
      </w:r>
      <w:r w:rsidR="00851DCE">
        <w:rPr>
          <w:rStyle w:val="FootnoteReference"/>
        </w:rPr>
        <w:footnoteReference w:id="164"/>
      </w:r>
      <w:r w:rsidR="00851DCE">
        <w:t xml:space="preserve"> </w:t>
      </w:r>
      <w:r w:rsidR="005B1379">
        <w:t xml:space="preserve">je § 2630 podkladem nejen pro stanovení povinností z vadného splnění, ale i podkladem pro </w:t>
      </w:r>
      <w:r w:rsidR="00252C21">
        <w:t>řešení náhrady</w:t>
      </w:r>
      <w:r w:rsidR="005B1379">
        <w:t xml:space="preserve"> škody. </w:t>
      </w:r>
      <w:r w:rsidR="00FA2DC1">
        <w:t>Účelem</w:t>
      </w:r>
      <w:r w:rsidR="00574AB2">
        <w:t xml:space="preserve"> autorova názoru je rozšíření okruhu škůdců a</w:t>
      </w:r>
      <w:r w:rsidR="00EA29BB">
        <w:t xml:space="preserve"> posílení postavení odběratele, zřejmě i stanovení </w:t>
      </w:r>
      <w:r w:rsidR="002A25A7">
        <w:t>liberačních důvodů subjektům pro případ vzniku škody</w:t>
      </w:r>
      <w:r w:rsidR="00EA29BB">
        <w:t xml:space="preserve"> a povinnosti</w:t>
      </w:r>
      <w:r w:rsidR="002A25A7">
        <w:t xml:space="preserve"> k její náhradě.</w:t>
      </w:r>
      <w:r w:rsidR="00EA29BB">
        <w:t xml:space="preserve"> </w:t>
      </w:r>
      <w:r w:rsidR="00E93E08">
        <w:t xml:space="preserve">Autor svá tvrzení však již neopírá o konkrétní skutkovou podstatu náhrady škody, resp. nevysvětluje vztah § 2630 k § 2910, ani </w:t>
      </w:r>
      <w:r w:rsidR="004C1896">
        <w:t xml:space="preserve">k </w:t>
      </w:r>
      <w:r w:rsidR="0056411D">
        <w:t>§ 2913, příp. ani k § 1935 ObčZ</w:t>
      </w:r>
      <w:r w:rsidR="00932065">
        <w:t>.</w:t>
      </w:r>
      <w:r w:rsidR="00014253">
        <w:t xml:space="preserve"> </w:t>
      </w:r>
      <w:r w:rsidR="000E1CF2">
        <w:t xml:space="preserve">K posouzení této otázky tak jistě budou zajímavé </w:t>
      </w:r>
      <w:r w:rsidR="007011A1">
        <w:t>závěry judikatury.</w:t>
      </w:r>
    </w:p>
    <w:p w14:paraId="1C02AD2F" w14:textId="75219A3B" w:rsidR="00B26AC8" w:rsidRDefault="0087537F" w:rsidP="00B26AC8">
      <w:r>
        <w:t xml:space="preserve">Poslední poznámku je nutno učinit k prodlení. </w:t>
      </w:r>
      <w:r w:rsidR="00EB4A40">
        <w:rPr>
          <w:rFonts w:cs="Times New Roman"/>
        </w:rPr>
        <w:t xml:space="preserve">Jak bylo výše zmíněno, pokud dodavatel nabídne vadné dílo, resp. </w:t>
      </w:r>
      <w:r w:rsidR="003939B0">
        <w:rPr>
          <w:rFonts w:cs="Times New Roman"/>
        </w:rPr>
        <w:t xml:space="preserve">jeho </w:t>
      </w:r>
      <w:r w:rsidR="00EB4A40">
        <w:rPr>
          <w:rFonts w:cs="Times New Roman"/>
        </w:rPr>
        <w:t xml:space="preserve">část, které však neslouží svému účelu vymezeného smlouvou, pak má primárně </w:t>
      </w:r>
      <w:r w:rsidR="00EB4A40" w:rsidRPr="00677E7D">
        <w:rPr>
          <w:rFonts w:cs="Times New Roman"/>
        </w:rPr>
        <w:t xml:space="preserve">odběratel právo odmítnout převzít toto vadné plnění a dodavatel se tímto dostává do prodlení. </w:t>
      </w:r>
      <w:r w:rsidRPr="00677E7D">
        <w:t>Vadné splnění</w:t>
      </w:r>
      <w:r w:rsidR="004152B3" w:rsidRPr="00677E7D">
        <w:t xml:space="preserve">, které předpokládá převzetí plnění </w:t>
      </w:r>
      <w:r w:rsidR="00EE1A69" w:rsidRPr="00677E7D">
        <w:t>(</w:t>
      </w:r>
      <w:r w:rsidR="004152B3" w:rsidRPr="00677E7D">
        <w:t>byť vadného</w:t>
      </w:r>
      <w:r w:rsidR="00EE1A69" w:rsidRPr="00677E7D">
        <w:t>)</w:t>
      </w:r>
      <w:r w:rsidR="004152B3" w:rsidRPr="00677E7D">
        <w:t>,</w:t>
      </w:r>
      <w:r w:rsidRPr="00677E7D">
        <w:t xml:space="preserve"> </w:t>
      </w:r>
      <w:r w:rsidR="00EB4A40" w:rsidRPr="00677E7D">
        <w:t xml:space="preserve">tedy </w:t>
      </w:r>
      <w:r w:rsidRPr="00677E7D">
        <w:t>vylučuje prodlení dodavatele.</w:t>
      </w:r>
      <w:r w:rsidR="00C920CC" w:rsidRPr="00677E7D">
        <w:t xml:space="preserve"> Přesuneme-li se </w:t>
      </w:r>
      <w:r w:rsidR="00EB4A40" w:rsidRPr="00677E7D">
        <w:t xml:space="preserve">v dodavatelsko-odběratelském vztahu o stupeň níže, můžeme </w:t>
      </w:r>
      <w:r w:rsidR="00C920CC" w:rsidRPr="00677E7D">
        <w:t>stejného způsobu porušení</w:t>
      </w:r>
      <w:r w:rsidR="00C920CC">
        <w:t xml:space="preserve"> smlouvy </w:t>
      </w:r>
      <w:r w:rsidR="00EE1A69">
        <w:t xml:space="preserve">dodavatelem </w:t>
      </w:r>
      <w:r w:rsidR="00C920CC">
        <w:t>docílit situací</w:t>
      </w:r>
      <w:r w:rsidR="00EB4A40">
        <w:t xml:space="preserve">, kdy v důsledku vadného splnění subdodavatele nemůže dodavatel dokončit hlavní dílo </w:t>
      </w:r>
      <w:r w:rsidR="00DD0E44">
        <w:t xml:space="preserve">včas </w:t>
      </w:r>
      <w:r w:rsidR="00EB4A40">
        <w:t>a tot</w:t>
      </w:r>
      <w:r w:rsidR="00C920CC">
        <w:t>o předat odběrateli, čímž se</w:t>
      </w:r>
      <w:r w:rsidR="00EB4A40">
        <w:t xml:space="preserve"> </w:t>
      </w:r>
      <w:r w:rsidR="004056BD">
        <w:t xml:space="preserve">sám </w:t>
      </w:r>
      <w:r w:rsidR="00EB4A40">
        <w:t xml:space="preserve">dostává do prodlení. </w:t>
      </w:r>
      <w:r w:rsidR="001B7A4F">
        <w:t xml:space="preserve">Pak vůči němu nastanou </w:t>
      </w:r>
      <w:r w:rsidR="00EE1A69">
        <w:t>právní následky prodlení, m</w:t>
      </w:r>
      <w:r w:rsidR="00EA47EE">
        <w:t xml:space="preserve">ezi </w:t>
      </w:r>
      <w:r w:rsidR="00EE1A69">
        <w:t>nimiž</w:t>
      </w:r>
      <w:r w:rsidR="00EA47EE">
        <w:t xml:space="preserve"> bude nejčastěji opět smluvní pokuta</w:t>
      </w:r>
      <w:r w:rsidR="00677E7D">
        <w:t xml:space="preserve"> a náhrada škody</w:t>
      </w:r>
      <w:r w:rsidR="00EA47EE">
        <w:t>.</w:t>
      </w:r>
      <w:r w:rsidR="00EE1A69">
        <w:t xml:space="preserve"> Souvislost vadného splnění a prodlení je tedy v dodavatelsko-odběratelských vztazích úzká a i p</w:t>
      </w:r>
      <w:r w:rsidR="00754E67">
        <w:t>ro tento případ se</w:t>
      </w:r>
      <w:r w:rsidR="00EA47EE">
        <w:t xml:space="preserve"> doporučuje zakotvit do subdodavatelské smlouvy ujednání, které přenese</w:t>
      </w:r>
      <w:r w:rsidR="0057478A">
        <w:t xml:space="preserve"> právní následky porušení smlouvy</w:t>
      </w:r>
      <w:r w:rsidR="00EE1A69">
        <w:t xml:space="preserve"> </w:t>
      </w:r>
      <w:r w:rsidR="00EA47EE">
        <w:t>na subdodavatele.</w:t>
      </w:r>
      <w:bookmarkStart w:id="70" w:name="_Toc442203444"/>
      <w:bookmarkStart w:id="71" w:name="_Toc442203513"/>
      <w:bookmarkEnd w:id="66"/>
      <w:bookmarkEnd w:id="67"/>
      <w:r w:rsidR="00DE1181">
        <w:rPr>
          <w:rStyle w:val="FootnoteReference"/>
        </w:rPr>
        <w:footnoteReference w:id="165"/>
      </w:r>
    </w:p>
    <w:p w14:paraId="6C1DD954" w14:textId="77777777" w:rsidR="00B26AC8" w:rsidRDefault="00B26AC8">
      <w:pPr>
        <w:spacing w:line="240" w:lineRule="auto"/>
        <w:ind w:firstLine="0"/>
        <w:jc w:val="left"/>
      </w:pPr>
      <w:r>
        <w:br w:type="page"/>
      </w:r>
    </w:p>
    <w:p w14:paraId="1A8A1C4C" w14:textId="2DBAA377" w:rsidR="00A97726" w:rsidRPr="00567FAB" w:rsidRDefault="00A97726" w:rsidP="00B26AC8">
      <w:pPr>
        <w:pStyle w:val="Heading1"/>
        <w:numPr>
          <w:ilvl w:val="0"/>
          <w:numId w:val="0"/>
        </w:numPr>
        <w:ind w:left="432" w:hanging="432"/>
      </w:pPr>
      <w:bookmarkStart w:id="72" w:name="_Toc460832707"/>
      <w:r w:rsidRPr="00567FAB">
        <w:lastRenderedPageBreak/>
        <w:t>Závěr</w:t>
      </w:r>
      <w:bookmarkEnd w:id="70"/>
      <w:bookmarkEnd w:id="71"/>
      <w:bookmarkEnd w:id="72"/>
    </w:p>
    <w:p w14:paraId="181CD70B" w14:textId="7339CA0B" w:rsidR="00D80262" w:rsidRDefault="00D80262" w:rsidP="00D80262">
      <w:r>
        <w:t>Právní úprava soukromého práva neupravuje obc</w:t>
      </w:r>
      <w:r w:rsidR="00253D37">
        <w:t>hodní závazky, ani dodavatelsko</w:t>
      </w:r>
      <w:r w:rsidR="00253D37">
        <w:noBreakHyphen/>
      </w:r>
      <w:r>
        <w:t>odběratelské vztahy. Tento nedostatek však nečiní v praxi problémy. Nastíněná klasifikace dodavatelsko</w:t>
      </w:r>
      <w:r>
        <w:noBreakHyphen/>
        <w:t>odběratelských vztahů je užitečná spíše pro účely teoretické. Určitou inspirací mohou být české právní úpravě subjekty dodavatelsko</w:t>
      </w:r>
      <w:r>
        <w:noBreakHyphen/>
        <w:t>odběratelských vztahů ve stavební praxi v německé právní úpravě</w:t>
      </w:r>
      <w:r w:rsidR="00DF4746">
        <w:t xml:space="preserve"> a uspořádání vztahů dle smluvních podmínek FIDIC</w:t>
      </w:r>
      <w:r w:rsidR="00240C4F">
        <w:t>, které počítají s přítomností subdodavatelů a s tím spojenými riziky</w:t>
      </w:r>
      <w:r>
        <w:t>.</w:t>
      </w:r>
    </w:p>
    <w:p w14:paraId="1B43EB0D" w14:textId="2E077362" w:rsidR="00D80262" w:rsidRDefault="005306D7" w:rsidP="00BD5EC8">
      <w:r>
        <w:t>Na základě výše provedené analýzy bylo</w:t>
      </w:r>
      <w:r w:rsidR="00D80262">
        <w:t xml:space="preserve"> </w:t>
      </w:r>
      <w:r>
        <w:t xml:space="preserve">zjištěno, </w:t>
      </w:r>
      <w:r w:rsidR="003D088D">
        <w:t xml:space="preserve">že </w:t>
      </w:r>
      <w:r>
        <w:t xml:space="preserve">obecná úprava vadného splnění </w:t>
      </w:r>
      <w:r w:rsidR="003D088D">
        <w:t>v zásadě odpovídá</w:t>
      </w:r>
      <w:r>
        <w:t xml:space="preserve"> </w:t>
      </w:r>
      <w:r w:rsidR="002A10E2">
        <w:t>p</w:t>
      </w:r>
      <w:r w:rsidR="007A0998">
        <w:t>otřebám jednodušších závazků</w:t>
      </w:r>
      <w:r w:rsidR="002A10E2">
        <w:t>. Pro úč</w:t>
      </w:r>
      <w:r w:rsidR="001E53FA">
        <w:t>ely vícestupňových dodavatelsko</w:t>
      </w:r>
      <w:r w:rsidR="001E53FA">
        <w:noBreakHyphen/>
      </w:r>
      <w:r w:rsidR="002A10E2">
        <w:t>odběratelských vztahů</w:t>
      </w:r>
      <w:r>
        <w:t xml:space="preserve"> </w:t>
      </w:r>
      <w:r w:rsidR="002A10E2">
        <w:t>je však tato úprava nedostatečná a smluvní strany tak musí věnovat značné</w:t>
      </w:r>
      <w:r w:rsidR="00253D37">
        <w:t xml:space="preserve"> úsilí smluvním ujednáním, která</w:t>
      </w:r>
      <w:r w:rsidR="00D80262">
        <w:t xml:space="preserve"> lépe zajistí případné nároky z porušení smlouvy</w:t>
      </w:r>
      <w:r w:rsidR="002A10E2">
        <w:t xml:space="preserve"> a rozvrhnou rizika spojená se závazkem rovnoměrně mezi </w:t>
      </w:r>
      <w:r w:rsidR="00D80262">
        <w:t>všechny zúčastněné subjekty, přičemž</w:t>
      </w:r>
      <w:r w:rsidR="00D80262">
        <w:rPr>
          <w:rFonts w:cs="Times New Roman"/>
        </w:rPr>
        <w:t xml:space="preserve"> v tomto ohledu budou největší nároky kladeny právě na dodavatele, který ke</w:t>
      </w:r>
      <w:r w:rsidR="001E53FA">
        <w:rPr>
          <w:rFonts w:cs="Times New Roman"/>
        </w:rPr>
        <w:t xml:space="preserve"> své činnosti využívá subdodavatelů</w:t>
      </w:r>
      <w:r w:rsidR="00D80262">
        <w:rPr>
          <w:rFonts w:cs="Times New Roman"/>
        </w:rPr>
        <w:t xml:space="preserve">. </w:t>
      </w:r>
      <w:r w:rsidR="002A10E2">
        <w:t>Právní úprava vadného splnění v rámci stavebních děl je nadto poměrně nepropracovaná a na místo zvýhodnění pozice odběratele přináší značné množství problémů.</w:t>
      </w:r>
      <w:r w:rsidR="0077386E">
        <w:t xml:space="preserve"> </w:t>
      </w:r>
      <w:r w:rsidR="00D80262">
        <w:t xml:space="preserve">Mnoho sporných okruhů vymezených výše tedy bude muset vyřešit judikatura. Kvalitním inspiračním zdrojem pro smluvní strany jsou smluvní podmínky FIDIC, které lépe reagují na potřeby smluvních stran, když </w:t>
      </w:r>
      <w:r w:rsidR="008C2AEA">
        <w:t xml:space="preserve">např. </w:t>
      </w:r>
      <w:r w:rsidR="00D80262">
        <w:t>část práv a povinností odběratele přenáší na tzv. správce stavby, který usnadňuje nejen vzájemnou komunikaci mezi stranami, ale i samotné řízení stavebního projektu, jakož i vzájemná jednání stran o jejich sporných záležitostech</w:t>
      </w:r>
      <w:r w:rsidR="00BF5282">
        <w:t xml:space="preserve"> a k tomu mu stanovuje </w:t>
      </w:r>
      <w:r w:rsidR="008C7507">
        <w:t>určité</w:t>
      </w:r>
      <w:r w:rsidR="00AE366D">
        <w:t xml:space="preserve"> pravomoci</w:t>
      </w:r>
      <w:r w:rsidR="00D80262">
        <w:t>.</w:t>
      </w:r>
    </w:p>
    <w:p w14:paraId="0C909CE0" w14:textId="4CDD2244" w:rsidR="00417B00" w:rsidRPr="00D80262" w:rsidRDefault="00D80262" w:rsidP="00D80262">
      <w:pPr>
        <w:rPr>
          <w:rFonts w:cs="Times New Roman"/>
        </w:rPr>
      </w:pPr>
      <w:r w:rsidRPr="00824596">
        <w:rPr>
          <w:i/>
        </w:rPr>
        <w:t>De lege ferenda</w:t>
      </w:r>
      <w:r>
        <w:t xml:space="preserve"> se navrhuje stanovit k problematickému § 2630 ObčZ vzájemnou informační povinnost subdodavatele a dodavatele o </w:t>
      </w:r>
      <w:r w:rsidR="00CD3176">
        <w:t xml:space="preserve">učiněném </w:t>
      </w:r>
      <w:r>
        <w:t>vytknutí vady odběratelem, informační povinnost dodavatele vůči odběrateli o svých subdodavatelích, jakož i informační povinnost dodavatele vůči subdodavateli o tom, jakého projektu se účastní, aby byl schopen předvídat případné riziko z uzavírané smlouvy</w:t>
      </w:r>
      <w:r w:rsidR="00665FDB">
        <w:t xml:space="preserve"> a vyvodit z toho pro sebe důsledky</w:t>
      </w:r>
      <w:r>
        <w:t xml:space="preserve">. </w:t>
      </w:r>
      <w:r w:rsidR="00824596">
        <w:t xml:space="preserve">Stranám se </w:t>
      </w:r>
      <w:r w:rsidR="00BD5EC8">
        <w:t xml:space="preserve">též </w:t>
      </w:r>
      <w:r w:rsidR="00824596">
        <w:t>doporučuje stanovit možnost odběratele uplatňovat svá práva z vadného splnění přímo proti subdodavateli</w:t>
      </w:r>
      <w:r w:rsidR="00D90E74">
        <w:t xml:space="preserve"> a v rámci smluv si vhodně klasifikovat </w:t>
      </w:r>
      <w:r w:rsidR="003E21E0">
        <w:t>jednotlivé stupně vad s konkrétními následky</w:t>
      </w:r>
      <w:r w:rsidR="00824596">
        <w:t>.</w:t>
      </w:r>
      <w:r w:rsidR="000B5CBB">
        <w:t xml:space="preserve"> </w:t>
      </w:r>
    </w:p>
    <w:p w14:paraId="2C0088E9" w14:textId="6F79D1A4" w:rsidR="00D80262" w:rsidRDefault="00D80262" w:rsidP="00D80262">
      <w:r>
        <w:t xml:space="preserve">Právní následky vadného splnění jsou </w:t>
      </w:r>
      <w:r w:rsidR="00253D37">
        <w:t xml:space="preserve">jednak obecné (ostatní), tedy takové, které vznikají v důsledku toho, že byla porušena smluvní povinnost, </w:t>
      </w:r>
      <w:r>
        <w:t xml:space="preserve">jednak zvláštní, tedy práva a povinnosti z vadného splnění, institut zádržného a právo na náhradu účelně vynaložených nákladů v souvislosti s uplatňováním práv z vadného splnění. Konkrétní práva a povinnosti </w:t>
      </w:r>
      <w:r>
        <w:lastRenderedPageBreak/>
        <w:t>z vadného splnění jsou v rámci obecné právní úpravy rozlišeny na základě</w:t>
      </w:r>
      <w:r w:rsidR="009D6F45">
        <w:t xml:space="preserve"> kritéria</w:t>
      </w:r>
      <w:r>
        <w:t xml:space="preserve"> odstranitelnosti vady</w:t>
      </w:r>
      <w:r w:rsidR="00925E01">
        <w:t xml:space="preserve"> </w:t>
      </w:r>
      <w:r w:rsidR="009D6F45">
        <w:t>a nemožnosti předmět plnění řádně užívat (podobně</w:t>
      </w:r>
      <w:r w:rsidR="00925E01">
        <w:t xml:space="preserve"> tak v tomto případě činí i smluvní podmínky FIDIC),</w:t>
      </w:r>
      <w:r>
        <w:t xml:space="preserve"> zatímco v případě právní úpravy smlouvy o dílo a kupní smlouvy zákon používá hledisko podstatného porušení smlouvy. </w:t>
      </w:r>
      <w:r w:rsidRPr="00471331">
        <w:t xml:space="preserve">Koncepce v rámci práv z vadného splnění u </w:t>
      </w:r>
      <w:r>
        <w:t xml:space="preserve">smlouvy o dílo a </w:t>
      </w:r>
      <w:r w:rsidRPr="00471331">
        <w:t xml:space="preserve">kupní smlouvy je </w:t>
      </w:r>
      <w:r w:rsidR="00F75C94">
        <w:t xml:space="preserve">však </w:t>
      </w:r>
      <w:r w:rsidRPr="00471331">
        <w:t>více šitá na míru konkrétnímu závazku s</w:t>
      </w:r>
      <w:r>
        <w:t> konkrétními smluvními stranami, když operuje i s odstranitelností vady.</w:t>
      </w:r>
    </w:p>
    <w:p w14:paraId="4FD9070D" w14:textId="0A8178BC" w:rsidR="00D80262" w:rsidRDefault="00253D37" w:rsidP="00D80262">
      <w:r>
        <w:rPr>
          <w:i/>
        </w:rPr>
        <w:t xml:space="preserve">De lege ferenda </w:t>
      </w:r>
      <w:r w:rsidRPr="00253D37">
        <w:t>se</w:t>
      </w:r>
      <w:r>
        <w:rPr>
          <w:i/>
        </w:rPr>
        <w:t xml:space="preserve"> </w:t>
      </w:r>
      <w:r>
        <w:t xml:space="preserve">navrhuje stanovit hledisko podstatného porušení smlouvy i pro obecnou úpravu práv z vadného splnění. </w:t>
      </w:r>
      <w:r w:rsidR="00027666">
        <w:t xml:space="preserve">Dále </w:t>
      </w:r>
      <w:r w:rsidR="000C3D71">
        <w:t xml:space="preserve">by strany při uzavírání smluv měly </w:t>
      </w:r>
      <w:r w:rsidR="00027666">
        <w:t>zohlednit, že s</w:t>
      </w:r>
      <w:r w:rsidR="00D80262">
        <w:t xml:space="preserve">ubdodavatelské smlouvy </w:t>
      </w:r>
      <w:r w:rsidR="00A417DD">
        <w:t>b</w:t>
      </w:r>
      <w:r w:rsidR="004462F5">
        <w:t>y měly fungovat na principu, na základě kterého</w:t>
      </w:r>
      <w:r w:rsidR="00D80262">
        <w:t xml:space="preserve"> dodavateli náleží ty práva a povinnosti jako odběrateli, zatímco subdodavatel je oprávněn a povinen k tomu, co dodavatel na základě dodavatelské smlouvy</w:t>
      </w:r>
      <w:r w:rsidR="000C3D71">
        <w:t>.</w:t>
      </w:r>
    </w:p>
    <w:p w14:paraId="6B0BCB27" w14:textId="293E67FD" w:rsidR="004F1463" w:rsidRDefault="00BD5EC8" w:rsidP="00264DA0">
      <w:pPr>
        <w:rPr>
          <w:rFonts w:cs="Times New Roman"/>
        </w:rPr>
      </w:pPr>
      <w:r>
        <w:rPr>
          <w:rFonts w:cs="Times New Roman"/>
        </w:rPr>
        <w:t xml:space="preserve">Práce se tedy zabývala obchodními závazky a dodavatelsko-odběratelskými vztahy s cílem tyto vztahy určitým způsobem klasifikovat a nastínit jejich zvláštnosti. </w:t>
      </w:r>
      <w:r w:rsidR="004F1463">
        <w:rPr>
          <w:rFonts w:cs="Times New Roman"/>
        </w:rPr>
        <w:t>V</w:t>
      </w:r>
      <w:r w:rsidR="00C61797">
        <w:rPr>
          <w:rFonts w:cs="Times New Roman"/>
        </w:rPr>
        <w:t>edle toho bylo v</w:t>
      </w:r>
      <w:r w:rsidR="004F1463">
        <w:rPr>
          <w:rFonts w:cs="Times New Roman"/>
        </w:rPr>
        <w:t xml:space="preserve"> rámci této práce pojednáno nejen o institutu vadného splnění, </w:t>
      </w:r>
      <w:r w:rsidR="00DC57CA">
        <w:rPr>
          <w:rFonts w:cs="Times New Roman"/>
        </w:rPr>
        <w:t xml:space="preserve">jakož i o veškerých zvláštních právních následcích tohoto způsobu porušení smlouvy, ale dále byly stanoveny i problematické okruhy následků obecných. V souvislosti s těmito instituty byla věnována pozornost i dílčím problémům, jako je např. otázka </w:t>
      </w:r>
      <w:r w:rsidR="004E5863">
        <w:rPr>
          <w:rFonts w:cs="Times New Roman"/>
        </w:rPr>
        <w:t xml:space="preserve">povinnosti odběratele dílo převzít, okamžik </w:t>
      </w:r>
      <w:r w:rsidR="00DC57CA">
        <w:rPr>
          <w:rFonts w:cs="Times New Roman"/>
        </w:rPr>
        <w:t xml:space="preserve">vzniku povinnosti </w:t>
      </w:r>
      <w:r w:rsidR="00253D37">
        <w:rPr>
          <w:rFonts w:cs="Times New Roman"/>
        </w:rPr>
        <w:t xml:space="preserve">odběratele </w:t>
      </w:r>
      <w:r w:rsidR="00DC57CA">
        <w:rPr>
          <w:rFonts w:cs="Times New Roman"/>
        </w:rPr>
        <w:t>zaplatit za dílo, srovnání</w:t>
      </w:r>
      <w:r w:rsidR="0030678F">
        <w:rPr>
          <w:rFonts w:cs="Times New Roman"/>
        </w:rPr>
        <w:t xml:space="preserve"> kritéria</w:t>
      </w:r>
      <w:r w:rsidR="00DC57CA">
        <w:rPr>
          <w:rFonts w:cs="Times New Roman"/>
        </w:rPr>
        <w:t xml:space="preserve"> odstranitelnosti vad a</w:t>
      </w:r>
      <w:r w:rsidR="004D3AC7">
        <w:rPr>
          <w:rFonts w:cs="Times New Roman"/>
        </w:rPr>
        <w:t xml:space="preserve"> kritéria</w:t>
      </w:r>
      <w:r w:rsidR="00DC57CA">
        <w:rPr>
          <w:rFonts w:cs="Times New Roman"/>
        </w:rPr>
        <w:t xml:space="preserve"> podstatného porušení smlouvy pro diferenciaci práv z vadného </w:t>
      </w:r>
      <w:r>
        <w:rPr>
          <w:rFonts w:cs="Times New Roman"/>
        </w:rPr>
        <w:t>splnění, aj.</w:t>
      </w:r>
      <w:r w:rsidR="005560AF">
        <w:rPr>
          <w:rFonts w:cs="Times New Roman"/>
        </w:rPr>
        <w:t xml:space="preserve"> Práce tak dosáhla v úvodu stanovených cílů a vyvrátila či potvrdila jednotlivé hypotézy. </w:t>
      </w:r>
    </w:p>
    <w:p w14:paraId="157175A2" w14:textId="52047903" w:rsidR="008235F6" w:rsidRPr="00940904" w:rsidRDefault="00BD5EC8" w:rsidP="00940904">
      <w:pPr>
        <w:rPr>
          <w:rFonts w:cs="Times New Roman"/>
        </w:rPr>
      </w:pPr>
      <w:r>
        <w:rPr>
          <w:rFonts w:cs="Times New Roman"/>
        </w:rPr>
        <w:t>Další výzkum by se měl věnovat problematickým okruhům</w:t>
      </w:r>
      <w:r w:rsidR="0028213B">
        <w:rPr>
          <w:rFonts w:cs="Times New Roman"/>
        </w:rPr>
        <w:t xml:space="preserve"> nastíněným v závěru třetí části této práce, zejména problematice</w:t>
      </w:r>
      <w:r w:rsidR="006900A5">
        <w:rPr>
          <w:rFonts w:cs="Times New Roman"/>
        </w:rPr>
        <w:t xml:space="preserve"> </w:t>
      </w:r>
      <w:r>
        <w:rPr>
          <w:rFonts w:cs="Times New Roman"/>
        </w:rPr>
        <w:t>§</w:t>
      </w:r>
      <w:r w:rsidR="00300B07">
        <w:rPr>
          <w:rFonts w:cs="Times New Roman"/>
        </w:rPr>
        <w:t> </w:t>
      </w:r>
      <w:r>
        <w:rPr>
          <w:rFonts w:cs="Times New Roman"/>
        </w:rPr>
        <w:t>2630</w:t>
      </w:r>
      <w:r w:rsidR="00300B07">
        <w:rPr>
          <w:rFonts w:cs="Times New Roman"/>
        </w:rPr>
        <w:t> </w:t>
      </w:r>
      <w:r>
        <w:rPr>
          <w:rFonts w:cs="Times New Roman"/>
        </w:rPr>
        <w:t xml:space="preserve">ObčZ, jakož i vztahu tohoto ustanovení k náhradě škody. Dále by měla být věnována pozornost </w:t>
      </w:r>
      <w:r w:rsidR="004D398E">
        <w:rPr>
          <w:rFonts w:cs="Times New Roman"/>
        </w:rPr>
        <w:t>vzájemnému</w:t>
      </w:r>
      <w:r w:rsidR="005412C3">
        <w:rPr>
          <w:rFonts w:cs="Times New Roman"/>
        </w:rPr>
        <w:t xml:space="preserve"> vztahu jednotlivých práv</w:t>
      </w:r>
      <w:r w:rsidR="001C347B">
        <w:rPr>
          <w:rFonts w:cs="Times New Roman"/>
        </w:rPr>
        <w:t>ních následků porušení smlouvy, případně pak</w:t>
      </w:r>
      <w:r w:rsidR="005412C3">
        <w:rPr>
          <w:rFonts w:cs="Times New Roman"/>
        </w:rPr>
        <w:t xml:space="preserve"> </w:t>
      </w:r>
      <w:r w:rsidR="002B40CF">
        <w:rPr>
          <w:rFonts w:cs="Times New Roman"/>
        </w:rPr>
        <w:t xml:space="preserve">otázce </w:t>
      </w:r>
      <w:r>
        <w:rPr>
          <w:rFonts w:cs="Times New Roman"/>
        </w:rPr>
        <w:t>prod</w:t>
      </w:r>
      <w:r w:rsidR="001C347B">
        <w:rPr>
          <w:rFonts w:cs="Times New Roman"/>
        </w:rPr>
        <w:t xml:space="preserve">lení a </w:t>
      </w:r>
      <w:r w:rsidR="002B40CF">
        <w:rPr>
          <w:rFonts w:cs="Times New Roman"/>
        </w:rPr>
        <w:t>dalších způsobů</w:t>
      </w:r>
      <w:r>
        <w:rPr>
          <w:rFonts w:cs="Times New Roman"/>
        </w:rPr>
        <w:t xml:space="preserve"> porušení smlouvy ve vícestupňových dodavatelsko</w:t>
      </w:r>
      <w:r>
        <w:rPr>
          <w:rFonts w:cs="Times New Roman"/>
        </w:rPr>
        <w:noBreakHyphen/>
        <w:t>odběratelských vz</w:t>
      </w:r>
      <w:r w:rsidR="002B40CF">
        <w:rPr>
          <w:rFonts w:cs="Times New Roman"/>
        </w:rPr>
        <w:t>tazích, jakož i jejich právních následků</w:t>
      </w:r>
      <w:r>
        <w:rPr>
          <w:rFonts w:cs="Times New Roman"/>
        </w:rPr>
        <w:t>.</w:t>
      </w:r>
      <w:bookmarkStart w:id="73" w:name="_GoBack"/>
      <w:bookmarkEnd w:id="73"/>
    </w:p>
    <w:p w14:paraId="17A69FC7" w14:textId="77777777" w:rsidR="00BD5EC8" w:rsidRDefault="00BD5EC8">
      <w:pPr>
        <w:spacing w:line="240" w:lineRule="auto"/>
        <w:ind w:firstLine="0"/>
        <w:jc w:val="left"/>
        <w:rPr>
          <w:rFonts w:eastAsiaTheme="majorEastAsia" w:cs="Times New Roman"/>
          <w:b/>
          <w:color w:val="000000" w:themeColor="text1"/>
          <w:sz w:val="32"/>
          <w:szCs w:val="32"/>
        </w:rPr>
      </w:pPr>
      <w:bookmarkStart w:id="74" w:name="_Toc442203445"/>
      <w:bookmarkStart w:id="75" w:name="_Toc442203514"/>
      <w:r>
        <w:br w:type="page"/>
      </w:r>
    </w:p>
    <w:p w14:paraId="269621F1" w14:textId="48845466" w:rsidR="006A1968" w:rsidRDefault="00DF1144" w:rsidP="006A1968">
      <w:pPr>
        <w:pStyle w:val="Heading1"/>
        <w:numPr>
          <w:ilvl w:val="0"/>
          <w:numId w:val="0"/>
        </w:numPr>
      </w:pPr>
      <w:bookmarkStart w:id="76" w:name="_Toc460832708"/>
      <w:r w:rsidRPr="00567FAB">
        <w:lastRenderedPageBreak/>
        <w:t>Seznam použitých zdrojů</w:t>
      </w:r>
      <w:bookmarkEnd w:id="74"/>
      <w:bookmarkEnd w:id="75"/>
      <w:bookmarkEnd w:id="76"/>
    </w:p>
    <w:p w14:paraId="672F0B99" w14:textId="11A80C49" w:rsidR="00EB0591" w:rsidRPr="007A0FB3" w:rsidRDefault="007A0FB3" w:rsidP="00301400">
      <w:pPr>
        <w:ind w:firstLine="0"/>
        <w:rPr>
          <w:rFonts w:cs="Times New Roman"/>
          <w:u w:val="single"/>
        </w:rPr>
      </w:pPr>
      <w:r w:rsidRPr="007A0FB3">
        <w:rPr>
          <w:rFonts w:eastAsia="Times New Roman" w:cs="Times New Roman"/>
          <w:u w:val="single"/>
        </w:rPr>
        <w:t>PRÁVNÍ PŘEDPISY:</w:t>
      </w:r>
    </w:p>
    <w:p w14:paraId="52B12FA3" w14:textId="77777777" w:rsidR="00D0289F" w:rsidRDefault="008C33ED" w:rsidP="00D0289F">
      <w:pPr>
        <w:pStyle w:val="TextAA"/>
        <w:spacing w:after="120" w:line="360" w:lineRule="auto"/>
        <w:ind w:firstLine="720"/>
        <w:jc w:val="both"/>
        <w:rPr>
          <w:rFonts w:ascii="Times New Roman" w:hAnsi="Times New Roman" w:cs="Times New Roman"/>
          <w:sz w:val="24"/>
          <w:szCs w:val="24"/>
          <w:lang w:val="cs-CZ"/>
        </w:rPr>
      </w:pPr>
      <w:r w:rsidRPr="00301400">
        <w:rPr>
          <w:rFonts w:ascii="Times New Roman" w:hAnsi="Times New Roman" w:cs="Times New Roman"/>
          <w:noProof/>
          <w:sz w:val="24"/>
          <w:szCs w:val="24"/>
          <w:lang w:val="cs-CZ"/>
        </w:rPr>
        <w:t>Nařízení Komise (ES) č. 1126/2008 ze dne 3. listopadu 2008, kterým se přijímají některé mezinárodní účetní standardy v souladu s nařízením Evropského parlamentu</w:t>
      </w:r>
      <w:r w:rsidRPr="00301400">
        <w:rPr>
          <w:rFonts w:ascii="Times New Roman" w:hAnsi="Times New Roman" w:cs="Times New Roman"/>
          <w:sz w:val="24"/>
          <w:szCs w:val="24"/>
          <w:lang w:val="cs-CZ"/>
        </w:rPr>
        <w:t xml:space="preserve"> a Rady (ES) č. 1606/2002, dostupné z &lt;</w:t>
      </w:r>
      <w:hyperlink r:id="rId8" w:history="1">
        <w:r w:rsidRPr="00301400">
          <w:rPr>
            <w:rStyle w:val="Hyperlink"/>
            <w:rFonts w:ascii="Times New Roman" w:hAnsi="Times New Roman" w:cs="Times New Roman"/>
            <w:sz w:val="24"/>
            <w:szCs w:val="24"/>
            <w:lang w:val="cs-CZ"/>
          </w:rPr>
          <w:t>http://eur-lex.europa.eu/legal-content/CS/TXT/PDF/?uri=CELEX:32008R1126&amp;from=EN</w:t>
        </w:r>
      </w:hyperlink>
      <w:r w:rsidRPr="00301400">
        <w:rPr>
          <w:rFonts w:ascii="Times New Roman" w:hAnsi="Times New Roman" w:cs="Times New Roman"/>
          <w:sz w:val="24"/>
          <w:szCs w:val="24"/>
          <w:lang w:val="cs-CZ"/>
        </w:rPr>
        <w:t>&gt;.</w:t>
      </w:r>
    </w:p>
    <w:p w14:paraId="60BDFEE9" w14:textId="77777777" w:rsidR="00D0289F" w:rsidRDefault="008C33ED" w:rsidP="00D0289F">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Zákon č. 183/2006 Sb., zákon o územním plánování a stavebním řádu (stavební zákon).</w:t>
      </w:r>
    </w:p>
    <w:p w14:paraId="430BEAE2" w14:textId="52BEF51E" w:rsidR="00EB0591" w:rsidRPr="00D0289F" w:rsidRDefault="00EB0591" w:rsidP="00D0289F">
      <w:pPr>
        <w:pStyle w:val="TextAA"/>
        <w:spacing w:after="120" w:line="360" w:lineRule="auto"/>
        <w:ind w:firstLine="720"/>
        <w:jc w:val="both"/>
        <w:rPr>
          <w:rFonts w:ascii="Times New Roman" w:hAnsi="Times New Roman" w:cs="Times New Roman"/>
          <w:sz w:val="24"/>
          <w:szCs w:val="24"/>
          <w:lang w:val="cs-CZ"/>
        </w:rPr>
      </w:pPr>
      <w:r w:rsidRPr="00301400">
        <w:rPr>
          <w:rFonts w:ascii="Times New Roman" w:hAnsi="Times New Roman" w:cs="Times New Roman"/>
          <w:sz w:val="24"/>
          <w:szCs w:val="24"/>
          <w:lang w:val="cs-CZ"/>
        </w:rPr>
        <w:t>Zákon č. 89/2012 Sb., občanský zákoník.</w:t>
      </w:r>
    </w:p>
    <w:p w14:paraId="36480852" w14:textId="77777777" w:rsidR="00D0289F" w:rsidRDefault="00D0289F" w:rsidP="00301400">
      <w:pPr>
        <w:ind w:firstLine="0"/>
        <w:rPr>
          <w:rFonts w:cs="Times New Roman"/>
          <w:u w:val="single"/>
        </w:rPr>
      </w:pPr>
    </w:p>
    <w:p w14:paraId="17CFB10E" w14:textId="55EE3523" w:rsidR="00EB0591" w:rsidRPr="007A0FB3" w:rsidRDefault="007A0FB3" w:rsidP="00301400">
      <w:pPr>
        <w:ind w:firstLine="0"/>
        <w:rPr>
          <w:rFonts w:cs="Times New Roman"/>
          <w:u w:val="single"/>
        </w:rPr>
      </w:pPr>
      <w:r w:rsidRPr="007A0FB3">
        <w:rPr>
          <w:rFonts w:cs="Times New Roman"/>
          <w:u w:val="single"/>
        </w:rPr>
        <w:t>VZOROVÉ SMLUVNÍ PODMÍNKY:</w:t>
      </w:r>
    </w:p>
    <w:p w14:paraId="6492F11B" w14:textId="77777777" w:rsidR="00D0289F" w:rsidRDefault="00EB0591" w:rsidP="00D0289F">
      <w:pPr>
        <w:spacing w:after="120"/>
        <w:rPr>
          <w:rFonts w:cs="Times New Roman"/>
        </w:rPr>
      </w:pPr>
      <w:r w:rsidRPr="00301400">
        <w:rPr>
          <w:rFonts w:cs="Times New Roman"/>
        </w:rPr>
        <w:t xml:space="preserve">FIDIC. </w:t>
      </w:r>
      <w:r w:rsidRPr="00301400">
        <w:rPr>
          <w:rFonts w:cs="Times New Roman"/>
          <w:i/>
        </w:rPr>
        <w:t>Conditions of Contract for Construction For Buildng and Engineering Works Designed by the Employer.</w:t>
      </w:r>
      <w:r w:rsidRPr="00301400">
        <w:rPr>
          <w:rFonts w:cs="Times New Roman"/>
        </w:rPr>
        <w:t xml:space="preserve"> The Red Book. First Edition. 1999.</w:t>
      </w:r>
    </w:p>
    <w:p w14:paraId="7C1DA1A8" w14:textId="74387E09" w:rsidR="00EB0591" w:rsidRPr="00301400" w:rsidRDefault="00EB0591" w:rsidP="00D0289F">
      <w:pPr>
        <w:spacing w:after="120"/>
        <w:rPr>
          <w:rFonts w:cs="Times New Roman"/>
        </w:rPr>
      </w:pPr>
      <w:r w:rsidRPr="00301400">
        <w:rPr>
          <w:rFonts w:cs="Times New Roman"/>
        </w:rPr>
        <w:t xml:space="preserve">FIDIC. </w:t>
      </w:r>
      <w:r w:rsidRPr="00301400">
        <w:rPr>
          <w:rFonts w:cs="Times New Roman"/>
          <w:i/>
        </w:rPr>
        <w:t xml:space="preserve">Conditions of Subcontract for Building and Engineering Works Designed by the Employer. </w:t>
      </w:r>
      <w:r w:rsidRPr="00301400">
        <w:rPr>
          <w:rFonts w:cs="Times New Roman"/>
        </w:rPr>
        <w:t>First Edition. 2011.</w:t>
      </w:r>
    </w:p>
    <w:p w14:paraId="3B3ECA0D" w14:textId="77777777" w:rsidR="00EB0591" w:rsidRPr="007A0FB3" w:rsidRDefault="00EB0591" w:rsidP="00301400">
      <w:pPr>
        <w:ind w:firstLine="0"/>
        <w:jc w:val="left"/>
        <w:rPr>
          <w:rFonts w:cs="Times New Roman"/>
          <w:u w:val="single"/>
        </w:rPr>
      </w:pPr>
    </w:p>
    <w:p w14:paraId="7A0E1FD6" w14:textId="015363EA" w:rsidR="00EB0591" w:rsidRPr="007A0FB3" w:rsidRDefault="007A0FB3" w:rsidP="00301400">
      <w:pPr>
        <w:ind w:firstLine="0"/>
        <w:rPr>
          <w:rFonts w:cs="Times New Roman"/>
          <w:u w:val="single"/>
        </w:rPr>
      </w:pPr>
      <w:r w:rsidRPr="007A0FB3">
        <w:rPr>
          <w:rFonts w:cs="Times New Roman"/>
          <w:u w:val="single"/>
        </w:rPr>
        <w:t>JUDIKATURA:</w:t>
      </w:r>
    </w:p>
    <w:p w14:paraId="47546B0A" w14:textId="77777777" w:rsidR="00D0289F" w:rsidRDefault="00205E05" w:rsidP="00D0289F">
      <w:pPr>
        <w:spacing w:after="120"/>
        <w:rPr>
          <w:rFonts w:cs="Times New Roman"/>
        </w:rPr>
      </w:pPr>
      <w:r w:rsidRPr="00301400">
        <w:rPr>
          <w:rFonts w:cs="Times New Roman"/>
        </w:rPr>
        <w:t xml:space="preserve">Nález Ústavního soudu České republiky ze dne </w:t>
      </w:r>
      <w:r w:rsidRPr="002D1CB8">
        <w:rPr>
          <w:rFonts w:cs="Times New Roman"/>
        </w:rPr>
        <w:t>29. 9. 2010</w:t>
      </w:r>
      <w:r w:rsidRPr="00301400">
        <w:rPr>
          <w:rFonts w:cs="Times New Roman"/>
        </w:rPr>
        <w:t>, sp.zn. I. ÚS 1052/10</w:t>
      </w:r>
      <w:r>
        <w:rPr>
          <w:rFonts w:cs="Times New Roman"/>
        </w:rPr>
        <w:t>.</w:t>
      </w:r>
    </w:p>
    <w:p w14:paraId="18CACA5C" w14:textId="77777777" w:rsidR="00D0289F" w:rsidRDefault="00205E05" w:rsidP="00D0289F">
      <w:pPr>
        <w:spacing w:after="120"/>
        <w:rPr>
          <w:rFonts w:cs="Times New Roman"/>
        </w:rPr>
      </w:pPr>
      <w:r w:rsidRPr="002D1CB8">
        <w:rPr>
          <w:rFonts w:cs="Times New Roman"/>
          <w:color w:val="000000" w:themeColor="text1"/>
        </w:rPr>
        <w:t xml:space="preserve">Rozsudek Nejvyššího soudu </w:t>
      </w:r>
      <w:r>
        <w:rPr>
          <w:rFonts w:cs="Times New Roman"/>
        </w:rPr>
        <w:t xml:space="preserve">České republiky ze dne 19. </w:t>
      </w:r>
      <w:r w:rsidRPr="00301400">
        <w:rPr>
          <w:rFonts w:cs="Times New Roman"/>
        </w:rPr>
        <w:t>4.</w:t>
      </w:r>
      <w:r>
        <w:rPr>
          <w:rFonts w:cs="Times New Roman"/>
        </w:rPr>
        <w:t xml:space="preserve"> </w:t>
      </w:r>
      <w:r w:rsidRPr="00301400">
        <w:rPr>
          <w:rFonts w:cs="Times New Roman"/>
        </w:rPr>
        <w:t>2016,</w:t>
      </w:r>
      <w:r>
        <w:rPr>
          <w:rFonts w:cs="Times New Roman"/>
        </w:rPr>
        <w:t xml:space="preserve"> </w:t>
      </w:r>
      <w:r w:rsidRPr="00301400">
        <w:rPr>
          <w:rFonts w:cs="Times New Roman"/>
        </w:rPr>
        <w:t>sp.zn.</w:t>
      </w:r>
      <w:r>
        <w:rPr>
          <w:rFonts w:cs="Times New Roman"/>
        </w:rPr>
        <w:t> </w:t>
      </w:r>
      <w:r w:rsidRPr="00301400">
        <w:rPr>
          <w:rFonts w:cs="Times New Roman"/>
        </w:rPr>
        <w:t>32</w:t>
      </w:r>
      <w:r>
        <w:rPr>
          <w:rFonts w:cs="Times New Roman"/>
        </w:rPr>
        <w:t> </w:t>
      </w:r>
      <w:r w:rsidRPr="00301400">
        <w:rPr>
          <w:rFonts w:cs="Times New Roman"/>
        </w:rPr>
        <w:t>Cdo</w:t>
      </w:r>
      <w:r>
        <w:rPr>
          <w:rFonts w:cs="Times New Roman"/>
        </w:rPr>
        <w:t> </w:t>
      </w:r>
      <w:r w:rsidRPr="00301400">
        <w:rPr>
          <w:rFonts w:cs="Times New Roman"/>
        </w:rPr>
        <w:t xml:space="preserve">2290/2014. </w:t>
      </w:r>
    </w:p>
    <w:p w14:paraId="539AE0D9" w14:textId="3716FF66" w:rsidR="00A9649A" w:rsidRDefault="00A9649A" w:rsidP="00D0289F">
      <w:pPr>
        <w:spacing w:after="120"/>
        <w:rPr>
          <w:rFonts w:cs="Times New Roman"/>
        </w:rPr>
      </w:pPr>
      <w:r>
        <w:t xml:space="preserve">Rozsudek Nejvyššího soudu České republiky ze dne 29. 6. 2010, sp.zn. </w:t>
      </w:r>
      <w:r w:rsidRPr="00A9649A">
        <w:t>33 Cdo 1508/2008</w:t>
      </w:r>
      <w:r w:rsidR="00FB5D3D">
        <w:t>.</w:t>
      </w:r>
    </w:p>
    <w:p w14:paraId="302A48D0" w14:textId="23A24E23" w:rsidR="00D349EB" w:rsidRDefault="00D349EB" w:rsidP="00D0289F">
      <w:pPr>
        <w:spacing w:after="120"/>
        <w:rPr>
          <w:rFonts w:cs="Times New Roman"/>
        </w:rPr>
      </w:pPr>
      <w:r>
        <w:t>Rozsudek Nejvyššího soudu České republiky ze dne 23. 6. 2010, sp.zn.</w:t>
      </w:r>
      <w:r w:rsidRPr="00D349EB">
        <w:t xml:space="preserve"> 23 Cdo 1991/2008</w:t>
      </w:r>
      <w:r>
        <w:t>.</w:t>
      </w:r>
    </w:p>
    <w:p w14:paraId="70B771FD" w14:textId="323CCFF4" w:rsidR="00845097" w:rsidRDefault="00845097" w:rsidP="00D0289F">
      <w:pPr>
        <w:spacing w:after="120"/>
        <w:rPr>
          <w:rFonts w:cs="Times New Roman"/>
        </w:rPr>
      </w:pPr>
      <w:r>
        <w:t xml:space="preserve">Rozsudek Nejvyššího soudu České republiky ze dne </w:t>
      </w:r>
      <w:r w:rsidRPr="00845097">
        <w:t>7. 1. 2009</w:t>
      </w:r>
      <w:r>
        <w:t xml:space="preserve">, sp.zn. </w:t>
      </w:r>
      <w:r w:rsidRPr="00845097">
        <w:t>28 Cdo 171/2008</w:t>
      </w:r>
      <w:r>
        <w:t>.</w:t>
      </w:r>
    </w:p>
    <w:p w14:paraId="6FD4A7D8" w14:textId="77777777" w:rsidR="00D0289F" w:rsidRDefault="00205E05" w:rsidP="00D0289F">
      <w:pPr>
        <w:spacing w:after="120"/>
        <w:rPr>
          <w:rFonts w:eastAsia="Times New Roman" w:cs="Times New Roman"/>
        </w:rPr>
      </w:pPr>
      <w:r w:rsidRPr="00301400">
        <w:rPr>
          <w:rFonts w:eastAsia="Times New Roman" w:cs="Times New Roman"/>
        </w:rPr>
        <w:t>Rozsudek Nejvyššího soudu České republ</w:t>
      </w:r>
      <w:r>
        <w:rPr>
          <w:rFonts w:eastAsia="Times New Roman" w:cs="Times New Roman"/>
        </w:rPr>
        <w:t>iky ze dne 21. 10. 2008, sp.zn. 32 Cdo </w:t>
      </w:r>
      <w:r w:rsidRPr="00301400">
        <w:rPr>
          <w:rFonts w:eastAsia="Times New Roman" w:cs="Times New Roman"/>
        </w:rPr>
        <w:t>2843/2008.</w:t>
      </w:r>
    </w:p>
    <w:p w14:paraId="6F14D9AB" w14:textId="5C7BF142" w:rsidR="000A5EA6" w:rsidRDefault="000A5EA6" w:rsidP="00D0289F">
      <w:pPr>
        <w:spacing w:after="120"/>
        <w:rPr>
          <w:rFonts w:eastAsia="Times New Roman" w:cs="Times New Roman"/>
        </w:rPr>
      </w:pPr>
      <w:r>
        <w:t>Rozsudek Nejvyššího soudu České republiky ze dne 30. 4. 2008, sp.zn. 32 Odo 852/2006.</w:t>
      </w:r>
    </w:p>
    <w:p w14:paraId="51B0CDD2" w14:textId="77777777" w:rsidR="00D0289F" w:rsidRDefault="00205E05" w:rsidP="00D0289F">
      <w:pPr>
        <w:spacing w:after="120"/>
        <w:rPr>
          <w:rFonts w:cs="Times New Roman"/>
        </w:rPr>
      </w:pPr>
      <w:r w:rsidRPr="00301400">
        <w:rPr>
          <w:rFonts w:cs="Times New Roman"/>
        </w:rPr>
        <w:t>Rozsudek Nejvyššího soudu České republiky ze dne 24. 5.</w:t>
      </w:r>
      <w:r>
        <w:rPr>
          <w:rFonts w:cs="Times New Roman"/>
        </w:rPr>
        <w:t xml:space="preserve"> 2007, sp.zn. 32 Odo </w:t>
      </w:r>
      <w:r w:rsidR="00D0289F">
        <w:rPr>
          <w:rFonts w:cs="Times New Roman"/>
        </w:rPr>
        <w:t>400/2006.</w:t>
      </w:r>
    </w:p>
    <w:p w14:paraId="4BBE1B95" w14:textId="77777777" w:rsidR="00D0289F" w:rsidRDefault="00205E05" w:rsidP="00D0289F">
      <w:pPr>
        <w:spacing w:after="120"/>
        <w:rPr>
          <w:rFonts w:eastAsia="Times New Roman" w:cs="Times New Roman"/>
        </w:rPr>
      </w:pPr>
      <w:r w:rsidRPr="00301400">
        <w:rPr>
          <w:rFonts w:eastAsia="Times New Roman" w:cs="Times New Roman"/>
        </w:rPr>
        <w:lastRenderedPageBreak/>
        <w:t>Rozsudek Nejvyššího soudu České republiky ze dne 25. 1.</w:t>
      </w:r>
      <w:r>
        <w:rPr>
          <w:rFonts w:eastAsia="Times New Roman" w:cs="Times New Roman"/>
        </w:rPr>
        <w:t xml:space="preserve"> 2006, sp.zn. 32 Odo </w:t>
      </w:r>
      <w:r w:rsidRPr="00301400">
        <w:rPr>
          <w:rFonts w:eastAsia="Times New Roman" w:cs="Times New Roman"/>
        </w:rPr>
        <w:t>444/2004.</w:t>
      </w:r>
    </w:p>
    <w:p w14:paraId="0421884B" w14:textId="3AA99556" w:rsidR="00416CB4" w:rsidRDefault="00416CB4" w:rsidP="00D0289F">
      <w:pPr>
        <w:spacing w:after="120"/>
        <w:rPr>
          <w:rFonts w:eastAsia="Times New Roman" w:cs="Times New Roman"/>
        </w:rPr>
      </w:pPr>
      <w:r>
        <w:t xml:space="preserve">Rozsudek Nejvyššího soudu České republiky ze dne 16. 12. 2003, sp.zn. </w:t>
      </w:r>
      <w:r w:rsidR="00E02A3E">
        <w:t>32 </w:t>
      </w:r>
      <w:r>
        <w:t>Odo</w:t>
      </w:r>
      <w:r w:rsidR="00E02A3E">
        <w:t> </w:t>
      </w:r>
      <w:r>
        <w:t>631/2002.</w:t>
      </w:r>
    </w:p>
    <w:p w14:paraId="66A0E1D7" w14:textId="77777777" w:rsidR="00D0289F" w:rsidRDefault="00205E05" w:rsidP="00D0289F">
      <w:pPr>
        <w:spacing w:after="120"/>
        <w:rPr>
          <w:rFonts w:cs="Times New Roman"/>
        </w:rPr>
      </w:pPr>
      <w:r w:rsidRPr="00301400">
        <w:rPr>
          <w:rFonts w:cs="Times New Roman"/>
        </w:rPr>
        <w:t>Rozsudek Nejvyššího soudu České re</w:t>
      </w:r>
      <w:r>
        <w:rPr>
          <w:rFonts w:cs="Times New Roman"/>
        </w:rPr>
        <w:t>publiky ze dne 12. 3. 2002, sp.</w:t>
      </w:r>
      <w:r w:rsidRPr="00301400">
        <w:rPr>
          <w:rFonts w:cs="Times New Roman"/>
        </w:rPr>
        <w:t>zn. 29 Odo 11/2001</w:t>
      </w:r>
      <w:r>
        <w:rPr>
          <w:rFonts w:cs="Times New Roman"/>
        </w:rPr>
        <w:t>.</w:t>
      </w:r>
    </w:p>
    <w:p w14:paraId="72247519" w14:textId="77777777" w:rsidR="00D0289F" w:rsidRDefault="00EB0591" w:rsidP="00D0289F">
      <w:pPr>
        <w:spacing w:after="120"/>
        <w:rPr>
          <w:rFonts w:cs="Times New Roman"/>
        </w:rPr>
      </w:pPr>
      <w:r w:rsidRPr="00301400">
        <w:rPr>
          <w:rFonts w:cs="Times New Roman"/>
        </w:rPr>
        <w:t>Rozsudek N</w:t>
      </w:r>
      <w:r w:rsidR="00B3490E" w:rsidRPr="00301400">
        <w:rPr>
          <w:rFonts w:cs="Times New Roman"/>
        </w:rPr>
        <w:t xml:space="preserve">ejvyššího soudu České republiky </w:t>
      </w:r>
      <w:r w:rsidRPr="00301400">
        <w:rPr>
          <w:rFonts w:cs="Times New Roman"/>
        </w:rPr>
        <w:t>ze dne 31.</w:t>
      </w:r>
      <w:r w:rsidR="00B3490E" w:rsidRPr="00301400">
        <w:rPr>
          <w:rFonts w:cs="Times New Roman"/>
        </w:rPr>
        <w:t xml:space="preserve"> 7.</w:t>
      </w:r>
      <w:r w:rsidR="002D1CB8">
        <w:rPr>
          <w:rFonts w:cs="Times New Roman"/>
        </w:rPr>
        <w:t xml:space="preserve"> </w:t>
      </w:r>
      <w:r w:rsidRPr="00301400">
        <w:rPr>
          <w:rFonts w:cs="Times New Roman"/>
        </w:rPr>
        <w:t>2000</w:t>
      </w:r>
      <w:r w:rsidR="00B3490E" w:rsidRPr="00301400">
        <w:rPr>
          <w:rFonts w:cs="Times New Roman"/>
        </w:rPr>
        <w:t>, sp.zn. 29 Cdo 51/2000.</w:t>
      </w:r>
    </w:p>
    <w:p w14:paraId="0314884A" w14:textId="7BAD3EEF" w:rsidR="00205E05" w:rsidRPr="00301400" w:rsidRDefault="00205E05" w:rsidP="00D0289F">
      <w:pPr>
        <w:spacing w:after="120"/>
        <w:rPr>
          <w:rFonts w:eastAsia="Times New Roman" w:cs="Times New Roman"/>
        </w:rPr>
      </w:pPr>
      <w:r w:rsidRPr="00301400">
        <w:rPr>
          <w:rFonts w:eastAsia="Times New Roman" w:cs="Times New Roman"/>
        </w:rPr>
        <w:t xml:space="preserve">Usnesení Nejvyššího soudu České republiky ze dne 5. 6. 2006, sp. zn. 32 Odo 558/2005. </w:t>
      </w:r>
    </w:p>
    <w:p w14:paraId="35DF2B23" w14:textId="3DEF08DA" w:rsidR="00D0289F" w:rsidRDefault="00D0289F">
      <w:pPr>
        <w:spacing w:line="240" w:lineRule="auto"/>
        <w:ind w:firstLine="0"/>
        <w:jc w:val="left"/>
        <w:rPr>
          <w:rFonts w:cs="Times New Roman"/>
          <w:u w:val="single"/>
        </w:rPr>
      </w:pPr>
    </w:p>
    <w:p w14:paraId="61D907B5" w14:textId="7BD8591A" w:rsidR="008A4495" w:rsidRPr="007A0FB3" w:rsidRDefault="007A0FB3" w:rsidP="00301400">
      <w:pPr>
        <w:ind w:firstLine="0"/>
        <w:rPr>
          <w:rFonts w:cs="Times New Roman"/>
          <w:u w:val="single"/>
        </w:rPr>
      </w:pPr>
      <w:r w:rsidRPr="007A0FB3">
        <w:rPr>
          <w:rFonts w:cs="Times New Roman"/>
          <w:u w:val="single"/>
        </w:rPr>
        <w:t>MONOGRAFIE:</w:t>
      </w:r>
    </w:p>
    <w:p w14:paraId="08BD427D" w14:textId="77777777" w:rsidR="00D0289F" w:rsidRDefault="006F6EB5" w:rsidP="00D0289F">
      <w:pPr>
        <w:pStyle w:val="TextAA"/>
        <w:spacing w:after="120" w:line="360" w:lineRule="auto"/>
        <w:ind w:firstLine="720"/>
        <w:jc w:val="both"/>
        <w:rPr>
          <w:rFonts w:ascii="Times New Roman" w:hAnsi="Times New Roman" w:cs="Times New Roman"/>
          <w:sz w:val="24"/>
          <w:szCs w:val="24"/>
          <w:lang w:val="cs-CZ"/>
        </w:rPr>
      </w:pPr>
      <w:r w:rsidRPr="00301400">
        <w:rPr>
          <w:rFonts w:ascii="Times New Roman" w:hAnsi="Times New Roman" w:cs="Times New Roman"/>
          <w:sz w:val="24"/>
          <w:szCs w:val="24"/>
          <w:lang w:val="cs-CZ"/>
        </w:rPr>
        <w:t xml:space="preserve">BEJČEK, Josef. </w:t>
      </w:r>
      <w:r w:rsidRPr="00301400">
        <w:rPr>
          <w:rFonts w:ascii="Times New Roman" w:hAnsi="Times New Roman" w:cs="Times New Roman"/>
          <w:i/>
          <w:iCs/>
          <w:sz w:val="24"/>
          <w:szCs w:val="24"/>
          <w:lang w:val="cs-CZ"/>
        </w:rPr>
        <w:t>Obchodní smlouvy - závazky v podnikání.</w:t>
      </w:r>
      <w:r w:rsidRPr="00301400">
        <w:rPr>
          <w:rFonts w:ascii="Times New Roman" w:hAnsi="Times New Roman" w:cs="Times New Roman"/>
          <w:sz w:val="24"/>
          <w:szCs w:val="24"/>
          <w:lang w:val="cs-CZ"/>
        </w:rPr>
        <w:t xml:space="preserve"> 1. vydání. Praha: C. H. Beck, 2015, 544 s. ISBN: 978-80-7400-574-9.</w:t>
      </w:r>
    </w:p>
    <w:p w14:paraId="7FD83151" w14:textId="77777777" w:rsidR="00D0289F" w:rsidRDefault="006F6EB5" w:rsidP="00D0289F">
      <w:pPr>
        <w:pStyle w:val="TextAA"/>
        <w:spacing w:after="120" w:line="360" w:lineRule="auto"/>
        <w:ind w:firstLine="720"/>
        <w:jc w:val="both"/>
        <w:rPr>
          <w:rFonts w:ascii="Times New Roman" w:hAnsi="Times New Roman" w:cs="Times New Roman"/>
          <w:sz w:val="24"/>
          <w:szCs w:val="24"/>
          <w:lang w:val="cs-CZ"/>
        </w:rPr>
      </w:pPr>
      <w:r w:rsidRPr="00301400">
        <w:rPr>
          <w:rFonts w:ascii="Times New Roman" w:hAnsi="Times New Roman" w:cs="Times New Roman"/>
          <w:sz w:val="24"/>
          <w:szCs w:val="24"/>
          <w:lang w:val="cs-CZ"/>
        </w:rPr>
        <w:t xml:space="preserve">CONTRACTS WORKING PARTY. </w:t>
      </w:r>
      <w:r w:rsidRPr="00301400">
        <w:rPr>
          <w:rFonts w:ascii="Times New Roman" w:hAnsi="Times New Roman" w:cs="Times New Roman"/>
          <w:i/>
          <w:iCs/>
          <w:sz w:val="24"/>
          <w:szCs w:val="24"/>
          <w:lang w:val="cs-CZ"/>
        </w:rPr>
        <w:t>Form of Contract, Subcontracts, the International Yellow Book</w:t>
      </w:r>
      <w:r w:rsidRPr="00301400">
        <w:rPr>
          <w:rFonts w:ascii="Times New Roman" w:hAnsi="Times New Roman" w:cs="Times New Roman"/>
          <w:sz w:val="24"/>
          <w:szCs w:val="24"/>
          <w:lang w:val="cs-CZ"/>
        </w:rPr>
        <w:t xml:space="preserve">. First edition. Rugby: Institution of </w:t>
      </w:r>
      <w:r w:rsidR="00205E05">
        <w:rPr>
          <w:rFonts w:ascii="Times New Roman" w:hAnsi="Times New Roman" w:cs="Times New Roman"/>
          <w:sz w:val="24"/>
          <w:szCs w:val="24"/>
          <w:lang w:val="cs-CZ"/>
        </w:rPr>
        <w:t>Chemical Engineers, 2007, 107 s.</w:t>
      </w:r>
      <w:r w:rsidRPr="00301400">
        <w:rPr>
          <w:rFonts w:ascii="Times New Roman" w:hAnsi="Times New Roman" w:cs="Times New Roman"/>
          <w:sz w:val="24"/>
          <w:szCs w:val="24"/>
          <w:lang w:val="cs-CZ"/>
        </w:rPr>
        <w:t xml:space="preserve"> ISBN: 0852955138.</w:t>
      </w:r>
    </w:p>
    <w:p w14:paraId="10F5CCF2" w14:textId="77777777" w:rsidR="00486A7A" w:rsidRDefault="006F6EB5" w:rsidP="00486A7A">
      <w:pPr>
        <w:pStyle w:val="TextAA"/>
        <w:spacing w:after="120" w:line="360" w:lineRule="auto"/>
        <w:ind w:firstLine="720"/>
        <w:jc w:val="both"/>
        <w:rPr>
          <w:rFonts w:ascii="Times New Roman" w:hAnsi="Times New Roman" w:cs="Times New Roman"/>
          <w:sz w:val="24"/>
          <w:szCs w:val="24"/>
          <w:lang w:val="cs-CZ"/>
        </w:rPr>
      </w:pPr>
      <w:r w:rsidRPr="00301400">
        <w:rPr>
          <w:rFonts w:ascii="Times New Roman" w:hAnsi="Times New Roman" w:cs="Times New Roman"/>
          <w:sz w:val="24"/>
          <w:szCs w:val="24"/>
          <w:lang w:val="cs-CZ"/>
        </w:rPr>
        <w:t xml:space="preserve">HULMÁK, M. a kol. </w:t>
      </w:r>
      <w:r w:rsidRPr="00301400">
        <w:rPr>
          <w:rFonts w:ascii="Times New Roman" w:hAnsi="Times New Roman" w:cs="Times New Roman"/>
          <w:i/>
          <w:iCs/>
          <w:sz w:val="24"/>
          <w:szCs w:val="24"/>
          <w:lang w:val="cs-CZ"/>
        </w:rPr>
        <w:t>Občanský zákoník V. Závazkové právo. Obecná část (§ 1721–2054). Komentář.</w:t>
      </w:r>
      <w:r w:rsidRPr="00301400">
        <w:rPr>
          <w:rFonts w:ascii="Times New Roman" w:hAnsi="Times New Roman" w:cs="Times New Roman"/>
          <w:sz w:val="24"/>
          <w:szCs w:val="24"/>
          <w:lang w:val="cs-CZ"/>
        </w:rPr>
        <w:t xml:space="preserve"> 1. vydání. Praha: C. H. Beck, 2014, 13</w:t>
      </w:r>
      <w:r w:rsidR="00486A7A">
        <w:rPr>
          <w:rFonts w:ascii="Times New Roman" w:hAnsi="Times New Roman" w:cs="Times New Roman"/>
          <w:sz w:val="24"/>
          <w:szCs w:val="24"/>
          <w:lang w:val="cs-CZ"/>
        </w:rPr>
        <w:t>35 s. ISBN: 978-80-7400-535-0</w:t>
      </w:r>
      <w:r w:rsidRPr="00301400">
        <w:rPr>
          <w:rFonts w:ascii="Times New Roman" w:hAnsi="Times New Roman" w:cs="Times New Roman"/>
          <w:sz w:val="24"/>
          <w:szCs w:val="24"/>
          <w:lang w:val="cs-CZ"/>
        </w:rPr>
        <w:t>.</w:t>
      </w:r>
    </w:p>
    <w:p w14:paraId="7B34E033" w14:textId="77777777" w:rsidR="00486A7A" w:rsidRDefault="006F6EB5" w:rsidP="00486A7A">
      <w:pPr>
        <w:pStyle w:val="TextAA"/>
        <w:spacing w:after="120" w:line="360" w:lineRule="auto"/>
        <w:ind w:firstLine="720"/>
        <w:jc w:val="both"/>
        <w:rPr>
          <w:rFonts w:ascii="Times New Roman" w:hAnsi="Times New Roman" w:cs="Times New Roman"/>
          <w:sz w:val="24"/>
          <w:szCs w:val="24"/>
          <w:lang w:val="cs-CZ"/>
        </w:rPr>
      </w:pPr>
      <w:r w:rsidRPr="00301400">
        <w:rPr>
          <w:rFonts w:ascii="Times New Roman" w:hAnsi="Times New Roman" w:cs="Times New Roman"/>
          <w:sz w:val="24"/>
          <w:szCs w:val="24"/>
          <w:lang w:val="cs-CZ"/>
        </w:rPr>
        <w:t xml:space="preserve">HULMÁK, M. a kol. </w:t>
      </w:r>
      <w:r w:rsidRPr="00301400">
        <w:rPr>
          <w:rFonts w:ascii="Times New Roman" w:hAnsi="Times New Roman" w:cs="Times New Roman"/>
          <w:i/>
          <w:iCs/>
          <w:sz w:val="24"/>
          <w:szCs w:val="24"/>
          <w:lang w:val="cs-CZ"/>
        </w:rPr>
        <w:t>Občanský zákoník VI. Závazkové právo. Zvláštní část (§ 2055–3014). Komentář</w:t>
      </w:r>
      <w:r w:rsidRPr="00301400">
        <w:rPr>
          <w:rFonts w:ascii="Times New Roman" w:hAnsi="Times New Roman" w:cs="Times New Roman"/>
          <w:sz w:val="24"/>
          <w:szCs w:val="24"/>
          <w:lang w:val="cs-CZ"/>
        </w:rPr>
        <w:t>. 1. vydání. Praha : C. H. Beck, 2014, 2072 s. ISBN: 978-80-7400-287-8.</w:t>
      </w:r>
    </w:p>
    <w:p w14:paraId="0B1492B7" w14:textId="77777777" w:rsidR="00486A7A" w:rsidRDefault="006F6EB5" w:rsidP="00486A7A">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 xml:space="preserve">KLEE, L. </w:t>
      </w:r>
      <w:r w:rsidRPr="00301400">
        <w:rPr>
          <w:rFonts w:ascii="Times New Roman" w:hAnsi="Times New Roman" w:cs="Times New Roman"/>
          <w:i/>
          <w:sz w:val="24"/>
          <w:szCs w:val="24"/>
        </w:rPr>
        <w:t xml:space="preserve">Smluvní podmínky FIDIC. </w:t>
      </w:r>
      <w:r w:rsidRPr="00301400">
        <w:rPr>
          <w:rFonts w:ascii="Times New Roman" w:hAnsi="Times New Roman" w:cs="Times New Roman"/>
          <w:sz w:val="24"/>
          <w:szCs w:val="24"/>
        </w:rPr>
        <w:t>Praha: Wolters Kluer ČR, a. S., 2011, s. 456. ISBN</w:t>
      </w:r>
      <w:r w:rsidR="00205E05">
        <w:rPr>
          <w:rFonts w:ascii="Times New Roman" w:hAnsi="Times New Roman" w:cs="Times New Roman"/>
          <w:sz w:val="24"/>
          <w:szCs w:val="24"/>
        </w:rPr>
        <w:t>:</w:t>
      </w:r>
      <w:r w:rsidRPr="00301400">
        <w:rPr>
          <w:rFonts w:ascii="Times New Roman" w:hAnsi="Times New Roman" w:cs="Times New Roman"/>
          <w:sz w:val="24"/>
          <w:szCs w:val="24"/>
        </w:rPr>
        <w:t xml:space="preserve"> 978-80-7357-620-2.</w:t>
      </w:r>
    </w:p>
    <w:p w14:paraId="5ABD4A45" w14:textId="10962BC9" w:rsidR="00486A7A" w:rsidRDefault="007A0FB3" w:rsidP="00486A7A">
      <w:pPr>
        <w:pStyle w:val="TextAA"/>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6F6EB5" w:rsidRPr="00301400">
        <w:rPr>
          <w:rFonts w:ascii="Times New Roman" w:hAnsi="Times New Roman" w:cs="Times New Roman"/>
          <w:sz w:val="24"/>
          <w:szCs w:val="24"/>
        </w:rPr>
        <w:t xml:space="preserve">LEE, L. </w:t>
      </w:r>
      <w:r w:rsidR="006F6EB5" w:rsidRPr="00205E05">
        <w:rPr>
          <w:rFonts w:ascii="Times New Roman" w:hAnsi="Times New Roman" w:cs="Times New Roman"/>
          <w:i/>
          <w:sz w:val="24"/>
          <w:szCs w:val="24"/>
        </w:rPr>
        <w:t>Smluvní vztahy výstavbových projektů</w:t>
      </w:r>
      <w:r w:rsidR="00846157">
        <w:rPr>
          <w:rFonts w:ascii="Times New Roman" w:hAnsi="Times New Roman" w:cs="Times New Roman"/>
          <w:sz w:val="24"/>
          <w:szCs w:val="24"/>
        </w:rPr>
        <w:t>. 1. vydání. Praha</w:t>
      </w:r>
      <w:r w:rsidR="006F6EB5" w:rsidRPr="00301400">
        <w:rPr>
          <w:rFonts w:ascii="Times New Roman" w:hAnsi="Times New Roman" w:cs="Times New Roman"/>
          <w:sz w:val="24"/>
          <w:szCs w:val="24"/>
        </w:rPr>
        <w:t>: Wolters Kluwer ČR, 2012. 148 s. ISBN</w:t>
      </w:r>
      <w:r w:rsidR="00205E05">
        <w:rPr>
          <w:rFonts w:ascii="Times New Roman" w:hAnsi="Times New Roman" w:cs="Times New Roman"/>
          <w:sz w:val="24"/>
          <w:szCs w:val="24"/>
        </w:rPr>
        <w:t>:</w:t>
      </w:r>
      <w:r w:rsidR="006F6EB5" w:rsidRPr="00301400">
        <w:rPr>
          <w:rFonts w:ascii="Times New Roman" w:hAnsi="Times New Roman" w:cs="Times New Roman"/>
          <w:sz w:val="24"/>
          <w:szCs w:val="24"/>
        </w:rPr>
        <w:t xml:space="preserve"> 978-80-7357-953-1.</w:t>
      </w:r>
    </w:p>
    <w:p w14:paraId="3CE32726" w14:textId="6D4AFAC9" w:rsidR="00486A7A" w:rsidRDefault="006F6EB5" w:rsidP="00486A7A">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 xml:space="preserve">KLEE, L. </w:t>
      </w:r>
      <w:r w:rsidRPr="00301400">
        <w:rPr>
          <w:rFonts w:ascii="Times New Roman" w:hAnsi="Times New Roman" w:cs="Times New Roman"/>
          <w:i/>
          <w:sz w:val="24"/>
          <w:szCs w:val="24"/>
        </w:rPr>
        <w:t>Stavební smluvní právo.</w:t>
      </w:r>
      <w:r w:rsidR="00846157">
        <w:rPr>
          <w:rFonts w:ascii="Times New Roman" w:hAnsi="Times New Roman" w:cs="Times New Roman"/>
          <w:sz w:val="24"/>
          <w:szCs w:val="24"/>
        </w:rPr>
        <w:t xml:space="preserve"> 1. Vydání. Praha</w:t>
      </w:r>
      <w:r w:rsidRPr="00301400">
        <w:rPr>
          <w:rFonts w:ascii="Times New Roman" w:hAnsi="Times New Roman" w:cs="Times New Roman"/>
          <w:sz w:val="24"/>
          <w:szCs w:val="24"/>
        </w:rPr>
        <w:t>: Wolters Kluwer, a.s., 2015. 504 s. ISBN: 978-80-7478-804-8.</w:t>
      </w:r>
    </w:p>
    <w:p w14:paraId="57E77B14" w14:textId="4E1C1FD3" w:rsidR="00486A7A" w:rsidRDefault="006F6EB5" w:rsidP="00486A7A">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 xml:space="preserve">LANGER, H. </w:t>
      </w:r>
      <w:r w:rsidRPr="00301400">
        <w:rPr>
          <w:rFonts w:ascii="Times New Roman" w:hAnsi="Times New Roman" w:cs="Times New Roman"/>
          <w:i/>
          <w:sz w:val="24"/>
          <w:szCs w:val="24"/>
        </w:rPr>
        <w:t xml:space="preserve">Vergütungsrisiken des Subunternehmers im internationalen Industrieanlagenbau: eine vergleichende Studie über die Zulässigkeit bedingender Zahlungsklauseln nach deutschem, amerikanischem und englischem Recht. </w:t>
      </w:r>
      <w:r w:rsidR="00846157">
        <w:rPr>
          <w:rFonts w:ascii="Times New Roman" w:hAnsi="Times New Roman" w:cs="Times New Roman"/>
          <w:sz w:val="24"/>
          <w:szCs w:val="24"/>
        </w:rPr>
        <w:t>Berlin</w:t>
      </w:r>
      <w:r w:rsidRPr="00301400">
        <w:rPr>
          <w:rFonts w:ascii="Times New Roman" w:hAnsi="Times New Roman" w:cs="Times New Roman"/>
          <w:sz w:val="24"/>
          <w:szCs w:val="24"/>
        </w:rPr>
        <w:t>: Tenea Verlag Ltd., 2004. 267 s. ISBN: 3-86504-084-5.</w:t>
      </w:r>
    </w:p>
    <w:p w14:paraId="4D0AEF2F" w14:textId="77777777" w:rsidR="00486A7A" w:rsidRDefault="006F6EB5" w:rsidP="00486A7A">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 xml:space="preserve">MELZER, F., TÉGL., P. a kol. </w:t>
      </w:r>
      <w:r w:rsidRPr="00205E05">
        <w:rPr>
          <w:rFonts w:ascii="Times New Roman" w:hAnsi="Times New Roman" w:cs="Times New Roman"/>
          <w:i/>
          <w:sz w:val="24"/>
          <w:szCs w:val="24"/>
        </w:rPr>
        <w:t>Občanský zákoník –</w:t>
      </w:r>
      <w:r w:rsidR="00205E05" w:rsidRPr="00205E05">
        <w:rPr>
          <w:rFonts w:ascii="Times New Roman" w:hAnsi="Times New Roman" w:cs="Times New Roman"/>
          <w:i/>
          <w:sz w:val="24"/>
          <w:szCs w:val="24"/>
        </w:rPr>
        <w:t xml:space="preserve"> velký komentář</w:t>
      </w:r>
      <w:r w:rsidR="00205E05">
        <w:rPr>
          <w:rFonts w:ascii="Times New Roman" w:hAnsi="Times New Roman" w:cs="Times New Roman"/>
          <w:sz w:val="24"/>
          <w:szCs w:val="24"/>
        </w:rPr>
        <w:t xml:space="preserve">. </w:t>
      </w:r>
      <w:r w:rsidR="00205E05" w:rsidRPr="00205E05">
        <w:rPr>
          <w:rFonts w:ascii="Times New Roman" w:hAnsi="Times New Roman" w:cs="Times New Roman"/>
          <w:i/>
          <w:sz w:val="24"/>
          <w:szCs w:val="24"/>
        </w:rPr>
        <w:t>Svazek I. § 1</w:t>
      </w:r>
      <w:r w:rsidR="00205E05" w:rsidRPr="00205E05">
        <w:rPr>
          <w:rFonts w:ascii="Times New Roman" w:hAnsi="Times New Roman" w:cs="Times New Roman"/>
          <w:i/>
          <w:sz w:val="24"/>
          <w:szCs w:val="24"/>
        </w:rPr>
        <w:noBreakHyphen/>
      </w:r>
      <w:r w:rsidRPr="00205E05">
        <w:rPr>
          <w:rFonts w:ascii="Times New Roman" w:hAnsi="Times New Roman" w:cs="Times New Roman"/>
          <w:i/>
          <w:sz w:val="24"/>
          <w:szCs w:val="24"/>
        </w:rPr>
        <w:t>117</w:t>
      </w:r>
      <w:r w:rsidRPr="00301400">
        <w:rPr>
          <w:rFonts w:ascii="Times New Roman" w:hAnsi="Times New Roman" w:cs="Times New Roman"/>
          <w:sz w:val="24"/>
          <w:szCs w:val="24"/>
        </w:rPr>
        <w:t>. Praha: Leges, 2013, 720 s.</w:t>
      </w:r>
      <w:r w:rsidR="00205E05">
        <w:rPr>
          <w:rFonts w:ascii="Times New Roman" w:hAnsi="Times New Roman" w:cs="Times New Roman"/>
          <w:sz w:val="24"/>
          <w:szCs w:val="24"/>
        </w:rPr>
        <w:t xml:space="preserve"> ISBN: 978-80-87576-73-1.</w:t>
      </w:r>
    </w:p>
    <w:p w14:paraId="41F68718" w14:textId="4D229608" w:rsidR="00486A7A" w:rsidRDefault="006F6EB5" w:rsidP="00486A7A">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lastRenderedPageBreak/>
        <w:t xml:space="preserve">OLERÍNY, M. </w:t>
      </w:r>
      <w:r w:rsidRPr="00301400">
        <w:rPr>
          <w:rFonts w:ascii="Times New Roman" w:hAnsi="Times New Roman" w:cs="Times New Roman"/>
          <w:i/>
          <w:sz w:val="24"/>
          <w:szCs w:val="24"/>
        </w:rPr>
        <w:t xml:space="preserve">Řízení stavebních projektů. Ceny a smlouvy v zahraniční praxi. </w:t>
      </w:r>
      <w:r w:rsidR="00846157">
        <w:rPr>
          <w:rFonts w:ascii="Times New Roman" w:hAnsi="Times New Roman" w:cs="Times New Roman"/>
          <w:sz w:val="24"/>
          <w:szCs w:val="24"/>
        </w:rPr>
        <w:t>1. vydání. Praha</w:t>
      </w:r>
      <w:r w:rsidRPr="00301400">
        <w:rPr>
          <w:rFonts w:ascii="Times New Roman" w:hAnsi="Times New Roman" w:cs="Times New Roman"/>
          <w:sz w:val="24"/>
          <w:szCs w:val="24"/>
        </w:rPr>
        <w:t>: C. H. Beck, 2002. 190 s. ISBN: 80-7179-665-4.</w:t>
      </w:r>
    </w:p>
    <w:p w14:paraId="5F463F9B" w14:textId="06146888" w:rsidR="00486A7A" w:rsidRDefault="008A4495" w:rsidP="00486A7A">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 xml:space="preserve">ŠILHÁN, J. </w:t>
      </w:r>
      <w:r w:rsidRPr="00301400">
        <w:rPr>
          <w:rFonts w:ascii="Times New Roman" w:hAnsi="Times New Roman" w:cs="Times New Roman"/>
          <w:i/>
          <w:sz w:val="24"/>
          <w:szCs w:val="24"/>
        </w:rPr>
        <w:t>Právní následky porušení smlouvy v novém občanském zákoníku</w:t>
      </w:r>
      <w:r w:rsidRPr="00301400">
        <w:rPr>
          <w:rFonts w:ascii="Times New Roman" w:hAnsi="Times New Roman" w:cs="Times New Roman"/>
          <w:sz w:val="24"/>
          <w:szCs w:val="24"/>
        </w:rPr>
        <w:t>. 1. Vydání. P</w:t>
      </w:r>
      <w:r w:rsidR="00846157">
        <w:rPr>
          <w:rFonts w:ascii="Times New Roman" w:hAnsi="Times New Roman" w:cs="Times New Roman"/>
          <w:sz w:val="24"/>
          <w:szCs w:val="24"/>
        </w:rPr>
        <w:t>raha</w:t>
      </w:r>
      <w:r w:rsidR="007A0FB3">
        <w:rPr>
          <w:rFonts w:ascii="Times New Roman" w:hAnsi="Times New Roman" w:cs="Times New Roman"/>
          <w:sz w:val="24"/>
          <w:szCs w:val="24"/>
        </w:rPr>
        <w:t>: C. H. Beck, 2015, s. 4.</w:t>
      </w:r>
      <w:r w:rsidR="00205E05">
        <w:rPr>
          <w:rFonts w:ascii="Times New Roman" w:hAnsi="Times New Roman" w:cs="Times New Roman"/>
          <w:sz w:val="24"/>
          <w:szCs w:val="24"/>
        </w:rPr>
        <w:t xml:space="preserve"> ISBN: 978-80-7400-544-2.</w:t>
      </w:r>
    </w:p>
    <w:p w14:paraId="00CD2820" w14:textId="25030563" w:rsidR="008A4495" w:rsidRPr="00301400" w:rsidRDefault="008A4495" w:rsidP="00486A7A">
      <w:pPr>
        <w:pStyle w:val="TextAA"/>
        <w:spacing w:after="120" w:line="360" w:lineRule="auto"/>
        <w:ind w:firstLine="720"/>
        <w:jc w:val="both"/>
        <w:rPr>
          <w:rFonts w:ascii="Times New Roman" w:eastAsia="Times New Roman" w:hAnsi="Times New Roman" w:cs="Times New Roman"/>
          <w:sz w:val="24"/>
          <w:szCs w:val="24"/>
          <w:lang w:val="cs-CZ"/>
        </w:rPr>
      </w:pPr>
      <w:r w:rsidRPr="00301400">
        <w:rPr>
          <w:rFonts w:ascii="Times New Roman" w:eastAsia="Times New Roman" w:hAnsi="Times New Roman" w:cs="Times New Roman"/>
          <w:sz w:val="24"/>
          <w:szCs w:val="24"/>
          <w:lang w:val="cs-CZ"/>
        </w:rPr>
        <w:t>TICHÝ, L., PIPKOVÁ P. J., BALARIN, J.: Kupní smlouva v novém občanském zákoníku. Komentář. 1. vydání. Praha: C. H. Beck, 2014, 504 s.</w:t>
      </w:r>
      <w:r w:rsidR="00205E05">
        <w:rPr>
          <w:rFonts w:ascii="Times New Roman" w:eastAsia="Times New Roman" w:hAnsi="Times New Roman" w:cs="Times New Roman"/>
          <w:sz w:val="24"/>
          <w:szCs w:val="24"/>
          <w:lang w:val="cs-CZ"/>
        </w:rPr>
        <w:t xml:space="preserve"> ISBN: 978-80-7400-521-3.</w:t>
      </w:r>
    </w:p>
    <w:p w14:paraId="05A34408" w14:textId="77777777" w:rsidR="008A4495" w:rsidRPr="00301400" w:rsidRDefault="008A4495" w:rsidP="00301400">
      <w:pPr>
        <w:pStyle w:val="TextAA"/>
        <w:spacing w:line="360" w:lineRule="auto"/>
        <w:jc w:val="both"/>
        <w:rPr>
          <w:rFonts w:ascii="Times New Roman" w:hAnsi="Times New Roman" w:cs="Times New Roman"/>
          <w:sz w:val="24"/>
          <w:szCs w:val="24"/>
          <w:lang w:val="cs-CZ"/>
        </w:rPr>
      </w:pPr>
    </w:p>
    <w:p w14:paraId="2DE8B020" w14:textId="48A8DA88" w:rsidR="008A4495" w:rsidRPr="007A0FB3" w:rsidRDefault="007A0FB3" w:rsidP="00EC5C8C">
      <w:pPr>
        <w:spacing w:line="240" w:lineRule="auto"/>
        <w:ind w:firstLine="0"/>
        <w:jc w:val="left"/>
        <w:rPr>
          <w:rFonts w:cs="Times New Roman"/>
          <w:u w:val="single"/>
        </w:rPr>
      </w:pPr>
      <w:r w:rsidRPr="007A0FB3">
        <w:rPr>
          <w:rFonts w:cs="Times New Roman"/>
          <w:u w:val="single"/>
        </w:rPr>
        <w:t>ODBORNÉ ČLÁNKY:</w:t>
      </w:r>
    </w:p>
    <w:p w14:paraId="07457DB6" w14:textId="77777777" w:rsidR="00486A7A" w:rsidRDefault="004F0539" w:rsidP="00486A7A">
      <w:pPr>
        <w:spacing w:after="120"/>
        <w:rPr>
          <w:rFonts w:cs="Times New Roman"/>
        </w:rPr>
      </w:pPr>
      <w:r w:rsidRPr="00301400">
        <w:rPr>
          <w:rFonts w:cs="Times New Roman"/>
        </w:rPr>
        <w:t xml:space="preserve">BEZOUŠKA, P. Ochranný účel smlouvy jako prostředek omezení příčinné souvislosti, aneb je stále důležitá předvídatelnost škody? </w:t>
      </w:r>
      <w:r w:rsidRPr="00301400">
        <w:rPr>
          <w:rFonts w:cs="Times New Roman"/>
          <w:i/>
        </w:rPr>
        <w:t>Právní rozhledy</w:t>
      </w:r>
      <w:r w:rsidRPr="00301400">
        <w:rPr>
          <w:rFonts w:cs="Times New Roman"/>
        </w:rPr>
        <w:t>, roč. 2015, č. 22, s. 763</w:t>
      </w:r>
      <w:r w:rsidR="008A4495" w:rsidRPr="00301400">
        <w:rPr>
          <w:rFonts w:cs="Times New Roman"/>
        </w:rPr>
        <w:t>.</w:t>
      </w:r>
    </w:p>
    <w:p w14:paraId="2B6F00D4" w14:textId="77777777" w:rsidR="00486A7A" w:rsidRDefault="00F27B1B" w:rsidP="00486A7A">
      <w:pPr>
        <w:spacing w:after="120"/>
        <w:rPr>
          <w:rFonts w:cs="Times New Roman"/>
        </w:rPr>
      </w:pPr>
      <w:r w:rsidRPr="00301400">
        <w:rPr>
          <w:rFonts w:cs="Times New Roman"/>
        </w:rPr>
        <w:t xml:space="preserve">HECZKO, Tomasz. </w:t>
      </w:r>
      <w:r w:rsidRPr="00301400">
        <w:rPr>
          <w:rFonts w:cs="Times New Roman"/>
          <w:iCs/>
        </w:rPr>
        <w:t>Spoluodpovědnost za vady díla, jehož předmětem je stavba</w:t>
      </w:r>
      <w:r w:rsidRPr="00301400">
        <w:rPr>
          <w:rFonts w:cs="Times New Roman"/>
        </w:rPr>
        <w:t xml:space="preserve">. </w:t>
      </w:r>
      <w:r w:rsidRPr="00301400">
        <w:rPr>
          <w:rFonts w:cs="Times New Roman"/>
          <w:i/>
        </w:rPr>
        <w:t>Právní rozhledy,</w:t>
      </w:r>
      <w:r w:rsidRPr="00301400">
        <w:rPr>
          <w:rFonts w:cs="Times New Roman"/>
        </w:rPr>
        <w:t xml:space="preserve"> </w:t>
      </w:r>
      <w:r>
        <w:rPr>
          <w:rFonts w:cs="Times New Roman"/>
        </w:rPr>
        <w:t xml:space="preserve">roč. </w:t>
      </w:r>
      <w:r w:rsidRPr="00301400">
        <w:rPr>
          <w:rFonts w:cs="Times New Roman"/>
        </w:rPr>
        <w:t xml:space="preserve">2015, č. 13-14, s. 457. </w:t>
      </w:r>
    </w:p>
    <w:p w14:paraId="7AB4F5D2" w14:textId="77777777" w:rsidR="00486A7A" w:rsidRDefault="008A4495" w:rsidP="00486A7A">
      <w:pPr>
        <w:spacing w:after="120"/>
        <w:rPr>
          <w:rFonts w:cs="Times New Roman"/>
        </w:rPr>
      </w:pPr>
      <w:r w:rsidRPr="00301400">
        <w:rPr>
          <w:rFonts w:cs="Times New Roman"/>
        </w:rPr>
        <w:t>HORÁK, P. Smlouva o dílo v novém občanském zákoníku (Pohled soudce na vybrané otázky a použitelnost stávající judikatury).</w:t>
      </w:r>
      <w:r w:rsidRPr="00301400">
        <w:rPr>
          <w:rFonts w:cs="Times New Roman"/>
          <w:i/>
        </w:rPr>
        <w:t xml:space="preserve"> Bulletin advokacie</w:t>
      </w:r>
      <w:r w:rsidRPr="00301400">
        <w:rPr>
          <w:rFonts w:cs="Times New Roman"/>
        </w:rPr>
        <w:t>, roč. 2014, č. 9, s. 21 – 28.</w:t>
      </w:r>
    </w:p>
    <w:p w14:paraId="4C04D9C0" w14:textId="52EDCA5F" w:rsidR="00486A7A" w:rsidRDefault="00C66150" w:rsidP="00486A7A">
      <w:pPr>
        <w:spacing w:after="120"/>
        <w:rPr>
          <w:rFonts w:cs="Times New Roman"/>
        </w:rPr>
      </w:pPr>
      <w:r w:rsidRPr="00301400">
        <w:rPr>
          <w:rFonts w:cs="Times New Roman"/>
        </w:rPr>
        <w:t xml:space="preserve">SEPPALA, Ch. </w:t>
      </w:r>
      <w:r w:rsidRPr="00301400">
        <w:rPr>
          <w:rFonts w:cs="Times New Roman"/>
          <w:i/>
        </w:rPr>
        <w:t xml:space="preserve">The new FIDIC international civil engineering subcontract. </w:t>
      </w:r>
      <w:r w:rsidR="00C5117F">
        <w:rPr>
          <w:rFonts w:cs="Times New Roman"/>
        </w:rPr>
        <w:t>Paris: </w:t>
      </w:r>
      <w:r w:rsidRPr="00301400">
        <w:rPr>
          <w:rFonts w:cs="Times New Roman"/>
        </w:rPr>
        <w:t xml:space="preserve">FIDIC, January 1995. </w:t>
      </w:r>
      <w:r w:rsidRPr="00C5117F">
        <w:rPr>
          <w:rFonts w:cs="Times New Roman"/>
        </w:rPr>
        <w:t>Dostupné</w:t>
      </w:r>
      <w:r w:rsidR="00486A7A">
        <w:rPr>
          <w:rFonts w:cs="Times New Roman"/>
        </w:rPr>
        <w:t xml:space="preserve"> též</w:t>
      </w:r>
      <w:r w:rsidRPr="00C5117F">
        <w:rPr>
          <w:rFonts w:cs="Times New Roman"/>
        </w:rPr>
        <w:t xml:space="preserve"> z</w:t>
      </w:r>
      <w:r w:rsidRPr="00301400">
        <w:rPr>
          <w:rFonts w:cs="Times New Roman"/>
        </w:rPr>
        <w:t xml:space="preserve"> &lt;</w:t>
      </w:r>
      <w:r w:rsidRPr="00301400">
        <w:rPr>
          <w:rStyle w:val="Hyperlink"/>
          <w:rFonts w:cs="Times New Roman"/>
        </w:rPr>
        <w:t>http://fidic.org/sites/default/files/red_subcon_intro.pdf</w:t>
      </w:r>
      <w:r w:rsidRPr="00301400">
        <w:rPr>
          <w:rFonts w:cs="Times New Roman"/>
        </w:rPr>
        <w:t>&gt;.</w:t>
      </w:r>
    </w:p>
    <w:p w14:paraId="055222BC" w14:textId="71227BA1" w:rsidR="008A4495" w:rsidRPr="00301400" w:rsidRDefault="008A4495" w:rsidP="00486A7A">
      <w:pPr>
        <w:spacing w:after="120"/>
        <w:rPr>
          <w:rFonts w:cs="Times New Roman"/>
        </w:rPr>
      </w:pPr>
      <w:r w:rsidRPr="00301400">
        <w:rPr>
          <w:rFonts w:cs="Times New Roman"/>
        </w:rPr>
        <w:t xml:space="preserve">ŠILHÁN, J. Vzdání se práv z vadného plnění v novém občanském zákoníku. </w:t>
      </w:r>
      <w:r w:rsidRPr="00301400">
        <w:rPr>
          <w:rFonts w:cs="Times New Roman"/>
          <w:i/>
        </w:rPr>
        <w:t>Právní rozhledy</w:t>
      </w:r>
      <w:r w:rsidRPr="00301400">
        <w:rPr>
          <w:rFonts w:cs="Times New Roman"/>
        </w:rPr>
        <w:t>, roč. 2013, č. 20, s. 712.</w:t>
      </w:r>
    </w:p>
    <w:p w14:paraId="65E8DC68" w14:textId="77777777" w:rsidR="00EF70CB" w:rsidRPr="00301400" w:rsidRDefault="00EF70CB" w:rsidP="00301400">
      <w:pPr>
        <w:pStyle w:val="TextAA"/>
        <w:spacing w:line="360" w:lineRule="auto"/>
        <w:jc w:val="both"/>
        <w:rPr>
          <w:rFonts w:ascii="Times New Roman" w:eastAsia="Times New Roman" w:hAnsi="Times New Roman" w:cs="Times New Roman"/>
          <w:sz w:val="24"/>
          <w:szCs w:val="24"/>
          <w:lang w:val="cs-CZ"/>
        </w:rPr>
      </w:pPr>
    </w:p>
    <w:p w14:paraId="6FDBE4AA" w14:textId="1255A122" w:rsidR="006F6EB5" w:rsidRPr="007A0FB3" w:rsidRDefault="007A0FB3" w:rsidP="00301400">
      <w:pPr>
        <w:ind w:firstLine="0"/>
        <w:jc w:val="left"/>
        <w:rPr>
          <w:rFonts w:cs="Times New Roman"/>
          <w:u w:val="single"/>
        </w:rPr>
      </w:pPr>
      <w:r w:rsidRPr="007A0FB3">
        <w:rPr>
          <w:rFonts w:cs="Times New Roman"/>
          <w:u w:val="single"/>
        </w:rPr>
        <w:t>INTERNETOVÉ ZDROJE:</w:t>
      </w:r>
    </w:p>
    <w:p w14:paraId="79D202BB" w14:textId="77777777" w:rsidR="007A0FB3" w:rsidRDefault="006F6EB5" w:rsidP="000A6BD8">
      <w:pPr>
        <w:pStyle w:val="TextAA"/>
        <w:spacing w:after="120"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 xml:space="preserve">PINSENT MASON LLP. </w:t>
      </w:r>
      <w:r w:rsidRPr="00301400">
        <w:rPr>
          <w:rFonts w:ascii="Times New Roman" w:hAnsi="Times New Roman" w:cs="Times New Roman"/>
          <w:i/>
          <w:sz w:val="24"/>
          <w:szCs w:val="24"/>
        </w:rPr>
        <w:t>Projects. FIDIC update</w:t>
      </w:r>
      <w:r w:rsidRPr="00301400">
        <w:rPr>
          <w:rFonts w:ascii="Times New Roman" w:hAnsi="Times New Roman" w:cs="Times New Roman"/>
          <w:sz w:val="24"/>
          <w:szCs w:val="24"/>
        </w:rPr>
        <w:t xml:space="preserve"> [online]. Únor 2010 [cit. 23. 8. 2016]. Dostupné z &lt;</w:t>
      </w:r>
      <w:hyperlink r:id="rId9" w:history="1">
        <w:r w:rsidRPr="00301400">
          <w:rPr>
            <w:rStyle w:val="Hyperlink"/>
            <w:rFonts w:ascii="Times New Roman" w:hAnsi="Times New Roman" w:cs="Times New Roman"/>
            <w:sz w:val="24"/>
            <w:szCs w:val="24"/>
          </w:rPr>
          <w:t>http://fidic.org/sites/default/files/FIDICUpdate0210.pdf</w:t>
        </w:r>
      </w:hyperlink>
      <w:r w:rsidRPr="00301400">
        <w:rPr>
          <w:rFonts w:ascii="Times New Roman" w:hAnsi="Times New Roman" w:cs="Times New Roman"/>
          <w:sz w:val="24"/>
          <w:szCs w:val="24"/>
        </w:rPr>
        <w:t>&gt;.</w:t>
      </w:r>
    </w:p>
    <w:p w14:paraId="031A4131" w14:textId="6E3FB2FF" w:rsidR="007A0FB3" w:rsidRPr="00EC5C8C" w:rsidRDefault="006F6EB5" w:rsidP="00EC5C8C">
      <w:pPr>
        <w:pStyle w:val="TextAA"/>
        <w:spacing w:line="360" w:lineRule="auto"/>
        <w:ind w:firstLine="720"/>
        <w:jc w:val="both"/>
        <w:rPr>
          <w:rFonts w:ascii="Times New Roman" w:hAnsi="Times New Roman" w:cs="Times New Roman"/>
          <w:sz w:val="24"/>
          <w:szCs w:val="24"/>
        </w:rPr>
      </w:pPr>
      <w:r w:rsidRPr="00301400">
        <w:rPr>
          <w:rFonts w:ascii="Times New Roman" w:hAnsi="Times New Roman" w:cs="Times New Roman"/>
          <w:sz w:val="24"/>
          <w:szCs w:val="24"/>
        </w:rPr>
        <w:t xml:space="preserve">VARGIC, Mikuláš. </w:t>
      </w:r>
      <w:r w:rsidRPr="00301400">
        <w:rPr>
          <w:rFonts w:ascii="Times New Roman" w:hAnsi="Times New Roman" w:cs="Times New Roman"/>
          <w:i/>
          <w:sz w:val="24"/>
          <w:szCs w:val="24"/>
        </w:rPr>
        <w:t xml:space="preserve">Společná odpovědnost zhotovitele, subdodavatelů a dalších subjektů za vady stavby (IV). Nový občanský zákoník IV </w:t>
      </w:r>
      <w:r w:rsidRPr="00301400">
        <w:rPr>
          <w:rFonts w:ascii="Times New Roman" w:hAnsi="Times New Roman" w:cs="Times New Roman"/>
          <w:sz w:val="24"/>
          <w:szCs w:val="24"/>
        </w:rPr>
        <w:t>[online]. Portál TZB-info, 17. 2. 201</w:t>
      </w:r>
      <w:r w:rsidR="008C33ED">
        <w:rPr>
          <w:rFonts w:ascii="Times New Roman" w:hAnsi="Times New Roman" w:cs="Times New Roman"/>
          <w:sz w:val="24"/>
          <w:szCs w:val="24"/>
        </w:rPr>
        <w:t>4 [cit. 2. 2. 2015]. Dostupné z</w:t>
      </w:r>
      <w:r w:rsidRPr="00301400">
        <w:rPr>
          <w:rFonts w:ascii="Times New Roman" w:hAnsi="Times New Roman" w:cs="Times New Roman"/>
          <w:sz w:val="24"/>
          <w:szCs w:val="24"/>
        </w:rPr>
        <w:t xml:space="preserve"> &lt;</w:t>
      </w:r>
      <w:hyperlink r:id="rId10" w:history="1">
        <w:r w:rsidRPr="00301400">
          <w:rPr>
            <w:rStyle w:val="Hyperlink"/>
            <w:rFonts w:ascii="Times New Roman" w:hAnsi="Times New Roman" w:cs="Times New Roman"/>
            <w:sz w:val="24"/>
            <w:szCs w:val="24"/>
          </w:rPr>
          <w:t>http://www.tzb-info.cz/normy-a-pravni-predpisy-facility-management/10865-spolecna-odpovednost-zhotovitele-subdodavatelu-a-dalsich-subjektu-za-vady-stavby-iv</w:t>
        </w:r>
      </w:hyperlink>
      <w:r w:rsidRPr="00301400">
        <w:rPr>
          <w:rFonts w:ascii="Times New Roman" w:hAnsi="Times New Roman" w:cs="Times New Roman"/>
          <w:sz w:val="24"/>
          <w:szCs w:val="24"/>
        </w:rPr>
        <w:t>&gt;.</w:t>
      </w:r>
      <w:bookmarkStart w:id="77" w:name="_Toc442203446"/>
      <w:bookmarkStart w:id="78" w:name="_Toc442203515"/>
      <w:r w:rsidR="007A0FB3">
        <w:br w:type="page"/>
      </w:r>
    </w:p>
    <w:p w14:paraId="72FADD86" w14:textId="6A3D7FB2" w:rsidR="00C03F3A" w:rsidRDefault="001436F9" w:rsidP="00791490">
      <w:pPr>
        <w:pStyle w:val="Heading1"/>
        <w:numPr>
          <w:ilvl w:val="0"/>
          <w:numId w:val="0"/>
        </w:numPr>
      </w:pPr>
      <w:bookmarkStart w:id="79" w:name="_Toc460832709"/>
      <w:bookmarkEnd w:id="77"/>
      <w:bookmarkEnd w:id="78"/>
      <w:r>
        <w:lastRenderedPageBreak/>
        <w:t>Shrnutí</w:t>
      </w:r>
      <w:bookmarkEnd w:id="79"/>
    </w:p>
    <w:p w14:paraId="1CDD20BC" w14:textId="312F6630" w:rsidR="001436F9" w:rsidRDefault="001436F9" w:rsidP="001436F9">
      <w:r>
        <w:t xml:space="preserve">Tato diplomová práce je zaměřená na vybrané instituty soukromého práva v dodavatelsko-odběratelských vztazích. </w:t>
      </w:r>
      <w:r w:rsidR="00190540">
        <w:t xml:space="preserve">Cílem práce je zhodnocení české právní úpravy a její srovnání s mezinárodními vzorovými smluvními podmínkami FIDIC v souvislosti s problematickými aspekty vícestupňových dodavatelsko-odběratelských vztahů. Práce směřuje ke konkrétním smluvním doporučením a návrhům de lege ferenda. </w:t>
      </w:r>
      <w:r>
        <w:t>V první části se práce věnuje dodavatelsko-odběratelským vztahům obecně, jejich klasifikaci, popisu typických znaků a zvláštnostem stavebních vztahů. Druhá část se zabývá předpoklady vadného splnění ve vícestupňových dodavatelsko-o</w:t>
      </w:r>
      <w:r w:rsidR="007A4423">
        <w:t>dběratelských vztazích</w:t>
      </w:r>
      <w:r>
        <w:t xml:space="preserve"> jak z pohledu občanského zákoníku, tak z pohledu mezinárodních vzorových smluvních podmínek FIDIC. Třetí část </w:t>
      </w:r>
      <w:r w:rsidR="00190540">
        <w:t>je věnována právním následkům vadného splnění z pohledu občanského zákoníku a mezinárodních vzorových smluvních podmínek FIDIC.</w:t>
      </w:r>
    </w:p>
    <w:p w14:paraId="20D87474" w14:textId="77777777" w:rsidR="007A4423" w:rsidRDefault="007A4423" w:rsidP="001436F9"/>
    <w:p w14:paraId="2AF83E6A" w14:textId="107F2BCC" w:rsidR="007A4423" w:rsidRDefault="007A4423" w:rsidP="007A4423">
      <w:pPr>
        <w:pStyle w:val="Heading1"/>
        <w:numPr>
          <w:ilvl w:val="0"/>
          <w:numId w:val="0"/>
        </w:numPr>
        <w:ind w:left="432" w:hanging="432"/>
      </w:pPr>
      <w:bookmarkStart w:id="80" w:name="_Toc460832710"/>
      <w:r>
        <w:t>Abstract</w:t>
      </w:r>
      <w:bookmarkEnd w:id="80"/>
    </w:p>
    <w:p w14:paraId="29271290" w14:textId="319F053E" w:rsidR="007A4423" w:rsidRPr="007A4423" w:rsidRDefault="00F90030" w:rsidP="007A4423">
      <w:r>
        <w:t xml:space="preserve">This diploma thesis deals with </w:t>
      </w:r>
      <w:r w:rsidR="009841E0">
        <w:t>s</w:t>
      </w:r>
      <w:r w:rsidR="009841E0" w:rsidRPr="009841E0">
        <w:t>elected institutes of private law in the context of contractor-subscriber relationships</w:t>
      </w:r>
      <w:r w:rsidR="009841E0">
        <w:t>. The purpose of this thesis is to analyse and evaluate czech legislation and to compare with FIDIC terms and conditions</w:t>
      </w:r>
      <w:r w:rsidR="00561750">
        <w:t>.</w:t>
      </w:r>
      <w:r w:rsidR="009841E0">
        <w:t xml:space="preserve"> The thesis suggests specific contractual arrangements and recommendation de lege ferenda. The first chapter deals with </w:t>
      </w:r>
      <w:r w:rsidR="009841E0" w:rsidRPr="009841E0">
        <w:t>contractor-subscriber relationships</w:t>
      </w:r>
      <w:r w:rsidR="00A710AE" w:rsidRPr="00A710AE">
        <w:t>, their classification and main features and specific character of construction contractor-subscriber relationships</w:t>
      </w:r>
      <w:r w:rsidR="009841E0">
        <w:t xml:space="preserve">. The second chapter provides </w:t>
      </w:r>
      <w:r w:rsidR="006E2DEA">
        <w:t xml:space="preserve">the </w:t>
      </w:r>
      <w:r w:rsidR="009841E0">
        <w:t xml:space="preserve">defects liability </w:t>
      </w:r>
      <w:r w:rsidR="00903510">
        <w:t xml:space="preserve">of the contractor and the subcontractor </w:t>
      </w:r>
      <w:r w:rsidR="009841E0">
        <w:t>in the Czech civil code and the FIDIC terms and conditions. The third chapter</w:t>
      </w:r>
      <w:r w:rsidR="00903510">
        <w:t xml:space="preserve"> deals with legal </w:t>
      </w:r>
      <w:r w:rsidR="006162CF">
        <w:t>implications</w:t>
      </w:r>
      <w:r w:rsidR="00903510">
        <w:t xml:space="preserve"> of the defect liability </w:t>
      </w:r>
      <w:r w:rsidR="00D85090">
        <w:t>in the Czech civil code and the FIDIC terms and conditions.</w:t>
      </w:r>
    </w:p>
    <w:p w14:paraId="4143CB23" w14:textId="77777777" w:rsidR="00782C08" w:rsidRDefault="00782C08">
      <w:pPr>
        <w:spacing w:line="240" w:lineRule="auto"/>
        <w:ind w:firstLine="0"/>
        <w:jc w:val="left"/>
        <w:rPr>
          <w:rFonts w:eastAsiaTheme="majorEastAsia" w:cs="Times New Roman"/>
          <w:b/>
          <w:color w:val="000000" w:themeColor="text1"/>
          <w:sz w:val="32"/>
          <w:szCs w:val="32"/>
        </w:rPr>
      </w:pPr>
      <w:bookmarkStart w:id="81" w:name="_Toc442203447"/>
      <w:bookmarkStart w:id="82" w:name="_Toc442203516"/>
      <w:r>
        <w:br w:type="page"/>
      </w:r>
    </w:p>
    <w:p w14:paraId="1D114CE0" w14:textId="7DBFC70A" w:rsidR="00C03F3A" w:rsidRDefault="00C03F3A" w:rsidP="00DF1144">
      <w:pPr>
        <w:pStyle w:val="Heading1"/>
        <w:numPr>
          <w:ilvl w:val="0"/>
          <w:numId w:val="0"/>
        </w:numPr>
      </w:pPr>
      <w:bookmarkStart w:id="83" w:name="_Toc460832711"/>
      <w:r w:rsidRPr="00567FAB">
        <w:lastRenderedPageBreak/>
        <w:t>Seznam klíčových slov v českém a anglickém jazyce</w:t>
      </w:r>
      <w:bookmarkEnd w:id="81"/>
      <w:bookmarkEnd w:id="82"/>
      <w:bookmarkEnd w:id="83"/>
    </w:p>
    <w:p w14:paraId="4DE8CE75" w14:textId="7A20F898" w:rsidR="00FE7871" w:rsidRPr="006E7F3F" w:rsidRDefault="00FE7871" w:rsidP="00FE7871">
      <w:pPr>
        <w:ind w:firstLine="0"/>
      </w:pPr>
      <w:r w:rsidRPr="00341FFA">
        <w:rPr>
          <w:b/>
        </w:rPr>
        <w:t>Klíčová slova:</w:t>
      </w:r>
      <w:r w:rsidR="006E7F3F">
        <w:rPr>
          <w:b/>
        </w:rPr>
        <w:t xml:space="preserve"> </w:t>
      </w:r>
      <w:r w:rsidR="006E7F3F">
        <w:t>dodavatel, odběratel, subdodavatel, dodavatelsko-odběratelský vztah, smlouva o dílo, vadné splnění, právní následky vadného splnění.</w:t>
      </w:r>
    </w:p>
    <w:p w14:paraId="6729885C" w14:textId="77777777" w:rsidR="00341FFA" w:rsidRPr="00341FFA" w:rsidRDefault="00341FFA" w:rsidP="00FE7871">
      <w:pPr>
        <w:ind w:firstLine="0"/>
        <w:rPr>
          <w:b/>
        </w:rPr>
      </w:pPr>
    </w:p>
    <w:p w14:paraId="774548D3" w14:textId="2BDBE06A" w:rsidR="00FE7871" w:rsidRPr="00341FFA" w:rsidRDefault="00FE7871" w:rsidP="00FE7871">
      <w:pPr>
        <w:ind w:firstLine="0"/>
        <w:rPr>
          <w:b/>
        </w:rPr>
      </w:pPr>
      <w:r w:rsidRPr="00341FFA">
        <w:rPr>
          <w:b/>
        </w:rPr>
        <w:t>Key words:</w:t>
      </w:r>
      <w:r w:rsidR="006162CF">
        <w:rPr>
          <w:b/>
        </w:rPr>
        <w:t xml:space="preserve"> </w:t>
      </w:r>
      <w:r w:rsidR="006162CF" w:rsidRPr="006162CF">
        <w:t>contractor, subscriber,</w:t>
      </w:r>
      <w:r w:rsidR="006162CF">
        <w:t xml:space="preserve"> subcontractor, contractor-subscriber relationship, contract for work, defect liability, legal implications of defect liability.</w:t>
      </w:r>
    </w:p>
    <w:sectPr w:rsidR="00FE7871" w:rsidRPr="00341FFA" w:rsidSect="0024239E">
      <w:footerReference w:type="even" r:id="rId11"/>
      <w:footerReference w:type="default" r:id="rId12"/>
      <w:pgSz w:w="11900" w:h="16840"/>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10FE" w14:textId="77777777" w:rsidR="00934F7D" w:rsidRDefault="00934F7D" w:rsidP="0024239E">
      <w:pPr>
        <w:spacing w:line="240" w:lineRule="auto"/>
      </w:pPr>
      <w:r>
        <w:separator/>
      </w:r>
    </w:p>
  </w:endnote>
  <w:endnote w:type="continuationSeparator" w:id="0">
    <w:p w14:paraId="27366A40" w14:textId="77777777" w:rsidR="00934F7D" w:rsidRDefault="00934F7D" w:rsidP="00242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FB33" w14:textId="77777777" w:rsidR="00C232E4" w:rsidRDefault="00C232E4" w:rsidP="00E91D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CAF9D" w14:textId="77777777" w:rsidR="00C232E4" w:rsidRDefault="00C232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7A66" w14:textId="77777777" w:rsidR="00C232E4" w:rsidRDefault="00C232E4" w:rsidP="00E91D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904">
      <w:rPr>
        <w:rStyle w:val="PageNumber"/>
        <w:noProof/>
      </w:rPr>
      <w:t>47</w:t>
    </w:r>
    <w:r>
      <w:rPr>
        <w:rStyle w:val="PageNumber"/>
      </w:rPr>
      <w:fldChar w:fldCharType="end"/>
    </w:r>
  </w:p>
  <w:p w14:paraId="48E97485" w14:textId="77777777" w:rsidR="00C232E4" w:rsidRDefault="00C232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8CE15" w14:textId="77777777" w:rsidR="00934F7D" w:rsidRDefault="00934F7D" w:rsidP="0024239E">
      <w:pPr>
        <w:spacing w:line="240" w:lineRule="auto"/>
      </w:pPr>
      <w:r>
        <w:separator/>
      </w:r>
    </w:p>
  </w:footnote>
  <w:footnote w:type="continuationSeparator" w:id="0">
    <w:p w14:paraId="0E587AE3" w14:textId="77777777" w:rsidR="00934F7D" w:rsidRDefault="00934F7D" w:rsidP="0024239E">
      <w:pPr>
        <w:spacing w:line="240" w:lineRule="auto"/>
      </w:pPr>
      <w:r>
        <w:continuationSeparator/>
      </w:r>
    </w:p>
  </w:footnote>
  <w:footnote w:id="1">
    <w:p w14:paraId="71674011" w14:textId="6D0A06B7" w:rsidR="00C232E4" w:rsidRDefault="00C232E4" w:rsidP="00E20BEA">
      <w:pPr>
        <w:pStyle w:val="NoSpacing"/>
      </w:pPr>
      <w:r>
        <w:rPr>
          <w:rStyle w:val="FootnoteReference"/>
        </w:rPr>
        <w:footnoteRef/>
      </w:r>
      <w:r>
        <w:t xml:space="preserve"> </w:t>
      </w:r>
      <w:r w:rsidRPr="003A379E">
        <w:t xml:space="preserve">BEJČEK In BEJČEK, J., ŠILHÁN J. a kol.. </w:t>
      </w:r>
      <w:r w:rsidRPr="003A379E">
        <w:rPr>
          <w:i/>
        </w:rPr>
        <w:t>Obchodní smlouvy</w:t>
      </w:r>
      <w:r>
        <w:rPr>
          <w:i/>
        </w:rPr>
        <w:t xml:space="preserve"> – závazky v podnikání. </w:t>
      </w:r>
      <w:r>
        <w:t>1. Vydání. Praha : C. H. Beck,</w:t>
      </w:r>
      <w:r w:rsidRPr="003A379E">
        <w:t xml:space="preserve"> s. 5.</w:t>
      </w:r>
    </w:p>
  </w:footnote>
  <w:footnote w:id="2">
    <w:p w14:paraId="050C63DC" w14:textId="34B092E4" w:rsidR="00C232E4" w:rsidRDefault="00C232E4" w:rsidP="00D514B6">
      <w:pPr>
        <w:pStyle w:val="NoSpacing"/>
      </w:pPr>
      <w:r>
        <w:rPr>
          <w:rStyle w:val="FootnoteReference"/>
        </w:rPr>
        <w:footnoteRef/>
      </w:r>
      <w:r>
        <w:t xml:space="preserve"> Tamtéž.</w:t>
      </w:r>
    </w:p>
  </w:footnote>
  <w:footnote w:id="3">
    <w:p w14:paraId="475FB0DC" w14:textId="452CC9CB" w:rsidR="00C232E4" w:rsidRDefault="00C232E4" w:rsidP="00D514B6">
      <w:pPr>
        <w:pStyle w:val="NoSpacing"/>
      </w:pPr>
      <w:r>
        <w:rPr>
          <w:rStyle w:val="FootnoteReference"/>
        </w:rPr>
        <w:footnoteRef/>
      </w:r>
      <w:r>
        <w:t xml:space="preserve"> Tamtéž. </w:t>
      </w:r>
      <w:r>
        <w:rPr>
          <w:rFonts w:cs="Times New Roman"/>
        </w:rPr>
        <w:t>Někdy se můžeme setkat s výrazem business-to-customer contracts, označujícím vztah podnikatele a zákazníka, nicméně alespoň v právní oblasti je upřednostňován consumer, protože zákazníkem může být i podnikatel.</w:t>
      </w:r>
    </w:p>
  </w:footnote>
  <w:footnote w:id="4">
    <w:p w14:paraId="3D10BBC4" w14:textId="6865BBA9" w:rsidR="00C232E4" w:rsidRDefault="00C232E4" w:rsidP="00D514B6">
      <w:pPr>
        <w:pStyle w:val="NoSpacing"/>
      </w:pPr>
      <w:r>
        <w:rPr>
          <w:rStyle w:val="FootnoteReference"/>
        </w:rPr>
        <w:footnoteRef/>
      </w:r>
      <w:r>
        <w:t xml:space="preserve"> Tamtéž. </w:t>
      </w:r>
      <w:r>
        <w:rPr>
          <w:rFonts w:cs="Times New Roman"/>
        </w:rPr>
        <w:t>Někdy se vyskytuje také zkratka B2A contracts, která podle některých autorů znamená business-to-anybody, tedy vztah podnikatele a kohokoliv, podle jiných autorů pak vyjadřuje vztah business-to-administrative, což ale spíše odpovídá B2G kontraktům.</w:t>
      </w:r>
    </w:p>
  </w:footnote>
  <w:footnote w:id="5">
    <w:p w14:paraId="2D103022" w14:textId="1D50F424" w:rsidR="00C232E4" w:rsidRDefault="00C232E4" w:rsidP="009C7B1D">
      <w:pPr>
        <w:pStyle w:val="NoSpacing"/>
      </w:pPr>
      <w:r>
        <w:rPr>
          <w:rStyle w:val="FootnoteReference"/>
        </w:rPr>
        <w:footnoteRef/>
      </w:r>
      <w:r>
        <w:t xml:space="preserve"> Srov. § 1721 ObčZ.</w:t>
      </w:r>
    </w:p>
  </w:footnote>
  <w:footnote w:id="6">
    <w:p w14:paraId="5EB417BA" w14:textId="4D016D27" w:rsidR="00C232E4" w:rsidRDefault="00C232E4" w:rsidP="00416567">
      <w:pPr>
        <w:pStyle w:val="NoSpacing"/>
      </w:pPr>
      <w:r>
        <w:rPr>
          <w:rStyle w:val="FootnoteReference"/>
        </w:rPr>
        <w:footnoteRef/>
      </w:r>
      <w:r>
        <w:t xml:space="preserve"> Anebo třetí subjekt, jemuž má být věc odevzdána.</w:t>
      </w:r>
    </w:p>
  </w:footnote>
  <w:footnote w:id="7">
    <w:p w14:paraId="0067ECB2" w14:textId="77777777" w:rsidR="00C232E4" w:rsidRDefault="00C232E4" w:rsidP="00912DB8">
      <w:pPr>
        <w:pStyle w:val="NoSpacing"/>
      </w:pPr>
      <w:r>
        <w:rPr>
          <w:rStyle w:val="FootnoteReference"/>
        </w:rPr>
        <w:footnoteRef/>
      </w:r>
      <w:r>
        <w:t xml:space="preserve"> Srov. § 555 odst. 1 ObčZ.</w:t>
      </w:r>
    </w:p>
  </w:footnote>
  <w:footnote w:id="8">
    <w:p w14:paraId="0E52BFEF" w14:textId="3238C44C" w:rsidR="00C232E4" w:rsidRDefault="00C232E4" w:rsidP="0062375A">
      <w:pPr>
        <w:pStyle w:val="NoSpacing"/>
      </w:pPr>
      <w:r>
        <w:rPr>
          <w:rStyle w:val="FootnoteReference"/>
        </w:rPr>
        <w:footnoteRef/>
      </w:r>
      <w:r>
        <w:t xml:space="preserve"> Ačkoliv § 2630 ObčZ tento subjekt označuje jako poddodavatele a stejně tak činí i zákon č. 134/2016 Sb., o zadávání veřejných zakázek, domnívám se, že je pojem subdodavatel obecně používanější, a proto je v této práci upřednostňován před pojmem poddodavatel. </w:t>
      </w:r>
    </w:p>
  </w:footnote>
  <w:footnote w:id="9">
    <w:p w14:paraId="67F37276" w14:textId="77777777" w:rsidR="00C232E4" w:rsidRDefault="00C232E4" w:rsidP="00692B8F">
      <w:pPr>
        <w:pStyle w:val="NoSpacing"/>
      </w:pPr>
      <w:r>
        <w:rPr>
          <w:rStyle w:val="FootnoteReference"/>
        </w:rPr>
        <w:footnoteRef/>
      </w:r>
      <w:r>
        <w:t xml:space="preserve"> HULMÁK, M. In</w:t>
      </w:r>
      <w:r w:rsidRPr="008970A9">
        <w:t xml:space="preserve"> HULMÁK, M. </w:t>
      </w:r>
      <w:r>
        <w:t xml:space="preserve">a kol. </w:t>
      </w:r>
      <w:r w:rsidRPr="008970A9">
        <w:rPr>
          <w:i/>
        </w:rPr>
        <w:t>Občanský zákoník V. Závazkové právo. Obecná část (§ 1721–2054). Komentář</w:t>
      </w:r>
      <w:r w:rsidRPr="008970A9">
        <w:t>. 1. vydání. Praha: C. H. Beck, 2014, s. 25</w:t>
      </w:r>
      <w:r>
        <w:t xml:space="preserve"> (§ 1724), bod 10.</w:t>
      </w:r>
    </w:p>
  </w:footnote>
  <w:footnote w:id="10">
    <w:p w14:paraId="580EAF56" w14:textId="15CCB22E" w:rsidR="00C232E4" w:rsidRDefault="00C232E4" w:rsidP="007C6F3A">
      <w:pPr>
        <w:pStyle w:val="NoSpacing"/>
      </w:pPr>
      <w:r>
        <w:rPr>
          <w:rStyle w:val="FootnoteReference"/>
        </w:rPr>
        <w:footnoteRef/>
      </w:r>
      <w:r>
        <w:t xml:space="preserve"> Tzv. „domestic subcontractor“, viz např. </w:t>
      </w:r>
      <w:r w:rsidRPr="002F006A">
        <w:t>CONSTRUCTION INDUSTRY DEVELOPMENT BOARD</w:t>
      </w:r>
      <w:r>
        <w:t xml:space="preserve">. </w:t>
      </w:r>
      <w:r w:rsidRPr="002F006A">
        <w:t>Subcontracting arrangements</w:t>
      </w:r>
      <w:r>
        <w:rPr>
          <w:i/>
        </w:rPr>
        <w:t>.</w:t>
      </w:r>
      <w:r w:rsidRPr="002F006A">
        <w:rPr>
          <w:i/>
        </w:rPr>
        <w:t xml:space="preserve"> Inform Practice Note</w:t>
      </w:r>
      <w:r>
        <w:rPr>
          <w:i/>
        </w:rPr>
        <w:t xml:space="preserve"> </w:t>
      </w:r>
      <w:r>
        <w:t>[online]</w:t>
      </w:r>
      <w:r>
        <w:rPr>
          <w:i/>
        </w:rPr>
        <w:t>.</w:t>
      </w:r>
      <w:r>
        <w:t xml:space="preserve"> Květen 2007 [cit. dne 23. 8. 2016]. Dostupné z &lt;</w:t>
      </w:r>
      <w:hyperlink r:id="rId1" w:history="1">
        <w:r w:rsidRPr="006E5D34">
          <w:rPr>
            <w:rStyle w:val="Hyperlink"/>
          </w:rPr>
          <w:t>http://fidic.org/sites/default/files/pn07.pdf</w:t>
        </w:r>
      </w:hyperlink>
      <w:r>
        <w:t>&gt;.</w:t>
      </w:r>
    </w:p>
  </w:footnote>
  <w:footnote w:id="11">
    <w:p w14:paraId="7C507707" w14:textId="1B0E804E" w:rsidR="00C232E4" w:rsidRDefault="00C232E4" w:rsidP="00126A8C">
      <w:pPr>
        <w:pStyle w:val="NoSpacing"/>
      </w:pPr>
      <w:r>
        <w:rPr>
          <w:rStyle w:val="FootnoteReference"/>
        </w:rPr>
        <w:footnoteRef/>
      </w:r>
      <w:r>
        <w:t xml:space="preserve"> Tzv. selected subcontractor, tamtéž.</w:t>
      </w:r>
    </w:p>
  </w:footnote>
  <w:footnote w:id="12">
    <w:p w14:paraId="02120865" w14:textId="1783D239" w:rsidR="00C232E4" w:rsidRDefault="00C232E4" w:rsidP="0066279B">
      <w:pPr>
        <w:pStyle w:val="NoSpacing"/>
      </w:pPr>
      <w:r>
        <w:rPr>
          <w:rStyle w:val="FootnoteReference"/>
        </w:rPr>
        <w:footnoteRef/>
      </w:r>
      <w:r>
        <w:t xml:space="preserve"> Např. musí dodavatel (zhotovitel na základě smlouvy o dílo) získat předchozí souhlas správce stavby (pověřeného dozorem nad stavbou) pro konkrétního subdodavatele, zatímco v případě dodavatele materiálu (součástek) takový souhlas nutný není. Srov. čl. 4.4 </w:t>
      </w:r>
      <w:r w:rsidRPr="002F006A">
        <w:t xml:space="preserve">FIDIC. </w:t>
      </w:r>
      <w:r w:rsidRPr="00445EAD">
        <w:rPr>
          <w:i/>
        </w:rPr>
        <w:t>Conditions of Contract for Construction For Buildng and Engineering Works Designed by the Employer</w:t>
      </w:r>
      <w:r>
        <w:t>.</w:t>
      </w:r>
      <w:r w:rsidRPr="002F006A">
        <w:t xml:space="preserve"> The Red B</w:t>
      </w:r>
      <w:r>
        <w:t xml:space="preserve">ook. First Edition. 1999. </w:t>
      </w:r>
    </w:p>
  </w:footnote>
  <w:footnote w:id="13">
    <w:p w14:paraId="55147D28" w14:textId="088E1D79" w:rsidR="00C232E4" w:rsidRDefault="00C232E4" w:rsidP="00126A8C">
      <w:pPr>
        <w:pStyle w:val="NoSpacing"/>
      </w:pPr>
      <w:r>
        <w:rPr>
          <w:rStyle w:val="FootnoteReference"/>
        </w:rPr>
        <w:footnoteRef/>
      </w:r>
      <w:r>
        <w:t xml:space="preserve"> Tzv. nominated subcontractor, </w:t>
      </w:r>
      <w:r w:rsidRPr="002F006A">
        <w:t>CONSTRUCTION INDUSTRY DEVELOPMENT BOARD</w:t>
      </w:r>
      <w:r>
        <w:t xml:space="preserve">. </w:t>
      </w:r>
      <w:r w:rsidRPr="002F006A">
        <w:t>Subcontracting arrangements</w:t>
      </w:r>
      <w:r>
        <w:t xml:space="preserve"> ...</w:t>
      </w:r>
    </w:p>
  </w:footnote>
  <w:footnote w:id="14">
    <w:p w14:paraId="2B86FC5A" w14:textId="72898D5E" w:rsidR="00C232E4" w:rsidRPr="00F41B6F" w:rsidRDefault="00C232E4" w:rsidP="00F41B6F">
      <w:pPr>
        <w:pStyle w:val="NoSpacing"/>
        <w:rPr>
          <w:i/>
        </w:rPr>
      </w:pPr>
      <w:r>
        <w:rPr>
          <w:rStyle w:val="FootnoteReference"/>
        </w:rPr>
        <w:footnoteRef/>
      </w:r>
      <w:r>
        <w:t xml:space="preserve"> OLERÍNY, M. </w:t>
      </w:r>
      <w:r>
        <w:rPr>
          <w:i/>
        </w:rPr>
        <w:t xml:space="preserve">Řízení stavebních projektů. Ceny a smlouvy v zahraniční praxi. </w:t>
      </w:r>
      <w:r w:rsidRPr="00F41B6F">
        <w:t>1. vy</w:t>
      </w:r>
      <w:r>
        <w:t>dání. Praha : C. H. Beck, 2002, s. 183</w:t>
      </w:r>
      <w:r w:rsidRPr="00F41B6F">
        <w:t>.</w:t>
      </w:r>
    </w:p>
  </w:footnote>
  <w:footnote w:id="15">
    <w:p w14:paraId="68820701" w14:textId="1E9A9A7B" w:rsidR="00C232E4" w:rsidRDefault="00C232E4" w:rsidP="00C01330">
      <w:pPr>
        <w:pStyle w:val="NoSpacing"/>
      </w:pPr>
      <w:r>
        <w:rPr>
          <w:rStyle w:val="FootnoteReference"/>
        </w:rPr>
        <w:footnoteRef/>
      </w:r>
      <w:r>
        <w:t xml:space="preserve"> KLEE, L. </w:t>
      </w:r>
      <w:r w:rsidRPr="00BE4579">
        <w:rPr>
          <w:i/>
        </w:rPr>
        <w:t>Smluvní vztahy výstavbových projektů</w:t>
      </w:r>
      <w:r>
        <w:t>. 1. vydání. Praha : Wolters Kluwer ČR, 2012. S. 18. Autor uvedený subjekt označuje jako tzv. tiché sdružení, s přihlédnutím k nové terminologii v § 2716 ObčZ se „</w:t>
      </w:r>
      <w:r w:rsidRPr="00AC7BC8">
        <w:rPr>
          <w:i/>
        </w:rPr>
        <w:t>sdružení</w:t>
      </w:r>
      <w:r>
        <w:t>“ nahrazuje pojmem „</w:t>
      </w:r>
      <w:r w:rsidRPr="00AC7BC8">
        <w:rPr>
          <w:i/>
        </w:rPr>
        <w:t>společnost</w:t>
      </w:r>
      <w:r>
        <w:t xml:space="preserve">“. </w:t>
      </w:r>
    </w:p>
  </w:footnote>
  <w:footnote w:id="16">
    <w:p w14:paraId="29B849C2" w14:textId="76B7C8CB" w:rsidR="00C232E4" w:rsidRPr="005341B3" w:rsidRDefault="00C232E4" w:rsidP="00496300">
      <w:pPr>
        <w:pStyle w:val="NoSpacing"/>
      </w:pPr>
      <w:r>
        <w:rPr>
          <w:rStyle w:val="FootnoteReference"/>
        </w:rPr>
        <w:footnoteRef/>
      </w:r>
      <w:r>
        <w:t xml:space="preserve"> </w:t>
      </w:r>
      <w:r w:rsidRPr="005341B3">
        <w:t>LANGER</w:t>
      </w:r>
      <w:r>
        <w:t xml:space="preserve">, H. </w:t>
      </w:r>
      <w:r w:rsidRPr="005341B3">
        <w:rPr>
          <w:i/>
        </w:rPr>
        <w:t>Vergütungsrisiken des Subunternehmers im internationalen Industrieanlagenbau: eine vergleichende Studie über die Zulässigkeit bedingender Zahlungsklauseln nach deutschem, amerikanischem und englischem Recht</w:t>
      </w:r>
      <w:r>
        <w:rPr>
          <w:i/>
        </w:rPr>
        <w:t xml:space="preserve">. </w:t>
      </w:r>
      <w:r>
        <w:t>Berlin : Tenea Verlag Ltd., 2004. S. 29.</w:t>
      </w:r>
      <w:r>
        <w:rPr>
          <w:i/>
        </w:rPr>
        <w:t xml:space="preserve"> </w:t>
      </w:r>
      <w:r>
        <w:t>Dostupné online z &lt;</w:t>
      </w:r>
      <w:hyperlink r:id="rId2" w:history="1">
        <w:r w:rsidRPr="006552AB">
          <w:rPr>
            <w:rStyle w:val="Hyperlink"/>
          </w:rPr>
          <w:t>http://www.jurawelt.com/sunrise/media/mediafiles/13772/tenea_juraweltbd73_langer.pdf</w:t>
        </w:r>
      </w:hyperlink>
      <w:r>
        <w:t>&gt;.</w:t>
      </w:r>
    </w:p>
  </w:footnote>
  <w:footnote w:id="17">
    <w:p w14:paraId="54B75368" w14:textId="77777777" w:rsidR="00C232E4" w:rsidRDefault="00C232E4" w:rsidP="00B657AB">
      <w:pPr>
        <w:pStyle w:val="NoSpacing"/>
      </w:pPr>
      <w:r>
        <w:rPr>
          <w:rStyle w:val="FootnoteReference"/>
        </w:rPr>
        <w:footnoteRef/>
      </w:r>
      <w:r>
        <w:t xml:space="preserve"> KLEE, L. </w:t>
      </w:r>
      <w:r w:rsidRPr="00BE4579">
        <w:rPr>
          <w:i/>
        </w:rPr>
        <w:t>Smluvní vztahy výstavbových projektů</w:t>
      </w:r>
      <w:r>
        <w:t>..., s. 19.</w:t>
      </w:r>
    </w:p>
  </w:footnote>
  <w:footnote w:id="18">
    <w:p w14:paraId="5F6654A2" w14:textId="3FE463B6" w:rsidR="00C232E4" w:rsidRPr="00B657AB" w:rsidRDefault="00C232E4" w:rsidP="00B657AB">
      <w:pPr>
        <w:pStyle w:val="NoSpacing"/>
      </w:pPr>
      <w:r>
        <w:rPr>
          <w:rStyle w:val="FootnoteReference"/>
        </w:rPr>
        <w:footnoteRef/>
      </w:r>
      <w:r>
        <w:t xml:space="preserve"> </w:t>
      </w:r>
      <w:r w:rsidRPr="005341B3">
        <w:t>LANGER</w:t>
      </w:r>
      <w:r>
        <w:t xml:space="preserve">, H. </w:t>
      </w:r>
      <w:r w:rsidRPr="005341B3">
        <w:rPr>
          <w:i/>
        </w:rPr>
        <w:t xml:space="preserve">Vergütungsrisiken des </w:t>
      </w:r>
      <w:r w:rsidRPr="00B657AB">
        <w:rPr>
          <w:i/>
        </w:rPr>
        <w:t>Subunternehmers</w:t>
      </w:r>
      <w:r>
        <w:t xml:space="preserve"> ..., s. 25.</w:t>
      </w:r>
    </w:p>
  </w:footnote>
  <w:footnote w:id="19">
    <w:p w14:paraId="1FC8E99C" w14:textId="21067C66" w:rsidR="00C232E4" w:rsidRDefault="00C232E4" w:rsidP="007E7F30">
      <w:pPr>
        <w:pStyle w:val="NoSpacing"/>
      </w:pPr>
      <w:r>
        <w:rPr>
          <w:rStyle w:val="FootnoteReference"/>
        </w:rPr>
        <w:footnoteRef/>
      </w:r>
      <w:r>
        <w:t xml:space="preserve"> KLEE, L. </w:t>
      </w:r>
      <w:r w:rsidRPr="00BE4579">
        <w:rPr>
          <w:i/>
        </w:rPr>
        <w:t>Smluvní vztahy výstavbových projektů</w:t>
      </w:r>
      <w:r>
        <w:t>..., s. 19.</w:t>
      </w:r>
    </w:p>
  </w:footnote>
  <w:footnote w:id="20">
    <w:p w14:paraId="1EDA58A0" w14:textId="70E774BB" w:rsidR="00C232E4" w:rsidRDefault="00C232E4" w:rsidP="000055CA">
      <w:pPr>
        <w:pStyle w:val="NoSpacing"/>
      </w:pPr>
      <w:r>
        <w:rPr>
          <w:rStyle w:val="FootnoteReference"/>
        </w:rPr>
        <w:footnoteRef/>
      </w:r>
      <w:r>
        <w:t xml:space="preserve"> </w:t>
      </w:r>
      <w:r w:rsidRPr="005341B3">
        <w:t>LANGER</w:t>
      </w:r>
      <w:r>
        <w:t xml:space="preserve">, H. </w:t>
      </w:r>
      <w:r w:rsidRPr="005341B3">
        <w:rPr>
          <w:i/>
        </w:rPr>
        <w:t xml:space="preserve">Vergütungsrisiken des </w:t>
      </w:r>
      <w:r w:rsidRPr="00B657AB">
        <w:rPr>
          <w:i/>
        </w:rPr>
        <w:t>Subunternehmers</w:t>
      </w:r>
      <w:r>
        <w:t xml:space="preserve"> ..., s. 24.</w:t>
      </w:r>
    </w:p>
  </w:footnote>
  <w:footnote w:id="21">
    <w:p w14:paraId="310493E7" w14:textId="6B063626" w:rsidR="00C232E4" w:rsidRPr="00A573AA" w:rsidRDefault="00C232E4" w:rsidP="00A573AA">
      <w:pPr>
        <w:pStyle w:val="NoSpacing"/>
      </w:pPr>
      <w:r>
        <w:rPr>
          <w:rStyle w:val="FootnoteReference"/>
        </w:rPr>
        <w:footnoteRef/>
      </w:r>
      <w:r>
        <w:t xml:space="preserve"> KLEE, L. </w:t>
      </w:r>
      <w:r>
        <w:rPr>
          <w:i/>
        </w:rPr>
        <w:t>Smluvní podmínky FIDIC</w:t>
      </w:r>
      <w:r>
        <w:t xml:space="preserve">. 1. vydání. Praha : Wolters Kluwer ČR, a. s., 2011. S. 1. </w:t>
      </w:r>
    </w:p>
  </w:footnote>
  <w:footnote w:id="22">
    <w:p w14:paraId="6D2F55E8" w14:textId="3CE11F88" w:rsidR="00C232E4" w:rsidRDefault="00C232E4" w:rsidP="00F40C0C">
      <w:pPr>
        <w:pStyle w:val="NoSpacing"/>
      </w:pPr>
      <w:r w:rsidRPr="00445EAD">
        <w:rPr>
          <w:rStyle w:val="FootnoteReference"/>
        </w:rPr>
        <w:footnoteRef/>
      </w:r>
      <w:r w:rsidRPr="00445EAD">
        <w:t xml:space="preserve"> FIDIC. </w:t>
      </w:r>
      <w:r w:rsidRPr="00445EAD">
        <w:rPr>
          <w:i/>
        </w:rPr>
        <w:t>Conditions of Contract for Construction For Buildng and Engineering Works Designed by the Employer.</w:t>
      </w:r>
      <w:r w:rsidRPr="00445EAD">
        <w:t xml:space="preserve"> The Red Book. First Edition. 1999.</w:t>
      </w:r>
    </w:p>
  </w:footnote>
  <w:footnote w:id="23">
    <w:p w14:paraId="7ACB488C" w14:textId="3B2B28FB" w:rsidR="00C232E4" w:rsidRDefault="00C232E4" w:rsidP="00F40C0C">
      <w:pPr>
        <w:pStyle w:val="NoSpacing"/>
      </w:pPr>
      <w:r>
        <w:rPr>
          <w:rStyle w:val="FootnoteReference"/>
        </w:rPr>
        <w:footnoteRef/>
      </w:r>
      <w:r>
        <w:t xml:space="preserve"> </w:t>
      </w:r>
      <w:r w:rsidRPr="00D7212D">
        <w:t xml:space="preserve">FIDIC. </w:t>
      </w:r>
      <w:r w:rsidRPr="00D7212D">
        <w:rPr>
          <w:i/>
        </w:rPr>
        <w:t>Conditions of Subcontract for Building and Engineering Works Designed by the Employer</w:t>
      </w:r>
      <w:r w:rsidRPr="00D7212D">
        <w:t>. First Edition. 2011.</w:t>
      </w:r>
    </w:p>
  </w:footnote>
  <w:footnote w:id="24">
    <w:p w14:paraId="3A9C1E07" w14:textId="745D5C4E" w:rsidR="00C232E4" w:rsidRDefault="00C232E4" w:rsidP="006937B6">
      <w:pPr>
        <w:pStyle w:val="NoSpacing"/>
      </w:pPr>
      <w:r>
        <w:rPr>
          <w:rStyle w:val="FootnoteReference"/>
        </w:rPr>
        <w:footnoteRef/>
      </w:r>
      <w:r>
        <w:t xml:space="preserve"> KLEE, L. </w:t>
      </w:r>
      <w:r>
        <w:rPr>
          <w:i/>
        </w:rPr>
        <w:t>Stavební smluvní právo.</w:t>
      </w:r>
      <w:r>
        <w:t xml:space="preserve"> 1. Vydání. Praha : Wolters Kluwer, a.s., 2015. S. 116.</w:t>
      </w:r>
    </w:p>
  </w:footnote>
  <w:footnote w:id="25">
    <w:p w14:paraId="6E6424D0" w14:textId="6C9854DA" w:rsidR="00C232E4" w:rsidRDefault="00C232E4" w:rsidP="00EF3489">
      <w:pPr>
        <w:pStyle w:val="NoSpacing"/>
      </w:pPr>
      <w:r>
        <w:rPr>
          <w:rStyle w:val="FootnoteReference"/>
        </w:rPr>
        <w:footnoteRef/>
      </w:r>
      <w:r>
        <w:t xml:space="preserve"> Fédération Internationale des Ingénieurs-Conseils, jejímž členem je i Česká asociace konzultačních inženýrů (CACE), reprezentující Českou republiku, viz &lt;</w:t>
      </w:r>
      <w:hyperlink r:id="rId3" w:history="1">
        <w:r w:rsidRPr="003F03A8">
          <w:rPr>
            <w:rStyle w:val="Hyperlink"/>
          </w:rPr>
          <w:t>http://www.cace.cz/fidic.php</w:t>
        </w:r>
      </w:hyperlink>
      <w:r>
        <w:t>&gt;.</w:t>
      </w:r>
    </w:p>
  </w:footnote>
  <w:footnote w:id="26">
    <w:p w14:paraId="42AD163B" w14:textId="650CEBBC" w:rsidR="00C232E4" w:rsidRDefault="00C232E4" w:rsidP="005911CE">
      <w:pPr>
        <w:pStyle w:val="NoSpacing"/>
      </w:pPr>
      <w:r>
        <w:rPr>
          <w:rStyle w:val="FootnoteReference"/>
        </w:rPr>
        <w:footnoteRef/>
      </w:r>
      <w:r>
        <w:t xml:space="preserve"> Usnesení Ministerstva dopravy, č.j. 321/08-910-IPK/1, ze dne 9. dubna 2008. Dostupné online zde &lt;</w:t>
      </w:r>
      <w:hyperlink r:id="rId4" w:history="1">
        <w:r w:rsidRPr="003F03A8">
          <w:rPr>
            <w:rStyle w:val="Hyperlink"/>
          </w:rPr>
          <w:t>http://www.pjpk.cz/OP/OP%20staveb%20%20m-rozsahu.pdf</w:t>
        </w:r>
      </w:hyperlink>
      <w:r>
        <w:t>&gt;.</w:t>
      </w:r>
    </w:p>
  </w:footnote>
  <w:footnote w:id="27">
    <w:p w14:paraId="4A221AAC" w14:textId="3697CADD" w:rsidR="00C232E4" w:rsidRDefault="00C232E4" w:rsidP="003B72AA">
      <w:pPr>
        <w:pStyle w:val="NoSpacing"/>
      </w:pPr>
      <w:r>
        <w:rPr>
          <w:rStyle w:val="FootnoteReference"/>
        </w:rPr>
        <w:footnoteRef/>
      </w:r>
      <w:r>
        <w:t xml:space="preserve"> Konkrétně ke CONS a Construction Subcontract.</w:t>
      </w:r>
    </w:p>
  </w:footnote>
  <w:footnote w:id="28">
    <w:p w14:paraId="2094E5F7" w14:textId="20D4F670" w:rsidR="00C232E4" w:rsidRPr="00341F10" w:rsidRDefault="00C232E4" w:rsidP="00341F10">
      <w:pPr>
        <w:pStyle w:val="NoSpacing"/>
      </w:pPr>
      <w:r>
        <w:rPr>
          <w:rStyle w:val="FootnoteReference"/>
        </w:rPr>
        <w:footnoteRef/>
      </w:r>
      <w:r>
        <w:t xml:space="preserve"> KLEE, L. </w:t>
      </w:r>
      <w:r>
        <w:rPr>
          <w:i/>
        </w:rPr>
        <w:t>Stavební smluvní právo ...</w:t>
      </w:r>
      <w:r>
        <w:t>, s. 31.</w:t>
      </w:r>
    </w:p>
  </w:footnote>
  <w:footnote w:id="29">
    <w:p w14:paraId="680CF9BA" w14:textId="66396F84" w:rsidR="00C232E4" w:rsidRDefault="00C232E4" w:rsidP="006F3C65">
      <w:pPr>
        <w:pStyle w:val="NoSpacing"/>
      </w:pPr>
      <w:r>
        <w:rPr>
          <w:rStyle w:val="FootnoteReference"/>
        </w:rPr>
        <w:footnoteRef/>
      </w:r>
      <w:r>
        <w:t xml:space="preserve"> ŠILHÁN, J. </w:t>
      </w:r>
      <w:r w:rsidRPr="0083771C">
        <w:rPr>
          <w:i/>
        </w:rPr>
        <w:t>Právní následky porušení smlouvy v novém občanském zákoníku</w:t>
      </w:r>
      <w:r>
        <w:t xml:space="preserve">. 1. Vydání. Praha : C. H. Beck, 2015, s. 4.  </w:t>
      </w:r>
    </w:p>
  </w:footnote>
  <w:footnote w:id="30">
    <w:p w14:paraId="142D4100" w14:textId="73B707F5" w:rsidR="00C232E4" w:rsidRDefault="00C232E4" w:rsidP="008641B8">
      <w:pPr>
        <w:pStyle w:val="NoSpacing"/>
      </w:pPr>
      <w:r>
        <w:rPr>
          <w:rStyle w:val="FootnoteReference"/>
        </w:rPr>
        <w:footnoteRef/>
      </w:r>
      <w:r>
        <w:t xml:space="preserve"> Tamtéž, s. 5, pozn. pod čarou č. 13.</w:t>
      </w:r>
    </w:p>
  </w:footnote>
  <w:footnote w:id="31">
    <w:p w14:paraId="5F45EC5B" w14:textId="7731D8D8" w:rsidR="00C232E4" w:rsidRDefault="00C232E4" w:rsidP="00710868">
      <w:pPr>
        <w:pStyle w:val="NoSpacing"/>
      </w:pPr>
      <w:r>
        <w:rPr>
          <w:rStyle w:val="FootnoteReference"/>
        </w:rPr>
        <w:footnoteRef/>
      </w:r>
      <w:r>
        <w:t xml:space="preserve"> Tamtéž, s. 45. </w:t>
      </w:r>
    </w:p>
  </w:footnote>
  <w:footnote w:id="32">
    <w:p w14:paraId="3CED9C5D" w14:textId="77777777" w:rsidR="00C232E4" w:rsidRDefault="00C232E4" w:rsidP="006B3E15">
      <w:pPr>
        <w:pStyle w:val="NoSpacing"/>
      </w:pPr>
      <w:r>
        <w:rPr>
          <w:rStyle w:val="FootnoteReference"/>
        </w:rPr>
        <w:footnoteRef/>
      </w:r>
      <w:r>
        <w:t xml:space="preserve"> V důsledku změny pojetí odpovědnosti v ObčZ z retrospektivní na perspektivní.</w:t>
      </w:r>
    </w:p>
  </w:footnote>
  <w:footnote w:id="33">
    <w:p w14:paraId="40E6B244" w14:textId="593A7E33" w:rsidR="00C232E4" w:rsidRDefault="00C232E4" w:rsidP="00480B96">
      <w:pPr>
        <w:pStyle w:val="NoSpacing"/>
      </w:pPr>
      <w:r>
        <w:rPr>
          <w:rStyle w:val="FootnoteReference"/>
        </w:rPr>
        <w:footnoteRef/>
      </w:r>
      <w:r>
        <w:t xml:space="preserve"> § 1914 ObčZ.</w:t>
      </w:r>
    </w:p>
  </w:footnote>
  <w:footnote w:id="34">
    <w:p w14:paraId="5EEB2C30" w14:textId="77777777" w:rsidR="00C232E4" w:rsidRPr="00E9652A" w:rsidRDefault="00C232E4" w:rsidP="00B04748">
      <w:pPr>
        <w:pStyle w:val="NoSpacing"/>
        <w:rPr>
          <w:color w:val="000000" w:themeColor="text1"/>
        </w:rPr>
      </w:pPr>
      <w:r w:rsidRPr="00E9652A">
        <w:rPr>
          <w:rStyle w:val="FootnoteReference"/>
        </w:rPr>
        <w:footnoteRef/>
      </w:r>
      <w:r w:rsidRPr="00E9652A">
        <w:t xml:space="preserve"> </w:t>
      </w:r>
      <w:r w:rsidRPr="00E9652A">
        <w:rPr>
          <w:color w:val="000000" w:themeColor="text1"/>
        </w:rPr>
        <w:t xml:space="preserve">Šilhán In HULMÁK a kol.: </w:t>
      </w:r>
      <w:r w:rsidRPr="00E9652A">
        <w:rPr>
          <w:i/>
          <w:color w:val="000000" w:themeColor="text1"/>
        </w:rPr>
        <w:t>Občanský zákoník V. Závazkové právo. Obecná část...</w:t>
      </w:r>
      <w:r w:rsidRPr="00E9652A">
        <w:rPr>
          <w:color w:val="000000" w:themeColor="text1"/>
        </w:rPr>
        <w:t>, s. 849 (§ 1908).</w:t>
      </w:r>
    </w:p>
  </w:footnote>
  <w:footnote w:id="35">
    <w:p w14:paraId="7F0B1536" w14:textId="77777777" w:rsidR="00C232E4" w:rsidRPr="00E9652A" w:rsidRDefault="00C232E4" w:rsidP="00B04748">
      <w:pPr>
        <w:pStyle w:val="NoSpacing"/>
        <w:rPr>
          <w:color w:val="000000" w:themeColor="text1"/>
        </w:rPr>
      </w:pPr>
      <w:r w:rsidRPr="00E9652A">
        <w:rPr>
          <w:rStyle w:val="FootnoteReference"/>
          <w:color w:val="000000" w:themeColor="text1"/>
        </w:rPr>
        <w:footnoteRef/>
      </w:r>
      <w:r w:rsidRPr="00E9652A">
        <w:rPr>
          <w:color w:val="000000" w:themeColor="text1"/>
        </w:rPr>
        <w:t xml:space="preserve"> Tamtéž, s. 952 (§ 1935).</w:t>
      </w:r>
    </w:p>
  </w:footnote>
  <w:footnote w:id="36">
    <w:p w14:paraId="6739A868" w14:textId="77777777" w:rsidR="00C232E4" w:rsidRPr="00E9652A" w:rsidRDefault="00C232E4" w:rsidP="00B04748">
      <w:pPr>
        <w:pStyle w:val="NoSpacing"/>
      </w:pPr>
      <w:r w:rsidRPr="00E9652A">
        <w:rPr>
          <w:rStyle w:val="FootnoteReference"/>
          <w:color w:val="000000" w:themeColor="text1"/>
        </w:rPr>
        <w:footnoteRef/>
      </w:r>
      <w:r w:rsidRPr="00E9652A">
        <w:rPr>
          <w:color w:val="000000" w:themeColor="text1"/>
        </w:rPr>
        <w:t xml:space="preserve"> Tamtéž, s. 951 (§ 1935).</w:t>
      </w:r>
    </w:p>
  </w:footnote>
  <w:footnote w:id="37">
    <w:p w14:paraId="29FE9E49" w14:textId="6CDB4E40" w:rsidR="00C232E4" w:rsidRPr="00E9652A" w:rsidRDefault="00C232E4" w:rsidP="00B04748">
      <w:pPr>
        <w:pStyle w:val="NoSpacing"/>
      </w:pPr>
      <w:r w:rsidRPr="00E9652A">
        <w:rPr>
          <w:rStyle w:val="FootnoteReference"/>
        </w:rPr>
        <w:footnoteRef/>
      </w:r>
      <w:r w:rsidRPr="00E9652A">
        <w:t xml:space="preserve"> MELZER, F., TÉGL., P.</w:t>
      </w:r>
      <w:r>
        <w:t xml:space="preserve"> In </w:t>
      </w:r>
      <w:r w:rsidRPr="00E9652A">
        <w:t xml:space="preserve">MELZER, F., TÉGL., P. a kol. </w:t>
      </w:r>
      <w:r w:rsidRPr="00E9652A">
        <w:rPr>
          <w:i/>
        </w:rPr>
        <w:t xml:space="preserve">Občanský zákoník – velký komentář. Svazek I. § 1 – 117. </w:t>
      </w:r>
      <w:r w:rsidRPr="00E9652A">
        <w:t>Praha: Leges, 2013, s. 64 (§ 1).</w:t>
      </w:r>
    </w:p>
  </w:footnote>
  <w:footnote w:id="38">
    <w:p w14:paraId="280B1DB4" w14:textId="77777777" w:rsidR="00C232E4" w:rsidRPr="00E9652A" w:rsidRDefault="00C232E4" w:rsidP="00B04748">
      <w:pPr>
        <w:pStyle w:val="NoSpacing"/>
      </w:pPr>
      <w:r w:rsidRPr="00E9652A">
        <w:rPr>
          <w:rStyle w:val="FootnoteReference"/>
        </w:rPr>
        <w:footnoteRef/>
      </w:r>
      <w:r w:rsidRPr="00E9652A">
        <w:t xml:space="preserve"> Tamtéž.</w:t>
      </w:r>
    </w:p>
  </w:footnote>
  <w:footnote w:id="39">
    <w:p w14:paraId="567327CD" w14:textId="2F33B041" w:rsidR="00C232E4" w:rsidRDefault="00C232E4" w:rsidP="001B1E60">
      <w:pPr>
        <w:pStyle w:val="NoSpacing"/>
      </w:pPr>
      <w:r>
        <w:rPr>
          <w:rStyle w:val="FootnoteReference"/>
        </w:rPr>
        <w:footnoteRef/>
      </w:r>
      <w:r>
        <w:t xml:space="preserve"> </w:t>
      </w:r>
      <w:r w:rsidRPr="00F85D2F">
        <w:rPr>
          <w:rFonts w:cs="Times New Roman"/>
        </w:rPr>
        <w:t xml:space="preserve">CONTRACTS WORKING PARTY. </w:t>
      </w:r>
      <w:r w:rsidRPr="00F85D2F">
        <w:rPr>
          <w:rFonts w:cs="Times New Roman"/>
          <w:i/>
          <w:iCs/>
        </w:rPr>
        <w:t>Form of Contract, Subcontracts, the International Yellow Book</w:t>
      </w:r>
      <w:r w:rsidRPr="00F85D2F">
        <w:rPr>
          <w:rFonts w:cs="Times New Roman"/>
        </w:rPr>
        <w:t>. First edition. Rugby: Institution of Chemical Engineers, 2007,</w:t>
      </w:r>
      <w:r>
        <w:rPr>
          <w:rFonts w:cs="Times New Roman"/>
        </w:rPr>
        <w:t xml:space="preserve"> s. 16, bod 9.9.</w:t>
      </w:r>
    </w:p>
  </w:footnote>
  <w:footnote w:id="40">
    <w:p w14:paraId="0B1DE4A0" w14:textId="77777777" w:rsidR="00C232E4" w:rsidRDefault="00C232E4" w:rsidP="00C31CA0">
      <w:pPr>
        <w:pStyle w:val="NoSpacing"/>
      </w:pPr>
      <w:r>
        <w:rPr>
          <w:rStyle w:val="FootnoteReference"/>
        </w:rPr>
        <w:footnoteRef/>
      </w:r>
      <w:r>
        <w:t xml:space="preserve"> § 2617 věta první ObčZ.</w:t>
      </w:r>
    </w:p>
  </w:footnote>
  <w:footnote w:id="41">
    <w:p w14:paraId="7BD0A59E" w14:textId="77777777" w:rsidR="00C232E4" w:rsidRDefault="00C232E4" w:rsidP="00C31CA0">
      <w:pPr>
        <w:pStyle w:val="NoSpacing"/>
      </w:pPr>
      <w:r>
        <w:rPr>
          <w:rStyle w:val="FootnoteReference"/>
        </w:rPr>
        <w:footnoteRef/>
      </w:r>
      <w:r>
        <w:t xml:space="preserve"> Což vyplývá z povinnosti objednatele dílo převzít, jak uvedeno v § 2586 odst. 1 ObčZ a v § 2605 odst. 1 věta druhá ObčZ.</w:t>
      </w:r>
    </w:p>
  </w:footnote>
  <w:footnote w:id="42">
    <w:p w14:paraId="4B4B7E78" w14:textId="77777777" w:rsidR="00C232E4" w:rsidRPr="00E9652A" w:rsidRDefault="00C232E4" w:rsidP="00B04748">
      <w:pPr>
        <w:pStyle w:val="NoSpacing"/>
      </w:pPr>
      <w:r w:rsidRPr="00E9652A">
        <w:rPr>
          <w:rStyle w:val="FootnoteReference"/>
        </w:rPr>
        <w:footnoteRef/>
      </w:r>
      <w:r w:rsidRPr="00E9652A">
        <w:t xml:space="preserve"> Ust. § 2623 ObčZ.</w:t>
      </w:r>
    </w:p>
  </w:footnote>
  <w:footnote w:id="43">
    <w:p w14:paraId="2A3F9E48" w14:textId="77777777" w:rsidR="00C232E4" w:rsidRPr="00E9652A" w:rsidRDefault="00C232E4" w:rsidP="00B04748">
      <w:pPr>
        <w:pStyle w:val="NoSpacing"/>
      </w:pPr>
      <w:r w:rsidRPr="00E9652A">
        <w:rPr>
          <w:rStyle w:val="FootnoteReference"/>
        </w:rPr>
        <w:footnoteRef/>
      </w:r>
      <w:r w:rsidRPr="00E9652A">
        <w:t xml:space="preserve"> Tak lze usuzovat ze slovního spojení „poddodavatel zhotovitele“, přičemž závazek nijak typově neomezuje. </w:t>
      </w:r>
    </w:p>
  </w:footnote>
  <w:footnote w:id="44">
    <w:p w14:paraId="65A7FE14" w14:textId="3B3D5396" w:rsidR="00C232E4" w:rsidRPr="00E9652A" w:rsidRDefault="00C232E4" w:rsidP="00B04748">
      <w:pPr>
        <w:pStyle w:val="NoSpacing"/>
      </w:pPr>
      <w:r w:rsidRPr="00E9652A">
        <w:rPr>
          <w:rStyle w:val="FootnoteReference"/>
        </w:rPr>
        <w:footnoteRef/>
      </w:r>
      <w:r w:rsidRPr="00E9652A">
        <w:t xml:space="preserve"> Zde ve srovnání s obecnou úpravou nedochází v případě vadného splnění ke změně obsahu závazku, ani k jeho zániku a vzniku závazku nového, ale ke vzniku úplně nového závazku</w:t>
      </w:r>
      <w:r>
        <w:t>, jehož stranou je subdodavatel, dodavatel i odběratel, viz dále</w:t>
      </w:r>
      <w:r w:rsidRPr="00E9652A">
        <w:t>.</w:t>
      </w:r>
    </w:p>
  </w:footnote>
  <w:footnote w:id="45">
    <w:p w14:paraId="78CB41DE" w14:textId="772DB46B" w:rsidR="00C232E4" w:rsidRPr="00E9652A" w:rsidRDefault="00C232E4" w:rsidP="00B04748">
      <w:pPr>
        <w:pStyle w:val="NoSpacing"/>
        <w:rPr>
          <w:rFonts w:cs="Times New Roman"/>
          <w:color w:val="0563C1" w:themeColor="hyperlink"/>
          <w:u w:val="single"/>
        </w:rPr>
      </w:pPr>
      <w:r w:rsidRPr="00E9652A">
        <w:rPr>
          <w:rStyle w:val="FootnoteReference"/>
        </w:rPr>
        <w:footnoteRef/>
      </w:r>
      <w:r w:rsidRPr="00E9652A">
        <w:rPr>
          <w:rFonts w:cs="Times New Roman"/>
        </w:rPr>
        <w:t xml:space="preserve"> VARGIC, Mikuláš. </w:t>
      </w:r>
      <w:r w:rsidRPr="00E9652A">
        <w:rPr>
          <w:rFonts w:cs="Times New Roman"/>
          <w:i/>
        </w:rPr>
        <w:t xml:space="preserve">Společná odpovědnost zhotovitele, subdodavatelů a dalších subjektů za vady stavby (IV). Nový občanský zákoník IV </w:t>
      </w:r>
      <w:r>
        <w:rPr>
          <w:rFonts w:cs="Times New Roman"/>
        </w:rPr>
        <w:t>[online]. Portál TZB-info.</w:t>
      </w:r>
      <w:r w:rsidRPr="00E9652A">
        <w:rPr>
          <w:rFonts w:cs="Times New Roman"/>
        </w:rPr>
        <w:t xml:space="preserve"> 17. 2. 201</w:t>
      </w:r>
      <w:r>
        <w:rPr>
          <w:rFonts w:cs="Times New Roman"/>
        </w:rPr>
        <w:t>4 [cit. 2. 2. 2015]. Dostupné na</w:t>
      </w:r>
      <w:r w:rsidRPr="00E9652A">
        <w:rPr>
          <w:rFonts w:cs="Times New Roman"/>
        </w:rPr>
        <w:t xml:space="preserve"> &lt;</w:t>
      </w:r>
      <w:hyperlink r:id="rId5" w:history="1">
        <w:r w:rsidRPr="00E9652A">
          <w:rPr>
            <w:rStyle w:val="Hyperlink"/>
            <w:rFonts w:cs="Times New Roman"/>
          </w:rPr>
          <w:t>http://www.tzb-info.cz/normy-a-pravni-predpisy-facility-management/10865-spolecna-odpovednost-zhotovitele-subdodavatelu-a-dalsich-subjektu-za-vady-stavby-iv</w:t>
        </w:r>
      </w:hyperlink>
      <w:r w:rsidRPr="00E9652A">
        <w:rPr>
          <w:szCs w:val="20"/>
        </w:rPr>
        <w:t>&gt;.</w:t>
      </w:r>
    </w:p>
  </w:footnote>
  <w:footnote w:id="46">
    <w:p w14:paraId="2810B59B" w14:textId="49D53378" w:rsidR="00C232E4" w:rsidRPr="00E9652A" w:rsidRDefault="00C232E4" w:rsidP="003E56EB">
      <w:pPr>
        <w:pStyle w:val="NoSpacing"/>
      </w:pPr>
      <w:r w:rsidRPr="00E9652A">
        <w:rPr>
          <w:rStyle w:val="FootnoteReference"/>
        </w:rPr>
        <w:footnoteRef/>
      </w:r>
      <w:r w:rsidRPr="00E9652A">
        <w:t xml:space="preserve"> HECZKO, Tomasz. </w:t>
      </w:r>
      <w:r w:rsidRPr="00BC4AB4">
        <w:t>Spoluodpovědnost za vady díla, jehož předmětem je stavba.</w:t>
      </w:r>
      <w:r w:rsidRPr="00E9652A">
        <w:t xml:space="preserve"> </w:t>
      </w:r>
      <w:r w:rsidRPr="00BC4AB4">
        <w:rPr>
          <w:i/>
        </w:rPr>
        <w:t>Právní rozhledy</w:t>
      </w:r>
      <w:r>
        <w:t xml:space="preserve">, </w:t>
      </w:r>
      <w:r w:rsidRPr="00E9652A">
        <w:t xml:space="preserve">2015, </w:t>
      </w:r>
      <w:r>
        <w:t xml:space="preserve">č. 13-14, </w:t>
      </w:r>
      <w:r w:rsidRPr="00E9652A">
        <w:t>s. 457.</w:t>
      </w:r>
    </w:p>
  </w:footnote>
  <w:footnote w:id="47">
    <w:p w14:paraId="41BDE3EB" w14:textId="7D4B2742" w:rsidR="00C232E4" w:rsidRDefault="00C232E4" w:rsidP="006073ED">
      <w:pPr>
        <w:pStyle w:val="NoSpacing"/>
      </w:pPr>
      <w:r>
        <w:rPr>
          <w:rStyle w:val="FootnoteReference"/>
        </w:rPr>
        <w:footnoteRef/>
      </w:r>
      <w:r>
        <w:t xml:space="preserve"> Tzv. princip „</w:t>
      </w:r>
      <w:r w:rsidRPr="00BC4AB4">
        <w:t>back-to-back</w:t>
      </w:r>
      <w:r>
        <w:t>“.</w:t>
      </w:r>
    </w:p>
  </w:footnote>
  <w:footnote w:id="48">
    <w:p w14:paraId="5CA391EC" w14:textId="49E44DAB" w:rsidR="00C232E4" w:rsidRPr="007059BA" w:rsidRDefault="00C232E4" w:rsidP="006073ED">
      <w:pPr>
        <w:pStyle w:val="NoSpacing"/>
      </w:pPr>
      <w:r>
        <w:rPr>
          <w:rStyle w:val="FootnoteReference"/>
        </w:rPr>
        <w:footnoteRef/>
      </w:r>
      <w:r>
        <w:t xml:space="preserve"> SEPPALA, Christopher. </w:t>
      </w:r>
      <w:r>
        <w:rPr>
          <w:i/>
        </w:rPr>
        <w:t xml:space="preserve">The new FIDIC international civil engineering subcontract. </w:t>
      </w:r>
      <w:r>
        <w:t>Paris: FIDIC, January 1995. Dostupné online z &lt;</w:t>
      </w:r>
      <w:r w:rsidRPr="007059BA">
        <w:rPr>
          <w:rStyle w:val="Hyperlink"/>
        </w:rPr>
        <w:t>http://fidic.org/sites/default/files/red_subcon_intro.pdf</w:t>
      </w:r>
      <w:r>
        <w:t>&gt;.</w:t>
      </w:r>
    </w:p>
  </w:footnote>
  <w:footnote w:id="49">
    <w:p w14:paraId="4E40FBCD" w14:textId="2E8699C7" w:rsidR="00C232E4" w:rsidRPr="008D63C0" w:rsidRDefault="00C232E4" w:rsidP="007E0AC7">
      <w:pPr>
        <w:pStyle w:val="NoSpacing"/>
        <w:rPr>
          <w:color w:val="0563C1" w:themeColor="hyperlink"/>
          <w:u w:val="single"/>
        </w:rPr>
      </w:pPr>
      <w:r>
        <w:rPr>
          <w:rStyle w:val="FootnoteReference"/>
        </w:rPr>
        <w:footnoteRef/>
      </w:r>
      <w:r>
        <w:t xml:space="preserve"> Hovoří se dokonce o tzv. „</w:t>
      </w:r>
      <w:r w:rsidRPr="00BC4AB4">
        <w:t>total pass down of risk</w:t>
      </w:r>
      <w:r>
        <w:t xml:space="preserve">“. PINSENT MASON LLP. </w:t>
      </w:r>
      <w:r w:rsidRPr="00BC4AB4">
        <w:rPr>
          <w:i/>
        </w:rPr>
        <w:t>Projects. FIDIC update</w:t>
      </w:r>
      <w:r>
        <w:t xml:space="preserve"> [online]. Únor 2010 [cit. 23. 8. 2016]. Dostupné z &lt;</w:t>
      </w:r>
      <w:hyperlink r:id="rId6" w:history="1">
        <w:r w:rsidRPr="003F03A8">
          <w:rPr>
            <w:rStyle w:val="Hyperlink"/>
          </w:rPr>
          <w:t>http://fidic.org/sites/default/files/FIDICUpdate0210.pdf</w:t>
        </w:r>
      </w:hyperlink>
      <w:r>
        <w:t xml:space="preserve">&gt;. </w:t>
      </w:r>
    </w:p>
  </w:footnote>
  <w:footnote w:id="50">
    <w:p w14:paraId="2CECCE9B" w14:textId="71DFE4D9" w:rsidR="00C232E4" w:rsidRDefault="00C232E4" w:rsidP="00B07D7D">
      <w:pPr>
        <w:pStyle w:val="NoSpacing"/>
      </w:pPr>
      <w:r>
        <w:rPr>
          <w:rStyle w:val="FootnoteReference"/>
        </w:rPr>
        <w:footnoteRef/>
      </w:r>
      <w:r>
        <w:t xml:space="preserve"> Srov. § 1908 odst. 2 ObčZ. </w:t>
      </w:r>
    </w:p>
  </w:footnote>
  <w:footnote w:id="51">
    <w:p w14:paraId="444FE115" w14:textId="0335FBDF" w:rsidR="00C232E4" w:rsidRDefault="00C232E4" w:rsidP="00AA0313">
      <w:pPr>
        <w:pStyle w:val="NoSpacing"/>
      </w:pPr>
      <w:r>
        <w:rPr>
          <w:rStyle w:val="FootnoteReference"/>
        </w:rPr>
        <w:footnoteRef/>
      </w:r>
      <w:r>
        <w:t xml:space="preserve"> Typicky u darování, srov. § 2065 ObčZ. </w:t>
      </w:r>
    </w:p>
  </w:footnote>
  <w:footnote w:id="52">
    <w:p w14:paraId="53E602BC" w14:textId="7015A5C6" w:rsidR="00C232E4" w:rsidRDefault="00C232E4" w:rsidP="007C12F8">
      <w:pPr>
        <w:pStyle w:val="NoSpacing"/>
      </w:pPr>
      <w:r>
        <w:rPr>
          <w:rStyle w:val="FootnoteReference"/>
        </w:rPr>
        <w:footnoteRef/>
      </w:r>
      <w:r>
        <w:rPr>
          <w:color w:val="000000" w:themeColor="text1"/>
        </w:rPr>
        <w:t xml:space="preserve"> Petrov</w:t>
      </w:r>
      <w:r w:rsidRPr="00E9652A">
        <w:rPr>
          <w:color w:val="000000" w:themeColor="text1"/>
        </w:rPr>
        <w:t xml:space="preserve"> In HULMÁK a kol.:</w:t>
      </w:r>
      <w:r w:rsidRPr="00E9652A">
        <w:rPr>
          <w:color w:val="FF0000"/>
        </w:rPr>
        <w:t xml:space="preserve"> </w:t>
      </w:r>
      <w:r w:rsidRPr="00E9652A">
        <w:rPr>
          <w:i/>
        </w:rPr>
        <w:t>Občanský zákoník V. Závazkové právo. Obecná část</w:t>
      </w:r>
      <w:r w:rsidRPr="00E9652A">
        <w:rPr>
          <w:i/>
          <w:color w:val="000000" w:themeColor="text1"/>
        </w:rPr>
        <w:t>...</w:t>
      </w:r>
      <w:r>
        <w:rPr>
          <w:color w:val="000000" w:themeColor="text1"/>
        </w:rPr>
        <w:t>, s. 311 (§ 1792</w:t>
      </w:r>
      <w:r w:rsidRPr="00E9652A">
        <w:rPr>
          <w:color w:val="000000" w:themeColor="text1"/>
        </w:rPr>
        <w:t>).</w:t>
      </w:r>
    </w:p>
  </w:footnote>
  <w:footnote w:id="53">
    <w:p w14:paraId="1704EA6C" w14:textId="24D213D4" w:rsidR="00C232E4" w:rsidRDefault="00C232E4" w:rsidP="00B233C9">
      <w:pPr>
        <w:pStyle w:val="NoSpacing"/>
      </w:pPr>
      <w:r>
        <w:rPr>
          <w:rStyle w:val="FootnoteReference"/>
        </w:rPr>
        <w:footnoteRef/>
      </w:r>
      <w:r>
        <w:t xml:space="preserve"> § 2586 odst. 1 ObčZ. </w:t>
      </w:r>
    </w:p>
  </w:footnote>
  <w:footnote w:id="54">
    <w:p w14:paraId="113D51B9" w14:textId="77777777" w:rsidR="00C232E4" w:rsidRPr="00E9652A" w:rsidRDefault="00C232E4" w:rsidP="000E037A">
      <w:pPr>
        <w:pStyle w:val="NoSpacing"/>
      </w:pPr>
      <w:r w:rsidRPr="00E9652A">
        <w:rPr>
          <w:rStyle w:val="FootnoteReference"/>
        </w:rPr>
        <w:footnoteRef/>
      </w:r>
      <w:r w:rsidRPr="00E9652A">
        <w:t xml:space="preserve"> Ust. § 2610 ObčZ.</w:t>
      </w:r>
    </w:p>
  </w:footnote>
  <w:footnote w:id="55">
    <w:p w14:paraId="7874D136" w14:textId="77777777" w:rsidR="00C232E4" w:rsidRPr="00E9652A" w:rsidRDefault="00C232E4" w:rsidP="000E037A">
      <w:pPr>
        <w:pStyle w:val="NoSpacing"/>
      </w:pPr>
      <w:r w:rsidRPr="00E9652A">
        <w:rPr>
          <w:rStyle w:val="FootnoteReference"/>
        </w:rPr>
        <w:footnoteRef/>
      </w:r>
      <w:r w:rsidRPr="00E9652A">
        <w:t xml:space="preserve"> Ust. § 2604 ObčZ.</w:t>
      </w:r>
    </w:p>
  </w:footnote>
  <w:footnote w:id="56">
    <w:p w14:paraId="348B0EDC" w14:textId="77777777" w:rsidR="00C232E4" w:rsidRPr="00E9652A" w:rsidRDefault="00C232E4" w:rsidP="000E037A">
      <w:pPr>
        <w:pStyle w:val="NoSpacing"/>
      </w:pPr>
      <w:r w:rsidRPr="00E9652A">
        <w:rPr>
          <w:rStyle w:val="FootnoteReference"/>
        </w:rPr>
        <w:footnoteRef/>
      </w:r>
      <w:r w:rsidRPr="00E9652A">
        <w:t xml:space="preserve"> Ust. § 2605 odst. 1 ObčZ.</w:t>
      </w:r>
    </w:p>
  </w:footnote>
  <w:footnote w:id="57">
    <w:p w14:paraId="55C5ECB5" w14:textId="0B79CF0F" w:rsidR="00C232E4" w:rsidRPr="00E9652A" w:rsidRDefault="00C232E4" w:rsidP="000E037A">
      <w:pPr>
        <w:pStyle w:val="NoSpacing"/>
      </w:pPr>
      <w:r w:rsidRPr="00E9652A">
        <w:rPr>
          <w:rStyle w:val="FootnoteReference"/>
        </w:rPr>
        <w:footnoteRef/>
      </w:r>
      <w:r w:rsidRPr="00E9652A">
        <w:t xml:space="preserve"> ObchZ ve svém ust. § 554 odst. 1 stanovil povinnost provést dílo jeho “řádným ukončením”, tedy bez vad. Ve srovnání s ObchZ je tak ObčZ méně přísný a </w:t>
      </w:r>
      <w:r>
        <w:t>stanoví okamžik vzniku práva na zaplacení ceny díla již při dokončení</w:t>
      </w:r>
      <w:r w:rsidRPr="00E9652A">
        <w:t xml:space="preserve">. </w:t>
      </w:r>
    </w:p>
  </w:footnote>
  <w:footnote w:id="58">
    <w:p w14:paraId="165B0D22" w14:textId="011EA686" w:rsidR="00C232E4" w:rsidRDefault="00C232E4" w:rsidP="00F64312">
      <w:pPr>
        <w:pStyle w:val="NoSpacing"/>
      </w:pPr>
      <w:r>
        <w:rPr>
          <w:rStyle w:val="FootnoteReference"/>
        </w:rPr>
        <w:footnoteRef/>
      </w:r>
      <w:r>
        <w:t xml:space="preserve"> Vznik práva na zaplacení určité části ceny díla může být vázán na institut tzv. zádržného, viz dále. </w:t>
      </w:r>
    </w:p>
  </w:footnote>
  <w:footnote w:id="59">
    <w:p w14:paraId="7B2080FB" w14:textId="2111E86E" w:rsidR="00C232E4" w:rsidRDefault="00C232E4" w:rsidP="006B54B9">
      <w:pPr>
        <w:pStyle w:val="NoSpacing"/>
      </w:pPr>
      <w:r>
        <w:rPr>
          <w:rStyle w:val="FootnoteReference"/>
        </w:rPr>
        <w:footnoteRef/>
      </w:r>
      <w:r>
        <w:t xml:space="preserve"> V případě, že by odběratel odmítnul převzít dílo byť vadné, avšak sloužící svému účelu, dostal by se do prodlení, srov. § 1975 ObčZ. Pokud by však dodavatel nabídnul dílo s vadami, které neslouží svému účelu, a odběratel by je po právu odmítnul, pak by se naopak dodavatel dostal do prodlení, srov. ŠILHÁN, J. </w:t>
      </w:r>
      <w:r w:rsidRPr="00451D07">
        <w:rPr>
          <w:i/>
        </w:rPr>
        <w:t>Právní následky porušení smlouvy...</w:t>
      </w:r>
      <w:r>
        <w:t>, s. 109.</w:t>
      </w:r>
    </w:p>
  </w:footnote>
  <w:footnote w:id="60">
    <w:p w14:paraId="190351F0" w14:textId="078EEE1A" w:rsidR="00C232E4" w:rsidRPr="00E9652A" w:rsidRDefault="00C232E4" w:rsidP="007E77F4">
      <w:pPr>
        <w:pStyle w:val="NoSpacing"/>
      </w:pPr>
      <w:r w:rsidRPr="00E9652A">
        <w:rPr>
          <w:rStyle w:val="FootnoteReference"/>
        </w:rPr>
        <w:footnoteRef/>
      </w:r>
      <w:r w:rsidRPr="00E9652A">
        <w:t xml:space="preserve"> Jinak např. HORÁK, P. Smlouva o dílo v novém občanském zákoníku (Pohled soudce na vybrané otázky a použitelnost stávající judikatury). </w:t>
      </w:r>
      <w:r w:rsidRPr="00E9652A">
        <w:rPr>
          <w:i/>
        </w:rPr>
        <w:t>Bulletin advokacie</w:t>
      </w:r>
      <w:r w:rsidRPr="00E9652A">
        <w:t>, roč. 2014, č. 9, s. 22, který zastává názor, že o</w:t>
      </w:r>
      <w:r>
        <w:t xml:space="preserve">dběratel </w:t>
      </w:r>
      <w:r w:rsidRPr="00E9652A">
        <w:t>převezme např. i zcela nefunkční dílo a vynaloží např. náklady na jeho uskladnění, ačkoliv lze již při převzetí očekávat, že dojde k odstoup</w:t>
      </w:r>
      <w:r>
        <w:t>ení od smlouvy. Domnívám se</w:t>
      </w:r>
      <w:r w:rsidRPr="00E9652A">
        <w:t>, že je-li dílo zcela nefunkční, pak není dokončeno, neboť nemůže být předvedena jeho způsobilost slo</w:t>
      </w:r>
      <w:r w:rsidR="00745278">
        <w:t>u</w:t>
      </w:r>
      <w:r w:rsidRPr="00E9652A">
        <w:t>žit svému účelu, a proto nevzniká v případě takto závažných vad povinnost dílo převzít, tedy ani nevzniká</w:t>
      </w:r>
      <w:r>
        <w:t xml:space="preserve"> dodavateli</w:t>
      </w:r>
      <w:r w:rsidRPr="00E9652A">
        <w:t xml:space="preserve"> právo na zaplacení ceny díla. Uvedené navazuje na dosavadní praxi smluvních stran, které si běžně stanovovaly povinnost převzít dílo i s vadami určitého druhu a odlišně si ujednaly okamžik vzniku práva na zaplacení ceny díla. Srov. rozsudek NS ČR ze </w:t>
      </w:r>
      <w:r>
        <w:t>dne 24. května 2007, sp. zn. 32 </w:t>
      </w:r>
      <w:r w:rsidRPr="00E9652A">
        <w:t>Odo</w:t>
      </w:r>
      <w:r>
        <w:t> </w:t>
      </w:r>
      <w:r w:rsidRPr="00E9652A">
        <w:t>400/2006, rozsudek NS ČR ze dne 12. 3. 2002, sp. zn. 29 Odo 11/2001.</w:t>
      </w:r>
      <w:r>
        <w:t xml:space="preserve"> </w:t>
      </w:r>
    </w:p>
  </w:footnote>
  <w:footnote w:id="61">
    <w:p w14:paraId="774F9819" w14:textId="30F06717" w:rsidR="00C232E4" w:rsidRPr="00E9652A" w:rsidRDefault="00C232E4" w:rsidP="00E67064">
      <w:pPr>
        <w:pStyle w:val="NoSpacing"/>
      </w:pPr>
      <w:r w:rsidRPr="00E9652A">
        <w:rPr>
          <w:rStyle w:val="FootnoteReference"/>
        </w:rPr>
        <w:footnoteRef/>
      </w:r>
      <w:r>
        <w:t xml:space="preserve"> Zádržné vychází z </w:t>
      </w:r>
      <w:r w:rsidRPr="00E9652A">
        <w:t>§ 2615 odst. 2</w:t>
      </w:r>
      <w:r>
        <w:t xml:space="preserve"> ve spojení s § 2108 ObčZ</w:t>
      </w:r>
      <w:r w:rsidRPr="00E9652A">
        <w:t xml:space="preserve">, </w:t>
      </w:r>
      <w:r>
        <w:t>který</w:t>
      </w:r>
      <w:r w:rsidRPr="00E9652A">
        <w:t xml:space="preserve"> institut zádržného upravuje, a navazuje tak na dosavadní právní úpravu a judikaturu: srov. rozsudek NS ČR ze dne 25. ledna 2006, sp. zn. 32 Odo 444/2004, usnesení NS ČR ze dne 5. 6. 2006, sp. zn. 32 Odo 558/2005. Dále též BEDNÁŘ, V., KASÍK, P. In HULMÁK, M. a kol.: </w:t>
      </w:r>
      <w:r w:rsidRPr="00E9652A">
        <w:rPr>
          <w:i/>
        </w:rPr>
        <w:t>Občanský zákoník VI. Závazkové právo. Zvláštní část (§ 2055–3014). Komentář.</w:t>
      </w:r>
      <w:r w:rsidRPr="00E9652A">
        <w:t xml:space="preserve"> 1. vydání. Praha: C. H. Beck, 2014, s. 77 (§ 2108). TICHÝ, L., PIPKOVÁ P. J., BALARIN, J.: </w:t>
      </w:r>
      <w:r w:rsidRPr="00E9652A">
        <w:rPr>
          <w:i/>
        </w:rPr>
        <w:t>Kupní smlouva v novém občanském zákoníku</w:t>
      </w:r>
      <w:r w:rsidRPr="00E9652A">
        <w:t>. Komentář. 1. vydání. Praha: C. H. Beck, 2014, s. 189 an. (§ 2108).</w:t>
      </w:r>
      <w:r w:rsidRPr="003245CB">
        <w:t xml:space="preserve"> </w:t>
      </w:r>
      <w:r>
        <w:t xml:space="preserve">Vlastní úpravu zádržného obsahuje i CONS v čl. 14.9. Tato konstrukce se liší od zádržného dle ObčZ tím, že </w:t>
      </w:r>
      <w:r w:rsidRPr="003245CB">
        <w:t>pokud ještě nebyly provedeny všechny práce k odstranění vad předmětu díla, může správce stavby odmítnout potvrdit částku odhadovaných nákladů těchto prací až do jejich úplného provedení</w:t>
      </w:r>
      <w:r>
        <w:t>, v důsledku čehož nedochází k úhradě ze strany odběratele</w:t>
      </w:r>
      <w:r w:rsidRPr="003245CB">
        <w:t>.</w:t>
      </w:r>
    </w:p>
  </w:footnote>
  <w:footnote w:id="62">
    <w:p w14:paraId="0F0885D4" w14:textId="017CC974" w:rsidR="00C232E4" w:rsidRPr="00E9652A" w:rsidRDefault="00C232E4" w:rsidP="00802DDA">
      <w:pPr>
        <w:pStyle w:val="NoSpacing"/>
      </w:pPr>
      <w:r w:rsidRPr="00E9652A">
        <w:rPr>
          <w:rStyle w:val="FootnoteReference"/>
        </w:rPr>
        <w:footnoteRef/>
      </w:r>
      <w:r w:rsidRPr="00E9652A">
        <w:t xml:space="preserve"> I zde se však podpůrně použije výše zmíněné o povinnosti převzít vadné dílo a okamžiku vzniku práva na zaplacení ceny díla. Tato úprava tak sleduje myšlenku, že si hlavní dodavatel již v této fázi zaslouží odměnu, a koresponduje </w:t>
      </w:r>
      <w:r>
        <w:t xml:space="preserve">tak např. </w:t>
      </w:r>
      <w:r w:rsidRPr="00E9652A">
        <w:t>s mezinárodní praxí a s mezinárodními účetními standardy, které se</w:t>
      </w:r>
      <w:r>
        <w:t xml:space="preserve"> týkají dlouhodobých kontraktů,</w:t>
      </w:r>
      <w:r w:rsidRPr="00E9652A">
        <w:t xml:space="preserve"> podle </w:t>
      </w:r>
      <w:r>
        <w:t>nichž</w:t>
      </w:r>
      <w:r w:rsidRPr="00E9652A">
        <w:t xml:space="preserve"> se výnos dodavatele stanovuje dle stupně dokončení smlouvy</w:t>
      </w:r>
      <w:r>
        <w:t xml:space="preserve">, tedy </w:t>
      </w:r>
      <w:r w:rsidRPr="00E9652A">
        <w:t>na zák</w:t>
      </w:r>
      <w:r>
        <w:t>ladě toho “co si zaslouží”</w:t>
      </w:r>
      <w:r w:rsidRPr="00E9652A">
        <w:t>. Srov. Mezinárodní účetní standard 11, Smlouvy o zhotovení, nařízení Komise (ES) č. 1126/2008 ze dne 3. listopadu 2008, kterým se přijímají některé mezinárodní účetní standardy v souladu s nařízením Evropského parlamentu a Rady (ES) č</w:t>
      </w:r>
      <w:r>
        <w:t>. 1606/2002, dostupné z</w:t>
      </w:r>
      <w:r w:rsidRPr="00E9652A">
        <w:t xml:space="preserve"> &lt;</w:t>
      </w:r>
      <w:hyperlink r:id="rId7" w:history="1">
        <w:r w:rsidRPr="00E9652A">
          <w:rPr>
            <w:rStyle w:val="Hyperlink"/>
          </w:rPr>
          <w:t>http://eur-lex.europa.eu/legal-content/CS/TXT/PDF/?uri=CELEX:32008R1126&amp;from=EN</w:t>
        </w:r>
      </w:hyperlink>
      <w:r w:rsidRPr="00E9652A">
        <w:t>&gt;.</w:t>
      </w:r>
    </w:p>
  </w:footnote>
  <w:footnote w:id="63">
    <w:p w14:paraId="06F8D54E" w14:textId="2E02BDF0" w:rsidR="00C232E4" w:rsidRDefault="00C232E4" w:rsidP="00802DDA">
      <w:pPr>
        <w:pStyle w:val="NoSpacing"/>
      </w:pPr>
      <w:r>
        <w:rPr>
          <w:rStyle w:val="FootnoteReference"/>
        </w:rPr>
        <w:footnoteRef/>
      </w:r>
      <w:r>
        <w:t xml:space="preserve"> Čl. 16.1 CONS. </w:t>
      </w:r>
    </w:p>
  </w:footnote>
  <w:footnote w:id="64">
    <w:p w14:paraId="272508BD" w14:textId="14D0785F" w:rsidR="00C232E4" w:rsidRDefault="00C232E4" w:rsidP="00D40FD1">
      <w:pPr>
        <w:pStyle w:val="NoSpacing"/>
      </w:pPr>
      <w:r>
        <w:rPr>
          <w:rStyle w:val="FootnoteReference"/>
        </w:rPr>
        <w:footnoteRef/>
      </w:r>
      <w:r>
        <w:t xml:space="preserve"> Ve své podstatě se jedná o prodlení odběratele, které vylučuje prodlení dodavatele, srov. § 1968 věta druhá ObčZ. </w:t>
      </w:r>
    </w:p>
  </w:footnote>
  <w:footnote w:id="65">
    <w:p w14:paraId="3D221556" w14:textId="77777777" w:rsidR="00C232E4" w:rsidRDefault="00C232E4" w:rsidP="00F64D69">
      <w:pPr>
        <w:pStyle w:val="NoSpacing"/>
      </w:pPr>
      <w:r>
        <w:rPr>
          <w:rStyle w:val="FootnoteReference"/>
        </w:rPr>
        <w:footnoteRef/>
      </w:r>
      <w:r>
        <w:t xml:space="preserve"> § 2628 ObčZ.</w:t>
      </w:r>
    </w:p>
  </w:footnote>
  <w:footnote w:id="66">
    <w:p w14:paraId="4AE2FCEE" w14:textId="606B448A" w:rsidR="00C232E4" w:rsidRPr="00E9652A" w:rsidRDefault="00C232E4" w:rsidP="00073ED4">
      <w:pPr>
        <w:pStyle w:val="NoSpacing"/>
      </w:pPr>
      <w:r w:rsidRPr="00E9652A">
        <w:rPr>
          <w:rStyle w:val="FootnoteReference"/>
        </w:rPr>
        <w:footnoteRef/>
      </w:r>
      <w:r w:rsidRPr="00E9652A">
        <w:t xml:space="preserve"> </w:t>
      </w:r>
      <w:r w:rsidRPr="00E9652A">
        <w:rPr>
          <w:color w:val="000000" w:themeColor="text1"/>
        </w:rPr>
        <w:t>Šilhán In HULMÁK a kol.:</w:t>
      </w:r>
      <w:r w:rsidRPr="00E9652A">
        <w:rPr>
          <w:color w:val="FF0000"/>
        </w:rPr>
        <w:t xml:space="preserve"> </w:t>
      </w:r>
      <w:r w:rsidRPr="00E9652A">
        <w:rPr>
          <w:i/>
        </w:rPr>
        <w:t>Občanský zákoník V. Závazkové právo. Obecná část</w:t>
      </w:r>
      <w:r w:rsidRPr="00E9652A">
        <w:rPr>
          <w:i/>
          <w:color w:val="000000" w:themeColor="text1"/>
        </w:rPr>
        <w:t>...</w:t>
      </w:r>
      <w:r>
        <w:rPr>
          <w:color w:val="000000" w:themeColor="text1"/>
        </w:rPr>
        <w:t>, s. 872</w:t>
      </w:r>
      <w:r w:rsidRPr="00E9652A">
        <w:rPr>
          <w:color w:val="000000" w:themeColor="text1"/>
        </w:rPr>
        <w:t xml:space="preserve"> (§ 1914).</w:t>
      </w:r>
    </w:p>
  </w:footnote>
  <w:footnote w:id="67">
    <w:p w14:paraId="0D479AA2" w14:textId="2CB8F901" w:rsidR="00C232E4" w:rsidRDefault="00C232E4" w:rsidP="004C6AC7">
      <w:pPr>
        <w:pStyle w:val="NoSpacing"/>
      </w:pPr>
      <w:r>
        <w:rPr>
          <w:rStyle w:val="FootnoteReference"/>
        </w:rPr>
        <w:footnoteRef/>
      </w:r>
      <w:r>
        <w:t xml:space="preserve"> </w:t>
      </w:r>
      <w:r>
        <w:rPr>
          <w:rFonts w:cs="Times New Roman"/>
        </w:rPr>
        <w:t>§ 3 odst. 2 písm. d) ObčZ.</w:t>
      </w:r>
    </w:p>
  </w:footnote>
  <w:footnote w:id="68">
    <w:p w14:paraId="0F03FC37" w14:textId="77777777" w:rsidR="00C232E4" w:rsidRDefault="00C232E4" w:rsidP="004C6AC7">
      <w:pPr>
        <w:pStyle w:val="NoSpacing"/>
      </w:pPr>
      <w:r>
        <w:rPr>
          <w:rStyle w:val="FootnoteReference"/>
        </w:rPr>
        <w:footnoteRef/>
      </w:r>
      <w:r>
        <w:t xml:space="preserve"> § 2586 odst. 1 ObčZ.</w:t>
      </w:r>
    </w:p>
  </w:footnote>
  <w:footnote w:id="69">
    <w:p w14:paraId="26EF88C6" w14:textId="77777777" w:rsidR="00C232E4" w:rsidRDefault="00C232E4" w:rsidP="004C6AC7">
      <w:pPr>
        <w:pStyle w:val="NoSpacing"/>
      </w:pPr>
      <w:r>
        <w:rPr>
          <w:rStyle w:val="FootnoteReference"/>
        </w:rPr>
        <w:footnoteRef/>
      </w:r>
      <w:r>
        <w:t xml:space="preserve"> § 1721 ObčZ. </w:t>
      </w:r>
    </w:p>
  </w:footnote>
  <w:footnote w:id="70">
    <w:p w14:paraId="4E5ECFA6" w14:textId="264E92AF" w:rsidR="00C232E4" w:rsidRPr="00E9652A" w:rsidRDefault="00C232E4" w:rsidP="004C6AC7">
      <w:pPr>
        <w:pStyle w:val="NoSpacing"/>
      </w:pPr>
      <w:r w:rsidRPr="00E9652A">
        <w:rPr>
          <w:rStyle w:val="FootnoteReference"/>
        </w:rPr>
        <w:footnoteRef/>
      </w:r>
      <w:r w:rsidRPr="00E9652A">
        <w:t xml:space="preserve"> § 1908 odst. 1 ObčZ.</w:t>
      </w:r>
    </w:p>
  </w:footnote>
  <w:footnote w:id="71">
    <w:p w14:paraId="08506582" w14:textId="12565BBC" w:rsidR="00C232E4" w:rsidRPr="00E9652A" w:rsidRDefault="00C232E4" w:rsidP="004C6AC7">
      <w:pPr>
        <w:pStyle w:val="NoSpacing"/>
      </w:pPr>
      <w:r w:rsidRPr="00E9652A">
        <w:rPr>
          <w:rStyle w:val="FootnoteReference"/>
        </w:rPr>
        <w:footnoteRef/>
      </w:r>
      <w:r>
        <w:t xml:space="preserve"> </w:t>
      </w:r>
      <w:r w:rsidRPr="00E9652A">
        <w:t>§ 1914 odst. 1 ObčZ.</w:t>
      </w:r>
    </w:p>
  </w:footnote>
  <w:footnote w:id="72">
    <w:p w14:paraId="0F52D6F0" w14:textId="72D875E9" w:rsidR="00C232E4" w:rsidRPr="00E9652A" w:rsidRDefault="00C232E4" w:rsidP="004C6AC7">
      <w:pPr>
        <w:pStyle w:val="NoSpacing"/>
      </w:pPr>
      <w:r w:rsidRPr="00E9652A">
        <w:rPr>
          <w:rStyle w:val="FootnoteReference"/>
        </w:rPr>
        <w:footnoteRef/>
      </w:r>
      <w:r w:rsidRPr="00E9652A">
        <w:t xml:space="preserve"> </w:t>
      </w:r>
      <w:r w:rsidRPr="00E9652A">
        <w:rPr>
          <w:color w:val="000000" w:themeColor="text1"/>
        </w:rPr>
        <w:t>Šilhán In HULMÁK a kol.:</w:t>
      </w:r>
      <w:r w:rsidRPr="00E9652A">
        <w:rPr>
          <w:color w:val="FF0000"/>
        </w:rPr>
        <w:t xml:space="preserve"> </w:t>
      </w:r>
      <w:r w:rsidRPr="00E9652A">
        <w:rPr>
          <w:i/>
        </w:rPr>
        <w:t>Občanský zákoník V. Závazkové právo. Obecná část</w:t>
      </w:r>
      <w:r w:rsidRPr="00E9652A">
        <w:rPr>
          <w:i/>
          <w:color w:val="000000" w:themeColor="text1"/>
        </w:rPr>
        <w:t>...</w:t>
      </w:r>
      <w:r w:rsidRPr="00E9652A">
        <w:rPr>
          <w:color w:val="000000" w:themeColor="text1"/>
        </w:rPr>
        <w:t>, s. 875 (§ 1914).</w:t>
      </w:r>
      <w:r>
        <w:rPr>
          <w:color w:val="000000" w:themeColor="text1"/>
        </w:rPr>
        <w:t xml:space="preserve"> </w:t>
      </w:r>
      <w:r>
        <w:t xml:space="preserve">Tedy taková očekávání, která jsou již v okamžiku kontraktace známá druhé smluvní straně. </w:t>
      </w:r>
      <w:r>
        <w:rPr>
          <w:color w:val="000000" w:themeColor="text1"/>
        </w:rPr>
        <w:t xml:space="preserve">Uvedený přístup sleduje zásadu poctivosti v § 6 odst. 1 ObčZ. Tato známá oprávněná očekávání jsou chráněna, tedy porušení oprávněných očekávání druhé smluvní strany zakládá porušení smluvní povinnosti, přičemž se zde nemusí jednat jen o porušení hlavní smluvní povinnosti splnit dluhované plnění, ale též o porušení jiné povinnosti (např. nezasahovat do zájmů druhé smluvní strany). Srov. </w:t>
      </w:r>
      <w:r>
        <w:t xml:space="preserve">ŠILHÁN, J. </w:t>
      </w:r>
      <w:r w:rsidRPr="00451D07">
        <w:rPr>
          <w:i/>
        </w:rPr>
        <w:t>Právní následky porušení smlouvy...</w:t>
      </w:r>
      <w:r>
        <w:t>, s. 8.</w:t>
      </w:r>
    </w:p>
  </w:footnote>
  <w:footnote w:id="73">
    <w:p w14:paraId="780C7D31" w14:textId="179C7620" w:rsidR="00C232E4" w:rsidRDefault="00C232E4" w:rsidP="004C6AC7">
      <w:pPr>
        <w:pStyle w:val="NoSpacing"/>
      </w:pPr>
      <w:r>
        <w:rPr>
          <w:rStyle w:val="FootnoteReference"/>
        </w:rPr>
        <w:footnoteRef/>
      </w:r>
      <w:r>
        <w:t xml:space="preserve"> </w:t>
      </w:r>
      <w:r w:rsidRPr="00567FAB">
        <w:rPr>
          <w:rFonts w:cs="Times New Roman"/>
        </w:rPr>
        <w:t>§ 1914 odst. 1 ObčZ j</w:t>
      </w:r>
      <w:r>
        <w:rPr>
          <w:rFonts w:cs="Times New Roman"/>
        </w:rPr>
        <w:t>e nutno vykládat společně s</w:t>
      </w:r>
      <w:r w:rsidRPr="00567FAB">
        <w:rPr>
          <w:rFonts w:cs="Times New Roman"/>
        </w:rPr>
        <w:t xml:space="preserve"> § 1915 a § 1916 ObčZ, kde jsou demonstrativně vyjádřeny</w:t>
      </w:r>
      <w:r>
        <w:rPr>
          <w:rFonts w:cs="Times New Roman"/>
        </w:rPr>
        <w:t xml:space="preserve"> skutkové podstaty</w:t>
      </w:r>
      <w:r w:rsidRPr="00567FAB">
        <w:rPr>
          <w:rFonts w:cs="Times New Roman"/>
        </w:rPr>
        <w:t xml:space="preserve"> vadného splnění.</w:t>
      </w:r>
    </w:p>
  </w:footnote>
  <w:footnote w:id="74">
    <w:p w14:paraId="122BAFFF" w14:textId="77777777" w:rsidR="00C232E4" w:rsidRPr="00E9652A" w:rsidRDefault="00C232E4" w:rsidP="004C6AC7">
      <w:pPr>
        <w:pStyle w:val="NoSpacing"/>
      </w:pPr>
      <w:r w:rsidRPr="00E9652A">
        <w:rPr>
          <w:rStyle w:val="FootnoteReference"/>
        </w:rPr>
        <w:footnoteRef/>
      </w:r>
      <w:r w:rsidRPr="00E9652A">
        <w:t xml:space="preserve"> Rozhodný okamžik, kdy musí vady existovat, je zákonem vztažen k okamžiku splnění, nicméně tento okamžik může nastat i později, např. při přechodu nebezpečí škody na věřitele, srov. ust. § 2617 ObčZ.</w:t>
      </w:r>
    </w:p>
  </w:footnote>
  <w:footnote w:id="75">
    <w:p w14:paraId="310B9265" w14:textId="07A97F50" w:rsidR="00C232E4" w:rsidRPr="00E9652A" w:rsidRDefault="00C232E4" w:rsidP="004C6AC7">
      <w:pPr>
        <w:pStyle w:val="NoSpacing"/>
      </w:pPr>
      <w:r w:rsidRPr="00E9652A">
        <w:rPr>
          <w:rStyle w:val="FootnoteReference"/>
        </w:rPr>
        <w:footnoteRef/>
      </w:r>
      <w:r w:rsidRPr="00E9652A">
        <w:t xml:space="preserve"> Výjimkou je </w:t>
      </w:r>
      <w:r>
        <w:t>institut záruky</w:t>
      </w:r>
      <w:r w:rsidRPr="00E9652A">
        <w:t>, viz dále.</w:t>
      </w:r>
    </w:p>
  </w:footnote>
  <w:footnote w:id="76">
    <w:p w14:paraId="23FBEE7B" w14:textId="77777777" w:rsidR="00C232E4" w:rsidRPr="00E9652A" w:rsidRDefault="00C232E4" w:rsidP="004C6AC7">
      <w:pPr>
        <w:pStyle w:val="NoSpacing"/>
      </w:pPr>
      <w:r w:rsidRPr="00E9652A">
        <w:rPr>
          <w:rStyle w:val="FootnoteReference"/>
        </w:rPr>
        <w:footnoteRef/>
      </w:r>
      <w:r w:rsidRPr="00E9652A">
        <w:rPr>
          <w:color w:val="FF0000"/>
        </w:rPr>
        <w:t xml:space="preserve"> </w:t>
      </w:r>
      <w:r w:rsidRPr="00E9652A">
        <w:rPr>
          <w:color w:val="000000" w:themeColor="text1"/>
        </w:rPr>
        <w:t xml:space="preserve">Šilhán In HULMÁK a kol.: </w:t>
      </w:r>
      <w:r w:rsidRPr="00E9652A">
        <w:rPr>
          <w:i/>
        </w:rPr>
        <w:t>Občanský zákoník V. Závazkové právo. Obecná část</w:t>
      </w:r>
      <w:r w:rsidRPr="00E9652A">
        <w:rPr>
          <w:i/>
          <w:color w:val="000000" w:themeColor="text1"/>
        </w:rPr>
        <w:t>...</w:t>
      </w:r>
      <w:r w:rsidRPr="00E9652A">
        <w:rPr>
          <w:color w:val="000000" w:themeColor="text1"/>
        </w:rPr>
        <w:t>, s. 844 (§ 1908).</w:t>
      </w:r>
    </w:p>
  </w:footnote>
  <w:footnote w:id="77">
    <w:p w14:paraId="12F8AA98" w14:textId="5876E40E" w:rsidR="00C232E4" w:rsidRPr="00E9652A" w:rsidRDefault="00C232E4" w:rsidP="004C6AC7">
      <w:pPr>
        <w:pStyle w:val="NoSpacing"/>
      </w:pPr>
      <w:r w:rsidRPr="00E9652A">
        <w:rPr>
          <w:rStyle w:val="FootnoteReference"/>
        </w:rPr>
        <w:footnoteRef/>
      </w:r>
      <w:r w:rsidRPr="00E9652A">
        <w:rPr>
          <w:rFonts w:cs="Times New Roman"/>
        </w:rPr>
        <w:t xml:space="preserve"> Např. </w:t>
      </w:r>
      <w:r>
        <w:rPr>
          <w:rFonts w:cs="Times New Roman"/>
        </w:rPr>
        <w:t>již zmíněné</w:t>
      </w:r>
      <w:r w:rsidRPr="00E9652A">
        <w:rPr>
          <w:rFonts w:cs="Times New Roman"/>
        </w:rPr>
        <w:t xml:space="preserve"> </w:t>
      </w:r>
      <w:r>
        <w:rPr>
          <w:rFonts w:cs="Times New Roman"/>
        </w:rPr>
        <w:t xml:space="preserve">ustanovení </w:t>
      </w:r>
      <w:r w:rsidRPr="00E9652A">
        <w:t>§ 2605 odst. 1 ObčZ</w:t>
      </w:r>
      <w:r>
        <w:rPr>
          <w:rFonts w:cs="Times New Roman"/>
        </w:rPr>
        <w:t xml:space="preserve"> týkající</w:t>
      </w:r>
      <w:r w:rsidRPr="00E9652A">
        <w:rPr>
          <w:rFonts w:cs="Times New Roman"/>
        </w:rPr>
        <w:t xml:space="preserve"> se smlouvy o dílo je stanovena povinnost objednatele převzít dokončené dílo, ačkoliv má vady, které nebrání způsobilosti díla s</w:t>
      </w:r>
      <w:r>
        <w:rPr>
          <w:rFonts w:cs="Times New Roman"/>
        </w:rPr>
        <w:t xml:space="preserve">loužit svému účelu. Shodně </w:t>
      </w:r>
      <w:r w:rsidRPr="00E9652A">
        <w:rPr>
          <w:rFonts w:cs="Times New Roman"/>
        </w:rPr>
        <w:t>§ 2628 ObčZ vylučuje právo objednatele odmítnout stavbu pro drobné vady. Objednatel v těchto případech musí dílo převzít i tehdy, má-li zjevné, resp. drobné vady, je-li dílo způsobilé sloužit svému účelu. Objednatel může učinit výhrady a uplatnit práva z vadného plnění, není mu však umožněno převzetí díla v těchto případech odmítnout.</w:t>
      </w:r>
    </w:p>
  </w:footnote>
  <w:footnote w:id="78">
    <w:p w14:paraId="68B54EC0" w14:textId="5A7C877B" w:rsidR="00C232E4" w:rsidRDefault="00C232E4" w:rsidP="004C6AC7">
      <w:pPr>
        <w:pStyle w:val="NoSpacing"/>
      </w:pPr>
      <w:r>
        <w:rPr>
          <w:rStyle w:val="FootnoteReference"/>
        </w:rPr>
        <w:footnoteRef/>
      </w:r>
      <w:r>
        <w:t xml:space="preserve"> ŠILHÁN, J. </w:t>
      </w:r>
      <w:r w:rsidRPr="00451D07">
        <w:rPr>
          <w:i/>
        </w:rPr>
        <w:t>Právní následky porušení smlouvy...</w:t>
      </w:r>
      <w:r>
        <w:t>, s. 108. Autor publikace nápaditě rozlišuje „vadné plnění“ (poskytnutí, resp. nabídnutí vadného dluhovaného plnění dlužníkem v okamžiku, kdy věřitel doposud neměl možnost plnění převzít; pokud by je odmítl, pak by se jednalo o prodlení) a „vadné splnění“ (poskytnutí vadného dluhovaného plnění dlužníkem v okamžiku, kdy toto věřitel již převzal). V souladu s terminologickým rozlišením by tedy následkem vadného splnění měly být správ</w:t>
      </w:r>
      <w:r w:rsidR="00B44371">
        <w:t>n</w:t>
      </w:r>
      <w:r>
        <w:t xml:space="preserve">ě „práva a povinnosti z vadného splnění“, neboť tyto </w:t>
      </w:r>
      <w:r w:rsidR="00317EC4">
        <w:t>vzniknou až tehdy, je-li</w:t>
      </w:r>
      <w:r>
        <w:t xml:space="preserve"> vadně splněno.</w:t>
      </w:r>
    </w:p>
  </w:footnote>
  <w:footnote w:id="79">
    <w:p w14:paraId="0E9B0B2C" w14:textId="77777777" w:rsidR="00C232E4" w:rsidRPr="00E9652A" w:rsidRDefault="00C232E4" w:rsidP="004C6AC7">
      <w:pPr>
        <w:pStyle w:val="NoSpacing"/>
      </w:pPr>
      <w:r w:rsidRPr="00E9652A">
        <w:rPr>
          <w:rStyle w:val="FootnoteReference"/>
        </w:rPr>
        <w:footnoteRef/>
      </w:r>
      <w:r w:rsidRPr="00E9652A">
        <w:t xml:space="preserve"> Tedy zda poskytnutím vadného plnění dochází ke splnění dluhu a tedy k zániku závazku ve smyslu ust. § 1908 odst. 1 ObčZ či nikoli.</w:t>
      </w:r>
    </w:p>
  </w:footnote>
  <w:footnote w:id="80">
    <w:p w14:paraId="6D084E47" w14:textId="77777777" w:rsidR="00C232E4" w:rsidRPr="00E9652A" w:rsidRDefault="00C232E4" w:rsidP="004C6AC7">
      <w:pPr>
        <w:pStyle w:val="NoSpacing"/>
        <w:rPr>
          <w:color w:val="000000" w:themeColor="text1"/>
        </w:rPr>
      </w:pPr>
      <w:r w:rsidRPr="00E9652A">
        <w:rPr>
          <w:rStyle w:val="FootnoteReference"/>
        </w:rPr>
        <w:footnoteRef/>
      </w:r>
      <w:r w:rsidRPr="00E9652A">
        <w:t xml:space="preserve"> </w:t>
      </w:r>
      <w:r w:rsidRPr="00E9652A">
        <w:rPr>
          <w:color w:val="000000" w:themeColor="text1"/>
        </w:rPr>
        <w:t xml:space="preserve">Šilhán In HULMÁK a kol.: </w:t>
      </w:r>
      <w:r w:rsidRPr="00E9652A">
        <w:rPr>
          <w:i/>
          <w:color w:val="000000" w:themeColor="text1"/>
        </w:rPr>
        <w:t>Občanský zákoník V. Závazkové právo. Obecná část...</w:t>
      </w:r>
      <w:r w:rsidRPr="00E9652A">
        <w:rPr>
          <w:color w:val="000000" w:themeColor="text1"/>
        </w:rPr>
        <w:t>, s. 845 (§ 1908).</w:t>
      </w:r>
    </w:p>
  </w:footnote>
  <w:footnote w:id="81">
    <w:p w14:paraId="72AFFBF1" w14:textId="77777777" w:rsidR="00C232E4" w:rsidRPr="00E9652A" w:rsidRDefault="00C232E4" w:rsidP="004C6AC7">
      <w:pPr>
        <w:pStyle w:val="NoSpacing"/>
        <w:rPr>
          <w:color w:val="000000" w:themeColor="text1"/>
        </w:rPr>
      </w:pPr>
      <w:r w:rsidRPr="00E9652A">
        <w:rPr>
          <w:rStyle w:val="FootnoteReference"/>
          <w:color w:val="000000" w:themeColor="text1"/>
        </w:rPr>
        <w:footnoteRef/>
      </w:r>
      <w:r w:rsidRPr="00E9652A">
        <w:rPr>
          <w:color w:val="000000" w:themeColor="text1"/>
        </w:rPr>
        <w:t xml:space="preserve"> Srov. výklad výše a ust. § 1908 odst. 1 ObčZ.</w:t>
      </w:r>
    </w:p>
  </w:footnote>
  <w:footnote w:id="82">
    <w:p w14:paraId="64613A05" w14:textId="77777777" w:rsidR="00C232E4" w:rsidRPr="00E9652A" w:rsidRDefault="00C232E4" w:rsidP="004C6AC7">
      <w:pPr>
        <w:pStyle w:val="NoSpacing"/>
      </w:pPr>
      <w:r w:rsidRPr="00E9652A">
        <w:rPr>
          <w:rStyle w:val="FootnoteReference"/>
          <w:color w:val="000000" w:themeColor="text1"/>
        </w:rPr>
        <w:footnoteRef/>
      </w:r>
      <w:r w:rsidRPr="00E9652A">
        <w:rPr>
          <w:color w:val="000000" w:themeColor="text1"/>
        </w:rPr>
        <w:t xml:space="preserve"> Šilhán In HULMÁK a kol.: </w:t>
      </w:r>
      <w:r w:rsidRPr="00E9652A">
        <w:rPr>
          <w:i/>
          <w:color w:val="000000" w:themeColor="text1"/>
        </w:rPr>
        <w:t xml:space="preserve">Občanský </w:t>
      </w:r>
      <w:r w:rsidRPr="00E9652A">
        <w:rPr>
          <w:i/>
        </w:rPr>
        <w:t>zákoník V. Závazkové právo. Obecná část...</w:t>
      </w:r>
      <w:r w:rsidRPr="00E9652A">
        <w:t>, s. 843 (§ 1908). Srov. též ust. § 2006 odst. 1 ObčZ, které stanoví, že „</w:t>
      </w:r>
      <w:r w:rsidRPr="00E9652A">
        <w:rPr>
          <w:i/>
        </w:rPr>
        <w:t>plnění není nemožné, lze-li dluh splnit […] až po určené době</w:t>
      </w:r>
      <w:r w:rsidRPr="00E9652A">
        <w:t>”, které potvrzuje, že k nevčasnému splnění dojít může.</w:t>
      </w:r>
      <w:r>
        <w:t xml:space="preserve"> Vadné splnění však zákon pomíjí.</w:t>
      </w:r>
    </w:p>
  </w:footnote>
  <w:footnote w:id="83">
    <w:p w14:paraId="7F9B2973" w14:textId="265C29BF" w:rsidR="00C232E4" w:rsidRDefault="00C232E4" w:rsidP="0064685C">
      <w:pPr>
        <w:pStyle w:val="NoSpacing"/>
      </w:pPr>
      <w:r>
        <w:rPr>
          <w:rStyle w:val="FootnoteReference"/>
        </w:rPr>
        <w:footnoteRef/>
      </w:r>
      <w:r>
        <w:t xml:space="preserve"> ŠILHÁN, J. </w:t>
      </w:r>
      <w:r w:rsidRPr="00451D07">
        <w:rPr>
          <w:i/>
        </w:rPr>
        <w:t>Právní následky porušení smlouvy...</w:t>
      </w:r>
      <w:r>
        <w:t>, s. 117.</w:t>
      </w:r>
    </w:p>
  </w:footnote>
  <w:footnote w:id="84">
    <w:p w14:paraId="24DA89C3" w14:textId="2642C611" w:rsidR="00C232E4" w:rsidRDefault="00C232E4" w:rsidP="00FE0EA0">
      <w:pPr>
        <w:pStyle w:val="NoSpacing"/>
      </w:pPr>
      <w:r>
        <w:rPr>
          <w:rStyle w:val="FootnoteReference"/>
        </w:rPr>
        <w:footnoteRef/>
      </w:r>
      <w:r>
        <w:t xml:space="preserve"> ŠILHÁN, J. </w:t>
      </w:r>
      <w:r w:rsidRPr="00451D07">
        <w:rPr>
          <w:i/>
        </w:rPr>
        <w:t>Právní následky porušení smlouvy...</w:t>
      </w:r>
      <w:r>
        <w:t>, s. 111.</w:t>
      </w:r>
    </w:p>
  </w:footnote>
  <w:footnote w:id="85">
    <w:p w14:paraId="293F61F4" w14:textId="7F3344E3" w:rsidR="00C232E4" w:rsidRDefault="00C232E4" w:rsidP="004B365B">
      <w:pPr>
        <w:pStyle w:val="NoSpacing"/>
      </w:pPr>
      <w:r w:rsidRPr="00672619">
        <w:rPr>
          <w:rStyle w:val="FootnoteReference"/>
        </w:rPr>
        <w:footnoteRef/>
      </w:r>
      <w:r w:rsidRPr="00672619">
        <w:t xml:space="preserve"> </w:t>
      </w:r>
      <w:r>
        <w:t>Tamtéž, s. 111 - 122</w:t>
      </w:r>
      <w:r w:rsidRPr="00672619">
        <w:t>.</w:t>
      </w:r>
      <w:r>
        <w:t xml:space="preserve"> </w:t>
      </w:r>
    </w:p>
  </w:footnote>
  <w:footnote w:id="86">
    <w:p w14:paraId="40547FBE" w14:textId="0721A733" w:rsidR="00C232E4" w:rsidRDefault="00C232E4" w:rsidP="007406A3">
      <w:pPr>
        <w:pStyle w:val="NoSpacing"/>
      </w:pPr>
      <w:r>
        <w:rPr>
          <w:rStyle w:val="FootnoteReference"/>
        </w:rPr>
        <w:footnoteRef/>
      </w:r>
      <w:r>
        <w:t xml:space="preserve"> § 1914 ObčZ, § 1916 ObčZ, § 2615 ObčZ.</w:t>
      </w:r>
    </w:p>
  </w:footnote>
  <w:footnote w:id="87">
    <w:p w14:paraId="14294520" w14:textId="6EADEA34" w:rsidR="00C232E4" w:rsidRDefault="00C232E4" w:rsidP="00194744">
      <w:pPr>
        <w:pStyle w:val="NoSpacing"/>
      </w:pPr>
      <w:r>
        <w:rPr>
          <w:rStyle w:val="FootnoteReference"/>
        </w:rPr>
        <w:footnoteRef/>
      </w:r>
      <w:r>
        <w:t xml:space="preserve"> Srov. § 2617 ObčZ.</w:t>
      </w:r>
    </w:p>
  </w:footnote>
  <w:footnote w:id="88">
    <w:p w14:paraId="39357B48" w14:textId="77777777" w:rsidR="00C232E4" w:rsidRPr="00E9652A" w:rsidRDefault="00C232E4" w:rsidP="00194744">
      <w:pPr>
        <w:pStyle w:val="NoSpacing"/>
      </w:pPr>
      <w:r w:rsidRPr="00E9652A">
        <w:rPr>
          <w:rStyle w:val="FootnoteReference"/>
        </w:rPr>
        <w:footnoteRef/>
      </w:r>
      <w:r w:rsidRPr="00E9652A">
        <w:t xml:space="preserve"> Ust. § 1919 odst. 1 ObčZ.</w:t>
      </w:r>
    </w:p>
  </w:footnote>
  <w:footnote w:id="89">
    <w:p w14:paraId="0DAF0E29" w14:textId="4677E8B1" w:rsidR="00C232E4" w:rsidRDefault="00C232E4" w:rsidP="000865D1">
      <w:pPr>
        <w:pStyle w:val="NoSpacing"/>
      </w:pPr>
      <w:r>
        <w:rPr>
          <w:rStyle w:val="FootnoteReference"/>
        </w:rPr>
        <w:footnoteRef/>
      </w:r>
      <w:r>
        <w:t xml:space="preserve"> Čl. 11.1 CONS.</w:t>
      </w:r>
    </w:p>
  </w:footnote>
  <w:footnote w:id="90">
    <w:p w14:paraId="5A3C42AA" w14:textId="3724A3B4" w:rsidR="00C232E4" w:rsidRPr="00C43555" w:rsidRDefault="00C232E4" w:rsidP="000865D1">
      <w:pPr>
        <w:pStyle w:val="NoSpacing"/>
      </w:pPr>
      <w:r>
        <w:rPr>
          <w:rStyle w:val="FootnoteReference"/>
        </w:rPr>
        <w:footnoteRef/>
      </w:r>
      <w:r>
        <w:t xml:space="preserve"> „</w:t>
      </w:r>
      <w:r>
        <w:rPr>
          <w:i/>
        </w:rPr>
        <w:t xml:space="preserve">Apendix to Tender“. </w:t>
      </w:r>
      <w:r>
        <w:t>Dle čl. 11.3 CONS záruční doba dokonce může být dodatečně prodloužena až o 2 rok</w:t>
      </w:r>
      <w:r w:rsidR="00FB580A">
        <w:t>y. Děje se tak na základě vzneseného nároku</w:t>
      </w:r>
      <w:r>
        <w:t xml:space="preserve"> odběratele, pokud z důvodu vady dílo po převzetí nemůže sloužit svému účelu.</w:t>
      </w:r>
    </w:p>
  </w:footnote>
  <w:footnote w:id="91">
    <w:p w14:paraId="4D4F379B" w14:textId="77777777" w:rsidR="00C232E4" w:rsidRPr="00E9652A" w:rsidRDefault="00C232E4" w:rsidP="001C6F5D">
      <w:pPr>
        <w:pStyle w:val="NoSpacing"/>
      </w:pPr>
      <w:r w:rsidRPr="00E9652A">
        <w:rPr>
          <w:rStyle w:val="FootnoteReference"/>
        </w:rPr>
        <w:footnoteRef/>
      </w:r>
      <w:r w:rsidRPr="00E9652A">
        <w:t xml:space="preserve"> Podrobněji k možnosti vzdání se práv z vadného plnění viz ŠILHÁN, J. Vzdání se práv z vadného plnění v novém občanském zákoníku. </w:t>
      </w:r>
      <w:r w:rsidRPr="00E9652A">
        <w:rPr>
          <w:i/>
        </w:rPr>
        <w:t>Právní rozhledy</w:t>
      </w:r>
      <w:r w:rsidRPr="00E9652A">
        <w:t xml:space="preserve">, roč. 2013, č. 20, s. 712. </w:t>
      </w:r>
    </w:p>
  </w:footnote>
  <w:footnote w:id="92">
    <w:p w14:paraId="5519B362" w14:textId="5663E3B9" w:rsidR="00C232E4" w:rsidRPr="00E9652A" w:rsidRDefault="00C232E4" w:rsidP="00A924D3">
      <w:pPr>
        <w:pStyle w:val="NoSpacing"/>
      </w:pPr>
      <w:r w:rsidRPr="00E9652A">
        <w:rPr>
          <w:rStyle w:val="FootnoteReference"/>
        </w:rPr>
        <w:footnoteRef/>
      </w:r>
      <w:r>
        <w:t xml:space="preserve"> </w:t>
      </w:r>
      <w:r w:rsidRPr="00E9652A">
        <w:t>§ 2594 ObčZ.</w:t>
      </w:r>
    </w:p>
  </w:footnote>
  <w:footnote w:id="93">
    <w:p w14:paraId="2F91596C" w14:textId="0E9ADE96" w:rsidR="00C232E4" w:rsidRPr="00E9652A" w:rsidRDefault="00C232E4" w:rsidP="00057E1D">
      <w:pPr>
        <w:pStyle w:val="NoSpacing"/>
      </w:pPr>
      <w:r w:rsidRPr="00E9652A">
        <w:rPr>
          <w:rStyle w:val="FootnoteReference"/>
        </w:rPr>
        <w:footnoteRef/>
      </w:r>
      <w:r>
        <w:t xml:space="preserve"> </w:t>
      </w:r>
      <w:r w:rsidRPr="00E9652A">
        <w:t xml:space="preserve">§ 6 odst. 2 a § 8 ObčZ. Též ŠILHÁN, J. </w:t>
      </w:r>
      <w:r w:rsidRPr="00B53E18">
        <w:t>Vzdání se práv z vadného plnění</w:t>
      </w:r>
      <w:r>
        <w:t xml:space="preserve"> </w:t>
      </w:r>
      <w:r w:rsidRPr="00B53E18">
        <w:t>...</w:t>
      </w:r>
    </w:p>
  </w:footnote>
  <w:footnote w:id="94">
    <w:p w14:paraId="76204A37" w14:textId="3D473268" w:rsidR="00C232E4" w:rsidRPr="00E9652A" w:rsidRDefault="00C232E4" w:rsidP="00BA53C0">
      <w:pPr>
        <w:pStyle w:val="NoSpacing"/>
      </w:pPr>
      <w:r w:rsidRPr="00E9652A">
        <w:rPr>
          <w:rStyle w:val="FootnoteReference"/>
        </w:rPr>
        <w:footnoteRef/>
      </w:r>
      <w:r>
        <w:t xml:space="preserve"> </w:t>
      </w:r>
      <w:r w:rsidRPr="00E9652A">
        <w:t>§ 1921 odst. 1 a odst. 3 ObčZ.</w:t>
      </w:r>
    </w:p>
  </w:footnote>
  <w:footnote w:id="95">
    <w:p w14:paraId="4FCC12D8" w14:textId="77777777" w:rsidR="00C232E4" w:rsidRPr="00E9652A" w:rsidRDefault="00C232E4" w:rsidP="00F319A0">
      <w:pPr>
        <w:pStyle w:val="NoSpacing"/>
      </w:pPr>
      <w:r w:rsidRPr="00E9652A">
        <w:rPr>
          <w:rStyle w:val="FootnoteReference"/>
        </w:rPr>
        <w:footnoteRef/>
      </w:r>
      <w:r w:rsidRPr="00E9652A">
        <w:t xml:space="preserve"> Tamtéž.</w:t>
      </w:r>
    </w:p>
  </w:footnote>
  <w:footnote w:id="96">
    <w:p w14:paraId="62FBD3D7" w14:textId="77777777" w:rsidR="00C232E4" w:rsidRPr="00E9652A" w:rsidRDefault="00C232E4" w:rsidP="00CF7D3E">
      <w:pPr>
        <w:pStyle w:val="NoSpacing"/>
        <w:rPr>
          <w:color w:val="000000" w:themeColor="text1"/>
        </w:rPr>
      </w:pPr>
      <w:r w:rsidRPr="00E9652A">
        <w:rPr>
          <w:rStyle w:val="FootnoteReference"/>
        </w:rPr>
        <w:footnoteRef/>
      </w:r>
      <w:r w:rsidRPr="00E9652A">
        <w:t xml:space="preserve"> </w:t>
      </w:r>
      <w:r w:rsidRPr="00E9652A">
        <w:rPr>
          <w:color w:val="000000" w:themeColor="text1"/>
        </w:rPr>
        <w:t xml:space="preserve">Šilhán In HULMÁK a kol.: </w:t>
      </w:r>
      <w:r w:rsidRPr="00E9652A">
        <w:rPr>
          <w:i/>
          <w:color w:val="000000" w:themeColor="text1"/>
        </w:rPr>
        <w:t>Občanský zákoník V. Závazkové právo. Obecná část...</w:t>
      </w:r>
      <w:r w:rsidRPr="00E9652A">
        <w:rPr>
          <w:color w:val="000000" w:themeColor="text1"/>
        </w:rPr>
        <w:t>, s. 905 – 906 (§ 1921).</w:t>
      </w:r>
    </w:p>
  </w:footnote>
  <w:footnote w:id="97">
    <w:p w14:paraId="71FAC41B" w14:textId="3950EF89" w:rsidR="00C232E4" w:rsidRPr="00E9652A" w:rsidRDefault="00C232E4" w:rsidP="00B90432">
      <w:pPr>
        <w:pStyle w:val="NoSpacing"/>
      </w:pPr>
      <w:r w:rsidRPr="00E9652A">
        <w:rPr>
          <w:rStyle w:val="FootnoteReference"/>
          <w:color w:val="000000" w:themeColor="text1"/>
        </w:rPr>
        <w:footnoteRef/>
      </w:r>
      <w:r w:rsidRPr="00E9652A">
        <w:rPr>
          <w:color w:val="000000" w:themeColor="text1"/>
        </w:rPr>
        <w:t xml:space="preserve"> Tamtéž, s</w:t>
      </w:r>
      <w:r>
        <w:t>. 904 (§ 1921)</w:t>
      </w:r>
      <w:r w:rsidRPr="00E9652A">
        <w:t>.</w:t>
      </w:r>
    </w:p>
  </w:footnote>
  <w:footnote w:id="98">
    <w:p w14:paraId="186D613C" w14:textId="166C7E41" w:rsidR="00C232E4" w:rsidRDefault="00C232E4" w:rsidP="00F1735A">
      <w:pPr>
        <w:pStyle w:val="NoSpacing"/>
      </w:pPr>
      <w:r>
        <w:rPr>
          <w:rStyle w:val="FootnoteReference"/>
        </w:rPr>
        <w:footnoteRef/>
      </w:r>
      <w:r>
        <w:t xml:space="preserve"> V souvislosti s existencí zjevných vad je vždy nutné zkoumat, zda je tato vada zjevná i pro dodavatele. Pokud by mu byla zjevná, pak se zřejmě bude jednat zároveň o vědomou vadu. Vědomá vada je „</w:t>
      </w:r>
      <w:r w:rsidRPr="008468A6">
        <w:rPr>
          <w:i/>
        </w:rPr>
        <w:t>taková vada, které si zhotovitel musel být vědom (o které nemohl nevědět), pokud by postupoval s náležitou péčí, tj. v případě, že jde o profesionála, s péčí odbornou.</w:t>
      </w:r>
      <w:r>
        <w:t>“ (Rozsudek NS ČR</w:t>
      </w:r>
      <w:r w:rsidRPr="002D1CB8">
        <w:t xml:space="preserve"> </w:t>
      </w:r>
      <w:r>
        <w:t xml:space="preserve">ze dne </w:t>
      </w:r>
      <w:r w:rsidRPr="00AE1DDB">
        <w:t>19. 4. 2016</w:t>
      </w:r>
      <w:r>
        <w:t xml:space="preserve">, sp.zn. </w:t>
      </w:r>
      <w:r w:rsidRPr="00AE1DDB">
        <w:t>32 Cdo 2290/2014</w:t>
      </w:r>
      <w:r>
        <w:t xml:space="preserve">). Srov. též Nález ÚS ze dne </w:t>
      </w:r>
      <w:r w:rsidRPr="002D1CB8">
        <w:t>29. 9. 2010</w:t>
      </w:r>
      <w:r>
        <w:t xml:space="preserve">, sp.zn. I. ÚS 1052/10. Vědomost dodavatele o vadě tak nemůže být vázána na vytknutí vady odběratelem. </w:t>
      </w:r>
    </w:p>
  </w:footnote>
  <w:footnote w:id="99">
    <w:p w14:paraId="3C423A51" w14:textId="4D77B9EE" w:rsidR="00C232E4" w:rsidRPr="00E9652A" w:rsidRDefault="00C232E4" w:rsidP="00BA53C0">
      <w:pPr>
        <w:pStyle w:val="NoSpacing"/>
      </w:pPr>
      <w:r w:rsidRPr="00E9652A">
        <w:rPr>
          <w:rStyle w:val="FootnoteReference"/>
        </w:rPr>
        <w:footnoteRef/>
      </w:r>
      <w:r>
        <w:t xml:space="preserve"> </w:t>
      </w:r>
      <w:r w:rsidRPr="00E9652A">
        <w:t>§ 1921 odst. 2 ObčZ.</w:t>
      </w:r>
    </w:p>
  </w:footnote>
  <w:footnote w:id="100">
    <w:p w14:paraId="1925B9EB" w14:textId="6CDFD0E7" w:rsidR="00C232E4" w:rsidRPr="00E9652A" w:rsidRDefault="00C232E4" w:rsidP="008E077F">
      <w:pPr>
        <w:pStyle w:val="NoSpacing"/>
      </w:pPr>
      <w:r w:rsidRPr="00E9652A">
        <w:rPr>
          <w:rStyle w:val="FootnoteReference"/>
        </w:rPr>
        <w:footnoteRef/>
      </w:r>
      <w:r>
        <w:t xml:space="preserve"> </w:t>
      </w:r>
      <w:r w:rsidRPr="00E9652A">
        <w:t>§ 2605 odst. 2 ObčZ.</w:t>
      </w:r>
    </w:p>
  </w:footnote>
  <w:footnote w:id="101">
    <w:p w14:paraId="2C145594" w14:textId="708761C5" w:rsidR="00C232E4" w:rsidRPr="00E9652A" w:rsidRDefault="00C232E4" w:rsidP="00D74EC7">
      <w:pPr>
        <w:pStyle w:val="NoSpacing"/>
      </w:pPr>
      <w:r w:rsidRPr="00E9652A">
        <w:rPr>
          <w:rStyle w:val="FootnoteReference"/>
        </w:rPr>
        <w:footnoteRef/>
      </w:r>
      <w:r>
        <w:t xml:space="preserve"> </w:t>
      </w:r>
      <w:r w:rsidRPr="00E9652A">
        <w:t>§ 1921 odst. 2 ObčZ.</w:t>
      </w:r>
    </w:p>
  </w:footnote>
  <w:footnote w:id="102">
    <w:p w14:paraId="5B039BAF" w14:textId="3DF8DDF9" w:rsidR="00C232E4" w:rsidRDefault="00C232E4" w:rsidP="00851107">
      <w:pPr>
        <w:pStyle w:val="NoSpacing"/>
      </w:pPr>
      <w:r>
        <w:rPr>
          <w:rStyle w:val="FootnoteReference"/>
        </w:rPr>
        <w:footnoteRef/>
      </w:r>
      <w:r>
        <w:t xml:space="preserve"> Viz tabulka s typologií a závažností vad.</w:t>
      </w:r>
    </w:p>
  </w:footnote>
  <w:footnote w:id="103">
    <w:p w14:paraId="4379FE9F" w14:textId="491C3B30" w:rsidR="00C232E4" w:rsidRDefault="00C232E4" w:rsidP="006F2481">
      <w:pPr>
        <w:pStyle w:val="NoSpacing"/>
      </w:pPr>
      <w:r>
        <w:rPr>
          <w:rStyle w:val="FootnoteReference"/>
        </w:rPr>
        <w:footnoteRef/>
      </w:r>
      <w:r>
        <w:t xml:space="preserve"> S výjimkou vědomých vad.</w:t>
      </w:r>
    </w:p>
  </w:footnote>
  <w:footnote w:id="104">
    <w:p w14:paraId="25D15E6D" w14:textId="2F950805" w:rsidR="00C232E4" w:rsidRPr="00E9652A" w:rsidRDefault="00C232E4" w:rsidP="00CE13A1">
      <w:pPr>
        <w:pStyle w:val="NoSpacing"/>
      </w:pPr>
      <w:r w:rsidRPr="00E9652A">
        <w:rPr>
          <w:rStyle w:val="FootnoteReference"/>
        </w:rPr>
        <w:footnoteRef/>
      </w:r>
      <w:r>
        <w:t xml:space="preserve"> </w:t>
      </w:r>
      <w:r w:rsidRPr="00E9652A">
        <w:t>§ 2629 odst. 1 ObčZ.</w:t>
      </w:r>
    </w:p>
  </w:footnote>
  <w:footnote w:id="105">
    <w:p w14:paraId="62360F5F" w14:textId="0931AE5E" w:rsidR="00C232E4" w:rsidRDefault="00C232E4" w:rsidP="00CE13A1">
      <w:pPr>
        <w:pStyle w:val="NoSpacing"/>
      </w:pPr>
      <w:r>
        <w:rPr>
          <w:rStyle w:val="FootnoteReference"/>
        </w:rPr>
        <w:footnoteRef/>
      </w:r>
      <w:r>
        <w:t xml:space="preserve"> Tamtéž, odst. 2.</w:t>
      </w:r>
    </w:p>
  </w:footnote>
  <w:footnote w:id="106">
    <w:p w14:paraId="4CA78529" w14:textId="77777777" w:rsidR="00C232E4" w:rsidRDefault="00C232E4" w:rsidP="0068405D">
      <w:pPr>
        <w:pStyle w:val="NoSpacing"/>
      </w:pPr>
      <w:r>
        <w:rPr>
          <w:rStyle w:val="FootnoteReference"/>
        </w:rPr>
        <w:footnoteRef/>
      </w:r>
      <w:r>
        <w:t xml:space="preserve"> § 2628 ObčZ.</w:t>
      </w:r>
    </w:p>
  </w:footnote>
  <w:footnote w:id="107">
    <w:p w14:paraId="4CB0B1DC" w14:textId="2CF1DBD4" w:rsidR="00C232E4" w:rsidRDefault="00C232E4" w:rsidP="00A6120D">
      <w:pPr>
        <w:pStyle w:val="NoSpacing"/>
      </w:pPr>
      <w:r>
        <w:rPr>
          <w:rStyle w:val="FootnoteReference"/>
        </w:rPr>
        <w:footnoteRef/>
      </w:r>
      <w:r>
        <w:t xml:space="preserve"> § 1 odst. 1 věta druhá ObčZ.</w:t>
      </w:r>
    </w:p>
  </w:footnote>
  <w:footnote w:id="108">
    <w:p w14:paraId="58F8B643" w14:textId="4AA8AF9C" w:rsidR="00C232E4" w:rsidRDefault="00C232E4" w:rsidP="00FE0726">
      <w:pPr>
        <w:pStyle w:val="NoSpacing"/>
      </w:pPr>
      <w:r>
        <w:rPr>
          <w:rStyle w:val="FootnoteReference"/>
        </w:rPr>
        <w:footnoteRef/>
      </w:r>
      <w:r>
        <w:t xml:space="preserve"> Srov. např. Rozsudek NS ČR, sp.zn. 29 Cdo 51/2000, ze dne </w:t>
      </w:r>
      <w:r w:rsidRPr="00FE0726">
        <w:t>31. července 2000</w:t>
      </w:r>
      <w:r>
        <w:t>.</w:t>
      </w:r>
    </w:p>
  </w:footnote>
  <w:footnote w:id="109">
    <w:p w14:paraId="4355D14E" w14:textId="0698437A" w:rsidR="00C232E4" w:rsidRPr="00E9652A" w:rsidRDefault="00C232E4" w:rsidP="00614946">
      <w:pPr>
        <w:pStyle w:val="NoSpacing"/>
      </w:pPr>
      <w:r w:rsidRPr="00E9652A">
        <w:rPr>
          <w:rStyle w:val="FootnoteReference"/>
        </w:rPr>
        <w:footnoteRef/>
      </w:r>
      <w:r w:rsidRPr="00E9652A">
        <w:t xml:space="preserve"> </w:t>
      </w:r>
      <w:r w:rsidRPr="00E9652A">
        <w:rPr>
          <w:rFonts w:cs="Times New Roman"/>
        </w:rPr>
        <w:t xml:space="preserve">VARGIC, Mikuláš. </w:t>
      </w:r>
      <w:r w:rsidRPr="00E9652A">
        <w:rPr>
          <w:rFonts w:cs="Times New Roman"/>
          <w:i/>
        </w:rPr>
        <w:t>Společná odpovědnost zhotovitele..</w:t>
      </w:r>
      <w:r w:rsidRPr="00E9652A">
        <w:rPr>
          <w:szCs w:val="20"/>
        </w:rPr>
        <w:t>.</w:t>
      </w:r>
    </w:p>
  </w:footnote>
  <w:footnote w:id="110">
    <w:p w14:paraId="73572A2D" w14:textId="77777777" w:rsidR="00C232E4" w:rsidRPr="00E9652A" w:rsidRDefault="00C232E4" w:rsidP="002F5CF4">
      <w:pPr>
        <w:pStyle w:val="NoSpacing"/>
      </w:pPr>
      <w:r w:rsidRPr="00E9652A">
        <w:rPr>
          <w:rStyle w:val="FootnoteReference"/>
        </w:rPr>
        <w:footnoteRef/>
      </w:r>
      <w:r w:rsidRPr="00E9652A">
        <w:t xml:space="preserve"> HECZKO, Tomasz. Spoluodpovědnost za vady díla</w:t>
      </w:r>
      <w:r>
        <w:t>...</w:t>
      </w:r>
    </w:p>
  </w:footnote>
  <w:footnote w:id="111">
    <w:p w14:paraId="0B4F4DF6" w14:textId="48FD006E" w:rsidR="00C232E4" w:rsidRDefault="00C232E4" w:rsidP="007F08F3">
      <w:pPr>
        <w:pStyle w:val="NoSpacing"/>
      </w:pPr>
      <w:r>
        <w:rPr>
          <w:rStyle w:val="FootnoteReference"/>
        </w:rPr>
        <w:footnoteRef/>
      </w:r>
      <w:r>
        <w:t xml:space="preserve"> „</w:t>
      </w:r>
      <w:r w:rsidRPr="007F08F3">
        <w:rPr>
          <w:i/>
        </w:rPr>
        <w:t>Taking-Over Certificate</w:t>
      </w:r>
      <w:r>
        <w:t>“.</w:t>
      </w:r>
    </w:p>
  </w:footnote>
  <w:footnote w:id="112">
    <w:p w14:paraId="67EB2193" w14:textId="69A050AD" w:rsidR="00C232E4" w:rsidRPr="007F08F3" w:rsidRDefault="00C232E4" w:rsidP="007F08F3">
      <w:pPr>
        <w:pStyle w:val="NoSpacing"/>
      </w:pPr>
      <w:r>
        <w:rPr>
          <w:rStyle w:val="FootnoteReference"/>
        </w:rPr>
        <w:footnoteRef/>
      </w:r>
      <w:r>
        <w:t xml:space="preserve"> KLEE, L. </w:t>
      </w:r>
      <w:r>
        <w:rPr>
          <w:i/>
        </w:rPr>
        <w:t xml:space="preserve">Smluvní podmínky FIDIC. </w:t>
      </w:r>
      <w:r>
        <w:t>Praha: Wolters Kluwer ČR, a. s., 2011, s. 43.</w:t>
      </w:r>
    </w:p>
  </w:footnote>
  <w:footnote w:id="113">
    <w:p w14:paraId="36A78826" w14:textId="2738F4DE" w:rsidR="00C232E4" w:rsidRDefault="00C232E4" w:rsidP="00686CA0">
      <w:pPr>
        <w:pStyle w:val="NoSpacing"/>
      </w:pPr>
      <w:r>
        <w:rPr>
          <w:rStyle w:val="FootnoteReference"/>
        </w:rPr>
        <w:footnoteRef/>
      </w:r>
      <w:r>
        <w:t xml:space="preserve"> Čl. 10.2 CONS.</w:t>
      </w:r>
    </w:p>
  </w:footnote>
  <w:footnote w:id="114">
    <w:p w14:paraId="73800DA6" w14:textId="7B7DE45F" w:rsidR="00D43C43" w:rsidRDefault="00D43C43" w:rsidP="00D43C43">
      <w:pPr>
        <w:pStyle w:val="NoSpacing"/>
      </w:pPr>
      <w:r>
        <w:rPr>
          <w:rStyle w:val="FootnoteReference"/>
        </w:rPr>
        <w:footnoteRef/>
      </w:r>
      <w:r>
        <w:t xml:space="preserve"> K tomu srov. výklad v kapitole 3.2.4.</w:t>
      </w:r>
    </w:p>
  </w:footnote>
  <w:footnote w:id="115">
    <w:p w14:paraId="2E189F2A" w14:textId="00E246AF" w:rsidR="00C232E4" w:rsidRDefault="00C232E4" w:rsidP="005A4A9E">
      <w:pPr>
        <w:pStyle w:val="NoSpacing"/>
      </w:pPr>
      <w:r>
        <w:rPr>
          <w:rStyle w:val="FootnoteReference"/>
        </w:rPr>
        <w:footnoteRef/>
      </w:r>
      <w:r>
        <w:t xml:space="preserve"> Není v možnostech rozsahu této práce podrobně analyzovat a komparovat veškeré právní následky vadného splnění, pokládám však za nutné alespoň upozornit na vybrané otázky, resp. nastínit možné problémy, jejichž řešení by mohlo mít význam pro </w:t>
      </w:r>
      <w:r w:rsidR="00C74856">
        <w:t xml:space="preserve">vícestupňové </w:t>
      </w:r>
      <w:r>
        <w:t>dodavatelsko-odběratelské vztahy.</w:t>
      </w:r>
    </w:p>
  </w:footnote>
  <w:footnote w:id="116">
    <w:p w14:paraId="5EE7B9EF" w14:textId="0B87B73F" w:rsidR="00C232E4" w:rsidRDefault="00C232E4" w:rsidP="00110C87">
      <w:pPr>
        <w:pStyle w:val="NoSpacing"/>
      </w:pPr>
      <w:r>
        <w:rPr>
          <w:rStyle w:val="FootnoteReference"/>
        </w:rPr>
        <w:footnoteRef/>
      </w:r>
      <w:r>
        <w:t xml:space="preserve"> Aniž by zákon stanovil, že tato vada brání řádnému užití předmětu plnění či nikoliv.</w:t>
      </w:r>
    </w:p>
  </w:footnote>
  <w:footnote w:id="117">
    <w:p w14:paraId="3E21E963" w14:textId="2BFFD9A0" w:rsidR="00C232E4" w:rsidRDefault="00C232E4" w:rsidP="006F2E92">
      <w:pPr>
        <w:pStyle w:val="NoSpacing"/>
      </w:pPr>
      <w:r>
        <w:rPr>
          <w:rStyle w:val="FootnoteReference"/>
        </w:rPr>
        <w:footnoteRef/>
      </w:r>
      <w:r>
        <w:t xml:space="preserve"> Např. v důsledku nedodržení lhůty sjednané stranami ve smlouvě pro odstranění vady. </w:t>
      </w:r>
    </w:p>
  </w:footnote>
  <w:footnote w:id="118">
    <w:p w14:paraId="46D7FDA7" w14:textId="771A6B5D" w:rsidR="00C232E4" w:rsidRDefault="00C232E4" w:rsidP="009D7CE5">
      <w:pPr>
        <w:pStyle w:val="NoSpacing"/>
      </w:pPr>
      <w:r>
        <w:rPr>
          <w:rStyle w:val="FootnoteReference"/>
        </w:rPr>
        <w:footnoteRef/>
      </w:r>
      <w:r>
        <w:t xml:space="preserve"> ŠILHÁN, J. In </w:t>
      </w:r>
      <w:r w:rsidRPr="00E9652A">
        <w:rPr>
          <w:color w:val="000000" w:themeColor="text1"/>
        </w:rPr>
        <w:t xml:space="preserve">HULMÁK a kol.: </w:t>
      </w:r>
      <w:r w:rsidRPr="00E9652A">
        <w:rPr>
          <w:i/>
        </w:rPr>
        <w:t xml:space="preserve">Občanský zákoník </w:t>
      </w:r>
      <w:r>
        <w:rPr>
          <w:i/>
        </w:rPr>
        <w:t>V. Závazkové právo. Obecná část</w:t>
      </w:r>
      <w:r>
        <w:t xml:space="preserve">..., s. 914 (§ 1923). </w:t>
      </w:r>
    </w:p>
  </w:footnote>
  <w:footnote w:id="119">
    <w:p w14:paraId="4A7BFDD2" w14:textId="6CF2D595" w:rsidR="00C232E4" w:rsidRDefault="00C232E4" w:rsidP="000B1D79">
      <w:pPr>
        <w:pStyle w:val="NoSpacing"/>
      </w:pPr>
      <w:r>
        <w:rPr>
          <w:rStyle w:val="FootnoteReference"/>
        </w:rPr>
        <w:footnoteRef/>
      </w:r>
      <w:r>
        <w:t xml:space="preserve"> Tamtéž. K posouzení otázky nemožnosti řádného užívání předmětu plnění jako otázky právní srov. Rozsudek NS ČR ze dne </w:t>
      </w:r>
      <w:r w:rsidRPr="00845097">
        <w:t>7. 1. 2009</w:t>
      </w:r>
      <w:r>
        <w:t xml:space="preserve">, sp.zn. </w:t>
      </w:r>
      <w:r w:rsidRPr="00845097">
        <w:t>28 Cdo 171/2008</w:t>
      </w:r>
      <w:r>
        <w:t xml:space="preserve">. </w:t>
      </w:r>
    </w:p>
  </w:footnote>
  <w:footnote w:id="120">
    <w:p w14:paraId="78C28021" w14:textId="139C0484" w:rsidR="00C232E4" w:rsidRDefault="00C232E4" w:rsidP="00BA6DF7">
      <w:pPr>
        <w:pStyle w:val="NoSpacing"/>
      </w:pPr>
      <w:r>
        <w:rPr>
          <w:rStyle w:val="FootnoteReference"/>
        </w:rPr>
        <w:footnoteRef/>
      </w:r>
      <w:r>
        <w:t xml:space="preserve"> ŠILHÁN, J. In </w:t>
      </w:r>
      <w:r w:rsidRPr="00E9652A">
        <w:rPr>
          <w:color w:val="000000" w:themeColor="text1"/>
        </w:rPr>
        <w:t xml:space="preserve">HULMÁK a kol.: </w:t>
      </w:r>
      <w:r w:rsidRPr="00E9652A">
        <w:rPr>
          <w:i/>
        </w:rPr>
        <w:t xml:space="preserve">Občanský zákoník </w:t>
      </w:r>
      <w:r>
        <w:rPr>
          <w:i/>
        </w:rPr>
        <w:t>V. Závazkové právo. Obecná část</w:t>
      </w:r>
      <w:r>
        <w:t>..., s. 914 (§ 1923).</w:t>
      </w:r>
    </w:p>
  </w:footnote>
  <w:footnote w:id="121">
    <w:p w14:paraId="04405CE9" w14:textId="59A9DB45" w:rsidR="00C232E4" w:rsidRDefault="00C232E4" w:rsidP="00644919">
      <w:pPr>
        <w:pStyle w:val="NoSpacing"/>
      </w:pPr>
      <w:r>
        <w:rPr>
          <w:rStyle w:val="FootnoteReference"/>
        </w:rPr>
        <w:footnoteRef/>
      </w:r>
      <w:r>
        <w:t xml:space="preserve"> ŠILHÁN, J. </w:t>
      </w:r>
      <w:r w:rsidRPr="00451D07">
        <w:rPr>
          <w:i/>
        </w:rPr>
        <w:t>Právní následky porušení smlouvy...</w:t>
      </w:r>
      <w:r>
        <w:t>, s. 482.</w:t>
      </w:r>
    </w:p>
  </w:footnote>
  <w:footnote w:id="122">
    <w:p w14:paraId="37647739" w14:textId="5BC76BA7" w:rsidR="00C232E4" w:rsidRDefault="00C232E4" w:rsidP="00A37D2E">
      <w:pPr>
        <w:pStyle w:val="NoSpacing"/>
      </w:pPr>
      <w:r>
        <w:rPr>
          <w:rStyle w:val="FootnoteReference"/>
        </w:rPr>
        <w:footnoteRef/>
      </w:r>
      <w:r>
        <w:t xml:space="preserve"> Srov.</w:t>
      </w:r>
      <w:r w:rsidRPr="00613382">
        <w:t xml:space="preserve"> §</w:t>
      </w:r>
      <w:r>
        <w:t xml:space="preserve"> 1926 odst. 3 ObčZ. </w:t>
      </w:r>
    </w:p>
  </w:footnote>
  <w:footnote w:id="123">
    <w:p w14:paraId="008CC86C" w14:textId="6F515F29" w:rsidR="00C232E4" w:rsidRDefault="00C232E4" w:rsidP="00FE4EE4">
      <w:pPr>
        <w:pStyle w:val="NoSpacing"/>
      </w:pPr>
      <w:r>
        <w:rPr>
          <w:rStyle w:val="FootnoteReference"/>
        </w:rPr>
        <w:footnoteRef/>
      </w:r>
      <w:r>
        <w:t xml:space="preserve"> ŠILHÁN, J. In </w:t>
      </w:r>
      <w:r w:rsidRPr="00E9652A">
        <w:rPr>
          <w:color w:val="000000" w:themeColor="text1"/>
        </w:rPr>
        <w:t xml:space="preserve">HULMÁK a kol.: </w:t>
      </w:r>
      <w:r w:rsidRPr="00E9652A">
        <w:rPr>
          <w:i/>
        </w:rPr>
        <w:t xml:space="preserve">Občanský zákoník </w:t>
      </w:r>
      <w:r>
        <w:rPr>
          <w:i/>
        </w:rPr>
        <w:t>V. Závazkové právo. Obecná část</w:t>
      </w:r>
      <w:r>
        <w:t>..., s. 908 (§ 1921).</w:t>
      </w:r>
    </w:p>
  </w:footnote>
  <w:footnote w:id="124">
    <w:p w14:paraId="7825DEE3" w14:textId="047C2077" w:rsidR="00C232E4" w:rsidRDefault="00C232E4" w:rsidP="006735C7">
      <w:pPr>
        <w:pStyle w:val="NoSpacing"/>
      </w:pPr>
      <w:r>
        <w:rPr>
          <w:rStyle w:val="FootnoteReference"/>
        </w:rPr>
        <w:footnoteRef/>
      </w:r>
      <w:r>
        <w:t xml:space="preserve"> Tamtéž, s. 913 (§ 1923). Nutno uvést, že by se tato lhůta měla odvíjet od povahy předmětu plnění a náročnosti odstranění vady, srov. Rozsudek NS ČR ze dne 29. 6. 2010, sp.zn. </w:t>
      </w:r>
      <w:r w:rsidRPr="00A9649A">
        <w:t>33 Cdo 1508/2008</w:t>
      </w:r>
      <w:r>
        <w:t>.</w:t>
      </w:r>
    </w:p>
  </w:footnote>
  <w:footnote w:id="125">
    <w:p w14:paraId="4532597A" w14:textId="75672931" w:rsidR="00C232E4" w:rsidRDefault="00C232E4" w:rsidP="005145F5">
      <w:pPr>
        <w:pStyle w:val="NoSpacing"/>
      </w:pPr>
      <w:r>
        <w:rPr>
          <w:rStyle w:val="FootnoteReference"/>
        </w:rPr>
        <w:footnoteRef/>
      </w:r>
      <w:r>
        <w:t xml:space="preserve"> § 2615 odst. 2 ObčZ.</w:t>
      </w:r>
    </w:p>
  </w:footnote>
  <w:footnote w:id="126">
    <w:p w14:paraId="1DA4005F" w14:textId="005DC2B4" w:rsidR="00C232E4" w:rsidRPr="006E260B" w:rsidRDefault="00C232E4" w:rsidP="006E260B">
      <w:pPr>
        <w:pStyle w:val="NoSpacing"/>
      </w:pPr>
      <w:r>
        <w:rPr>
          <w:rStyle w:val="FootnoteReference"/>
        </w:rPr>
        <w:footnoteRef/>
      </w:r>
      <w:r>
        <w:t xml:space="preserve"> ŠILHÁN, J. </w:t>
      </w:r>
      <w:r w:rsidRPr="00E9652A">
        <w:t xml:space="preserve">In HULMÁK, M. a kol.: </w:t>
      </w:r>
      <w:r w:rsidRPr="00E9652A">
        <w:rPr>
          <w:i/>
        </w:rPr>
        <w:t xml:space="preserve">Občanský zákoník VI. Závazkové právo. </w:t>
      </w:r>
      <w:r>
        <w:rPr>
          <w:i/>
        </w:rPr>
        <w:t>Obecná část ...</w:t>
      </w:r>
      <w:r>
        <w:t>, s. 1199 (§ 2002).</w:t>
      </w:r>
    </w:p>
  </w:footnote>
  <w:footnote w:id="127">
    <w:p w14:paraId="4C62256E" w14:textId="67ED9CCD" w:rsidR="00C232E4" w:rsidRDefault="00C232E4" w:rsidP="00C86F6B">
      <w:pPr>
        <w:pStyle w:val="NoSpacing"/>
      </w:pPr>
      <w:r>
        <w:rPr>
          <w:rStyle w:val="FootnoteReference"/>
        </w:rPr>
        <w:footnoteRef/>
      </w:r>
      <w:r>
        <w:t xml:space="preserve"> Zde možnost změnit již jednou zvolené právo pouze se souhlasem dodavatele zákon výslovně stanovuje, srov. § 2106 odst. 2 věta druhá ObčZ, výjimky, kdy lze změnit svoji volbu, srov. tamtéž. </w:t>
      </w:r>
    </w:p>
  </w:footnote>
  <w:footnote w:id="128">
    <w:p w14:paraId="5DA5CBDC" w14:textId="79D25A81" w:rsidR="00C232E4" w:rsidRDefault="00C232E4" w:rsidP="00DD27D4">
      <w:pPr>
        <w:pStyle w:val="NoSpacing"/>
      </w:pPr>
      <w:r>
        <w:rPr>
          <w:rStyle w:val="FootnoteReference"/>
        </w:rPr>
        <w:footnoteRef/>
      </w:r>
      <w:r>
        <w:t xml:space="preserve"> Srov. § 2106 odst. 3 ObčZ.</w:t>
      </w:r>
    </w:p>
  </w:footnote>
  <w:footnote w:id="129">
    <w:p w14:paraId="150ACBDF" w14:textId="36300658" w:rsidR="00C232E4" w:rsidRDefault="00C232E4" w:rsidP="009276E5">
      <w:pPr>
        <w:pStyle w:val="NoSpacing"/>
      </w:pPr>
      <w:r>
        <w:rPr>
          <w:rStyle w:val="FootnoteReference"/>
        </w:rPr>
        <w:footnoteRef/>
      </w:r>
      <w:r>
        <w:t xml:space="preserve"> § 2106 odst. 2 ObčZ.</w:t>
      </w:r>
    </w:p>
  </w:footnote>
  <w:footnote w:id="130">
    <w:p w14:paraId="1D8461B1" w14:textId="4FBB3541" w:rsidR="00C232E4" w:rsidRDefault="00C232E4" w:rsidP="004C44E2">
      <w:pPr>
        <w:pStyle w:val="NoSpacing"/>
      </w:pPr>
      <w:r>
        <w:rPr>
          <w:rStyle w:val="FootnoteReference"/>
        </w:rPr>
        <w:footnoteRef/>
      </w:r>
      <w:r>
        <w:t xml:space="preserve"> </w:t>
      </w:r>
      <w:r>
        <w:rPr>
          <w:rFonts w:cs="Times New Roman"/>
        </w:rPr>
        <w:t xml:space="preserve">Právo odstoupit od smlouvy však i poté může znovu získat na základě § 2107 odst. 3 ObčZ. </w:t>
      </w:r>
    </w:p>
  </w:footnote>
  <w:footnote w:id="131">
    <w:p w14:paraId="647F60A4" w14:textId="2F68F8D8" w:rsidR="00C232E4" w:rsidRDefault="00C232E4" w:rsidP="009B20CE">
      <w:pPr>
        <w:pStyle w:val="NoSpacing"/>
      </w:pPr>
      <w:r>
        <w:rPr>
          <w:rStyle w:val="FootnoteReference"/>
        </w:rPr>
        <w:footnoteRef/>
      </w:r>
      <w:r>
        <w:t xml:space="preserve"> Nutno pamatovat na limitaci v § 2615 odst. 2 ObčZ, kdy odběratel není oprávněn požadovat provedení náhradního díla, jestliže předmět díla vzhledem k jeho povaze nelze vrátit nebo předat dodavateli.</w:t>
      </w:r>
    </w:p>
  </w:footnote>
  <w:footnote w:id="132">
    <w:p w14:paraId="3CFAD539" w14:textId="55C0CA90" w:rsidR="00C232E4" w:rsidRDefault="00C232E4" w:rsidP="00D349EB">
      <w:pPr>
        <w:pStyle w:val="NoSpacing"/>
      </w:pPr>
      <w:r>
        <w:rPr>
          <w:rStyle w:val="FootnoteReference"/>
        </w:rPr>
        <w:footnoteRef/>
      </w:r>
      <w:r>
        <w:t xml:space="preserve"> Rozsudek NS ČR ze dne 23. 6. 2010, sp.zn.</w:t>
      </w:r>
      <w:r w:rsidRPr="00D349EB">
        <w:t xml:space="preserve"> 23 Cdo 1991/2008</w:t>
      </w:r>
      <w:r>
        <w:t>.</w:t>
      </w:r>
    </w:p>
  </w:footnote>
  <w:footnote w:id="133">
    <w:p w14:paraId="122CF3CC" w14:textId="778D8F51" w:rsidR="00C232E4" w:rsidRDefault="00C232E4" w:rsidP="00D349EB">
      <w:pPr>
        <w:pStyle w:val="NoSpacing"/>
      </w:pPr>
      <w:r>
        <w:rPr>
          <w:rStyle w:val="FootnoteReference"/>
        </w:rPr>
        <w:footnoteRef/>
      </w:r>
      <w:r>
        <w:t xml:space="preserve"> Jedná se o tzv. kompenzační nástroj, viz ŠILHÁN, J. </w:t>
      </w:r>
      <w:r w:rsidRPr="00451D07">
        <w:rPr>
          <w:i/>
        </w:rPr>
        <w:t>Právní následky porušení smlouvy...</w:t>
      </w:r>
      <w:r>
        <w:t xml:space="preserve">, s. 479. </w:t>
      </w:r>
    </w:p>
  </w:footnote>
  <w:footnote w:id="134">
    <w:p w14:paraId="315A298E" w14:textId="77777777" w:rsidR="00C232E4" w:rsidRDefault="00C232E4" w:rsidP="00C844D2">
      <w:pPr>
        <w:pStyle w:val="NoSpacing"/>
      </w:pPr>
      <w:r>
        <w:rPr>
          <w:rStyle w:val="FootnoteReference"/>
        </w:rPr>
        <w:footnoteRef/>
      </w:r>
      <w:r>
        <w:t xml:space="preserve"> Jedná se o tzv. restituční nástroj, viz tamtéž. </w:t>
      </w:r>
    </w:p>
  </w:footnote>
  <w:footnote w:id="135">
    <w:p w14:paraId="416060D2" w14:textId="5F0BB057" w:rsidR="00C232E4" w:rsidRDefault="00C232E4" w:rsidP="00C844D2">
      <w:pPr>
        <w:pStyle w:val="NoSpacing"/>
      </w:pPr>
      <w:r>
        <w:rPr>
          <w:rStyle w:val="FootnoteReference"/>
        </w:rPr>
        <w:footnoteRef/>
      </w:r>
      <w:r>
        <w:t xml:space="preserve"> Srov. § 2107 odst. 2 ObčZ, shodně ŠILHÁN, J. </w:t>
      </w:r>
      <w:r w:rsidRPr="00451D07">
        <w:rPr>
          <w:i/>
        </w:rPr>
        <w:t>Právní následky porušení smlouvy...</w:t>
      </w:r>
      <w:r>
        <w:t>, s. 485.</w:t>
      </w:r>
    </w:p>
  </w:footnote>
  <w:footnote w:id="136">
    <w:p w14:paraId="3338843C" w14:textId="77777777" w:rsidR="00C232E4" w:rsidRDefault="00C232E4" w:rsidP="004A7C68">
      <w:pPr>
        <w:pStyle w:val="NoSpacing"/>
      </w:pPr>
      <w:r>
        <w:rPr>
          <w:rStyle w:val="FootnoteReference"/>
        </w:rPr>
        <w:footnoteRef/>
      </w:r>
      <w:r>
        <w:t xml:space="preserve"> Tzv. terminační nástroj, viz tamtéž, s. 479.</w:t>
      </w:r>
    </w:p>
  </w:footnote>
  <w:footnote w:id="137">
    <w:p w14:paraId="05B2BB82" w14:textId="20D31A86" w:rsidR="00C232E4" w:rsidRDefault="00C232E4" w:rsidP="00F706CC">
      <w:pPr>
        <w:pStyle w:val="NoSpacing"/>
      </w:pPr>
      <w:r>
        <w:rPr>
          <w:rStyle w:val="FootnoteReference"/>
        </w:rPr>
        <w:footnoteRef/>
      </w:r>
      <w:r>
        <w:t xml:space="preserve"> Tamtéž, s. 488.</w:t>
      </w:r>
    </w:p>
  </w:footnote>
  <w:footnote w:id="138">
    <w:p w14:paraId="74FA2417" w14:textId="66904C87" w:rsidR="00C232E4" w:rsidRDefault="00C232E4" w:rsidP="00D2045F">
      <w:pPr>
        <w:pStyle w:val="NoSpacing"/>
      </w:pPr>
      <w:r>
        <w:rPr>
          <w:rStyle w:val="FootnoteReference"/>
        </w:rPr>
        <w:footnoteRef/>
      </w:r>
      <w:r>
        <w:t xml:space="preserve"> Povinnost předat vadně splněné dílo dodavateli, aby mohl vady přezkoumat dle § 1922 ObčZ.</w:t>
      </w:r>
    </w:p>
  </w:footnote>
  <w:footnote w:id="139">
    <w:p w14:paraId="2EB8A544" w14:textId="77777777" w:rsidR="00C232E4" w:rsidRPr="00E9652A" w:rsidRDefault="00C232E4" w:rsidP="00FB59CA">
      <w:pPr>
        <w:pStyle w:val="NoSpacing"/>
      </w:pPr>
      <w:r w:rsidRPr="00E9652A">
        <w:rPr>
          <w:rStyle w:val="FootnoteReference"/>
        </w:rPr>
        <w:footnoteRef/>
      </w:r>
      <w:r w:rsidRPr="00E9652A">
        <w:t xml:space="preserve"> </w:t>
      </w:r>
      <w:r w:rsidRPr="00E9652A">
        <w:rPr>
          <w:color w:val="000000" w:themeColor="text1"/>
        </w:rPr>
        <w:t xml:space="preserve">Šilhán In HULMÁK a kol.: </w:t>
      </w:r>
      <w:r w:rsidRPr="00E9652A">
        <w:rPr>
          <w:i/>
        </w:rPr>
        <w:t>Občanský zákoník V. Závazkové právo. Obecná část...</w:t>
      </w:r>
      <w:r w:rsidRPr="00E9652A">
        <w:t xml:space="preserve">, s. 917 (§ 1924). </w:t>
      </w:r>
    </w:p>
  </w:footnote>
  <w:footnote w:id="140">
    <w:p w14:paraId="4D29B373" w14:textId="4975F35E" w:rsidR="00C232E4" w:rsidRDefault="00C232E4" w:rsidP="00BB62CB">
      <w:pPr>
        <w:pStyle w:val="NoSpacing"/>
      </w:pPr>
      <w:r>
        <w:rPr>
          <w:rStyle w:val="FootnoteReference"/>
        </w:rPr>
        <w:footnoteRef/>
      </w:r>
      <w:r>
        <w:t xml:space="preserve"> Případně může vyplynout, že svoji povinnost porušilo více subdodavatelů v určitém poměru a na základě tohoto mohou být náklady a povinnosti rozděleny poměrně.</w:t>
      </w:r>
    </w:p>
  </w:footnote>
  <w:footnote w:id="141">
    <w:p w14:paraId="00F7D0D2" w14:textId="6F78F3E7" w:rsidR="00C232E4" w:rsidRDefault="00C232E4" w:rsidP="00F45031">
      <w:pPr>
        <w:pStyle w:val="NoSpacing"/>
      </w:pPr>
      <w:r>
        <w:rPr>
          <w:rStyle w:val="FootnoteReference"/>
        </w:rPr>
        <w:footnoteRef/>
      </w:r>
      <w:r>
        <w:t xml:space="preserve"> Pravidlo tzv. preventivního a následného regresu v § 1876 ObčZ.</w:t>
      </w:r>
    </w:p>
  </w:footnote>
  <w:footnote w:id="142">
    <w:p w14:paraId="25EE3C2A" w14:textId="299B0580" w:rsidR="00C232E4" w:rsidRDefault="00C232E4" w:rsidP="00ED178E">
      <w:pPr>
        <w:pStyle w:val="NoSpacing"/>
      </w:pPr>
      <w:r>
        <w:rPr>
          <w:rStyle w:val="FootnoteReference"/>
        </w:rPr>
        <w:footnoteRef/>
      </w:r>
      <w:r>
        <w:t xml:space="preserve"> S limitací v § 2615 odst. 2 ObčZ.</w:t>
      </w:r>
    </w:p>
  </w:footnote>
  <w:footnote w:id="143">
    <w:p w14:paraId="2EA0B04C" w14:textId="52877156" w:rsidR="00C232E4" w:rsidRPr="00E9652A" w:rsidRDefault="00C232E4" w:rsidP="00BB3914">
      <w:pPr>
        <w:pStyle w:val="NoSpacing"/>
      </w:pPr>
      <w:r w:rsidRPr="00E9652A">
        <w:rPr>
          <w:rStyle w:val="FootnoteReference"/>
        </w:rPr>
        <w:footnoteRef/>
      </w:r>
      <w:r>
        <w:t xml:space="preserve"> </w:t>
      </w:r>
      <w:r w:rsidRPr="00E9652A">
        <w:t>HECZKO, Tomasz. Spoluodpovědnost za vady díla</w:t>
      </w:r>
      <w:r>
        <w:t>...</w:t>
      </w:r>
      <w:r w:rsidRPr="00E9652A">
        <w:t xml:space="preserve">. Dále též </w:t>
      </w:r>
      <w:r w:rsidRPr="00E9652A">
        <w:rPr>
          <w:rFonts w:cs="Times New Roman"/>
        </w:rPr>
        <w:t xml:space="preserve">VARGIC, Mikuláš. </w:t>
      </w:r>
      <w:r w:rsidRPr="00E9652A">
        <w:rPr>
          <w:rFonts w:cs="Times New Roman"/>
          <w:i/>
        </w:rPr>
        <w:t>Společná odpovědnost zhotovitele..</w:t>
      </w:r>
      <w:r w:rsidRPr="00E9652A">
        <w:rPr>
          <w:szCs w:val="20"/>
        </w:rPr>
        <w:t>.</w:t>
      </w:r>
    </w:p>
  </w:footnote>
  <w:footnote w:id="144">
    <w:p w14:paraId="65981385" w14:textId="5F815632" w:rsidR="00C232E4" w:rsidRPr="00E9652A" w:rsidRDefault="00C232E4" w:rsidP="00BB3914">
      <w:pPr>
        <w:pStyle w:val="NoSpacing"/>
      </w:pPr>
      <w:r w:rsidRPr="00E9652A">
        <w:rPr>
          <w:rStyle w:val="FootnoteReference"/>
        </w:rPr>
        <w:footnoteRef/>
      </w:r>
      <w:r w:rsidRPr="00E9652A">
        <w:t xml:space="preserve"> </w:t>
      </w:r>
      <w:r>
        <w:rPr>
          <w:rFonts w:cs="Times New Roman"/>
        </w:rPr>
        <w:t>Tamtéž.</w:t>
      </w:r>
    </w:p>
  </w:footnote>
  <w:footnote w:id="145">
    <w:p w14:paraId="58D12672" w14:textId="77777777" w:rsidR="00C232E4" w:rsidRPr="00E9652A" w:rsidRDefault="00C232E4" w:rsidP="00BB3914">
      <w:pPr>
        <w:pStyle w:val="NoSpacing"/>
      </w:pPr>
      <w:r w:rsidRPr="00E9652A">
        <w:rPr>
          <w:rStyle w:val="FootnoteReference"/>
        </w:rPr>
        <w:footnoteRef/>
      </w:r>
      <w:r w:rsidRPr="00E9652A">
        <w:t xml:space="preserve"> Tamtéž.</w:t>
      </w:r>
    </w:p>
  </w:footnote>
  <w:footnote w:id="146">
    <w:p w14:paraId="30CC0AD1" w14:textId="466738D1" w:rsidR="00C232E4" w:rsidRDefault="00C232E4" w:rsidP="00055783">
      <w:pPr>
        <w:pStyle w:val="NoSpacing"/>
      </w:pPr>
      <w:r>
        <w:rPr>
          <w:rStyle w:val="FootnoteReference"/>
        </w:rPr>
        <w:footnoteRef/>
      </w:r>
      <w:r>
        <w:t xml:space="preserve"> </w:t>
      </w:r>
      <w:r>
        <w:rPr>
          <w:rFonts w:cs="Times New Roman"/>
        </w:rPr>
        <w:t>§ 2630 odst. 1 písm. a) ObčZ.</w:t>
      </w:r>
    </w:p>
  </w:footnote>
  <w:footnote w:id="147">
    <w:p w14:paraId="62885454" w14:textId="17EFBD7F" w:rsidR="00C232E4" w:rsidRDefault="00C232E4" w:rsidP="00191692">
      <w:pPr>
        <w:pStyle w:val="NoSpacing"/>
      </w:pPr>
      <w:r>
        <w:rPr>
          <w:rStyle w:val="FootnoteReference"/>
        </w:rPr>
        <w:footnoteRef/>
      </w:r>
      <w:r>
        <w:t xml:space="preserve"> § 2594 ObčZ.</w:t>
      </w:r>
    </w:p>
  </w:footnote>
  <w:footnote w:id="148">
    <w:p w14:paraId="0D65CBE8" w14:textId="77777777" w:rsidR="00CA595D" w:rsidRDefault="00CA595D" w:rsidP="00CA595D">
      <w:pPr>
        <w:pStyle w:val="NoSpacing"/>
      </w:pPr>
      <w:r>
        <w:rPr>
          <w:rStyle w:val="FootnoteReference"/>
        </w:rPr>
        <w:footnoteRef/>
      </w:r>
      <w:r>
        <w:t xml:space="preserve"> Srovnáme-li písm. a) a b) téhož ustanovení, zjistíme, že dodavatel stavební dokumentace se zprostí svých povinností tehdy, prokáže-li, že vadu nezpůsobila chyba v této dokumentaci, tedy např. prokáže, že vada vznikla v důsledku nesprávného technologického postupu, nesprávného pokynu, nevhodného materiálu apod. Co se týče zproštění subdodavatele, zákon na místo prokázání, že jeho dodávka vadu nezpůsobila, volí jiná slova. Aby se mohl subdodavatel zprostit, musí prokazovat existenci rozhodnutí dodavatele či správce stavby, v důsledku něhož vada vznikla. Zákonodárce tak stanovil, že subdodavatel ze smlouvy o dílo nese odpovědnost za výsledek a jako profesionál musí být schopen zkontrolovat např. i stavební dokumentaci, jež je podkladem pro zhotovení, vhodnost pokynů a kvalitu materiálu, stejně tak jako dohlédnout na správný technologický postup. Pokud tedy bude např. ve stavební dokumentaci chyba, v </w:t>
      </w:r>
      <w:r w:rsidRPr="0060747B">
        <w:t>důsledku níž subdodavatel vadně provede dílo (tedy tato chyba vadu způsobí), měli by být společně a nerozdílně povinni z vadného splnění</w:t>
      </w:r>
      <w:r>
        <w:t xml:space="preserve"> jak subdodavatel, tak dodavatel stavební dokumentace, ledaže před tím subdodavatel upozornil na chybu ve stavební dokumentaci a dodavatel či správce stavby trvali na provedení. Zvláštním případem pak může být stanovení povinnosti správce stavby zkontrolovat řádné provedení stavební dokumentace. Pokud by přes chybu ve stavební dokumentaci rozhodl, že má subdodavatel dílo dle dokumentace zhotovit, pak by se svých povinností zprostil nejen subdodavatel, ale i dodavatel dle odst. 2.</w:t>
      </w:r>
    </w:p>
  </w:footnote>
  <w:footnote w:id="149">
    <w:p w14:paraId="54A3C643" w14:textId="6C756417" w:rsidR="00C232E4" w:rsidRDefault="00C232E4" w:rsidP="00191692">
      <w:pPr>
        <w:pStyle w:val="NoSpacing"/>
      </w:pPr>
      <w:r>
        <w:rPr>
          <w:rStyle w:val="FootnoteReference"/>
        </w:rPr>
        <w:footnoteRef/>
      </w:r>
      <w:r>
        <w:t xml:space="preserve"> K prokázání pak postačí písemné potvrzení dle § 2594 odst. 2 ObčZ.</w:t>
      </w:r>
    </w:p>
  </w:footnote>
  <w:footnote w:id="150">
    <w:p w14:paraId="115500DB" w14:textId="260C2BB7" w:rsidR="00C232E4" w:rsidRDefault="00C232E4" w:rsidP="0070384F">
      <w:pPr>
        <w:pStyle w:val="NoSpacing"/>
      </w:pPr>
      <w:r>
        <w:rPr>
          <w:rStyle w:val="FootnoteReference"/>
        </w:rPr>
        <w:footnoteRef/>
      </w:r>
      <w:r>
        <w:t xml:space="preserve"> § 2630 odst. 1 písm. c) ObčZ.</w:t>
      </w:r>
    </w:p>
  </w:footnote>
  <w:footnote w:id="151">
    <w:p w14:paraId="7B6C7FFC" w14:textId="77F3109A" w:rsidR="00C232E4" w:rsidRDefault="00C232E4" w:rsidP="00D46F54">
      <w:pPr>
        <w:pStyle w:val="NoSpacing"/>
      </w:pPr>
      <w:r>
        <w:rPr>
          <w:rStyle w:val="FootnoteReference"/>
        </w:rPr>
        <w:footnoteRef/>
      </w:r>
      <w:r>
        <w:t xml:space="preserve"> § 2630 odst. 2 ObčZ.</w:t>
      </w:r>
    </w:p>
  </w:footnote>
  <w:footnote w:id="152">
    <w:p w14:paraId="70FE49BD" w14:textId="7C0A78B1" w:rsidR="00C232E4" w:rsidRDefault="00C232E4" w:rsidP="00A54F7C">
      <w:pPr>
        <w:pStyle w:val="NoSpacing"/>
      </w:pPr>
      <w:r>
        <w:rPr>
          <w:rStyle w:val="FootnoteReference"/>
        </w:rPr>
        <w:footnoteRef/>
      </w:r>
      <w:r>
        <w:t xml:space="preserve"> Čl. 11.4 CONS.</w:t>
      </w:r>
    </w:p>
  </w:footnote>
  <w:footnote w:id="153">
    <w:p w14:paraId="0DC39E22" w14:textId="3526F83A" w:rsidR="00C232E4" w:rsidRDefault="00C232E4" w:rsidP="00AC4B62">
      <w:pPr>
        <w:pStyle w:val="NoSpacing"/>
      </w:pPr>
      <w:r>
        <w:rPr>
          <w:rStyle w:val="FootnoteReference"/>
        </w:rPr>
        <w:footnoteRef/>
      </w:r>
      <w:r>
        <w:t xml:space="preserve"> Srov. čl. 11.3 CONS.</w:t>
      </w:r>
    </w:p>
  </w:footnote>
  <w:footnote w:id="154">
    <w:p w14:paraId="11E98D33" w14:textId="3C87B78F" w:rsidR="00C232E4" w:rsidRPr="005A4BB3" w:rsidRDefault="00C232E4" w:rsidP="005A4BB3">
      <w:pPr>
        <w:pStyle w:val="NoSpacing"/>
      </w:pPr>
      <w:r>
        <w:rPr>
          <w:rStyle w:val="FootnoteReference"/>
        </w:rPr>
        <w:footnoteRef/>
      </w:r>
      <w:r>
        <w:t xml:space="preserve"> ŠILHÁN, J. </w:t>
      </w:r>
      <w:r w:rsidRPr="00451D07">
        <w:rPr>
          <w:i/>
        </w:rPr>
        <w:t>Právní následky porušení smlouvy...</w:t>
      </w:r>
      <w:r>
        <w:t>, s. 149 – 152, konkrétně pak k právním následkům vadného splnění viz tabulka tamtéž, s. 159.</w:t>
      </w:r>
    </w:p>
  </w:footnote>
  <w:footnote w:id="155">
    <w:p w14:paraId="116BC121" w14:textId="365F84A8" w:rsidR="00C232E4" w:rsidRDefault="00C232E4" w:rsidP="00960C9E">
      <w:pPr>
        <w:pStyle w:val="NoSpacing"/>
      </w:pPr>
      <w:r>
        <w:rPr>
          <w:rStyle w:val="FootnoteReference"/>
        </w:rPr>
        <w:footnoteRef/>
      </w:r>
      <w:r>
        <w:t xml:space="preserve"> § 2048 ObčZ.</w:t>
      </w:r>
    </w:p>
  </w:footnote>
  <w:footnote w:id="156">
    <w:p w14:paraId="4832A879" w14:textId="55FB9731" w:rsidR="00C232E4" w:rsidRDefault="00C232E4" w:rsidP="00960C9E">
      <w:pPr>
        <w:pStyle w:val="NoSpacing"/>
      </w:pPr>
      <w:r>
        <w:rPr>
          <w:rStyle w:val="FootnoteReference"/>
        </w:rPr>
        <w:footnoteRef/>
      </w:r>
      <w:r>
        <w:t xml:space="preserve"> § 2049 ObčZ.</w:t>
      </w:r>
    </w:p>
  </w:footnote>
  <w:footnote w:id="157">
    <w:p w14:paraId="64E59591" w14:textId="3738BD48" w:rsidR="00C232E4" w:rsidRDefault="00C232E4" w:rsidP="00AA78AE">
      <w:pPr>
        <w:pStyle w:val="NoSpacing"/>
      </w:pPr>
      <w:r>
        <w:rPr>
          <w:rStyle w:val="FootnoteReference"/>
        </w:rPr>
        <w:footnoteRef/>
      </w:r>
      <w:r>
        <w:t xml:space="preserve"> S ohledem na dispozitivní povahu tohoto ustanovení je však možno se od této úpravy smluvně odchýlit.</w:t>
      </w:r>
    </w:p>
  </w:footnote>
  <w:footnote w:id="158">
    <w:p w14:paraId="2C71FA5D" w14:textId="16A982D5" w:rsidR="00C232E4" w:rsidRDefault="00C232E4" w:rsidP="00CF39CC">
      <w:pPr>
        <w:pStyle w:val="NoSpacing"/>
      </w:pPr>
      <w:r>
        <w:rPr>
          <w:rStyle w:val="FootnoteReference"/>
        </w:rPr>
        <w:footnoteRef/>
      </w:r>
      <w:r>
        <w:t xml:space="preserve"> § 2048 ObčZ.</w:t>
      </w:r>
    </w:p>
  </w:footnote>
  <w:footnote w:id="159">
    <w:p w14:paraId="12A1C394" w14:textId="1DD58FBF" w:rsidR="00C232E4" w:rsidRDefault="00C232E4" w:rsidP="000A5EA6">
      <w:pPr>
        <w:pStyle w:val="NoSpacing"/>
      </w:pPr>
      <w:r>
        <w:rPr>
          <w:rStyle w:val="FootnoteReference"/>
        </w:rPr>
        <w:footnoteRef/>
      </w:r>
      <w:r w:rsidR="001B4F9B">
        <w:t xml:space="preserve"> Avšak d</w:t>
      </w:r>
      <w:r>
        <w:t>le § 2048 lze smluvní pokutu sjednat nejen v určité výši, ale i na základě způsobu určení její výše.</w:t>
      </w:r>
    </w:p>
  </w:footnote>
  <w:footnote w:id="160">
    <w:p w14:paraId="7EA2E7B1" w14:textId="61B76540" w:rsidR="00C232E4" w:rsidRDefault="00C232E4" w:rsidP="00430427">
      <w:pPr>
        <w:pStyle w:val="NoSpacing"/>
      </w:pPr>
      <w:r>
        <w:rPr>
          <w:rStyle w:val="FootnoteReference"/>
        </w:rPr>
        <w:footnoteRef/>
      </w:r>
      <w:r>
        <w:t xml:space="preserve"> K otázce přiměřenosti smluvní pokuty srov. Rozsudek NS ČR ze dne 16. 12. 2003, sp.zn. 32 Odo 631/2002: „</w:t>
      </w:r>
      <w:r w:rsidRPr="00101020">
        <w:rPr>
          <w:i/>
        </w:rPr>
        <w:t>Posouzení otázky (ne)přiměřenosti smluvní pokuty tak závisí na okolnostech konkrétního případu, zejména pak na důvodech, které ke sjednání posuzované výše smluvní pokuty vedly, a na okolnostech, které je provázely</w:t>
      </w:r>
      <w:r w:rsidRPr="00101020">
        <w:t>.</w:t>
      </w:r>
      <w:r>
        <w:t>“ Srov. též moderační právo soudu v § 2051 ObčZ.</w:t>
      </w:r>
    </w:p>
  </w:footnote>
  <w:footnote w:id="161">
    <w:p w14:paraId="53077A48" w14:textId="0154E6BC" w:rsidR="00C232E4" w:rsidRDefault="00C232E4" w:rsidP="00795B80">
      <w:pPr>
        <w:pStyle w:val="NoSpacing"/>
      </w:pPr>
      <w:r>
        <w:rPr>
          <w:rStyle w:val="FootnoteReference"/>
        </w:rPr>
        <w:footnoteRef/>
      </w:r>
      <w:r>
        <w:t xml:space="preserve"> S limitací v § 1925 ObčZ.</w:t>
      </w:r>
    </w:p>
  </w:footnote>
  <w:footnote w:id="162">
    <w:p w14:paraId="5EF5A6B2" w14:textId="5FD03A17" w:rsidR="00C232E4" w:rsidRPr="00D9347B" w:rsidRDefault="00C232E4" w:rsidP="00D9347B">
      <w:pPr>
        <w:pStyle w:val="NoSpacing"/>
      </w:pPr>
      <w:r>
        <w:rPr>
          <w:rStyle w:val="FootnoteReference"/>
        </w:rPr>
        <w:footnoteRef/>
      </w:r>
      <w:r>
        <w:t xml:space="preserve"> Srov. tzv. teorii ochranného účelu smlouvy, viz </w:t>
      </w:r>
      <w:r w:rsidRPr="00D9347B">
        <w:t xml:space="preserve">BEZOUŠKA In HULMÁK, M. a kol. </w:t>
      </w:r>
      <w:r w:rsidRPr="00D9347B">
        <w:rPr>
          <w:i/>
        </w:rPr>
        <w:t>Občanský zákoník VI. Závazkové právo. Zvláštní část</w:t>
      </w:r>
      <w:r>
        <w:rPr>
          <w:i/>
        </w:rPr>
        <w:t xml:space="preserve"> ...</w:t>
      </w:r>
      <w:r>
        <w:t xml:space="preserve">, s. 1570 (§ 2913, bod 28), dále též BEZOUŠKA, P. Ochranný účel smlouvy jako prostředek omezení příčinné souvislosti, aneb je stále důležitá předvídatelnost škody? </w:t>
      </w:r>
      <w:r>
        <w:rPr>
          <w:i/>
        </w:rPr>
        <w:t>Právní rozhledy</w:t>
      </w:r>
      <w:r>
        <w:t>, roč. 2015, č. 22, s. 763. Dále k předvídatelnosti smluvní pokuty jako škody viz např. Rozsudek NS ČR ze dne 21. 10. 2008, sp.zn. 32 Cdo 2843/2008.</w:t>
      </w:r>
    </w:p>
  </w:footnote>
  <w:footnote w:id="163">
    <w:p w14:paraId="3FB93571" w14:textId="77777777" w:rsidR="001445E9" w:rsidRDefault="001445E9" w:rsidP="001445E9">
      <w:pPr>
        <w:pStyle w:val="NoSpacing"/>
      </w:pPr>
      <w:r>
        <w:rPr>
          <w:rStyle w:val="FootnoteReference"/>
        </w:rPr>
        <w:footnoteRef/>
      </w:r>
      <w:r>
        <w:t xml:space="preserve"> Srov. zejména </w:t>
      </w:r>
      <w:r w:rsidRPr="00D9347B">
        <w:t xml:space="preserve">BEZOUŠKA In HULMÁK, M. a kol. </w:t>
      </w:r>
      <w:r w:rsidRPr="00D9347B">
        <w:rPr>
          <w:i/>
        </w:rPr>
        <w:t>Občanský zákoník VI. Závazkové právo. Zvláštní část</w:t>
      </w:r>
      <w:r>
        <w:rPr>
          <w:i/>
        </w:rPr>
        <w:t xml:space="preserve"> ...</w:t>
      </w:r>
      <w:r>
        <w:t>, s. 1578 (§ 2914, bod 2).</w:t>
      </w:r>
    </w:p>
  </w:footnote>
  <w:footnote w:id="164">
    <w:p w14:paraId="79DD578B" w14:textId="40A898FE" w:rsidR="00C232E4" w:rsidRDefault="00C232E4" w:rsidP="00851DCE">
      <w:pPr>
        <w:pStyle w:val="NoSpacing"/>
      </w:pPr>
      <w:r>
        <w:rPr>
          <w:rStyle w:val="FootnoteReference"/>
        </w:rPr>
        <w:footnoteRef/>
      </w:r>
      <w:r>
        <w:t xml:space="preserve"> HECZKO,</w:t>
      </w:r>
      <w:r w:rsidRPr="00851DCE">
        <w:t xml:space="preserve"> </w:t>
      </w:r>
      <w:r w:rsidRPr="00E9652A">
        <w:t>Tomasz. Spoluodpovědnost za vady díla</w:t>
      </w:r>
      <w:r>
        <w:t xml:space="preserve"> ...</w:t>
      </w:r>
    </w:p>
  </w:footnote>
  <w:footnote w:id="165">
    <w:p w14:paraId="2BF1E219" w14:textId="7F770A0F" w:rsidR="00C232E4" w:rsidRDefault="00C232E4" w:rsidP="00DE1181">
      <w:pPr>
        <w:pStyle w:val="NoSpacing"/>
      </w:pPr>
      <w:r>
        <w:rPr>
          <w:rStyle w:val="FootnoteReference"/>
        </w:rPr>
        <w:footnoteRef/>
      </w:r>
      <w:r>
        <w:t xml:space="preserve"> K otázce platného a určitého sjednání smluvní pokuty subdodavateli, určené ke kryt</w:t>
      </w:r>
      <w:r w:rsidR="002274E4">
        <w:t>í nákladů vzniklých dodavateli v důsledku prodlení</w:t>
      </w:r>
      <w:r>
        <w:t xml:space="preserve"> s dodávkou díla odběrateli srov. rozsudek NS ČR ze dne 30. 4. 2008, sp.zn. 32 Odo 852/2006.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D1574"/>
    <w:multiLevelType w:val="multilevel"/>
    <w:tmpl w:val="248461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41D0227"/>
    <w:multiLevelType w:val="hybridMultilevel"/>
    <w:tmpl w:val="0BC4D834"/>
    <w:lvl w:ilvl="0" w:tplc="11E2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74744"/>
    <w:multiLevelType w:val="hybridMultilevel"/>
    <w:tmpl w:val="1DF82B98"/>
    <w:lvl w:ilvl="0" w:tplc="678A70DC">
      <w:start w:val="2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3A7D0A"/>
    <w:multiLevelType w:val="hybridMultilevel"/>
    <w:tmpl w:val="517206CA"/>
    <w:lvl w:ilvl="0" w:tplc="BB1A6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FD31BF"/>
    <w:multiLevelType w:val="hybridMultilevel"/>
    <w:tmpl w:val="1F24ED0E"/>
    <w:lvl w:ilvl="0" w:tplc="19A0696E">
      <w:start w:val="1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76238B"/>
    <w:multiLevelType w:val="hybridMultilevel"/>
    <w:tmpl w:val="0F18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B73CC"/>
    <w:multiLevelType w:val="hybridMultilevel"/>
    <w:tmpl w:val="68EECC7C"/>
    <w:lvl w:ilvl="0" w:tplc="180CE8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F308B5"/>
    <w:multiLevelType w:val="multilevel"/>
    <w:tmpl w:val="5678A614"/>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nsid w:val="344A286E"/>
    <w:multiLevelType w:val="hybridMultilevel"/>
    <w:tmpl w:val="7A66307A"/>
    <w:lvl w:ilvl="0" w:tplc="29924A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D76C8A"/>
    <w:multiLevelType w:val="hybridMultilevel"/>
    <w:tmpl w:val="B712C28E"/>
    <w:lvl w:ilvl="0" w:tplc="7382D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64290E"/>
    <w:multiLevelType w:val="multilevel"/>
    <w:tmpl w:val="ED08FE5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nsid w:val="468E0863"/>
    <w:multiLevelType w:val="hybridMultilevel"/>
    <w:tmpl w:val="CFACB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36333"/>
    <w:multiLevelType w:val="multilevel"/>
    <w:tmpl w:val="A92A1EF0"/>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4">
    <w:nsid w:val="59F83F22"/>
    <w:multiLevelType w:val="multilevel"/>
    <w:tmpl w:val="EF868038"/>
    <w:lvl w:ilvl="0">
      <w:start w:val="1"/>
      <w:numFmt w:val="decimal"/>
      <w:lvlText w:val="%1."/>
      <w:lvlJc w:val="left"/>
      <w:pPr>
        <w:ind w:left="3240" w:hanging="360"/>
      </w:pPr>
      <w:rPr>
        <w:rFonts w:hint="default"/>
      </w:rPr>
    </w:lvl>
    <w:lvl w:ilvl="1">
      <w:start w:val="1"/>
      <w:numFmt w:val="decimal"/>
      <w:lvlText w:val="%1.%2."/>
      <w:lvlJc w:val="left"/>
      <w:pPr>
        <w:ind w:left="3672" w:hanging="432"/>
      </w:pPr>
      <w:rPr>
        <w:rFonts w:hint="default"/>
      </w:rPr>
    </w:lvl>
    <w:lvl w:ilvl="2">
      <w:start w:val="1"/>
      <w:numFmt w:val="decimal"/>
      <w:lvlText w:val="%1.%2.%3."/>
      <w:lvlJc w:val="left"/>
      <w:pPr>
        <w:ind w:left="4104" w:hanging="504"/>
      </w:pPr>
      <w:rPr>
        <w:rFonts w:hint="default"/>
      </w:rPr>
    </w:lvl>
    <w:lvl w:ilvl="3">
      <w:start w:val="1"/>
      <w:numFmt w:val="decimal"/>
      <w:lvlText w:val="%1.%2.%3.%4."/>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15">
    <w:nsid w:val="5A54115E"/>
    <w:multiLevelType w:val="hybridMultilevel"/>
    <w:tmpl w:val="8D2C6A1E"/>
    <w:lvl w:ilvl="0" w:tplc="783E63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610A87"/>
    <w:multiLevelType w:val="multilevel"/>
    <w:tmpl w:val="D73A6B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B7A1236"/>
    <w:multiLevelType w:val="multilevel"/>
    <w:tmpl w:val="0450E788"/>
    <w:lvl w:ilvl="0">
      <w:start w:val="1"/>
      <w:numFmt w:val="decimal"/>
      <w:lvlText w:val="%1."/>
      <w:lvlJc w:val="left"/>
      <w:pPr>
        <w:ind w:left="2520" w:hanging="360"/>
      </w:pPr>
      <w:rPr>
        <w:rFonts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8">
    <w:nsid w:val="5E4B348A"/>
    <w:multiLevelType w:val="hybridMultilevel"/>
    <w:tmpl w:val="27F0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A0518"/>
    <w:multiLevelType w:val="multilevel"/>
    <w:tmpl w:val="E548C08E"/>
    <w:lvl w:ilvl="0">
      <w:start w:val="1"/>
      <w:numFmt w:val="decimal"/>
      <w:lvlText w:val="%1."/>
      <w:lvlJc w:val="left"/>
      <w:pPr>
        <w:ind w:left="2520" w:hanging="360"/>
      </w:pPr>
      <w:rPr>
        <w:rFonts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0">
    <w:nsid w:val="75104AB3"/>
    <w:multiLevelType w:val="hybridMultilevel"/>
    <w:tmpl w:val="DF404BB4"/>
    <w:lvl w:ilvl="0" w:tplc="BB1A6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4C3D43"/>
    <w:multiLevelType w:val="hybridMultilevel"/>
    <w:tmpl w:val="18F6F558"/>
    <w:lvl w:ilvl="0" w:tplc="BB1A6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7F7EE4"/>
    <w:multiLevelType w:val="hybridMultilevel"/>
    <w:tmpl w:val="891EAFA2"/>
    <w:lvl w:ilvl="0" w:tplc="FEB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9"/>
  </w:num>
  <w:num w:numId="4">
    <w:abstractNumId w:val="14"/>
  </w:num>
  <w:num w:numId="5">
    <w:abstractNumId w:val="0"/>
  </w:num>
  <w:num w:numId="6">
    <w:abstractNumId w:val="5"/>
  </w:num>
  <w:num w:numId="7">
    <w:abstractNumId w:val="9"/>
  </w:num>
  <w:num w:numId="8">
    <w:abstractNumId w:val="4"/>
  </w:num>
  <w:num w:numId="9">
    <w:abstractNumId w:val="20"/>
  </w:num>
  <w:num w:numId="10">
    <w:abstractNumId w:val="21"/>
  </w:num>
  <w:num w:numId="11">
    <w:abstractNumId w:val="7"/>
  </w:num>
  <w:num w:numId="12">
    <w:abstractNumId w:val="8"/>
  </w:num>
  <w:num w:numId="13">
    <w:abstractNumId w:val="15"/>
  </w:num>
  <w:num w:numId="14">
    <w:abstractNumId w:val="1"/>
  </w:num>
  <w:num w:numId="15">
    <w:abstractNumId w:val="17"/>
  </w:num>
  <w:num w:numId="16">
    <w:abstractNumId w:val="16"/>
  </w:num>
  <w:num w:numId="17">
    <w:abstractNumId w:val="3"/>
  </w:num>
  <w:num w:numId="18">
    <w:abstractNumId w:val="2"/>
  </w:num>
  <w:num w:numId="19">
    <w:abstractNumId w:val="10"/>
  </w:num>
  <w:num w:numId="20">
    <w:abstractNumId w:val="22"/>
  </w:num>
  <w:num w:numId="21">
    <w:abstractNumId w:val="18"/>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9E"/>
    <w:rsid w:val="0000006E"/>
    <w:rsid w:val="000007CF"/>
    <w:rsid w:val="00000829"/>
    <w:rsid w:val="0000176A"/>
    <w:rsid w:val="00002352"/>
    <w:rsid w:val="00002599"/>
    <w:rsid w:val="00003044"/>
    <w:rsid w:val="00003E51"/>
    <w:rsid w:val="00004741"/>
    <w:rsid w:val="00004EFF"/>
    <w:rsid w:val="000055CA"/>
    <w:rsid w:val="000078A8"/>
    <w:rsid w:val="00007A7A"/>
    <w:rsid w:val="000107F4"/>
    <w:rsid w:val="00012993"/>
    <w:rsid w:val="00012F4F"/>
    <w:rsid w:val="00014253"/>
    <w:rsid w:val="0001497B"/>
    <w:rsid w:val="0001568B"/>
    <w:rsid w:val="000169FE"/>
    <w:rsid w:val="0002026C"/>
    <w:rsid w:val="000206B7"/>
    <w:rsid w:val="00020CE7"/>
    <w:rsid w:val="0002114E"/>
    <w:rsid w:val="000225E8"/>
    <w:rsid w:val="000243E4"/>
    <w:rsid w:val="0002460A"/>
    <w:rsid w:val="0002475E"/>
    <w:rsid w:val="00025F78"/>
    <w:rsid w:val="00027496"/>
    <w:rsid w:val="00027666"/>
    <w:rsid w:val="00031116"/>
    <w:rsid w:val="000346A6"/>
    <w:rsid w:val="00035F27"/>
    <w:rsid w:val="000402C8"/>
    <w:rsid w:val="00040D95"/>
    <w:rsid w:val="000413BA"/>
    <w:rsid w:val="000416AC"/>
    <w:rsid w:val="00043C57"/>
    <w:rsid w:val="00044411"/>
    <w:rsid w:val="00044D0D"/>
    <w:rsid w:val="000454BF"/>
    <w:rsid w:val="00046B45"/>
    <w:rsid w:val="000505E1"/>
    <w:rsid w:val="0005062C"/>
    <w:rsid w:val="00052882"/>
    <w:rsid w:val="00052AB4"/>
    <w:rsid w:val="00053784"/>
    <w:rsid w:val="00055783"/>
    <w:rsid w:val="0005604A"/>
    <w:rsid w:val="00056052"/>
    <w:rsid w:val="00057E1D"/>
    <w:rsid w:val="00060FF9"/>
    <w:rsid w:val="00061D16"/>
    <w:rsid w:val="000625C0"/>
    <w:rsid w:val="00063BE6"/>
    <w:rsid w:val="00064447"/>
    <w:rsid w:val="00064469"/>
    <w:rsid w:val="00064554"/>
    <w:rsid w:val="000657B8"/>
    <w:rsid w:val="00067114"/>
    <w:rsid w:val="0006759A"/>
    <w:rsid w:val="00067EA0"/>
    <w:rsid w:val="00070868"/>
    <w:rsid w:val="000709AE"/>
    <w:rsid w:val="00070CAE"/>
    <w:rsid w:val="0007199D"/>
    <w:rsid w:val="00071B59"/>
    <w:rsid w:val="00071C94"/>
    <w:rsid w:val="000734A2"/>
    <w:rsid w:val="00073617"/>
    <w:rsid w:val="00073ED4"/>
    <w:rsid w:val="00076013"/>
    <w:rsid w:val="00076355"/>
    <w:rsid w:val="00077134"/>
    <w:rsid w:val="000777CB"/>
    <w:rsid w:val="00080A90"/>
    <w:rsid w:val="00080CC5"/>
    <w:rsid w:val="00080EA8"/>
    <w:rsid w:val="00080F34"/>
    <w:rsid w:val="000819BC"/>
    <w:rsid w:val="00081A50"/>
    <w:rsid w:val="00081F00"/>
    <w:rsid w:val="00083E3D"/>
    <w:rsid w:val="000850CE"/>
    <w:rsid w:val="00086132"/>
    <w:rsid w:val="000865D1"/>
    <w:rsid w:val="000907A7"/>
    <w:rsid w:val="00091D3D"/>
    <w:rsid w:val="000927EF"/>
    <w:rsid w:val="0009348B"/>
    <w:rsid w:val="0009363E"/>
    <w:rsid w:val="00093C84"/>
    <w:rsid w:val="000942CB"/>
    <w:rsid w:val="00097139"/>
    <w:rsid w:val="000972D4"/>
    <w:rsid w:val="000A3654"/>
    <w:rsid w:val="000A3A54"/>
    <w:rsid w:val="000A4F76"/>
    <w:rsid w:val="000A5EA6"/>
    <w:rsid w:val="000A6BD8"/>
    <w:rsid w:val="000A78D7"/>
    <w:rsid w:val="000A7BE8"/>
    <w:rsid w:val="000A7E4D"/>
    <w:rsid w:val="000B0118"/>
    <w:rsid w:val="000B0757"/>
    <w:rsid w:val="000B1D79"/>
    <w:rsid w:val="000B1ECA"/>
    <w:rsid w:val="000B27BC"/>
    <w:rsid w:val="000B3C2C"/>
    <w:rsid w:val="000B44F6"/>
    <w:rsid w:val="000B571B"/>
    <w:rsid w:val="000B57C5"/>
    <w:rsid w:val="000B5CBB"/>
    <w:rsid w:val="000C0C05"/>
    <w:rsid w:val="000C38B0"/>
    <w:rsid w:val="000C3D71"/>
    <w:rsid w:val="000C66B4"/>
    <w:rsid w:val="000C7014"/>
    <w:rsid w:val="000C7132"/>
    <w:rsid w:val="000D0163"/>
    <w:rsid w:val="000D058C"/>
    <w:rsid w:val="000D0BAB"/>
    <w:rsid w:val="000D0E73"/>
    <w:rsid w:val="000D1BAF"/>
    <w:rsid w:val="000D4C8F"/>
    <w:rsid w:val="000D5AEA"/>
    <w:rsid w:val="000D5EF2"/>
    <w:rsid w:val="000D64C9"/>
    <w:rsid w:val="000D686A"/>
    <w:rsid w:val="000D6E09"/>
    <w:rsid w:val="000D6F44"/>
    <w:rsid w:val="000D7A79"/>
    <w:rsid w:val="000E037A"/>
    <w:rsid w:val="000E095A"/>
    <w:rsid w:val="000E0CCD"/>
    <w:rsid w:val="000E1CF2"/>
    <w:rsid w:val="000E2925"/>
    <w:rsid w:val="000E2B68"/>
    <w:rsid w:val="000E4144"/>
    <w:rsid w:val="000E4532"/>
    <w:rsid w:val="000E4DB7"/>
    <w:rsid w:val="000E74C1"/>
    <w:rsid w:val="000F342D"/>
    <w:rsid w:val="000F3EF6"/>
    <w:rsid w:val="000F42F6"/>
    <w:rsid w:val="000F6B11"/>
    <w:rsid w:val="00100F26"/>
    <w:rsid w:val="00101020"/>
    <w:rsid w:val="0010119F"/>
    <w:rsid w:val="001021A1"/>
    <w:rsid w:val="00102B43"/>
    <w:rsid w:val="00103372"/>
    <w:rsid w:val="00103868"/>
    <w:rsid w:val="0010411B"/>
    <w:rsid w:val="001045D7"/>
    <w:rsid w:val="00105199"/>
    <w:rsid w:val="001052EC"/>
    <w:rsid w:val="00106B19"/>
    <w:rsid w:val="0010739F"/>
    <w:rsid w:val="00110C87"/>
    <w:rsid w:val="00112584"/>
    <w:rsid w:val="001153A5"/>
    <w:rsid w:val="0011592C"/>
    <w:rsid w:val="00116EA8"/>
    <w:rsid w:val="00116FC9"/>
    <w:rsid w:val="0012082C"/>
    <w:rsid w:val="00121BCE"/>
    <w:rsid w:val="0012245C"/>
    <w:rsid w:val="00122F9B"/>
    <w:rsid w:val="0012300F"/>
    <w:rsid w:val="00123032"/>
    <w:rsid w:val="0012561C"/>
    <w:rsid w:val="001265EC"/>
    <w:rsid w:val="001267F6"/>
    <w:rsid w:val="00126A8C"/>
    <w:rsid w:val="00130840"/>
    <w:rsid w:val="00133D21"/>
    <w:rsid w:val="001343D2"/>
    <w:rsid w:val="00134838"/>
    <w:rsid w:val="00135ABA"/>
    <w:rsid w:val="00135C27"/>
    <w:rsid w:val="001404C0"/>
    <w:rsid w:val="0014061E"/>
    <w:rsid w:val="00140A80"/>
    <w:rsid w:val="0014170F"/>
    <w:rsid w:val="00141BDD"/>
    <w:rsid w:val="001436F9"/>
    <w:rsid w:val="00143C41"/>
    <w:rsid w:val="001445E9"/>
    <w:rsid w:val="00145C14"/>
    <w:rsid w:val="001471DE"/>
    <w:rsid w:val="00150999"/>
    <w:rsid w:val="00152678"/>
    <w:rsid w:val="0015378F"/>
    <w:rsid w:val="0015480D"/>
    <w:rsid w:val="001563D0"/>
    <w:rsid w:val="00156CC4"/>
    <w:rsid w:val="00157030"/>
    <w:rsid w:val="00157897"/>
    <w:rsid w:val="00160573"/>
    <w:rsid w:val="00160837"/>
    <w:rsid w:val="0016124E"/>
    <w:rsid w:val="00163685"/>
    <w:rsid w:val="00163F08"/>
    <w:rsid w:val="001643BE"/>
    <w:rsid w:val="00164583"/>
    <w:rsid w:val="00166328"/>
    <w:rsid w:val="00170300"/>
    <w:rsid w:val="001711E9"/>
    <w:rsid w:val="0017152F"/>
    <w:rsid w:val="00174640"/>
    <w:rsid w:val="00174E94"/>
    <w:rsid w:val="001752F9"/>
    <w:rsid w:val="001754BF"/>
    <w:rsid w:val="00175CD3"/>
    <w:rsid w:val="00180B0E"/>
    <w:rsid w:val="00180CDC"/>
    <w:rsid w:val="0018235D"/>
    <w:rsid w:val="00182912"/>
    <w:rsid w:val="00182969"/>
    <w:rsid w:val="00185DD5"/>
    <w:rsid w:val="00186FC6"/>
    <w:rsid w:val="00190196"/>
    <w:rsid w:val="00190540"/>
    <w:rsid w:val="00191692"/>
    <w:rsid w:val="00192A8C"/>
    <w:rsid w:val="00193D91"/>
    <w:rsid w:val="00194063"/>
    <w:rsid w:val="00194744"/>
    <w:rsid w:val="00194943"/>
    <w:rsid w:val="00196605"/>
    <w:rsid w:val="00196CEF"/>
    <w:rsid w:val="001A0629"/>
    <w:rsid w:val="001A0F12"/>
    <w:rsid w:val="001A10F9"/>
    <w:rsid w:val="001A17CE"/>
    <w:rsid w:val="001A1D83"/>
    <w:rsid w:val="001A2DED"/>
    <w:rsid w:val="001A30E6"/>
    <w:rsid w:val="001A3BA3"/>
    <w:rsid w:val="001A4B5E"/>
    <w:rsid w:val="001A541E"/>
    <w:rsid w:val="001A6C98"/>
    <w:rsid w:val="001A7098"/>
    <w:rsid w:val="001B081E"/>
    <w:rsid w:val="001B1C2C"/>
    <w:rsid w:val="001B1E60"/>
    <w:rsid w:val="001B313A"/>
    <w:rsid w:val="001B4F9B"/>
    <w:rsid w:val="001B51F8"/>
    <w:rsid w:val="001B53EF"/>
    <w:rsid w:val="001B7A4F"/>
    <w:rsid w:val="001B7D67"/>
    <w:rsid w:val="001C03D2"/>
    <w:rsid w:val="001C18E8"/>
    <w:rsid w:val="001C2B21"/>
    <w:rsid w:val="001C347B"/>
    <w:rsid w:val="001C375A"/>
    <w:rsid w:val="001C579E"/>
    <w:rsid w:val="001C6A93"/>
    <w:rsid w:val="001C6F5D"/>
    <w:rsid w:val="001D16E6"/>
    <w:rsid w:val="001D4015"/>
    <w:rsid w:val="001D559F"/>
    <w:rsid w:val="001D6AC1"/>
    <w:rsid w:val="001D6F49"/>
    <w:rsid w:val="001E0303"/>
    <w:rsid w:val="001E0EC9"/>
    <w:rsid w:val="001E1F25"/>
    <w:rsid w:val="001E2185"/>
    <w:rsid w:val="001E27D2"/>
    <w:rsid w:val="001E4AE1"/>
    <w:rsid w:val="001E53FA"/>
    <w:rsid w:val="001E541E"/>
    <w:rsid w:val="001E7ED1"/>
    <w:rsid w:val="001F2105"/>
    <w:rsid w:val="001F2363"/>
    <w:rsid w:val="001F2B72"/>
    <w:rsid w:val="001F381B"/>
    <w:rsid w:val="001F4A6F"/>
    <w:rsid w:val="001F4B14"/>
    <w:rsid w:val="001F65AE"/>
    <w:rsid w:val="001F7396"/>
    <w:rsid w:val="001F7711"/>
    <w:rsid w:val="002052F7"/>
    <w:rsid w:val="00205E05"/>
    <w:rsid w:val="0020722B"/>
    <w:rsid w:val="002073B7"/>
    <w:rsid w:val="0020793D"/>
    <w:rsid w:val="00207EC2"/>
    <w:rsid w:val="00207F88"/>
    <w:rsid w:val="00210350"/>
    <w:rsid w:val="002113F5"/>
    <w:rsid w:val="0021351D"/>
    <w:rsid w:val="002138F8"/>
    <w:rsid w:val="0021564A"/>
    <w:rsid w:val="00215A4B"/>
    <w:rsid w:val="00216787"/>
    <w:rsid w:val="00220FA2"/>
    <w:rsid w:val="00225326"/>
    <w:rsid w:val="0022548E"/>
    <w:rsid w:val="00225A13"/>
    <w:rsid w:val="002272EC"/>
    <w:rsid w:val="00227460"/>
    <w:rsid w:val="002274E4"/>
    <w:rsid w:val="00227669"/>
    <w:rsid w:val="002277E4"/>
    <w:rsid w:val="00230414"/>
    <w:rsid w:val="00230A91"/>
    <w:rsid w:val="00232503"/>
    <w:rsid w:val="002325F7"/>
    <w:rsid w:val="002331CF"/>
    <w:rsid w:val="0023356C"/>
    <w:rsid w:val="002341C6"/>
    <w:rsid w:val="00234525"/>
    <w:rsid w:val="002348DC"/>
    <w:rsid w:val="00237DC1"/>
    <w:rsid w:val="00240030"/>
    <w:rsid w:val="00240C4F"/>
    <w:rsid w:val="0024239E"/>
    <w:rsid w:val="00243EBD"/>
    <w:rsid w:val="00244150"/>
    <w:rsid w:val="00244250"/>
    <w:rsid w:val="00244B21"/>
    <w:rsid w:val="00244C46"/>
    <w:rsid w:val="002457AA"/>
    <w:rsid w:val="002457D1"/>
    <w:rsid w:val="0024787B"/>
    <w:rsid w:val="00247AE0"/>
    <w:rsid w:val="00251FDA"/>
    <w:rsid w:val="00252826"/>
    <w:rsid w:val="00252C21"/>
    <w:rsid w:val="00253D37"/>
    <w:rsid w:val="00260B28"/>
    <w:rsid w:val="0026150C"/>
    <w:rsid w:val="00261CE0"/>
    <w:rsid w:val="00262790"/>
    <w:rsid w:val="00264DA0"/>
    <w:rsid w:val="00265432"/>
    <w:rsid w:val="0026552C"/>
    <w:rsid w:val="002667DA"/>
    <w:rsid w:val="00270AAE"/>
    <w:rsid w:val="002712AA"/>
    <w:rsid w:val="002716CB"/>
    <w:rsid w:val="00271CC9"/>
    <w:rsid w:val="00271F4B"/>
    <w:rsid w:val="002724C1"/>
    <w:rsid w:val="002728D1"/>
    <w:rsid w:val="00272EA8"/>
    <w:rsid w:val="00273317"/>
    <w:rsid w:val="002748B6"/>
    <w:rsid w:val="0027503A"/>
    <w:rsid w:val="00276C24"/>
    <w:rsid w:val="00277608"/>
    <w:rsid w:val="00280AE7"/>
    <w:rsid w:val="0028213B"/>
    <w:rsid w:val="00282CEF"/>
    <w:rsid w:val="00283BDB"/>
    <w:rsid w:val="00283DF6"/>
    <w:rsid w:val="00286CF9"/>
    <w:rsid w:val="00286F24"/>
    <w:rsid w:val="0029071F"/>
    <w:rsid w:val="00290DB9"/>
    <w:rsid w:val="00290DBA"/>
    <w:rsid w:val="0029301D"/>
    <w:rsid w:val="00293C41"/>
    <w:rsid w:val="00295DEC"/>
    <w:rsid w:val="00297DCD"/>
    <w:rsid w:val="002A10E2"/>
    <w:rsid w:val="002A1BAE"/>
    <w:rsid w:val="002A25A7"/>
    <w:rsid w:val="002A3B26"/>
    <w:rsid w:val="002A50D5"/>
    <w:rsid w:val="002A554D"/>
    <w:rsid w:val="002A59F0"/>
    <w:rsid w:val="002A66A8"/>
    <w:rsid w:val="002B343F"/>
    <w:rsid w:val="002B40CF"/>
    <w:rsid w:val="002B4AA6"/>
    <w:rsid w:val="002B5121"/>
    <w:rsid w:val="002B53C0"/>
    <w:rsid w:val="002C126A"/>
    <w:rsid w:val="002C2B1E"/>
    <w:rsid w:val="002C38D1"/>
    <w:rsid w:val="002C5D75"/>
    <w:rsid w:val="002C7BDA"/>
    <w:rsid w:val="002D05DC"/>
    <w:rsid w:val="002D09F2"/>
    <w:rsid w:val="002D1B25"/>
    <w:rsid w:val="002D1CB8"/>
    <w:rsid w:val="002D1CDC"/>
    <w:rsid w:val="002D1FB1"/>
    <w:rsid w:val="002D4E89"/>
    <w:rsid w:val="002D584B"/>
    <w:rsid w:val="002D7194"/>
    <w:rsid w:val="002E22BE"/>
    <w:rsid w:val="002E27EA"/>
    <w:rsid w:val="002E4D6F"/>
    <w:rsid w:val="002E5A7C"/>
    <w:rsid w:val="002E6F36"/>
    <w:rsid w:val="002E70D0"/>
    <w:rsid w:val="002F006A"/>
    <w:rsid w:val="002F0170"/>
    <w:rsid w:val="002F0DF3"/>
    <w:rsid w:val="002F18D7"/>
    <w:rsid w:val="002F2A1C"/>
    <w:rsid w:val="002F2C96"/>
    <w:rsid w:val="002F3A7C"/>
    <w:rsid w:val="002F3F5B"/>
    <w:rsid w:val="002F4953"/>
    <w:rsid w:val="002F5CF4"/>
    <w:rsid w:val="002F678C"/>
    <w:rsid w:val="002F74EE"/>
    <w:rsid w:val="002F795A"/>
    <w:rsid w:val="00300A0A"/>
    <w:rsid w:val="00300B07"/>
    <w:rsid w:val="00301400"/>
    <w:rsid w:val="00301559"/>
    <w:rsid w:val="00303CCF"/>
    <w:rsid w:val="003066E6"/>
    <w:rsid w:val="0030676D"/>
    <w:rsid w:val="0030678F"/>
    <w:rsid w:val="00306E05"/>
    <w:rsid w:val="00307D2A"/>
    <w:rsid w:val="003106A8"/>
    <w:rsid w:val="003108C0"/>
    <w:rsid w:val="00310B3A"/>
    <w:rsid w:val="003119D3"/>
    <w:rsid w:val="00313E36"/>
    <w:rsid w:val="00314AD9"/>
    <w:rsid w:val="003150DE"/>
    <w:rsid w:val="00315676"/>
    <w:rsid w:val="0031662F"/>
    <w:rsid w:val="003178CF"/>
    <w:rsid w:val="00317EC4"/>
    <w:rsid w:val="003245CB"/>
    <w:rsid w:val="00324989"/>
    <w:rsid w:val="00324E23"/>
    <w:rsid w:val="003252BD"/>
    <w:rsid w:val="00326056"/>
    <w:rsid w:val="003265AC"/>
    <w:rsid w:val="0032696A"/>
    <w:rsid w:val="00326BCA"/>
    <w:rsid w:val="00327A6A"/>
    <w:rsid w:val="00330189"/>
    <w:rsid w:val="00330FAD"/>
    <w:rsid w:val="00331607"/>
    <w:rsid w:val="00332A49"/>
    <w:rsid w:val="00334085"/>
    <w:rsid w:val="00334284"/>
    <w:rsid w:val="0033456B"/>
    <w:rsid w:val="00335ED9"/>
    <w:rsid w:val="0033608D"/>
    <w:rsid w:val="00336B2A"/>
    <w:rsid w:val="00341F10"/>
    <w:rsid w:val="00341FFA"/>
    <w:rsid w:val="0034260D"/>
    <w:rsid w:val="003470CA"/>
    <w:rsid w:val="00347474"/>
    <w:rsid w:val="0034771D"/>
    <w:rsid w:val="00350ED1"/>
    <w:rsid w:val="0035105F"/>
    <w:rsid w:val="00356029"/>
    <w:rsid w:val="00362492"/>
    <w:rsid w:val="00362D75"/>
    <w:rsid w:val="00362F2C"/>
    <w:rsid w:val="00364405"/>
    <w:rsid w:val="003652CF"/>
    <w:rsid w:val="0036583C"/>
    <w:rsid w:val="00366044"/>
    <w:rsid w:val="00366918"/>
    <w:rsid w:val="0036722D"/>
    <w:rsid w:val="003722C1"/>
    <w:rsid w:val="00372371"/>
    <w:rsid w:val="003723D9"/>
    <w:rsid w:val="003733C3"/>
    <w:rsid w:val="0037495E"/>
    <w:rsid w:val="00375AE4"/>
    <w:rsid w:val="00381CC6"/>
    <w:rsid w:val="00383189"/>
    <w:rsid w:val="00385088"/>
    <w:rsid w:val="00386345"/>
    <w:rsid w:val="003867FB"/>
    <w:rsid w:val="00387EE5"/>
    <w:rsid w:val="0039024B"/>
    <w:rsid w:val="00390597"/>
    <w:rsid w:val="00393210"/>
    <w:rsid w:val="003939B0"/>
    <w:rsid w:val="003945C4"/>
    <w:rsid w:val="00396167"/>
    <w:rsid w:val="003A1C24"/>
    <w:rsid w:val="003A2505"/>
    <w:rsid w:val="003A3BAB"/>
    <w:rsid w:val="003A3CA4"/>
    <w:rsid w:val="003A3F7F"/>
    <w:rsid w:val="003A3FBB"/>
    <w:rsid w:val="003A53D0"/>
    <w:rsid w:val="003A5DCC"/>
    <w:rsid w:val="003B125D"/>
    <w:rsid w:val="003B1409"/>
    <w:rsid w:val="003B3E0B"/>
    <w:rsid w:val="003B5395"/>
    <w:rsid w:val="003B5C0D"/>
    <w:rsid w:val="003B6799"/>
    <w:rsid w:val="003B72AA"/>
    <w:rsid w:val="003B772A"/>
    <w:rsid w:val="003B7A60"/>
    <w:rsid w:val="003C1164"/>
    <w:rsid w:val="003C1230"/>
    <w:rsid w:val="003C1363"/>
    <w:rsid w:val="003C3ADB"/>
    <w:rsid w:val="003C3ADF"/>
    <w:rsid w:val="003C3CAB"/>
    <w:rsid w:val="003C4F48"/>
    <w:rsid w:val="003C5118"/>
    <w:rsid w:val="003C5997"/>
    <w:rsid w:val="003C5AEE"/>
    <w:rsid w:val="003C6035"/>
    <w:rsid w:val="003C73AB"/>
    <w:rsid w:val="003C78E6"/>
    <w:rsid w:val="003C7995"/>
    <w:rsid w:val="003C7F7A"/>
    <w:rsid w:val="003D088D"/>
    <w:rsid w:val="003D18DA"/>
    <w:rsid w:val="003D1F45"/>
    <w:rsid w:val="003D3385"/>
    <w:rsid w:val="003D423F"/>
    <w:rsid w:val="003D5643"/>
    <w:rsid w:val="003D5FC5"/>
    <w:rsid w:val="003E21E0"/>
    <w:rsid w:val="003E3303"/>
    <w:rsid w:val="003E56EB"/>
    <w:rsid w:val="003F0362"/>
    <w:rsid w:val="003F0AA7"/>
    <w:rsid w:val="003F0C69"/>
    <w:rsid w:val="003F13F0"/>
    <w:rsid w:val="003F37D6"/>
    <w:rsid w:val="004000E7"/>
    <w:rsid w:val="004001B7"/>
    <w:rsid w:val="00400EEB"/>
    <w:rsid w:val="00401249"/>
    <w:rsid w:val="00402D29"/>
    <w:rsid w:val="0040360B"/>
    <w:rsid w:val="004056BD"/>
    <w:rsid w:val="00405CFB"/>
    <w:rsid w:val="00405E22"/>
    <w:rsid w:val="004105A0"/>
    <w:rsid w:val="00410BC6"/>
    <w:rsid w:val="00411285"/>
    <w:rsid w:val="00411E57"/>
    <w:rsid w:val="004144EF"/>
    <w:rsid w:val="004152B3"/>
    <w:rsid w:val="004158D3"/>
    <w:rsid w:val="004160FD"/>
    <w:rsid w:val="00416567"/>
    <w:rsid w:val="00416CB4"/>
    <w:rsid w:val="00417164"/>
    <w:rsid w:val="004171AE"/>
    <w:rsid w:val="004174FE"/>
    <w:rsid w:val="00417B00"/>
    <w:rsid w:val="00420613"/>
    <w:rsid w:val="00421EEF"/>
    <w:rsid w:val="00422088"/>
    <w:rsid w:val="00425310"/>
    <w:rsid w:val="004264E8"/>
    <w:rsid w:val="00426BCB"/>
    <w:rsid w:val="00430427"/>
    <w:rsid w:val="004310F5"/>
    <w:rsid w:val="004339DF"/>
    <w:rsid w:val="00434E5B"/>
    <w:rsid w:val="004354A9"/>
    <w:rsid w:val="004357FC"/>
    <w:rsid w:val="00435BA7"/>
    <w:rsid w:val="00436117"/>
    <w:rsid w:val="00436508"/>
    <w:rsid w:val="004428AA"/>
    <w:rsid w:val="00444759"/>
    <w:rsid w:val="0044517D"/>
    <w:rsid w:val="00445CD5"/>
    <w:rsid w:val="00445EAD"/>
    <w:rsid w:val="004462F5"/>
    <w:rsid w:val="004463D4"/>
    <w:rsid w:val="0045072A"/>
    <w:rsid w:val="00451D07"/>
    <w:rsid w:val="00452036"/>
    <w:rsid w:val="00452847"/>
    <w:rsid w:val="004534C1"/>
    <w:rsid w:val="00455E54"/>
    <w:rsid w:val="0045635E"/>
    <w:rsid w:val="0046268E"/>
    <w:rsid w:val="00462DDA"/>
    <w:rsid w:val="0046332E"/>
    <w:rsid w:val="004647F2"/>
    <w:rsid w:val="004675FF"/>
    <w:rsid w:val="0046785E"/>
    <w:rsid w:val="004702F4"/>
    <w:rsid w:val="00470FA8"/>
    <w:rsid w:val="00471331"/>
    <w:rsid w:val="00472987"/>
    <w:rsid w:val="00473158"/>
    <w:rsid w:val="00473ECC"/>
    <w:rsid w:val="00474629"/>
    <w:rsid w:val="004754D5"/>
    <w:rsid w:val="004758F0"/>
    <w:rsid w:val="004760F7"/>
    <w:rsid w:val="00477453"/>
    <w:rsid w:val="004778D7"/>
    <w:rsid w:val="00480B96"/>
    <w:rsid w:val="00482173"/>
    <w:rsid w:val="00485BB1"/>
    <w:rsid w:val="00486A7A"/>
    <w:rsid w:val="00490044"/>
    <w:rsid w:val="00490336"/>
    <w:rsid w:val="0049048E"/>
    <w:rsid w:val="0049053B"/>
    <w:rsid w:val="0049084E"/>
    <w:rsid w:val="00492AC4"/>
    <w:rsid w:val="00492B36"/>
    <w:rsid w:val="0049303F"/>
    <w:rsid w:val="00493052"/>
    <w:rsid w:val="00495D32"/>
    <w:rsid w:val="00496300"/>
    <w:rsid w:val="004966D0"/>
    <w:rsid w:val="004968AE"/>
    <w:rsid w:val="004968CB"/>
    <w:rsid w:val="004A0E53"/>
    <w:rsid w:val="004A0F07"/>
    <w:rsid w:val="004A10E5"/>
    <w:rsid w:val="004A143C"/>
    <w:rsid w:val="004A1BE2"/>
    <w:rsid w:val="004A3092"/>
    <w:rsid w:val="004A412B"/>
    <w:rsid w:val="004A5498"/>
    <w:rsid w:val="004A5987"/>
    <w:rsid w:val="004A5A83"/>
    <w:rsid w:val="004A7C68"/>
    <w:rsid w:val="004A7FDC"/>
    <w:rsid w:val="004B3564"/>
    <w:rsid w:val="004B365B"/>
    <w:rsid w:val="004B5E73"/>
    <w:rsid w:val="004B64FE"/>
    <w:rsid w:val="004B6A51"/>
    <w:rsid w:val="004B7E85"/>
    <w:rsid w:val="004C0711"/>
    <w:rsid w:val="004C0FA1"/>
    <w:rsid w:val="004C1896"/>
    <w:rsid w:val="004C18EE"/>
    <w:rsid w:val="004C1E06"/>
    <w:rsid w:val="004C255D"/>
    <w:rsid w:val="004C44E2"/>
    <w:rsid w:val="004C4848"/>
    <w:rsid w:val="004C499C"/>
    <w:rsid w:val="004C4D04"/>
    <w:rsid w:val="004C6AC7"/>
    <w:rsid w:val="004D1441"/>
    <w:rsid w:val="004D398E"/>
    <w:rsid w:val="004D39DD"/>
    <w:rsid w:val="004D3AC7"/>
    <w:rsid w:val="004D5483"/>
    <w:rsid w:val="004D5792"/>
    <w:rsid w:val="004D6750"/>
    <w:rsid w:val="004D6962"/>
    <w:rsid w:val="004D6C86"/>
    <w:rsid w:val="004D7773"/>
    <w:rsid w:val="004E00A7"/>
    <w:rsid w:val="004E0E81"/>
    <w:rsid w:val="004E1150"/>
    <w:rsid w:val="004E173D"/>
    <w:rsid w:val="004E2350"/>
    <w:rsid w:val="004E5622"/>
    <w:rsid w:val="004E5863"/>
    <w:rsid w:val="004E7CA8"/>
    <w:rsid w:val="004F0539"/>
    <w:rsid w:val="004F0791"/>
    <w:rsid w:val="004F1463"/>
    <w:rsid w:val="004F3E59"/>
    <w:rsid w:val="004F458B"/>
    <w:rsid w:val="004F4A46"/>
    <w:rsid w:val="004F5087"/>
    <w:rsid w:val="004F61A3"/>
    <w:rsid w:val="004F697A"/>
    <w:rsid w:val="004F7C9B"/>
    <w:rsid w:val="004F7EFF"/>
    <w:rsid w:val="0050079C"/>
    <w:rsid w:val="00502A81"/>
    <w:rsid w:val="00503947"/>
    <w:rsid w:val="00504DDD"/>
    <w:rsid w:val="00505411"/>
    <w:rsid w:val="005077B2"/>
    <w:rsid w:val="00510702"/>
    <w:rsid w:val="0051184C"/>
    <w:rsid w:val="00511F7D"/>
    <w:rsid w:val="00512C0E"/>
    <w:rsid w:val="005139B3"/>
    <w:rsid w:val="005145F5"/>
    <w:rsid w:val="00516954"/>
    <w:rsid w:val="00516A47"/>
    <w:rsid w:val="00517FE2"/>
    <w:rsid w:val="005209AA"/>
    <w:rsid w:val="00520B00"/>
    <w:rsid w:val="0052118D"/>
    <w:rsid w:val="00521FA0"/>
    <w:rsid w:val="00522617"/>
    <w:rsid w:val="0052266F"/>
    <w:rsid w:val="00524884"/>
    <w:rsid w:val="00524BCA"/>
    <w:rsid w:val="005251D6"/>
    <w:rsid w:val="00525636"/>
    <w:rsid w:val="00526771"/>
    <w:rsid w:val="0052685B"/>
    <w:rsid w:val="00526924"/>
    <w:rsid w:val="00526BED"/>
    <w:rsid w:val="00527097"/>
    <w:rsid w:val="00527C5E"/>
    <w:rsid w:val="005306D7"/>
    <w:rsid w:val="005318F1"/>
    <w:rsid w:val="00531DB8"/>
    <w:rsid w:val="005327F4"/>
    <w:rsid w:val="00532D23"/>
    <w:rsid w:val="0053330D"/>
    <w:rsid w:val="0053337B"/>
    <w:rsid w:val="00533A3C"/>
    <w:rsid w:val="005341B3"/>
    <w:rsid w:val="00534EC8"/>
    <w:rsid w:val="00534F77"/>
    <w:rsid w:val="0053672A"/>
    <w:rsid w:val="005368EC"/>
    <w:rsid w:val="005370B0"/>
    <w:rsid w:val="005412C3"/>
    <w:rsid w:val="005421DC"/>
    <w:rsid w:val="00542C66"/>
    <w:rsid w:val="00542EAD"/>
    <w:rsid w:val="005452BF"/>
    <w:rsid w:val="0054683C"/>
    <w:rsid w:val="00550601"/>
    <w:rsid w:val="0055194C"/>
    <w:rsid w:val="00552294"/>
    <w:rsid w:val="005523C3"/>
    <w:rsid w:val="00552AB6"/>
    <w:rsid w:val="00552CE2"/>
    <w:rsid w:val="00554C7D"/>
    <w:rsid w:val="005556A6"/>
    <w:rsid w:val="00555B23"/>
    <w:rsid w:val="005560AF"/>
    <w:rsid w:val="00557A04"/>
    <w:rsid w:val="00560F88"/>
    <w:rsid w:val="00561750"/>
    <w:rsid w:val="0056334A"/>
    <w:rsid w:val="00563CE6"/>
    <w:rsid w:val="0056411D"/>
    <w:rsid w:val="00564BE4"/>
    <w:rsid w:val="00566950"/>
    <w:rsid w:val="00567FAB"/>
    <w:rsid w:val="00570B53"/>
    <w:rsid w:val="00571730"/>
    <w:rsid w:val="005737E5"/>
    <w:rsid w:val="00574636"/>
    <w:rsid w:val="0057476F"/>
    <w:rsid w:val="0057478A"/>
    <w:rsid w:val="00574AB2"/>
    <w:rsid w:val="00576040"/>
    <w:rsid w:val="005764D7"/>
    <w:rsid w:val="005770BE"/>
    <w:rsid w:val="00580BD3"/>
    <w:rsid w:val="00580F9A"/>
    <w:rsid w:val="0058258E"/>
    <w:rsid w:val="005825DD"/>
    <w:rsid w:val="0058516E"/>
    <w:rsid w:val="0058775E"/>
    <w:rsid w:val="005911CE"/>
    <w:rsid w:val="005934E2"/>
    <w:rsid w:val="00595AD4"/>
    <w:rsid w:val="0059606C"/>
    <w:rsid w:val="00597729"/>
    <w:rsid w:val="005A0DA0"/>
    <w:rsid w:val="005A16ED"/>
    <w:rsid w:val="005A1F3A"/>
    <w:rsid w:val="005A3123"/>
    <w:rsid w:val="005A318D"/>
    <w:rsid w:val="005A4A9E"/>
    <w:rsid w:val="005A4BB3"/>
    <w:rsid w:val="005A6514"/>
    <w:rsid w:val="005A6E29"/>
    <w:rsid w:val="005A7B2D"/>
    <w:rsid w:val="005B0A5E"/>
    <w:rsid w:val="005B0CDC"/>
    <w:rsid w:val="005B1379"/>
    <w:rsid w:val="005B4E0B"/>
    <w:rsid w:val="005B5A2D"/>
    <w:rsid w:val="005B5E9A"/>
    <w:rsid w:val="005B6A2D"/>
    <w:rsid w:val="005B7AD9"/>
    <w:rsid w:val="005C09A4"/>
    <w:rsid w:val="005C19C4"/>
    <w:rsid w:val="005C295B"/>
    <w:rsid w:val="005C6D41"/>
    <w:rsid w:val="005C765F"/>
    <w:rsid w:val="005C7AF0"/>
    <w:rsid w:val="005D14ED"/>
    <w:rsid w:val="005D3088"/>
    <w:rsid w:val="005D6CFC"/>
    <w:rsid w:val="005E3A69"/>
    <w:rsid w:val="005E4D4C"/>
    <w:rsid w:val="005E5954"/>
    <w:rsid w:val="005E599A"/>
    <w:rsid w:val="005E6D33"/>
    <w:rsid w:val="005E721A"/>
    <w:rsid w:val="005E799A"/>
    <w:rsid w:val="005F0418"/>
    <w:rsid w:val="005F074F"/>
    <w:rsid w:val="005F0CCF"/>
    <w:rsid w:val="005F1031"/>
    <w:rsid w:val="005F233D"/>
    <w:rsid w:val="005F27AC"/>
    <w:rsid w:val="005F3AFF"/>
    <w:rsid w:val="005F526E"/>
    <w:rsid w:val="005F592B"/>
    <w:rsid w:val="005F7D38"/>
    <w:rsid w:val="0060296F"/>
    <w:rsid w:val="00602D32"/>
    <w:rsid w:val="00603007"/>
    <w:rsid w:val="00605BD3"/>
    <w:rsid w:val="00606C8A"/>
    <w:rsid w:val="006073ED"/>
    <w:rsid w:val="0060747B"/>
    <w:rsid w:val="0060761E"/>
    <w:rsid w:val="006101AD"/>
    <w:rsid w:val="00610EFC"/>
    <w:rsid w:val="00613382"/>
    <w:rsid w:val="00614946"/>
    <w:rsid w:val="00615C53"/>
    <w:rsid w:val="006162CF"/>
    <w:rsid w:val="00616E5F"/>
    <w:rsid w:val="00617139"/>
    <w:rsid w:val="006174C4"/>
    <w:rsid w:val="006219FD"/>
    <w:rsid w:val="0062375A"/>
    <w:rsid w:val="006249BA"/>
    <w:rsid w:val="00624E66"/>
    <w:rsid w:val="00627049"/>
    <w:rsid w:val="006273E2"/>
    <w:rsid w:val="00630636"/>
    <w:rsid w:val="0063252F"/>
    <w:rsid w:val="006340C1"/>
    <w:rsid w:val="00635546"/>
    <w:rsid w:val="00635F98"/>
    <w:rsid w:val="00640C80"/>
    <w:rsid w:val="00641CF1"/>
    <w:rsid w:val="00644919"/>
    <w:rsid w:val="00646608"/>
    <w:rsid w:val="006467A2"/>
    <w:rsid w:val="0064685C"/>
    <w:rsid w:val="00646DA7"/>
    <w:rsid w:val="0064763F"/>
    <w:rsid w:val="0065091D"/>
    <w:rsid w:val="00651F71"/>
    <w:rsid w:val="006522B4"/>
    <w:rsid w:val="006523E4"/>
    <w:rsid w:val="00653C1D"/>
    <w:rsid w:val="00654243"/>
    <w:rsid w:val="00654CF6"/>
    <w:rsid w:val="006552AB"/>
    <w:rsid w:val="006559EF"/>
    <w:rsid w:val="00656344"/>
    <w:rsid w:val="00656419"/>
    <w:rsid w:val="00657616"/>
    <w:rsid w:val="00657C7B"/>
    <w:rsid w:val="006601B5"/>
    <w:rsid w:val="006623AF"/>
    <w:rsid w:val="0066279B"/>
    <w:rsid w:val="006632F0"/>
    <w:rsid w:val="006645DC"/>
    <w:rsid w:val="00665357"/>
    <w:rsid w:val="0066595A"/>
    <w:rsid w:val="00665966"/>
    <w:rsid w:val="00665FDB"/>
    <w:rsid w:val="006667EE"/>
    <w:rsid w:val="00670F92"/>
    <w:rsid w:val="006722D6"/>
    <w:rsid w:val="00672619"/>
    <w:rsid w:val="006735C7"/>
    <w:rsid w:val="0067381B"/>
    <w:rsid w:val="006747BF"/>
    <w:rsid w:val="00674C1A"/>
    <w:rsid w:val="00677BED"/>
    <w:rsid w:val="00677E7D"/>
    <w:rsid w:val="00681C4D"/>
    <w:rsid w:val="0068247D"/>
    <w:rsid w:val="0068303A"/>
    <w:rsid w:val="00683505"/>
    <w:rsid w:val="00683A20"/>
    <w:rsid w:val="00683DA7"/>
    <w:rsid w:val="0068405D"/>
    <w:rsid w:val="00684CAC"/>
    <w:rsid w:val="0068684F"/>
    <w:rsid w:val="00686CA0"/>
    <w:rsid w:val="00687A8B"/>
    <w:rsid w:val="00687C43"/>
    <w:rsid w:val="006900A5"/>
    <w:rsid w:val="006911A0"/>
    <w:rsid w:val="00691390"/>
    <w:rsid w:val="00691A23"/>
    <w:rsid w:val="00691F8F"/>
    <w:rsid w:val="00692897"/>
    <w:rsid w:val="00692B8F"/>
    <w:rsid w:val="006937B6"/>
    <w:rsid w:val="00693D62"/>
    <w:rsid w:val="0069528D"/>
    <w:rsid w:val="00695B55"/>
    <w:rsid w:val="006964E3"/>
    <w:rsid w:val="00696A6A"/>
    <w:rsid w:val="00697D12"/>
    <w:rsid w:val="006A0A1C"/>
    <w:rsid w:val="006A1968"/>
    <w:rsid w:val="006A19EF"/>
    <w:rsid w:val="006A3A1E"/>
    <w:rsid w:val="006A3FB0"/>
    <w:rsid w:val="006A4097"/>
    <w:rsid w:val="006A5B3A"/>
    <w:rsid w:val="006A6882"/>
    <w:rsid w:val="006A6964"/>
    <w:rsid w:val="006B0636"/>
    <w:rsid w:val="006B15EC"/>
    <w:rsid w:val="006B2CA5"/>
    <w:rsid w:val="006B3CDA"/>
    <w:rsid w:val="006B3E15"/>
    <w:rsid w:val="006B4BC9"/>
    <w:rsid w:val="006B54B9"/>
    <w:rsid w:val="006B679B"/>
    <w:rsid w:val="006B679D"/>
    <w:rsid w:val="006B6AA7"/>
    <w:rsid w:val="006B7EEA"/>
    <w:rsid w:val="006C362D"/>
    <w:rsid w:val="006C466F"/>
    <w:rsid w:val="006C5118"/>
    <w:rsid w:val="006D0A51"/>
    <w:rsid w:val="006D0C94"/>
    <w:rsid w:val="006D0E5E"/>
    <w:rsid w:val="006D0F9A"/>
    <w:rsid w:val="006D19FB"/>
    <w:rsid w:val="006D1B64"/>
    <w:rsid w:val="006D2E2F"/>
    <w:rsid w:val="006D468B"/>
    <w:rsid w:val="006D6640"/>
    <w:rsid w:val="006D6AAA"/>
    <w:rsid w:val="006D6D37"/>
    <w:rsid w:val="006D6E36"/>
    <w:rsid w:val="006E2190"/>
    <w:rsid w:val="006E260B"/>
    <w:rsid w:val="006E2B00"/>
    <w:rsid w:val="006E2DEA"/>
    <w:rsid w:val="006E4AD7"/>
    <w:rsid w:val="006E5C56"/>
    <w:rsid w:val="006E7F3F"/>
    <w:rsid w:val="006F0955"/>
    <w:rsid w:val="006F0AEA"/>
    <w:rsid w:val="006F17E8"/>
    <w:rsid w:val="006F1CAC"/>
    <w:rsid w:val="006F2358"/>
    <w:rsid w:val="006F2481"/>
    <w:rsid w:val="006F2C3C"/>
    <w:rsid w:val="006F2E92"/>
    <w:rsid w:val="006F3C65"/>
    <w:rsid w:val="006F3D98"/>
    <w:rsid w:val="006F4DB2"/>
    <w:rsid w:val="006F6C52"/>
    <w:rsid w:val="006F6EB5"/>
    <w:rsid w:val="006F77FB"/>
    <w:rsid w:val="006F7D5E"/>
    <w:rsid w:val="006F7EF6"/>
    <w:rsid w:val="007011A1"/>
    <w:rsid w:val="0070134D"/>
    <w:rsid w:val="007023F6"/>
    <w:rsid w:val="007024AD"/>
    <w:rsid w:val="0070384F"/>
    <w:rsid w:val="007059BA"/>
    <w:rsid w:val="00710868"/>
    <w:rsid w:val="0071286E"/>
    <w:rsid w:val="00714777"/>
    <w:rsid w:val="0071519E"/>
    <w:rsid w:val="00716445"/>
    <w:rsid w:val="00721604"/>
    <w:rsid w:val="0072274E"/>
    <w:rsid w:val="00722A77"/>
    <w:rsid w:val="00723A94"/>
    <w:rsid w:val="00726DA7"/>
    <w:rsid w:val="0072771F"/>
    <w:rsid w:val="00727FCC"/>
    <w:rsid w:val="0073038C"/>
    <w:rsid w:val="007304B1"/>
    <w:rsid w:val="00730CBE"/>
    <w:rsid w:val="00730FBF"/>
    <w:rsid w:val="00731496"/>
    <w:rsid w:val="007344BD"/>
    <w:rsid w:val="00735641"/>
    <w:rsid w:val="0073691B"/>
    <w:rsid w:val="00737A03"/>
    <w:rsid w:val="007405F1"/>
    <w:rsid w:val="007406A3"/>
    <w:rsid w:val="00745278"/>
    <w:rsid w:val="00747CA9"/>
    <w:rsid w:val="007501D3"/>
    <w:rsid w:val="00752230"/>
    <w:rsid w:val="0075270B"/>
    <w:rsid w:val="007545A7"/>
    <w:rsid w:val="00754C40"/>
    <w:rsid w:val="00754E67"/>
    <w:rsid w:val="00755126"/>
    <w:rsid w:val="00756B55"/>
    <w:rsid w:val="00757CB7"/>
    <w:rsid w:val="00760514"/>
    <w:rsid w:val="00761AE5"/>
    <w:rsid w:val="00762910"/>
    <w:rsid w:val="00763B3D"/>
    <w:rsid w:val="00763F93"/>
    <w:rsid w:val="00764C98"/>
    <w:rsid w:val="007657A7"/>
    <w:rsid w:val="00765980"/>
    <w:rsid w:val="00766F03"/>
    <w:rsid w:val="00767EFF"/>
    <w:rsid w:val="00770EB6"/>
    <w:rsid w:val="0077386E"/>
    <w:rsid w:val="00773F03"/>
    <w:rsid w:val="007743ED"/>
    <w:rsid w:val="007748B0"/>
    <w:rsid w:val="00774AFC"/>
    <w:rsid w:val="00780A2D"/>
    <w:rsid w:val="00782BAB"/>
    <w:rsid w:val="00782C08"/>
    <w:rsid w:val="00783EE5"/>
    <w:rsid w:val="00783EF1"/>
    <w:rsid w:val="00785214"/>
    <w:rsid w:val="007856DE"/>
    <w:rsid w:val="007860F8"/>
    <w:rsid w:val="00787B86"/>
    <w:rsid w:val="00787D6E"/>
    <w:rsid w:val="00787F84"/>
    <w:rsid w:val="00791490"/>
    <w:rsid w:val="007917AF"/>
    <w:rsid w:val="00792C44"/>
    <w:rsid w:val="00793896"/>
    <w:rsid w:val="0079496E"/>
    <w:rsid w:val="00795B80"/>
    <w:rsid w:val="0079615E"/>
    <w:rsid w:val="00797005"/>
    <w:rsid w:val="00797D62"/>
    <w:rsid w:val="007A0344"/>
    <w:rsid w:val="007A0998"/>
    <w:rsid w:val="007A0FB3"/>
    <w:rsid w:val="007A136C"/>
    <w:rsid w:val="007A2645"/>
    <w:rsid w:val="007A38FA"/>
    <w:rsid w:val="007A3D08"/>
    <w:rsid w:val="007A4423"/>
    <w:rsid w:val="007A4596"/>
    <w:rsid w:val="007B1A5D"/>
    <w:rsid w:val="007B1D13"/>
    <w:rsid w:val="007B40F3"/>
    <w:rsid w:val="007B417E"/>
    <w:rsid w:val="007B4ED0"/>
    <w:rsid w:val="007B72FB"/>
    <w:rsid w:val="007C0D83"/>
    <w:rsid w:val="007C12F8"/>
    <w:rsid w:val="007C24BD"/>
    <w:rsid w:val="007C46FD"/>
    <w:rsid w:val="007C5605"/>
    <w:rsid w:val="007C6606"/>
    <w:rsid w:val="007C6B63"/>
    <w:rsid w:val="007C6F3A"/>
    <w:rsid w:val="007C7A8B"/>
    <w:rsid w:val="007D1432"/>
    <w:rsid w:val="007D2477"/>
    <w:rsid w:val="007D2DA4"/>
    <w:rsid w:val="007D3663"/>
    <w:rsid w:val="007D4990"/>
    <w:rsid w:val="007D49AB"/>
    <w:rsid w:val="007D4E0F"/>
    <w:rsid w:val="007D5682"/>
    <w:rsid w:val="007E0AC7"/>
    <w:rsid w:val="007E21A4"/>
    <w:rsid w:val="007E2B67"/>
    <w:rsid w:val="007E77F4"/>
    <w:rsid w:val="007E7F30"/>
    <w:rsid w:val="007F01BE"/>
    <w:rsid w:val="007F08F3"/>
    <w:rsid w:val="007F1BD6"/>
    <w:rsid w:val="007F1D64"/>
    <w:rsid w:val="007F25EF"/>
    <w:rsid w:val="007F31B1"/>
    <w:rsid w:val="007F3685"/>
    <w:rsid w:val="007F3F45"/>
    <w:rsid w:val="007F4319"/>
    <w:rsid w:val="007F63D0"/>
    <w:rsid w:val="007F70C4"/>
    <w:rsid w:val="007F7F66"/>
    <w:rsid w:val="008000D8"/>
    <w:rsid w:val="00800B68"/>
    <w:rsid w:val="00801640"/>
    <w:rsid w:val="00802DDA"/>
    <w:rsid w:val="008052CE"/>
    <w:rsid w:val="00805467"/>
    <w:rsid w:val="00805A0F"/>
    <w:rsid w:val="00811DD0"/>
    <w:rsid w:val="00811F39"/>
    <w:rsid w:val="00813194"/>
    <w:rsid w:val="00817578"/>
    <w:rsid w:val="00820000"/>
    <w:rsid w:val="008200D2"/>
    <w:rsid w:val="00820D45"/>
    <w:rsid w:val="00822EAD"/>
    <w:rsid w:val="008235F6"/>
    <w:rsid w:val="00824596"/>
    <w:rsid w:val="00824646"/>
    <w:rsid w:val="008260BB"/>
    <w:rsid w:val="0082645C"/>
    <w:rsid w:val="00827025"/>
    <w:rsid w:val="00827161"/>
    <w:rsid w:val="0083199D"/>
    <w:rsid w:val="00832468"/>
    <w:rsid w:val="0083270E"/>
    <w:rsid w:val="00832A49"/>
    <w:rsid w:val="00833341"/>
    <w:rsid w:val="0083495C"/>
    <w:rsid w:val="00835FAD"/>
    <w:rsid w:val="0083771C"/>
    <w:rsid w:val="00837E5F"/>
    <w:rsid w:val="008400F7"/>
    <w:rsid w:val="00841A79"/>
    <w:rsid w:val="00841FD0"/>
    <w:rsid w:val="0084206D"/>
    <w:rsid w:val="008420AA"/>
    <w:rsid w:val="00844165"/>
    <w:rsid w:val="00844FFA"/>
    <w:rsid w:val="00845097"/>
    <w:rsid w:val="008454B0"/>
    <w:rsid w:val="0084554C"/>
    <w:rsid w:val="00846157"/>
    <w:rsid w:val="00846634"/>
    <w:rsid w:val="008468A6"/>
    <w:rsid w:val="00847BC7"/>
    <w:rsid w:val="00851107"/>
    <w:rsid w:val="00851DCE"/>
    <w:rsid w:val="00852494"/>
    <w:rsid w:val="0085448D"/>
    <w:rsid w:val="00854B12"/>
    <w:rsid w:val="008600C9"/>
    <w:rsid w:val="008618D9"/>
    <w:rsid w:val="00861BE2"/>
    <w:rsid w:val="0086203D"/>
    <w:rsid w:val="00863A61"/>
    <w:rsid w:val="008641B8"/>
    <w:rsid w:val="008641DD"/>
    <w:rsid w:val="008643C6"/>
    <w:rsid w:val="008648AF"/>
    <w:rsid w:val="00865C9C"/>
    <w:rsid w:val="00866549"/>
    <w:rsid w:val="00866E5F"/>
    <w:rsid w:val="00866ED5"/>
    <w:rsid w:val="00867098"/>
    <w:rsid w:val="008671E0"/>
    <w:rsid w:val="008708C3"/>
    <w:rsid w:val="008713E6"/>
    <w:rsid w:val="00873751"/>
    <w:rsid w:val="0087537F"/>
    <w:rsid w:val="008761AB"/>
    <w:rsid w:val="00876CF3"/>
    <w:rsid w:val="008800E4"/>
    <w:rsid w:val="00880906"/>
    <w:rsid w:val="00880B06"/>
    <w:rsid w:val="00881F10"/>
    <w:rsid w:val="00885F0B"/>
    <w:rsid w:val="00890F9B"/>
    <w:rsid w:val="00892ABA"/>
    <w:rsid w:val="00892CAD"/>
    <w:rsid w:val="0089554D"/>
    <w:rsid w:val="00896867"/>
    <w:rsid w:val="008970A9"/>
    <w:rsid w:val="0089786F"/>
    <w:rsid w:val="008A0106"/>
    <w:rsid w:val="008A0C7A"/>
    <w:rsid w:val="008A1448"/>
    <w:rsid w:val="008A18D9"/>
    <w:rsid w:val="008A2294"/>
    <w:rsid w:val="008A2A5E"/>
    <w:rsid w:val="008A4495"/>
    <w:rsid w:val="008A44E9"/>
    <w:rsid w:val="008A4C76"/>
    <w:rsid w:val="008A6D14"/>
    <w:rsid w:val="008A720E"/>
    <w:rsid w:val="008B0259"/>
    <w:rsid w:val="008B17C3"/>
    <w:rsid w:val="008B3F0F"/>
    <w:rsid w:val="008B46C2"/>
    <w:rsid w:val="008B4EEC"/>
    <w:rsid w:val="008B5750"/>
    <w:rsid w:val="008B5F2D"/>
    <w:rsid w:val="008B7747"/>
    <w:rsid w:val="008B7DA8"/>
    <w:rsid w:val="008C18D7"/>
    <w:rsid w:val="008C214A"/>
    <w:rsid w:val="008C2AEA"/>
    <w:rsid w:val="008C2E5E"/>
    <w:rsid w:val="008C33A2"/>
    <w:rsid w:val="008C33ED"/>
    <w:rsid w:val="008C34F7"/>
    <w:rsid w:val="008C455B"/>
    <w:rsid w:val="008C679B"/>
    <w:rsid w:val="008C6EF9"/>
    <w:rsid w:val="008C7507"/>
    <w:rsid w:val="008D1336"/>
    <w:rsid w:val="008D1ABD"/>
    <w:rsid w:val="008D278F"/>
    <w:rsid w:val="008D3149"/>
    <w:rsid w:val="008D336C"/>
    <w:rsid w:val="008D5439"/>
    <w:rsid w:val="008D63C0"/>
    <w:rsid w:val="008D7483"/>
    <w:rsid w:val="008E060B"/>
    <w:rsid w:val="008E077F"/>
    <w:rsid w:val="008E0AB3"/>
    <w:rsid w:val="008E14F6"/>
    <w:rsid w:val="008E22A9"/>
    <w:rsid w:val="008E2D66"/>
    <w:rsid w:val="008E2F97"/>
    <w:rsid w:val="008E46C6"/>
    <w:rsid w:val="008E5536"/>
    <w:rsid w:val="008E60DF"/>
    <w:rsid w:val="008E70A3"/>
    <w:rsid w:val="008F0C7A"/>
    <w:rsid w:val="008F2830"/>
    <w:rsid w:val="008F2D20"/>
    <w:rsid w:val="008F3AD6"/>
    <w:rsid w:val="008F4C76"/>
    <w:rsid w:val="008F4CAD"/>
    <w:rsid w:val="008F5379"/>
    <w:rsid w:val="008F5FAF"/>
    <w:rsid w:val="00900028"/>
    <w:rsid w:val="0090093F"/>
    <w:rsid w:val="009012FB"/>
    <w:rsid w:val="00901806"/>
    <w:rsid w:val="00902CEF"/>
    <w:rsid w:val="00903510"/>
    <w:rsid w:val="00904BA3"/>
    <w:rsid w:val="009050E8"/>
    <w:rsid w:val="00905B4F"/>
    <w:rsid w:val="00905F50"/>
    <w:rsid w:val="00906E38"/>
    <w:rsid w:val="00907147"/>
    <w:rsid w:val="009078F0"/>
    <w:rsid w:val="00907BC1"/>
    <w:rsid w:val="00911815"/>
    <w:rsid w:val="0091189E"/>
    <w:rsid w:val="00912DB8"/>
    <w:rsid w:val="00916C36"/>
    <w:rsid w:val="00916F4F"/>
    <w:rsid w:val="00920388"/>
    <w:rsid w:val="00920D4B"/>
    <w:rsid w:val="00921D91"/>
    <w:rsid w:val="00922180"/>
    <w:rsid w:val="0092253D"/>
    <w:rsid w:val="00922A6D"/>
    <w:rsid w:val="009237F9"/>
    <w:rsid w:val="00925C28"/>
    <w:rsid w:val="00925E01"/>
    <w:rsid w:val="00926BAD"/>
    <w:rsid w:val="009276E5"/>
    <w:rsid w:val="00930084"/>
    <w:rsid w:val="009301F5"/>
    <w:rsid w:val="0093029C"/>
    <w:rsid w:val="00931D5C"/>
    <w:rsid w:val="00932065"/>
    <w:rsid w:val="00932790"/>
    <w:rsid w:val="00933351"/>
    <w:rsid w:val="009341FF"/>
    <w:rsid w:val="00934444"/>
    <w:rsid w:val="00934F7C"/>
    <w:rsid w:val="00934F7D"/>
    <w:rsid w:val="0093632D"/>
    <w:rsid w:val="00936A61"/>
    <w:rsid w:val="009376B0"/>
    <w:rsid w:val="00940904"/>
    <w:rsid w:val="009417AE"/>
    <w:rsid w:val="009441F9"/>
    <w:rsid w:val="00944D19"/>
    <w:rsid w:val="00946DDF"/>
    <w:rsid w:val="00946F0E"/>
    <w:rsid w:val="00950D7E"/>
    <w:rsid w:val="00951FDD"/>
    <w:rsid w:val="00952D4F"/>
    <w:rsid w:val="00954631"/>
    <w:rsid w:val="00955E1F"/>
    <w:rsid w:val="00957D87"/>
    <w:rsid w:val="009608F0"/>
    <w:rsid w:val="00960C9E"/>
    <w:rsid w:val="00960D2A"/>
    <w:rsid w:val="009611BD"/>
    <w:rsid w:val="00961B15"/>
    <w:rsid w:val="00963BD4"/>
    <w:rsid w:val="00963D99"/>
    <w:rsid w:val="00964FC9"/>
    <w:rsid w:val="00965420"/>
    <w:rsid w:val="00965F50"/>
    <w:rsid w:val="00967AA0"/>
    <w:rsid w:val="009716D7"/>
    <w:rsid w:val="009729A1"/>
    <w:rsid w:val="009730F7"/>
    <w:rsid w:val="009746EB"/>
    <w:rsid w:val="00976F32"/>
    <w:rsid w:val="00977263"/>
    <w:rsid w:val="009801D2"/>
    <w:rsid w:val="009820BC"/>
    <w:rsid w:val="009841E0"/>
    <w:rsid w:val="00984301"/>
    <w:rsid w:val="00985B05"/>
    <w:rsid w:val="00990042"/>
    <w:rsid w:val="00990E83"/>
    <w:rsid w:val="00991B23"/>
    <w:rsid w:val="00991C04"/>
    <w:rsid w:val="009938E9"/>
    <w:rsid w:val="00994A10"/>
    <w:rsid w:val="009960F3"/>
    <w:rsid w:val="00996581"/>
    <w:rsid w:val="00996624"/>
    <w:rsid w:val="00996945"/>
    <w:rsid w:val="00996FE4"/>
    <w:rsid w:val="009975E7"/>
    <w:rsid w:val="009A00E2"/>
    <w:rsid w:val="009A1296"/>
    <w:rsid w:val="009A1EA2"/>
    <w:rsid w:val="009A43DC"/>
    <w:rsid w:val="009A631A"/>
    <w:rsid w:val="009A6F59"/>
    <w:rsid w:val="009A71BF"/>
    <w:rsid w:val="009A7F95"/>
    <w:rsid w:val="009B1C09"/>
    <w:rsid w:val="009B20CE"/>
    <w:rsid w:val="009B283A"/>
    <w:rsid w:val="009B4835"/>
    <w:rsid w:val="009B4A1C"/>
    <w:rsid w:val="009B5D84"/>
    <w:rsid w:val="009B78C2"/>
    <w:rsid w:val="009B7CF9"/>
    <w:rsid w:val="009C039C"/>
    <w:rsid w:val="009C1662"/>
    <w:rsid w:val="009C2613"/>
    <w:rsid w:val="009C325E"/>
    <w:rsid w:val="009C5681"/>
    <w:rsid w:val="009C636B"/>
    <w:rsid w:val="009C6550"/>
    <w:rsid w:val="009C6A3F"/>
    <w:rsid w:val="009C6E56"/>
    <w:rsid w:val="009C754F"/>
    <w:rsid w:val="009C7B1D"/>
    <w:rsid w:val="009C7F43"/>
    <w:rsid w:val="009D0B3D"/>
    <w:rsid w:val="009D1958"/>
    <w:rsid w:val="009D2BCA"/>
    <w:rsid w:val="009D381D"/>
    <w:rsid w:val="009D3AFF"/>
    <w:rsid w:val="009D532E"/>
    <w:rsid w:val="009D5425"/>
    <w:rsid w:val="009D57C5"/>
    <w:rsid w:val="009D5852"/>
    <w:rsid w:val="009D5DF8"/>
    <w:rsid w:val="009D6712"/>
    <w:rsid w:val="009D6A82"/>
    <w:rsid w:val="009D6F45"/>
    <w:rsid w:val="009D7447"/>
    <w:rsid w:val="009D7914"/>
    <w:rsid w:val="009D7CE5"/>
    <w:rsid w:val="009D7D86"/>
    <w:rsid w:val="009E064A"/>
    <w:rsid w:val="009E10CD"/>
    <w:rsid w:val="009E2DB1"/>
    <w:rsid w:val="009E3585"/>
    <w:rsid w:val="009E35D3"/>
    <w:rsid w:val="009E642C"/>
    <w:rsid w:val="009E6947"/>
    <w:rsid w:val="009E7A7E"/>
    <w:rsid w:val="009E7AF7"/>
    <w:rsid w:val="009F0504"/>
    <w:rsid w:val="009F0F16"/>
    <w:rsid w:val="009F2F6E"/>
    <w:rsid w:val="009F5494"/>
    <w:rsid w:val="009F5E05"/>
    <w:rsid w:val="009F741D"/>
    <w:rsid w:val="00A00011"/>
    <w:rsid w:val="00A00C54"/>
    <w:rsid w:val="00A012C6"/>
    <w:rsid w:val="00A01526"/>
    <w:rsid w:val="00A033FD"/>
    <w:rsid w:val="00A03FC7"/>
    <w:rsid w:val="00A04D3B"/>
    <w:rsid w:val="00A05239"/>
    <w:rsid w:val="00A05696"/>
    <w:rsid w:val="00A062C7"/>
    <w:rsid w:val="00A0774C"/>
    <w:rsid w:val="00A10618"/>
    <w:rsid w:val="00A128C1"/>
    <w:rsid w:val="00A13C7B"/>
    <w:rsid w:val="00A16416"/>
    <w:rsid w:val="00A179AA"/>
    <w:rsid w:val="00A17E02"/>
    <w:rsid w:val="00A204B4"/>
    <w:rsid w:val="00A2188E"/>
    <w:rsid w:val="00A26BF0"/>
    <w:rsid w:val="00A27066"/>
    <w:rsid w:val="00A27EED"/>
    <w:rsid w:val="00A3019C"/>
    <w:rsid w:val="00A30B91"/>
    <w:rsid w:val="00A30DA9"/>
    <w:rsid w:val="00A318E3"/>
    <w:rsid w:val="00A323F2"/>
    <w:rsid w:val="00A331FB"/>
    <w:rsid w:val="00A33FCA"/>
    <w:rsid w:val="00A352E7"/>
    <w:rsid w:val="00A35599"/>
    <w:rsid w:val="00A36940"/>
    <w:rsid w:val="00A37D2E"/>
    <w:rsid w:val="00A37D47"/>
    <w:rsid w:val="00A40AD3"/>
    <w:rsid w:val="00A40D7E"/>
    <w:rsid w:val="00A417DD"/>
    <w:rsid w:val="00A427FB"/>
    <w:rsid w:val="00A444CA"/>
    <w:rsid w:val="00A44700"/>
    <w:rsid w:val="00A449C8"/>
    <w:rsid w:val="00A46167"/>
    <w:rsid w:val="00A474EA"/>
    <w:rsid w:val="00A4751D"/>
    <w:rsid w:val="00A47D75"/>
    <w:rsid w:val="00A502E4"/>
    <w:rsid w:val="00A50C2E"/>
    <w:rsid w:val="00A51107"/>
    <w:rsid w:val="00A51154"/>
    <w:rsid w:val="00A52E51"/>
    <w:rsid w:val="00A54F7C"/>
    <w:rsid w:val="00A55263"/>
    <w:rsid w:val="00A55576"/>
    <w:rsid w:val="00A573AA"/>
    <w:rsid w:val="00A60958"/>
    <w:rsid w:val="00A60B65"/>
    <w:rsid w:val="00A60C1B"/>
    <w:rsid w:val="00A60D1D"/>
    <w:rsid w:val="00A6120D"/>
    <w:rsid w:val="00A62BD5"/>
    <w:rsid w:val="00A630FD"/>
    <w:rsid w:val="00A632E6"/>
    <w:rsid w:val="00A6364E"/>
    <w:rsid w:val="00A639F2"/>
    <w:rsid w:val="00A65D6B"/>
    <w:rsid w:val="00A666B0"/>
    <w:rsid w:val="00A666C6"/>
    <w:rsid w:val="00A710AE"/>
    <w:rsid w:val="00A71F66"/>
    <w:rsid w:val="00A74D3F"/>
    <w:rsid w:val="00A752F4"/>
    <w:rsid w:val="00A755D0"/>
    <w:rsid w:val="00A758B5"/>
    <w:rsid w:val="00A758FB"/>
    <w:rsid w:val="00A75FED"/>
    <w:rsid w:val="00A762ED"/>
    <w:rsid w:val="00A763A0"/>
    <w:rsid w:val="00A76B99"/>
    <w:rsid w:val="00A77A37"/>
    <w:rsid w:val="00A805C5"/>
    <w:rsid w:val="00A8191F"/>
    <w:rsid w:val="00A82060"/>
    <w:rsid w:val="00A84B8E"/>
    <w:rsid w:val="00A86A5A"/>
    <w:rsid w:val="00A87D1C"/>
    <w:rsid w:val="00A91886"/>
    <w:rsid w:val="00A91EB0"/>
    <w:rsid w:val="00A92068"/>
    <w:rsid w:val="00A924D3"/>
    <w:rsid w:val="00A928C5"/>
    <w:rsid w:val="00A9649A"/>
    <w:rsid w:val="00A97726"/>
    <w:rsid w:val="00AA0313"/>
    <w:rsid w:val="00AA06F5"/>
    <w:rsid w:val="00AA0BEF"/>
    <w:rsid w:val="00AA1F5F"/>
    <w:rsid w:val="00AA2311"/>
    <w:rsid w:val="00AA246F"/>
    <w:rsid w:val="00AA4678"/>
    <w:rsid w:val="00AA4BE6"/>
    <w:rsid w:val="00AA5B2A"/>
    <w:rsid w:val="00AA5F5A"/>
    <w:rsid w:val="00AA61AB"/>
    <w:rsid w:val="00AA77D2"/>
    <w:rsid w:val="00AA78AE"/>
    <w:rsid w:val="00AA7EFC"/>
    <w:rsid w:val="00AB076E"/>
    <w:rsid w:val="00AB16CB"/>
    <w:rsid w:val="00AB23B5"/>
    <w:rsid w:val="00AB261B"/>
    <w:rsid w:val="00AB2F95"/>
    <w:rsid w:val="00AB334C"/>
    <w:rsid w:val="00AB40B9"/>
    <w:rsid w:val="00AB42EE"/>
    <w:rsid w:val="00AB4414"/>
    <w:rsid w:val="00AB4AE7"/>
    <w:rsid w:val="00AB4AE9"/>
    <w:rsid w:val="00AB78F3"/>
    <w:rsid w:val="00AB7C78"/>
    <w:rsid w:val="00AC1583"/>
    <w:rsid w:val="00AC2BAF"/>
    <w:rsid w:val="00AC2BCE"/>
    <w:rsid w:val="00AC3240"/>
    <w:rsid w:val="00AC3963"/>
    <w:rsid w:val="00AC4B62"/>
    <w:rsid w:val="00AC53E7"/>
    <w:rsid w:val="00AC5C87"/>
    <w:rsid w:val="00AC5EF3"/>
    <w:rsid w:val="00AC62F2"/>
    <w:rsid w:val="00AC7BC8"/>
    <w:rsid w:val="00AD38A3"/>
    <w:rsid w:val="00AD44C7"/>
    <w:rsid w:val="00AD5139"/>
    <w:rsid w:val="00AD6A6E"/>
    <w:rsid w:val="00AD7846"/>
    <w:rsid w:val="00AE03FE"/>
    <w:rsid w:val="00AE0B72"/>
    <w:rsid w:val="00AE1DDB"/>
    <w:rsid w:val="00AE33E6"/>
    <w:rsid w:val="00AE366D"/>
    <w:rsid w:val="00AE5BF1"/>
    <w:rsid w:val="00AF06F7"/>
    <w:rsid w:val="00AF1E32"/>
    <w:rsid w:val="00AF2F51"/>
    <w:rsid w:val="00AF352F"/>
    <w:rsid w:val="00AF361A"/>
    <w:rsid w:val="00AF5E49"/>
    <w:rsid w:val="00AF6F9A"/>
    <w:rsid w:val="00B0046A"/>
    <w:rsid w:val="00B00698"/>
    <w:rsid w:val="00B0118C"/>
    <w:rsid w:val="00B022EF"/>
    <w:rsid w:val="00B03AEF"/>
    <w:rsid w:val="00B04748"/>
    <w:rsid w:val="00B057A4"/>
    <w:rsid w:val="00B07D7D"/>
    <w:rsid w:val="00B1245D"/>
    <w:rsid w:val="00B13780"/>
    <w:rsid w:val="00B13D5B"/>
    <w:rsid w:val="00B14088"/>
    <w:rsid w:val="00B14F42"/>
    <w:rsid w:val="00B1543F"/>
    <w:rsid w:val="00B164D0"/>
    <w:rsid w:val="00B16D03"/>
    <w:rsid w:val="00B16E2D"/>
    <w:rsid w:val="00B203F4"/>
    <w:rsid w:val="00B233C9"/>
    <w:rsid w:val="00B2459A"/>
    <w:rsid w:val="00B25156"/>
    <w:rsid w:val="00B26AC8"/>
    <w:rsid w:val="00B302F6"/>
    <w:rsid w:val="00B30767"/>
    <w:rsid w:val="00B31C4F"/>
    <w:rsid w:val="00B33BF8"/>
    <w:rsid w:val="00B33D15"/>
    <w:rsid w:val="00B33E4C"/>
    <w:rsid w:val="00B3490E"/>
    <w:rsid w:val="00B357FA"/>
    <w:rsid w:val="00B35A6C"/>
    <w:rsid w:val="00B3692F"/>
    <w:rsid w:val="00B36C12"/>
    <w:rsid w:val="00B40048"/>
    <w:rsid w:val="00B409A6"/>
    <w:rsid w:val="00B41869"/>
    <w:rsid w:val="00B41DCE"/>
    <w:rsid w:val="00B4376E"/>
    <w:rsid w:val="00B43C4E"/>
    <w:rsid w:val="00B43D74"/>
    <w:rsid w:val="00B44371"/>
    <w:rsid w:val="00B44649"/>
    <w:rsid w:val="00B44B54"/>
    <w:rsid w:val="00B44ED5"/>
    <w:rsid w:val="00B46194"/>
    <w:rsid w:val="00B468DE"/>
    <w:rsid w:val="00B47688"/>
    <w:rsid w:val="00B478DB"/>
    <w:rsid w:val="00B47DB3"/>
    <w:rsid w:val="00B504D0"/>
    <w:rsid w:val="00B5181A"/>
    <w:rsid w:val="00B5286E"/>
    <w:rsid w:val="00B53ADB"/>
    <w:rsid w:val="00B53E18"/>
    <w:rsid w:val="00B55D89"/>
    <w:rsid w:val="00B56A35"/>
    <w:rsid w:val="00B56FCC"/>
    <w:rsid w:val="00B572CE"/>
    <w:rsid w:val="00B60478"/>
    <w:rsid w:val="00B6203D"/>
    <w:rsid w:val="00B62054"/>
    <w:rsid w:val="00B651A8"/>
    <w:rsid w:val="00B657AB"/>
    <w:rsid w:val="00B65E46"/>
    <w:rsid w:val="00B662DD"/>
    <w:rsid w:val="00B66554"/>
    <w:rsid w:val="00B66AB5"/>
    <w:rsid w:val="00B66C00"/>
    <w:rsid w:val="00B6738D"/>
    <w:rsid w:val="00B70A95"/>
    <w:rsid w:val="00B70D49"/>
    <w:rsid w:val="00B712DC"/>
    <w:rsid w:val="00B714B1"/>
    <w:rsid w:val="00B74397"/>
    <w:rsid w:val="00B778D8"/>
    <w:rsid w:val="00B77E7F"/>
    <w:rsid w:val="00B77FBD"/>
    <w:rsid w:val="00B80C11"/>
    <w:rsid w:val="00B81161"/>
    <w:rsid w:val="00B81AEF"/>
    <w:rsid w:val="00B82F08"/>
    <w:rsid w:val="00B852FA"/>
    <w:rsid w:val="00B861C4"/>
    <w:rsid w:val="00B86CA7"/>
    <w:rsid w:val="00B8764D"/>
    <w:rsid w:val="00B87E0A"/>
    <w:rsid w:val="00B87E71"/>
    <w:rsid w:val="00B87F3D"/>
    <w:rsid w:val="00B90432"/>
    <w:rsid w:val="00B90876"/>
    <w:rsid w:val="00B9110B"/>
    <w:rsid w:val="00B91274"/>
    <w:rsid w:val="00B91293"/>
    <w:rsid w:val="00B948CC"/>
    <w:rsid w:val="00B955A3"/>
    <w:rsid w:val="00B95F85"/>
    <w:rsid w:val="00B95FDE"/>
    <w:rsid w:val="00B9621A"/>
    <w:rsid w:val="00B974D5"/>
    <w:rsid w:val="00B97EF2"/>
    <w:rsid w:val="00BA296B"/>
    <w:rsid w:val="00BA373B"/>
    <w:rsid w:val="00BA53C0"/>
    <w:rsid w:val="00BA56AF"/>
    <w:rsid w:val="00BA6DF7"/>
    <w:rsid w:val="00BA74E2"/>
    <w:rsid w:val="00BA75AA"/>
    <w:rsid w:val="00BB016F"/>
    <w:rsid w:val="00BB0E66"/>
    <w:rsid w:val="00BB1429"/>
    <w:rsid w:val="00BB2336"/>
    <w:rsid w:val="00BB2C64"/>
    <w:rsid w:val="00BB3914"/>
    <w:rsid w:val="00BB62CB"/>
    <w:rsid w:val="00BB6EF9"/>
    <w:rsid w:val="00BB7A07"/>
    <w:rsid w:val="00BB7E21"/>
    <w:rsid w:val="00BC0423"/>
    <w:rsid w:val="00BC1EED"/>
    <w:rsid w:val="00BC1F9A"/>
    <w:rsid w:val="00BC2865"/>
    <w:rsid w:val="00BC326C"/>
    <w:rsid w:val="00BC3D77"/>
    <w:rsid w:val="00BC4113"/>
    <w:rsid w:val="00BC4AB4"/>
    <w:rsid w:val="00BC53BF"/>
    <w:rsid w:val="00BC54A3"/>
    <w:rsid w:val="00BC59DD"/>
    <w:rsid w:val="00BC75EB"/>
    <w:rsid w:val="00BD1F0C"/>
    <w:rsid w:val="00BD24BC"/>
    <w:rsid w:val="00BD30D6"/>
    <w:rsid w:val="00BD5EC8"/>
    <w:rsid w:val="00BD7BDD"/>
    <w:rsid w:val="00BE0573"/>
    <w:rsid w:val="00BE07E1"/>
    <w:rsid w:val="00BE2B1E"/>
    <w:rsid w:val="00BE3387"/>
    <w:rsid w:val="00BE4579"/>
    <w:rsid w:val="00BE4A0A"/>
    <w:rsid w:val="00BE7AEF"/>
    <w:rsid w:val="00BF01AD"/>
    <w:rsid w:val="00BF04DE"/>
    <w:rsid w:val="00BF2CD9"/>
    <w:rsid w:val="00BF4BC5"/>
    <w:rsid w:val="00BF5282"/>
    <w:rsid w:val="00BF5530"/>
    <w:rsid w:val="00BF5A82"/>
    <w:rsid w:val="00BF5E4A"/>
    <w:rsid w:val="00BF7617"/>
    <w:rsid w:val="00BF7C7F"/>
    <w:rsid w:val="00C00315"/>
    <w:rsid w:val="00C00587"/>
    <w:rsid w:val="00C00CFA"/>
    <w:rsid w:val="00C01291"/>
    <w:rsid w:val="00C01330"/>
    <w:rsid w:val="00C03F3A"/>
    <w:rsid w:val="00C0565F"/>
    <w:rsid w:val="00C0660F"/>
    <w:rsid w:val="00C07C50"/>
    <w:rsid w:val="00C10055"/>
    <w:rsid w:val="00C10C63"/>
    <w:rsid w:val="00C11986"/>
    <w:rsid w:val="00C126B6"/>
    <w:rsid w:val="00C1376E"/>
    <w:rsid w:val="00C139C0"/>
    <w:rsid w:val="00C13D94"/>
    <w:rsid w:val="00C13F4F"/>
    <w:rsid w:val="00C17214"/>
    <w:rsid w:val="00C2087A"/>
    <w:rsid w:val="00C20B5B"/>
    <w:rsid w:val="00C22350"/>
    <w:rsid w:val="00C232E4"/>
    <w:rsid w:val="00C2368E"/>
    <w:rsid w:val="00C242B7"/>
    <w:rsid w:val="00C24638"/>
    <w:rsid w:val="00C247B1"/>
    <w:rsid w:val="00C24A9C"/>
    <w:rsid w:val="00C27798"/>
    <w:rsid w:val="00C3030E"/>
    <w:rsid w:val="00C315DE"/>
    <w:rsid w:val="00C31A8C"/>
    <w:rsid w:val="00C31CA0"/>
    <w:rsid w:val="00C32150"/>
    <w:rsid w:val="00C3328A"/>
    <w:rsid w:val="00C3441C"/>
    <w:rsid w:val="00C349C9"/>
    <w:rsid w:val="00C404B0"/>
    <w:rsid w:val="00C40FC6"/>
    <w:rsid w:val="00C42FB3"/>
    <w:rsid w:val="00C43555"/>
    <w:rsid w:val="00C44FDA"/>
    <w:rsid w:val="00C457A8"/>
    <w:rsid w:val="00C45F4A"/>
    <w:rsid w:val="00C460C0"/>
    <w:rsid w:val="00C46597"/>
    <w:rsid w:val="00C46B07"/>
    <w:rsid w:val="00C4748A"/>
    <w:rsid w:val="00C502E7"/>
    <w:rsid w:val="00C5117F"/>
    <w:rsid w:val="00C51302"/>
    <w:rsid w:val="00C51322"/>
    <w:rsid w:val="00C522A7"/>
    <w:rsid w:val="00C539CA"/>
    <w:rsid w:val="00C57217"/>
    <w:rsid w:val="00C57E2A"/>
    <w:rsid w:val="00C61797"/>
    <w:rsid w:val="00C642C8"/>
    <w:rsid w:val="00C6523D"/>
    <w:rsid w:val="00C66150"/>
    <w:rsid w:val="00C664D2"/>
    <w:rsid w:val="00C667F9"/>
    <w:rsid w:val="00C675FB"/>
    <w:rsid w:val="00C708ED"/>
    <w:rsid w:val="00C722BA"/>
    <w:rsid w:val="00C74856"/>
    <w:rsid w:val="00C768BD"/>
    <w:rsid w:val="00C76B26"/>
    <w:rsid w:val="00C7750C"/>
    <w:rsid w:val="00C77E25"/>
    <w:rsid w:val="00C81291"/>
    <w:rsid w:val="00C81A0C"/>
    <w:rsid w:val="00C81C8C"/>
    <w:rsid w:val="00C83AA7"/>
    <w:rsid w:val="00C83D87"/>
    <w:rsid w:val="00C83DBC"/>
    <w:rsid w:val="00C84480"/>
    <w:rsid w:val="00C844D2"/>
    <w:rsid w:val="00C847BC"/>
    <w:rsid w:val="00C84A9F"/>
    <w:rsid w:val="00C84AF6"/>
    <w:rsid w:val="00C85365"/>
    <w:rsid w:val="00C85B1C"/>
    <w:rsid w:val="00C862BF"/>
    <w:rsid w:val="00C862FF"/>
    <w:rsid w:val="00C86322"/>
    <w:rsid w:val="00C865DD"/>
    <w:rsid w:val="00C86F2E"/>
    <w:rsid w:val="00C86F6B"/>
    <w:rsid w:val="00C90100"/>
    <w:rsid w:val="00C90C41"/>
    <w:rsid w:val="00C920CC"/>
    <w:rsid w:val="00C92D52"/>
    <w:rsid w:val="00C92FF8"/>
    <w:rsid w:val="00C962F2"/>
    <w:rsid w:val="00C966B9"/>
    <w:rsid w:val="00C9686E"/>
    <w:rsid w:val="00C972EC"/>
    <w:rsid w:val="00CA212C"/>
    <w:rsid w:val="00CA2F45"/>
    <w:rsid w:val="00CA3287"/>
    <w:rsid w:val="00CA595D"/>
    <w:rsid w:val="00CA5CD7"/>
    <w:rsid w:val="00CA6470"/>
    <w:rsid w:val="00CA701A"/>
    <w:rsid w:val="00CA764A"/>
    <w:rsid w:val="00CA794D"/>
    <w:rsid w:val="00CA7DFC"/>
    <w:rsid w:val="00CB0445"/>
    <w:rsid w:val="00CB2B86"/>
    <w:rsid w:val="00CB4F26"/>
    <w:rsid w:val="00CB5088"/>
    <w:rsid w:val="00CB6402"/>
    <w:rsid w:val="00CB75A5"/>
    <w:rsid w:val="00CB7F68"/>
    <w:rsid w:val="00CC1142"/>
    <w:rsid w:val="00CC190C"/>
    <w:rsid w:val="00CC3A2E"/>
    <w:rsid w:val="00CC42A8"/>
    <w:rsid w:val="00CC5A95"/>
    <w:rsid w:val="00CC67CD"/>
    <w:rsid w:val="00CC7826"/>
    <w:rsid w:val="00CD1731"/>
    <w:rsid w:val="00CD1D91"/>
    <w:rsid w:val="00CD2F6B"/>
    <w:rsid w:val="00CD3176"/>
    <w:rsid w:val="00CD3D09"/>
    <w:rsid w:val="00CD65BD"/>
    <w:rsid w:val="00CE0192"/>
    <w:rsid w:val="00CE13A1"/>
    <w:rsid w:val="00CE3054"/>
    <w:rsid w:val="00CE3518"/>
    <w:rsid w:val="00CE4758"/>
    <w:rsid w:val="00CE4821"/>
    <w:rsid w:val="00CE770E"/>
    <w:rsid w:val="00CF093A"/>
    <w:rsid w:val="00CF0B51"/>
    <w:rsid w:val="00CF2E50"/>
    <w:rsid w:val="00CF39CC"/>
    <w:rsid w:val="00CF44BC"/>
    <w:rsid w:val="00CF5DC3"/>
    <w:rsid w:val="00CF5DC8"/>
    <w:rsid w:val="00CF6384"/>
    <w:rsid w:val="00CF7D3E"/>
    <w:rsid w:val="00D00922"/>
    <w:rsid w:val="00D01C13"/>
    <w:rsid w:val="00D0228F"/>
    <w:rsid w:val="00D0289F"/>
    <w:rsid w:val="00D03A3D"/>
    <w:rsid w:val="00D0442D"/>
    <w:rsid w:val="00D047BE"/>
    <w:rsid w:val="00D06174"/>
    <w:rsid w:val="00D06428"/>
    <w:rsid w:val="00D0642F"/>
    <w:rsid w:val="00D0677F"/>
    <w:rsid w:val="00D130E2"/>
    <w:rsid w:val="00D13C37"/>
    <w:rsid w:val="00D14008"/>
    <w:rsid w:val="00D1751A"/>
    <w:rsid w:val="00D2044F"/>
    <w:rsid w:val="00D2045F"/>
    <w:rsid w:val="00D20D2F"/>
    <w:rsid w:val="00D22879"/>
    <w:rsid w:val="00D252D6"/>
    <w:rsid w:val="00D30FE7"/>
    <w:rsid w:val="00D314D7"/>
    <w:rsid w:val="00D31BA1"/>
    <w:rsid w:val="00D31F0E"/>
    <w:rsid w:val="00D32C1E"/>
    <w:rsid w:val="00D3401E"/>
    <w:rsid w:val="00D346C4"/>
    <w:rsid w:val="00D349EB"/>
    <w:rsid w:val="00D35D80"/>
    <w:rsid w:val="00D363F7"/>
    <w:rsid w:val="00D4056C"/>
    <w:rsid w:val="00D40C0C"/>
    <w:rsid w:val="00D40F64"/>
    <w:rsid w:val="00D40FD1"/>
    <w:rsid w:val="00D431E6"/>
    <w:rsid w:val="00D43C43"/>
    <w:rsid w:val="00D444E3"/>
    <w:rsid w:val="00D44F56"/>
    <w:rsid w:val="00D460AF"/>
    <w:rsid w:val="00D466F8"/>
    <w:rsid w:val="00D46F54"/>
    <w:rsid w:val="00D5135C"/>
    <w:rsid w:val="00D514B6"/>
    <w:rsid w:val="00D51883"/>
    <w:rsid w:val="00D51ECA"/>
    <w:rsid w:val="00D5350E"/>
    <w:rsid w:val="00D54805"/>
    <w:rsid w:val="00D551CB"/>
    <w:rsid w:val="00D552CC"/>
    <w:rsid w:val="00D55501"/>
    <w:rsid w:val="00D55829"/>
    <w:rsid w:val="00D569BF"/>
    <w:rsid w:val="00D60121"/>
    <w:rsid w:val="00D6064E"/>
    <w:rsid w:val="00D62B3F"/>
    <w:rsid w:val="00D64FDD"/>
    <w:rsid w:val="00D7212D"/>
    <w:rsid w:val="00D73B9C"/>
    <w:rsid w:val="00D742BD"/>
    <w:rsid w:val="00D74EC7"/>
    <w:rsid w:val="00D77D42"/>
    <w:rsid w:val="00D80262"/>
    <w:rsid w:val="00D81777"/>
    <w:rsid w:val="00D8221A"/>
    <w:rsid w:val="00D825C2"/>
    <w:rsid w:val="00D8334A"/>
    <w:rsid w:val="00D83890"/>
    <w:rsid w:val="00D85090"/>
    <w:rsid w:val="00D869D5"/>
    <w:rsid w:val="00D87CF1"/>
    <w:rsid w:val="00D90E74"/>
    <w:rsid w:val="00D9347B"/>
    <w:rsid w:val="00D934F3"/>
    <w:rsid w:val="00D94B14"/>
    <w:rsid w:val="00D9603D"/>
    <w:rsid w:val="00D97CF6"/>
    <w:rsid w:val="00D97F3C"/>
    <w:rsid w:val="00DA19C1"/>
    <w:rsid w:val="00DA22C0"/>
    <w:rsid w:val="00DA4A1B"/>
    <w:rsid w:val="00DA5444"/>
    <w:rsid w:val="00DA5658"/>
    <w:rsid w:val="00DA579F"/>
    <w:rsid w:val="00DA7A9D"/>
    <w:rsid w:val="00DA7B8B"/>
    <w:rsid w:val="00DB026B"/>
    <w:rsid w:val="00DB03EB"/>
    <w:rsid w:val="00DB1C99"/>
    <w:rsid w:val="00DB2628"/>
    <w:rsid w:val="00DB29EC"/>
    <w:rsid w:val="00DB2B44"/>
    <w:rsid w:val="00DB2E16"/>
    <w:rsid w:val="00DB3FBC"/>
    <w:rsid w:val="00DB411F"/>
    <w:rsid w:val="00DB433C"/>
    <w:rsid w:val="00DB46A1"/>
    <w:rsid w:val="00DB4C13"/>
    <w:rsid w:val="00DB5D7A"/>
    <w:rsid w:val="00DB623A"/>
    <w:rsid w:val="00DB62EF"/>
    <w:rsid w:val="00DC0F46"/>
    <w:rsid w:val="00DC1399"/>
    <w:rsid w:val="00DC22B3"/>
    <w:rsid w:val="00DC2F4B"/>
    <w:rsid w:val="00DC3354"/>
    <w:rsid w:val="00DC4359"/>
    <w:rsid w:val="00DC57CA"/>
    <w:rsid w:val="00DC5C5A"/>
    <w:rsid w:val="00DC60DD"/>
    <w:rsid w:val="00DC6BCB"/>
    <w:rsid w:val="00DC7135"/>
    <w:rsid w:val="00DD0E44"/>
    <w:rsid w:val="00DD1B91"/>
    <w:rsid w:val="00DD27D4"/>
    <w:rsid w:val="00DD2CA0"/>
    <w:rsid w:val="00DD4977"/>
    <w:rsid w:val="00DD4FFB"/>
    <w:rsid w:val="00DD632F"/>
    <w:rsid w:val="00DD7913"/>
    <w:rsid w:val="00DE0075"/>
    <w:rsid w:val="00DE016C"/>
    <w:rsid w:val="00DE066D"/>
    <w:rsid w:val="00DE1181"/>
    <w:rsid w:val="00DE340B"/>
    <w:rsid w:val="00DE3471"/>
    <w:rsid w:val="00DE3BFC"/>
    <w:rsid w:val="00DE5722"/>
    <w:rsid w:val="00DE5E5C"/>
    <w:rsid w:val="00DE5EDA"/>
    <w:rsid w:val="00DE77F9"/>
    <w:rsid w:val="00DF0B1B"/>
    <w:rsid w:val="00DF1144"/>
    <w:rsid w:val="00DF1413"/>
    <w:rsid w:val="00DF2191"/>
    <w:rsid w:val="00DF2B0F"/>
    <w:rsid w:val="00DF388B"/>
    <w:rsid w:val="00DF3AC0"/>
    <w:rsid w:val="00DF3C71"/>
    <w:rsid w:val="00DF4746"/>
    <w:rsid w:val="00DF5411"/>
    <w:rsid w:val="00DF7B29"/>
    <w:rsid w:val="00E00173"/>
    <w:rsid w:val="00E00953"/>
    <w:rsid w:val="00E016AA"/>
    <w:rsid w:val="00E0207D"/>
    <w:rsid w:val="00E02A3E"/>
    <w:rsid w:val="00E0357A"/>
    <w:rsid w:val="00E03627"/>
    <w:rsid w:val="00E04F8F"/>
    <w:rsid w:val="00E058FB"/>
    <w:rsid w:val="00E06230"/>
    <w:rsid w:val="00E06938"/>
    <w:rsid w:val="00E06B37"/>
    <w:rsid w:val="00E1092D"/>
    <w:rsid w:val="00E111E4"/>
    <w:rsid w:val="00E11C6D"/>
    <w:rsid w:val="00E134BC"/>
    <w:rsid w:val="00E14106"/>
    <w:rsid w:val="00E143F6"/>
    <w:rsid w:val="00E144C6"/>
    <w:rsid w:val="00E147B8"/>
    <w:rsid w:val="00E148CE"/>
    <w:rsid w:val="00E14BA6"/>
    <w:rsid w:val="00E14D69"/>
    <w:rsid w:val="00E150D0"/>
    <w:rsid w:val="00E1529A"/>
    <w:rsid w:val="00E15563"/>
    <w:rsid w:val="00E15F36"/>
    <w:rsid w:val="00E16922"/>
    <w:rsid w:val="00E1779F"/>
    <w:rsid w:val="00E20442"/>
    <w:rsid w:val="00E20BEA"/>
    <w:rsid w:val="00E21AF1"/>
    <w:rsid w:val="00E22529"/>
    <w:rsid w:val="00E239ED"/>
    <w:rsid w:val="00E23E4F"/>
    <w:rsid w:val="00E2546F"/>
    <w:rsid w:val="00E25FBE"/>
    <w:rsid w:val="00E262FA"/>
    <w:rsid w:val="00E26994"/>
    <w:rsid w:val="00E27020"/>
    <w:rsid w:val="00E31825"/>
    <w:rsid w:val="00E33522"/>
    <w:rsid w:val="00E3483E"/>
    <w:rsid w:val="00E3674B"/>
    <w:rsid w:val="00E36AB2"/>
    <w:rsid w:val="00E37F43"/>
    <w:rsid w:val="00E40328"/>
    <w:rsid w:val="00E4215A"/>
    <w:rsid w:val="00E42F11"/>
    <w:rsid w:val="00E44050"/>
    <w:rsid w:val="00E445AF"/>
    <w:rsid w:val="00E46385"/>
    <w:rsid w:val="00E46E0E"/>
    <w:rsid w:val="00E479CB"/>
    <w:rsid w:val="00E51104"/>
    <w:rsid w:val="00E51426"/>
    <w:rsid w:val="00E537A4"/>
    <w:rsid w:val="00E5391A"/>
    <w:rsid w:val="00E54AE9"/>
    <w:rsid w:val="00E54BE8"/>
    <w:rsid w:val="00E55D1E"/>
    <w:rsid w:val="00E60E90"/>
    <w:rsid w:val="00E62CC0"/>
    <w:rsid w:val="00E6301B"/>
    <w:rsid w:val="00E64C9D"/>
    <w:rsid w:val="00E67064"/>
    <w:rsid w:val="00E7148E"/>
    <w:rsid w:val="00E71B66"/>
    <w:rsid w:val="00E71F61"/>
    <w:rsid w:val="00E739DD"/>
    <w:rsid w:val="00E73E49"/>
    <w:rsid w:val="00E767EF"/>
    <w:rsid w:val="00E8165C"/>
    <w:rsid w:val="00E81A84"/>
    <w:rsid w:val="00E81C45"/>
    <w:rsid w:val="00E83215"/>
    <w:rsid w:val="00E836D3"/>
    <w:rsid w:val="00E83DC0"/>
    <w:rsid w:val="00E8413A"/>
    <w:rsid w:val="00E84A24"/>
    <w:rsid w:val="00E85550"/>
    <w:rsid w:val="00E86FB3"/>
    <w:rsid w:val="00E876C4"/>
    <w:rsid w:val="00E90323"/>
    <w:rsid w:val="00E91D79"/>
    <w:rsid w:val="00E92B26"/>
    <w:rsid w:val="00E92E24"/>
    <w:rsid w:val="00E93465"/>
    <w:rsid w:val="00E93A80"/>
    <w:rsid w:val="00E93E08"/>
    <w:rsid w:val="00E94DB0"/>
    <w:rsid w:val="00E956A9"/>
    <w:rsid w:val="00E9652A"/>
    <w:rsid w:val="00E96B0A"/>
    <w:rsid w:val="00E973F9"/>
    <w:rsid w:val="00E9781E"/>
    <w:rsid w:val="00E97CEF"/>
    <w:rsid w:val="00EA02F9"/>
    <w:rsid w:val="00EA0577"/>
    <w:rsid w:val="00EA0D3F"/>
    <w:rsid w:val="00EA0F81"/>
    <w:rsid w:val="00EA1C60"/>
    <w:rsid w:val="00EA29BB"/>
    <w:rsid w:val="00EA42A3"/>
    <w:rsid w:val="00EA4329"/>
    <w:rsid w:val="00EA47EE"/>
    <w:rsid w:val="00EA4B80"/>
    <w:rsid w:val="00EA4CA0"/>
    <w:rsid w:val="00EA5A8F"/>
    <w:rsid w:val="00EA7814"/>
    <w:rsid w:val="00EB0591"/>
    <w:rsid w:val="00EB0DAC"/>
    <w:rsid w:val="00EB1441"/>
    <w:rsid w:val="00EB23EB"/>
    <w:rsid w:val="00EB4A40"/>
    <w:rsid w:val="00EB6B0F"/>
    <w:rsid w:val="00EC0686"/>
    <w:rsid w:val="00EC0B7B"/>
    <w:rsid w:val="00EC0E10"/>
    <w:rsid w:val="00EC2563"/>
    <w:rsid w:val="00EC36CF"/>
    <w:rsid w:val="00EC480C"/>
    <w:rsid w:val="00EC5C8C"/>
    <w:rsid w:val="00EC65D3"/>
    <w:rsid w:val="00ED08B1"/>
    <w:rsid w:val="00ED1159"/>
    <w:rsid w:val="00ED178E"/>
    <w:rsid w:val="00ED26E1"/>
    <w:rsid w:val="00ED3295"/>
    <w:rsid w:val="00ED53B2"/>
    <w:rsid w:val="00ED5ED8"/>
    <w:rsid w:val="00ED6664"/>
    <w:rsid w:val="00ED6F77"/>
    <w:rsid w:val="00ED7A2E"/>
    <w:rsid w:val="00EE0540"/>
    <w:rsid w:val="00EE1983"/>
    <w:rsid w:val="00EE1A69"/>
    <w:rsid w:val="00EE250C"/>
    <w:rsid w:val="00EE32AB"/>
    <w:rsid w:val="00EE3F81"/>
    <w:rsid w:val="00EE3FCA"/>
    <w:rsid w:val="00EE5401"/>
    <w:rsid w:val="00EE7340"/>
    <w:rsid w:val="00EE763D"/>
    <w:rsid w:val="00EE78C5"/>
    <w:rsid w:val="00EE797A"/>
    <w:rsid w:val="00EF073A"/>
    <w:rsid w:val="00EF0E7A"/>
    <w:rsid w:val="00EF1446"/>
    <w:rsid w:val="00EF32CA"/>
    <w:rsid w:val="00EF3478"/>
    <w:rsid w:val="00EF3489"/>
    <w:rsid w:val="00EF38B4"/>
    <w:rsid w:val="00EF4022"/>
    <w:rsid w:val="00EF6472"/>
    <w:rsid w:val="00EF6DA7"/>
    <w:rsid w:val="00EF70CB"/>
    <w:rsid w:val="00F01A0D"/>
    <w:rsid w:val="00F03711"/>
    <w:rsid w:val="00F03AE9"/>
    <w:rsid w:val="00F0419E"/>
    <w:rsid w:val="00F0439C"/>
    <w:rsid w:val="00F04D03"/>
    <w:rsid w:val="00F105D9"/>
    <w:rsid w:val="00F1081E"/>
    <w:rsid w:val="00F110B5"/>
    <w:rsid w:val="00F11131"/>
    <w:rsid w:val="00F11E99"/>
    <w:rsid w:val="00F12580"/>
    <w:rsid w:val="00F1265A"/>
    <w:rsid w:val="00F13BCB"/>
    <w:rsid w:val="00F145D9"/>
    <w:rsid w:val="00F14A61"/>
    <w:rsid w:val="00F15069"/>
    <w:rsid w:val="00F165AE"/>
    <w:rsid w:val="00F16682"/>
    <w:rsid w:val="00F1735A"/>
    <w:rsid w:val="00F17DD3"/>
    <w:rsid w:val="00F17E04"/>
    <w:rsid w:val="00F20305"/>
    <w:rsid w:val="00F20BD3"/>
    <w:rsid w:val="00F217A2"/>
    <w:rsid w:val="00F21DC9"/>
    <w:rsid w:val="00F2214F"/>
    <w:rsid w:val="00F221B8"/>
    <w:rsid w:val="00F247AB"/>
    <w:rsid w:val="00F258A6"/>
    <w:rsid w:val="00F26E0D"/>
    <w:rsid w:val="00F27628"/>
    <w:rsid w:val="00F27B1B"/>
    <w:rsid w:val="00F30078"/>
    <w:rsid w:val="00F30554"/>
    <w:rsid w:val="00F319A0"/>
    <w:rsid w:val="00F324F0"/>
    <w:rsid w:val="00F32C51"/>
    <w:rsid w:val="00F37152"/>
    <w:rsid w:val="00F375AE"/>
    <w:rsid w:val="00F404C7"/>
    <w:rsid w:val="00F40C0C"/>
    <w:rsid w:val="00F416EF"/>
    <w:rsid w:val="00F41B6F"/>
    <w:rsid w:val="00F4306B"/>
    <w:rsid w:val="00F44A0F"/>
    <w:rsid w:val="00F44D5A"/>
    <w:rsid w:val="00F45031"/>
    <w:rsid w:val="00F461FC"/>
    <w:rsid w:val="00F46883"/>
    <w:rsid w:val="00F47FF9"/>
    <w:rsid w:val="00F50E52"/>
    <w:rsid w:val="00F53316"/>
    <w:rsid w:val="00F57E48"/>
    <w:rsid w:val="00F605F7"/>
    <w:rsid w:val="00F6118C"/>
    <w:rsid w:val="00F63ECF"/>
    <w:rsid w:val="00F64312"/>
    <w:rsid w:val="00F64D69"/>
    <w:rsid w:val="00F66CA6"/>
    <w:rsid w:val="00F67DF2"/>
    <w:rsid w:val="00F701E1"/>
    <w:rsid w:val="00F70602"/>
    <w:rsid w:val="00F706CC"/>
    <w:rsid w:val="00F72AA6"/>
    <w:rsid w:val="00F72FB5"/>
    <w:rsid w:val="00F73CF5"/>
    <w:rsid w:val="00F75C94"/>
    <w:rsid w:val="00F7639E"/>
    <w:rsid w:val="00F77D8A"/>
    <w:rsid w:val="00F80B26"/>
    <w:rsid w:val="00F8253D"/>
    <w:rsid w:val="00F8256B"/>
    <w:rsid w:val="00F82BA2"/>
    <w:rsid w:val="00F82CAC"/>
    <w:rsid w:val="00F83CD0"/>
    <w:rsid w:val="00F83E77"/>
    <w:rsid w:val="00F84778"/>
    <w:rsid w:val="00F85240"/>
    <w:rsid w:val="00F86F29"/>
    <w:rsid w:val="00F87D69"/>
    <w:rsid w:val="00F87F56"/>
    <w:rsid w:val="00F90030"/>
    <w:rsid w:val="00F92B94"/>
    <w:rsid w:val="00F95842"/>
    <w:rsid w:val="00F9617C"/>
    <w:rsid w:val="00F96EB9"/>
    <w:rsid w:val="00F9716A"/>
    <w:rsid w:val="00F978ED"/>
    <w:rsid w:val="00FA0F96"/>
    <w:rsid w:val="00FA1E50"/>
    <w:rsid w:val="00FA1F4D"/>
    <w:rsid w:val="00FA2A7E"/>
    <w:rsid w:val="00FA2DC1"/>
    <w:rsid w:val="00FA4BAC"/>
    <w:rsid w:val="00FA5B38"/>
    <w:rsid w:val="00FA7C40"/>
    <w:rsid w:val="00FB0C43"/>
    <w:rsid w:val="00FB382D"/>
    <w:rsid w:val="00FB45C9"/>
    <w:rsid w:val="00FB52C5"/>
    <w:rsid w:val="00FB580A"/>
    <w:rsid w:val="00FB59CA"/>
    <w:rsid w:val="00FB5AFF"/>
    <w:rsid w:val="00FB5B38"/>
    <w:rsid w:val="00FB5D3D"/>
    <w:rsid w:val="00FC11F5"/>
    <w:rsid w:val="00FC1956"/>
    <w:rsid w:val="00FC2009"/>
    <w:rsid w:val="00FC20FE"/>
    <w:rsid w:val="00FC3A0E"/>
    <w:rsid w:val="00FC3E30"/>
    <w:rsid w:val="00FC55CF"/>
    <w:rsid w:val="00FC591C"/>
    <w:rsid w:val="00FC6881"/>
    <w:rsid w:val="00FD1C44"/>
    <w:rsid w:val="00FD26F6"/>
    <w:rsid w:val="00FD2D68"/>
    <w:rsid w:val="00FD3019"/>
    <w:rsid w:val="00FD34CB"/>
    <w:rsid w:val="00FD5B8B"/>
    <w:rsid w:val="00FD6577"/>
    <w:rsid w:val="00FD6992"/>
    <w:rsid w:val="00FD7707"/>
    <w:rsid w:val="00FE02E6"/>
    <w:rsid w:val="00FE0726"/>
    <w:rsid w:val="00FE0C8C"/>
    <w:rsid w:val="00FE0EA0"/>
    <w:rsid w:val="00FE1F40"/>
    <w:rsid w:val="00FE3747"/>
    <w:rsid w:val="00FE41FF"/>
    <w:rsid w:val="00FE4591"/>
    <w:rsid w:val="00FE4EE4"/>
    <w:rsid w:val="00FE5902"/>
    <w:rsid w:val="00FE6A1C"/>
    <w:rsid w:val="00FE7871"/>
    <w:rsid w:val="00FF08BA"/>
    <w:rsid w:val="00FF0D37"/>
    <w:rsid w:val="00FF1D4B"/>
    <w:rsid w:val="00FF4765"/>
    <w:rsid w:val="00FF4DD4"/>
    <w:rsid w:val="00FF4F16"/>
    <w:rsid w:val="00FF5F32"/>
    <w:rsid w:val="00FF69A9"/>
    <w:rsid w:val="00FF69EF"/>
    <w:rsid w:val="00FF69FC"/>
    <w:rsid w:val="00FF6E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6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9E"/>
    <w:pPr>
      <w:spacing w:line="360" w:lineRule="auto"/>
      <w:ind w:firstLine="720"/>
      <w:jc w:val="both"/>
    </w:pPr>
    <w:rPr>
      <w:rFonts w:ascii="Times New Roman" w:hAnsi="Times New Roman"/>
      <w:lang w:val="cs-CZ"/>
    </w:rPr>
  </w:style>
  <w:style w:type="paragraph" w:styleId="Heading1">
    <w:name w:val="heading 1"/>
    <w:basedOn w:val="Normal"/>
    <w:next w:val="Normal"/>
    <w:link w:val="Heading1Char"/>
    <w:autoRedefine/>
    <w:uiPriority w:val="9"/>
    <w:qFormat/>
    <w:rsid w:val="00DF1144"/>
    <w:pPr>
      <w:keepNext/>
      <w:keepLines/>
      <w:numPr>
        <w:numId w:val="16"/>
      </w:numPr>
      <w:spacing w:before="240"/>
      <w:outlineLvl w:val="0"/>
    </w:pPr>
    <w:rPr>
      <w:rFonts w:eastAsiaTheme="majorEastAsia" w:cs="Times New Roman"/>
      <w:b/>
      <w:color w:val="000000" w:themeColor="text1"/>
      <w:sz w:val="32"/>
      <w:szCs w:val="32"/>
    </w:rPr>
  </w:style>
  <w:style w:type="paragraph" w:styleId="Heading2">
    <w:name w:val="heading 2"/>
    <w:basedOn w:val="Normal"/>
    <w:next w:val="Normal"/>
    <w:link w:val="Heading2Char"/>
    <w:autoRedefine/>
    <w:uiPriority w:val="9"/>
    <w:unhideWhenUsed/>
    <w:qFormat/>
    <w:rsid w:val="00DC0F46"/>
    <w:pPr>
      <w:keepNext/>
      <w:keepLines/>
      <w:numPr>
        <w:ilvl w:val="1"/>
        <w:numId w:val="16"/>
      </w:numPr>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DC0F46"/>
    <w:pPr>
      <w:keepNext/>
      <w:keepLines/>
      <w:numPr>
        <w:ilvl w:val="2"/>
        <w:numId w:val="16"/>
      </w:numPr>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DC0F46"/>
    <w:pPr>
      <w:keepNext/>
      <w:keepLines/>
      <w:numPr>
        <w:ilvl w:val="3"/>
        <w:numId w:val="16"/>
      </w:numPr>
      <w:spacing w:before="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696A6A"/>
    <w:pPr>
      <w:keepNext/>
      <w:keepLines/>
      <w:numPr>
        <w:ilvl w:val="4"/>
        <w:numId w:val="16"/>
      </w:numPr>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696A6A"/>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6A6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A6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A6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40D95"/>
    <w:pPr>
      <w:spacing w:line="240" w:lineRule="auto"/>
      <w:ind w:firstLine="0"/>
    </w:pPr>
    <w:rPr>
      <w:sz w:val="20"/>
    </w:rPr>
  </w:style>
  <w:style w:type="character" w:customStyle="1" w:styleId="Heading1Char">
    <w:name w:val="Heading 1 Char"/>
    <w:basedOn w:val="DefaultParagraphFont"/>
    <w:link w:val="Heading1"/>
    <w:uiPriority w:val="9"/>
    <w:rsid w:val="00DF1144"/>
    <w:rPr>
      <w:rFonts w:ascii="Times New Roman" w:eastAsiaTheme="majorEastAsia" w:hAnsi="Times New Roman" w:cs="Times New Roman"/>
      <w:b/>
      <w:color w:val="000000" w:themeColor="text1"/>
      <w:sz w:val="32"/>
      <w:szCs w:val="32"/>
      <w:lang w:val="cs-CZ"/>
    </w:rPr>
  </w:style>
  <w:style w:type="character" w:customStyle="1" w:styleId="Heading2Char">
    <w:name w:val="Heading 2 Char"/>
    <w:basedOn w:val="DefaultParagraphFont"/>
    <w:link w:val="Heading2"/>
    <w:uiPriority w:val="9"/>
    <w:rsid w:val="00DC0F46"/>
    <w:rPr>
      <w:rFonts w:ascii="Times New Roman" w:eastAsiaTheme="majorEastAsia" w:hAnsi="Times New Roman" w:cstheme="majorBidi"/>
      <w:b/>
      <w:color w:val="000000" w:themeColor="text1"/>
      <w:sz w:val="28"/>
      <w:szCs w:val="26"/>
      <w:lang w:val="cs-CZ"/>
    </w:rPr>
  </w:style>
  <w:style w:type="paragraph" w:styleId="Title">
    <w:name w:val="Title"/>
    <w:basedOn w:val="Normal"/>
    <w:next w:val="Normal"/>
    <w:link w:val="TitleChar"/>
    <w:uiPriority w:val="10"/>
    <w:qFormat/>
    <w:rsid w:val="0024239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39E"/>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24239E"/>
    <w:pPr>
      <w:spacing w:line="240" w:lineRule="auto"/>
    </w:pPr>
  </w:style>
  <w:style w:type="character" w:customStyle="1" w:styleId="Heading3Char">
    <w:name w:val="Heading 3 Char"/>
    <w:basedOn w:val="DefaultParagraphFont"/>
    <w:link w:val="Heading3"/>
    <w:uiPriority w:val="9"/>
    <w:rsid w:val="00DC0F46"/>
    <w:rPr>
      <w:rFonts w:ascii="Times New Roman" w:eastAsiaTheme="majorEastAsia" w:hAnsi="Times New Roman" w:cstheme="majorBidi"/>
      <w:b/>
      <w:color w:val="000000" w:themeColor="text1"/>
      <w:lang w:val="cs-CZ"/>
    </w:rPr>
  </w:style>
  <w:style w:type="character" w:customStyle="1" w:styleId="EndnoteTextChar">
    <w:name w:val="Endnote Text Char"/>
    <w:basedOn w:val="DefaultParagraphFont"/>
    <w:link w:val="EndnoteText"/>
    <w:uiPriority w:val="99"/>
    <w:rsid w:val="0024239E"/>
    <w:rPr>
      <w:rFonts w:ascii="Times New Roman" w:hAnsi="Times New Roman"/>
    </w:rPr>
  </w:style>
  <w:style w:type="character" w:styleId="EndnoteReference">
    <w:name w:val="endnote reference"/>
    <w:basedOn w:val="DefaultParagraphFont"/>
    <w:uiPriority w:val="99"/>
    <w:unhideWhenUsed/>
    <w:rsid w:val="0024239E"/>
    <w:rPr>
      <w:vertAlign w:val="superscript"/>
    </w:rPr>
  </w:style>
  <w:style w:type="paragraph" w:styleId="Footer">
    <w:name w:val="footer"/>
    <w:basedOn w:val="Normal"/>
    <w:link w:val="FooterChar"/>
    <w:uiPriority w:val="99"/>
    <w:unhideWhenUsed/>
    <w:rsid w:val="0024239E"/>
    <w:pPr>
      <w:tabs>
        <w:tab w:val="center" w:pos="4536"/>
        <w:tab w:val="right" w:pos="9072"/>
      </w:tabs>
      <w:spacing w:line="240" w:lineRule="auto"/>
    </w:pPr>
  </w:style>
  <w:style w:type="character" w:customStyle="1" w:styleId="FooterChar">
    <w:name w:val="Footer Char"/>
    <w:basedOn w:val="DefaultParagraphFont"/>
    <w:link w:val="Footer"/>
    <w:uiPriority w:val="99"/>
    <w:rsid w:val="0024239E"/>
    <w:rPr>
      <w:rFonts w:ascii="Times New Roman" w:hAnsi="Times New Roman"/>
    </w:rPr>
  </w:style>
  <w:style w:type="character" w:styleId="PageNumber">
    <w:name w:val="page number"/>
    <w:basedOn w:val="DefaultParagraphFont"/>
    <w:uiPriority w:val="99"/>
    <w:semiHidden/>
    <w:unhideWhenUsed/>
    <w:rsid w:val="0024239E"/>
  </w:style>
  <w:style w:type="paragraph" w:styleId="TOCHeading">
    <w:name w:val="TOC Heading"/>
    <w:basedOn w:val="Heading1"/>
    <w:next w:val="Normal"/>
    <w:uiPriority w:val="39"/>
    <w:unhideWhenUsed/>
    <w:qFormat/>
    <w:rsid w:val="001A1D83"/>
    <w:pPr>
      <w:numPr>
        <w:numId w:val="0"/>
      </w:numPr>
      <w:spacing w:before="480" w:line="276" w:lineRule="auto"/>
      <w:jc w:val="left"/>
      <w:outlineLvl w:val="9"/>
    </w:pPr>
    <w:rPr>
      <w:rFonts w:asciiTheme="majorHAnsi" w:hAnsiTheme="majorHAnsi"/>
      <w:bCs/>
      <w:color w:val="2E74B5" w:themeColor="accent1" w:themeShade="BF"/>
      <w:sz w:val="28"/>
      <w:szCs w:val="28"/>
    </w:rPr>
  </w:style>
  <w:style w:type="character" w:customStyle="1" w:styleId="Heading4Char">
    <w:name w:val="Heading 4 Char"/>
    <w:basedOn w:val="DefaultParagraphFont"/>
    <w:link w:val="Heading4"/>
    <w:uiPriority w:val="9"/>
    <w:rsid w:val="00DC0F46"/>
    <w:rPr>
      <w:rFonts w:ascii="Times New Roman" w:eastAsiaTheme="majorEastAsia" w:hAnsi="Times New Roman" w:cstheme="majorBidi"/>
      <w:iCs/>
      <w:color w:val="000000" w:themeColor="text1"/>
      <w:lang w:val="cs-CZ"/>
    </w:rPr>
  </w:style>
  <w:style w:type="paragraph" w:styleId="TOC1">
    <w:name w:val="toc 1"/>
    <w:basedOn w:val="Normal"/>
    <w:next w:val="Normal"/>
    <w:autoRedefine/>
    <w:uiPriority w:val="39"/>
    <w:unhideWhenUsed/>
    <w:rsid w:val="001A1D83"/>
    <w:pPr>
      <w:spacing w:before="120"/>
      <w:jc w:val="left"/>
    </w:pPr>
    <w:rPr>
      <w:rFonts w:asciiTheme="minorHAnsi" w:hAnsiTheme="minorHAnsi"/>
      <w:b/>
      <w:sz w:val="22"/>
      <w:szCs w:val="22"/>
    </w:rPr>
  </w:style>
  <w:style w:type="paragraph" w:styleId="TOC2">
    <w:name w:val="toc 2"/>
    <w:basedOn w:val="Normal"/>
    <w:next w:val="Normal"/>
    <w:autoRedefine/>
    <w:uiPriority w:val="39"/>
    <w:unhideWhenUsed/>
    <w:rsid w:val="001A1D83"/>
    <w:pPr>
      <w:ind w:left="240"/>
      <w:jc w:val="left"/>
    </w:pPr>
    <w:rPr>
      <w:rFonts w:asciiTheme="minorHAnsi" w:hAnsiTheme="minorHAnsi"/>
      <w:i/>
      <w:sz w:val="22"/>
      <w:szCs w:val="22"/>
    </w:rPr>
  </w:style>
  <w:style w:type="paragraph" w:styleId="TOC3">
    <w:name w:val="toc 3"/>
    <w:basedOn w:val="Normal"/>
    <w:next w:val="Normal"/>
    <w:autoRedefine/>
    <w:uiPriority w:val="39"/>
    <w:unhideWhenUsed/>
    <w:rsid w:val="001A1D83"/>
    <w:pPr>
      <w:ind w:left="480"/>
      <w:jc w:val="left"/>
    </w:pPr>
    <w:rPr>
      <w:rFonts w:asciiTheme="minorHAnsi" w:hAnsiTheme="minorHAnsi"/>
      <w:sz w:val="22"/>
      <w:szCs w:val="22"/>
    </w:rPr>
  </w:style>
  <w:style w:type="character" w:styleId="Hyperlink">
    <w:name w:val="Hyperlink"/>
    <w:basedOn w:val="DefaultParagraphFont"/>
    <w:uiPriority w:val="99"/>
    <w:unhideWhenUsed/>
    <w:rsid w:val="001A1D83"/>
    <w:rPr>
      <w:color w:val="0563C1" w:themeColor="hyperlink"/>
      <w:u w:val="single"/>
    </w:rPr>
  </w:style>
  <w:style w:type="paragraph" w:styleId="TOC4">
    <w:name w:val="toc 4"/>
    <w:basedOn w:val="Normal"/>
    <w:next w:val="Normal"/>
    <w:autoRedefine/>
    <w:uiPriority w:val="39"/>
    <w:unhideWhenUsed/>
    <w:rsid w:val="001A1D83"/>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1A1D83"/>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1A1D83"/>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1A1D83"/>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1A1D83"/>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1A1D83"/>
    <w:pPr>
      <w:ind w:left="192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EE0540"/>
    <w:rPr>
      <w:sz w:val="18"/>
      <w:szCs w:val="18"/>
    </w:rPr>
  </w:style>
  <w:style w:type="paragraph" w:styleId="CommentText">
    <w:name w:val="annotation text"/>
    <w:basedOn w:val="Normal"/>
    <w:link w:val="CommentTextChar"/>
    <w:uiPriority w:val="99"/>
    <w:unhideWhenUsed/>
    <w:rsid w:val="00EE0540"/>
    <w:pPr>
      <w:spacing w:line="240" w:lineRule="auto"/>
    </w:pPr>
  </w:style>
  <w:style w:type="character" w:customStyle="1" w:styleId="CommentTextChar">
    <w:name w:val="Comment Text Char"/>
    <w:basedOn w:val="DefaultParagraphFont"/>
    <w:link w:val="CommentText"/>
    <w:uiPriority w:val="99"/>
    <w:rsid w:val="00EE054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E0540"/>
    <w:rPr>
      <w:b/>
      <w:bCs/>
      <w:sz w:val="20"/>
      <w:szCs w:val="20"/>
    </w:rPr>
  </w:style>
  <w:style w:type="character" w:customStyle="1" w:styleId="CommentSubjectChar">
    <w:name w:val="Comment Subject Char"/>
    <w:basedOn w:val="CommentTextChar"/>
    <w:link w:val="CommentSubject"/>
    <w:uiPriority w:val="99"/>
    <w:semiHidden/>
    <w:rsid w:val="00EE0540"/>
    <w:rPr>
      <w:rFonts w:ascii="Times New Roman" w:hAnsi="Times New Roman"/>
      <w:b/>
      <w:bCs/>
      <w:sz w:val="20"/>
      <w:szCs w:val="20"/>
    </w:rPr>
  </w:style>
  <w:style w:type="paragraph" w:styleId="BalloonText">
    <w:name w:val="Balloon Text"/>
    <w:basedOn w:val="Normal"/>
    <w:link w:val="BalloonTextChar"/>
    <w:uiPriority w:val="99"/>
    <w:semiHidden/>
    <w:unhideWhenUsed/>
    <w:rsid w:val="00EE054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E0540"/>
    <w:rPr>
      <w:rFonts w:ascii="Times New Roman" w:hAnsi="Times New Roman" w:cs="Times New Roman"/>
      <w:sz w:val="18"/>
      <w:szCs w:val="18"/>
    </w:rPr>
  </w:style>
  <w:style w:type="paragraph" w:styleId="FootnoteText">
    <w:name w:val="footnote text"/>
    <w:basedOn w:val="Normal"/>
    <w:link w:val="FootnoteTextChar"/>
    <w:uiPriority w:val="99"/>
    <w:unhideWhenUsed/>
    <w:rsid w:val="00DB3FBC"/>
    <w:pPr>
      <w:spacing w:line="240" w:lineRule="auto"/>
    </w:pPr>
  </w:style>
  <w:style w:type="character" w:customStyle="1" w:styleId="FootnoteTextChar">
    <w:name w:val="Footnote Text Char"/>
    <w:basedOn w:val="DefaultParagraphFont"/>
    <w:link w:val="FootnoteText"/>
    <w:uiPriority w:val="99"/>
    <w:rsid w:val="00DB3FBC"/>
    <w:rPr>
      <w:rFonts w:ascii="Times New Roman" w:hAnsi="Times New Roman"/>
    </w:rPr>
  </w:style>
  <w:style w:type="character" w:styleId="FootnoteReference">
    <w:name w:val="footnote reference"/>
    <w:basedOn w:val="DefaultParagraphFont"/>
    <w:uiPriority w:val="99"/>
    <w:unhideWhenUsed/>
    <w:rsid w:val="00DB3FBC"/>
    <w:rPr>
      <w:vertAlign w:val="superscript"/>
    </w:rPr>
  </w:style>
  <w:style w:type="paragraph" w:customStyle="1" w:styleId="VchozA">
    <w:name w:val="Výchozí A"/>
    <w:rsid w:val="00E91D79"/>
    <w:pPr>
      <w:pBdr>
        <w:top w:val="nil"/>
        <w:left w:val="nil"/>
        <w:bottom w:val="nil"/>
        <w:right w:val="nil"/>
        <w:between w:val="nil"/>
        <w:bar w:val="nil"/>
      </w:pBdr>
      <w:ind w:firstLine="567"/>
    </w:pPr>
    <w:rPr>
      <w:rFonts w:ascii="Helvetica" w:eastAsia="Arial Unicode MS" w:hAnsi="Arial Unicode MS" w:cs="Arial Unicode MS"/>
      <w:color w:val="000000"/>
      <w:sz w:val="22"/>
      <w:szCs w:val="22"/>
      <w:u w:color="000000"/>
      <w:bdr w:val="nil"/>
    </w:rPr>
  </w:style>
  <w:style w:type="paragraph" w:customStyle="1" w:styleId="TextA">
    <w:name w:val="Text A"/>
    <w:rsid w:val="00E91D79"/>
    <w:pPr>
      <w:pBdr>
        <w:top w:val="nil"/>
        <w:left w:val="nil"/>
        <w:bottom w:val="nil"/>
        <w:right w:val="nil"/>
        <w:between w:val="nil"/>
        <w:bar w:val="nil"/>
      </w:pBdr>
      <w:ind w:firstLine="567"/>
    </w:pPr>
    <w:rPr>
      <w:rFonts w:ascii="Times New Roman" w:eastAsia="Arial Unicode MS" w:hAnsi="Arial Unicode MS" w:cs="Arial Unicode MS"/>
      <w:color w:val="000000"/>
      <w:u w:color="000000"/>
      <w:bdr w:val="nil"/>
    </w:rPr>
  </w:style>
  <w:style w:type="paragraph" w:customStyle="1" w:styleId="TextAA">
    <w:name w:val="Text A A"/>
    <w:rsid w:val="00E91D79"/>
    <w:pPr>
      <w:pBdr>
        <w:top w:val="nil"/>
        <w:left w:val="nil"/>
        <w:bottom w:val="nil"/>
        <w:right w:val="nil"/>
        <w:between w:val="nil"/>
        <w:bar w:val="nil"/>
      </w:pBdr>
      <w:ind w:firstLine="567"/>
    </w:pPr>
    <w:rPr>
      <w:rFonts w:ascii="Helvetica"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EE250C"/>
    <w:pPr>
      <w:ind w:left="720"/>
      <w:contextualSpacing/>
    </w:pPr>
  </w:style>
  <w:style w:type="character" w:styleId="FollowedHyperlink">
    <w:name w:val="FollowedHyperlink"/>
    <w:basedOn w:val="DefaultParagraphFont"/>
    <w:uiPriority w:val="99"/>
    <w:semiHidden/>
    <w:unhideWhenUsed/>
    <w:rsid w:val="00805467"/>
    <w:rPr>
      <w:color w:val="954F72" w:themeColor="followedHyperlink"/>
      <w:u w:val="single"/>
    </w:rPr>
  </w:style>
  <w:style w:type="paragraph" w:styleId="DocumentMap">
    <w:name w:val="Document Map"/>
    <w:basedOn w:val="Normal"/>
    <w:link w:val="DocumentMapChar"/>
    <w:uiPriority w:val="99"/>
    <w:semiHidden/>
    <w:unhideWhenUsed/>
    <w:rsid w:val="008C214A"/>
    <w:pPr>
      <w:spacing w:line="240" w:lineRule="auto"/>
    </w:pPr>
    <w:rPr>
      <w:rFonts w:cs="Times New Roman"/>
    </w:rPr>
  </w:style>
  <w:style w:type="character" w:customStyle="1" w:styleId="DocumentMapChar">
    <w:name w:val="Document Map Char"/>
    <w:basedOn w:val="DefaultParagraphFont"/>
    <w:link w:val="DocumentMap"/>
    <w:uiPriority w:val="99"/>
    <w:semiHidden/>
    <w:rsid w:val="008C214A"/>
    <w:rPr>
      <w:rFonts w:ascii="Times New Roman" w:hAnsi="Times New Roman" w:cs="Times New Roman"/>
    </w:rPr>
  </w:style>
  <w:style w:type="paragraph" w:styleId="Revision">
    <w:name w:val="Revision"/>
    <w:hidden/>
    <w:uiPriority w:val="99"/>
    <w:semiHidden/>
    <w:rsid w:val="000413BA"/>
    <w:rPr>
      <w:rFonts w:ascii="Times New Roman" w:hAnsi="Times New Roman"/>
    </w:rPr>
  </w:style>
  <w:style w:type="character" w:customStyle="1" w:styleId="Heading5Char">
    <w:name w:val="Heading 5 Char"/>
    <w:basedOn w:val="DefaultParagraphFont"/>
    <w:link w:val="Heading5"/>
    <w:uiPriority w:val="9"/>
    <w:rsid w:val="00696A6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696A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96A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96A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6A6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81A84"/>
    <w:pPr>
      <w:tabs>
        <w:tab w:val="center" w:pos="4536"/>
        <w:tab w:val="right" w:pos="9072"/>
      </w:tabs>
      <w:spacing w:line="240" w:lineRule="auto"/>
    </w:pPr>
  </w:style>
  <w:style w:type="character" w:customStyle="1" w:styleId="HeaderChar">
    <w:name w:val="Header Char"/>
    <w:basedOn w:val="DefaultParagraphFont"/>
    <w:link w:val="Header"/>
    <w:uiPriority w:val="99"/>
    <w:rsid w:val="00E81A84"/>
    <w:rPr>
      <w:rFonts w:ascii="Times New Roman" w:hAnsi="Times New Roman"/>
      <w:lang w:val="cs-CZ"/>
    </w:rPr>
  </w:style>
  <w:style w:type="table" w:styleId="TableGrid">
    <w:name w:val="Table Grid"/>
    <w:basedOn w:val="TableNormal"/>
    <w:uiPriority w:val="39"/>
    <w:rsid w:val="00520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9341F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0079">
      <w:bodyDiv w:val="1"/>
      <w:marLeft w:val="0"/>
      <w:marRight w:val="0"/>
      <w:marTop w:val="0"/>
      <w:marBottom w:val="0"/>
      <w:divBdr>
        <w:top w:val="none" w:sz="0" w:space="0" w:color="auto"/>
        <w:left w:val="none" w:sz="0" w:space="0" w:color="auto"/>
        <w:bottom w:val="none" w:sz="0" w:space="0" w:color="auto"/>
        <w:right w:val="none" w:sz="0" w:space="0" w:color="auto"/>
      </w:divBdr>
      <w:divsChild>
        <w:div w:id="1584292854">
          <w:marLeft w:val="0"/>
          <w:marRight w:val="0"/>
          <w:marTop w:val="0"/>
          <w:marBottom w:val="0"/>
          <w:divBdr>
            <w:top w:val="none" w:sz="0" w:space="0" w:color="auto"/>
            <w:left w:val="none" w:sz="0" w:space="0" w:color="auto"/>
            <w:bottom w:val="none" w:sz="0" w:space="0" w:color="auto"/>
            <w:right w:val="none" w:sz="0" w:space="0" w:color="auto"/>
          </w:divBdr>
          <w:divsChild>
            <w:div w:id="948197952">
              <w:marLeft w:val="0"/>
              <w:marRight w:val="0"/>
              <w:marTop w:val="0"/>
              <w:marBottom w:val="0"/>
              <w:divBdr>
                <w:top w:val="none" w:sz="0" w:space="0" w:color="auto"/>
                <w:left w:val="none" w:sz="0" w:space="0" w:color="auto"/>
                <w:bottom w:val="none" w:sz="0" w:space="0" w:color="auto"/>
                <w:right w:val="none" w:sz="0" w:space="0" w:color="auto"/>
              </w:divBdr>
              <w:divsChild>
                <w:div w:id="7549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3452">
      <w:bodyDiv w:val="1"/>
      <w:marLeft w:val="0"/>
      <w:marRight w:val="0"/>
      <w:marTop w:val="0"/>
      <w:marBottom w:val="0"/>
      <w:divBdr>
        <w:top w:val="none" w:sz="0" w:space="0" w:color="auto"/>
        <w:left w:val="none" w:sz="0" w:space="0" w:color="auto"/>
        <w:bottom w:val="none" w:sz="0" w:space="0" w:color="auto"/>
        <w:right w:val="none" w:sz="0" w:space="0" w:color="auto"/>
      </w:divBdr>
      <w:divsChild>
        <w:div w:id="862401864">
          <w:marLeft w:val="0"/>
          <w:marRight w:val="0"/>
          <w:marTop w:val="0"/>
          <w:marBottom w:val="0"/>
          <w:divBdr>
            <w:top w:val="none" w:sz="0" w:space="0" w:color="auto"/>
            <w:left w:val="none" w:sz="0" w:space="0" w:color="auto"/>
            <w:bottom w:val="none" w:sz="0" w:space="0" w:color="auto"/>
            <w:right w:val="none" w:sz="0" w:space="0" w:color="auto"/>
          </w:divBdr>
          <w:divsChild>
            <w:div w:id="1954821295">
              <w:marLeft w:val="0"/>
              <w:marRight w:val="0"/>
              <w:marTop w:val="0"/>
              <w:marBottom w:val="0"/>
              <w:divBdr>
                <w:top w:val="none" w:sz="0" w:space="0" w:color="auto"/>
                <w:left w:val="none" w:sz="0" w:space="0" w:color="auto"/>
                <w:bottom w:val="none" w:sz="0" w:space="0" w:color="auto"/>
                <w:right w:val="none" w:sz="0" w:space="0" w:color="auto"/>
              </w:divBdr>
              <w:divsChild>
                <w:div w:id="1172137437">
                  <w:marLeft w:val="0"/>
                  <w:marRight w:val="0"/>
                  <w:marTop w:val="0"/>
                  <w:marBottom w:val="0"/>
                  <w:divBdr>
                    <w:top w:val="none" w:sz="0" w:space="0" w:color="auto"/>
                    <w:left w:val="none" w:sz="0" w:space="0" w:color="auto"/>
                    <w:bottom w:val="none" w:sz="0" w:space="0" w:color="auto"/>
                    <w:right w:val="none" w:sz="0" w:space="0" w:color="auto"/>
                  </w:divBdr>
                  <w:divsChild>
                    <w:div w:id="21141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9406">
      <w:bodyDiv w:val="1"/>
      <w:marLeft w:val="0"/>
      <w:marRight w:val="0"/>
      <w:marTop w:val="0"/>
      <w:marBottom w:val="0"/>
      <w:divBdr>
        <w:top w:val="none" w:sz="0" w:space="0" w:color="auto"/>
        <w:left w:val="none" w:sz="0" w:space="0" w:color="auto"/>
        <w:bottom w:val="none" w:sz="0" w:space="0" w:color="auto"/>
        <w:right w:val="none" w:sz="0" w:space="0" w:color="auto"/>
      </w:divBdr>
      <w:divsChild>
        <w:div w:id="64307350">
          <w:marLeft w:val="0"/>
          <w:marRight w:val="0"/>
          <w:marTop w:val="0"/>
          <w:marBottom w:val="0"/>
          <w:divBdr>
            <w:top w:val="none" w:sz="0" w:space="0" w:color="auto"/>
            <w:left w:val="none" w:sz="0" w:space="0" w:color="auto"/>
            <w:bottom w:val="none" w:sz="0" w:space="0" w:color="auto"/>
            <w:right w:val="none" w:sz="0" w:space="0" w:color="auto"/>
          </w:divBdr>
          <w:divsChild>
            <w:div w:id="985085689">
              <w:marLeft w:val="0"/>
              <w:marRight w:val="0"/>
              <w:marTop w:val="0"/>
              <w:marBottom w:val="0"/>
              <w:divBdr>
                <w:top w:val="none" w:sz="0" w:space="0" w:color="auto"/>
                <w:left w:val="none" w:sz="0" w:space="0" w:color="auto"/>
                <w:bottom w:val="none" w:sz="0" w:space="0" w:color="auto"/>
                <w:right w:val="none" w:sz="0" w:space="0" w:color="auto"/>
              </w:divBdr>
              <w:divsChild>
                <w:div w:id="20100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9566">
      <w:bodyDiv w:val="1"/>
      <w:marLeft w:val="0"/>
      <w:marRight w:val="0"/>
      <w:marTop w:val="0"/>
      <w:marBottom w:val="0"/>
      <w:divBdr>
        <w:top w:val="none" w:sz="0" w:space="0" w:color="auto"/>
        <w:left w:val="none" w:sz="0" w:space="0" w:color="auto"/>
        <w:bottom w:val="none" w:sz="0" w:space="0" w:color="auto"/>
        <w:right w:val="none" w:sz="0" w:space="0" w:color="auto"/>
      </w:divBdr>
      <w:divsChild>
        <w:div w:id="1846675569">
          <w:marLeft w:val="0"/>
          <w:marRight w:val="0"/>
          <w:marTop w:val="0"/>
          <w:marBottom w:val="0"/>
          <w:divBdr>
            <w:top w:val="none" w:sz="0" w:space="0" w:color="auto"/>
            <w:left w:val="none" w:sz="0" w:space="0" w:color="auto"/>
            <w:bottom w:val="none" w:sz="0" w:space="0" w:color="auto"/>
            <w:right w:val="none" w:sz="0" w:space="0" w:color="auto"/>
          </w:divBdr>
          <w:divsChild>
            <w:div w:id="1742411463">
              <w:marLeft w:val="0"/>
              <w:marRight w:val="0"/>
              <w:marTop w:val="0"/>
              <w:marBottom w:val="0"/>
              <w:divBdr>
                <w:top w:val="none" w:sz="0" w:space="0" w:color="auto"/>
                <w:left w:val="none" w:sz="0" w:space="0" w:color="auto"/>
                <w:bottom w:val="none" w:sz="0" w:space="0" w:color="auto"/>
                <w:right w:val="none" w:sz="0" w:space="0" w:color="auto"/>
              </w:divBdr>
              <w:divsChild>
                <w:div w:id="12574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4878">
      <w:bodyDiv w:val="1"/>
      <w:marLeft w:val="0"/>
      <w:marRight w:val="0"/>
      <w:marTop w:val="0"/>
      <w:marBottom w:val="0"/>
      <w:divBdr>
        <w:top w:val="none" w:sz="0" w:space="0" w:color="auto"/>
        <w:left w:val="none" w:sz="0" w:space="0" w:color="auto"/>
        <w:bottom w:val="none" w:sz="0" w:space="0" w:color="auto"/>
        <w:right w:val="none" w:sz="0" w:space="0" w:color="auto"/>
      </w:divBdr>
      <w:divsChild>
        <w:div w:id="2069450690">
          <w:marLeft w:val="0"/>
          <w:marRight w:val="0"/>
          <w:marTop w:val="0"/>
          <w:marBottom w:val="0"/>
          <w:divBdr>
            <w:top w:val="none" w:sz="0" w:space="0" w:color="auto"/>
            <w:left w:val="none" w:sz="0" w:space="0" w:color="auto"/>
            <w:bottom w:val="none" w:sz="0" w:space="0" w:color="auto"/>
            <w:right w:val="none" w:sz="0" w:space="0" w:color="auto"/>
          </w:divBdr>
          <w:divsChild>
            <w:div w:id="830489291">
              <w:marLeft w:val="0"/>
              <w:marRight w:val="0"/>
              <w:marTop w:val="0"/>
              <w:marBottom w:val="0"/>
              <w:divBdr>
                <w:top w:val="none" w:sz="0" w:space="0" w:color="auto"/>
                <w:left w:val="none" w:sz="0" w:space="0" w:color="auto"/>
                <w:bottom w:val="none" w:sz="0" w:space="0" w:color="auto"/>
                <w:right w:val="none" w:sz="0" w:space="0" w:color="auto"/>
              </w:divBdr>
              <w:divsChild>
                <w:div w:id="763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6026">
      <w:bodyDiv w:val="1"/>
      <w:marLeft w:val="0"/>
      <w:marRight w:val="0"/>
      <w:marTop w:val="0"/>
      <w:marBottom w:val="0"/>
      <w:divBdr>
        <w:top w:val="none" w:sz="0" w:space="0" w:color="auto"/>
        <w:left w:val="none" w:sz="0" w:space="0" w:color="auto"/>
        <w:bottom w:val="none" w:sz="0" w:space="0" w:color="auto"/>
        <w:right w:val="none" w:sz="0" w:space="0" w:color="auto"/>
      </w:divBdr>
      <w:divsChild>
        <w:div w:id="1043023442">
          <w:marLeft w:val="0"/>
          <w:marRight w:val="0"/>
          <w:marTop w:val="0"/>
          <w:marBottom w:val="0"/>
          <w:divBdr>
            <w:top w:val="none" w:sz="0" w:space="0" w:color="auto"/>
            <w:left w:val="none" w:sz="0" w:space="0" w:color="auto"/>
            <w:bottom w:val="none" w:sz="0" w:space="0" w:color="auto"/>
            <w:right w:val="none" w:sz="0" w:space="0" w:color="auto"/>
          </w:divBdr>
          <w:divsChild>
            <w:div w:id="816216761">
              <w:marLeft w:val="0"/>
              <w:marRight w:val="0"/>
              <w:marTop w:val="0"/>
              <w:marBottom w:val="0"/>
              <w:divBdr>
                <w:top w:val="none" w:sz="0" w:space="0" w:color="auto"/>
                <w:left w:val="none" w:sz="0" w:space="0" w:color="auto"/>
                <w:bottom w:val="none" w:sz="0" w:space="0" w:color="auto"/>
                <w:right w:val="none" w:sz="0" w:space="0" w:color="auto"/>
              </w:divBdr>
              <w:divsChild>
                <w:div w:id="5696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gal-content/CS/TXT/PDF/?uri=CELEX:32008R1126&amp;from=EN" TargetMode="External"/><Relationship Id="rId9" Type="http://schemas.openxmlformats.org/officeDocument/2006/relationships/hyperlink" Target="http://fidic.org/sites/default/files/FIDICUpdate0210.pdf" TargetMode="External"/><Relationship Id="rId10" Type="http://schemas.openxmlformats.org/officeDocument/2006/relationships/hyperlink" Target="http://www.tzb-info.cz/normy-a-pravni-predpisy-facility-management/10865-spolecna-odpovednost-zhotovitele-subdodavatelu-a-dalsich-subjektu-za-vady-stavby-i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ce.cz/fidic.php" TargetMode="External"/><Relationship Id="rId4" Type="http://schemas.openxmlformats.org/officeDocument/2006/relationships/hyperlink" Target="http://www.pjpk.cz/OP/OP%20staveb%20%20m-rozsahu.pdf" TargetMode="External"/><Relationship Id="rId5" Type="http://schemas.openxmlformats.org/officeDocument/2006/relationships/hyperlink" Target="http://www.tzb-info.cz/normy-a-pravni-predpisy-facility-management/10865-spolecna-odpovednost-zhotovitele-subdodavatelu-a-dalsich-subjektu-za-vady-stavby-iv" TargetMode="External"/><Relationship Id="rId6" Type="http://schemas.openxmlformats.org/officeDocument/2006/relationships/hyperlink" Target="http://fidic.org/sites/default/files/FIDICUpdate0210.pdf" TargetMode="External"/><Relationship Id="rId7" Type="http://schemas.openxmlformats.org/officeDocument/2006/relationships/hyperlink" Target="http://eur-lex.europa.eu/legal-content/CS/TXT/PDF/?uri=CELEX:32008R1126&amp;from=EN" TargetMode="External"/><Relationship Id="rId1" Type="http://schemas.openxmlformats.org/officeDocument/2006/relationships/hyperlink" Target="http://fidic.org/sites/default/files/pn07.pdf" TargetMode="External"/><Relationship Id="rId2" Type="http://schemas.openxmlformats.org/officeDocument/2006/relationships/hyperlink" Target="http://www.jurawelt.com/sunrise/media/mediafiles/13772/tenea_juraweltbd73_lan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5448-FAFC-4A4E-9099-6423E82E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4737</TotalTime>
  <Pages>51</Pages>
  <Words>14302</Words>
  <Characters>81525</Characters>
  <Application>Microsoft Macintosh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Škoda Holding a.s.</Company>
  <LinksUpToDate>false</LinksUpToDate>
  <CharactersWithSpaces>95636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 Martina</dc:creator>
  <cp:lastModifiedBy>Ostra Martina</cp:lastModifiedBy>
  <cp:revision>1201</cp:revision>
  <cp:lastPrinted>2016-09-05T10:50:00Z</cp:lastPrinted>
  <dcterms:created xsi:type="dcterms:W3CDTF">2016-07-08T11:04:00Z</dcterms:created>
  <dcterms:modified xsi:type="dcterms:W3CDTF">2016-09-05T12:32:00Z</dcterms:modified>
</cp:coreProperties>
</file>